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BF8" w14:textId="4477ECD3" w:rsidR="004E763F" w:rsidRPr="007B06F4" w:rsidRDefault="00BB7A84" w:rsidP="007B06F4">
      <w:pPr>
        <w:pStyle w:val="Pagedecouverture"/>
      </w:pPr>
      <w:r>
        <w:pict w14:anchorId="3B31E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7C8AEA7C-2B44-4334-8A4D-7A8471BF8401" style="width:455.5pt;height:331pt">
            <v:imagedata r:id="rId11" o:title=""/>
          </v:shape>
        </w:pict>
      </w:r>
    </w:p>
    <w:p w14:paraId="1986B6EA" w14:textId="77777777" w:rsidR="00CE1382" w:rsidRPr="007B06F4" w:rsidRDefault="00CE1382" w:rsidP="003838B9">
      <w:pPr>
        <w:sectPr w:rsidR="00CE1382" w:rsidRPr="007B06F4" w:rsidSect="003F24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ADCEA6B" w14:textId="12FD0E34" w:rsidR="00C16484" w:rsidRPr="007B06F4" w:rsidRDefault="007B06F4" w:rsidP="007B06F4">
      <w:pPr>
        <w:pStyle w:val="Typedudocument"/>
      </w:pPr>
      <w:r w:rsidRPr="007B06F4">
        <w:lastRenderedPageBreak/>
        <w:t>PROVÁDĚCÍ NAŘÍZENÍ KOMISE (EU) …/...</w:t>
      </w:r>
    </w:p>
    <w:p w14:paraId="6819E66E" w14:textId="73A517F5" w:rsidR="00C16484" w:rsidRPr="007B06F4" w:rsidRDefault="007B06F4" w:rsidP="007B06F4">
      <w:pPr>
        <w:pStyle w:val="Datedadoption"/>
      </w:pPr>
      <w:r w:rsidRPr="007B06F4">
        <w:t xml:space="preserve">ze dne </w:t>
      </w:r>
      <w:r w:rsidRPr="007B06F4">
        <w:rPr>
          <w:rStyle w:val="Marker2"/>
        </w:rPr>
        <w:t>XXX</w:t>
      </w:r>
      <w:r w:rsidRPr="007B06F4">
        <w:t>,</w:t>
      </w:r>
    </w:p>
    <w:p w14:paraId="44AA08D1" w14:textId="36020054" w:rsidR="00C16484" w:rsidRPr="007B06F4" w:rsidRDefault="007B06F4" w:rsidP="007B06F4">
      <w:pPr>
        <w:pStyle w:val="Titreobjet"/>
      </w:pPr>
      <w:r w:rsidRPr="007B06F4">
        <w:t>kterým se mění prováděcí technické normy stanovené v prováděcím nařízení (EU) 2021/622, pokud jde o četnost podávání zpráv a informace, které mají být předávány</w:t>
      </w:r>
    </w:p>
    <w:p w14:paraId="4A210142" w14:textId="197C1C66" w:rsidR="00C16484" w:rsidRPr="007B06F4" w:rsidRDefault="007B06F4" w:rsidP="007B06F4">
      <w:pPr>
        <w:pStyle w:val="IntrtEEE"/>
      </w:pPr>
      <w:r w:rsidRPr="007B06F4">
        <w:t>(Text s významem pro EHP)</w:t>
      </w:r>
    </w:p>
    <w:p w14:paraId="6F3A17D1" w14:textId="77777777" w:rsidR="00C16484" w:rsidRPr="007B06F4" w:rsidRDefault="00C16484">
      <w:pPr>
        <w:pStyle w:val="Institutionquiagit"/>
      </w:pPr>
      <w:r w:rsidRPr="007B06F4">
        <w:t>EVROPSKÁ KOMISE,</w:t>
      </w:r>
    </w:p>
    <w:p w14:paraId="22B09AC6" w14:textId="77777777" w:rsidR="00C16484" w:rsidRPr="007B06F4" w:rsidRDefault="00C16484">
      <w:r w:rsidRPr="007B06F4">
        <w:t>s ohledem na Smlouvu o fungování Evropské unie,</w:t>
      </w:r>
    </w:p>
    <w:p w14:paraId="6C2E5C7E" w14:textId="77777777" w:rsidR="00C16484" w:rsidRPr="007B06F4" w:rsidRDefault="00C16484">
      <w:r w:rsidRPr="007B06F4">
        <w:t>s ohledem na směrnici Evropského parlamentu a Rady 2014/59/EU ze dne 15. května 2014, kterou se stanoví rámec pro ozdravné postupy a řešení krize úvěrových institucí a investičních podniků a kterou se mění směrnice Rady 82/891/EHS, směrnice Evropského parlamentu a Rady 2001/24/ES, 2002/47/ES, 2004/25/ES, 2005/56/ES, 2007/36/ES, 2011/35/EU, 2012/30/EU a 2013/36/EU a nařízení Evropského parlamentu a Rady (EU) č. 1093/2010 a (EU) č. 648/2012</w:t>
      </w:r>
      <w:r w:rsidRPr="007B06F4">
        <w:rPr>
          <w:rStyle w:val="FootnoteReference"/>
        </w:rPr>
        <w:footnoteReference w:id="2"/>
      </w:r>
      <w:r w:rsidRPr="007B06F4">
        <w:t>, a zejména na čl. 45j odst. 2 třetí pododstavec uvedené směrnice,</w:t>
      </w:r>
    </w:p>
    <w:p w14:paraId="499F4150" w14:textId="77777777" w:rsidR="00C16484" w:rsidRPr="007B06F4" w:rsidRDefault="00C16484">
      <w:r w:rsidRPr="007B06F4">
        <w:t>vzhledem k těmto důvodům:</w:t>
      </w:r>
    </w:p>
    <w:p w14:paraId="7D99777F" w14:textId="77777777" w:rsidR="003428AE" w:rsidRPr="007B06F4" w:rsidRDefault="003428AE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7B06F4">
        <w:t>Směrnice Evropského parlamentu a Rady (EU) 2024/1174</w:t>
      </w:r>
      <w:r w:rsidRPr="007B06F4">
        <w:rPr>
          <w:rStyle w:val="FootnoteReference"/>
          <w:iCs/>
          <w:noProof/>
        </w:rPr>
        <w:footnoteReference w:id="3"/>
      </w:r>
      <w:r w:rsidRPr="007B06F4">
        <w:t xml:space="preserve"> zavedla určité změny minimálního požadavku na kapitál a způsobilé závazky (dále jen „MREL“) stanoveného ve směrnici 2014/59/EU. Podle těchto změn by orgány příslušné k řešení krize neměly určovat MREL pro subjekty v likvidaci, s výjimkou případů, kdy je stanovení MREL přesahujícího částku dostatečnou k absorpci ztrát nezbytné k ochraně finanční stability nebo k řešení rizika rozšíření problémů do finančního systému, a to i pokud jde o kapacitu systémů pojištění vkladů k financování. Kromě toho směrnice (EU) 2024/1174 zvýšila počet situací, které orgánům příslušným k řešení krize umožňují určit MREL na konsolidovaném základě. Prováděcí nařízení Komise (EU) 2021/622</w:t>
      </w:r>
      <w:r w:rsidRPr="007B06F4">
        <w:rPr>
          <w:rStyle w:val="FootnoteReference"/>
          <w:iCs/>
          <w:noProof/>
        </w:rPr>
        <w:footnoteReference w:id="4"/>
      </w:r>
      <w:r w:rsidRPr="007B06F4">
        <w:t xml:space="preserve"> by mělo být změněno tak, aby tyto změny rámce MREL odráželo v informacích, které mají být předávány Evropskému orgánu pro bankovnictví (EBA).</w:t>
      </w:r>
    </w:p>
    <w:p w14:paraId="038A3063" w14:textId="77777777" w:rsidR="00C16484" w:rsidRPr="007B06F4" w:rsidRDefault="00A05FAB" w:rsidP="008B6AF9">
      <w:pPr>
        <w:pStyle w:val="Considrant"/>
        <w:numPr>
          <w:ilvl w:val="0"/>
          <w:numId w:val="2"/>
        </w:numPr>
        <w:rPr>
          <w:iCs/>
          <w:noProof/>
        </w:rPr>
      </w:pPr>
      <w:r w:rsidRPr="007B06F4">
        <w:t>Prováděcí nařízení (EU) 2021/622 v současné době vyžaduje, aby orgány příslušné k řešení krize každoročně předávaly orgánu EBA informace týkající se stanovení MREL. Orgán EBA následně tyto informace kombinuje s informacemi o složení kapitálu a způsobilých závazků získanými podle prováděcího nařízení Komise (EU) 2021/763</w:t>
      </w:r>
      <w:r w:rsidRPr="007B06F4">
        <w:rPr>
          <w:rStyle w:val="FootnoteReference"/>
          <w:noProof/>
        </w:rPr>
        <w:footnoteReference w:id="5"/>
      </w:r>
      <w:r w:rsidRPr="007B06F4">
        <w:t xml:space="preserve"> za účelem vypracování své zprávy o MREL v souladu s článkem 45l směrnice 2014/59/EU, která se v současné době předkládá dvakrát ročně. Současné každoroční podávání informací o stanovení MREL znamená, že rozhodnutí o MREL přijatá orgány příslušnými k řešení krize po příslušném referenčním datu nejsou orgánem EBA předávána ani posuzována a nejsou zohledněna v jeho zprávách až do následujícího roku, což vede k nesouladu s aktuálnějšími informacemi o složení kapitálu a způsobilých závazků.</w:t>
      </w:r>
    </w:p>
    <w:p w14:paraId="676EF325" w14:textId="77777777" w:rsidR="00C16484" w:rsidRPr="007B06F4" w:rsidRDefault="00C16484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7B06F4">
        <w:t xml:space="preserve">Aby se zlepšila schopnost orgánu EBA sledovat a posuzovat MREL stanovený orgány příslušnými k řešení krize a dodržování požadavků na MREL ze strany institucí, měly by orgány příslušné k řešení krize mít povinnost podávat orgánu EBA o rozhodnutích o MREL zprávy častěji. Aby byl zajištěn soulad se zprávami o MREL vypracovanými orgánem EBA, měly by orgány příslušné k řešení krize tyto informace podávat dvakrát ročně. </w:t>
      </w:r>
    </w:p>
    <w:p w14:paraId="2672C096" w14:textId="77777777" w:rsidR="00C16484" w:rsidRPr="007B06F4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06F4">
        <w:t>Aby se orgánu EBA usnadnilo posouzení toho, jak orgány příslušné k řešení krize uplatnily při stanovování MREL diskreční pravomoc, zejména pokud jde o možnost, která je k dispozici podle čl. 45b odst. 4 prvního pododstavce směrnice 2014/59/EU, měla by být šablona M 20.00 – Podávání zpráv o rozhodnutích o MREL (příloha I nařízení (EU) 2021/622) a příslušné pokyny upraveny tak, aby vyžadovaly zahrnutí informací o uplatnění této možnosti.</w:t>
      </w:r>
    </w:p>
    <w:p w14:paraId="1B5314C9" w14:textId="77777777" w:rsidR="00C16484" w:rsidRPr="007B06F4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06F4">
        <w:t>Orgán EBA si vyžádal stanovisko skupiny subjektů působících v bankovnictví zřízené podle článku 37 nařízení Evropského parlamentu a Rady (EU) č. 1093/2010</w:t>
      </w:r>
      <w:r w:rsidRPr="007B06F4">
        <w:rPr>
          <w:rStyle w:val="FootnoteReference"/>
          <w:noProof/>
        </w:rPr>
        <w:footnoteReference w:id="6"/>
      </w:r>
      <w:r w:rsidRPr="007B06F4">
        <w:t xml:space="preserve">. </w:t>
      </w:r>
    </w:p>
    <w:p w14:paraId="5D5111C6" w14:textId="77777777" w:rsidR="00C16484" w:rsidRPr="007B06F4" w:rsidRDefault="00373FC4" w:rsidP="004B4C38">
      <w:pPr>
        <w:pStyle w:val="Considrant"/>
        <w:numPr>
          <w:ilvl w:val="0"/>
          <w:numId w:val="2"/>
        </w:numPr>
        <w:rPr>
          <w:noProof/>
        </w:rPr>
      </w:pPr>
      <w:r w:rsidRPr="007B06F4">
        <w:t xml:space="preserve">Změny nařízení (EU) 2021/622 jsou určeny orgánům příslušným k řešení krize a nepředstavují významné věcné změny. Orgán EBA proto v souladu s čl. 15 odst. 1 druhým pododstavcem nařízení (EU) č. 1093/2010 neuskutečnil otevřené veřejné konzultace ani neanalyzoval potenciální související náklady a přínosy, neboť se domnívá, že by to bylo nepřiměřené ve vztahu k rozsahu a dopadu dotčených návrhů prováděcích technických norem. </w:t>
      </w:r>
    </w:p>
    <w:p w14:paraId="0A23BFF6" w14:textId="77777777" w:rsidR="00C16484" w:rsidRPr="007B06F4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06F4">
        <w:t>Prováděcí nařízení (EU) 2021/622 by proto mělo být odpovídajícím způsobem změněno.</w:t>
      </w:r>
    </w:p>
    <w:p w14:paraId="1887EA7B" w14:textId="77777777" w:rsidR="00C16484" w:rsidRPr="007B06F4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7B06F4">
        <w:t>Toto nařízení vychází z návrhů prováděcích technických norem, které Komisi předložil orgán EBA,</w:t>
      </w:r>
    </w:p>
    <w:p w14:paraId="313B274F" w14:textId="77777777" w:rsidR="00C16484" w:rsidRPr="007B06F4" w:rsidRDefault="00C16484">
      <w:pPr>
        <w:pStyle w:val="Formuledadoption"/>
      </w:pPr>
      <w:r w:rsidRPr="007B06F4">
        <w:t>PŘIJALA TOTO NAŘÍZENÍ:</w:t>
      </w:r>
    </w:p>
    <w:p w14:paraId="455FC522" w14:textId="77777777" w:rsidR="00C16484" w:rsidRPr="007B06F4" w:rsidRDefault="00C16484">
      <w:pPr>
        <w:pStyle w:val="Titrearticle"/>
      </w:pPr>
      <w:r w:rsidRPr="007B06F4">
        <w:t>Článek 1</w:t>
      </w:r>
    </w:p>
    <w:p w14:paraId="061A957A" w14:textId="77777777" w:rsidR="00C16484" w:rsidRPr="007B06F4" w:rsidRDefault="00C16484" w:rsidP="00C16484">
      <w:pPr>
        <w:rPr>
          <w:noProof/>
        </w:rPr>
      </w:pPr>
      <w:r w:rsidRPr="007B06F4">
        <w:t>Prováděcí nařízení (EU) 2021/622 se mění takto:</w:t>
      </w:r>
    </w:p>
    <w:p w14:paraId="44E520EB" w14:textId="03322186" w:rsidR="00C16484" w:rsidRPr="007B06F4" w:rsidRDefault="003F24B1" w:rsidP="003F24B1">
      <w:pPr>
        <w:pStyle w:val="Point0"/>
        <w:rPr>
          <w:noProof/>
        </w:rPr>
      </w:pPr>
      <w:r>
        <w:t>1)</w:t>
      </w:r>
      <w:r>
        <w:tab/>
      </w:r>
      <w:r w:rsidR="00C16484" w:rsidRPr="007B06F4">
        <w:t>článek 2 se mění takto:</w:t>
      </w:r>
    </w:p>
    <w:p w14:paraId="252CA8AC" w14:textId="0CF6C17F" w:rsidR="00C16484" w:rsidRPr="007B06F4" w:rsidRDefault="003F24B1" w:rsidP="003F24B1">
      <w:pPr>
        <w:pStyle w:val="Point1"/>
        <w:rPr>
          <w:noProof/>
        </w:rPr>
      </w:pPr>
      <w:r>
        <w:t>a)</w:t>
      </w:r>
      <w:r>
        <w:tab/>
      </w:r>
      <w:r w:rsidR="00C16484" w:rsidRPr="007B06F4">
        <w:t>název se nahrazuje tímto:</w:t>
      </w:r>
    </w:p>
    <w:p w14:paraId="3D4F8508" w14:textId="77777777" w:rsidR="00C16484" w:rsidRPr="007B06F4" w:rsidRDefault="00C16484" w:rsidP="00783A3B">
      <w:pPr>
        <w:jc w:val="center"/>
        <w:rPr>
          <w:noProof/>
        </w:rPr>
      </w:pPr>
      <w:r w:rsidRPr="007B06F4">
        <w:t>„</w:t>
      </w:r>
      <w:r w:rsidRPr="007B06F4">
        <w:rPr>
          <w:b/>
          <w:bCs/>
        </w:rPr>
        <w:t>Zjednodušený požadavek na podávání zpráv pro instituce, na něž se vztahují výjimky</w:t>
      </w:r>
      <w:r w:rsidRPr="007B06F4">
        <w:t>“;</w:t>
      </w:r>
    </w:p>
    <w:p w14:paraId="2EAF66BD" w14:textId="2371573A" w:rsidR="00C16484" w:rsidRPr="007B06F4" w:rsidRDefault="003F24B1" w:rsidP="003F24B1">
      <w:pPr>
        <w:pStyle w:val="Point1"/>
        <w:rPr>
          <w:noProof/>
        </w:rPr>
      </w:pPr>
      <w:r>
        <w:t>b)</w:t>
      </w:r>
      <w:r>
        <w:tab/>
      </w:r>
      <w:r w:rsidR="00C16484" w:rsidRPr="007B06F4">
        <w:t>odstavec 2 se zrušuje;</w:t>
      </w:r>
    </w:p>
    <w:p w14:paraId="1A052A8B" w14:textId="24670F14" w:rsidR="00C16484" w:rsidRPr="007B06F4" w:rsidRDefault="003F24B1" w:rsidP="003F24B1">
      <w:pPr>
        <w:pStyle w:val="Point0"/>
        <w:rPr>
          <w:noProof/>
        </w:rPr>
      </w:pPr>
      <w:r>
        <w:t>2)</w:t>
      </w:r>
      <w:r>
        <w:tab/>
      </w:r>
      <w:r w:rsidR="00C16484" w:rsidRPr="007B06F4">
        <w:t>v článku 3 se návětí nahrazuje tímto:</w:t>
      </w:r>
    </w:p>
    <w:p w14:paraId="533DCDB8" w14:textId="77777777" w:rsidR="00C16484" w:rsidRPr="007B06F4" w:rsidRDefault="00C16484" w:rsidP="00783A3B">
      <w:pPr>
        <w:rPr>
          <w:noProof/>
        </w:rPr>
      </w:pPr>
      <w:r w:rsidRPr="007B06F4">
        <w:t>„V případě skupin, na něž se vztahují MREL na konsolidovaném základě v souladu s článkem 45e, čl. 45f odst. 1 třetím a čtvrtým pododstavcem a čl. 45f odst. 4 písm. b) směrnice 2014/59/EU, se informace podle článků 1 a 2 předkládají takto:“;</w:t>
      </w:r>
    </w:p>
    <w:p w14:paraId="0509E0AB" w14:textId="336508F0" w:rsidR="00C16484" w:rsidRPr="007B06F4" w:rsidRDefault="003F24B1" w:rsidP="003F24B1">
      <w:pPr>
        <w:pStyle w:val="Point0"/>
        <w:rPr>
          <w:noProof/>
        </w:rPr>
      </w:pPr>
      <w:r>
        <w:t>3)</w:t>
      </w:r>
      <w:r>
        <w:tab/>
      </w:r>
      <w:r w:rsidR="00C16484" w:rsidRPr="007B06F4">
        <w:t>článek 4 se nahrazuje tímto:</w:t>
      </w:r>
    </w:p>
    <w:p w14:paraId="66FCA4E9" w14:textId="77777777" w:rsidR="00C16484" w:rsidRPr="007B06F4" w:rsidRDefault="00D47F83" w:rsidP="00783A3B">
      <w:pPr>
        <w:pStyle w:val="Titrearticle"/>
        <w:rPr>
          <w:i w:val="0"/>
          <w:iCs/>
          <w:noProof/>
        </w:rPr>
      </w:pPr>
      <w:r w:rsidRPr="007B06F4">
        <w:rPr>
          <w:i w:val="0"/>
        </w:rPr>
        <w:t>„</w:t>
      </w:r>
      <w:r w:rsidRPr="007B06F4">
        <w:t xml:space="preserve">Článek 4 </w:t>
      </w:r>
      <w:r w:rsidRPr="007B06F4">
        <w:br/>
      </w:r>
      <w:r w:rsidRPr="007B06F4">
        <w:rPr>
          <w:b/>
          <w:i w:val="0"/>
        </w:rPr>
        <w:t>Vykazovaná období a lhůty pro předávání informací</w:t>
      </w:r>
    </w:p>
    <w:p w14:paraId="054F5F9B" w14:textId="77777777" w:rsidR="00C16484" w:rsidRPr="007B06F4" w:rsidRDefault="00C16484" w:rsidP="00783A3B">
      <w:pPr>
        <w:rPr>
          <w:noProof/>
        </w:rPr>
      </w:pPr>
      <w:r w:rsidRPr="007B06F4">
        <w:t>Orgány příslušné k řešení předávají informace uvedené v článcích 1 a 2 takto:</w:t>
      </w:r>
    </w:p>
    <w:p w14:paraId="5113726F" w14:textId="4601B8EE" w:rsidR="00C16484" w:rsidRPr="007B06F4" w:rsidRDefault="003F24B1" w:rsidP="003F24B1">
      <w:pPr>
        <w:pStyle w:val="Point1"/>
        <w:rPr>
          <w:noProof/>
        </w:rPr>
      </w:pPr>
      <w:r>
        <w:t>a)</w:t>
      </w:r>
      <w:r>
        <w:tab/>
      </w:r>
      <w:r w:rsidR="00C16484" w:rsidRPr="007B06F4">
        <w:t>v případě MREL uplatnitelného ke dni 30. června do 16. září daného roku;</w:t>
      </w:r>
    </w:p>
    <w:p w14:paraId="7219DDD8" w14:textId="55C5DA96" w:rsidR="00C16484" w:rsidRPr="007B06F4" w:rsidRDefault="003F24B1" w:rsidP="003F24B1">
      <w:pPr>
        <w:pStyle w:val="Point1"/>
        <w:rPr>
          <w:noProof/>
        </w:rPr>
      </w:pPr>
      <w:r>
        <w:t>b)</w:t>
      </w:r>
      <w:r>
        <w:tab/>
      </w:r>
      <w:r w:rsidR="00C16484" w:rsidRPr="007B06F4">
        <w:t>v případě MREL uplatnitelného ke dni 31. prosince do 18. března daného roku;</w:t>
      </w:r>
    </w:p>
    <w:p w14:paraId="65609948" w14:textId="3A57A28B" w:rsidR="00C16484" w:rsidRPr="007B06F4" w:rsidRDefault="003F24B1" w:rsidP="003F24B1">
      <w:pPr>
        <w:pStyle w:val="Point0"/>
        <w:rPr>
          <w:noProof/>
        </w:rPr>
      </w:pPr>
      <w:r>
        <w:t>4)</w:t>
      </w:r>
      <w:r>
        <w:tab/>
      </w:r>
      <w:r w:rsidR="00C16484" w:rsidRPr="007B06F4">
        <w:t>příloha I se nahrazuje zněním uvedeným v příloze I tohoto nařízení;</w:t>
      </w:r>
    </w:p>
    <w:p w14:paraId="45E55C10" w14:textId="4A478C23" w:rsidR="00C16484" w:rsidRPr="007B06F4" w:rsidRDefault="003F24B1" w:rsidP="003F24B1">
      <w:pPr>
        <w:pStyle w:val="Point0"/>
        <w:rPr>
          <w:noProof/>
        </w:rPr>
      </w:pPr>
      <w:r>
        <w:t>5)</w:t>
      </w:r>
      <w:r>
        <w:tab/>
      </w:r>
      <w:r w:rsidR="00C16484" w:rsidRPr="007B06F4">
        <w:t>příloha II se nahrazuje zněním uvedeným v příloze II tohoto nařízení.“</w:t>
      </w:r>
    </w:p>
    <w:p w14:paraId="0B09A3CA" w14:textId="77777777" w:rsidR="00C16484" w:rsidRPr="007B06F4" w:rsidRDefault="00C16484">
      <w:pPr>
        <w:pStyle w:val="Titrearticle"/>
      </w:pPr>
      <w:r w:rsidRPr="007B06F4">
        <w:t>Článek 2</w:t>
      </w:r>
    </w:p>
    <w:p w14:paraId="0BDD24EC" w14:textId="77777777" w:rsidR="00C16484" w:rsidRPr="007B06F4" w:rsidRDefault="00C16484" w:rsidP="00830365">
      <w:r w:rsidRPr="007B06F4">
        <w:t xml:space="preserve">Toto nařízení vstupuje v platnost dvacátým dnem po vyhlášení v </w:t>
      </w:r>
      <w:r w:rsidRPr="007B06F4">
        <w:rPr>
          <w:i/>
          <w:iCs/>
        </w:rPr>
        <w:t>Úředním věstníku Evropské unie</w:t>
      </w:r>
      <w:r w:rsidRPr="007B06F4">
        <w:t>.</w:t>
      </w:r>
    </w:p>
    <w:p w14:paraId="3DDE2F7A" w14:textId="77777777" w:rsidR="00C16484" w:rsidRPr="007B06F4" w:rsidRDefault="00C16484">
      <w:pPr>
        <w:pStyle w:val="Applicationdirecte"/>
      </w:pPr>
      <w:r w:rsidRPr="007B06F4">
        <w:t>Toto nařízení je závazné v celém rozsahu a přímo použitelné ve všech členských státech.</w:t>
      </w:r>
    </w:p>
    <w:p w14:paraId="0FD02893" w14:textId="69B6E4F3" w:rsidR="00C16484" w:rsidRPr="007B06F4" w:rsidRDefault="007B06F4" w:rsidP="007B06F4">
      <w:pPr>
        <w:pStyle w:val="Fait"/>
      </w:pPr>
      <w:r w:rsidRPr="007B06F4">
        <w:t>V Bruselu dne</w:t>
      </w:r>
    </w:p>
    <w:p w14:paraId="3FB14D4B" w14:textId="77777777" w:rsidR="00C16484" w:rsidRPr="007B06F4" w:rsidRDefault="00C16484" w:rsidP="00C16484">
      <w:pPr>
        <w:pStyle w:val="Institutionquisigne"/>
      </w:pPr>
      <w:r w:rsidRPr="007B06F4">
        <w:tab/>
        <w:t>Za Komisi</w:t>
      </w:r>
    </w:p>
    <w:p w14:paraId="0FEF1170" w14:textId="0CD182DE" w:rsidR="00C16484" w:rsidRPr="007B06F4" w:rsidRDefault="00C16484" w:rsidP="00C16484">
      <w:pPr>
        <w:pStyle w:val="Personnequisigne"/>
      </w:pPr>
      <w:r w:rsidRPr="007B06F4">
        <w:tab/>
        <w:t xml:space="preserve">předsedkyně </w:t>
      </w:r>
      <w:r w:rsidRPr="007B06F4">
        <w:br/>
      </w:r>
      <w:r w:rsidRPr="007B06F4">
        <w:tab/>
        <w:t xml:space="preserve">Ursula von der Leyen </w:t>
      </w:r>
      <w:r w:rsidRPr="007B06F4">
        <w:br/>
      </w:r>
      <w:r w:rsidRPr="007B06F4">
        <w:tab/>
      </w:r>
    </w:p>
    <w:sectPr w:rsidR="00C16484" w:rsidRPr="007B06F4" w:rsidSect="003F24B1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D8F0" w14:textId="77777777" w:rsidR="00F07F26" w:rsidRDefault="00F07F26" w:rsidP="00C16484">
      <w:pPr>
        <w:spacing w:before="0" w:after="0"/>
      </w:pPr>
      <w:r>
        <w:separator/>
      </w:r>
    </w:p>
  </w:endnote>
  <w:endnote w:type="continuationSeparator" w:id="0">
    <w:p w14:paraId="61DF8EAB" w14:textId="77777777" w:rsidR="00F07F26" w:rsidRDefault="00F07F26" w:rsidP="00C16484">
      <w:pPr>
        <w:spacing w:before="0" w:after="0"/>
      </w:pPr>
      <w:r>
        <w:continuationSeparator/>
      </w:r>
    </w:p>
  </w:endnote>
  <w:endnote w:type="continuationNotice" w:id="1">
    <w:p w14:paraId="04F6DC9C" w14:textId="77777777" w:rsidR="00F07F26" w:rsidRDefault="00F07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D699" w14:textId="36230DDE" w:rsidR="007B06F4" w:rsidRPr="003F24B1" w:rsidRDefault="003F24B1" w:rsidP="003F24B1">
    <w:pPr>
      <w:pStyle w:val="Footer"/>
      <w:rPr>
        <w:rFonts w:ascii="Arial" w:hAnsi="Arial" w:cs="Arial"/>
        <w:b/>
        <w:sz w:val="48"/>
      </w:rPr>
    </w:pPr>
    <w:r w:rsidRPr="003F24B1">
      <w:rPr>
        <w:rFonts w:ascii="Arial" w:hAnsi="Arial" w:cs="Arial"/>
        <w:b/>
        <w:sz w:val="48"/>
      </w:rPr>
      <w:t>CS</w:t>
    </w:r>
    <w:r w:rsidRPr="003F24B1">
      <w:rPr>
        <w:rFonts w:ascii="Arial" w:hAnsi="Arial" w:cs="Arial"/>
        <w:b/>
        <w:sz w:val="48"/>
      </w:rPr>
      <w:tab/>
    </w:r>
    <w:r w:rsidRPr="003F24B1">
      <w:rPr>
        <w:rFonts w:ascii="Arial" w:hAnsi="Arial" w:cs="Arial"/>
        <w:b/>
        <w:sz w:val="48"/>
      </w:rPr>
      <w:tab/>
    </w:r>
    <w:r w:rsidRPr="003F24B1">
      <w:tab/>
    </w:r>
    <w:r w:rsidRPr="003F24B1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7F7C" w14:textId="00205D51" w:rsidR="007B06F4" w:rsidRPr="003F24B1" w:rsidRDefault="003F24B1" w:rsidP="003F24B1">
    <w:pPr>
      <w:pStyle w:val="Footer"/>
      <w:rPr>
        <w:rFonts w:ascii="Arial" w:hAnsi="Arial" w:cs="Arial"/>
        <w:b/>
        <w:sz w:val="48"/>
      </w:rPr>
    </w:pPr>
    <w:r w:rsidRPr="003F24B1">
      <w:rPr>
        <w:rFonts w:ascii="Arial" w:hAnsi="Arial" w:cs="Arial"/>
        <w:b/>
        <w:sz w:val="48"/>
      </w:rPr>
      <w:t>CS</w:t>
    </w:r>
    <w:r w:rsidRPr="003F24B1">
      <w:rPr>
        <w:rFonts w:ascii="Arial" w:hAnsi="Arial" w:cs="Arial"/>
        <w:b/>
        <w:sz w:val="48"/>
      </w:rPr>
      <w:tab/>
    </w:r>
    <w:r w:rsidRPr="003F24B1">
      <w:rPr>
        <w:rFonts w:ascii="Arial" w:hAnsi="Arial" w:cs="Arial"/>
        <w:b/>
        <w:sz w:val="48"/>
      </w:rPr>
      <w:tab/>
    </w:r>
    <w:r w:rsidRPr="003F24B1">
      <w:tab/>
    </w:r>
    <w:r w:rsidRPr="003F24B1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2730" w14:textId="77777777" w:rsidR="003F24B1" w:rsidRPr="003F24B1" w:rsidRDefault="003F24B1" w:rsidP="003F24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728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F110" w14:textId="31A4E0F6" w:rsidR="003F24B1" w:rsidRPr="003F24B1" w:rsidRDefault="003F24B1" w:rsidP="003F24B1">
    <w:pPr>
      <w:pStyle w:val="Footer"/>
      <w:rPr>
        <w:rFonts w:ascii="Arial" w:hAnsi="Arial" w:cs="Arial"/>
        <w:b/>
        <w:sz w:val="48"/>
      </w:rPr>
    </w:pPr>
    <w:r w:rsidRPr="003F24B1">
      <w:rPr>
        <w:rFonts w:ascii="Arial" w:hAnsi="Arial" w:cs="Arial"/>
        <w:b/>
        <w:sz w:val="48"/>
      </w:rPr>
      <w:t>CS</w:t>
    </w:r>
    <w:r w:rsidRPr="003F24B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3F24B1">
      <w:tab/>
    </w:r>
    <w:r w:rsidRPr="003F24B1">
      <w:rPr>
        <w:rFonts w:ascii="Arial" w:hAnsi="Arial" w:cs="Arial"/>
        <w:b/>
        <w:sz w:val="48"/>
      </w:rPr>
      <w:t>CS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C19" w14:textId="77777777" w:rsidR="000C320E" w:rsidRDefault="000C320E" w:rsidP="003F2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942" w14:textId="77777777" w:rsidR="00F07F26" w:rsidRDefault="00F07F26" w:rsidP="00C16484">
      <w:pPr>
        <w:spacing w:before="0" w:after="0"/>
      </w:pPr>
      <w:r>
        <w:separator/>
      </w:r>
    </w:p>
  </w:footnote>
  <w:footnote w:type="continuationSeparator" w:id="0">
    <w:p w14:paraId="298144EA" w14:textId="77777777" w:rsidR="00F07F26" w:rsidRDefault="00F07F26" w:rsidP="00C16484">
      <w:pPr>
        <w:spacing w:before="0" w:after="0"/>
      </w:pPr>
      <w:r>
        <w:continuationSeparator/>
      </w:r>
    </w:p>
  </w:footnote>
  <w:footnote w:type="continuationNotice" w:id="1">
    <w:p w14:paraId="57F8940A" w14:textId="77777777" w:rsidR="00F07F26" w:rsidRDefault="00F07F26">
      <w:pPr>
        <w:spacing w:before="0" w:after="0"/>
      </w:pPr>
    </w:p>
  </w:footnote>
  <w:footnote w:id="2">
    <w:p w14:paraId="33763137" w14:textId="77777777" w:rsidR="00C16484" w:rsidRPr="002A43D8" w:rsidRDefault="00C16484" w:rsidP="00C16484">
      <w:pPr>
        <w:pStyle w:val="FootnoteText"/>
      </w:pPr>
      <w:r>
        <w:rPr>
          <w:rStyle w:val="FootnoteReference"/>
        </w:rPr>
        <w:footnoteRef/>
      </w:r>
      <w:r>
        <w:tab/>
        <w:t>Úř. věst. L 173, 12.6.2014, s. 190, ELI: </w:t>
      </w:r>
      <w:hyperlink r:id="rId1" w:tooltip="Umožňuje přístup k tomuto dokumentu prostřednictvím jeho identifikátoru URI v systému ELI." w:history="1">
        <w:r>
          <w:rPr>
            <w:rStyle w:val="Hyperlink"/>
            <w:rFonts w:ascii="Times New Roman" w:hAnsi="Times New Roman"/>
          </w:rPr>
          <w:t>http://data.europa.eu/eli/dir/2014/59/oj</w:t>
        </w:r>
      </w:hyperlink>
      <w:r>
        <w:t xml:space="preserve">. </w:t>
      </w:r>
    </w:p>
  </w:footnote>
  <w:footnote w:id="3">
    <w:p w14:paraId="584AEAAA" w14:textId="78F88551" w:rsidR="003428AE" w:rsidRPr="009B0295" w:rsidRDefault="003428AE">
      <w:pPr>
        <w:pStyle w:val="FootnoteText"/>
      </w:pPr>
      <w:r>
        <w:rPr>
          <w:rStyle w:val="FootnoteReference"/>
        </w:rPr>
        <w:footnoteRef/>
      </w:r>
      <w:r>
        <w:tab/>
        <w:t xml:space="preserve">Směrnice Evropského parlamentu a Rady (EU) 2024/1174 ze dne 11. dubna 2024, kterou se mění směrnice 2014/59/EU a nařízení (EU) č. 806/2014, pokud jde o některé aspekty minimálního požadavku na kapitál a způsobilé závazky (Úř. věst. L, 2024/1174, 22.4.2024, ELI: </w:t>
      </w:r>
      <w:hyperlink r:id="rId2" w:history="1">
        <w:r>
          <w:rPr>
            <w:rStyle w:val="Hyperlink"/>
            <w:rFonts w:ascii="Times New Roman" w:hAnsi="Times New Roman"/>
          </w:rPr>
          <w:t>http://data.europa.eu/eli/dir/2024/1174/oj</w:t>
        </w:r>
      </w:hyperlink>
      <w:r>
        <w:t xml:space="preserve">. </w:t>
      </w:r>
    </w:p>
  </w:footnote>
  <w:footnote w:id="4">
    <w:p w14:paraId="4D1953DF" w14:textId="607C22C8" w:rsidR="001F4496" w:rsidRPr="009B0295" w:rsidRDefault="001F4496">
      <w:pPr>
        <w:pStyle w:val="FootnoteText"/>
      </w:pPr>
      <w:r>
        <w:rPr>
          <w:rStyle w:val="FootnoteReference"/>
        </w:rPr>
        <w:footnoteRef/>
      </w:r>
      <w:r>
        <w:tab/>
        <w:t xml:space="preserve">Prováděcí nařízení Komise (EU) 2021/622 ze dne 15. dubna 2021, kterým se stanoví prováděcí technické normy pro uplatňování směrnice Evropského parlamentu a Rady 2014/59/EU, pokud jde o jednotné šablony, pokyny a metodiku pro podávání zpráv o minimálním požadavku na kapitál a způsobilé závazky, by mělo být začleněno do Dohody o EHP (Úř. věst. L 131, 16.4.2021, s. 123, ELI: </w:t>
      </w:r>
      <w:hyperlink r:id="rId3" w:history="1">
        <w:r>
          <w:rPr>
            <w:rStyle w:val="Hyperlink"/>
            <w:rFonts w:ascii="Times New Roman" w:hAnsi="Times New Roman"/>
          </w:rPr>
          <w:t>http://data.europa.eu/eli/reg_impl/2021/622/oj</w:t>
        </w:r>
      </w:hyperlink>
      <w:r>
        <w:t>).</w:t>
      </w:r>
    </w:p>
  </w:footnote>
  <w:footnote w:id="5">
    <w:p w14:paraId="5FB3833A" w14:textId="77777777" w:rsidR="000B5B60" w:rsidRPr="000B5B60" w:rsidRDefault="000B5B60">
      <w:pPr>
        <w:pStyle w:val="FootnoteText"/>
      </w:pPr>
      <w:r>
        <w:rPr>
          <w:rStyle w:val="FootnoteReference"/>
        </w:rPr>
        <w:footnoteRef/>
      </w:r>
      <w:r>
        <w:tab/>
        <w:t xml:space="preserve">Prováděcí nařízení Komise (EU) 2021/763 ze dne 23. dubna 2021, kterým se stanoví prováděcí technické normy pro uplatňování nařízení Evropského parlamentu a Rady (EU) č. 575/2013 a směrnice Evropského parlamentu a Rady 2014/59/EU s ohledem na podávání zpráv pro účely dohledu a zveřejňování minimálních požadavků na kapitál a způsobilé závazky (Úř. věst. L 168, 12.5.2021, ELI: </w:t>
      </w:r>
      <w:hyperlink r:id="rId4" w:history="1">
        <w:r>
          <w:rPr>
            <w:rStyle w:val="Hyperlink"/>
            <w:rFonts w:ascii="Times New Roman" w:hAnsi="Times New Roman"/>
          </w:rPr>
          <w:t>http://data.europa.eu/eli/reg_impl/2021/763/oj</w:t>
        </w:r>
      </w:hyperlink>
      <w:r>
        <w:t>).</w:t>
      </w:r>
    </w:p>
  </w:footnote>
  <w:footnote w:id="6">
    <w:p w14:paraId="04BE3385" w14:textId="77777777" w:rsidR="00401F3A" w:rsidRPr="00FE7BD1" w:rsidRDefault="00401F3A" w:rsidP="00F35BD7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č. 1093/2010 ze dne 24. listopadu 2010 o zřízení Evropského orgánu dohledu (Evropského orgánu pro bankovnictví), o změně rozhodnutí č. 716/2009/ES a o zrušení rozhodnutí Komise 2009/78/ES (Úř. věst. L 331, 15.12.2010, s. 12, ELI: </w:t>
      </w:r>
      <w:hyperlink r:id="rId5" w:tooltip="Umožňuje přístup k tomuto dokumentu prostřednictvím jeho identifikátoru URI v systému ELI." w:history="1">
        <w:r>
          <w:rPr>
            <w:rStyle w:val="Hyperlink"/>
            <w:rFonts w:ascii="Times New Roman" w:hAnsi="Times New Roman"/>
          </w:rPr>
          <w:t>http://data.europa.eu/eli/reg/2010/1093/oj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C3" w14:textId="77777777" w:rsidR="003F24B1" w:rsidRPr="003F24B1" w:rsidRDefault="003F24B1" w:rsidP="003F2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8717" w14:textId="77777777" w:rsidR="003F24B1" w:rsidRPr="003F24B1" w:rsidRDefault="003F24B1" w:rsidP="003F2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B902" w14:textId="77777777" w:rsidR="003F24B1" w:rsidRPr="003F24B1" w:rsidRDefault="003F24B1" w:rsidP="003F24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1D2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0A3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86109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93441">
    <w:abstractNumId w:val="15"/>
  </w:num>
  <w:num w:numId="8" w16cid:durableId="1693998065">
    <w:abstractNumId w:val="8"/>
  </w:num>
  <w:num w:numId="9" w16cid:durableId="788817884">
    <w:abstractNumId w:val="17"/>
  </w:num>
  <w:num w:numId="10" w16cid:durableId="1535464848">
    <w:abstractNumId w:val="7"/>
  </w:num>
  <w:num w:numId="11" w16cid:durableId="639657071">
    <w:abstractNumId w:val="9"/>
  </w:num>
  <w:num w:numId="12" w16cid:durableId="361050661">
    <w:abstractNumId w:val="10"/>
  </w:num>
  <w:num w:numId="13" w16cid:durableId="472790552">
    <w:abstractNumId w:val="5"/>
  </w:num>
  <w:num w:numId="14" w16cid:durableId="384646725">
    <w:abstractNumId w:val="16"/>
  </w:num>
  <w:num w:numId="15" w16cid:durableId="2031682509">
    <w:abstractNumId w:val="4"/>
  </w:num>
  <w:num w:numId="16" w16cid:durableId="150604668">
    <w:abstractNumId w:val="11"/>
  </w:num>
  <w:num w:numId="17" w16cid:durableId="472332852">
    <w:abstractNumId w:val="13"/>
  </w:num>
  <w:num w:numId="18" w16cid:durableId="1298296966">
    <w:abstractNumId w:val="14"/>
  </w:num>
  <w:num w:numId="19" w16cid:durableId="1306230484">
    <w:abstractNumId w:val="6"/>
  </w:num>
  <w:num w:numId="20" w16cid:durableId="24066917">
    <w:abstractNumId w:val="12"/>
  </w:num>
  <w:num w:numId="21" w16cid:durableId="485436588">
    <w:abstractNumId w:val="18"/>
  </w:num>
  <w:num w:numId="22" w16cid:durableId="2089693441">
    <w:abstractNumId w:val="15"/>
  </w:num>
  <w:num w:numId="23" w16cid:durableId="1693998065">
    <w:abstractNumId w:val="8"/>
  </w:num>
  <w:num w:numId="24" w16cid:durableId="788817884">
    <w:abstractNumId w:val="17"/>
  </w:num>
  <w:num w:numId="25" w16cid:durableId="1535464848">
    <w:abstractNumId w:val="7"/>
  </w:num>
  <w:num w:numId="26" w16cid:durableId="639657071">
    <w:abstractNumId w:val="9"/>
  </w:num>
  <w:num w:numId="27" w16cid:durableId="361050661">
    <w:abstractNumId w:val="10"/>
  </w:num>
  <w:num w:numId="28" w16cid:durableId="472790552">
    <w:abstractNumId w:val="5"/>
  </w:num>
  <w:num w:numId="29" w16cid:durableId="384646725">
    <w:abstractNumId w:val="16"/>
  </w:num>
  <w:num w:numId="30" w16cid:durableId="2031682509">
    <w:abstractNumId w:val="4"/>
  </w:num>
  <w:num w:numId="31" w16cid:durableId="150604668">
    <w:abstractNumId w:val="11"/>
  </w:num>
  <w:num w:numId="32" w16cid:durableId="472332852">
    <w:abstractNumId w:val="13"/>
  </w:num>
  <w:num w:numId="33" w16cid:durableId="1298296966">
    <w:abstractNumId w:val="14"/>
  </w:num>
  <w:num w:numId="34" w16cid:durableId="1306230484">
    <w:abstractNumId w:val="6"/>
  </w:num>
  <w:num w:numId="35" w16cid:durableId="24066917">
    <w:abstractNumId w:val="12"/>
  </w:num>
  <w:num w:numId="36" w16cid:durableId="48543658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2-02 16:01:54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7C8AEA7C-2B44-4334-8A4D-7A8471BF8401"/>
    <w:docVar w:name="LW_COVERPAGE_TYPE" w:val="1"/>
    <w:docVar w:name="LW_CreatedUtc" w:val="2025-09-04T16:00:38.0896335Z"/>
    <w:docVar w:name="LW_CROSSREFERENCE" w:val="&lt;UNUSED&gt;"/>
    <w:docVar w:name="LW_DATE.ADOPT.CP" w:val="ze dne XXX,"/>
    <w:docVar w:name="LW_DATE.ADOPT.CP_DATEFORMAT" w:val="ze dne %DATE%,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V Bruselu dne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s významem pro EHP)"/>
    <w:docVar w:name="LW_LANGUE" w:val="CS"/>
    <w:docVar w:name="LW_LANGUESFAISANTFOI.CP" w:val="&lt;UNUSED&gt;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terým se m\u283?ní provád\u283?cí technické normy stanovené v provád\u283?cím na\u345?ízení (EU) 2021/622, pokud jde o \u269?etnost podávání zpráv a informace, které mají být p\u345?edávány"/>
    <w:docVar w:name="LW_TYPE.DOC.CP" w:val="PROVÁD\u282?CÍ NA\u344?ÍZENÍ KOMISE (EU) \u8230?/..."/>
  </w:docVars>
  <w:rsids>
    <w:rsidRoot w:val="00C16484"/>
    <w:rsid w:val="00000BE0"/>
    <w:rsid w:val="00016399"/>
    <w:rsid w:val="000417C4"/>
    <w:rsid w:val="00045B9F"/>
    <w:rsid w:val="000625FB"/>
    <w:rsid w:val="00075947"/>
    <w:rsid w:val="000A663E"/>
    <w:rsid w:val="000B5B60"/>
    <w:rsid w:val="000B7A7D"/>
    <w:rsid w:val="000C320E"/>
    <w:rsid w:val="000D3BC2"/>
    <w:rsid w:val="000E5499"/>
    <w:rsid w:val="00115188"/>
    <w:rsid w:val="001151E7"/>
    <w:rsid w:val="00125199"/>
    <w:rsid w:val="0013305B"/>
    <w:rsid w:val="00143ED4"/>
    <w:rsid w:val="00152894"/>
    <w:rsid w:val="0017762B"/>
    <w:rsid w:val="0018141D"/>
    <w:rsid w:val="001A25E7"/>
    <w:rsid w:val="001A6BDC"/>
    <w:rsid w:val="001E3098"/>
    <w:rsid w:val="001E39BF"/>
    <w:rsid w:val="001F2AC0"/>
    <w:rsid w:val="001F4496"/>
    <w:rsid w:val="00214607"/>
    <w:rsid w:val="002259CF"/>
    <w:rsid w:val="002266B1"/>
    <w:rsid w:val="00235A60"/>
    <w:rsid w:val="00244085"/>
    <w:rsid w:val="00244C17"/>
    <w:rsid w:val="00244DFD"/>
    <w:rsid w:val="00246E59"/>
    <w:rsid w:val="00264589"/>
    <w:rsid w:val="00264A0A"/>
    <w:rsid w:val="0029415E"/>
    <w:rsid w:val="002A43D8"/>
    <w:rsid w:val="002A753D"/>
    <w:rsid w:val="002B37B6"/>
    <w:rsid w:val="002D6B17"/>
    <w:rsid w:val="002F1710"/>
    <w:rsid w:val="0030490D"/>
    <w:rsid w:val="00313AC1"/>
    <w:rsid w:val="00325B37"/>
    <w:rsid w:val="00331377"/>
    <w:rsid w:val="003428AE"/>
    <w:rsid w:val="00353536"/>
    <w:rsid w:val="00364262"/>
    <w:rsid w:val="00373FC4"/>
    <w:rsid w:val="0038290C"/>
    <w:rsid w:val="003838B9"/>
    <w:rsid w:val="00396ACD"/>
    <w:rsid w:val="003B10ED"/>
    <w:rsid w:val="003D7BDE"/>
    <w:rsid w:val="003E05B8"/>
    <w:rsid w:val="003E3FC7"/>
    <w:rsid w:val="003E7D8F"/>
    <w:rsid w:val="003F24B1"/>
    <w:rsid w:val="003F2A70"/>
    <w:rsid w:val="00401F3A"/>
    <w:rsid w:val="00406CBA"/>
    <w:rsid w:val="004138D9"/>
    <w:rsid w:val="004211F5"/>
    <w:rsid w:val="0042702A"/>
    <w:rsid w:val="00437AA5"/>
    <w:rsid w:val="004518ED"/>
    <w:rsid w:val="00485F6A"/>
    <w:rsid w:val="004918DE"/>
    <w:rsid w:val="00492396"/>
    <w:rsid w:val="004B4C38"/>
    <w:rsid w:val="004C3B1B"/>
    <w:rsid w:val="004D7D54"/>
    <w:rsid w:val="004E19F9"/>
    <w:rsid w:val="004E763F"/>
    <w:rsid w:val="004F04FA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57EAF"/>
    <w:rsid w:val="00582810"/>
    <w:rsid w:val="0058683E"/>
    <w:rsid w:val="005929F6"/>
    <w:rsid w:val="00593EEC"/>
    <w:rsid w:val="00595540"/>
    <w:rsid w:val="005A5382"/>
    <w:rsid w:val="005A55F3"/>
    <w:rsid w:val="005B5FA6"/>
    <w:rsid w:val="005C1F43"/>
    <w:rsid w:val="005D1478"/>
    <w:rsid w:val="005D2C73"/>
    <w:rsid w:val="005D6AA6"/>
    <w:rsid w:val="005E2634"/>
    <w:rsid w:val="005F2B9A"/>
    <w:rsid w:val="00603E01"/>
    <w:rsid w:val="0061453F"/>
    <w:rsid w:val="00642760"/>
    <w:rsid w:val="00643DEF"/>
    <w:rsid w:val="006654AB"/>
    <w:rsid w:val="00667F1D"/>
    <w:rsid w:val="006700C7"/>
    <w:rsid w:val="00685D33"/>
    <w:rsid w:val="006D3FD5"/>
    <w:rsid w:val="006D6949"/>
    <w:rsid w:val="006F20E7"/>
    <w:rsid w:val="006F7EFE"/>
    <w:rsid w:val="007142D9"/>
    <w:rsid w:val="00752552"/>
    <w:rsid w:val="007638EF"/>
    <w:rsid w:val="00763F6E"/>
    <w:rsid w:val="00781585"/>
    <w:rsid w:val="00783A3B"/>
    <w:rsid w:val="007878CB"/>
    <w:rsid w:val="00787E7C"/>
    <w:rsid w:val="0079599D"/>
    <w:rsid w:val="007A7287"/>
    <w:rsid w:val="007B06F4"/>
    <w:rsid w:val="007D0861"/>
    <w:rsid w:val="007D3D95"/>
    <w:rsid w:val="007E010B"/>
    <w:rsid w:val="007F5C7C"/>
    <w:rsid w:val="00801EB4"/>
    <w:rsid w:val="00802FC2"/>
    <w:rsid w:val="00817121"/>
    <w:rsid w:val="00830365"/>
    <w:rsid w:val="00833B73"/>
    <w:rsid w:val="00843817"/>
    <w:rsid w:val="008460B7"/>
    <w:rsid w:val="00847915"/>
    <w:rsid w:val="008601F7"/>
    <w:rsid w:val="00861270"/>
    <w:rsid w:val="00874305"/>
    <w:rsid w:val="00880A77"/>
    <w:rsid w:val="00897749"/>
    <w:rsid w:val="008A3F6C"/>
    <w:rsid w:val="008B07C8"/>
    <w:rsid w:val="008B3C68"/>
    <w:rsid w:val="008B6AF9"/>
    <w:rsid w:val="008D218F"/>
    <w:rsid w:val="008D3EC5"/>
    <w:rsid w:val="008D4062"/>
    <w:rsid w:val="008E2694"/>
    <w:rsid w:val="008E2E76"/>
    <w:rsid w:val="008F234A"/>
    <w:rsid w:val="00902ADE"/>
    <w:rsid w:val="00910118"/>
    <w:rsid w:val="00917A1D"/>
    <w:rsid w:val="00940731"/>
    <w:rsid w:val="009430FB"/>
    <w:rsid w:val="00943538"/>
    <w:rsid w:val="009526D5"/>
    <w:rsid w:val="0095347B"/>
    <w:rsid w:val="00962953"/>
    <w:rsid w:val="00964D55"/>
    <w:rsid w:val="00980CC9"/>
    <w:rsid w:val="009957C5"/>
    <w:rsid w:val="009A4095"/>
    <w:rsid w:val="009B0295"/>
    <w:rsid w:val="009C1E02"/>
    <w:rsid w:val="009D2368"/>
    <w:rsid w:val="009D5F8B"/>
    <w:rsid w:val="009F3A7A"/>
    <w:rsid w:val="00A03DA8"/>
    <w:rsid w:val="00A05FAB"/>
    <w:rsid w:val="00A24E3D"/>
    <w:rsid w:val="00A37D2E"/>
    <w:rsid w:val="00A4162C"/>
    <w:rsid w:val="00A41677"/>
    <w:rsid w:val="00A54A8C"/>
    <w:rsid w:val="00A564DC"/>
    <w:rsid w:val="00A565C7"/>
    <w:rsid w:val="00A719DF"/>
    <w:rsid w:val="00A7647B"/>
    <w:rsid w:val="00AA038B"/>
    <w:rsid w:val="00AA7F78"/>
    <w:rsid w:val="00AB034D"/>
    <w:rsid w:val="00AC6B16"/>
    <w:rsid w:val="00AD5257"/>
    <w:rsid w:val="00AE4482"/>
    <w:rsid w:val="00B01072"/>
    <w:rsid w:val="00B136EC"/>
    <w:rsid w:val="00B14B01"/>
    <w:rsid w:val="00B43EBD"/>
    <w:rsid w:val="00B65FB3"/>
    <w:rsid w:val="00B66E09"/>
    <w:rsid w:val="00B95D78"/>
    <w:rsid w:val="00B97308"/>
    <w:rsid w:val="00BB3BEC"/>
    <w:rsid w:val="00BB7A84"/>
    <w:rsid w:val="00BD02BB"/>
    <w:rsid w:val="00BD3885"/>
    <w:rsid w:val="00BD66E4"/>
    <w:rsid w:val="00C059B6"/>
    <w:rsid w:val="00C10CA6"/>
    <w:rsid w:val="00C11798"/>
    <w:rsid w:val="00C16484"/>
    <w:rsid w:val="00C21AB2"/>
    <w:rsid w:val="00C27976"/>
    <w:rsid w:val="00C3731F"/>
    <w:rsid w:val="00C62388"/>
    <w:rsid w:val="00C63550"/>
    <w:rsid w:val="00C637B0"/>
    <w:rsid w:val="00C64CCC"/>
    <w:rsid w:val="00C87FB3"/>
    <w:rsid w:val="00C9384A"/>
    <w:rsid w:val="00C9629C"/>
    <w:rsid w:val="00C96395"/>
    <w:rsid w:val="00C96A56"/>
    <w:rsid w:val="00CA156D"/>
    <w:rsid w:val="00CA57DA"/>
    <w:rsid w:val="00CA7FE1"/>
    <w:rsid w:val="00CC58EB"/>
    <w:rsid w:val="00CE1382"/>
    <w:rsid w:val="00D02FAD"/>
    <w:rsid w:val="00D0530E"/>
    <w:rsid w:val="00D05DED"/>
    <w:rsid w:val="00D206AC"/>
    <w:rsid w:val="00D47F83"/>
    <w:rsid w:val="00D5454C"/>
    <w:rsid w:val="00D55CE9"/>
    <w:rsid w:val="00D564F7"/>
    <w:rsid w:val="00D72038"/>
    <w:rsid w:val="00D763BC"/>
    <w:rsid w:val="00D872A1"/>
    <w:rsid w:val="00D93F2F"/>
    <w:rsid w:val="00D966E8"/>
    <w:rsid w:val="00DB4B20"/>
    <w:rsid w:val="00DC3AD5"/>
    <w:rsid w:val="00DC5E29"/>
    <w:rsid w:val="00DD4285"/>
    <w:rsid w:val="00DF1FB9"/>
    <w:rsid w:val="00DF36A6"/>
    <w:rsid w:val="00E07235"/>
    <w:rsid w:val="00E23B80"/>
    <w:rsid w:val="00E25A5F"/>
    <w:rsid w:val="00E32BAC"/>
    <w:rsid w:val="00E33C9F"/>
    <w:rsid w:val="00E36D1F"/>
    <w:rsid w:val="00E42E7E"/>
    <w:rsid w:val="00E43152"/>
    <w:rsid w:val="00E50E5B"/>
    <w:rsid w:val="00E57D0C"/>
    <w:rsid w:val="00E667BA"/>
    <w:rsid w:val="00E7044F"/>
    <w:rsid w:val="00E82B0B"/>
    <w:rsid w:val="00E873DD"/>
    <w:rsid w:val="00E932C3"/>
    <w:rsid w:val="00E96478"/>
    <w:rsid w:val="00E979AB"/>
    <w:rsid w:val="00EB3279"/>
    <w:rsid w:val="00EC332E"/>
    <w:rsid w:val="00EC39BC"/>
    <w:rsid w:val="00EE0749"/>
    <w:rsid w:val="00EE140B"/>
    <w:rsid w:val="00EE441C"/>
    <w:rsid w:val="00EE54B9"/>
    <w:rsid w:val="00F07F26"/>
    <w:rsid w:val="00F35BD7"/>
    <w:rsid w:val="00F36982"/>
    <w:rsid w:val="00F41DDB"/>
    <w:rsid w:val="00F629AC"/>
    <w:rsid w:val="00F9249D"/>
    <w:rsid w:val="00F95ED9"/>
    <w:rsid w:val="00FA0BAF"/>
    <w:rsid w:val="00FA382E"/>
    <w:rsid w:val="00FA715C"/>
    <w:rsid w:val="00FB22DB"/>
    <w:rsid w:val="00FC2396"/>
    <w:rsid w:val="00FC5252"/>
    <w:rsid w:val="00FD060F"/>
    <w:rsid w:val="00FD1723"/>
    <w:rsid w:val="00FD5032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EC4F20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5" Type="http://schemas.openxmlformats.org/officeDocument/2006/relationships/hyperlink" Target="http://data.europa.eu/eli/reg/2010/1093/oj" TargetMode="External"/><Relationship Id="rId4" Type="http://schemas.openxmlformats.org/officeDocument/2006/relationships/hyperlink" Target="http://data.europa.eu/eli/reg_impl/2021/76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customXml/itemProps3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49</TotalTime>
  <Pages>2</Pages>
  <Words>828</Words>
  <Characters>4595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MAZANCOVA Dagmar (DGT)</cp:lastModifiedBy>
  <cp:revision>29</cp:revision>
  <dcterms:created xsi:type="dcterms:W3CDTF">2025-12-05T16:19:00Z</dcterms:created>
  <dcterms:modified xsi:type="dcterms:W3CDTF">2026-02-02T15:01:00Z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