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1BF8" w14:textId="1DE32E48" w:rsidR="004E763F" w:rsidRDefault="000417C4" w:rsidP="00AE4482">
      <w:pPr>
        <w:pStyle w:val="Pagedecouverture"/>
      </w:pPr>
      <w:r>
        <w:pict w14:anchorId="471B5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2E6AE29-7669-4664-8E27-75C29CCDB0F9" style="width:455.35pt;height:332pt">
            <v:imagedata r:id="rId11" o:title=""/>
          </v:shape>
        </w:pict>
      </w:r>
    </w:p>
    <w:p w14:paraId="1986B6EA" w14:textId="77777777" w:rsidR="00CE1382" w:rsidRDefault="00CE1382" w:rsidP="003838B9">
      <w:pPr>
        <w:sectPr w:rsidR="00CE1382" w:rsidSect="00C64CCC">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ADCEA6B" w14:textId="037CFDCB" w:rsidR="00C16484" w:rsidRPr="002A43D8" w:rsidRDefault="00AE4482" w:rsidP="00AE4482">
      <w:pPr>
        <w:pStyle w:val="Typedudocument"/>
      </w:pPr>
      <w:r w:rsidRPr="00AE4482">
        <w:lastRenderedPageBreak/>
        <w:t>COMMISSION IMPLEMENTING REGULATION (EU) …/...</w:t>
      </w:r>
    </w:p>
    <w:p w14:paraId="6819E66E" w14:textId="0DC9B621" w:rsidR="00C16484" w:rsidRPr="002A43D8" w:rsidRDefault="00AE4482" w:rsidP="00AE4482">
      <w:pPr>
        <w:pStyle w:val="Datedadoption"/>
      </w:pPr>
      <w:r w:rsidRPr="00AE4482">
        <w:t xml:space="preserve">of </w:t>
      </w:r>
      <w:r w:rsidRPr="00AE4482">
        <w:rPr>
          <w:rStyle w:val="Marker2"/>
        </w:rPr>
        <w:t>XXX</w:t>
      </w:r>
    </w:p>
    <w:p w14:paraId="44AA08D1" w14:textId="16566E54" w:rsidR="00C16484" w:rsidRPr="002A43D8" w:rsidRDefault="00AE4482" w:rsidP="00AE4482">
      <w:pPr>
        <w:pStyle w:val="Titreobjet"/>
      </w:pPr>
      <w:r w:rsidRPr="00AE4482">
        <w:t>amending the implementing technical standards laid down in Implementing Regulation (EU) 2021/622 as regards the frequency of reporting and the information to be reported</w:t>
      </w:r>
    </w:p>
    <w:p w14:paraId="4A210142" w14:textId="22EB3B2D" w:rsidR="00C16484" w:rsidRPr="002A43D8" w:rsidRDefault="00AE4482" w:rsidP="00AE4482">
      <w:pPr>
        <w:pStyle w:val="IntrtEEE"/>
      </w:pPr>
      <w:r w:rsidRPr="00AE4482">
        <w:t>(Text with EEA relevance)</w:t>
      </w:r>
    </w:p>
    <w:p w14:paraId="6F3A17D1" w14:textId="77777777" w:rsidR="00C16484" w:rsidRPr="002A43D8" w:rsidRDefault="00C16484">
      <w:pPr>
        <w:pStyle w:val="Institutionquiagit"/>
      </w:pPr>
      <w:r w:rsidRPr="002A43D8">
        <w:t>THE EUROPEAN COMMISSION,</w:t>
      </w:r>
    </w:p>
    <w:p w14:paraId="22B09AC6" w14:textId="77777777" w:rsidR="00C16484" w:rsidRPr="002A43D8" w:rsidRDefault="00C16484">
      <w:r w:rsidRPr="002A43D8">
        <w:rPr>
          <w:color w:val="000000"/>
        </w:rPr>
        <w:t>Having regard to the Treaty on the Functioning of the European Union</w:t>
      </w:r>
      <w:r w:rsidRPr="002A43D8">
        <w:t>,</w:t>
      </w:r>
    </w:p>
    <w:p w14:paraId="6C2E5C7E" w14:textId="77777777" w:rsidR="00C16484" w:rsidRPr="002A43D8" w:rsidRDefault="00C16484">
      <w:r w:rsidRPr="002A43D8">
        <w:t xml:space="preserve">Having regard to </w:t>
      </w:r>
      <w:r w:rsidRPr="002A43D8">
        <w:rPr>
          <w:szCs w:val="28"/>
        </w:rPr>
        <w:t>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Council</w:t>
      </w:r>
      <w:r w:rsidRPr="002A43D8">
        <w:rPr>
          <w:rStyle w:val="FootnoteReference"/>
        </w:rPr>
        <w:footnoteReference w:id="2"/>
      </w:r>
      <w:r w:rsidRPr="002A43D8">
        <w:t xml:space="preserve">, and in particular Article </w:t>
      </w:r>
      <w:r w:rsidRPr="002A43D8">
        <w:rPr>
          <w:szCs w:val="28"/>
        </w:rPr>
        <w:t xml:space="preserve">45j(2), third subparagraph, </w:t>
      </w:r>
      <w:r w:rsidRPr="002A43D8">
        <w:t>thereof,</w:t>
      </w:r>
    </w:p>
    <w:p w14:paraId="499F4150" w14:textId="77777777" w:rsidR="00C16484" w:rsidRPr="002A43D8" w:rsidRDefault="00C16484">
      <w:r w:rsidRPr="002A43D8">
        <w:t>Whereas:</w:t>
      </w:r>
    </w:p>
    <w:p w14:paraId="7D99777F" w14:textId="77777777" w:rsidR="003428AE" w:rsidRPr="003428AE" w:rsidRDefault="003428AE" w:rsidP="004B4C38">
      <w:pPr>
        <w:pStyle w:val="Considrant"/>
        <w:numPr>
          <w:ilvl w:val="0"/>
          <w:numId w:val="2"/>
        </w:numPr>
        <w:rPr>
          <w:iCs/>
          <w:noProof/>
        </w:rPr>
      </w:pPr>
      <w:r>
        <w:rPr>
          <w:iCs/>
          <w:noProof/>
        </w:rPr>
        <w:t>Directive (EU) 2024/1174 of the European Parliament and of the Council</w:t>
      </w:r>
      <w:r>
        <w:rPr>
          <w:rStyle w:val="FootnoteReference"/>
          <w:iCs/>
          <w:noProof/>
        </w:rPr>
        <w:footnoteReference w:id="3"/>
      </w:r>
      <w:r>
        <w:rPr>
          <w:iCs/>
          <w:noProof/>
        </w:rPr>
        <w:t xml:space="preserve"> amended </w:t>
      </w:r>
      <w:r w:rsidR="001F4496">
        <w:rPr>
          <w:iCs/>
          <w:noProof/>
        </w:rPr>
        <w:t xml:space="preserve">certain aspects of the minimum requirement for own funds and eligible liabilities ('MREL') set out in </w:t>
      </w:r>
      <w:r>
        <w:rPr>
          <w:iCs/>
          <w:noProof/>
        </w:rPr>
        <w:t>Directive 2014/59/EU</w:t>
      </w:r>
      <w:r w:rsidR="001F4496">
        <w:rPr>
          <w:iCs/>
          <w:noProof/>
        </w:rPr>
        <w:t>.</w:t>
      </w:r>
      <w:r>
        <w:rPr>
          <w:iCs/>
          <w:noProof/>
        </w:rPr>
        <w:t xml:space="preserve"> </w:t>
      </w:r>
      <w:r w:rsidR="001F4496">
        <w:rPr>
          <w:iCs/>
          <w:noProof/>
        </w:rPr>
        <w:t>Pursuant to th</w:t>
      </w:r>
      <w:r w:rsidR="009B0295">
        <w:rPr>
          <w:iCs/>
          <w:noProof/>
        </w:rPr>
        <w:t>o</w:t>
      </w:r>
      <w:r w:rsidR="001F4496">
        <w:rPr>
          <w:iCs/>
          <w:noProof/>
        </w:rPr>
        <w:t xml:space="preserve">se amendments, resolution authorities should not determine the MREL for liquidation entities, except where the setting of a MREL exceeding an amount sufficient to absorb losses is necessary to </w:t>
      </w:r>
      <w:r w:rsidR="001F4496" w:rsidRPr="001F4496">
        <w:rPr>
          <w:iCs/>
          <w:noProof/>
        </w:rPr>
        <w:t>to protect financial stability or to address the risk of contagion to the financial system, including regarding the financing capacity of deposit guarantee schemes.</w:t>
      </w:r>
      <w:r w:rsidR="001F4496">
        <w:rPr>
          <w:iCs/>
          <w:noProof/>
        </w:rPr>
        <w:t xml:space="preserve"> Additionally, Directive (EU) 2024/1174 increased the number of situations allowing resolution authorities to determine the MREL on a consolidated basis. </w:t>
      </w:r>
      <w:r w:rsidR="0052508D">
        <w:rPr>
          <w:iCs/>
          <w:noProof/>
        </w:rPr>
        <w:t xml:space="preserve">Commission </w:t>
      </w:r>
      <w:r w:rsidR="001F4496">
        <w:rPr>
          <w:iCs/>
          <w:noProof/>
        </w:rPr>
        <w:t xml:space="preserve">Implementing </w:t>
      </w:r>
      <w:r w:rsidR="001F4496" w:rsidRPr="002A43D8">
        <w:rPr>
          <w:iCs/>
          <w:noProof/>
        </w:rPr>
        <w:t>Regulation (EU) 2021/622</w:t>
      </w:r>
      <w:r w:rsidR="001F4496">
        <w:rPr>
          <w:rStyle w:val="FootnoteReference"/>
          <w:iCs/>
          <w:noProof/>
        </w:rPr>
        <w:footnoteReference w:id="4"/>
      </w:r>
      <w:r w:rsidR="001F4496" w:rsidRPr="002A43D8">
        <w:rPr>
          <w:iCs/>
          <w:noProof/>
        </w:rPr>
        <w:t xml:space="preserve"> </w:t>
      </w:r>
      <w:r w:rsidR="0052508D">
        <w:rPr>
          <w:iCs/>
          <w:noProof/>
        </w:rPr>
        <w:t>should be amended to reflect th</w:t>
      </w:r>
      <w:r w:rsidR="009B0295">
        <w:rPr>
          <w:iCs/>
          <w:noProof/>
        </w:rPr>
        <w:t>o</w:t>
      </w:r>
      <w:r w:rsidR="0052508D">
        <w:rPr>
          <w:iCs/>
          <w:noProof/>
        </w:rPr>
        <w:t>se changes to the MREL framework</w:t>
      </w:r>
      <w:r w:rsidR="00943538">
        <w:rPr>
          <w:iCs/>
          <w:noProof/>
        </w:rPr>
        <w:t xml:space="preserve"> in the information to be transmitted to the European Banking Authority (EBA)</w:t>
      </w:r>
      <w:r w:rsidR="0052508D">
        <w:rPr>
          <w:iCs/>
          <w:noProof/>
        </w:rPr>
        <w:t>.</w:t>
      </w:r>
    </w:p>
    <w:p w14:paraId="038A3063" w14:textId="77777777" w:rsidR="00C16484" w:rsidRPr="002A43D8" w:rsidRDefault="00A05FAB" w:rsidP="008B6AF9">
      <w:pPr>
        <w:pStyle w:val="Considrant"/>
        <w:numPr>
          <w:ilvl w:val="0"/>
          <w:numId w:val="2"/>
        </w:numPr>
        <w:rPr>
          <w:iCs/>
          <w:noProof/>
        </w:rPr>
      </w:pPr>
      <w:r>
        <w:rPr>
          <w:iCs/>
          <w:noProof/>
        </w:rPr>
        <w:t xml:space="preserve">Implementing </w:t>
      </w:r>
      <w:r w:rsidR="00C16484" w:rsidRPr="002A43D8">
        <w:rPr>
          <w:iCs/>
          <w:noProof/>
        </w:rPr>
        <w:t xml:space="preserve">Regulation (EU) 2021/622 </w:t>
      </w:r>
      <w:r w:rsidR="00593EEC">
        <w:rPr>
          <w:iCs/>
          <w:noProof/>
        </w:rPr>
        <w:t>c</w:t>
      </w:r>
      <w:r w:rsidR="003E7D8F">
        <w:rPr>
          <w:iCs/>
          <w:noProof/>
        </w:rPr>
        <w:t>urrently</w:t>
      </w:r>
      <w:r w:rsidR="00593EEC">
        <w:rPr>
          <w:iCs/>
          <w:noProof/>
        </w:rPr>
        <w:t xml:space="preserve"> requires</w:t>
      </w:r>
      <w:r w:rsidR="00E32BAC">
        <w:rPr>
          <w:iCs/>
          <w:noProof/>
        </w:rPr>
        <w:t xml:space="preserve"> </w:t>
      </w:r>
      <w:r w:rsidR="00C16484" w:rsidRPr="002A43D8">
        <w:rPr>
          <w:iCs/>
          <w:noProof/>
        </w:rPr>
        <w:t xml:space="preserve">resolution authorities to transmit </w:t>
      </w:r>
      <w:r w:rsidR="00593EEC">
        <w:rPr>
          <w:iCs/>
          <w:noProof/>
        </w:rPr>
        <w:t xml:space="preserve">to the EBA, </w:t>
      </w:r>
      <w:r w:rsidR="00C16484" w:rsidRPr="002A43D8">
        <w:rPr>
          <w:iCs/>
          <w:noProof/>
        </w:rPr>
        <w:t>on an annual basis</w:t>
      </w:r>
      <w:r w:rsidR="00593EEC">
        <w:rPr>
          <w:iCs/>
          <w:noProof/>
        </w:rPr>
        <w:t>, information related to the setting of MREL</w:t>
      </w:r>
      <w:r w:rsidR="00C16484" w:rsidRPr="002A43D8">
        <w:rPr>
          <w:iCs/>
          <w:noProof/>
        </w:rPr>
        <w:t>.</w:t>
      </w:r>
      <w:r w:rsidR="008B6AF9">
        <w:rPr>
          <w:iCs/>
          <w:noProof/>
        </w:rPr>
        <w:t xml:space="preserve"> </w:t>
      </w:r>
      <w:r w:rsidR="009F3A7A">
        <w:rPr>
          <w:iCs/>
          <w:noProof/>
        </w:rPr>
        <w:t>Subsequently, t</w:t>
      </w:r>
      <w:r w:rsidR="00C16484" w:rsidRPr="002A43D8">
        <w:rPr>
          <w:noProof/>
        </w:rPr>
        <w:t>he EBA combines th</w:t>
      </w:r>
      <w:r w:rsidR="008B6AF9">
        <w:rPr>
          <w:noProof/>
        </w:rPr>
        <w:t>at</w:t>
      </w:r>
      <w:r w:rsidR="00C16484" w:rsidRPr="002A43D8">
        <w:rPr>
          <w:noProof/>
        </w:rPr>
        <w:t xml:space="preserve"> information with information on the composition of the own funds and eligible liabilities </w:t>
      </w:r>
      <w:r w:rsidR="00244085">
        <w:rPr>
          <w:noProof/>
        </w:rPr>
        <w:t>obtained pursuant to</w:t>
      </w:r>
      <w:r w:rsidR="00C16484" w:rsidRPr="002A43D8">
        <w:rPr>
          <w:noProof/>
        </w:rPr>
        <w:t xml:space="preserve"> </w:t>
      </w:r>
      <w:r w:rsidR="00244085">
        <w:rPr>
          <w:noProof/>
        </w:rPr>
        <w:t xml:space="preserve">Commission </w:t>
      </w:r>
      <w:r w:rsidR="00C16484" w:rsidRPr="002A43D8">
        <w:rPr>
          <w:noProof/>
        </w:rPr>
        <w:lastRenderedPageBreak/>
        <w:t>Implementing Regulation (EU) 2021/763</w:t>
      </w:r>
      <w:r w:rsidR="000B5B60">
        <w:rPr>
          <w:rStyle w:val="FootnoteReference"/>
          <w:noProof/>
        </w:rPr>
        <w:footnoteReference w:id="5"/>
      </w:r>
      <w:r w:rsidR="009F3A7A">
        <w:rPr>
          <w:noProof/>
        </w:rPr>
        <w:t xml:space="preserve"> to produce its report on MREL</w:t>
      </w:r>
      <w:r w:rsidR="00593EEC">
        <w:rPr>
          <w:noProof/>
        </w:rPr>
        <w:t xml:space="preserve"> in accordance with Article 45l of Directive 2014/59/EU</w:t>
      </w:r>
      <w:r w:rsidR="00685D33">
        <w:rPr>
          <w:noProof/>
        </w:rPr>
        <w:t>, which currently has a bi-annual frequency</w:t>
      </w:r>
      <w:r w:rsidR="00C16484" w:rsidRPr="002A43D8">
        <w:rPr>
          <w:noProof/>
        </w:rPr>
        <w:t>.</w:t>
      </w:r>
      <w:r w:rsidR="009F3A7A">
        <w:rPr>
          <w:noProof/>
        </w:rPr>
        <w:t xml:space="preserve"> The current yearly reporting of information on the</w:t>
      </w:r>
      <w:r w:rsidR="00C16484" w:rsidRPr="002A43D8">
        <w:rPr>
          <w:noProof/>
        </w:rPr>
        <w:t xml:space="preserve"> </w:t>
      </w:r>
      <w:r w:rsidR="009F3A7A">
        <w:rPr>
          <w:noProof/>
        </w:rPr>
        <w:t xml:space="preserve">setting of MREL </w:t>
      </w:r>
      <w:r w:rsidR="003E7D8F">
        <w:rPr>
          <w:iCs/>
          <w:noProof/>
        </w:rPr>
        <w:t>means that</w:t>
      </w:r>
      <w:r w:rsidR="003E7D8F" w:rsidRPr="002A43D8">
        <w:rPr>
          <w:noProof/>
        </w:rPr>
        <w:t xml:space="preserve"> </w:t>
      </w:r>
      <w:r w:rsidR="00C16484" w:rsidRPr="002A43D8">
        <w:rPr>
          <w:noProof/>
        </w:rPr>
        <w:t xml:space="preserve">MREL decisions adopted </w:t>
      </w:r>
      <w:r w:rsidR="00BD66E4">
        <w:rPr>
          <w:noProof/>
        </w:rPr>
        <w:t xml:space="preserve">by resolution authorities </w:t>
      </w:r>
      <w:r w:rsidR="00C16484" w:rsidRPr="002A43D8">
        <w:rPr>
          <w:noProof/>
        </w:rPr>
        <w:t xml:space="preserve">after </w:t>
      </w:r>
      <w:r w:rsidR="00593EEC">
        <w:rPr>
          <w:noProof/>
        </w:rPr>
        <w:t>the relevant reference date</w:t>
      </w:r>
      <w:r w:rsidR="00C16484" w:rsidRPr="002A43D8">
        <w:rPr>
          <w:noProof/>
        </w:rPr>
        <w:t xml:space="preserve"> are </w:t>
      </w:r>
      <w:r w:rsidR="00A564DC">
        <w:rPr>
          <w:noProof/>
        </w:rPr>
        <w:t xml:space="preserve">not </w:t>
      </w:r>
      <w:r w:rsidR="00685D33">
        <w:rPr>
          <w:noProof/>
        </w:rPr>
        <w:t xml:space="preserve">transmited or </w:t>
      </w:r>
      <w:r w:rsidR="00A564DC">
        <w:rPr>
          <w:noProof/>
        </w:rPr>
        <w:t>assessed by the</w:t>
      </w:r>
      <w:r w:rsidR="00C16484" w:rsidRPr="002A43D8">
        <w:rPr>
          <w:noProof/>
        </w:rPr>
        <w:t xml:space="preserve"> EBA</w:t>
      </w:r>
      <w:r w:rsidR="009F3A7A">
        <w:rPr>
          <w:noProof/>
        </w:rPr>
        <w:t xml:space="preserve">, and are not </w:t>
      </w:r>
      <w:r w:rsidR="00593EEC">
        <w:rPr>
          <w:noProof/>
        </w:rPr>
        <w:t>reflected</w:t>
      </w:r>
      <w:r w:rsidR="009F3A7A">
        <w:rPr>
          <w:noProof/>
        </w:rPr>
        <w:t xml:space="preserve"> in its report</w:t>
      </w:r>
      <w:r w:rsidR="00593EEC">
        <w:rPr>
          <w:noProof/>
        </w:rPr>
        <w:t>s</w:t>
      </w:r>
      <w:r w:rsidR="009F3A7A">
        <w:rPr>
          <w:noProof/>
        </w:rPr>
        <w:t xml:space="preserve">, </w:t>
      </w:r>
      <w:r w:rsidR="00C16484" w:rsidRPr="002A43D8">
        <w:rPr>
          <w:noProof/>
        </w:rPr>
        <w:t>until the following year</w:t>
      </w:r>
      <w:r w:rsidR="00593EEC">
        <w:rPr>
          <w:noProof/>
        </w:rPr>
        <w:t>, thus creating misalignments with the more updated information on the composition of the own funds and eligible liabilities</w:t>
      </w:r>
      <w:r w:rsidR="00C16484" w:rsidRPr="002A43D8">
        <w:rPr>
          <w:noProof/>
        </w:rPr>
        <w:t>.</w:t>
      </w:r>
    </w:p>
    <w:p w14:paraId="676EF325" w14:textId="77777777" w:rsidR="00C16484" w:rsidRPr="002A43D8" w:rsidRDefault="00C16484" w:rsidP="004B4C38">
      <w:pPr>
        <w:pStyle w:val="Considrant"/>
        <w:numPr>
          <w:ilvl w:val="0"/>
          <w:numId w:val="2"/>
        </w:numPr>
        <w:rPr>
          <w:iCs/>
          <w:noProof/>
        </w:rPr>
      </w:pPr>
      <w:r w:rsidRPr="002A43D8">
        <w:rPr>
          <w:iCs/>
          <w:noProof/>
        </w:rPr>
        <w:t>To improve the EBA’s ability to monitor and assess the MREL set by resolution authorities</w:t>
      </w:r>
      <w:r w:rsidR="009F3A7A">
        <w:rPr>
          <w:iCs/>
          <w:noProof/>
        </w:rPr>
        <w:t xml:space="preserve"> </w:t>
      </w:r>
      <w:r w:rsidR="005C1F43">
        <w:rPr>
          <w:iCs/>
          <w:noProof/>
        </w:rPr>
        <w:t>and</w:t>
      </w:r>
      <w:r w:rsidRPr="002A43D8">
        <w:rPr>
          <w:iCs/>
          <w:noProof/>
        </w:rPr>
        <w:t xml:space="preserve"> institutions’ compliance with the </w:t>
      </w:r>
      <w:r w:rsidR="00642760">
        <w:rPr>
          <w:iCs/>
          <w:noProof/>
        </w:rPr>
        <w:t xml:space="preserve">MREL </w:t>
      </w:r>
      <w:r w:rsidRPr="002A43D8">
        <w:rPr>
          <w:iCs/>
          <w:noProof/>
        </w:rPr>
        <w:t xml:space="preserve">requirements, </w:t>
      </w:r>
      <w:r w:rsidR="00BD02BB" w:rsidRPr="002A43D8">
        <w:rPr>
          <w:iCs/>
          <w:noProof/>
        </w:rPr>
        <w:t>resolution authorities</w:t>
      </w:r>
      <w:r w:rsidR="00BD02BB">
        <w:rPr>
          <w:iCs/>
          <w:noProof/>
        </w:rPr>
        <w:t xml:space="preserve"> should be </w:t>
      </w:r>
      <w:r w:rsidR="00DF1FB9">
        <w:rPr>
          <w:iCs/>
          <w:noProof/>
        </w:rPr>
        <w:t>required</w:t>
      </w:r>
      <w:r w:rsidR="00BD02BB">
        <w:rPr>
          <w:iCs/>
          <w:noProof/>
        </w:rPr>
        <w:t xml:space="preserve"> to </w:t>
      </w:r>
      <w:r w:rsidR="00DF1FB9">
        <w:rPr>
          <w:iCs/>
          <w:noProof/>
        </w:rPr>
        <w:t xml:space="preserve">report </w:t>
      </w:r>
      <w:r w:rsidR="009430FB">
        <w:rPr>
          <w:iCs/>
          <w:noProof/>
        </w:rPr>
        <w:t xml:space="preserve">to </w:t>
      </w:r>
      <w:r w:rsidR="00685D33">
        <w:rPr>
          <w:iCs/>
          <w:noProof/>
        </w:rPr>
        <w:t xml:space="preserve">the </w:t>
      </w:r>
      <w:r w:rsidR="009430FB">
        <w:rPr>
          <w:iCs/>
          <w:noProof/>
        </w:rPr>
        <w:t xml:space="preserve">EBA </w:t>
      </w:r>
      <w:r w:rsidR="00DF1FB9">
        <w:rPr>
          <w:iCs/>
          <w:noProof/>
        </w:rPr>
        <w:t xml:space="preserve">more frequently on </w:t>
      </w:r>
      <w:r w:rsidR="00DF1FB9" w:rsidRPr="002A43D8">
        <w:rPr>
          <w:iCs/>
          <w:noProof/>
        </w:rPr>
        <w:t>MREL decisions</w:t>
      </w:r>
      <w:r w:rsidR="00642760">
        <w:rPr>
          <w:iCs/>
          <w:noProof/>
        </w:rPr>
        <w:t>.</w:t>
      </w:r>
      <w:r w:rsidR="009F3A7A">
        <w:rPr>
          <w:iCs/>
          <w:noProof/>
        </w:rPr>
        <w:t xml:space="preserve"> To ensure alignment with the reports on MREL prepared by </w:t>
      </w:r>
      <w:r w:rsidR="00685D33">
        <w:rPr>
          <w:iCs/>
          <w:noProof/>
        </w:rPr>
        <w:t xml:space="preserve">the </w:t>
      </w:r>
      <w:r w:rsidR="009F3A7A">
        <w:rPr>
          <w:iCs/>
          <w:noProof/>
        </w:rPr>
        <w:t xml:space="preserve">EBA, resolution authorities should report that information </w:t>
      </w:r>
      <w:r w:rsidR="00593EEC">
        <w:rPr>
          <w:iCs/>
          <w:noProof/>
        </w:rPr>
        <w:t xml:space="preserve">bi-annually. </w:t>
      </w:r>
    </w:p>
    <w:p w14:paraId="2672C096" w14:textId="77777777" w:rsidR="00C16484" w:rsidRDefault="00C16484" w:rsidP="004B4C38">
      <w:pPr>
        <w:pStyle w:val="Considrant"/>
        <w:numPr>
          <w:ilvl w:val="0"/>
          <w:numId w:val="2"/>
        </w:numPr>
        <w:rPr>
          <w:noProof/>
        </w:rPr>
      </w:pPr>
      <w:r w:rsidRPr="002A43D8">
        <w:rPr>
          <w:noProof/>
        </w:rPr>
        <w:t xml:space="preserve">To facilitate the assessment by the EBA of how </w:t>
      </w:r>
      <w:r w:rsidR="00313AC1" w:rsidRPr="002A43D8">
        <w:rPr>
          <w:noProof/>
        </w:rPr>
        <w:t xml:space="preserve">resolution authorities </w:t>
      </w:r>
      <w:r w:rsidR="00313AC1">
        <w:rPr>
          <w:noProof/>
        </w:rPr>
        <w:t xml:space="preserve">have exercised </w:t>
      </w:r>
      <w:r w:rsidRPr="002A43D8">
        <w:rPr>
          <w:noProof/>
        </w:rPr>
        <w:t xml:space="preserve">discretion </w:t>
      </w:r>
      <w:r w:rsidR="00A4162C">
        <w:rPr>
          <w:noProof/>
        </w:rPr>
        <w:t>when</w:t>
      </w:r>
      <w:r w:rsidRPr="002A43D8">
        <w:rPr>
          <w:noProof/>
        </w:rPr>
        <w:t xml:space="preserve"> </w:t>
      </w:r>
      <w:r w:rsidR="004518ED">
        <w:rPr>
          <w:noProof/>
        </w:rPr>
        <w:t xml:space="preserve">setting </w:t>
      </w:r>
      <w:r w:rsidRPr="002A43D8">
        <w:rPr>
          <w:noProof/>
        </w:rPr>
        <w:t>the MREL, in particular with regard to the option available under Article 45b(4)</w:t>
      </w:r>
      <w:r w:rsidR="00685D33">
        <w:rPr>
          <w:noProof/>
        </w:rPr>
        <w:t>, first subparagraph,</w:t>
      </w:r>
      <w:r w:rsidRPr="002A43D8">
        <w:rPr>
          <w:noProof/>
        </w:rPr>
        <w:t xml:space="preserve"> of Directive 2014/59/EU, template M 20.00 – Reporting on MREL decisions (Annex I to Regulation (EU) 2021/622) and </w:t>
      </w:r>
      <w:r w:rsidR="00FD1723">
        <w:rPr>
          <w:noProof/>
        </w:rPr>
        <w:t>the corresponding</w:t>
      </w:r>
      <w:r w:rsidR="00FD1723" w:rsidRPr="002A43D8">
        <w:rPr>
          <w:noProof/>
        </w:rPr>
        <w:t xml:space="preserve"> </w:t>
      </w:r>
      <w:r w:rsidRPr="002A43D8">
        <w:rPr>
          <w:noProof/>
        </w:rPr>
        <w:t>instructions should be adjusted</w:t>
      </w:r>
      <w:r w:rsidR="009430FB">
        <w:rPr>
          <w:noProof/>
        </w:rPr>
        <w:t xml:space="preserve"> to </w:t>
      </w:r>
      <w:r w:rsidR="009B0295">
        <w:rPr>
          <w:noProof/>
        </w:rPr>
        <w:t xml:space="preserve">require that </w:t>
      </w:r>
      <w:r w:rsidR="009430FB">
        <w:rPr>
          <w:noProof/>
        </w:rPr>
        <w:t>information on the exercise of that option</w:t>
      </w:r>
      <w:r w:rsidR="009B0295">
        <w:rPr>
          <w:noProof/>
        </w:rPr>
        <w:t xml:space="preserve"> is included</w:t>
      </w:r>
      <w:r w:rsidRPr="002A43D8">
        <w:rPr>
          <w:noProof/>
        </w:rPr>
        <w:t>.</w:t>
      </w:r>
    </w:p>
    <w:p w14:paraId="1B5314C9" w14:textId="77777777" w:rsidR="00C16484" w:rsidRPr="002A43D8" w:rsidRDefault="00C16484" w:rsidP="004B4C38">
      <w:pPr>
        <w:pStyle w:val="Considrant"/>
        <w:numPr>
          <w:ilvl w:val="0"/>
          <w:numId w:val="2"/>
        </w:numPr>
        <w:rPr>
          <w:noProof/>
        </w:rPr>
      </w:pPr>
      <w:r w:rsidRPr="002A43D8">
        <w:rPr>
          <w:noProof/>
        </w:rPr>
        <w:t>The EBA has requested the advice of the Banking Stakeholder Group established in accordance with Article 37 of Regulation (EU) No 1093/2010 of the European Parliament and of the Council</w:t>
      </w:r>
      <w:r w:rsidR="00401F3A">
        <w:rPr>
          <w:rStyle w:val="FootnoteReference"/>
          <w:noProof/>
        </w:rPr>
        <w:footnoteReference w:id="6"/>
      </w:r>
      <w:r w:rsidRPr="002A43D8">
        <w:rPr>
          <w:noProof/>
        </w:rPr>
        <w:t xml:space="preserve">. </w:t>
      </w:r>
    </w:p>
    <w:p w14:paraId="5D5111C6" w14:textId="77777777" w:rsidR="00C16484" w:rsidRPr="002A43D8" w:rsidRDefault="00373FC4" w:rsidP="004B4C38">
      <w:pPr>
        <w:pStyle w:val="Considrant"/>
        <w:numPr>
          <w:ilvl w:val="0"/>
          <w:numId w:val="2"/>
        </w:numPr>
        <w:rPr>
          <w:noProof/>
        </w:rPr>
      </w:pPr>
      <w:r>
        <w:rPr>
          <w:noProof/>
        </w:rPr>
        <w:t>T</w:t>
      </w:r>
      <w:r w:rsidR="00C16484" w:rsidRPr="002A43D8">
        <w:rPr>
          <w:noProof/>
        </w:rPr>
        <w:t>he amendments to Regulation (EU) 2021/622 are addressed to resolution authorities and do not involve significant changes in substantive terms</w:t>
      </w:r>
      <w:r>
        <w:rPr>
          <w:noProof/>
        </w:rPr>
        <w:t>.</w:t>
      </w:r>
      <w:r w:rsidR="00C16484" w:rsidRPr="002A43D8">
        <w:rPr>
          <w:noProof/>
        </w:rPr>
        <w:t xml:space="preserve"> </w:t>
      </w:r>
      <w:r>
        <w:rPr>
          <w:noProof/>
        </w:rPr>
        <w:t>T</w:t>
      </w:r>
      <w:r w:rsidRPr="002A43D8">
        <w:rPr>
          <w:noProof/>
        </w:rPr>
        <w:t>he EBA has</w:t>
      </w:r>
      <w:r>
        <w:rPr>
          <w:noProof/>
        </w:rPr>
        <w:t xml:space="preserve"> therefore, </w:t>
      </w:r>
      <w:r w:rsidR="00C16484" w:rsidRPr="002A43D8">
        <w:rPr>
          <w:noProof/>
        </w:rPr>
        <w:t xml:space="preserve">in accordance with Article 15(1), second subparagraph, of Regulation (EU) No 1093/2010, not conducted open public consultations nor analysed the potential related costs and benefits, considering that it would be disproportionate in relation to the scope and impact of the draft implementing technical standards concerned. </w:t>
      </w:r>
    </w:p>
    <w:p w14:paraId="0A23BFF6" w14:textId="77777777" w:rsidR="00C16484" w:rsidRPr="002A43D8" w:rsidRDefault="00C16484" w:rsidP="004B4C38">
      <w:pPr>
        <w:pStyle w:val="Considrant"/>
        <w:numPr>
          <w:ilvl w:val="0"/>
          <w:numId w:val="2"/>
        </w:numPr>
        <w:rPr>
          <w:noProof/>
        </w:rPr>
      </w:pPr>
      <w:r w:rsidRPr="002A43D8">
        <w:rPr>
          <w:noProof/>
        </w:rPr>
        <w:t>Implementing Regulation (EU) 2021/622 should therefore be amended accordingly.</w:t>
      </w:r>
    </w:p>
    <w:p w14:paraId="1887EA7B" w14:textId="77777777" w:rsidR="00C16484" w:rsidRPr="002A43D8" w:rsidRDefault="00C16484" w:rsidP="004B4C38">
      <w:pPr>
        <w:pStyle w:val="Considrant"/>
        <w:numPr>
          <w:ilvl w:val="0"/>
          <w:numId w:val="2"/>
        </w:numPr>
        <w:rPr>
          <w:noProof/>
        </w:rPr>
      </w:pPr>
      <w:r w:rsidRPr="002A43D8">
        <w:t xml:space="preserve">This Regulation is based on the draft implementing technical standards submitted </w:t>
      </w:r>
      <w:r w:rsidRPr="002A43D8">
        <w:rPr>
          <w:noProof/>
        </w:rPr>
        <w:t>to the Commission</w:t>
      </w:r>
      <w:r w:rsidRPr="002A43D8">
        <w:t xml:space="preserve"> by the </w:t>
      </w:r>
      <w:r w:rsidRPr="002A43D8">
        <w:rPr>
          <w:noProof/>
        </w:rPr>
        <w:t>EBA</w:t>
      </w:r>
      <w:r w:rsidR="008D3EC5">
        <w:rPr>
          <w:noProof/>
        </w:rPr>
        <w:t>,</w:t>
      </w:r>
    </w:p>
    <w:p w14:paraId="313B274F" w14:textId="77777777" w:rsidR="00C16484" w:rsidRPr="002A43D8" w:rsidRDefault="00C16484">
      <w:pPr>
        <w:pStyle w:val="Formuledadoption"/>
      </w:pPr>
      <w:r w:rsidRPr="002A43D8">
        <w:t>HAS ADOPTED THIS REGULATION:</w:t>
      </w:r>
    </w:p>
    <w:p w14:paraId="455FC522" w14:textId="77777777" w:rsidR="00C16484" w:rsidRPr="002A43D8" w:rsidRDefault="00C16484">
      <w:pPr>
        <w:pStyle w:val="Titrearticle"/>
      </w:pPr>
      <w:r w:rsidRPr="002A43D8">
        <w:t>Article 1</w:t>
      </w:r>
    </w:p>
    <w:p w14:paraId="061A957A" w14:textId="77777777" w:rsidR="00C16484" w:rsidRPr="002A43D8" w:rsidRDefault="00C16484" w:rsidP="00C16484">
      <w:pPr>
        <w:rPr>
          <w:noProof/>
        </w:rPr>
      </w:pPr>
      <w:r w:rsidRPr="002A43D8">
        <w:rPr>
          <w:noProof/>
        </w:rPr>
        <w:t>Implementing Regulation (EU) 2021/622 is amended as follows:</w:t>
      </w:r>
    </w:p>
    <w:p w14:paraId="44E520EB" w14:textId="77777777" w:rsidR="00C16484" w:rsidRPr="002A43D8" w:rsidRDefault="00C16484" w:rsidP="00783A3B">
      <w:pPr>
        <w:pStyle w:val="Point0number"/>
        <w:numPr>
          <w:ilvl w:val="0"/>
          <w:numId w:val="6"/>
        </w:numPr>
        <w:rPr>
          <w:noProof/>
        </w:rPr>
      </w:pPr>
      <w:r w:rsidRPr="002A43D8">
        <w:rPr>
          <w:noProof/>
        </w:rPr>
        <w:t>Article 2 is amended as follows:</w:t>
      </w:r>
    </w:p>
    <w:p w14:paraId="252CA8AC" w14:textId="77777777" w:rsidR="00C16484" w:rsidRPr="002A43D8" w:rsidRDefault="00C16484" w:rsidP="00783A3B">
      <w:pPr>
        <w:pStyle w:val="Point1letter"/>
        <w:rPr>
          <w:noProof/>
        </w:rPr>
      </w:pPr>
      <w:r w:rsidRPr="002A43D8">
        <w:rPr>
          <w:noProof/>
        </w:rPr>
        <w:t>the title is replaced by the following:</w:t>
      </w:r>
    </w:p>
    <w:p w14:paraId="3D4F8508" w14:textId="77777777" w:rsidR="00C16484" w:rsidRPr="00787E7C" w:rsidRDefault="00C16484" w:rsidP="00783A3B">
      <w:pPr>
        <w:jc w:val="center"/>
        <w:rPr>
          <w:noProof/>
        </w:rPr>
      </w:pPr>
      <w:r w:rsidRPr="002A43D8">
        <w:rPr>
          <w:noProof/>
        </w:rPr>
        <w:lastRenderedPageBreak/>
        <w:t>‘</w:t>
      </w:r>
      <w:r w:rsidRPr="009B0295">
        <w:rPr>
          <w:b/>
          <w:bCs/>
          <w:noProof/>
        </w:rPr>
        <w:t>Simplified reporting requirement for institutions subject to waivers</w:t>
      </w:r>
      <w:r w:rsidRPr="002A43D8">
        <w:rPr>
          <w:noProof/>
        </w:rPr>
        <w:t>’;</w:t>
      </w:r>
    </w:p>
    <w:p w14:paraId="2EAF66BD" w14:textId="77777777" w:rsidR="00C16484" w:rsidRPr="002A43D8" w:rsidRDefault="00C16484" w:rsidP="00783A3B">
      <w:pPr>
        <w:pStyle w:val="Point1letter"/>
        <w:rPr>
          <w:noProof/>
        </w:rPr>
      </w:pPr>
      <w:r w:rsidRPr="002A43D8">
        <w:rPr>
          <w:noProof/>
        </w:rPr>
        <w:t>paragraph 2 is deleted;</w:t>
      </w:r>
    </w:p>
    <w:p w14:paraId="1A052A8B" w14:textId="77777777" w:rsidR="00C16484" w:rsidRPr="004F588A" w:rsidRDefault="00C16484" w:rsidP="00783A3B">
      <w:pPr>
        <w:pStyle w:val="Point0number"/>
        <w:rPr>
          <w:noProof/>
        </w:rPr>
      </w:pPr>
      <w:r w:rsidRPr="002A43D8">
        <w:rPr>
          <w:noProof/>
        </w:rPr>
        <w:t xml:space="preserve">in Article 3, </w:t>
      </w:r>
      <w:r w:rsidRPr="004F588A">
        <w:rPr>
          <w:noProof/>
        </w:rPr>
        <w:t xml:space="preserve">the introductory </w:t>
      </w:r>
      <w:r w:rsidR="00C11798">
        <w:rPr>
          <w:noProof/>
        </w:rPr>
        <w:t>wording</w:t>
      </w:r>
      <w:r w:rsidR="00E43152" w:rsidRPr="004F588A">
        <w:rPr>
          <w:noProof/>
        </w:rPr>
        <w:t xml:space="preserve"> </w:t>
      </w:r>
      <w:r w:rsidRPr="004F588A">
        <w:rPr>
          <w:noProof/>
        </w:rPr>
        <w:t>is replaced by the following:</w:t>
      </w:r>
    </w:p>
    <w:p w14:paraId="533DCDB8" w14:textId="77777777" w:rsidR="00C16484" w:rsidRPr="002A43D8" w:rsidRDefault="00C16484" w:rsidP="00783A3B">
      <w:pPr>
        <w:rPr>
          <w:noProof/>
        </w:rPr>
      </w:pPr>
      <w:r w:rsidRPr="004F588A">
        <w:rPr>
          <w:noProof/>
        </w:rPr>
        <w:t xml:space="preserve">‘For groups that are subject to MREL on a consolidated basis </w:t>
      </w:r>
      <w:r w:rsidR="00C11798">
        <w:rPr>
          <w:noProof/>
        </w:rPr>
        <w:t>pursuant to</w:t>
      </w:r>
      <w:r w:rsidRPr="004F588A">
        <w:rPr>
          <w:noProof/>
        </w:rPr>
        <w:t xml:space="preserve"> Article 45e, Article 45f(1), third and fourth subparagraph</w:t>
      </w:r>
      <w:r w:rsidR="00874305" w:rsidRPr="004F588A">
        <w:rPr>
          <w:noProof/>
        </w:rPr>
        <w:t>s</w:t>
      </w:r>
      <w:r w:rsidRPr="004F588A">
        <w:rPr>
          <w:noProof/>
        </w:rPr>
        <w:t>, and Article</w:t>
      </w:r>
      <w:r w:rsidRPr="002A43D8">
        <w:rPr>
          <w:noProof/>
        </w:rPr>
        <w:t xml:space="preserve"> 45f(4), point (b), of Directive 2014/59/EU, the information referred to in Articles 1 and 2 shall be submitted by the following authorities and in the following manner:</w:t>
      </w:r>
      <w:r w:rsidR="000E5499">
        <w:rPr>
          <w:noProof/>
        </w:rPr>
        <w:t>’</w:t>
      </w:r>
      <w:r w:rsidRPr="002A43D8">
        <w:rPr>
          <w:noProof/>
        </w:rPr>
        <w:t>;</w:t>
      </w:r>
    </w:p>
    <w:p w14:paraId="0509E0AB" w14:textId="77777777" w:rsidR="00C16484" w:rsidRPr="002A43D8" w:rsidRDefault="00C16484" w:rsidP="00783A3B">
      <w:pPr>
        <w:pStyle w:val="Point0number"/>
        <w:rPr>
          <w:noProof/>
        </w:rPr>
      </w:pPr>
      <w:r w:rsidRPr="002A43D8">
        <w:rPr>
          <w:noProof/>
        </w:rPr>
        <w:t>Article 4 is replaced by the following:</w:t>
      </w:r>
    </w:p>
    <w:p w14:paraId="66FCA4E9" w14:textId="77777777" w:rsidR="00C16484" w:rsidRPr="00D02FAD" w:rsidRDefault="00D47F83" w:rsidP="00783A3B">
      <w:pPr>
        <w:pStyle w:val="Titrearticle"/>
        <w:rPr>
          <w:i w:val="0"/>
          <w:iCs/>
          <w:noProof/>
        </w:rPr>
      </w:pPr>
      <w:r w:rsidRPr="005E2634">
        <w:rPr>
          <w:i w:val="0"/>
          <w:iCs/>
          <w:noProof/>
        </w:rPr>
        <w:t>‘</w:t>
      </w:r>
      <w:r w:rsidR="00C16484" w:rsidRPr="002A43D8">
        <w:rPr>
          <w:noProof/>
        </w:rPr>
        <w:t>Article 4</w:t>
      </w:r>
      <w:r w:rsidR="00FB22DB" w:rsidRPr="002A43D8">
        <w:rPr>
          <w:noProof/>
        </w:rPr>
        <w:br/>
      </w:r>
      <w:r w:rsidR="00C16484" w:rsidRPr="00D02FAD">
        <w:rPr>
          <w:b/>
          <w:bCs/>
          <w:i w:val="0"/>
          <w:iCs/>
          <w:noProof/>
        </w:rPr>
        <w:t>Reporting periods and submission dates</w:t>
      </w:r>
    </w:p>
    <w:p w14:paraId="054F5F9B" w14:textId="77777777" w:rsidR="00C16484" w:rsidRPr="002A43D8" w:rsidRDefault="00C16484" w:rsidP="00783A3B">
      <w:pPr>
        <w:rPr>
          <w:noProof/>
        </w:rPr>
      </w:pPr>
      <w:r w:rsidRPr="002A43D8">
        <w:rPr>
          <w:noProof/>
        </w:rPr>
        <w:t>Resolution authorities shall transmit the information referred to in Articles 1 and 2 as follows:</w:t>
      </w:r>
    </w:p>
    <w:p w14:paraId="5113726F" w14:textId="77777777" w:rsidR="00C16484" w:rsidRPr="002A43D8" w:rsidRDefault="00C16484" w:rsidP="00783A3B">
      <w:pPr>
        <w:pStyle w:val="Point1letter"/>
        <w:rPr>
          <w:noProof/>
        </w:rPr>
      </w:pPr>
      <w:r w:rsidRPr="002A43D8">
        <w:rPr>
          <w:noProof/>
        </w:rPr>
        <w:t>for</w:t>
      </w:r>
      <w:r w:rsidRPr="002A43D8">
        <w:t xml:space="preserve"> </w:t>
      </w:r>
      <w:r w:rsidRPr="002A43D8">
        <w:rPr>
          <w:noProof/>
        </w:rPr>
        <w:t>the MREL applicable as of 30 June, by 16 September</w:t>
      </w:r>
      <w:r w:rsidR="00E82B0B">
        <w:rPr>
          <w:noProof/>
        </w:rPr>
        <w:t xml:space="preserve"> of </w:t>
      </w:r>
      <w:r w:rsidR="00BD3885">
        <w:rPr>
          <w:noProof/>
        </w:rPr>
        <w:t>that</w:t>
      </w:r>
      <w:r w:rsidR="00E82B0B">
        <w:rPr>
          <w:noProof/>
        </w:rPr>
        <w:t xml:space="preserve"> year</w:t>
      </w:r>
      <w:r w:rsidRPr="002A43D8">
        <w:rPr>
          <w:noProof/>
        </w:rPr>
        <w:t>;</w:t>
      </w:r>
    </w:p>
    <w:p w14:paraId="7219DDD8" w14:textId="77777777" w:rsidR="00C16484" w:rsidRPr="002A43D8" w:rsidRDefault="00C16484" w:rsidP="00783A3B">
      <w:pPr>
        <w:pStyle w:val="Point1letter"/>
        <w:rPr>
          <w:noProof/>
        </w:rPr>
      </w:pPr>
      <w:r w:rsidRPr="002A43D8">
        <w:t xml:space="preserve">for </w:t>
      </w:r>
      <w:r w:rsidRPr="002A43D8">
        <w:rPr>
          <w:noProof/>
        </w:rPr>
        <w:t>the MREL applicable as of 31 December, by 18 March</w:t>
      </w:r>
      <w:r w:rsidR="0029415E">
        <w:rPr>
          <w:noProof/>
        </w:rPr>
        <w:t xml:space="preserve"> of </w:t>
      </w:r>
      <w:r w:rsidR="00BD3885">
        <w:rPr>
          <w:noProof/>
        </w:rPr>
        <w:t>th</w:t>
      </w:r>
      <w:r w:rsidR="0042702A">
        <w:rPr>
          <w:noProof/>
        </w:rPr>
        <w:t>e following year</w:t>
      </w:r>
      <w:r w:rsidRPr="002A43D8">
        <w:rPr>
          <w:noProof/>
        </w:rPr>
        <w:t>.’;</w:t>
      </w:r>
    </w:p>
    <w:p w14:paraId="65609948" w14:textId="77777777" w:rsidR="00C16484" w:rsidRPr="002A43D8" w:rsidRDefault="00C16484" w:rsidP="00783A3B">
      <w:pPr>
        <w:pStyle w:val="Point0number"/>
        <w:rPr>
          <w:noProof/>
        </w:rPr>
      </w:pPr>
      <w:r w:rsidRPr="002A43D8">
        <w:rPr>
          <w:noProof/>
        </w:rPr>
        <w:t xml:space="preserve">Annex I is replaced </w:t>
      </w:r>
      <w:r w:rsidR="009D5F8B">
        <w:rPr>
          <w:noProof/>
        </w:rPr>
        <w:t>by the text in</w:t>
      </w:r>
      <w:r w:rsidR="0042702A">
        <w:rPr>
          <w:noProof/>
        </w:rPr>
        <w:t xml:space="preserve"> </w:t>
      </w:r>
      <w:r w:rsidRPr="002A43D8">
        <w:rPr>
          <w:noProof/>
        </w:rPr>
        <w:t>Annex I to this Regulation</w:t>
      </w:r>
      <w:r w:rsidR="00BD3885">
        <w:rPr>
          <w:noProof/>
        </w:rPr>
        <w:t>;</w:t>
      </w:r>
    </w:p>
    <w:p w14:paraId="45E55C10" w14:textId="77777777" w:rsidR="00C16484" w:rsidRPr="002A43D8" w:rsidRDefault="00C16484" w:rsidP="00783A3B">
      <w:pPr>
        <w:pStyle w:val="Point0number"/>
        <w:rPr>
          <w:noProof/>
        </w:rPr>
      </w:pPr>
      <w:r w:rsidRPr="002A43D8">
        <w:rPr>
          <w:noProof/>
        </w:rPr>
        <w:t xml:space="preserve">Annex II is replaced </w:t>
      </w:r>
      <w:r w:rsidR="009D5F8B">
        <w:rPr>
          <w:noProof/>
        </w:rPr>
        <w:t>by the text in</w:t>
      </w:r>
      <w:r w:rsidR="0042702A">
        <w:rPr>
          <w:noProof/>
        </w:rPr>
        <w:t xml:space="preserve"> </w:t>
      </w:r>
      <w:r w:rsidRPr="002A43D8">
        <w:rPr>
          <w:noProof/>
        </w:rPr>
        <w:t>Annex II to this Regulation.</w:t>
      </w:r>
    </w:p>
    <w:p w14:paraId="0B09A3CA" w14:textId="77777777" w:rsidR="00C16484" w:rsidRPr="002A43D8" w:rsidRDefault="00C16484">
      <w:pPr>
        <w:pStyle w:val="Titrearticle"/>
      </w:pPr>
      <w:r w:rsidRPr="002A43D8">
        <w:t>Article</w:t>
      </w:r>
      <w:r w:rsidR="00830365" w:rsidRPr="002A43D8">
        <w:t xml:space="preserve"> 2</w:t>
      </w:r>
    </w:p>
    <w:p w14:paraId="0BDD24EC" w14:textId="77777777" w:rsidR="00C16484" w:rsidRPr="002A43D8" w:rsidRDefault="00C16484" w:rsidP="00830365">
      <w:r w:rsidRPr="002A43D8">
        <w:t xml:space="preserve">This Regulation shall enter into force on the </w:t>
      </w:r>
      <w:r w:rsidR="00830365" w:rsidRPr="002A43D8">
        <w:rPr>
          <w:noProof/>
          <w:color w:val="000000"/>
        </w:rPr>
        <w:t xml:space="preserve">twentieth day </w:t>
      </w:r>
      <w:r w:rsidRPr="002A43D8">
        <w:t xml:space="preserve">following that of its publication in the </w:t>
      </w:r>
      <w:r w:rsidRPr="002A43D8">
        <w:rPr>
          <w:i/>
        </w:rPr>
        <w:t>Official Journal of the European Union</w:t>
      </w:r>
      <w:r w:rsidRPr="002A43D8">
        <w:t>.</w:t>
      </w:r>
    </w:p>
    <w:p w14:paraId="3DDE2F7A" w14:textId="77777777" w:rsidR="00C16484" w:rsidRPr="002A43D8" w:rsidRDefault="00C16484">
      <w:pPr>
        <w:pStyle w:val="Applicationdirecte"/>
      </w:pPr>
      <w:r w:rsidRPr="002A43D8">
        <w:t>This Regulation shall be binding in its entirety and directly applicable in all Member States.</w:t>
      </w:r>
    </w:p>
    <w:p w14:paraId="0FD02893" w14:textId="224E0669" w:rsidR="00C16484" w:rsidRPr="002A43D8" w:rsidRDefault="00AE4482" w:rsidP="00AE4482">
      <w:pPr>
        <w:pStyle w:val="Fait"/>
      </w:pPr>
      <w:r w:rsidRPr="00AE4482">
        <w:t>Done at Brussels,</w:t>
      </w:r>
    </w:p>
    <w:p w14:paraId="3FB14D4B" w14:textId="77777777" w:rsidR="00C16484" w:rsidRPr="002A43D8" w:rsidRDefault="00C16484" w:rsidP="00C16484">
      <w:pPr>
        <w:pStyle w:val="Institutionquisigne"/>
      </w:pPr>
      <w:r w:rsidRPr="002A43D8">
        <w:tab/>
        <w:t>For the Commission</w:t>
      </w:r>
    </w:p>
    <w:p w14:paraId="0FEF1170" w14:textId="0CD182DE" w:rsidR="00C16484" w:rsidRPr="002A43D8" w:rsidRDefault="00C16484" w:rsidP="00C16484">
      <w:pPr>
        <w:pStyle w:val="Personnequisigne"/>
      </w:pPr>
      <w:r w:rsidRPr="002A43D8">
        <w:tab/>
        <w:t>The President</w:t>
      </w:r>
      <w:r w:rsidRPr="002A43D8">
        <w:br/>
      </w:r>
      <w:r w:rsidRPr="002A43D8">
        <w:tab/>
      </w:r>
      <w:r w:rsidR="0018141D" w:rsidRPr="0018141D">
        <w:t>Ursula von der Leyen</w:t>
      </w:r>
      <w:r w:rsidRPr="002A43D8">
        <w:br/>
      </w:r>
      <w:r w:rsidRPr="002A43D8">
        <w:tab/>
      </w:r>
    </w:p>
    <w:sectPr w:rsidR="00C16484" w:rsidRPr="002A43D8" w:rsidSect="00C64CCC">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D8F0" w14:textId="77777777" w:rsidR="00F07F26" w:rsidRDefault="00F07F26" w:rsidP="00C16484">
      <w:pPr>
        <w:spacing w:before="0" w:after="0"/>
      </w:pPr>
      <w:r>
        <w:separator/>
      </w:r>
    </w:p>
  </w:endnote>
  <w:endnote w:type="continuationSeparator" w:id="0">
    <w:p w14:paraId="61DF8EAB" w14:textId="77777777" w:rsidR="00F07F26" w:rsidRDefault="00F07F26" w:rsidP="00C16484">
      <w:pPr>
        <w:spacing w:before="0" w:after="0"/>
      </w:pPr>
      <w:r>
        <w:continuationSeparator/>
      </w:r>
    </w:p>
  </w:endnote>
  <w:endnote w:type="continuationNotice" w:id="1">
    <w:p w14:paraId="04F6DC9C" w14:textId="77777777" w:rsidR="00F07F26" w:rsidRDefault="00F07F2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DF19" w14:textId="7FFA8F06" w:rsidR="00AE4482" w:rsidRPr="00C64CCC" w:rsidRDefault="00C64CCC" w:rsidP="00C64CCC">
    <w:pPr>
      <w:pStyle w:val="Footer"/>
      <w:rPr>
        <w:rFonts w:ascii="Arial" w:hAnsi="Arial" w:cs="Arial"/>
        <w:b/>
        <w:sz w:val="48"/>
      </w:rPr>
    </w:pPr>
    <w:r w:rsidRPr="00C64CCC">
      <w:rPr>
        <w:rFonts w:ascii="Arial" w:hAnsi="Arial" w:cs="Arial"/>
        <w:b/>
        <w:sz w:val="48"/>
      </w:rPr>
      <w:t>EN</w:t>
    </w:r>
    <w:r w:rsidRPr="00C64CCC">
      <w:rPr>
        <w:rFonts w:ascii="Arial" w:hAnsi="Arial" w:cs="Arial"/>
        <w:b/>
        <w:sz w:val="48"/>
      </w:rPr>
      <w:tab/>
    </w:r>
    <w:r w:rsidRPr="00C64CCC">
      <w:rPr>
        <w:rFonts w:ascii="Arial" w:hAnsi="Arial" w:cs="Arial"/>
        <w:b/>
        <w:sz w:val="48"/>
      </w:rPr>
      <w:tab/>
    </w:r>
    <w:r w:rsidRPr="00C64CCC">
      <w:tab/>
    </w:r>
    <w:r w:rsidRPr="00C64CCC">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2038" w14:textId="2010C6E0" w:rsidR="00AE4482" w:rsidRPr="00C64CCC" w:rsidRDefault="00C64CCC" w:rsidP="00C64CCC">
    <w:pPr>
      <w:pStyle w:val="Footer"/>
      <w:rPr>
        <w:rFonts w:ascii="Arial" w:hAnsi="Arial" w:cs="Arial"/>
        <w:b/>
        <w:sz w:val="48"/>
      </w:rPr>
    </w:pPr>
    <w:r w:rsidRPr="00C64CCC">
      <w:rPr>
        <w:rFonts w:ascii="Arial" w:hAnsi="Arial" w:cs="Arial"/>
        <w:b/>
        <w:sz w:val="48"/>
      </w:rPr>
      <w:t>EN</w:t>
    </w:r>
    <w:r w:rsidRPr="00C64CCC">
      <w:rPr>
        <w:rFonts w:ascii="Arial" w:hAnsi="Arial" w:cs="Arial"/>
        <w:b/>
        <w:sz w:val="48"/>
      </w:rPr>
      <w:tab/>
    </w:r>
    <w:r w:rsidRPr="00C64CCC">
      <w:rPr>
        <w:rFonts w:ascii="Arial" w:hAnsi="Arial" w:cs="Arial"/>
        <w:b/>
        <w:sz w:val="48"/>
      </w:rPr>
      <w:tab/>
    </w:r>
    <w:r w:rsidRPr="00C64CCC">
      <w:tab/>
    </w:r>
    <w:r w:rsidRPr="00C64CCC">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EE3E" w14:textId="77777777" w:rsidR="00AE4482" w:rsidRPr="00C64CCC" w:rsidRDefault="00AE4482" w:rsidP="00C64C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2728" w14:textId="77777777" w:rsidR="000C320E" w:rsidRPr="00DC5E29" w:rsidRDefault="000C320E" w:rsidP="00DC5E29">
    <w:pPr>
      <w:pStyle w:val="Footer"/>
      <w:rPr>
        <w:rFonts w:ascii="Arial" w:hAnsi="Arial" w:cs="Arial"/>
        <w:b/>
        <w:sz w:val="4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CEBC" w14:textId="392404E4" w:rsidR="00C64CCC" w:rsidRPr="00C64CCC" w:rsidRDefault="00C64CCC" w:rsidP="00C64CCC">
    <w:pPr>
      <w:pStyle w:val="Footer"/>
      <w:rPr>
        <w:rFonts w:ascii="Arial" w:hAnsi="Arial" w:cs="Arial"/>
        <w:b/>
        <w:sz w:val="48"/>
      </w:rPr>
    </w:pPr>
    <w:r w:rsidRPr="00C64CCC">
      <w:rPr>
        <w:rFonts w:ascii="Arial" w:hAnsi="Arial" w:cs="Arial"/>
        <w:b/>
        <w:sz w:val="48"/>
      </w:rPr>
      <w:t>EN</w:t>
    </w:r>
    <w:r w:rsidRPr="00C64CC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C64CCC">
      <w:tab/>
    </w:r>
    <w:r w:rsidRPr="00C64CCC">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2C19" w14:textId="77777777" w:rsidR="000C320E" w:rsidRDefault="000C320E" w:rsidP="00C64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4942" w14:textId="77777777" w:rsidR="00F07F26" w:rsidRDefault="00F07F26" w:rsidP="00C16484">
      <w:pPr>
        <w:spacing w:before="0" w:after="0"/>
      </w:pPr>
      <w:r>
        <w:separator/>
      </w:r>
    </w:p>
  </w:footnote>
  <w:footnote w:type="continuationSeparator" w:id="0">
    <w:p w14:paraId="298144EA" w14:textId="77777777" w:rsidR="00F07F26" w:rsidRDefault="00F07F26" w:rsidP="00C16484">
      <w:pPr>
        <w:spacing w:before="0" w:after="0"/>
      </w:pPr>
      <w:r>
        <w:continuationSeparator/>
      </w:r>
    </w:p>
  </w:footnote>
  <w:footnote w:type="continuationNotice" w:id="1">
    <w:p w14:paraId="57F8940A" w14:textId="77777777" w:rsidR="00F07F26" w:rsidRDefault="00F07F26">
      <w:pPr>
        <w:spacing w:before="0" w:after="0"/>
      </w:pPr>
    </w:p>
  </w:footnote>
  <w:footnote w:id="2">
    <w:p w14:paraId="33763137" w14:textId="77777777" w:rsidR="00C16484" w:rsidRPr="002A43D8" w:rsidRDefault="00C16484" w:rsidP="00C16484">
      <w:pPr>
        <w:pStyle w:val="FootnoteText"/>
        <w:rPr>
          <w:lang w:val="nl-NL"/>
        </w:rPr>
      </w:pPr>
      <w:r w:rsidRPr="002A43D8">
        <w:rPr>
          <w:rStyle w:val="FootnoteReference"/>
        </w:rPr>
        <w:footnoteRef/>
      </w:r>
      <w:r w:rsidR="00E23B80" w:rsidRPr="002A43D8">
        <w:rPr>
          <w:lang w:val="nl-NL"/>
        </w:rPr>
        <w:tab/>
      </w:r>
      <w:r w:rsidRPr="002A43D8">
        <w:rPr>
          <w:lang w:val="nl-NL"/>
        </w:rPr>
        <w:t xml:space="preserve">OJ L 173, 12.6.2014, p. 190, </w:t>
      </w:r>
      <w:r w:rsidR="00AA038B" w:rsidRPr="009B0295">
        <w:t>ELI: </w:t>
      </w:r>
      <w:hyperlink r:id="rId1" w:tooltip="Gives access to this document through its ELI URI." w:history="1">
        <w:r w:rsidR="00AA038B" w:rsidRPr="009B0295">
          <w:rPr>
            <w:rStyle w:val="Hyperlink"/>
            <w:rFonts w:ascii="Times New Roman" w:hAnsi="Times New Roman"/>
          </w:rPr>
          <w:t>http://data.europa.eu/eli/dir/2014/59/oj</w:t>
        </w:r>
      </w:hyperlink>
      <w:r w:rsidR="003428AE">
        <w:rPr>
          <w:lang w:val="nl-NL"/>
        </w:rPr>
        <w:t>.</w:t>
      </w:r>
      <w:r w:rsidR="00AA038B">
        <w:rPr>
          <w:lang w:val="nl-NL"/>
        </w:rPr>
        <w:t xml:space="preserve"> </w:t>
      </w:r>
    </w:p>
  </w:footnote>
  <w:footnote w:id="3">
    <w:p w14:paraId="584AEAAA" w14:textId="78F88551" w:rsidR="003428AE" w:rsidRPr="009B0295" w:rsidRDefault="003428AE">
      <w:pPr>
        <w:pStyle w:val="FootnoteText"/>
        <w:rPr>
          <w:lang w:val="en-IE"/>
        </w:rPr>
      </w:pPr>
      <w:r w:rsidRPr="00783A3B">
        <w:rPr>
          <w:rStyle w:val="FootnoteReference"/>
        </w:rPr>
        <w:footnoteRef/>
      </w:r>
      <w:r w:rsidR="00783A3B">
        <w:tab/>
      </w:r>
      <w:r w:rsidRPr="009B0295">
        <w:rPr>
          <w:lang w:val="en-IE"/>
        </w:rPr>
        <w:t>Directive (EU) 2024/1174 of the European Parliament and of the Council of 11 April 2024 amending Directive 2014/59/EU and Regulation (EU) No 806/2014 as regards certain aspects of the minimum requirement for own funds and eligible liabilities</w:t>
      </w:r>
      <w:r>
        <w:rPr>
          <w:lang w:val="en-IE"/>
        </w:rPr>
        <w:t xml:space="preserve"> (</w:t>
      </w:r>
      <w:r w:rsidRPr="003428AE">
        <w:rPr>
          <w:lang w:val="en-IE"/>
        </w:rPr>
        <w:t>OJ L, 2024/1174, 22.4.2024, ELI:</w:t>
      </w:r>
      <w:r w:rsidR="009B0295">
        <w:rPr>
          <w:lang w:val="en-IE"/>
        </w:rPr>
        <w:t> </w:t>
      </w:r>
      <w:hyperlink r:id="rId2" w:history="1">
        <w:r w:rsidRPr="005416E3">
          <w:rPr>
            <w:rStyle w:val="Hyperlink"/>
            <w:rFonts w:ascii="Times New Roman" w:hAnsi="Times New Roman"/>
            <w:lang w:val="en-IE"/>
          </w:rPr>
          <w:t>http://data.europa.eu/eli/dir/2024/1174/oj</w:t>
        </w:r>
      </w:hyperlink>
      <w:r>
        <w:rPr>
          <w:lang w:val="en-IE"/>
        </w:rPr>
        <w:t xml:space="preserve">). </w:t>
      </w:r>
    </w:p>
  </w:footnote>
  <w:footnote w:id="4">
    <w:p w14:paraId="4D1953DF" w14:textId="607C22C8" w:rsidR="001F4496" w:rsidRPr="009B0295" w:rsidRDefault="001F4496">
      <w:pPr>
        <w:pStyle w:val="FootnoteText"/>
        <w:rPr>
          <w:lang w:val="en-IE"/>
        </w:rPr>
      </w:pPr>
      <w:r w:rsidRPr="00783A3B">
        <w:rPr>
          <w:rStyle w:val="FootnoteReference"/>
        </w:rPr>
        <w:footnoteRef/>
      </w:r>
      <w:r w:rsidR="00783A3B">
        <w:tab/>
      </w:r>
      <w:r w:rsidRPr="001F4496">
        <w:t xml:space="preserve">Commission Implementing Regulation (EU) 2021/622 of 15 April 2021 laying down implementing technical standards for the application of Directive 2014/59/EU of the European Parliament and of the Council with regard to uniform reporting templates, instructions and methodology for reporting on the minimum requirement for own funds and eligible liabilities (OJ L 131, 16.4.2021, p. 123-136, ELI: </w:t>
      </w:r>
      <w:hyperlink r:id="rId3" w:history="1">
        <w:r w:rsidRPr="005416E3">
          <w:rPr>
            <w:rStyle w:val="Hyperlink"/>
            <w:rFonts w:ascii="Times New Roman" w:hAnsi="Times New Roman"/>
          </w:rPr>
          <w:t>http://data.europa.eu/eli/reg_impl/2021/622/oj</w:t>
        </w:r>
      </w:hyperlink>
      <w:r w:rsidRPr="001F4496">
        <w:t>).</w:t>
      </w:r>
    </w:p>
  </w:footnote>
  <w:footnote w:id="5">
    <w:p w14:paraId="5FB3833A" w14:textId="77777777" w:rsidR="000B5B60" w:rsidRPr="000B5B60" w:rsidRDefault="000B5B60">
      <w:pPr>
        <w:pStyle w:val="FootnoteText"/>
        <w:rPr>
          <w:lang w:val="en-IE"/>
        </w:rPr>
      </w:pPr>
      <w:r>
        <w:rPr>
          <w:rStyle w:val="FootnoteReference"/>
        </w:rPr>
        <w:footnoteRef/>
      </w:r>
      <w:r>
        <w:rPr>
          <w:lang w:val="en-IE"/>
        </w:rPr>
        <w:tab/>
      </w:r>
      <w:r w:rsidRPr="000B5B60">
        <w:rPr>
          <w:lang w:val="en-IE"/>
        </w:rPr>
        <w:t xml:space="preserve">Commission Implementing Regulation (EU) 2021/763 of 23 April 2021 laying down implementing technical standards for the application of Regulation (EU) No 575/2013 of the European Parliament and of the Council and Directive 2014/59/EU of the European Parliament and of the Council with regard to the supervisory reporting and public disclosure of the minimum requirement for own funds and eligible liabilities (OJ L 168, 12.5.2021, ELI: </w:t>
      </w:r>
      <w:hyperlink r:id="rId4" w:history="1">
        <w:r w:rsidR="0042702A" w:rsidRPr="00D761FD">
          <w:rPr>
            <w:rStyle w:val="Hyperlink"/>
            <w:rFonts w:ascii="Times New Roman" w:hAnsi="Times New Roman"/>
            <w:lang w:val="en-IE"/>
          </w:rPr>
          <w:t>http://data.europa.eu/eli/reg_impl/2021/763/oj</w:t>
        </w:r>
      </w:hyperlink>
      <w:r w:rsidRPr="000B5B60">
        <w:rPr>
          <w:lang w:val="en-IE"/>
        </w:rPr>
        <w:t>).</w:t>
      </w:r>
    </w:p>
  </w:footnote>
  <w:footnote w:id="6">
    <w:p w14:paraId="04BE3385" w14:textId="77777777" w:rsidR="00401F3A" w:rsidRPr="00FE7BD1" w:rsidRDefault="00401F3A" w:rsidP="00F35BD7">
      <w:pPr>
        <w:pStyle w:val="FootnoteText"/>
      </w:pPr>
      <w:r>
        <w:rPr>
          <w:rStyle w:val="FootnoteReference"/>
        </w:rPr>
        <w:footnoteRef/>
      </w:r>
      <w:r w:rsidRPr="003838B9">
        <w:rPr>
          <w:lang w:val="en-IE"/>
        </w:rPr>
        <w:tab/>
      </w:r>
      <w:r w:rsidR="00F35BD7" w:rsidRPr="00FE7BD1">
        <w:t>Regulation (EU) No 1093/2010 of the European Parliament and of the Council of 24 November 2010 establishing a European Supervisory Authority (European Banking Authority), amending Decision No</w:t>
      </w:r>
      <w:r w:rsidR="00B97308" w:rsidRPr="00FE7BD1">
        <w:t> </w:t>
      </w:r>
      <w:r w:rsidR="00F35BD7" w:rsidRPr="00FE7BD1">
        <w:t xml:space="preserve">716/2009/EC and repealing Commission Decision 2009/78/EC (OJ L 331, 15.12.2010, p. 12, </w:t>
      </w:r>
      <w:r w:rsidR="00373FC4" w:rsidRPr="00FE7BD1">
        <w:t>ELI: </w:t>
      </w:r>
      <w:hyperlink r:id="rId5" w:tooltip="Gives access to this document through its ELI URI." w:history="1">
        <w:r w:rsidR="00373FC4" w:rsidRPr="00FE7BD1">
          <w:rPr>
            <w:rStyle w:val="Hyperlink"/>
            <w:rFonts w:ascii="Times New Roman" w:hAnsi="Times New Roman"/>
          </w:rPr>
          <w:t>http://data.europa.eu/eli/reg/2010/1093/oj</w:t>
        </w:r>
      </w:hyperlink>
      <w:r w:rsidR="00373FC4" w:rsidRPr="00FE7BD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2078" w14:textId="77777777" w:rsidR="00AE4482" w:rsidRPr="00C64CCC" w:rsidRDefault="00AE4482" w:rsidP="00C64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5D9C" w14:textId="77777777" w:rsidR="00AE4482" w:rsidRPr="00C64CCC" w:rsidRDefault="00AE4482" w:rsidP="00C64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406A" w14:textId="77777777" w:rsidR="00AE4482" w:rsidRPr="00C64CCC" w:rsidRDefault="00AE4482" w:rsidP="00C64C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C1D2" w14:textId="77777777" w:rsidR="000C320E" w:rsidRDefault="000C32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10A3" w14:textId="77777777" w:rsidR="000C320E" w:rsidRDefault="000C3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1B8BE2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E56832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CAC290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25511920">
    <w:abstractNumId w:val="3"/>
  </w:num>
  <w:num w:numId="2" w16cid:durableId="784347441">
    <w:abstractNumId w:val="18"/>
    <w:lvlOverride w:ilvl="0">
      <w:startOverride w:val="1"/>
    </w:lvlOverride>
  </w:num>
  <w:num w:numId="3" w16cid:durableId="2119445392">
    <w:abstractNumId w:val="2"/>
  </w:num>
  <w:num w:numId="4" w16cid:durableId="1881360427">
    <w:abstractNumId w:val="1"/>
  </w:num>
  <w:num w:numId="5" w16cid:durableId="309334442">
    <w:abstractNumId w:val="0"/>
  </w:num>
  <w:num w:numId="6" w16cid:durableId="861095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9693441">
    <w:abstractNumId w:val="15"/>
  </w:num>
  <w:num w:numId="8" w16cid:durableId="1693998065">
    <w:abstractNumId w:val="8"/>
  </w:num>
  <w:num w:numId="9" w16cid:durableId="788817884">
    <w:abstractNumId w:val="17"/>
  </w:num>
  <w:num w:numId="10" w16cid:durableId="1535464848">
    <w:abstractNumId w:val="7"/>
  </w:num>
  <w:num w:numId="11" w16cid:durableId="639657071">
    <w:abstractNumId w:val="9"/>
  </w:num>
  <w:num w:numId="12" w16cid:durableId="361050661">
    <w:abstractNumId w:val="10"/>
  </w:num>
  <w:num w:numId="13" w16cid:durableId="472790552">
    <w:abstractNumId w:val="5"/>
  </w:num>
  <w:num w:numId="14" w16cid:durableId="384646725">
    <w:abstractNumId w:val="16"/>
  </w:num>
  <w:num w:numId="15" w16cid:durableId="2031682509">
    <w:abstractNumId w:val="4"/>
  </w:num>
  <w:num w:numId="16" w16cid:durableId="150604668">
    <w:abstractNumId w:val="11"/>
  </w:num>
  <w:num w:numId="17" w16cid:durableId="472332852">
    <w:abstractNumId w:val="13"/>
  </w:num>
  <w:num w:numId="18" w16cid:durableId="1298296966">
    <w:abstractNumId w:val="14"/>
  </w:num>
  <w:num w:numId="19" w16cid:durableId="1306230484">
    <w:abstractNumId w:val="6"/>
  </w:num>
  <w:num w:numId="20" w16cid:durableId="24066917">
    <w:abstractNumId w:val="12"/>
  </w:num>
  <w:num w:numId="21" w16cid:durableId="48543658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QCDateTime" w:val="2026-01-08 15:10:4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B2E6AE29-7669-4664-8E27-75C29CCDB0F9"/>
    <w:docVar w:name="LW_COVERPAGE_TYPE" w:val="1"/>
    <w:docVar w:name="LW_CreatedUtc" w:val="2025-09-04T16:00:38.0896335Z"/>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4"/>
    <w:docVar w:name="LW_ID_DOCSIGNATURE" w:val="SJ-004"/>
    <w:docVar w:name="LW_ID_DOCSTRUCTURE" w:val="COM/AA"/>
    <w:docVar w:name="LW_ID_DOCTYPE" w:val="SJ-004"/>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6)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the implementing technical standards laid down in Implementing Regulation (EU) 2021/622 as regards the frequency of reporting and the information to be reported"/>
    <w:docVar w:name="LW_TYPE.DOC.CP" w:val="COMMISSION IMPLEMENTING REGULATION (EU) \u8230?/..."/>
  </w:docVars>
  <w:rsids>
    <w:rsidRoot w:val="00C16484"/>
    <w:rsid w:val="00000BE0"/>
    <w:rsid w:val="00016399"/>
    <w:rsid w:val="000417C4"/>
    <w:rsid w:val="00045B9F"/>
    <w:rsid w:val="000625FB"/>
    <w:rsid w:val="00075947"/>
    <w:rsid w:val="000A663E"/>
    <w:rsid w:val="000B5B60"/>
    <w:rsid w:val="000B7A7D"/>
    <w:rsid w:val="000C320E"/>
    <w:rsid w:val="000D3BC2"/>
    <w:rsid w:val="000E5499"/>
    <w:rsid w:val="00115188"/>
    <w:rsid w:val="001151E7"/>
    <w:rsid w:val="00125199"/>
    <w:rsid w:val="0013305B"/>
    <w:rsid w:val="00143ED4"/>
    <w:rsid w:val="00152894"/>
    <w:rsid w:val="0017762B"/>
    <w:rsid w:val="0018141D"/>
    <w:rsid w:val="001A25E7"/>
    <w:rsid w:val="001A6BDC"/>
    <w:rsid w:val="001E3098"/>
    <w:rsid w:val="001E39BF"/>
    <w:rsid w:val="001F2AC0"/>
    <w:rsid w:val="001F4496"/>
    <w:rsid w:val="00214607"/>
    <w:rsid w:val="002259CF"/>
    <w:rsid w:val="002266B1"/>
    <w:rsid w:val="00235A60"/>
    <w:rsid w:val="00244085"/>
    <w:rsid w:val="00244C17"/>
    <w:rsid w:val="00244DFD"/>
    <w:rsid w:val="00246E59"/>
    <w:rsid w:val="00264589"/>
    <w:rsid w:val="0029415E"/>
    <w:rsid w:val="002A43D8"/>
    <w:rsid w:val="002A753D"/>
    <w:rsid w:val="002B37B6"/>
    <w:rsid w:val="002D6B17"/>
    <w:rsid w:val="002F1710"/>
    <w:rsid w:val="0030490D"/>
    <w:rsid w:val="00313AC1"/>
    <w:rsid w:val="00325B37"/>
    <w:rsid w:val="00331377"/>
    <w:rsid w:val="003428AE"/>
    <w:rsid w:val="00353536"/>
    <w:rsid w:val="00364262"/>
    <w:rsid w:val="00373FC4"/>
    <w:rsid w:val="0038290C"/>
    <w:rsid w:val="003838B9"/>
    <w:rsid w:val="00396ACD"/>
    <w:rsid w:val="003B10ED"/>
    <w:rsid w:val="003E05B8"/>
    <w:rsid w:val="003E3FC7"/>
    <w:rsid w:val="003E7D8F"/>
    <w:rsid w:val="003F2A70"/>
    <w:rsid w:val="00401F3A"/>
    <w:rsid w:val="00406CBA"/>
    <w:rsid w:val="004138D9"/>
    <w:rsid w:val="004211F5"/>
    <w:rsid w:val="0042702A"/>
    <w:rsid w:val="00437AA5"/>
    <w:rsid w:val="004518ED"/>
    <w:rsid w:val="00485F6A"/>
    <w:rsid w:val="004918DE"/>
    <w:rsid w:val="00492396"/>
    <w:rsid w:val="004B4C38"/>
    <w:rsid w:val="004D7D54"/>
    <w:rsid w:val="004E19F9"/>
    <w:rsid w:val="004E763F"/>
    <w:rsid w:val="004F04FA"/>
    <w:rsid w:val="004F588A"/>
    <w:rsid w:val="004F6513"/>
    <w:rsid w:val="00506B49"/>
    <w:rsid w:val="00507FF2"/>
    <w:rsid w:val="00517205"/>
    <w:rsid w:val="0052508D"/>
    <w:rsid w:val="00534D3A"/>
    <w:rsid w:val="0054013D"/>
    <w:rsid w:val="00542487"/>
    <w:rsid w:val="00557EAF"/>
    <w:rsid w:val="00582810"/>
    <w:rsid w:val="0058683E"/>
    <w:rsid w:val="005929F6"/>
    <w:rsid w:val="00593EEC"/>
    <w:rsid w:val="00595540"/>
    <w:rsid w:val="005A5382"/>
    <w:rsid w:val="005A55F3"/>
    <w:rsid w:val="005B5FA6"/>
    <w:rsid w:val="005C1F43"/>
    <w:rsid w:val="005D1478"/>
    <w:rsid w:val="005D2C73"/>
    <w:rsid w:val="005D6AA6"/>
    <w:rsid w:val="005E2634"/>
    <w:rsid w:val="005F2B9A"/>
    <w:rsid w:val="00603E01"/>
    <w:rsid w:val="0061453F"/>
    <w:rsid w:val="00642760"/>
    <w:rsid w:val="00643DEF"/>
    <w:rsid w:val="006654AB"/>
    <w:rsid w:val="00667F1D"/>
    <w:rsid w:val="006700C7"/>
    <w:rsid w:val="00685D33"/>
    <w:rsid w:val="006D3FD5"/>
    <w:rsid w:val="006D6949"/>
    <w:rsid w:val="006F20E7"/>
    <w:rsid w:val="006F7EFE"/>
    <w:rsid w:val="007142D9"/>
    <w:rsid w:val="00752552"/>
    <w:rsid w:val="007638EF"/>
    <w:rsid w:val="00763F6E"/>
    <w:rsid w:val="00781585"/>
    <w:rsid w:val="00783A3B"/>
    <w:rsid w:val="007878CB"/>
    <w:rsid w:val="00787E7C"/>
    <w:rsid w:val="0079599D"/>
    <w:rsid w:val="007A7287"/>
    <w:rsid w:val="007D0861"/>
    <w:rsid w:val="007D3D95"/>
    <w:rsid w:val="007E010B"/>
    <w:rsid w:val="007F5C7C"/>
    <w:rsid w:val="00801EB4"/>
    <w:rsid w:val="00802FC2"/>
    <w:rsid w:val="00817121"/>
    <w:rsid w:val="00830365"/>
    <w:rsid w:val="00833B73"/>
    <w:rsid w:val="00843817"/>
    <w:rsid w:val="008460B7"/>
    <w:rsid w:val="00847915"/>
    <w:rsid w:val="008601F7"/>
    <w:rsid w:val="00861270"/>
    <w:rsid w:val="00874305"/>
    <w:rsid w:val="00880A77"/>
    <w:rsid w:val="00897749"/>
    <w:rsid w:val="008A3F6C"/>
    <w:rsid w:val="008B07C8"/>
    <w:rsid w:val="008B3C68"/>
    <w:rsid w:val="008B6AF9"/>
    <w:rsid w:val="008D3EC5"/>
    <w:rsid w:val="008D4062"/>
    <w:rsid w:val="008E2694"/>
    <w:rsid w:val="008E2E76"/>
    <w:rsid w:val="008F234A"/>
    <w:rsid w:val="00902ADE"/>
    <w:rsid w:val="00910118"/>
    <w:rsid w:val="00917A1D"/>
    <w:rsid w:val="00940731"/>
    <w:rsid w:val="009430FB"/>
    <w:rsid w:val="00943538"/>
    <w:rsid w:val="009526D5"/>
    <w:rsid w:val="0095347B"/>
    <w:rsid w:val="00962953"/>
    <w:rsid w:val="00964D55"/>
    <w:rsid w:val="00980CC9"/>
    <w:rsid w:val="009957C5"/>
    <w:rsid w:val="009A4095"/>
    <w:rsid w:val="009B0295"/>
    <w:rsid w:val="009C1E02"/>
    <w:rsid w:val="009D2368"/>
    <w:rsid w:val="009D5F8B"/>
    <w:rsid w:val="009F3A7A"/>
    <w:rsid w:val="00A03DA8"/>
    <w:rsid w:val="00A05FAB"/>
    <w:rsid w:val="00A24E3D"/>
    <w:rsid w:val="00A37D2E"/>
    <w:rsid w:val="00A4162C"/>
    <w:rsid w:val="00A41677"/>
    <w:rsid w:val="00A54A8C"/>
    <w:rsid w:val="00A564DC"/>
    <w:rsid w:val="00A565C7"/>
    <w:rsid w:val="00A719DF"/>
    <w:rsid w:val="00A7647B"/>
    <w:rsid w:val="00AA038B"/>
    <w:rsid w:val="00AB034D"/>
    <w:rsid w:val="00AC6B16"/>
    <w:rsid w:val="00AD5257"/>
    <w:rsid w:val="00AE4482"/>
    <w:rsid w:val="00B01072"/>
    <w:rsid w:val="00B136EC"/>
    <w:rsid w:val="00B14B01"/>
    <w:rsid w:val="00B43EBD"/>
    <w:rsid w:val="00B65FB3"/>
    <w:rsid w:val="00B66E09"/>
    <w:rsid w:val="00B95D78"/>
    <w:rsid w:val="00B97308"/>
    <w:rsid w:val="00BB3BEC"/>
    <w:rsid w:val="00BD02BB"/>
    <w:rsid w:val="00BD3885"/>
    <w:rsid w:val="00BD66E4"/>
    <w:rsid w:val="00C059B6"/>
    <w:rsid w:val="00C10CA6"/>
    <w:rsid w:val="00C11798"/>
    <w:rsid w:val="00C16484"/>
    <w:rsid w:val="00C21AB2"/>
    <w:rsid w:val="00C27976"/>
    <w:rsid w:val="00C3731F"/>
    <w:rsid w:val="00C62388"/>
    <w:rsid w:val="00C63550"/>
    <w:rsid w:val="00C637B0"/>
    <w:rsid w:val="00C64CCC"/>
    <w:rsid w:val="00C87FB3"/>
    <w:rsid w:val="00C9384A"/>
    <w:rsid w:val="00C9629C"/>
    <w:rsid w:val="00C96395"/>
    <w:rsid w:val="00C96A56"/>
    <w:rsid w:val="00CA156D"/>
    <w:rsid w:val="00CA57DA"/>
    <w:rsid w:val="00CA7FE1"/>
    <w:rsid w:val="00CC58EB"/>
    <w:rsid w:val="00CE1382"/>
    <w:rsid w:val="00D02FAD"/>
    <w:rsid w:val="00D0530E"/>
    <w:rsid w:val="00D05DED"/>
    <w:rsid w:val="00D206AC"/>
    <w:rsid w:val="00D47F83"/>
    <w:rsid w:val="00D5454C"/>
    <w:rsid w:val="00D55CE9"/>
    <w:rsid w:val="00D564F7"/>
    <w:rsid w:val="00D72038"/>
    <w:rsid w:val="00D763BC"/>
    <w:rsid w:val="00D872A1"/>
    <w:rsid w:val="00D93F2F"/>
    <w:rsid w:val="00D966E8"/>
    <w:rsid w:val="00DB4B20"/>
    <w:rsid w:val="00DC3AD5"/>
    <w:rsid w:val="00DC5E29"/>
    <w:rsid w:val="00DD4285"/>
    <w:rsid w:val="00DF1FB9"/>
    <w:rsid w:val="00DF36A6"/>
    <w:rsid w:val="00E07235"/>
    <w:rsid w:val="00E23B80"/>
    <w:rsid w:val="00E25A5F"/>
    <w:rsid w:val="00E32BAC"/>
    <w:rsid w:val="00E33C9F"/>
    <w:rsid w:val="00E36D1F"/>
    <w:rsid w:val="00E42E7E"/>
    <w:rsid w:val="00E43152"/>
    <w:rsid w:val="00E50E5B"/>
    <w:rsid w:val="00E667BA"/>
    <w:rsid w:val="00E7044F"/>
    <w:rsid w:val="00E82B0B"/>
    <w:rsid w:val="00E873DD"/>
    <w:rsid w:val="00E932C3"/>
    <w:rsid w:val="00E979AB"/>
    <w:rsid w:val="00EB3279"/>
    <w:rsid w:val="00EC332E"/>
    <w:rsid w:val="00EC39BC"/>
    <w:rsid w:val="00EE0749"/>
    <w:rsid w:val="00EE140B"/>
    <w:rsid w:val="00EE441C"/>
    <w:rsid w:val="00EE54B9"/>
    <w:rsid w:val="00F07F26"/>
    <w:rsid w:val="00F35BD7"/>
    <w:rsid w:val="00F36982"/>
    <w:rsid w:val="00F41DDB"/>
    <w:rsid w:val="00F629AC"/>
    <w:rsid w:val="00F9249D"/>
    <w:rsid w:val="00F95ED9"/>
    <w:rsid w:val="00FA0BAF"/>
    <w:rsid w:val="00FA382E"/>
    <w:rsid w:val="00FA715C"/>
    <w:rsid w:val="00FB22DB"/>
    <w:rsid w:val="00FC2396"/>
    <w:rsid w:val="00FC5252"/>
    <w:rsid w:val="00FD060F"/>
    <w:rsid w:val="00FD1723"/>
    <w:rsid w:val="00FD5032"/>
    <w:rsid w:val="00FE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8EC4F20"/>
  <w15:docId w15:val="{EDD646E4-8E0C-487A-842A-DA74770F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16484"/>
    <w:pPr>
      <w:numPr>
        <w:numId w:val="1"/>
      </w:numPr>
      <w:tabs>
        <w:tab w:val="clear" w:pos="360"/>
      </w:tabs>
      <w:ind w:left="0" w:firstLine="0"/>
    </w:pPr>
    <w:rPr>
      <w:rFonts w:eastAsia="Times New Roman"/>
      <w:lang w:eastAsia="en-GB"/>
    </w:rPr>
  </w:style>
  <w:style w:type="character" w:styleId="Hyperlink">
    <w:name w:val="Hyperlink"/>
    <w:basedOn w:val="DefaultParagraphFont"/>
    <w:uiPriority w:val="99"/>
    <w:rsid w:val="00C16484"/>
    <w:rPr>
      <w:rFonts w:asciiTheme="majorHAnsi" w:hAnsiTheme="majorHAnsi"/>
      <w:color w:val="F79646" w:themeColor="accent6"/>
      <w:u w:val="single"/>
    </w:rPr>
  </w:style>
  <w:style w:type="numbering" w:customStyle="1" w:styleId="LFO29">
    <w:name w:val="LFO29"/>
    <w:basedOn w:val="NoList"/>
    <w:rsid w:val="00C16484"/>
  </w:style>
  <w:style w:type="paragraph" w:styleId="ListBullet2">
    <w:name w:val="List Bullet 2"/>
    <w:basedOn w:val="Normal"/>
    <w:uiPriority w:val="99"/>
    <w:semiHidden/>
    <w:unhideWhenUsed/>
    <w:rsid w:val="00F9249D"/>
    <w:pPr>
      <w:numPr>
        <w:numId w:val="3"/>
      </w:numPr>
      <w:contextualSpacing/>
    </w:pPr>
  </w:style>
  <w:style w:type="paragraph" w:styleId="ListBullet3">
    <w:name w:val="List Bullet 3"/>
    <w:basedOn w:val="Normal"/>
    <w:uiPriority w:val="99"/>
    <w:semiHidden/>
    <w:unhideWhenUsed/>
    <w:rsid w:val="00F9249D"/>
    <w:pPr>
      <w:numPr>
        <w:numId w:val="4"/>
      </w:numPr>
      <w:contextualSpacing/>
    </w:pPr>
  </w:style>
  <w:style w:type="paragraph" w:styleId="ListBullet4">
    <w:name w:val="List Bullet 4"/>
    <w:basedOn w:val="Normal"/>
    <w:uiPriority w:val="99"/>
    <w:semiHidden/>
    <w:unhideWhenUsed/>
    <w:rsid w:val="00F9249D"/>
    <w:pPr>
      <w:numPr>
        <w:numId w:val="5"/>
      </w:numPr>
      <w:contextualSpacing/>
    </w:pPr>
  </w:style>
  <w:style w:type="character" w:styleId="CommentReference">
    <w:name w:val="annotation reference"/>
    <w:basedOn w:val="DefaultParagraphFont"/>
    <w:uiPriority w:val="99"/>
    <w:semiHidden/>
    <w:unhideWhenUsed/>
    <w:rsid w:val="008A3F6C"/>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Revision">
    <w:name w:val="Revision"/>
    <w:hidden/>
    <w:uiPriority w:val="99"/>
    <w:semiHidden/>
    <w:rsid w:val="005929F6"/>
    <w:pPr>
      <w:spacing w:after="0" w:line="240" w:lineRule="auto"/>
    </w:pPr>
    <w:rPr>
      <w:rFonts w:ascii="Times New Roman" w:hAnsi="Times New Roman" w:cs="Times New Roman"/>
      <w:sz w:val="24"/>
      <w:lang w:val="en-GB"/>
    </w:rPr>
  </w:style>
  <w:style w:type="paragraph" w:styleId="CommentSubject">
    <w:name w:val="annotation subject"/>
    <w:basedOn w:val="CommentText"/>
    <w:next w:val="CommentText"/>
    <w:link w:val="CommentSubjectChar"/>
    <w:uiPriority w:val="99"/>
    <w:semiHidden/>
    <w:unhideWhenUsed/>
    <w:rsid w:val="00CA7FE1"/>
    <w:rPr>
      <w:b/>
      <w:bCs/>
    </w:rPr>
  </w:style>
  <w:style w:type="character" w:customStyle="1" w:styleId="CommentSubjectChar">
    <w:name w:val="Comment Subject Char"/>
    <w:basedOn w:val="CommentTextChar"/>
    <w:link w:val="CommentSubject"/>
    <w:uiPriority w:val="99"/>
    <w:semiHidden/>
    <w:rsid w:val="00CA7FE1"/>
    <w:rPr>
      <w:rFonts w:ascii="Times New Roman" w:hAnsi="Times New Roman" w:cs="Times New Roman"/>
      <w:b/>
      <w:bCs/>
      <w:sz w:val="20"/>
      <w:szCs w:val="20"/>
      <w:lang w:val="en-GB"/>
    </w:rPr>
  </w:style>
  <w:style w:type="paragraph" w:styleId="NormalWeb">
    <w:name w:val="Normal (Web)"/>
    <w:basedOn w:val="Normal"/>
    <w:uiPriority w:val="99"/>
    <w:semiHidden/>
    <w:unhideWhenUsed/>
    <w:rsid w:val="00373FC4"/>
    <w:rPr>
      <w:szCs w:val="24"/>
    </w:rPr>
  </w:style>
  <w:style w:type="character" w:styleId="UnresolvedMention">
    <w:name w:val="Unresolved Mention"/>
    <w:basedOn w:val="DefaultParagraphFont"/>
    <w:uiPriority w:val="99"/>
    <w:semiHidden/>
    <w:unhideWhenUsed/>
    <w:rsid w:val="00373FC4"/>
    <w:rPr>
      <w:color w:val="605E5C"/>
      <w:shd w:val="clear" w:color="auto" w:fill="E1DFDD"/>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2176">
      <w:bodyDiv w:val="1"/>
      <w:marLeft w:val="0"/>
      <w:marRight w:val="0"/>
      <w:marTop w:val="0"/>
      <w:marBottom w:val="0"/>
      <w:divBdr>
        <w:top w:val="none" w:sz="0" w:space="0" w:color="auto"/>
        <w:left w:val="none" w:sz="0" w:space="0" w:color="auto"/>
        <w:bottom w:val="none" w:sz="0" w:space="0" w:color="auto"/>
        <w:right w:val="none" w:sz="0" w:space="0" w:color="auto"/>
      </w:divBdr>
      <w:divsChild>
        <w:div w:id="1504860669">
          <w:marLeft w:val="0"/>
          <w:marRight w:val="0"/>
          <w:marTop w:val="0"/>
          <w:marBottom w:val="0"/>
          <w:divBdr>
            <w:top w:val="none" w:sz="0" w:space="0" w:color="auto"/>
            <w:left w:val="none" w:sz="0" w:space="0" w:color="auto"/>
            <w:bottom w:val="none" w:sz="0" w:space="0" w:color="auto"/>
            <w:right w:val="none" w:sz="0" w:space="0" w:color="auto"/>
          </w:divBdr>
          <w:divsChild>
            <w:div w:id="20509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02523">
      <w:bodyDiv w:val="1"/>
      <w:marLeft w:val="0"/>
      <w:marRight w:val="0"/>
      <w:marTop w:val="0"/>
      <w:marBottom w:val="0"/>
      <w:divBdr>
        <w:top w:val="none" w:sz="0" w:space="0" w:color="auto"/>
        <w:left w:val="none" w:sz="0" w:space="0" w:color="auto"/>
        <w:bottom w:val="none" w:sz="0" w:space="0" w:color="auto"/>
        <w:right w:val="none" w:sz="0" w:space="0" w:color="auto"/>
      </w:divBdr>
    </w:div>
    <w:div w:id="2009358183">
      <w:bodyDiv w:val="1"/>
      <w:marLeft w:val="0"/>
      <w:marRight w:val="0"/>
      <w:marTop w:val="0"/>
      <w:marBottom w:val="0"/>
      <w:divBdr>
        <w:top w:val="none" w:sz="0" w:space="0" w:color="auto"/>
        <w:left w:val="none" w:sz="0" w:space="0" w:color="auto"/>
        <w:bottom w:val="none" w:sz="0" w:space="0" w:color="auto"/>
        <w:right w:val="none" w:sz="0" w:space="0" w:color="auto"/>
      </w:divBdr>
    </w:div>
    <w:div w:id="2089576247">
      <w:bodyDiv w:val="1"/>
      <w:marLeft w:val="0"/>
      <w:marRight w:val="0"/>
      <w:marTop w:val="0"/>
      <w:marBottom w:val="0"/>
      <w:divBdr>
        <w:top w:val="none" w:sz="0" w:space="0" w:color="auto"/>
        <w:left w:val="none" w:sz="0" w:space="0" w:color="auto"/>
        <w:bottom w:val="none" w:sz="0" w:space="0" w:color="auto"/>
        <w:right w:val="none" w:sz="0" w:space="0" w:color="auto"/>
      </w:divBdr>
      <w:divsChild>
        <w:div w:id="1220244498">
          <w:marLeft w:val="0"/>
          <w:marRight w:val="0"/>
          <w:marTop w:val="0"/>
          <w:marBottom w:val="0"/>
          <w:divBdr>
            <w:top w:val="none" w:sz="0" w:space="0" w:color="auto"/>
            <w:left w:val="none" w:sz="0" w:space="0" w:color="auto"/>
            <w:bottom w:val="none" w:sz="0" w:space="0" w:color="auto"/>
            <w:right w:val="none" w:sz="0" w:space="0" w:color="auto"/>
          </w:divBdr>
          <w:divsChild>
            <w:div w:id="861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_impl/2021/622/oj" TargetMode="External"/><Relationship Id="rId2" Type="http://schemas.openxmlformats.org/officeDocument/2006/relationships/hyperlink" Target="http://data.europa.eu/eli/dir/2024/1174/oj" TargetMode="External"/><Relationship Id="rId1" Type="http://schemas.openxmlformats.org/officeDocument/2006/relationships/hyperlink" Target="http://data.europa.eu/eli/dir/2014/59/oj" TargetMode="External"/><Relationship Id="rId5" Type="http://schemas.openxmlformats.org/officeDocument/2006/relationships/hyperlink" Target="http://data.europa.eu/eli/reg/2010/1093/oj" TargetMode="External"/><Relationship Id="rId4" Type="http://schemas.openxmlformats.org/officeDocument/2006/relationships/hyperlink" Target="http://data.europa.eu/eli/reg_impl/2021/763/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b8f93157aac40d6a7319473491243df0">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c8488e7b63ff9a6a107f3024ce322df4"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Props1.xml><?xml version="1.0" encoding="utf-8"?>
<ds:datastoreItem xmlns:ds="http://schemas.openxmlformats.org/officeDocument/2006/customXml" ds:itemID="{F14AF581-33E3-408E-95CD-709B93E99837}">
  <ds:schemaRefs>
    <ds:schemaRef ds:uri="http://schemas.openxmlformats.org/officeDocument/2006/bibliography"/>
  </ds:schemaRefs>
</ds:datastoreItem>
</file>

<file path=customXml/itemProps2.xml><?xml version="1.0" encoding="utf-8"?>
<ds:datastoreItem xmlns:ds="http://schemas.openxmlformats.org/officeDocument/2006/customXml" ds:itemID="{9FB74AB9-05CF-4E22-8B2B-667D523C417F}">
  <ds:schemaRefs>
    <ds:schemaRef ds:uri="http://schemas.microsoft.com/sharepoint/v3/contenttype/forms"/>
  </ds:schemaRefs>
</ds:datastoreItem>
</file>

<file path=customXml/itemProps3.xml><?xml version="1.0" encoding="utf-8"?>
<ds:datastoreItem xmlns:ds="http://schemas.openxmlformats.org/officeDocument/2006/customXml" ds:itemID="{3789B0AD-1837-436D-8ABC-63303F7E4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FBD7AB-07EA-4D67-A4B9-4D33FF7955F7}">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COM.dotm</Template>
  <TotalTime>36</TotalTime>
  <Pages>4</Pages>
  <Words>889</Words>
  <Characters>4996</Characters>
  <Application>Microsoft Office Word</Application>
  <DocSecurity>0</DocSecurity>
  <Lines>92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Links>
    <vt:vector size="12" baseType="variant">
      <vt:variant>
        <vt:i4>6291564</vt:i4>
      </vt:variant>
      <vt:variant>
        <vt:i4>3</vt:i4>
      </vt:variant>
      <vt:variant>
        <vt:i4>0</vt:i4>
      </vt:variant>
      <vt:variant>
        <vt:i4>5</vt:i4>
      </vt:variant>
      <vt:variant>
        <vt:lpwstr>http://data.europa.eu/eli/reg/2010/1093/oj</vt:lpwstr>
      </vt:variant>
      <vt:variant>
        <vt:lpwstr/>
      </vt:variant>
      <vt:variant>
        <vt:i4>5570645</vt:i4>
      </vt:variant>
      <vt:variant>
        <vt:i4>0</vt:i4>
      </vt:variant>
      <vt:variant>
        <vt:i4>0</vt:i4>
      </vt:variant>
      <vt:variant>
        <vt:i4>5</vt:i4>
      </vt:variant>
      <vt:variant>
        <vt:lpwstr>http://data.europa.eu/eli/dir/2014/59/oj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DQC</dc:creator>
  <cp:keywords/>
  <dc:description/>
  <cp:lastModifiedBy>GKOUTZELA Sofia (FISMA)</cp:lastModifiedBy>
  <cp:revision>24</cp:revision>
  <dcterms:created xsi:type="dcterms:W3CDTF">2025-12-05T16:19:00Z</dcterms:created>
  <dcterms:modified xsi:type="dcterms:W3CDTF">2026-01-08T14:10:00Z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8.0.19.5</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GrammarlyDocumentId">
    <vt:lpwstr>45e7adda-2841-4732-9409-07daf4dd17e0</vt:lpwstr>
  </property>
  <property fmtid="{D5CDD505-2E9C-101B-9397-08002B2CF9AE}" pid="11" name="ClassificationContentMarkingHeaderShapeIds">
    <vt:lpwstr>5bd6ffca,36e22233,44991716</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MSIP_Label_6bd9ddd1-4d20-43f6-abfa-fc3c07406f94_Enabled">
    <vt:lpwstr>true</vt:lpwstr>
  </property>
  <property fmtid="{D5CDD505-2E9C-101B-9397-08002B2CF9AE}" pid="15" name="MSIP_Label_6bd9ddd1-4d20-43f6-abfa-fc3c07406f94_SetDate">
    <vt:lpwstr>2025-09-22T07:42:43Z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0c5e0d5a-b50c-4aad-8ac2-d3eb4c37e92e</vt:lpwstr>
  </property>
  <property fmtid="{D5CDD505-2E9C-101B-9397-08002B2CF9AE}" pid="20" name="MSIP_Label_6bd9ddd1-4d20-43f6-abfa-fc3c07406f94_ContentBits">
    <vt:lpwstr>0</vt:lpwstr>
  </property>
  <property fmtid="{D5CDD505-2E9C-101B-9397-08002B2CF9AE}" pid="21" name="MSIP_Label_6bd9ddd1-4d20-43f6-abfa-fc3c07406f94_Tag">
    <vt:lpwstr>10, 3, 0, 1</vt:lpwstr>
  </property>
  <property fmtid="{D5CDD505-2E9C-101B-9397-08002B2CF9AE}" pid="22" name="ContentTypeId">
    <vt:lpwstr>0x010100BAD999D84E12C74482EA5120F5227F6F00217DECAAC21D6B43958DFE68658C192E</vt:lpwstr>
  </property>
  <property fmtid="{D5CDD505-2E9C-101B-9397-08002B2CF9AE}" pid="23" name="MediaServiceImageTags">
    <vt:lpwstr/>
  </property>
  <property fmtid="{D5CDD505-2E9C-101B-9397-08002B2CF9AE}" pid="24" name="DQCStatus">
    <vt:lpwstr>Green (DQC version 03)</vt:lpwstr>
  </property>
</Properties>
</file>