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B900" w14:textId="77777777" w:rsidR="001C3967" w:rsidRPr="008C7C5B" w:rsidRDefault="001C3967" w:rsidP="001C3967">
      <w:pPr>
        <w:jc w:val="center"/>
        <w:rPr>
          <w:rFonts w:ascii="Times New Roman" w:hAnsi="Times New Roman"/>
          <w:sz w:val="24"/>
          <w:szCs w:val="22"/>
        </w:rPr>
      </w:pPr>
      <w:r w:rsidRPr="008C7C5B">
        <w:rPr>
          <w:rFonts w:ascii="Times New Roman" w:hAnsi="Times New Roman"/>
          <w:sz w:val="24"/>
        </w:rPr>
        <w:t>NL</w:t>
      </w:r>
    </w:p>
    <w:p w14:paraId="2097FAFC" w14:textId="77777777" w:rsidR="001C3967" w:rsidRPr="008C7C5B" w:rsidRDefault="001C3967" w:rsidP="001C3967">
      <w:pPr>
        <w:rPr>
          <w:rFonts w:ascii="Times New Roman" w:hAnsi="Times New Roman"/>
          <w:sz w:val="22"/>
        </w:rPr>
      </w:pPr>
    </w:p>
    <w:p w14:paraId="1A446CB5" w14:textId="77777777" w:rsidR="0086495E" w:rsidRPr="008C7C5B" w:rsidRDefault="0086495E" w:rsidP="0086495E">
      <w:pPr>
        <w:jc w:val="center"/>
        <w:rPr>
          <w:rFonts w:ascii="Times New Roman" w:hAnsi="Times New Roman"/>
          <w:sz w:val="24"/>
        </w:rPr>
      </w:pPr>
      <w:r w:rsidRPr="008C7C5B">
        <w:rPr>
          <w:rFonts w:ascii="Times New Roman" w:hAnsi="Times New Roman"/>
          <w:sz w:val="24"/>
        </w:rPr>
        <w:t>BIJLAGE II</w:t>
      </w:r>
    </w:p>
    <w:p w14:paraId="4E0B1D04" w14:textId="28517FF3" w:rsidR="0086495E" w:rsidRPr="008C7C5B" w:rsidRDefault="00763AE1" w:rsidP="0086495E">
      <w:pPr>
        <w:jc w:val="center"/>
        <w:rPr>
          <w:rFonts w:ascii="Times New Roman" w:hAnsi="Times New Roman"/>
          <w:sz w:val="24"/>
        </w:rPr>
      </w:pPr>
      <w:r>
        <w:rPr>
          <w:rFonts w:ascii="Times New Roman" w:hAnsi="Times New Roman"/>
          <w:sz w:val="24"/>
        </w:rPr>
        <w:t>“</w:t>
      </w:r>
      <w:r w:rsidR="0086495E" w:rsidRPr="008C7C5B">
        <w:rPr>
          <w:rFonts w:ascii="Times New Roman" w:hAnsi="Times New Roman"/>
          <w:sz w:val="24"/>
        </w:rPr>
        <w:t>BIJLAGE II</w:t>
      </w:r>
    </w:p>
    <w:p w14:paraId="1B650450" w14:textId="77777777" w:rsidR="0086495E" w:rsidRPr="008C7C5B" w:rsidRDefault="0086495E" w:rsidP="0086495E">
      <w:pPr>
        <w:jc w:val="center"/>
        <w:rPr>
          <w:rFonts w:ascii="Times New Roman" w:hAnsi="Times New Roman"/>
          <w:b/>
          <w:sz w:val="24"/>
        </w:rPr>
      </w:pPr>
      <w:r w:rsidRPr="008C7C5B">
        <w:rPr>
          <w:rFonts w:ascii="Times New Roman" w:hAnsi="Times New Roman"/>
          <w:b/>
          <w:sz w:val="24"/>
        </w:rPr>
        <w:t>INSTRUCTIES VOOR RAPPORTAGE INZAKE EIGEN VERMOGEN EN EIGENVERMOGENSVEREISTEN</w:t>
      </w:r>
    </w:p>
    <w:p w14:paraId="6B9B322A" w14:textId="77777777" w:rsidR="00E26A90" w:rsidRPr="008C7C5B" w:rsidRDefault="00E26A90">
      <w:pPr>
        <w:rPr>
          <w:rFonts w:ascii="Times New Roman" w:hAnsi="Times New Roman"/>
        </w:rPr>
      </w:pPr>
    </w:p>
    <w:p w14:paraId="19ADD1FC" w14:textId="77777777" w:rsidR="00B35565" w:rsidRPr="008C7C5B" w:rsidRDefault="00B35565" w:rsidP="00B35565">
      <w:pPr>
        <w:spacing w:before="0" w:after="0"/>
        <w:jc w:val="left"/>
        <w:rPr>
          <w:rStyle w:val="InstructionsTabelleText"/>
          <w:rFonts w:ascii="Times New Roman" w:hAnsi="Times New Roman"/>
          <w:b/>
          <w:bCs/>
          <w:sz w:val="24"/>
          <w:u w:val="single"/>
        </w:rPr>
      </w:pPr>
      <w:r w:rsidRPr="008C7C5B">
        <w:rPr>
          <w:rStyle w:val="InstructionsTabelleText"/>
          <w:rFonts w:ascii="Times New Roman" w:hAnsi="Times New Roman"/>
          <w:b/>
          <w:sz w:val="24"/>
          <w:u w:val="single"/>
        </w:rPr>
        <w:t>DEEL II: INSTRUCTIES MET BETREKKING TOT DE TEMPLATES</w:t>
      </w:r>
    </w:p>
    <w:p w14:paraId="3C5D79AD" w14:textId="77777777" w:rsidR="00B35565" w:rsidRPr="008C7C5B" w:rsidRDefault="00B35565" w:rsidP="00B35565">
      <w:pPr>
        <w:spacing w:before="0" w:after="0"/>
        <w:jc w:val="left"/>
        <w:rPr>
          <w:rStyle w:val="InstructionsTabelleText"/>
          <w:rFonts w:ascii="Times New Roman" w:hAnsi="Times New Roman"/>
          <w:sz w:val="24"/>
        </w:rPr>
      </w:pPr>
      <w:r w:rsidRPr="008C7C5B">
        <w:rPr>
          <w:rStyle w:val="InstructionsTabelleText"/>
          <w:rFonts w:ascii="Times New Roman" w:hAnsi="Times New Roman"/>
          <w:sz w:val="24"/>
        </w:rPr>
        <w:t xml:space="preserve"> </w:t>
      </w:r>
    </w:p>
    <w:p w14:paraId="6911C679" w14:textId="77777777" w:rsidR="00B35565" w:rsidRPr="008C7C5B" w:rsidRDefault="00B35565" w:rsidP="00B35565">
      <w:pPr>
        <w:spacing w:before="0" w:after="0"/>
        <w:jc w:val="left"/>
        <w:rPr>
          <w:rStyle w:val="InstructionsTabelleText"/>
          <w:rFonts w:ascii="Times New Roman" w:hAnsi="Times New Roman"/>
          <w:sz w:val="24"/>
        </w:rPr>
      </w:pPr>
      <w:r w:rsidRPr="008C7C5B">
        <w:rPr>
          <w:rStyle w:val="InstructionsTabelleText"/>
          <w:rFonts w:ascii="Times New Roman" w:hAnsi="Times New Roman"/>
          <w:sz w:val="24"/>
        </w:rPr>
        <w:t>(…)</w:t>
      </w:r>
    </w:p>
    <w:p w14:paraId="151D21FE" w14:textId="77777777" w:rsidR="00B35565" w:rsidRPr="008C7C5B" w:rsidRDefault="00B35565">
      <w:pPr>
        <w:rPr>
          <w:rFonts w:ascii="Times New Roman" w:hAnsi="Times New Roman"/>
        </w:rPr>
      </w:pPr>
    </w:p>
    <w:p w14:paraId="4DE618F9" w14:textId="77777777" w:rsidR="009658DD" w:rsidRPr="008C7C5B" w:rsidRDefault="009658DD" w:rsidP="009658DD">
      <w:pPr>
        <w:pStyle w:val="Instructionsberschrift2"/>
        <w:numPr>
          <w:ilvl w:val="0"/>
          <w:numId w:val="0"/>
        </w:numPr>
        <w:ind w:left="720" w:hanging="360"/>
        <w:rPr>
          <w:rFonts w:ascii="Times New Roman" w:hAnsi="Times New Roman" w:cs="Times New Roman"/>
          <w:sz w:val="24"/>
          <w:u w:val="none"/>
        </w:rPr>
      </w:pPr>
      <w:r w:rsidRPr="008C7C5B">
        <w:rPr>
          <w:rFonts w:ascii="Times New Roman" w:hAnsi="Times New Roman" w:cs="Times New Roman"/>
          <w:sz w:val="24"/>
          <w:u w:val="none"/>
        </w:rPr>
        <w:t>3.5a. C 10.00 – Krediet- en tegenpartijkredietrisico’s en niet-afgewikkelde transacties: aan output floor onderworpen IRB-blootstellingen</w:t>
      </w:r>
    </w:p>
    <w:p w14:paraId="0F58EFDD" w14:textId="01613982" w:rsidR="009658DD" w:rsidRPr="008C7C5B" w:rsidRDefault="009658DD" w:rsidP="00031259">
      <w:pPr>
        <w:pStyle w:val="Instructionsberschrift2"/>
        <w:numPr>
          <w:ilvl w:val="0"/>
          <w:numId w:val="0"/>
        </w:numPr>
        <w:ind w:left="360"/>
        <w:rPr>
          <w:rFonts w:ascii="Times New Roman" w:hAnsi="Times New Roman" w:cs="Times New Roman"/>
          <w:sz w:val="24"/>
        </w:rPr>
      </w:pPr>
      <w:bookmarkStart w:id="0" w:name="_Toc151714425"/>
      <w:r w:rsidRPr="008C7C5B">
        <w:rPr>
          <w:rFonts w:ascii="Times New Roman" w:hAnsi="Times New Roman" w:cs="Times New Roman"/>
          <w:sz w:val="24"/>
          <w:u w:val="none"/>
        </w:rPr>
        <w:t xml:space="preserve">3.5a.1. </w:t>
      </w:r>
      <w:r w:rsidRPr="008C7C5B">
        <w:rPr>
          <w:rFonts w:ascii="Times New Roman" w:hAnsi="Times New Roman" w:cs="Times New Roman"/>
          <w:sz w:val="24"/>
        </w:rPr>
        <w:t>Algemene opmerkingen</w:t>
      </w:r>
      <w:bookmarkEnd w:id="0"/>
    </w:p>
    <w:p w14:paraId="61F697DF" w14:textId="7433E710" w:rsidR="009658DD" w:rsidRPr="008C7C5B" w:rsidRDefault="007F005E" w:rsidP="009658DD">
      <w:pPr>
        <w:pStyle w:val="InstructionsText2"/>
        <w:numPr>
          <w:ilvl w:val="0"/>
          <w:numId w:val="0"/>
        </w:numPr>
        <w:ind w:left="1353"/>
        <w:rPr>
          <w:noProof/>
        </w:rPr>
      </w:pPr>
      <w:r w:rsidRPr="008C7C5B">
        <w:t>91b. Instellingen die de IRB-benadering toepassen, rapporteren in C 10.00 de IRB-blootstellingen uitgesplitst naar blootstellingscategorie, evenals informatie over de berekening van het standaardtotaal van de risicoposten voor deze blootstellingen. Kolommen 0100-0120 verzamelen informatie over het effect van overgangsbepalingen in verband met de output floor op deze blootstellingen.</w:t>
      </w:r>
    </w:p>
    <w:p w14:paraId="757B818D" w14:textId="3ED1BD9A" w:rsidR="00031259" w:rsidRPr="008C7C5B" w:rsidRDefault="00031259" w:rsidP="00031259">
      <w:pPr>
        <w:pStyle w:val="InstructionsText2"/>
        <w:numPr>
          <w:ilvl w:val="0"/>
          <w:numId w:val="0"/>
        </w:numPr>
        <w:ind w:left="1353"/>
        <w:rPr>
          <w:noProof/>
        </w:rPr>
      </w:pPr>
      <w:r w:rsidRPr="008C7C5B">
        <w:t>91c. Instellingen die voor de berekening van de blootstellingswaarde van SA-blootstellingen de internemodellenmethode (IMM) zoals bepaald in afdeling 6 van hoofdstuk 6 van Verordening (EU) nr. 575/2013, toepassen, rapporteren rij 0270 van deze template.</w:t>
      </w:r>
    </w:p>
    <w:p w14:paraId="4C2D34C1" w14:textId="18F2C523" w:rsidR="009658DD" w:rsidRPr="008C7C5B" w:rsidRDefault="009658DD" w:rsidP="009658DD">
      <w:pPr>
        <w:pStyle w:val="Instructionsberschrift2"/>
        <w:numPr>
          <w:ilvl w:val="0"/>
          <w:numId w:val="0"/>
        </w:numPr>
        <w:ind w:left="360"/>
        <w:rPr>
          <w:rFonts w:ascii="Times New Roman" w:hAnsi="Times New Roman" w:cs="Times New Roman"/>
          <w:sz w:val="24"/>
        </w:rPr>
      </w:pPr>
      <w:bookmarkStart w:id="1" w:name="_Toc151714426"/>
      <w:r w:rsidRPr="008C7C5B">
        <w:rPr>
          <w:rFonts w:ascii="Times New Roman" w:hAnsi="Times New Roman" w:cs="Times New Roman"/>
          <w:sz w:val="24"/>
          <w:u w:val="none"/>
        </w:rPr>
        <w:t xml:space="preserve">3.5a.2. </w:t>
      </w:r>
      <w:r w:rsidRPr="008C7C5B">
        <w:rPr>
          <w:rFonts w:ascii="Times New Roman" w:hAnsi="Times New Roman" w:cs="Times New Roman"/>
          <w:sz w:val="24"/>
        </w:rPr>
        <w:t>Instructies voor specifieke posities</w:t>
      </w:r>
      <w:bookmarkEnd w:id="1"/>
    </w:p>
    <w:tbl>
      <w:tblPr>
        <w:tblW w:w="9634" w:type="dxa"/>
        <w:tblLook w:val="01E0" w:firstRow="1" w:lastRow="1" w:firstColumn="1" w:lastColumn="1" w:noHBand="0" w:noVBand="0"/>
      </w:tblPr>
      <w:tblGrid>
        <w:gridCol w:w="1129"/>
        <w:gridCol w:w="8"/>
        <w:gridCol w:w="8497"/>
      </w:tblGrid>
      <w:tr w:rsidR="009658DD" w:rsidRPr="008C7C5B"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8C7C5B" w:rsidRDefault="009658DD" w:rsidP="00822842">
            <w:pPr>
              <w:spacing w:beforeLines="60" w:before="144" w:afterLines="60" w:after="144"/>
              <w:rPr>
                <w:rStyle w:val="InstructionsTabelleText"/>
                <w:rFonts w:ascii="Times New Roman" w:hAnsi="Times New Roman"/>
                <w:b/>
                <w:sz w:val="24"/>
              </w:rPr>
            </w:pPr>
            <w:r w:rsidRPr="008C7C5B">
              <w:rPr>
                <w:rStyle w:val="InstructionsTabelleText"/>
                <w:rFonts w:ascii="Times New Roman" w:hAnsi="Times New Roman"/>
                <w:b/>
                <w:sz w:val="24"/>
              </w:rPr>
              <w:t>Kolommen</w:t>
            </w:r>
          </w:p>
        </w:tc>
      </w:tr>
      <w:tr w:rsidR="009658DD" w:rsidRPr="008C7C5B"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0010</w:t>
            </w:r>
          </w:p>
        </w:tc>
        <w:tc>
          <w:tcPr>
            <w:tcW w:w="8497" w:type="dxa"/>
          </w:tcPr>
          <w:p w14:paraId="0A86BDA1" w14:textId="77777777" w:rsidR="009658DD" w:rsidRPr="008C7C5B" w:rsidRDefault="009658DD" w:rsidP="00822842">
            <w:pPr>
              <w:pStyle w:val="InstructionsText"/>
              <w:rPr>
                <w:rStyle w:val="InstructionsTabelleberschrift"/>
                <w:rFonts w:ascii="Times New Roman" w:hAnsi="Times New Roman"/>
              </w:rPr>
            </w:pPr>
            <w:r w:rsidRPr="008C7C5B">
              <w:rPr>
                <w:rStyle w:val="InstructionsTabelleberschrift"/>
                <w:rFonts w:ascii="Times New Roman" w:hAnsi="Times New Roman"/>
              </w:rPr>
              <w:t>OORSPRONKELIJKE BLOOTSTELLING VÓÓR TOEPASSING VAN OMREKENINGSFACTOREN</w:t>
            </w:r>
          </w:p>
          <w:p w14:paraId="6E2574B8" w14:textId="6450DDAF" w:rsidR="009658DD" w:rsidRPr="008C7C5B" w:rsidRDefault="009658DD" w:rsidP="00822842">
            <w:pPr>
              <w:spacing w:beforeLines="60" w:before="144" w:afterLines="60" w:after="144"/>
              <w:rPr>
                <w:rStyle w:val="InstructionsTabelleText"/>
                <w:rFonts w:ascii="Times New Roman" w:hAnsi="Times New Roman"/>
                <w:sz w:val="24"/>
              </w:rPr>
            </w:pPr>
            <w:r w:rsidRPr="008C7C5B">
              <w:rPr>
                <w:rFonts w:ascii="Times New Roman" w:hAnsi="Times New Roman"/>
                <w:sz w:val="24"/>
              </w:rPr>
              <w:t>Zie de instructies voor template C 07.00, kolom 0010.</w:t>
            </w:r>
          </w:p>
        </w:tc>
      </w:tr>
      <w:tr w:rsidR="009658DD" w:rsidRPr="008C7C5B"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0020</w:t>
            </w:r>
          </w:p>
        </w:tc>
        <w:tc>
          <w:tcPr>
            <w:tcW w:w="8497" w:type="dxa"/>
          </w:tcPr>
          <w:p w14:paraId="6F542E1E"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WAARDEAANPASSINGEN EN VOORZIENINGEN IN VERBAND MET DE OORSPRONKELIJKE BLOOTSTELLING</w:t>
            </w:r>
          </w:p>
          <w:p w14:paraId="0B7A2AC4"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Zie de instructies voor template C 07.00, kolom 0030.</w:t>
            </w:r>
          </w:p>
        </w:tc>
      </w:tr>
      <w:tr w:rsidR="009658DD" w:rsidRPr="008C7C5B"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0030</w:t>
            </w:r>
          </w:p>
        </w:tc>
        <w:tc>
          <w:tcPr>
            <w:tcW w:w="8497" w:type="dxa"/>
          </w:tcPr>
          <w:p w14:paraId="2C9DC305"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 NA VERREKENING VAN WAARDEAANPASSINGEN EN VOORZIENINGEN</w:t>
            </w:r>
          </w:p>
          <w:p w14:paraId="6DAAFC5A"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De som van de kolommen 0010 en 0020.</w:t>
            </w:r>
          </w:p>
        </w:tc>
      </w:tr>
      <w:tr w:rsidR="009658DD" w:rsidRPr="008C7C5B"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0040</w:t>
            </w:r>
          </w:p>
        </w:tc>
        <w:tc>
          <w:tcPr>
            <w:tcW w:w="8497" w:type="dxa"/>
          </w:tcPr>
          <w:p w14:paraId="07B9E69A"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BLOOTSTELLINGSWAARDE</w:t>
            </w:r>
          </w:p>
          <w:p w14:paraId="31C89221" w14:textId="597B888A" w:rsidR="009658DD" w:rsidRPr="008C7C5B" w:rsidRDefault="009658DD" w:rsidP="00822842">
            <w:pPr>
              <w:spacing w:beforeLines="60" w:before="144" w:afterLines="60" w:after="144"/>
              <w:rPr>
                <w:rStyle w:val="InstructionsTabelleText"/>
                <w:rFonts w:ascii="Times New Roman" w:hAnsi="Times New Roman"/>
                <w:sz w:val="24"/>
              </w:rPr>
            </w:pPr>
            <w:r w:rsidRPr="008C7C5B">
              <w:rPr>
                <w:rFonts w:ascii="Times New Roman" w:hAnsi="Times New Roman"/>
              </w:rPr>
              <w:lastRenderedPageBreak/>
              <w:t>Zie de instructies voor template C 07.00, kolom 0200.</w:t>
            </w:r>
          </w:p>
        </w:tc>
      </w:tr>
      <w:tr w:rsidR="009658DD" w:rsidRPr="008C7C5B"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lastRenderedPageBreak/>
              <w:t>0050</w:t>
            </w:r>
          </w:p>
        </w:tc>
        <w:tc>
          <w:tcPr>
            <w:tcW w:w="8497" w:type="dxa"/>
          </w:tcPr>
          <w:p w14:paraId="448E18E1" w14:textId="5C7DB538" w:rsidR="009658DD" w:rsidRPr="008C7C5B" w:rsidRDefault="009658DD" w:rsidP="00822842">
            <w:pPr>
              <w:rPr>
                <w:rFonts w:ascii="Times New Roman" w:hAnsi="Times New Roman"/>
                <w:sz w:val="24"/>
              </w:rPr>
            </w:pPr>
            <w:r w:rsidRPr="008C7C5B">
              <w:rPr>
                <w:rStyle w:val="InstructionsTabelleberschrift"/>
                <w:rFonts w:ascii="Times New Roman" w:hAnsi="Times New Roman"/>
                <w:sz w:val="24"/>
              </w:rPr>
              <w:t>WAARVAN: VOORTVLOEIENDE UIT TEGENPARTIJKREDIETRISICO</w:t>
            </w:r>
          </w:p>
          <w:p w14:paraId="080A825F" w14:textId="219531D5" w:rsidR="009658DD" w:rsidRPr="008C7C5B" w:rsidRDefault="009658DD" w:rsidP="00822842">
            <w:pPr>
              <w:spacing w:beforeLines="60" w:before="144" w:afterLines="60" w:after="144"/>
              <w:rPr>
                <w:rStyle w:val="InstructionsTabelleberschrift"/>
                <w:rFonts w:ascii="Times New Roman" w:hAnsi="Times New Roman"/>
                <w:b w:val="0"/>
                <w:sz w:val="24"/>
              </w:rPr>
            </w:pPr>
            <w:r w:rsidRPr="008C7C5B">
              <w:rPr>
                <w:rFonts w:ascii="Times New Roman" w:hAnsi="Times New Roman"/>
                <w:sz w:val="24"/>
              </w:rPr>
              <w:t>Zie de instructies voor template C 07.00, kolom 0210.</w:t>
            </w:r>
          </w:p>
        </w:tc>
      </w:tr>
      <w:tr w:rsidR="009658DD" w:rsidRPr="008C7C5B"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0060-0080</w:t>
            </w:r>
          </w:p>
        </w:tc>
        <w:tc>
          <w:tcPr>
            <w:tcW w:w="8497" w:type="dxa"/>
          </w:tcPr>
          <w:p w14:paraId="75A5626D"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OUTPUT FLOOR</w:t>
            </w:r>
          </w:p>
          <w:p w14:paraId="64BDF185"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Fonts w:ascii="Times New Roman" w:hAnsi="Times New Roman"/>
                <w:sz w:val="24"/>
              </w:rPr>
              <w:t xml:space="preserve">Artikel 92, lid 3 en lid 5, van Verordening (EU) nr. 575/2013 </w:t>
            </w:r>
          </w:p>
        </w:tc>
      </w:tr>
      <w:tr w:rsidR="009658DD" w:rsidRPr="008C7C5B"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0060</w:t>
            </w:r>
          </w:p>
        </w:tc>
        <w:tc>
          <w:tcPr>
            <w:tcW w:w="8497" w:type="dxa"/>
          </w:tcPr>
          <w:p w14:paraId="1B9A1B0D"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S-TREA</w:t>
            </w:r>
          </w:p>
          <w:p w14:paraId="020C8A08"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Het standaardtotaal van de risicoposten (S-TREA) berekend overeenkomstig artikel 92, lid 5, van Verordening (EU) nr. 575/2013.</w:t>
            </w:r>
          </w:p>
        </w:tc>
      </w:tr>
      <w:tr w:rsidR="009658DD" w:rsidRPr="008C7C5B"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0070</w:t>
            </w:r>
          </w:p>
        </w:tc>
        <w:tc>
          <w:tcPr>
            <w:tcW w:w="8497" w:type="dxa"/>
          </w:tcPr>
          <w:p w14:paraId="2DE38CF8"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WAARVAN: VOORTVLOEIENDE UIT TEGENPARTIJKREDIETRISICO</w:t>
            </w:r>
          </w:p>
          <w:p w14:paraId="0DA3DB37"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Het S-TREA voor tegenpartijkredietrisico berekend overeenkomstig de methoden bepaald in deel drie, titel II, hoofdstuk 6, van Verordening (EU) nr. 575/2013</w:t>
            </w:r>
          </w:p>
        </w:tc>
      </w:tr>
      <w:tr w:rsidR="009658DD" w:rsidRPr="008C7C5B"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0080</w:t>
            </w:r>
          </w:p>
        </w:tc>
        <w:tc>
          <w:tcPr>
            <w:tcW w:w="8497" w:type="dxa"/>
          </w:tcPr>
          <w:p w14:paraId="1788967F"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WAARVAN:  MET EEN KREDIETBEOORDELING DOOR EEN AANGEWEZEN EKBI</w:t>
            </w:r>
          </w:p>
          <w:p w14:paraId="6E024992"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Artikel 112, punten a) tot en met d), f), g), l), n), o) en q), van Verordening (EU) nr. 575/2013</w:t>
            </w:r>
          </w:p>
        </w:tc>
      </w:tr>
      <w:tr w:rsidR="009658DD" w:rsidRPr="008C7C5B"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0090-0110</w:t>
            </w:r>
          </w:p>
        </w:tc>
        <w:tc>
          <w:tcPr>
            <w:tcW w:w="8497" w:type="dxa"/>
          </w:tcPr>
          <w:p w14:paraId="50239EBA" w14:textId="73A58BEC"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PRO-MEMORIEPOSTEN: RWEA IN VERBAND MET IMPACT VAN TOEPASSING VAN BEPAALDE OVERGANGSBEPALINGEN</w:t>
            </w:r>
          </w:p>
          <w:p w14:paraId="018D1E5D"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Artikel 92, lid 3, en artikel 465 van Verordening (EU) nr. 575/2013. Het verschil tussen het bedrag van de risicogewogen posten zonder toepassing van de overgangsbepalingen en het bedrag van de risicogewogen posten met toepassing van de overgangsbepalingen wordt gerapporteerd.</w:t>
            </w:r>
          </w:p>
        </w:tc>
      </w:tr>
      <w:tr w:rsidR="009658DD" w:rsidRPr="008C7C5B"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0090</w:t>
            </w:r>
          </w:p>
        </w:tc>
        <w:tc>
          <w:tcPr>
            <w:tcW w:w="8497" w:type="dxa"/>
          </w:tcPr>
          <w:p w14:paraId="3FD78950"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BLOOTSTELLINGEN OP NIET-ZAKELIJK ONROEREND GOED GEDEKT DOOR HYPOTHEKEN TOT 55 % VAN DE WAARDE VAN HET ONROEREND GOED</w:t>
            </w:r>
          </w:p>
          <w:p w14:paraId="4ABBA767"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Artikel 465, lid 5, punt a), van Verordening (EU) nr. 575/2013</w:t>
            </w:r>
          </w:p>
        </w:tc>
      </w:tr>
      <w:tr w:rsidR="009658DD" w:rsidRPr="008C7C5B"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0100</w:t>
            </w:r>
          </w:p>
        </w:tc>
        <w:tc>
          <w:tcPr>
            <w:tcW w:w="8497" w:type="dxa"/>
          </w:tcPr>
          <w:p w14:paraId="226E0B2F"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BLOOTSTELLINGEN OP NIET-ZAKELIJK ONROEREND GOED GEDEKT DOOR HYPOTHEKEN TUSSEN 55 % EN 80 % VAN DE WAARDE VAN HET ONROEREND GOED</w:t>
            </w:r>
          </w:p>
          <w:p w14:paraId="72AFD287"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Artikel 465, lid 5, punt b), van Verordening (EU) nr. 575/2013</w:t>
            </w:r>
          </w:p>
        </w:tc>
      </w:tr>
      <w:tr w:rsidR="009658DD" w:rsidRPr="008C7C5B"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0110</w:t>
            </w:r>
          </w:p>
        </w:tc>
        <w:tc>
          <w:tcPr>
            <w:tcW w:w="8497" w:type="dxa"/>
          </w:tcPr>
          <w:p w14:paraId="52668FDF" w14:textId="77777777" w:rsidR="009658DD" w:rsidRPr="008C7C5B" w:rsidRDefault="009658DD"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BLOOTSTELLINGEN AAN ONDERNEMINGEN ZONDER RATING MET EEN PD-RAMING</w:t>
            </w:r>
          </w:p>
          <w:p w14:paraId="43AA2D10" w14:textId="77777777" w:rsidR="009658DD" w:rsidRPr="008C7C5B" w:rsidDel="007E4D58" w:rsidRDefault="009658DD" w:rsidP="00822842">
            <w:pPr>
              <w:spacing w:beforeLines="60" w:before="144" w:afterLines="60" w:after="144"/>
              <w:rPr>
                <w:rStyle w:val="InstructionsTabelleberschrift"/>
                <w:rFonts w:ascii="Times New Roman" w:hAnsi="Times New Roman"/>
                <w:sz w:val="24"/>
              </w:rPr>
            </w:pPr>
            <w:r w:rsidRPr="008C7C5B">
              <w:rPr>
                <w:rFonts w:ascii="Times New Roman" w:hAnsi="Times New Roman"/>
                <w:sz w:val="24"/>
              </w:rPr>
              <w:t>Artikel 465, lid 3, van Verordening (EU) nr. 575/2013</w:t>
            </w:r>
          </w:p>
        </w:tc>
      </w:tr>
      <w:tr w:rsidR="00F42716" w:rsidRPr="008C7C5B"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8C7C5B" w:rsidRDefault="00F42716"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0120</w:t>
            </w:r>
          </w:p>
        </w:tc>
        <w:tc>
          <w:tcPr>
            <w:tcW w:w="8497" w:type="dxa"/>
          </w:tcPr>
          <w:p w14:paraId="76C04A50" w14:textId="3AA704BF" w:rsidR="00F42716" w:rsidRPr="008C7C5B" w:rsidRDefault="00031259" w:rsidP="00822842">
            <w:pPr>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IRB-BLOOTSTELLINGEN ONDERHEVIG AAN TEGENPARTIJKREDIETRISICO IN HET KADER VAN DE IMM</w:t>
            </w:r>
          </w:p>
          <w:p w14:paraId="44DDA90D" w14:textId="11F3D5C3" w:rsidR="00F42716" w:rsidRPr="008C7C5B" w:rsidRDefault="00F42716" w:rsidP="00822842">
            <w:pPr>
              <w:spacing w:beforeLines="60" w:before="144" w:afterLines="60" w:after="144"/>
              <w:rPr>
                <w:rStyle w:val="InstructionsTabelleberschrift"/>
                <w:rFonts w:ascii="Times New Roman" w:hAnsi="Times New Roman"/>
                <w:b w:val="0"/>
                <w:bCs w:val="0"/>
                <w:sz w:val="24"/>
                <w:u w:val="none"/>
              </w:rPr>
            </w:pPr>
            <w:r w:rsidRPr="008C7C5B">
              <w:rPr>
                <w:rFonts w:ascii="Times New Roman" w:hAnsi="Times New Roman"/>
                <w:sz w:val="24"/>
              </w:rPr>
              <w:lastRenderedPageBreak/>
              <w:t>Artikel 465, lid 4, van Verordening (EU) nr. 575/2013</w:t>
            </w:r>
          </w:p>
        </w:tc>
      </w:tr>
      <w:tr w:rsidR="009658DD" w:rsidRPr="008C7C5B"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8C7C5B" w:rsidRDefault="009658DD" w:rsidP="00822842">
            <w:pPr>
              <w:spacing w:beforeLines="60" w:before="144" w:afterLines="60" w:after="144"/>
              <w:rPr>
                <w:rStyle w:val="InstructionsTabelleText"/>
                <w:rFonts w:ascii="Times New Roman" w:hAnsi="Times New Roman"/>
                <w:b/>
                <w:sz w:val="24"/>
              </w:rPr>
            </w:pPr>
            <w:r w:rsidRPr="008C7C5B">
              <w:rPr>
                <w:rStyle w:val="InstructionsTabelleText"/>
                <w:rFonts w:ascii="Times New Roman" w:hAnsi="Times New Roman"/>
                <w:b/>
                <w:sz w:val="24"/>
              </w:rPr>
              <w:lastRenderedPageBreak/>
              <w:t>Rijen</w:t>
            </w:r>
          </w:p>
        </w:tc>
      </w:tr>
      <w:tr w:rsidR="009658DD" w:rsidRPr="008C7C5B"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TOTALE BLOOTSTELLINGEN</w:t>
            </w:r>
          </w:p>
          <w:p w14:paraId="12F57A9B" w14:textId="77777777" w:rsidR="009658DD" w:rsidRPr="008C7C5B" w:rsidRDefault="009658DD" w:rsidP="00822842">
            <w:pPr>
              <w:keepNext/>
              <w:spacing w:beforeLines="60" w:before="144" w:afterLines="60" w:after="144"/>
              <w:rPr>
                <w:rStyle w:val="InstructionsTabelleText"/>
                <w:rFonts w:ascii="Times New Roman" w:hAnsi="Times New Roman"/>
                <w:sz w:val="24"/>
              </w:rPr>
            </w:pPr>
            <w:r w:rsidRPr="008C7C5B">
              <w:rPr>
                <w:rFonts w:ascii="Times New Roman" w:hAnsi="Times New Roman"/>
                <w:sz w:val="24"/>
              </w:rPr>
              <w:t>Artikel 92, lid 3, en artikelen 95, 96 en 98 van Verordening (EU) nr. 575/2013</w:t>
            </w:r>
          </w:p>
        </w:tc>
      </w:tr>
      <w:tr w:rsidR="009658DD" w:rsidRPr="008C7C5B"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Waarvan: Aanvullende strengere prudentiële vereisten op grond van artikel 124 van Verordening (EU) nr. 575/2013</w:t>
            </w:r>
          </w:p>
          <w:p w14:paraId="1B71DEF4"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Fonts w:ascii="Times New Roman" w:hAnsi="Times New Roman"/>
                <w:sz w:val="24"/>
              </w:rPr>
              <w:t>De instellingen rapporteren de aanvullende risicoposten die nodig zijn om te voldoen aan de strengere prudentiële vereisten zoals die de instellingen na raadpleging van EBA zijn meegedeeld, in overeenstemming met artikel 124, leden 2 en 5, van Verordening (EU) nr. 575/2013.</w:t>
            </w:r>
          </w:p>
        </w:tc>
      </w:tr>
      <w:tr w:rsidR="009658DD" w:rsidRPr="008C7C5B"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Blootstellingscategorieën volgens standaardbenadering met uitzondering van securitisatieposities</w:t>
            </w:r>
          </w:p>
          <w:p w14:paraId="77EE2E97"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CR SA-template op het niveau van de totale blootstellingen. De blootstellingscategorieën volgens de standaardbenadering zijn de in artikel 112 van Verordening (EU) nr. 575/2013 genoemde categorieën, met uitzondering van securitisatieposities.</w:t>
            </w:r>
          </w:p>
        </w:tc>
      </w:tr>
      <w:tr w:rsidR="009658DD" w:rsidRPr="008C7C5B"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Centrale overheden of centrale banken</w:t>
            </w:r>
          </w:p>
          <w:p w14:paraId="07B1B11E"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Regionale overheden of lokale autoriteiten</w:t>
            </w:r>
          </w:p>
          <w:p w14:paraId="4FD1E923"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Publiekrechtelijke lichamen </w:t>
            </w:r>
          </w:p>
          <w:p w14:paraId="1CAF5DD4"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Multilaterale ontwikkelingsbanken</w:t>
            </w:r>
          </w:p>
          <w:p w14:paraId="4C779872"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InstructionsTabelleberschrift"/>
                <w:rFonts w:ascii="Times New Roman" w:hAnsi="Times New Roman"/>
                <w:sz w:val="24"/>
                <w:lang w:val="fr-BE"/>
              </w:rPr>
              <w:t>Internationale organisaties</w:t>
            </w:r>
          </w:p>
          <w:p w14:paraId="0A6B8FF7"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9658DD" w:rsidRPr="008C7C5B"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Instellingen</w:t>
            </w:r>
          </w:p>
          <w:p w14:paraId="41CD1CBD"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Ondernemingen – Overige</w:t>
            </w:r>
          </w:p>
          <w:p w14:paraId="7F09FF3D"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F42716" w:rsidRPr="008C7C5B"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8C7C5B" w:rsidRDefault="00F42716"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lastRenderedPageBreak/>
              <w:t>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Pr="008C7C5B" w:rsidRDefault="00F42716"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blootstellingen aan ondernemingen zonder rating met een pd-raming</w:t>
            </w:r>
          </w:p>
          <w:p w14:paraId="3C17B48F" w14:textId="60283FFA" w:rsidR="00F42716" w:rsidRPr="008C7C5B" w:rsidRDefault="00F42716" w:rsidP="00822842">
            <w:pPr>
              <w:keepNext/>
              <w:spacing w:beforeLines="60" w:before="144" w:afterLines="60" w:after="144"/>
              <w:rPr>
                <w:rStyle w:val="InstructionsTabelleberschrift"/>
                <w:rFonts w:ascii="Times New Roman" w:hAnsi="Times New Roman"/>
                <w:b w:val="0"/>
                <w:bCs w:val="0"/>
                <w:sz w:val="24"/>
                <w:u w:val="none"/>
              </w:rPr>
            </w:pPr>
            <w:r w:rsidRPr="008C7C5B">
              <w:rPr>
                <w:rFonts w:ascii="Times New Roman" w:hAnsi="Times New Roman"/>
                <w:sz w:val="24"/>
              </w:rPr>
              <w:t>Artikel 465, lid 3, van Verordening (EU) nr. 575/2013</w:t>
            </w:r>
          </w:p>
        </w:tc>
      </w:tr>
      <w:tr w:rsidR="009658DD" w:rsidRPr="008C7C5B"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w:t>
            </w:r>
            <w:r w:rsidRPr="008C7C5B">
              <w:rPr>
                <w:rStyle w:val="InstructionsTabelleText"/>
                <w:rFonts w:ascii="Times New Roman" w:hAnsi="Times New Roman"/>
              </w:rPr>
              <w:t>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t>
            </w:r>
            <w:r w:rsidRPr="008C7C5B">
              <w:rPr>
                <w:rStyle w:val="InstructionsTabelleberschrift"/>
                <w:rFonts w:ascii="Times New Roman" w:hAnsi="Times New Roman"/>
              </w:rPr>
              <w:t xml:space="preserve">  </w:t>
            </w:r>
            <w:r w:rsidRPr="008C7C5B">
              <w:rPr>
                <w:rStyle w:val="InstructionsTabelleberschrift"/>
                <w:rFonts w:ascii="Times New Roman" w:hAnsi="Times New Roman"/>
                <w:sz w:val="24"/>
              </w:rPr>
              <w:t>Waarvan: Gekochte kortlopende vorderingen</w:t>
            </w:r>
          </w:p>
          <w:p w14:paraId="6CA59863"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rPr>
            </w:pPr>
            <w:r w:rsidRPr="008C7C5B">
              <w:rPr>
                <w:rFonts w:ascii="Times New Roman" w:hAnsi="Times New Roman"/>
                <w:sz w:val="24"/>
              </w:rPr>
              <w:t>Blootstellingen in het kader van de IRB-benadering toegewezen aan blootstellingscategorie “gekochte kortlopende vorderingen” overeenkomstig artikel 147, lid 2, punt c), iii), van Verordening (EU) nr. 575/2013.</w:t>
            </w:r>
          </w:p>
        </w:tc>
      </w:tr>
      <w:tr w:rsidR="009658DD" w:rsidRPr="008C7C5B"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Ondernemingen – Gespecialiseerde kredietverlening</w:t>
            </w:r>
          </w:p>
          <w:p w14:paraId="1A6312AB"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Particulieren en kleine partijen</w:t>
            </w:r>
          </w:p>
          <w:p w14:paraId="46E09BC6"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t>
            </w:r>
            <w:r w:rsidRPr="008C7C5B">
              <w:rPr>
                <w:rStyle w:val="InstructionsTabelleberschrift"/>
                <w:rFonts w:ascii="Times New Roman" w:hAnsi="Times New Roman"/>
              </w:rPr>
              <w:t xml:space="preserve"> </w:t>
            </w:r>
            <w:r w:rsidRPr="008C7C5B">
              <w:rPr>
                <w:rStyle w:val="InstructionsTabelleberschrift"/>
                <w:rFonts w:ascii="Times New Roman" w:hAnsi="Times New Roman"/>
                <w:sz w:val="24"/>
              </w:rPr>
              <w:t>Waarvan: Gekwalificeerd revolverend</w:t>
            </w:r>
          </w:p>
          <w:p w14:paraId="6784663B"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rPr>
            </w:pPr>
            <w:r w:rsidRPr="008C7C5B">
              <w:rPr>
                <w:rFonts w:ascii="Times New Roman" w:hAnsi="Times New Roman"/>
                <w:sz w:val="24"/>
              </w:rPr>
              <w:t>Blootstellingen in het kader van de IRB-benadering toegewezen aan blootstellingscategorie “gekwalificeerde revolverende blootstellingen” overeenkomstig artikel 147, lid 2, punt d), i), van Verordening (EU) nr. 575/2013.</w:t>
            </w:r>
          </w:p>
        </w:tc>
      </w:tr>
      <w:tr w:rsidR="009658DD" w:rsidRPr="008C7C5B"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Gekochte kortlopende vorderingen</w:t>
            </w:r>
          </w:p>
          <w:p w14:paraId="7A29F356"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rPr>
            </w:pPr>
            <w:r w:rsidRPr="008C7C5B">
              <w:rPr>
                <w:rFonts w:ascii="Times New Roman" w:hAnsi="Times New Roman"/>
                <w:sz w:val="24"/>
              </w:rPr>
              <w:t>Blootstellingen in het kader van de IRB-benadering toegewezen aan blootstellingscategorie “gekochte kortlopende vorderingen” overeenkomstig artikel 147, lid 2, punt d), iii), van Verordening (EU) nr. 575/2013.</w:t>
            </w:r>
          </w:p>
        </w:tc>
      </w:tr>
      <w:tr w:rsidR="009658DD" w:rsidRPr="008C7C5B"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Gedekt door hypotheken op onroerend goed en ADC-blootstellingen </w:t>
            </w:r>
          </w:p>
          <w:p w14:paraId="6A976302"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F42716" w:rsidRPr="008C7C5B"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8C7C5B" w:rsidRDefault="00F42716"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Pr="008C7C5B" w:rsidRDefault="00F42716"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blootstellingen op niet-zakelijk onroerend goed gedekt door hypotheken tot 55 % van de waarde van het onroerend goed</w:t>
            </w:r>
          </w:p>
          <w:p w14:paraId="044648D8" w14:textId="29763600" w:rsidR="00F42716" w:rsidRPr="008C7C5B" w:rsidRDefault="000234CA" w:rsidP="00822842">
            <w:pPr>
              <w:keepNext/>
              <w:spacing w:beforeLines="60" w:before="144" w:afterLines="60" w:after="144"/>
              <w:rPr>
                <w:rStyle w:val="InstructionsTabelleberschrift"/>
                <w:rFonts w:ascii="Times New Roman" w:hAnsi="Times New Roman"/>
                <w:b w:val="0"/>
                <w:bCs w:val="0"/>
                <w:sz w:val="24"/>
                <w:u w:val="none"/>
              </w:rPr>
            </w:pPr>
            <w:r w:rsidRPr="008C7C5B">
              <w:rPr>
                <w:rFonts w:ascii="Times New Roman" w:hAnsi="Times New Roman"/>
                <w:sz w:val="24"/>
              </w:rPr>
              <w:t>Artikel 465, lid 5, punt a), van Verordening (EU) nr. 575/2013</w:t>
            </w:r>
          </w:p>
        </w:tc>
      </w:tr>
      <w:tr w:rsidR="00F42716" w:rsidRPr="008C7C5B"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8C7C5B" w:rsidRDefault="00F42716"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0152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77777777" w:rsidR="00F42716" w:rsidRPr="008C7C5B" w:rsidRDefault="00F42716"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blootstellingen op niet-zakelijk onroerend goed gedekt door hypotheken tussen 55 % en 80 % van de waarde van het onroerend goed</w:t>
            </w:r>
          </w:p>
          <w:p w14:paraId="1F2DFE4A" w14:textId="4701280A" w:rsidR="00F42716" w:rsidRPr="008C7C5B" w:rsidRDefault="000234CA" w:rsidP="00822842">
            <w:pPr>
              <w:keepNext/>
              <w:spacing w:beforeLines="60" w:before="144" w:afterLines="60" w:after="144"/>
              <w:rPr>
                <w:rStyle w:val="InstructionsTabelleberschrift"/>
                <w:rFonts w:ascii="Times New Roman" w:hAnsi="Times New Roman"/>
                <w:b w:val="0"/>
                <w:bCs w:val="0"/>
                <w:sz w:val="24"/>
                <w:u w:val="none"/>
              </w:rPr>
            </w:pPr>
            <w:r w:rsidRPr="008C7C5B">
              <w:rPr>
                <w:rFonts w:ascii="Times New Roman" w:hAnsi="Times New Roman"/>
                <w:sz w:val="24"/>
              </w:rPr>
              <w:t>Artikel 465, lid 5, punt b), van Verordening (EU) nr. 575/2013</w:t>
            </w:r>
          </w:p>
        </w:tc>
      </w:tr>
      <w:tr w:rsidR="001E0830" w:rsidRPr="008C7C5B"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7AC36BD9"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niet-zakelijk onroerend goed — niet-IPRE (gedekt)</w:t>
            </w:r>
          </w:p>
          <w:p w14:paraId="1336D8BC"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53899B6B"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niet-zakelijk onroerend goed — niet-IPRE (niet-gedekt)</w:t>
            </w:r>
          </w:p>
          <w:p w14:paraId="10BC6690"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lastRenderedPageBreak/>
              <w:t>0155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592C798F"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niet-zakelijk onroerend goed — overige — niet-IPRE</w:t>
            </w:r>
          </w:p>
          <w:p w14:paraId="6EFCB6F5"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3893B044"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niet-zakelijk onroerend goed — IPRE</w:t>
            </w:r>
          </w:p>
          <w:p w14:paraId="42EC2934"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056628F0"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overige — IPRE</w:t>
            </w:r>
          </w:p>
          <w:p w14:paraId="0DC38004"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5FB1939F"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niet-IPRE (gedekt)</w:t>
            </w:r>
          </w:p>
          <w:p w14:paraId="16490978" w14:textId="77777777" w:rsidR="001E0830" w:rsidRPr="008C7C5B" w:rsidRDefault="001E0830" w:rsidP="001E0830">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b/>
                <w:sz w:val="24"/>
                <w:u w:val="single"/>
                <w:lang w:val="fr-BE"/>
              </w:rPr>
              <w:t>Zie de CR SA-template.</w:t>
            </w:r>
          </w:p>
        </w:tc>
      </w:tr>
      <w:tr w:rsidR="001E0830" w:rsidRPr="008C7C5B"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0159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5093A28B"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niet-IPRE (niet-gedekt)</w:t>
            </w:r>
          </w:p>
          <w:p w14:paraId="5F988EFF"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49D1BAFB"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overige — niet-IPRE</w:t>
            </w:r>
          </w:p>
          <w:p w14:paraId="23004142"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13A3918A"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IPRE</w:t>
            </w:r>
          </w:p>
          <w:p w14:paraId="4BEE5500"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0162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6BC502FF"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Gedekt door hypotheken op zakelijk onroerend goed — overige — IPRE</w:t>
            </w:r>
          </w:p>
          <w:p w14:paraId="4636ED44"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1E0830" w:rsidRPr="008C7C5B"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8C7C5B" w:rsidRDefault="001E0830" w:rsidP="001E0830">
            <w:pPr>
              <w:spacing w:beforeLines="60" w:before="144" w:afterLines="60" w:after="144"/>
              <w:rPr>
                <w:rStyle w:val="FormatvorlageInstructionsTabelleText"/>
                <w:rFonts w:ascii="Times New Roman" w:hAnsi="Times New Roman"/>
                <w:bCs w:val="0"/>
                <w:sz w:val="24"/>
              </w:rPr>
            </w:pPr>
            <w:r w:rsidRPr="008C7C5B">
              <w:rPr>
                <w:rStyle w:val="FormatvorlageInstructionsTabelleText"/>
                <w:rFonts w:ascii="Times New Roman" w:hAnsi="Times New Roman"/>
                <w:sz w:val="24"/>
              </w:rPr>
              <w:t>0163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69B293C6" w:rsidR="001E0830" w:rsidRPr="008C7C5B" w:rsidRDefault="001E0830" w:rsidP="001E0830">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Verwerving, ontwikkeling en bouw (ADC)</w:t>
            </w:r>
          </w:p>
          <w:p w14:paraId="6F33B2A8" w14:textId="77777777" w:rsidR="001E0830" w:rsidRPr="008C7C5B" w:rsidRDefault="001E0830" w:rsidP="001E0830">
            <w:pPr>
              <w:keepNext/>
              <w:spacing w:beforeLines="60" w:before="144" w:afterLines="60" w:after="144"/>
              <w:rPr>
                <w:rStyle w:val="InstructionsTabelleberschrift"/>
                <w:rFonts w:ascii="Times New Roman" w:hAnsi="Times New Roman"/>
                <w:bCs w:val="0"/>
                <w:sz w:val="24"/>
                <w:u w:val="none"/>
                <w:lang w:val="fr-BE"/>
              </w:rPr>
            </w:pPr>
            <w:r w:rsidRPr="008C7C5B">
              <w:rPr>
                <w:rStyle w:val="FormatvorlageInstructionsTabelleText"/>
                <w:rFonts w:ascii="Times New Roman" w:hAnsi="Times New Roman"/>
                <w:sz w:val="24"/>
                <w:lang w:val="fr-BE"/>
              </w:rPr>
              <w:t>Zie de CR SA-template.</w:t>
            </w:r>
          </w:p>
        </w:tc>
      </w:tr>
      <w:tr w:rsidR="009658DD" w:rsidRPr="008C7C5B"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w:t>
            </w:r>
            <w:r w:rsidRPr="008C7C5B">
              <w:rPr>
                <w:rStyle w:val="FormatvorlageInstructionsTabelleText"/>
                <w:rFonts w:ascii="Times New Roman" w:hAnsi="Times New Roman"/>
                <w:sz w:val="24"/>
              </w:rPr>
              <w:t>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  Waarvan: Ingedeeld als gedekt door niet-zakelijk onroerend goed in IRB</w:t>
            </w:r>
          </w:p>
          <w:p w14:paraId="6209048C"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rPr>
            </w:pPr>
            <w:r w:rsidRPr="008C7C5B">
              <w:rPr>
                <w:rFonts w:ascii="Times New Roman" w:hAnsi="Times New Roman"/>
                <w:sz w:val="24"/>
              </w:rPr>
              <w:t>Blootstellingen in het kader van de IRB-benadering toegewezen aan blootstellingscategorie “door niet-zakelijk onroerend goed gedekte blootstellingen” overeenkomstig artikel 147, lid 2, punt d), ii), van Verordening (EU) nr. 575/2013.</w:t>
            </w:r>
          </w:p>
        </w:tc>
      </w:tr>
      <w:tr w:rsidR="009658DD" w:rsidRPr="008C7C5B"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0180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Blootstellingen waarbij sprake is van wanbetaling </w:t>
            </w:r>
          </w:p>
          <w:p w14:paraId="74934330"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9658DD" w:rsidRPr="008C7C5B"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lastRenderedPageBreak/>
              <w:t>0190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Blootstellingen met betrekking tot achtergestelde schulden</w:t>
            </w:r>
          </w:p>
          <w:p w14:paraId="4F12074B"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9658DD" w:rsidRPr="008C7C5B"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Gedekte obligaties</w:t>
            </w:r>
          </w:p>
          <w:p w14:paraId="16F94FDB"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 xml:space="preserve">Blootstellingen m.b.t. instellingen en ondernemingen met een kredietbeoordeling voor de korte termijn </w:t>
            </w:r>
          </w:p>
          <w:p w14:paraId="5CCE01A3"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9658DD" w:rsidRPr="008C7C5B"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Instellingen voor collectieve belegging (icb’s)</w:t>
            </w:r>
          </w:p>
          <w:p w14:paraId="0AFC1081" w14:textId="77777777" w:rsidR="009658DD" w:rsidRPr="008C7C5B" w:rsidRDefault="009658DD" w:rsidP="00822842">
            <w:pPr>
              <w:keepNext/>
              <w:spacing w:beforeLines="60" w:before="144" w:afterLines="60" w:after="144"/>
              <w:rPr>
                <w:rStyle w:val="InstructionsTabelleberschrift"/>
                <w:rFonts w:ascii="Times New Roman" w:hAnsi="Times New Roman"/>
                <w:sz w:val="24"/>
                <w:lang w:val="fr-BE"/>
              </w:rPr>
            </w:pPr>
            <w:r w:rsidRPr="008C7C5B">
              <w:rPr>
                <w:rStyle w:val="FormatvorlageInstructionsTabelleText"/>
                <w:rFonts w:ascii="Times New Roman" w:hAnsi="Times New Roman"/>
                <w:sz w:val="24"/>
                <w:lang w:val="fr-BE"/>
              </w:rPr>
              <w:t>Zie de CR SA-template.</w:t>
            </w:r>
          </w:p>
        </w:tc>
      </w:tr>
      <w:tr w:rsidR="009658DD" w:rsidRPr="008C7C5B"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Aandelen</w:t>
            </w:r>
          </w:p>
          <w:p w14:paraId="6C586F40"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Andere posten</w:t>
            </w:r>
          </w:p>
          <w:p w14:paraId="7EDA85D1"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FormatvorlageInstructionsTabelleText"/>
                <w:rFonts w:ascii="Times New Roman" w:hAnsi="Times New Roman"/>
                <w:sz w:val="24"/>
              </w:rPr>
              <w:t>Zie de CR SA-template.</w:t>
            </w:r>
          </w:p>
        </w:tc>
      </w:tr>
      <w:tr w:rsidR="009658DD" w:rsidRPr="008C7C5B"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PRO-MEMORIEPOSTEN</w:t>
            </w:r>
          </w:p>
        </w:tc>
      </w:tr>
      <w:tr w:rsidR="009658DD" w:rsidRPr="008C7C5B"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w:t>
            </w:r>
            <w:r w:rsidRPr="008C7C5B">
              <w:rPr>
                <w:rStyle w:val="InstructionsTabelleText"/>
                <w:rFonts w:ascii="Times New Roman" w:hAnsi="Times New Roman"/>
              </w:rPr>
              <w:t>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Ondernemingen — F-IRB</w:t>
            </w:r>
          </w:p>
          <w:p w14:paraId="58B2B8FF"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u w:val="none"/>
              </w:rPr>
            </w:pPr>
            <w:r w:rsidRPr="008C7C5B">
              <w:rPr>
                <w:rStyle w:val="InstructionsTabelleberschrift"/>
                <w:rFonts w:ascii="Times New Roman" w:hAnsi="Times New Roman"/>
                <w:b w:val="0"/>
                <w:sz w:val="24"/>
                <w:u w:val="none"/>
              </w:rPr>
              <w:t>Blootstellingen met betrekking tot ondernemingen behandeld in het kader van de elementaire IRB-benadering</w:t>
            </w:r>
          </w:p>
        </w:tc>
      </w:tr>
      <w:tr w:rsidR="009658DD" w:rsidRPr="008C7C5B"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8C7C5B" w:rsidRDefault="009658DD" w:rsidP="00822842">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w:t>
            </w:r>
            <w:r w:rsidRPr="008C7C5B">
              <w:rPr>
                <w:rStyle w:val="InstructionsTabelleText"/>
                <w:rFonts w:ascii="Times New Roman" w:hAnsi="Times New Roman"/>
              </w:rPr>
              <w:t>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Pr="008C7C5B" w:rsidRDefault="009658DD" w:rsidP="00822842">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Ondernemingen — A-IRB</w:t>
            </w:r>
          </w:p>
          <w:p w14:paraId="595A9482" w14:textId="77777777" w:rsidR="009658DD" w:rsidRPr="008C7C5B" w:rsidRDefault="009658DD" w:rsidP="00822842">
            <w:pPr>
              <w:keepNext/>
              <w:spacing w:beforeLines="60" w:before="144" w:afterLines="60" w:after="144"/>
              <w:rPr>
                <w:rStyle w:val="InstructionsTabelleberschrift"/>
                <w:rFonts w:ascii="Times New Roman" w:hAnsi="Times New Roman"/>
                <w:b w:val="0"/>
                <w:bCs w:val="0"/>
                <w:sz w:val="24"/>
                <w:u w:val="none"/>
              </w:rPr>
            </w:pPr>
            <w:r w:rsidRPr="008C7C5B">
              <w:rPr>
                <w:rStyle w:val="InstructionsTabelleberschrift"/>
                <w:rFonts w:ascii="Times New Roman" w:hAnsi="Times New Roman"/>
                <w:b w:val="0"/>
                <w:sz w:val="24"/>
                <w:u w:val="none"/>
              </w:rPr>
              <w:t>Blootstellingen met betrekking tot ondernemingen behandeld in het kader van de geavanceerde IRB-benadering</w:t>
            </w:r>
          </w:p>
        </w:tc>
      </w:tr>
      <w:tr w:rsidR="00031259" w:rsidRPr="008C7C5B"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Pr="008C7C5B" w:rsidRDefault="00031259" w:rsidP="00035FAB">
            <w:pPr>
              <w:spacing w:beforeLines="60" w:before="144" w:afterLines="60" w:after="144"/>
              <w:rPr>
                <w:rStyle w:val="InstructionsTabelleText"/>
                <w:rFonts w:ascii="Times New Roman" w:hAnsi="Times New Roman"/>
                <w:sz w:val="24"/>
              </w:rPr>
            </w:pPr>
            <w:r w:rsidRPr="008C7C5B">
              <w:rPr>
                <w:rStyle w:val="InstructionsTabelleText"/>
                <w:rFonts w:ascii="Times New Roman" w:hAnsi="Times New Roman"/>
                <w:sz w:val="24"/>
              </w:rPr>
              <w:t>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Pr="008C7C5B" w:rsidRDefault="00031259" w:rsidP="00035FAB">
            <w:pPr>
              <w:keepNext/>
              <w:spacing w:beforeLines="60" w:before="144" w:afterLines="60" w:after="144"/>
              <w:rPr>
                <w:rStyle w:val="InstructionsTabelleberschrift"/>
                <w:rFonts w:ascii="Times New Roman" w:hAnsi="Times New Roman"/>
                <w:sz w:val="24"/>
              </w:rPr>
            </w:pPr>
            <w:r w:rsidRPr="008C7C5B">
              <w:rPr>
                <w:rStyle w:val="InstructionsTabelleberschrift"/>
                <w:rFonts w:ascii="Times New Roman" w:hAnsi="Times New Roman"/>
                <w:sz w:val="24"/>
              </w:rPr>
              <w:t>SA-blootstellingen onderhevig aan tegenpartijkredietrisico in het kader van de IMM</w:t>
            </w:r>
          </w:p>
          <w:p w14:paraId="2E869C45" w14:textId="77777777" w:rsidR="00031259" w:rsidRPr="008C7C5B" w:rsidRDefault="00031259" w:rsidP="00035FAB">
            <w:pPr>
              <w:keepNext/>
              <w:spacing w:beforeLines="60" w:before="144" w:afterLines="60" w:after="144"/>
              <w:rPr>
                <w:rStyle w:val="InstructionsTabelleberschrift"/>
                <w:rFonts w:ascii="Times New Roman" w:hAnsi="Times New Roman"/>
                <w:b w:val="0"/>
                <w:bCs w:val="0"/>
                <w:sz w:val="24"/>
                <w:u w:val="none"/>
              </w:rPr>
            </w:pPr>
            <w:r w:rsidRPr="008C7C5B">
              <w:rPr>
                <w:rStyle w:val="InstructionsTabelleberschrift"/>
                <w:rFonts w:ascii="Times New Roman" w:hAnsi="Times New Roman"/>
                <w:b w:val="0"/>
                <w:sz w:val="24"/>
                <w:u w:val="none"/>
              </w:rPr>
              <w:t>Artikel 465, lid 4, van Verordening (EU) nr. 575/2013</w:t>
            </w:r>
          </w:p>
        </w:tc>
      </w:tr>
    </w:tbl>
    <w:p w14:paraId="45E26769" w14:textId="77777777" w:rsidR="009658DD" w:rsidRPr="008C7C5B" w:rsidRDefault="009658DD">
      <w:pPr>
        <w:rPr>
          <w:rFonts w:ascii="Times New Roman" w:hAnsi="Times New Roman"/>
        </w:rPr>
      </w:pPr>
    </w:p>
    <w:p w14:paraId="0DCEB443" w14:textId="77777777" w:rsidR="009658DD" w:rsidRPr="008C7C5B" w:rsidRDefault="009658DD">
      <w:pPr>
        <w:rPr>
          <w:rFonts w:ascii="Times New Roman" w:hAnsi="Times New Roman"/>
        </w:rPr>
      </w:pPr>
    </w:p>
    <w:sectPr w:rsidR="009658DD" w:rsidRPr="008C7C5B">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63AE1"/>
    <w:rsid w:val="007F005E"/>
    <w:rsid w:val="0086495E"/>
    <w:rsid w:val="008C7C5B"/>
    <w:rsid w:val="00903A46"/>
    <w:rsid w:val="009658DD"/>
    <w:rsid w:val="00980154"/>
    <w:rsid w:val="00A17931"/>
    <w:rsid w:val="00A6002C"/>
    <w:rsid w:val="00B137CA"/>
    <w:rsid w:val="00B303D8"/>
    <w:rsid w:val="00B35565"/>
    <w:rsid w:val="00B71F25"/>
    <w:rsid w:val="00CB7E34"/>
    <w:rsid w:val="00E26A90"/>
    <w:rsid w:val="00E45F82"/>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FEF416-2AB3-4BAA-A1B6-EFE0B495D699}"/>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1159</Words>
  <Characters>7365</Characters>
  <Application>Microsoft Office Word</Application>
  <DocSecurity>0</DocSecurity>
  <Lines>253</Lines>
  <Paragraphs>207</Paragraphs>
  <ScaleCrop>false</ScaleCrop>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2025-01-24T13:55:00Z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2025-01-24T11:44:58Z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392da74a-75b3-4515-90da-b05460c8b2ef</vt:lpwstr>
  </property>
  <property fmtid="{D5CDD505-2E9C-101B-9397-08002B2CF9AE}" pid="9" name="MSIP_Label_6bd9ddd1-4d20-43f6-abfa-fc3c07406f94_ContentBits">
    <vt:lpwstr>0</vt:lpwstr>
  </property>
</Properties>
</file>