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Pr="00496FE5" w:rsidRDefault="00FA1E0E" w:rsidP="00FA1E0E">
      <w:pPr>
        <w:jc w:val="center"/>
        <w:rPr>
          <w:rFonts w:ascii="Times New Roman" w:hAnsi="Times New Roman"/>
          <w:sz w:val="24"/>
          <w:szCs w:val="22"/>
        </w:rPr>
      </w:pPr>
      <w:r w:rsidRPr="00496FE5">
        <w:rPr>
          <w:rFonts w:ascii="Times New Roman" w:hAnsi="Times New Roman"/>
          <w:sz w:val="24"/>
        </w:rPr>
        <w:t>NL</w:t>
      </w:r>
    </w:p>
    <w:p w14:paraId="2A534E61" w14:textId="77777777" w:rsidR="00FA1E0E" w:rsidRPr="00496FE5" w:rsidRDefault="00FA1E0E" w:rsidP="00FA1E0E">
      <w:pPr>
        <w:rPr>
          <w:rFonts w:ascii="Times New Roman" w:hAnsi="Times New Roman"/>
          <w:sz w:val="22"/>
        </w:rPr>
      </w:pPr>
    </w:p>
    <w:p w14:paraId="4613AAF8" w14:textId="77777777" w:rsidR="00C61CB8" w:rsidRPr="00496FE5" w:rsidRDefault="00C61CB8" w:rsidP="00C61CB8">
      <w:pPr>
        <w:jc w:val="center"/>
        <w:rPr>
          <w:rFonts w:ascii="Times New Roman" w:hAnsi="Times New Roman"/>
          <w:sz w:val="24"/>
        </w:rPr>
      </w:pPr>
      <w:r w:rsidRPr="00496FE5">
        <w:rPr>
          <w:rFonts w:ascii="Times New Roman" w:hAnsi="Times New Roman"/>
          <w:sz w:val="24"/>
        </w:rPr>
        <w:t>BIJLAGE II</w:t>
      </w:r>
    </w:p>
    <w:p w14:paraId="7B92C63B" w14:textId="23A8F028" w:rsidR="00C61CB8" w:rsidRPr="00496FE5" w:rsidRDefault="006A51C4" w:rsidP="00C61CB8">
      <w:pPr>
        <w:jc w:val="center"/>
        <w:rPr>
          <w:rFonts w:ascii="Times New Roman" w:hAnsi="Times New Roman"/>
          <w:sz w:val="24"/>
        </w:rPr>
      </w:pPr>
      <w:r>
        <w:rPr>
          <w:rFonts w:ascii="Times New Roman" w:hAnsi="Times New Roman"/>
          <w:sz w:val="24"/>
        </w:rPr>
        <w:t>“</w:t>
      </w:r>
      <w:r w:rsidR="00C61CB8" w:rsidRPr="00496FE5">
        <w:rPr>
          <w:rFonts w:ascii="Times New Roman" w:hAnsi="Times New Roman"/>
          <w:sz w:val="24"/>
        </w:rPr>
        <w:t>BIJLAGE II</w:t>
      </w:r>
    </w:p>
    <w:p w14:paraId="48CBB2FB" w14:textId="77777777" w:rsidR="00C61CB8" w:rsidRPr="00496FE5" w:rsidRDefault="00C61CB8" w:rsidP="00C61CB8">
      <w:pPr>
        <w:jc w:val="center"/>
        <w:rPr>
          <w:rFonts w:ascii="Times New Roman" w:hAnsi="Times New Roman"/>
          <w:b/>
          <w:sz w:val="24"/>
        </w:rPr>
      </w:pPr>
      <w:r w:rsidRPr="00496FE5">
        <w:rPr>
          <w:rFonts w:ascii="Times New Roman" w:hAnsi="Times New Roman"/>
          <w:b/>
          <w:sz w:val="24"/>
        </w:rPr>
        <w:t>INSTRUCTIES VOOR RAPPORTAGE INZAKE EIGEN VERMOGEN EN EIGENVERMOGENSVEREISTEN</w:t>
      </w:r>
    </w:p>
    <w:p w14:paraId="499E103D" w14:textId="77777777" w:rsidR="00C61CB8" w:rsidRPr="00496FE5" w:rsidRDefault="00C61CB8" w:rsidP="00C61CB8">
      <w:pPr>
        <w:rPr>
          <w:rFonts w:ascii="Times New Roman" w:hAnsi="Times New Roman"/>
        </w:rPr>
      </w:pPr>
    </w:p>
    <w:p w14:paraId="4FE1D1D2" w14:textId="77777777" w:rsidR="00C61CB8" w:rsidRPr="00496FE5" w:rsidRDefault="00C61CB8" w:rsidP="00C61CB8">
      <w:pPr>
        <w:spacing w:before="0" w:after="0"/>
        <w:jc w:val="left"/>
        <w:rPr>
          <w:rStyle w:val="InstructionsTabelleText"/>
          <w:rFonts w:ascii="Times New Roman" w:hAnsi="Times New Roman"/>
          <w:b/>
          <w:bCs/>
          <w:sz w:val="24"/>
          <w:u w:val="single"/>
        </w:rPr>
      </w:pPr>
      <w:r w:rsidRPr="00496FE5">
        <w:rPr>
          <w:rStyle w:val="InstructionsTabelleText"/>
          <w:rFonts w:ascii="Times New Roman" w:hAnsi="Times New Roman"/>
          <w:b/>
          <w:sz w:val="24"/>
          <w:u w:val="single"/>
        </w:rPr>
        <w:t>DEEL II: INSTRUCTIES MET BETREKKING TOT DE TEMPLATES</w:t>
      </w:r>
    </w:p>
    <w:p w14:paraId="253B4114" w14:textId="77777777" w:rsidR="00C61CB8" w:rsidRPr="00496FE5" w:rsidRDefault="00C61CB8" w:rsidP="00C61CB8">
      <w:pPr>
        <w:spacing w:before="0" w:after="0"/>
        <w:jc w:val="left"/>
        <w:rPr>
          <w:rStyle w:val="InstructionsTabelleText"/>
          <w:rFonts w:ascii="Times New Roman" w:hAnsi="Times New Roman"/>
          <w:sz w:val="24"/>
        </w:rPr>
      </w:pPr>
      <w:r w:rsidRPr="00496FE5">
        <w:rPr>
          <w:rStyle w:val="InstructionsTabelleText"/>
          <w:rFonts w:ascii="Times New Roman" w:hAnsi="Times New Roman"/>
          <w:sz w:val="24"/>
        </w:rPr>
        <w:t xml:space="preserve"> </w:t>
      </w:r>
    </w:p>
    <w:p w14:paraId="6D3C634C" w14:textId="77777777" w:rsidR="00C61CB8" w:rsidRPr="00496FE5" w:rsidRDefault="00C61CB8" w:rsidP="00C61CB8">
      <w:pPr>
        <w:spacing w:before="0" w:after="0"/>
        <w:jc w:val="left"/>
        <w:rPr>
          <w:rStyle w:val="InstructionsTabelleText"/>
          <w:rFonts w:ascii="Times New Roman" w:hAnsi="Times New Roman"/>
          <w:sz w:val="24"/>
        </w:rPr>
      </w:pPr>
      <w:r w:rsidRPr="00496FE5">
        <w:rPr>
          <w:rStyle w:val="InstructionsTabelleText"/>
          <w:rFonts w:ascii="Times New Roman" w:hAnsi="Times New Roman"/>
          <w:sz w:val="24"/>
        </w:rPr>
        <w:t>(…)</w:t>
      </w:r>
    </w:p>
    <w:p w14:paraId="1693FB12" w14:textId="77777777" w:rsidR="00C61CB8" w:rsidRPr="00496FE5" w:rsidRDefault="00C61CB8">
      <w:pPr>
        <w:rPr>
          <w:rFonts w:ascii="Times New Roman" w:hAnsi="Times New Roman"/>
        </w:rPr>
      </w:pPr>
    </w:p>
    <w:p w14:paraId="696BE2FA" w14:textId="77777777" w:rsidR="00173F08" w:rsidRPr="00496FE5" w:rsidRDefault="00173F08" w:rsidP="00173F08">
      <w:pPr>
        <w:pStyle w:val="Instructionsberschrift2"/>
        <w:numPr>
          <w:ilvl w:val="0"/>
          <w:numId w:val="0"/>
        </w:numPr>
        <w:ind w:left="357" w:hanging="357"/>
        <w:rPr>
          <w:rFonts w:ascii="Times New Roman" w:hAnsi="Times New Roman" w:cs="Times New Roman"/>
          <w:sz w:val="24"/>
        </w:rPr>
      </w:pPr>
      <w:r w:rsidRPr="00496FE5">
        <w:rPr>
          <w:rFonts w:ascii="Times New Roman" w:hAnsi="Times New Roman" w:cs="Times New Roman"/>
          <w:sz w:val="24"/>
        </w:rPr>
        <w:t>GROEPSSOLVABILITEIT: INFORMATIE OVER VERBONDEN PARTIJEN (GS)</w:t>
      </w:r>
    </w:p>
    <w:p w14:paraId="6AEF8BDA" w14:textId="77777777" w:rsidR="00173F08" w:rsidRPr="00496FE5"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sidRPr="00496FE5">
        <w:rPr>
          <w:rFonts w:ascii="Times New Roman" w:hAnsi="Times New Roman" w:cs="Times New Roman"/>
          <w:sz w:val="24"/>
          <w:u w:val="none"/>
        </w:rPr>
        <w:t>2.1.</w:t>
      </w:r>
      <w:r w:rsidRPr="00496FE5">
        <w:rPr>
          <w:rFonts w:ascii="Times New Roman" w:hAnsi="Times New Roman" w:cs="Times New Roman"/>
          <w:sz w:val="24"/>
          <w:u w:val="none"/>
        </w:rPr>
        <w:tab/>
      </w:r>
      <w:r w:rsidRPr="00496FE5">
        <w:rPr>
          <w:rFonts w:ascii="Times New Roman" w:hAnsi="Times New Roman" w:cs="Times New Roman"/>
          <w:sz w:val="24"/>
        </w:rPr>
        <w:t>Algemene opmerkingen</w:t>
      </w:r>
      <w:bookmarkEnd w:id="0"/>
      <w:bookmarkEnd w:id="1"/>
      <w:bookmarkEnd w:id="2"/>
      <w:bookmarkEnd w:id="3"/>
      <w:bookmarkEnd w:id="4"/>
      <w:bookmarkEnd w:id="5"/>
      <w:bookmarkEnd w:id="6"/>
    </w:p>
    <w:p w14:paraId="02D50DC7"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27</w:t>
      </w:r>
      <w:r w:rsidRPr="00496FE5">
        <w:fldChar w:fldCharType="end"/>
      </w:r>
      <w:r w:rsidRPr="00496FE5">
        <w:t>.</w:t>
      </w:r>
      <w:r w:rsidRPr="00496FE5">
        <w:tab/>
        <w:t>De templates C 06.01 en C 06.02 worden gerapporteerd indien de eigenvermogensvereisten op geconsolideerde basis worden berekend. Template C 06.02 bestaat uit vier delen, die dienen om informatie te verzamelen over alle afzonderlijke entiteiten (met inbegrip van de rapporterende instelling) binnen de consolidatiekring:</w:t>
      </w:r>
    </w:p>
    <w:p w14:paraId="427E4E34" w14:textId="77777777" w:rsidR="00173F08" w:rsidRPr="00496FE5" w:rsidRDefault="00173F08" w:rsidP="00496FE5">
      <w:pPr>
        <w:pStyle w:val="InstructionsText2"/>
      </w:pPr>
      <w:r w:rsidRPr="00496FE5">
        <w:t>a)</w:t>
      </w:r>
      <w:r w:rsidRPr="00496FE5">
        <w:tab/>
        <w:t>entiteiten binnen de consolidatiekring;</w:t>
      </w:r>
    </w:p>
    <w:p w14:paraId="028B029B" w14:textId="77777777" w:rsidR="00173F08" w:rsidRPr="00496FE5" w:rsidRDefault="00173F08" w:rsidP="00496FE5">
      <w:pPr>
        <w:pStyle w:val="InstructionsText2"/>
      </w:pPr>
      <w:r w:rsidRPr="00496FE5">
        <w:t>b)</w:t>
      </w:r>
      <w:r w:rsidRPr="00496FE5">
        <w:tab/>
        <w:t>gedetailleerde solvabiliteitsgegevens over de groep;</w:t>
      </w:r>
    </w:p>
    <w:p w14:paraId="29EF9308" w14:textId="77777777" w:rsidR="00173F08" w:rsidRPr="00496FE5" w:rsidRDefault="00173F08" w:rsidP="00496FE5">
      <w:pPr>
        <w:pStyle w:val="InstructionsText2"/>
      </w:pPr>
      <w:r w:rsidRPr="00496FE5">
        <w:t>c)</w:t>
      </w:r>
      <w:r w:rsidRPr="00496FE5">
        <w:tab/>
        <w:t>informatie over de bijdrage van afzonderlijke entiteiten aan de groepssolvabiliteit;</w:t>
      </w:r>
    </w:p>
    <w:p w14:paraId="66E85F84" w14:textId="77777777" w:rsidR="00173F08" w:rsidRPr="00496FE5" w:rsidRDefault="00173F08" w:rsidP="00496FE5">
      <w:pPr>
        <w:pStyle w:val="InstructionsText2"/>
      </w:pPr>
      <w:r w:rsidRPr="00496FE5">
        <w:t>d)</w:t>
      </w:r>
      <w:r w:rsidRPr="00496FE5">
        <w:tab/>
        <w:t>informatie over kapitaalbuffers.</w:t>
      </w:r>
    </w:p>
    <w:p w14:paraId="7BA531FA" w14:textId="701A6BC9"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28</w:t>
      </w:r>
      <w:r w:rsidRPr="00496FE5">
        <w:fldChar w:fldCharType="end"/>
      </w:r>
      <w:r w:rsidRPr="00496FE5">
        <w:t>.</w:t>
      </w:r>
      <w:r w:rsidRPr="00496FE5">
        <w:tab/>
        <w:t>Instellingen waaraan overeenkomstig artikel 7 van Verordening (EU) nr. 575/2013 een ontheffing is verleend, rapporteren alleen de kolommen 0010 tot en met 0065 en de kolommen 0250 tot en met 0400.</w:t>
      </w:r>
    </w:p>
    <w:p w14:paraId="0B7B3AA9"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29</w:t>
      </w:r>
      <w:r w:rsidRPr="00496FE5">
        <w:fldChar w:fldCharType="end"/>
      </w:r>
      <w:r w:rsidRPr="00496FE5">
        <w:t>.</w:t>
      </w:r>
      <w:r w:rsidRPr="00496FE5">
        <w:tab/>
        <w:t>In de gerapporteerde cijfers wordt rekening gehouden met alle toepasselijke overgangsbepalingen van Verordening (EU) nr. 575/2013 die van toepassing zijn op de desbetreffende rapportagedatum.</w:t>
      </w:r>
    </w:p>
    <w:p w14:paraId="11861C2C" w14:textId="77777777" w:rsidR="00173F08" w:rsidRPr="00496FE5"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sidRPr="00496FE5">
        <w:rPr>
          <w:rFonts w:ascii="Times New Roman" w:hAnsi="Times New Roman" w:cs="Times New Roman"/>
          <w:sz w:val="24"/>
          <w:u w:val="none"/>
        </w:rPr>
        <w:t>2.2.</w:t>
      </w:r>
      <w:r w:rsidRPr="00496FE5">
        <w:rPr>
          <w:rFonts w:ascii="Times New Roman" w:hAnsi="Times New Roman" w:cs="Times New Roman"/>
          <w:sz w:val="24"/>
          <w:u w:val="none"/>
        </w:rPr>
        <w:tab/>
      </w:r>
      <w:r w:rsidRPr="00496FE5">
        <w:rPr>
          <w:rFonts w:ascii="Times New Roman" w:hAnsi="Times New Roman" w:cs="Times New Roman"/>
          <w:sz w:val="24"/>
        </w:rPr>
        <w:t>Gedetailleerde solvabiliteitsgegevens over de groep</w:t>
      </w:r>
      <w:bookmarkEnd w:id="7"/>
      <w:bookmarkEnd w:id="8"/>
      <w:bookmarkEnd w:id="9"/>
    </w:p>
    <w:p w14:paraId="60F36EFE" w14:textId="40A5EBCA"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30</w:t>
      </w:r>
      <w:r w:rsidRPr="00496FE5">
        <w:fldChar w:fldCharType="end"/>
      </w:r>
      <w:r w:rsidRPr="00496FE5">
        <w:t>.</w:t>
      </w:r>
      <w:r w:rsidRPr="00496FE5">
        <w:tab/>
        <w:t xml:space="preserve">Het tweede deel van template C 06.02 (gedetailleerde solvabiliteitsgegevens voor de groep) (kolommen 0070 tot en met 0240) dient om informatie te verzamelen over kredietinstellingen en andere gereglementeerde financiële instellingen die feitelijk, en elk afzonderlijk, aan specifieke solvabiliteitvereisten zijn onderworpen. Hierin worden voor elk van de entiteiten die onder de rapportage vallen, de eigenvermogensvereisten per risicocategorie en het eigen vermogen voor solvabiliteitsdoeleinden gegeven. </w:t>
      </w:r>
    </w:p>
    <w:p w14:paraId="75F5EA26" w14:textId="77777777" w:rsidR="00173F08" w:rsidRPr="00496FE5" w:rsidRDefault="00173F08" w:rsidP="00496FE5">
      <w:pPr>
        <w:pStyle w:val="InstructionsText2"/>
      </w:pPr>
      <w:r w:rsidRPr="00496FE5">
        <w:lastRenderedPageBreak/>
        <w:fldChar w:fldCharType="begin"/>
      </w:r>
      <w:r w:rsidRPr="00496FE5">
        <w:instrText>seq paragraphs</w:instrText>
      </w:r>
      <w:r w:rsidRPr="00496FE5">
        <w:fldChar w:fldCharType="separate"/>
      </w:r>
      <w:r w:rsidRPr="00496FE5">
        <w:t>31</w:t>
      </w:r>
      <w:r w:rsidRPr="00496FE5">
        <w:fldChar w:fldCharType="end"/>
      </w:r>
      <w:r w:rsidRPr="00496FE5">
        <w:t>.</w:t>
      </w:r>
      <w:r w:rsidRPr="00496FE5">
        <w:tab/>
        <w:t>In het geval van proportionele consolidatie van deelnemingen geven de cijfers voor de eigenvermogensvereisten en eigen vermogen de respectieve proportionele bedragen weer.</w:t>
      </w:r>
    </w:p>
    <w:p w14:paraId="7624B8E0" w14:textId="77777777" w:rsidR="00173F08" w:rsidRPr="00496FE5"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sidRPr="00496FE5">
        <w:rPr>
          <w:rFonts w:ascii="Times New Roman" w:hAnsi="Times New Roman" w:cs="Times New Roman"/>
          <w:sz w:val="24"/>
          <w:u w:val="none"/>
        </w:rPr>
        <w:t>2.3.</w:t>
      </w:r>
      <w:r w:rsidRPr="00496FE5">
        <w:rPr>
          <w:rFonts w:ascii="Times New Roman" w:hAnsi="Times New Roman" w:cs="Times New Roman"/>
          <w:sz w:val="24"/>
          <w:u w:val="none"/>
        </w:rPr>
        <w:tab/>
      </w:r>
      <w:r w:rsidRPr="00496FE5">
        <w:rPr>
          <w:rFonts w:ascii="Times New Roman" w:hAnsi="Times New Roman" w:cs="Times New Roman"/>
          <w:sz w:val="24"/>
        </w:rPr>
        <w:t>Informatie over de bijdrage van afzonderlijke entiteiten aan de groepssolvabiliteit</w:t>
      </w:r>
      <w:bookmarkEnd w:id="10"/>
      <w:bookmarkEnd w:id="11"/>
      <w:bookmarkEnd w:id="12"/>
    </w:p>
    <w:p w14:paraId="79D559FD"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32</w:t>
      </w:r>
      <w:r w:rsidRPr="00496FE5">
        <w:fldChar w:fldCharType="end"/>
      </w:r>
      <w:r w:rsidRPr="00496FE5">
        <w:t>.</w:t>
      </w:r>
      <w:r w:rsidRPr="00496FE5">
        <w:tab/>
        <w:t xml:space="preserve">Het derde deel van template C 06.02 en de template C 06.01 (informatie over de bijdragen van alle entiteiten binnen de consolidatiekring in het kader van Verordening (EU) nr. 575/2013 aan de groepssolvabiliteit, met inbegrip van entiteiten die afzonderlijk niet aan specifieke solvabiliteitsvereisten zijn onderworpen) (de kolommen 0250 tot en met 0400) dienen om vast te stellen welke entiteiten binnen de groep de risico’s veroorzaken en eigen vermogen vanuit de markt genereren, op basis van gegevens die direct beschikbaar zijn of eenvoudig opnieuw kunnen worden verwerkt, zonder dat de kapitaalratio op individuele of gesubconsolideerde basis hoeft te worden gereconstrueerd. Op entiteitsniveau zijn zowel risico- als eigenvermogenscijfers bijdragen aan de groepscijfers en geen onderdelen van een solvabiliteitsratio op individuele basis, en hoeven ze derhalve niet met elkaar te worden vergeleken. </w:t>
      </w:r>
    </w:p>
    <w:p w14:paraId="08EA3F6A"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33</w:t>
      </w:r>
      <w:r w:rsidRPr="00496FE5">
        <w:fldChar w:fldCharType="end"/>
      </w:r>
      <w:r w:rsidRPr="00496FE5">
        <w:t>.</w:t>
      </w:r>
      <w:r w:rsidRPr="00496FE5">
        <w:tab/>
        <w:t>Het derde deel omvat ook de bedragen van minderheidsbelangen, in aanmerking komend gekwalificeerd aanvullend tier 1-kapitaal en gekwalificeerd tier 2-kapitaal in het geconsolideerde eigen vermogen.</w:t>
      </w:r>
    </w:p>
    <w:p w14:paraId="1D8F8CC4"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34</w:t>
      </w:r>
      <w:r w:rsidRPr="00496FE5">
        <w:fldChar w:fldCharType="end"/>
      </w:r>
      <w:r w:rsidRPr="00496FE5">
        <w:t>.</w:t>
      </w:r>
      <w:r w:rsidRPr="00496FE5">
        <w:tab/>
        <w:t>Aangezien in dit derde deel van de template sprake is van “bijdragen”, wijken de hier te rapporteren cijfers, in voorkomend geval, af van de cijfers gerapporteerd in de kolommen met gedetailleerde gegevens over de groepssolvabiliteit.</w:t>
      </w:r>
    </w:p>
    <w:p w14:paraId="27180B14"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35</w:t>
      </w:r>
      <w:r w:rsidRPr="00496FE5">
        <w:fldChar w:fldCharType="end"/>
      </w:r>
      <w:r w:rsidRPr="00496FE5">
        <w:t>.</w:t>
      </w:r>
      <w:r w:rsidRPr="00496FE5">
        <w:tab/>
        <w:t>Als algemeen uitgangspunt worden de wederzijdse blootstellingen binnen dezelfde groep op homogene wijze tegen elkaar weggestreept, zowel wat betreft risico’s als eigen vermogen, teneinde de in de geconsolideerde CA-template van de groep gerapporteerde bedragen in beeld te brengen door de bedragen toe te voegen die voor elke entiteit in de template “Groepssolvabiliteit” worden gerapporteerd. Indien de 1 %-drempel niet wordt overschreden, is geen rechtstreekse koppeling met de CA-template mogelijk.</w:t>
      </w:r>
    </w:p>
    <w:p w14:paraId="606DC9DE"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36</w:t>
      </w:r>
      <w:r w:rsidRPr="00496FE5">
        <w:fldChar w:fldCharType="end"/>
      </w:r>
      <w:r w:rsidRPr="00496FE5">
        <w:t>.</w:t>
      </w:r>
      <w:r w:rsidRPr="00496FE5">
        <w:tab/>
        <w:t>De instellingen bepalen de meest geschikte methode voor het uitsplitsen van entiteiten om met eventuele diversificatie-effecten voor marktrisico en operationeel risico rekening te houden.</w:t>
      </w:r>
    </w:p>
    <w:p w14:paraId="6EE62E0D"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37</w:t>
      </w:r>
      <w:r w:rsidRPr="00496FE5">
        <w:fldChar w:fldCharType="end"/>
      </w:r>
      <w:r w:rsidRPr="00496FE5">
        <w:t>.</w:t>
      </w:r>
      <w:r w:rsidRPr="00496FE5">
        <w:tab/>
        <w:t xml:space="preserve">Het is mogelijk dat een geconsolideerde groep wordt opgenomen binnen een andere geconsolideerde groep. Dat betekent dat de entiteiten binnen een subgroep per entiteit in de groepssolvabiliteit van de hele groep worden gerapporteerd, ook al is de subgroep zelf aan rapportagevereisten onderworpen. Een subgroep die aan rapportagevereisten is onderworpen, rapporteert ook de GS-template per entiteit, ook al zijn die gegevens in de GS-template van een hogere geconsolideerde groep opgenomen. </w:t>
      </w:r>
    </w:p>
    <w:p w14:paraId="0F8191DA" w14:textId="77777777" w:rsidR="00173F08" w:rsidRPr="00496FE5" w:rsidRDefault="00173F08" w:rsidP="00496FE5">
      <w:pPr>
        <w:pStyle w:val="InstructionsText2"/>
      </w:pPr>
      <w:r w:rsidRPr="00496FE5">
        <w:fldChar w:fldCharType="begin"/>
      </w:r>
      <w:r w:rsidRPr="00496FE5">
        <w:instrText>seq paragraphs</w:instrText>
      </w:r>
      <w:r w:rsidRPr="00496FE5">
        <w:fldChar w:fldCharType="separate"/>
      </w:r>
      <w:r w:rsidRPr="00496FE5">
        <w:t>38</w:t>
      </w:r>
      <w:r w:rsidRPr="00496FE5">
        <w:fldChar w:fldCharType="end"/>
      </w:r>
      <w:r w:rsidRPr="00496FE5">
        <w:t>.</w:t>
      </w:r>
      <w:r w:rsidRPr="00496FE5">
        <w:tab/>
        <w:t>Een instelling rapporteert de gegevens over de bijdrage van een entiteit wanneer die bijdrage aan het totaal van de risicoposten hoger is dan 1 % van het totaal van de risicoposten van de groep of wanneer die bijdrage aan het totale eigen vermogen hoger is dan 1 % van het totale eigen vermogen van de groep. Die drempel is niet van toepassing op dochterondernemingen of subgroepen die eigen vermogen (in de vorm van minderheidsbelangen of in het eigen vermogen opgenomen gekwalificeerde aanvullend tier 1- of tier 2-instrumenten) aan de groep verschaffen.</w:t>
      </w:r>
    </w:p>
    <w:p w14:paraId="78C505AC" w14:textId="77777777" w:rsidR="00173F08" w:rsidRPr="00496FE5"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sidRPr="00496FE5">
        <w:rPr>
          <w:rFonts w:ascii="Times New Roman" w:hAnsi="Times New Roman" w:cs="Times New Roman"/>
          <w:sz w:val="24"/>
          <w:u w:val="none"/>
        </w:rPr>
        <w:lastRenderedPageBreak/>
        <w:t>2.4.</w:t>
      </w:r>
      <w:r w:rsidRPr="00496FE5">
        <w:rPr>
          <w:rFonts w:ascii="Times New Roman" w:hAnsi="Times New Roman" w:cs="Times New Roman"/>
          <w:sz w:val="24"/>
          <w:u w:val="none"/>
        </w:rPr>
        <w:tab/>
      </w:r>
      <w:r w:rsidRPr="00496FE5">
        <w:rPr>
          <w:rFonts w:ascii="Times New Roman" w:hAnsi="Times New Roman" w:cs="Times New Roman"/>
          <w:sz w:val="24"/>
        </w:rPr>
        <w:t>C 06.01 – GROEPSSOLVABILITEIT: INFORMATIE OVER VERBONDEN PARTIJEN – Totaal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496FE5" w14:paraId="4A15857B" w14:textId="77777777" w:rsidTr="00822842">
        <w:tc>
          <w:tcPr>
            <w:tcW w:w="1188" w:type="dxa"/>
            <w:shd w:val="clear" w:color="auto" w:fill="CCCCCC"/>
          </w:tcPr>
          <w:p w14:paraId="3977A181"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Kolommen</w:t>
            </w:r>
          </w:p>
        </w:tc>
        <w:tc>
          <w:tcPr>
            <w:tcW w:w="8640" w:type="dxa"/>
            <w:shd w:val="clear" w:color="auto" w:fill="CCCCCC"/>
          </w:tcPr>
          <w:p w14:paraId="3D7B9BD1"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Instructies</w:t>
            </w:r>
          </w:p>
        </w:tc>
      </w:tr>
      <w:tr w:rsidR="00173F08" w:rsidRPr="00496FE5" w14:paraId="0E9AB27C" w14:textId="77777777" w:rsidTr="00822842">
        <w:tc>
          <w:tcPr>
            <w:tcW w:w="1188" w:type="dxa"/>
          </w:tcPr>
          <w:p w14:paraId="36AE9062"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0250-0400</w:t>
            </w:r>
          </w:p>
        </w:tc>
        <w:tc>
          <w:tcPr>
            <w:tcW w:w="8640" w:type="dxa"/>
          </w:tcPr>
          <w:p w14:paraId="61E5CB21"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ENTITEITEN BINNEN DE CONSOLIDATIEKRING</w:t>
            </w:r>
          </w:p>
          <w:p w14:paraId="47AE8E6C" w14:textId="77777777" w:rsidR="00173F08" w:rsidRPr="00496FE5" w:rsidRDefault="00173F08" w:rsidP="00822842">
            <w:pPr>
              <w:rPr>
                <w:rStyle w:val="InstructionsTabelleberschrift"/>
                <w:rFonts w:ascii="Times New Roman" w:hAnsi="Times New Roman"/>
                <w:b w:val="0"/>
                <w:bCs w:val="0"/>
                <w:sz w:val="24"/>
              </w:rPr>
            </w:pPr>
            <w:r w:rsidRPr="00496FE5">
              <w:rPr>
                <w:rStyle w:val="InstructionsTabelleText"/>
                <w:rFonts w:ascii="Times New Roman" w:hAnsi="Times New Roman"/>
                <w:sz w:val="24"/>
              </w:rPr>
              <w:t>Zie de instructies voor C 06.02.</w:t>
            </w:r>
          </w:p>
        </w:tc>
      </w:tr>
      <w:tr w:rsidR="00173F08" w:rsidRPr="00496FE5"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KAPITAALBUFFERS</w:t>
            </w:r>
          </w:p>
          <w:p w14:paraId="4257537D"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Zie de instructies voor C 06.02.</w:t>
            </w:r>
          </w:p>
        </w:tc>
      </w:tr>
    </w:tbl>
    <w:p w14:paraId="20B2DE5D" w14:textId="77777777" w:rsidR="00173F08" w:rsidRPr="00496FE5" w:rsidRDefault="00173F08" w:rsidP="00496FE5">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496FE5" w14:paraId="54185503" w14:textId="77777777" w:rsidTr="00822842">
        <w:tc>
          <w:tcPr>
            <w:tcW w:w="1188" w:type="dxa"/>
            <w:shd w:val="clear" w:color="auto" w:fill="CCCCCC"/>
          </w:tcPr>
          <w:p w14:paraId="0909691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Rijen</w:t>
            </w:r>
          </w:p>
        </w:tc>
        <w:tc>
          <w:tcPr>
            <w:tcW w:w="8640" w:type="dxa"/>
            <w:shd w:val="clear" w:color="auto" w:fill="CCCCCC"/>
          </w:tcPr>
          <w:p w14:paraId="49120A0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Instructies</w:t>
            </w:r>
          </w:p>
        </w:tc>
      </w:tr>
      <w:tr w:rsidR="00173F08" w:rsidRPr="00496FE5" w14:paraId="6283A16E" w14:textId="77777777" w:rsidTr="00822842">
        <w:tc>
          <w:tcPr>
            <w:tcW w:w="1188" w:type="dxa"/>
          </w:tcPr>
          <w:p w14:paraId="44822816"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0010</w:t>
            </w:r>
          </w:p>
        </w:tc>
        <w:tc>
          <w:tcPr>
            <w:tcW w:w="8640" w:type="dxa"/>
          </w:tcPr>
          <w:p w14:paraId="50489F38"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TOTAAL</w:t>
            </w:r>
          </w:p>
          <w:p w14:paraId="0D110F46" w14:textId="77777777" w:rsidR="00173F08" w:rsidRPr="00496FE5" w:rsidRDefault="00173F08" w:rsidP="00822842">
            <w:pPr>
              <w:rPr>
                <w:rStyle w:val="InstructionsTabelleberschrift"/>
                <w:rFonts w:ascii="Times New Roman" w:hAnsi="Times New Roman"/>
                <w:b w:val="0"/>
                <w:bCs w:val="0"/>
                <w:sz w:val="24"/>
              </w:rPr>
            </w:pPr>
            <w:r w:rsidRPr="00496FE5">
              <w:rPr>
                <w:rStyle w:val="InstructionsTabelleText"/>
                <w:rFonts w:ascii="Times New Roman" w:hAnsi="Times New Roman"/>
                <w:sz w:val="24"/>
              </w:rPr>
              <w:t>Het totaal is de som van de waarden die in alle rijen van template C 06.02 zijn gerapporteerd.</w:t>
            </w:r>
          </w:p>
        </w:tc>
      </w:tr>
    </w:tbl>
    <w:p w14:paraId="6ED4F138" w14:textId="77777777" w:rsidR="00173F08" w:rsidRPr="00496FE5" w:rsidRDefault="00173F08" w:rsidP="00496FE5">
      <w:pPr>
        <w:pStyle w:val="InstructionsText"/>
      </w:pPr>
    </w:p>
    <w:p w14:paraId="7A36DFA3" w14:textId="77777777" w:rsidR="00173F08" w:rsidRPr="00496FE5"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sidRPr="00496FE5">
        <w:rPr>
          <w:rFonts w:ascii="Times New Roman" w:hAnsi="Times New Roman" w:cs="Times New Roman"/>
          <w:sz w:val="24"/>
          <w:u w:val="none"/>
        </w:rPr>
        <w:t>2.5.</w:t>
      </w:r>
      <w:r w:rsidRPr="00496FE5">
        <w:rPr>
          <w:rFonts w:ascii="Times New Roman" w:hAnsi="Times New Roman" w:cs="Times New Roman"/>
          <w:sz w:val="24"/>
          <w:u w:val="none"/>
        </w:rPr>
        <w:tab/>
      </w:r>
      <w:r w:rsidRPr="00496FE5">
        <w:rPr>
          <w:rFonts w:ascii="Times New Roman" w:hAnsi="Times New Roman" w:cs="Times New Roman"/>
          <w:sz w:val="24"/>
        </w:rPr>
        <w:t>C 06.02 – GROEPSSOLVABILITEIT: INFORMATIE OVER VERBONDEN PARTIJEN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496FE5" w14:paraId="381D52BF" w14:textId="77777777" w:rsidTr="00822842">
        <w:tc>
          <w:tcPr>
            <w:tcW w:w="1188" w:type="dxa"/>
            <w:shd w:val="clear" w:color="auto" w:fill="CCCCCC"/>
          </w:tcPr>
          <w:p w14:paraId="262E5871"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Kolommen</w:t>
            </w:r>
          </w:p>
        </w:tc>
        <w:tc>
          <w:tcPr>
            <w:tcW w:w="8640" w:type="dxa"/>
            <w:shd w:val="clear" w:color="auto" w:fill="CCCCCC"/>
          </w:tcPr>
          <w:p w14:paraId="5B03B400"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Instructies</w:t>
            </w:r>
          </w:p>
        </w:tc>
      </w:tr>
      <w:tr w:rsidR="00173F08" w:rsidRPr="00496FE5" w14:paraId="3BC0042D" w14:textId="77777777" w:rsidTr="00822842">
        <w:tc>
          <w:tcPr>
            <w:tcW w:w="1188" w:type="dxa"/>
          </w:tcPr>
          <w:p w14:paraId="57FC2EB2"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0011-0060</w:t>
            </w:r>
          </w:p>
        </w:tc>
        <w:tc>
          <w:tcPr>
            <w:tcW w:w="8640" w:type="dxa"/>
          </w:tcPr>
          <w:p w14:paraId="00983D2E"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ENTITEITEN BINNEN DE CONSOLIDATIEKRING</w:t>
            </w:r>
          </w:p>
          <w:p w14:paraId="6B6FD15E" w14:textId="77777777" w:rsidR="00173F08" w:rsidRPr="00496FE5" w:rsidRDefault="00173F08" w:rsidP="00822842">
            <w:pPr>
              <w:rPr>
                <w:rStyle w:val="InstructionsTabelleberschrift"/>
                <w:rFonts w:ascii="Times New Roman" w:hAnsi="Times New Roman"/>
                <w:b w:val="0"/>
                <w:bCs w:val="0"/>
                <w:sz w:val="24"/>
              </w:rPr>
            </w:pPr>
            <w:r w:rsidRPr="00496FE5">
              <w:rPr>
                <w:rStyle w:val="InstructionsTabelleText"/>
                <w:rFonts w:ascii="Times New Roman" w:hAnsi="Times New Roman"/>
                <w:sz w:val="24"/>
              </w:rPr>
              <w:t xml:space="preserve">Deze template dient om informatie te verzamelen over iedere afzonderlijke entiteit die in de consolidatiekring is opgenomen overeenkomstig deel een, titel II, hoofdstuk 2, van Verordening (EU) nr. 575/2013. </w:t>
            </w:r>
          </w:p>
        </w:tc>
      </w:tr>
      <w:tr w:rsidR="00173F08" w:rsidRPr="00496FE5" w14:paraId="7681C175" w14:textId="77777777" w:rsidTr="00822842">
        <w:tc>
          <w:tcPr>
            <w:tcW w:w="1188" w:type="dxa"/>
          </w:tcPr>
          <w:p w14:paraId="506D0F7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0011</w:t>
            </w:r>
          </w:p>
        </w:tc>
        <w:tc>
          <w:tcPr>
            <w:tcW w:w="8640" w:type="dxa"/>
          </w:tcPr>
          <w:p w14:paraId="02F7D96C"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NAAM</w:t>
            </w:r>
          </w:p>
          <w:p w14:paraId="795CC1BF"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Naam van de entiteit binnen de consolidatiekring.</w:t>
            </w:r>
          </w:p>
        </w:tc>
      </w:tr>
      <w:tr w:rsidR="00173F08" w:rsidRPr="00496FE5" w14:paraId="2E707E2D" w14:textId="77777777" w:rsidTr="00822842">
        <w:tc>
          <w:tcPr>
            <w:tcW w:w="1188" w:type="dxa"/>
          </w:tcPr>
          <w:p w14:paraId="6AE7AD32"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0021</w:t>
            </w:r>
          </w:p>
        </w:tc>
        <w:tc>
          <w:tcPr>
            <w:tcW w:w="8640" w:type="dxa"/>
          </w:tcPr>
          <w:p w14:paraId="54EC5591"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CODE</w:t>
            </w:r>
          </w:p>
          <w:p w14:paraId="099B8601" w14:textId="77777777" w:rsidR="00173F08" w:rsidRPr="00496FE5" w:rsidRDefault="00173F08" w:rsidP="00496FE5">
            <w:pPr>
              <w:pStyle w:val="InstructionsText"/>
              <w:rPr>
                <w:rStyle w:val="InstructionsTabelleText"/>
                <w:rFonts w:ascii="Times New Roman" w:hAnsi="Times New Roman"/>
                <w:sz w:val="24"/>
              </w:rPr>
            </w:pPr>
            <w:r w:rsidRPr="00496FE5">
              <w:rPr>
                <w:rStyle w:val="InstructionsTabelleText"/>
                <w:rFonts w:ascii="Times New Roman" w:hAnsi="Times New Roman"/>
                <w:sz w:val="24"/>
              </w:rPr>
              <w:t>De code is een identificatiecode van een rij en is uniek voor elke entiteit waarvoor wordt gerapporteerd. Voor instellingen en verzekeringsondernemingen is die code de identificatiecode voor juridische entiteiten (“LEI-code”). Voor andere entiteiten is de code de LEI-code of, als die niet beschikbaar is, een nationale code. De code is uniek en wordt consequent gebruikt in de verschillende templates en in de tijd. De code moet steeds een waarde hebben.</w:t>
            </w:r>
          </w:p>
        </w:tc>
      </w:tr>
      <w:tr w:rsidR="00173F08" w:rsidRPr="00496FE5" w14:paraId="082E2FA1" w14:textId="77777777" w:rsidTr="00822842">
        <w:tc>
          <w:tcPr>
            <w:tcW w:w="1188" w:type="dxa"/>
          </w:tcPr>
          <w:p w14:paraId="2CA54576"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0026</w:t>
            </w:r>
          </w:p>
        </w:tc>
        <w:tc>
          <w:tcPr>
            <w:tcW w:w="8640" w:type="dxa"/>
          </w:tcPr>
          <w:p w14:paraId="5B6693C9"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SOORT CODE</w:t>
            </w:r>
          </w:p>
          <w:p w14:paraId="094070A5"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De instellingen identificeren het in kolom 0021 gerapporteerde soort code als “LEI-code” of “niet-LEI-code”.</w:t>
            </w:r>
            <w:r w:rsidRPr="00496FE5">
              <w:rPr>
                <w:rStyle w:val="FormatvorlageInstructionsTabelleText"/>
                <w:rFonts w:ascii="Times New Roman" w:hAnsi="Times New Roman"/>
                <w:sz w:val="24"/>
              </w:rPr>
              <w:t xml:space="preserve"> Het soort code moet steeds worden gerapporteerd.</w:t>
            </w:r>
          </w:p>
        </w:tc>
      </w:tr>
      <w:tr w:rsidR="00173F08" w:rsidRPr="00496FE5" w14:paraId="115CCEB9" w14:textId="77777777" w:rsidTr="00822842">
        <w:tc>
          <w:tcPr>
            <w:tcW w:w="1188" w:type="dxa"/>
          </w:tcPr>
          <w:p w14:paraId="6EE5E41D" w14:textId="77777777" w:rsidR="00173F08" w:rsidRPr="00496FE5" w:rsidDel="00BF0637"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0027</w:t>
            </w:r>
          </w:p>
        </w:tc>
        <w:tc>
          <w:tcPr>
            <w:tcW w:w="8640" w:type="dxa"/>
          </w:tcPr>
          <w:p w14:paraId="046D2852"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NATIONALE CODE</w:t>
            </w:r>
          </w:p>
          <w:p w14:paraId="6AB087F6" w14:textId="77777777" w:rsidR="00173F08" w:rsidRPr="00496FE5" w:rsidDel="00BF0637" w:rsidRDefault="00173F08" w:rsidP="00822842">
            <w:pPr>
              <w:rPr>
                <w:rStyle w:val="InstructionsTabelleberschrift"/>
                <w:rFonts w:ascii="Times New Roman" w:hAnsi="Times New Roman"/>
                <w:sz w:val="24"/>
              </w:rPr>
            </w:pPr>
            <w:r w:rsidRPr="00496FE5">
              <w:rPr>
                <w:rFonts w:ascii="Times New Roman" w:hAnsi="Times New Roman"/>
                <w:sz w:val="24"/>
              </w:rPr>
              <w:t>Wanneer instellingen in de kolom “Code” de LEI-code als identificatiecode rapporteren, mogen zij ter aanvulling de nationale code rapporteren.</w:t>
            </w:r>
          </w:p>
        </w:tc>
      </w:tr>
      <w:tr w:rsidR="00173F08" w:rsidRPr="00496FE5" w14:paraId="6D220418" w14:textId="77777777" w:rsidTr="00822842">
        <w:tc>
          <w:tcPr>
            <w:tcW w:w="1188" w:type="dxa"/>
          </w:tcPr>
          <w:p w14:paraId="30734754"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0030</w:t>
            </w:r>
          </w:p>
        </w:tc>
        <w:tc>
          <w:tcPr>
            <w:tcW w:w="8640" w:type="dxa"/>
          </w:tcPr>
          <w:p w14:paraId="51843D3A"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INSTELLING OF DAARMEE GELIJKWAARDIG (JA/NEE)</w:t>
            </w:r>
          </w:p>
          <w:p w14:paraId="592DC07F"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“JA” wordt gerapporteerd indien de entiteit is onderworpen aan eigenvermogensvereisten krachtens Verordening (EU) nr. 575/2013 en Richtlijn 2013/36/EU of bepalingen die ten minste gelijkwaardig zijn aan de bepalingen van Bazel.</w:t>
            </w:r>
          </w:p>
          <w:p w14:paraId="4B3EAD97"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“NEE” in de overige gevallen.</w:t>
            </w:r>
          </w:p>
          <w:p w14:paraId="3E965172" w14:textId="77777777" w:rsidR="00173F08" w:rsidRPr="00496FE5" w:rsidRDefault="00173F08" w:rsidP="00822842">
            <w:pPr>
              <w:rPr>
                <w:rStyle w:val="InstructionsTabelleText"/>
                <w:rFonts w:ascii="Times New Roman" w:hAnsi="Times New Roman"/>
                <w:sz w:val="24"/>
              </w:rPr>
            </w:pPr>
          </w:p>
          <w:p w14:paraId="27BF6938" w14:textId="77777777" w:rsidR="00173F08" w:rsidRPr="00496FE5" w:rsidRDefault="00173F08" w:rsidP="00822842">
            <w:pPr>
              <w:ind w:left="372" w:hanging="360"/>
              <w:contextualSpacing/>
              <w:rPr>
                <w:rStyle w:val="InstructionsTabelleText"/>
                <w:rFonts w:ascii="Times New Roman" w:hAnsi="Times New Roman"/>
                <w:sz w:val="24"/>
              </w:rPr>
            </w:pPr>
            <w:r w:rsidRPr="00496FE5">
              <w:rPr>
                <w:rStyle w:val="InstructionsTabelleText"/>
                <w:rFonts w:ascii="Times New Roman" w:hAnsi="Times New Roman"/>
                <w:sz w:val="24"/>
              </w:rPr>
              <w:t></w:t>
            </w:r>
            <w:r w:rsidRPr="00496FE5">
              <w:rPr>
                <w:rStyle w:val="InstructionsTabelleText"/>
                <w:rFonts w:ascii="Times New Roman" w:hAnsi="Times New Roman"/>
                <w:sz w:val="24"/>
              </w:rPr>
              <w:tab/>
              <w:t>Minderheidsbelangen:</w:t>
            </w:r>
          </w:p>
          <w:p w14:paraId="753444E9"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 xml:space="preserve"> Artikel 81, lid 1, punt a), ii), en artikel 82, lid 1, punt a), ii), van Verordening (EU) nr. 575/2013</w:t>
            </w:r>
          </w:p>
          <w:p w14:paraId="714487FE"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Wat betreft minderheidsbelangen en door dochterondernemingen uitgegeven aanvullend tier 1- en tier 2-instrumenten moeten de dochterondernemingen waarvan instrumenten mogelijk in aanmerking komen, instellingen of ondernemingen zijn die krachtens het toepasselijke nationale recht aan de vereisten van Verordening (EU) nr. 575/2013 onderworpen zijn.</w:t>
            </w:r>
          </w:p>
        </w:tc>
      </w:tr>
      <w:tr w:rsidR="00173F08" w:rsidRPr="00496FE5" w14:paraId="7BBFE780" w14:textId="77777777" w:rsidTr="00822842">
        <w:tc>
          <w:tcPr>
            <w:tcW w:w="1188" w:type="dxa"/>
          </w:tcPr>
          <w:p w14:paraId="4D04116B"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0035</w:t>
            </w:r>
          </w:p>
        </w:tc>
        <w:tc>
          <w:tcPr>
            <w:tcW w:w="8640" w:type="dxa"/>
          </w:tcPr>
          <w:p w14:paraId="301D03B9"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SOORT ENTITEIT</w:t>
            </w:r>
          </w:p>
          <w:p w14:paraId="64249F7B" w14:textId="77777777" w:rsidR="00173F08" w:rsidRPr="00496FE5" w:rsidRDefault="00173F08" w:rsidP="00822842">
            <w:pPr>
              <w:rPr>
                <w:rStyle w:val="InstructionsTabelleText"/>
                <w:rFonts w:ascii="Times New Roman" w:hAnsi="Times New Roman"/>
                <w:bCs/>
                <w:sz w:val="24"/>
              </w:rPr>
            </w:pPr>
            <w:r w:rsidRPr="00496FE5">
              <w:rPr>
                <w:rStyle w:val="InstructionsTabelleText"/>
                <w:rFonts w:ascii="Times New Roman" w:hAnsi="Times New Roman"/>
                <w:sz w:val="24"/>
              </w:rPr>
              <w:t>Het soort entiteit wordt gerapporteerd op basis van de volgende categorieën:</w:t>
            </w:r>
          </w:p>
          <w:p w14:paraId="6C071244" w14:textId="77777777" w:rsidR="00173F08" w:rsidRPr="00496FE5" w:rsidRDefault="00173F08" w:rsidP="00822842">
            <w:pPr>
              <w:tabs>
                <w:tab w:val="left" w:pos="372"/>
              </w:tabs>
              <w:rPr>
                <w:rStyle w:val="InstructionsTabelleText"/>
                <w:rFonts w:ascii="Times New Roman" w:hAnsi="Times New Roman"/>
                <w:sz w:val="24"/>
              </w:rPr>
            </w:pPr>
            <w:r w:rsidRPr="00496FE5">
              <w:rPr>
                <w:rStyle w:val="InstructionsTabelleText"/>
                <w:rFonts w:ascii="Times New Roman" w:hAnsi="Times New Roman"/>
                <w:sz w:val="24"/>
              </w:rPr>
              <w:t>a)</w:t>
            </w:r>
            <w:r w:rsidRPr="00496FE5">
              <w:rPr>
                <w:rStyle w:val="InstructionsTabelleText"/>
                <w:rFonts w:ascii="Times New Roman" w:hAnsi="Times New Roman"/>
                <w:sz w:val="24"/>
              </w:rPr>
              <w:tab/>
              <w:t>kredietinstelling</w:t>
            </w:r>
          </w:p>
          <w:p w14:paraId="665499B6" w14:textId="77777777" w:rsidR="00173F08" w:rsidRPr="00496FE5" w:rsidRDefault="00173F08" w:rsidP="00822842">
            <w:pPr>
              <w:tabs>
                <w:tab w:val="left" w:pos="372"/>
              </w:tabs>
              <w:rPr>
                <w:rStyle w:val="InstructionsTabelleText"/>
                <w:rFonts w:ascii="Times New Roman" w:hAnsi="Times New Roman"/>
                <w:sz w:val="24"/>
              </w:rPr>
            </w:pPr>
            <w:r w:rsidRPr="00496FE5">
              <w:rPr>
                <w:rStyle w:val="InstructionsTabelleText"/>
                <w:rFonts w:ascii="Times New Roman" w:hAnsi="Times New Roman"/>
                <w:sz w:val="24"/>
              </w:rPr>
              <w:tab/>
              <w:t>Artikel 4, lid 1, punt 1), van Verordening (EU) nr. 575/2013;</w:t>
            </w:r>
          </w:p>
          <w:p w14:paraId="5699C13E"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b)</w:t>
            </w:r>
            <w:r w:rsidRPr="00496FE5">
              <w:rPr>
                <w:rStyle w:val="InstructionsTabelleText"/>
                <w:rFonts w:ascii="Times New Roman" w:hAnsi="Times New Roman"/>
                <w:sz w:val="24"/>
              </w:rPr>
              <w:tab/>
              <w:t>beleggingsonderneming</w:t>
            </w:r>
          </w:p>
          <w:p w14:paraId="63975777"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ab/>
              <w:t>Artikel 4, lid 1, punt 2), van Verordening (EU) nr. 575/2013;</w:t>
            </w:r>
          </w:p>
          <w:p w14:paraId="4003584E"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c)</w:t>
            </w:r>
            <w:r w:rsidRPr="00496FE5">
              <w:rPr>
                <w:rStyle w:val="InstructionsTabelleText"/>
                <w:rFonts w:ascii="Times New Roman" w:hAnsi="Times New Roman"/>
                <w:sz w:val="24"/>
              </w:rPr>
              <w:tab/>
              <w:t>financiële instelling (overige)</w:t>
            </w:r>
          </w:p>
          <w:p w14:paraId="5B5F8DA3"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ab/>
              <w:t>Artikel 4, lid 1, punten 20, 21 en 26, van Verordening (EU) nr. 575/2013</w:t>
            </w:r>
          </w:p>
          <w:p w14:paraId="7BC9963B" w14:textId="76B95B64" w:rsidR="00173F08" w:rsidRPr="00496FE5" w:rsidRDefault="00173F08" w:rsidP="00822842">
            <w:pPr>
              <w:tabs>
                <w:tab w:val="left" w:pos="372"/>
              </w:tabs>
              <w:ind w:left="399" w:hanging="399"/>
              <w:rPr>
                <w:rStyle w:val="InstructionsTabelleText"/>
                <w:rFonts w:ascii="Times New Roman" w:hAnsi="Times New Roman"/>
                <w:bCs/>
                <w:sz w:val="24"/>
              </w:rPr>
            </w:pPr>
            <w:r w:rsidRPr="00496FE5">
              <w:rPr>
                <w:rStyle w:val="InstructionsTabelleText"/>
                <w:rFonts w:ascii="Times New Roman" w:hAnsi="Times New Roman"/>
                <w:sz w:val="24"/>
              </w:rPr>
              <w:tab/>
              <w:t>Financiële instellingen in de zin van artikel 4, lid 1, punt 26, van Verordening (EU) nr. 575/2013 die niet zijn opgenomen in een van de categorieën d), e) of g);</w:t>
            </w:r>
          </w:p>
          <w:p w14:paraId="7F954479"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d)</w:t>
            </w:r>
            <w:r w:rsidRPr="00496FE5">
              <w:rPr>
                <w:rStyle w:val="InstructionsTabelleText"/>
                <w:rFonts w:ascii="Times New Roman" w:hAnsi="Times New Roman"/>
                <w:sz w:val="24"/>
              </w:rPr>
              <w:tab/>
              <w:t>(gemengde) financiële holding</w:t>
            </w:r>
          </w:p>
          <w:p w14:paraId="1C70DDA8"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ab/>
              <w:t>Artikel 4, lid 1, punten 20 en 21, van Verordening (EU) nr. 575/2013;</w:t>
            </w:r>
          </w:p>
          <w:p w14:paraId="30F427B6"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e)</w:t>
            </w:r>
            <w:r w:rsidRPr="00496FE5">
              <w:rPr>
                <w:rStyle w:val="InstructionsTabelleText"/>
                <w:rFonts w:ascii="Times New Roman" w:hAnsi="Times New Roman"/>
                <w:sz w:val="24"/>
              </w:rPr>
              <w:tab/>
              <w:t>onderneming die nevendiensten verricht</w:t>
            </w:r>
          </w:p>
          <w:p w14:paraId="21A43501"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ab/>
              <w:t>Artikel 4, lid 1, punt 18), van Verordening (EU) nr. 575/2013;</w:t>
            </w:r>
          </w:p>
          <w:p w14:paraId="33923092"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f)</w:t>
            </w:r>
            <w:r w:rsidRPr="00496FE5">
              <w:rPr>
                <w:rStyle w:val="InstructionsTabelleText"/>
                <w:rFonts w:ascii="Times New Roman" w:hAnsi="Times New Roman"/>
                <w:sz w:val="24"/>
              </w:rPr>
              <w:tab/>
              <w:t>special purpose entity voor securitisatiedoeleinden (SSPE)</w:t>
            </w:r>
          </w:p>
          <w:p w14:paraId="0A5E1647"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ab/>
              <w:t>Artikel 4, lid 1, punt 66), van Verordening (EU) nr. 575/2013;</w:t>
            </w:r>
          </w:p>
          <w:p w14:paraId="56894EF9" w14:textId="77777777" w:rsidR="00173F08" w:rsidRPr="00496FE5" w:rsidRDefault="00173F08" w:rsidP="00822842">
            <w:pPr>
              <w:tabs>
                <w:tab w:val="left" w:pos="372"/>
              </w:tabs>
              <w:rPr>
                <w:rStyle w:val="InstructionsTabelleText"/>
                <w:rFonts w:ascii="Times New Roman" w:hAnsi="Times New Roman"/>
                <w:bCs/>
                <w:sz w:val="24"/>
              </w:rPr>
            </w:pPr>
            <w:r w:rsidRPr="00496FE5">
              <w:rPr>
                <w:rStyle w:val="InstructionsTabelleText"/>
                <w:rFonts w:ascii="Times New Roman" w:hAnsi="Times New Roman"/>
                <w:sz w:val="24"/>
              </w:rPr>
              <w:t>g)</w:t>
            </w:r>
            <w:r w:rsidRPr="00496FE5">
              <w:rPr>
                <w:rStyle w:val="InstructionsTabelleText"/>
                <w:rFonts w:ascii="Times New Roman" w:hAnsi="Times New Roman"/>
                <w:sz w:val="24"/>
              </w:rPr>
              <w:tab/>
              <w:t>onderneming voor gedekte obligaties</w:t>
            </w:r>
          </w:p>
          <w:p w14:paraId="6CA79499" w14:textId="77777777" w:rsidR="00173F08" w:rsidRPr="00496FE5" w:rsidRDefault="00173F08" w:rsidP="00822842">
            <w:pPr>
              <w:tabs>
                <w:tab w:val="left" w:pos="372"/>
              </w:tabs>
              <w:ind w:left="372"/>
              <w:rPr>
                <w:rStyle w:val="InstructionsTabelleText"/>
                <w:rFonts w:ascii="Times New Roman" w:hAnsi="Times New Roman"/>
                <w:bCs/>
                <w:sz w:val="24"/>
              </w:rPr>
            </w:pPr>
            <w:r w:rsidRPr="00496FE5">
              <w:rPr>
                <w:rStyle w:val="InstructionsTabelleText"/>
                <w:rFonts w:ascii="Times New Roman" w:hAnsi="Times New Roman"/>
                <w:sz w:val="24"/>
              </w:rPr>
              <w:t>Entiteit die wordt opgericht om gedekte obligaties uit te geven of de zekerheid voor een gedekte obligatie aan te houden, indien deze niet is opgenomen in de bovenstaande categorieën a), b), of d) tot en met f);</w:t>
            </w:r>
          </w:p>
          <w:p w14:paraId="73FCB23B" w14:textId="77777777" w:rsidR="00173F08" w:rsidRPr="00496FE5" w:rsidRDefault="00173F08" w:rsidP="00822842">
            <w:pPr>
              <w:tabs>
                <w:tab w:val="left" w:pos="372"/>
              </w:tabs>
              <w:rPr>
                <w:rStyle w:val="InstructionsTabelleText"/>
                <w:rFonts w:ascii="Times New Roman" w:hAnsi="Times New Roman"/>
                <w:sz w:val="24"/>
              </w:rPr>
            </w:pPr>
            <w:r w:rsidRPr="00496FE5">
              <w:rPr>
                <w:rStyle w:val="InstructionsTabelleText"/>
                <w:rFonts w:ascii="Times New Roman" w:hAnsi="Times New Roman"/>
                <w:sz w:val="24"/>
              </w:rPr>
              <w:lastRenderedPageBreak/>
              <w:t>h)</w:t>
            </w:r>
            <w:r w:rsidRPr="00496FE5">
              <w:rPr>
                <w:rStyle w:val="InstructionsTabelleText"/>
                <w:rFonts w:ascii="Times New Roman" w:hAnsi="Times New Roman"/>
                <w:sz w:val="24"/>
              </w:rPr>
              <w:tab/>
              <w:t>ander soort entiteit</w:t>
            </w:r>
          </w:p>
          <w:p w14:paraId="404E7CFE" w14:textId="77777777" w:rsidR="00173F08" w:rsidRPr="00496FE5" w:rsidRDefault="00173F08" w:rsidP="00822842">
            <w:pPr>
              <w:tabs>
                <w:tab w:val="left" w:pos="372"/>
              </w:tabs>
              <w:ind w:left="372"/>
              <w:rPr>
                <w:rStyle w:val="InstructionsTabelleberschrift"/>
                <w:rFonts w:ascii="Times New Roman" w:hAnsi="Times New Roman"/>
                <w:b w:val="0"/>
                <w:sz w:val="24"/>
              </w:rPr>
            </w:pPr>
            <w:r w:rsidRPr="00496FE5">
              <w:rPr>
                <w:rStyle w:val="InstructionsTabelleberschrift"/>
                <w:rFonts w:ascii="Times New Roman" w:hAnsi="Times New Roman"/>
                <w:sz w:val="24"/>
              </w:rPr>
              <w:t>Entiteit niet zijnde die bedoeld in de punten a) tot en met g).</w:t>
            </w:r>
          </w:p>
          <w:p w14:paraId="1E1DE3FB" w14:textId="77777777" w:rsidR="00173F08" w:rsidRPr="00496FE5" w:rsidRDefault="00173F08" w:rsidP="00822842">
            <w:pPr>
              <w:tabs>
                <w:tab w:val="left" w:pos="372"/>
              </w:tabs>
              <w:rPr>
                <w:rStyle w:val="InstructionsTabelleberschrift"/>
                <w:rFonts w:ascii="Times New Roman" w:hAnsi="Times New Roman"/>
                <w:b w:val="0"/>
                <w:sz w:val="24"/>
              </w:rPr>
            </w:pPr>
            <w:r w:rsidRPr="00496FE5">
              <w:rPr>
                <w:rStyle w:val="InstructionsTabelleberschrift"/>
                <w:rFonts w:ascii="Times New Roman" w:hAnsi="Times New Roman"/>
                <w:sz w:val="24"/>
              </w:rPr>
              <w:t>Indien een entiteit niet onder Verordening (EU) nr. 575/2013 en Richtlijn 2013/36/EU valt, maar onder bepalingen die ten minste gelijkwaardig zijn aan de bepalingen van Bazel, wordt de desbetreffende categorie naar beste vermogen bepaald.</w:t>
            </w:r>
          </w:p>
        </w:tc>
      </w:tr>
      <w:tr w:rsidR="00173F08" w:rsidRPr="00496FE5" w14:paraId="177D0BA5" w14:textId="77777777" w:rsidTr="00822842">
        <w:tc>
          <w:tcPr>
            <w:tcW w:w="1188" w:type="dxa"/>
          </w:tcPr>
          <w:p w14:paraId="0C21191B"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0040</w:t>
            </w:r>
          </w:p>
        </w:tc>
        <w:tc>
          <w:tcPr>
            <w:tcW w:w="8640" w:type="dxa"/>
          </w:tcPr>
          <w:p w14:paraId="6CCCE12B" w14:textId="77777777" w:rsidR="00173F08" w:rsidRPr="00496FE5" w:rsidRDefault="00173F08" w:rsidP="00822842">
            <w:pPr>
              <w:rPr>
                <w:rFonts w:ascii="Times New Roman" w:hAnsi="Times New Roman"/>
                <w:b/>
                <w:sz w:val="24"/>
                <w:u w:val="single"/>
              </w:rPr>
            </w:pPr>
            <w:r w:rsidRPr="00496FE5">
              <w:rPr>
                <w:rFonts w:ascii="Times New Roman" w:hAnsi="Times New Roman"/>
                <w:b/>
                <w:sz w:val="24"/>
                <w:u w:val="single"/>
              </w:rPr>
              <w:t xml:space="preserve">AARD VAN DE GEGEVENS: </w:t>
            </w:r>
            <w:r w:rsidRPr="00496FE5">
              <w:rPr>
                <w:rFonts w:ascii="Times New Roman" w:hAnsi="Times New Roman"/>
                <w:b/>
                <w:caps/>
                <w:sz w:val="24"/>
                <w:u w:val="single"/>
              </w:rPr>
              <w:t>individueel volledig geconsolideerd (SF) OF individueel gedeeltelijk geconsolideerd (SP)</w:t>
            </w:r>
          </w:p>
          <w:p w14:paraId="0AE72FF3" w14:textId="77777777" w:rsidR="00173F08" w:rsidRPr="00496FE5" w:rsidRDefault="00173F08" w:rsidP="00822842">
            <w:pPr>
              <w:rPr>
                <w:rStyle w:val="Heading1Char"/>
                <w:rFonts w:ascii="Times New Roman" w:hAnsi="Times New Roman"/>
                <w:sz w:val="24"/>
              </w:rPr>
            </w:pPr>
            <w:r w:rsidRPr="00496FE5">
              <w:rPr>
                <w:rStyle w:val="InstructionsTabelleText"/>
                <w:rFonts w:ascii="Times New Roman" w:hAnsi="Times New Roman"/>
                <w:sz w:val="24"/>
              </w:rPr>
              <w:t>“SF”</w:t>
            </w:r>
            <w:r w:rsidRPr="00496FE5">
              <w:rPr>
                <w:rFonts w:ascii="Times New Roman" w:hAnsi="Times New Roman"/>
                <w:sz w:val="24"/>
              </w:rPr>
              <w:t xml:space="preserve"> wordt gerapporteerd voor volledig geconsolideerde individuele dochterondernemingen.</w:t>
            </w:r>
            <w:r w:rsidRPr="00496FE5">
              <w:rPr>
                <w:rStyle w:val="Heading1Char"/>
                <w:rFonts w:ascii="Times New Roman" w:hAnsi="Times New Roman"/>
                <w:sz w:val="24"/>
              </w:rPr>
              <w:t xml:space="preserve"> </w:t>
            </w:r>
          </w:p>
          <w:p w14:paraId="62274488" w14:textId="77777777" w:rsidR="00173F08" w:rsidRPr="00496FE5" w:rsidRDefault="00173F08" w:rsidP="00822842">
            <w:pPr>
              <w:rPr>
                <w:rStyle w:val="InstructionsTabelleText"/>
                <w:rFonts w:ascii="Times New Roman" w:hAnsi="Times New Roman"/>
                <w:smallCaps/>
                <w:sz w:val="24"/>
              </w:rPr>
            </w:pPr>
            <w:r w:rsidRPr="00496FE5">
              <w:rPr>
                <w:rStyle w:val="InstructionsTabelleText"/>
                <w:rFonts w:ascii="Times New Roman" w:hAnsi="Times New Roman"/>
                <w:sz w:val="24"/>
              </w:rPr>
              <w:t>“SP”</w:t>
            </w:r>
            <w:r w:rsidRPr="00496FE5">
              <w:rPr>
                <w:rFonts w:ascii="Times New Roman" w:hAnsi="Times New Roman"/>
                <w:sz w:val="24"/>
              </w:rPr>
              <w:t xml:space="preserve"> wordt gerapporteerd voor gedeeltelijk geconsolideerde individuele dochterondernemingen.</w:t>
            </w:r>
            <w:r w:rsidRPr="00496FE5">
              <w:rPr>
                <w:rStyle w:val="InstructionsTabelleText"/>
                <w:rFonts w:ascii="Times New Roman" w:hAnsi="Times New Roman"/>
                <w:i/>
                <w:sz w:val="24"/>
              </w:rPr>
              <w:t xml:space="preserve"> </w:t>
            </w:r>
          </w:p>
        </w:tc>
      </w:tr>
      <w:tr w:rsidR="00173F08" w:rsidRPr="00496FE5" w14:paraId="5114D2FB" w14:textId="77777777" w:rsidTr="00822842">
        <w:tc>
          <w:tcPr>
            <w:tcW w:w="1188" w:type="dxa"/>
          </w:tcPr>
          <w:p w14:paraId="3334848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0050</w:t>
            </w:r>
          </w:p>
        </w:tc>
        <w:tc>
          <w:tcPr>
            <w:tcW w:w="8640" w:type="dxa"/>
          </w:tcPr>
          <w:p w14:paraId="00CDACE7" w14:textId="77777777" w:rsidR="00173F08" w:rsidRPr="00496FE5" w:rsidRDefault="00173F08" w:rsidP="00822842">
            <w:pPr>
              <w:rPr>
                <w:rFonts w:ascii="Times New Roman" w:hAnsi="Times New Roman"/>
                <w:b/>
                <w:sz w:val="24"/>
                <w:u w:val="single"/>
              </w:rPr>
            </w:pPr>
            <w:r w:rsidRPr="00496FE5">
              <w:rPr>
                <w:rFonts w:ascii="Times New Roman" w:hAnsi="Times New Roman"/>
                <w:b/>
                <w:sz w:val="24"/>
                <w:u w:val="single"/>
              </w:rPr>
              <w:t xml:space="preserve">LANDENCODE </w:t>
            </w:r>
          </w:p>
          <w:p w14:paraId="6D6EDCAD" w14:textId="3FF412B9"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 xml:space="preserve">De instellingen rapporteren de tweeletterige ISO 3166-1 alpha-2 landencode. </w:t>
            </w:r>
          </w:p>
        </w:tc>
      </w:tr>
      <w:tr w:rsidR="00173F08" w:rsidRPr="00496FE5" w14:paraId="78D1D7A5" w14:textId="77777777" w:rsidTr="00822842">
        <w:tc>
          <w:tcPr>
            <w:tcW w:w="1188" w:type="dxa"/>
          </w:tcPr>
          <w:p w14:paraId="26EECF69"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0060</w:t>
            </w:r>
          </w:p>
        </w:tc>
        <w:tc>
          <w:tcPr>
            <w:tcW w:w="8640" w:type="dxa"/>
          </w:tcPr>
          <w:p w14:paraId="3297BC06"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PERCENTAGE VAN DE DEELNEMING (%)</w:t>
            </w:r>
          </w:p>
          <w:p w14:paraId="0214F399"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Dit percentage slaat op het feitelijke deel van het kapitaal dat de moederonderneming in dochterondernemingen bezit. Bij volledige consolidatie van een directe dochteronderneming bedraagt het feitelijke aandeel bijvoorbeeld 70 %. Overeenkomstig artikel 4, lid 1, punt 16, van Verordening (EU) nr. 575/2013 wordt het te rapporteren percentage van de deelneming in een dochteronderneming verkregen door de percentages van de betrokken dochterondernemingen te vermenigvuldigen.</w:t>
            </w:r>
          </w:p>
        </w:tc>
      </w:tr>
      <w:tr w:rsidR="00173F08" w:rsidRPr="00496FE5" w14:paraId="55A34781" w14:textId="77777777" w:rsidTr="00822842">
        <w:tc>
          <w:tcPr>
            <w:tcW w:w="1188" w:type="dxa"/>
          </w:tcPr>
          <w:p w14:paraId="254AD573"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0065</w:t>
            </w:r>
          </w:p>
        </w:tc>
        <w:tc>
          <w:tcPr>
            <w:tcW w:w="8640" w:type="dxa"/>
          </w:tcPr>
          <w:p w14:paraId="42EB5499" w14:textId="77777777" w:rsidR="00173F08" w:rsidRPr="00496FE5" w:rsidRDefault="00173F08" w:rsidP="00822842">
            <w:pPr>
              <w:rPr>
                <w:rFonts w:ascii="Times New Roman" w:hAnsi="Times New Roman"/>
                <w:b/>
                <w:sz w:val="24"/>
                <w:u w:val="single"/>
              </w:rPr>
            </w:pPr>
            <w:r w:rsidRPr="00496FE5">
              <w:rPr>
                <w:rFonts w:ascii="Times New Roman" w:hAnsi="Times New Roman"/>
                <w:b/>
                <w:sz w:val="24"/>
                <w:u w:val="single"/>
              </w:rPr>
              <w:t>COMPENSATIEGROEP</w:t>
            </w:r>
          </w:p>
          <w:p w14:paraId="591957C8"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Onder “compensatiegroep” kan het volgende worden verstaan:</w:t>
            </w:r>
          </w:p>
          <w:p w14:paraId="3C498A91" w14:textId="77777777" w:rsidR="00173F08" w:rsidRPr="00496FE5" w:rsidRDefault="00173F08" w:rsidP="00173F08">
            <w:pPr>
              <w:pStyle w:val="ListParagraph"/>
              <w:numPr>
                <w:ilvl w:val="0"/>
                <w:numId w:val="3"/>
              </w:numPr>
              <w:rPr>
                <w:rStyle w:val="InstructionsTabelleText"/>
                <w:rFonts w:ascii="Times New Roman" w:hAnsi="Times New Roman"/>
                <w:sz w:val="24"/>
              </w:rPr>
            </w:pPr>
            <w:r w:rsidRPr="00496FE5">
              <w:rPr>
                <w:rStyle w:val="InstructionsTabelleText"/>
                <w:rFonts w:ascii="Times New Roman" w:hAnsi="Times New Roman"/>
                <w:sz w:val="24"/>
              </w:rPr>
              <w:t>een groep entiteiten waarvoor de bevoegde autoriteit toestaat dat posities in een instelling of entiteit van die groep worden gebruikt om posities in een andere instelling of onderneming van die groep te compenseren, overeenkomstig artikel 325 ter van Verordening (EU) nr. 575/2013;</w:t>
            </w:r>
          </w:p>
          <w:p w14:paraId="6C55C0A1" w14:textId="77777777" w:rsidR="00173F08" w:rsidRPr="00496FE5" w:rsidRDefault="00173F08" w:rsidP="00173F08">
            <w:pPr>
              <w:pStyle w:val="ListParagraph"/>
              <w:numPr>
                <w:ilvl w:val="0"/>
                <w:numId w:val="3"/>
              </w:numPr>
              <w:rPr>
                <w:rStyle w:val="InstructionsTabelleText"/>
                <w:rFonts w:ascii="Times New Roman" w:hAnsi="Times New Roman"/>
                <w:b/>
                <w:bCs/>
                <w:sz w:val="24"/>
                <w:u w:val="single"/>
              </w:rPr>
            </w:pPr>
            <w:r w:rsidRPr="00496FE5">
              <w:rPr>
                <w:rStyle w:val="InstructionsTabelleText"/>
                <w:rFonts w:ascii="Times New Roman" w:hAnsi="Times New Roman"/>
                <w:sz w:val="24"/>
              </w:rPr>
              <w:t>een individuele entiteit waarvan de posities niet kunnen worden gecompenseeerd met de posities van een andere entiteit van die groep onder geconsolideerde toezicht overeenkomstig Richtlijn 2013/36/EU, omdat de bevoegde autoriteit geen toestemming heeft gegeven overeenkomstig artikel 325 ter van die verordening.</w:t>
            </w:r>
          </w:p>
          <w:p w14:paraId="30CBC62B"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Instellingen geven voor iedere entiteit in de template aan tot welke compensatiegroep zij behoort, als zij aan de volgende twee voorwaarden voldoen:</w:t>
            </w:r>
          </w:p>
          <w:p w14:paraId="147E25D5"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 zij berekenen het eigenvermogensvereiste voor het activiteiten waaraan marktrisico verbonden is overeenkomstig deel drie, titel IV, hoofdstuk 1 bis of 1 ter, van Verordening (EU) nr. 575/2013, of zijn onderworpen aan de verplichting om informatie over die eigenvermogensvereisten te rapporteren overeenkomstig artikel 430, lid 2 bis of 2 ter, van die verordening;</w:t>
            </w:r>
          </w:p>
          <w:p w14:paraId="467E176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b) de groep die onderworpen is aan consolidatietoezicht overeenkomstig Richtlijn 2013/36/EU omvat ten minste twee compensatiegroepen.</w:t>
            </w:r>
          </w:p>
          <w:p w14:paraId="6E55692B"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 xml:space="preserve">In deze kolom worden waarden gerapporteerd als “compensatiegroep 1”, “compensatiegroep 2”, enz. De tussen de juridische entiteiten en de compensatiegroepen beschikbare mapping is consistent in de tijd, consistent tussen rapporten van dezelfde aan consolidatietoezicht onderworpen groep en consistent met de identificatie van de compensatiegroepen in de templates opgenomen in </w:t>
            </w:r>
            <w:r w:rsidRPr="00496FE5">
              <w:rPr>
                <w:rStyle w:val="InstructionsTabelleText"/>
                <w:rFonts w:ascii="Times New Roman" w:hAnsi="Times New Roman"/>
                <w:sz w:val="24"/>
                <w:highlight w:val="yellow"/>
              </w:rPr>
              <w:t>[bijlage I bij Verordening (EU) 2021/453]</w:t>
            </w:r>
            <w:r w:rsidRPr="00496FE5">
              <w:rPr>
                <w:rStyle w:val="InstructionsTabelleText"/>
                <w:rFonts w:ascii="Times New Roman" w:hAnsi="Times New Roman"/>
                <w:sz w:val="24"/>
              </w:rPr>
              <w:t>.</w:t>
            </w:r>
          </w:p>
          <w:p w14:paraId="5DB075C7"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Indien een instelling voldoet aan voorwaarde a) maar de overeenkomstig Richtlijn 2013/36/EU aan consolidatietoezicht onderworpen groep slechts uit een enkele consolidatiegroep bestaat, vermelden de instellingen “Een enkele compensatiegroep” in de rij die overeenstemt met de moederonderneming van de groep waarover in deze template wordt gerapporteerd.</w:t>
            </w:r>
          </w:p>
        </w:tc>
      </w:tr>
      <w:tr w:rsidR="00173F08" w:rsidRPr="00496FE5" w14:paraId="79BDBC0E" w14:textId="77777777" w:rsidTr="00822842">
        <w:tc>
          <w:tcPr>
            <w:tcW w:w="1188" w:type="dxa"/>
          </w:tcPr>
          <w:p w14:paraId="73FB157F"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0070-0240</w:t>
            </w:r>
          </w:p>
        </w:tc>
        <w:tc>
          <w:tcPr>
            <w:tcW w:w="8640" w:type="dxa"/>
          </w:tcPr>
          <w:p w14:paraId="0274B016"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INFORMATIE OVER ENTITEITEN DIE AAN EIGENVERMOGENSVEREISTEN ZIJN ONDERWORPEN</w:t>
            </w:r>
          </w:p>
          <w:p w14:paraId="5193F4B6"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 xml:space="preserve">In het gedeelte over gedetailleerde informatie (d.w.z. de kolommen 0070 tot en met 0240) wordt uitsluitend informatie verzameld over entiteiten en subgroepen binnen de consolidatiekring (deel een, titel II, hoofdstuk 2, van Verordening (EU) nr. 575/2013) en die derhalve daadwerkelijk zijn onderworpen aan solvabiliteitsvereisten uit Verordening (EU) nr. 575/2013 of bepalingen die ten minste gelijkwaardig zijn aan de bepalingen van Bazel (d.w.z. waarvoor in kolom 0030 “JA” is ingevuld). </w:t>
            </w:r>
          </w:p>
          <w:p w14:paraId="341FD737" w14:textId="77777777" w:rsidR="00173F08" w:rsidRPr="00496FE5" w:rsidRDefault="00173F08" w:rsidP="00822842">
            <w:pPr>
              <w:rPr>
                <w:rFonts w:ascii="Times New Roman" w:hAnsi="Times New Roman"/>
                <w:sz w:val="24"/>
              </w:rPr>
            </w:pPr>
            <w:r w:rsidRPr="00496FE5">
              <w:rPr>
                <w:rFonts w:ascii="Times New Roman" w:hAnsi="Times New Roman"/>
                <w:sz w:val="24"/>
              </w:rPr>
              <w:t xml:space="preserve">Er wordt informatie opgenomen over alle individuele instellingen van een geconsolideerde groep die aan eigenvermogensvereisten zijn onderworpen, ongeacht hun vestigingsplaats. </w:t>
            </w:r>
          </w:p>
          <w:p w14:paraId="44903571" w14:textId="4113761A" w:rsidR="00173F08" w:rsidRPr="00496FE5" w:rsidRDefault="00173F08" w:rsidP="00822842">
            <w:pPr>
              <w:rPr>
                <w:rFonts w:ascii="Times New Roman" w:hAnsi="Times New Roman"/>
                <w:sz w:val="24"/>
              </w:rPr>
            </w:pPr>
            <w:r w:rsidRPr="00496FE5">
              <w:rPr>
                <w:rFonts w:ascii="Times New Roman" w:hAnsi="Times New Roman"/>
                <w:sz w:val="24"/>
              </w:rPr>
              <w:t>De in dit deel gerapporteerde informatie is een weerspiegeling van de lokale solvabiliteitsregels van</w:t>
            </w:r>
            <w:r w:rsidR="00930057">
              <w:rPr>
                <w:rFonts w:ascii="Times New Roman" w:hAnsi="Times New Roman"/>
                <w:sz w:val="24"/>
              </w:rPr>
              <w:t xml:space="preserve"> </w:t>
            </w:r>
            <w:r w:rsidRPr="00496FE5">
              <w:rPr>
                <w:rFonts w:ascii="Times New Roman" w:hAnsi="Times New Roman"/>
                <w:sz w:val="24"/>
              </w:rPr>
              <w:t>het rechtsgebied waar de instelling actief is (voor deze template hoeft dus niet per instelling een dubbele berekening te worden gemaakt op basis van de regels van de moederinstelling). Indien de lokale solvabiliteitsregels afwijken van Verordening (EU) nr. 575/2013 en geen vergelijkbare uitsplitsing wordt gegeven, wordt informatie verstrekt voor zover gegevens in de desbetreffende fijnmazigheid beschikbaar zijn. Dit deel is derhalve een feitelijke template die een overzicht geeft van de berekeningen die door de afzonderlijke instellingen van een groep worden verricht, met dien verstande dat sommige van die instellingen aan afwijkende solvabiliteitsregels onderworpen kunnen zijn.</w:t>
            </w:r>
          </w:p>
          <w:p w14:paraId="6B5F0F6F" w14:textId="77777777" w:rsidR="00173F08" w:rsidRPr="00496FE5" w:rsidRDefault="00173F08" w:rsidP="00822842">
            <w:pPr>
              <w:rPr>
                <w:rStyle w:val="InstructionsTabelleText"/>
                <w:rFonts w:ascii="Times New Roman" w:hAnsi="Times New Roman"/>
                <w:b/>
                <w:sz w:val="24"/>
                <w:u w:val="single"/>
              </w:rPr>
            </w:pPr>
            <w:r w:rsidRPr="00496FE5">
              <w:rPr>
                <w:rStyle w:val="InstructionsTabelleText"/>
                <w:rFonts w:ascii="Times New Roman" w:hAnsi="Times New Roman"/>
                <w:b/>
                <w:sz w:val="24"/>
                <w:u w:val="single"/>
              </w:rPr>
              <w:t>Rapportage van vaste kosten van beleggingsondernemingen:</w:t>
            </w:r>
          </w:p>
          <w:p w14:paraId="38DFF7EE" w14:textId="77777777" w:rsidR="00173F08" w:rsidRPr="00496FE5" w:rsidRDefault="00173F08" w:rsidP="00822842">
            <w:pPr>
              <w:autoSpaceDE w:val="0"/>
              <w:autoSpaceDN w:val="0"/>
              <w:adjustRightInd w:val="0"/>
              <w:spacing w:after="0"/>
              <w:rPr>
                <w:rStyle w:val="InstructionsTabelleText"/>
                <w:rFonts w:ascii="Times New Roman" w:hAnsi="Times New Roman"/>
                <w:sz w:val="24"/>
              </w:rPr>
            </w:pPr>
            <w:r w:rsidRPr="00496FE5">
              <w:rPr>
                <w:rFonts w:ascii="Times New Roman" w:hAnsi="Times New Roman"/>
                <w:sz w:val="24"/>
              </w:rPr>
              <w:t>Beleggingsondernemingen nemen in hun berekening van de kapitaalratio overeenkomstig de artikelen 95, 96, 97 en 98 van Verordening (EU) nr. 575/2013 eigenvermogensvereisten op met betrekking tot de vaste kosten.</w:t>
            </w:r>
          </w:p>
          <w:p w14:paraId="033740CD" w14:textId="77777777" w:rsidR="00173F08" w:rsidRPr="00496FE5" w:rsidRDefault="00173F08" w:rsidP="00822842">
            <w:pPr>
              <w:autoSpaceDE w:val="0"/>
              <w:autoSpaceDN w:val="0"/>
              <w:adjustRightInd w:val="0"/>
              <w:spacing w:after="0"/>
              <w:rPr>
                <w:rStyle w:val="InstructionsTabelleText"/>
                <w:rFonts w:ascii="Times New Roman" w:hAnsi="Times New Roman"/>
                <w:sz w:val="24"/>
              </w:rPr>
            </w:pPr>
            <w:r w:rsidRPr="00496FE5">
              <w:rPr>
                <w:rStyle w:val="InstructionsTabelleText"/>
                <w:rFonts w:ascii="Times New Roman" w:hAnsi="Times New Roman"/>
                <w:sz w:val="24"/>
              </w:rPr>
              <w:t xml:space="preserve">Het deel van het totaal van de risicoposten dat verband houdt met vaste kosten, wordt in kolom 0100 van deze template gerapporteerd. </w:t>
            </w:r>
          </w:p>
        </w:tc>
      </w:tr>
      <w:tr w:rsidR="00173F08" w:rsidRPr="00496FE5" w14:paraId="63C531B9" w14:textId="77777777" w:rsidTr="00822842">
        <w:tc>
          <w:tcPr>
            <w:tcW w:w="1188" w:type="dxa"/>
          </w:tcPr>
          <w:p w14:paraId="7EE45F25"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0070</w:t>
            </w:r>
          </w:p>
        </w:tc>
        <w:tc>
          <w:tcPr>
            <w:tcW w:w="8640" w:type="dxa"/>
          </w:tcPr>
          <w:p w14:paraId="1A22FB2A"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 xml:space="preserve">TOTAAL RISICOPOSTEN </w:t>
            </w:r>
          </w:p>
          <w:p w14:paraId="4B0A4350"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Hier wordt de som van de kolommen 0080 tot en met 0110 gerapporteerd.</w:t>
            </w:r>
          </w:p>
        </w:tc>
      </w:tr>
      <w:tr w:rsidR="00173F08" w:rsidRPr="00496FE5" w14:paraId="1431A12F" w14:textId="77777777" w:rsidTr="00822842">
        <w:tc>
          <w:tcPr>
            <w:tcW w:w="1188" w:type="dxa"/>
          </w:tcPr>
          <w:p w14:paraId="1F1161FF"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0075</w:t>
            </w:r>
          </w:p>
        </w:tc>
        <w:tc>
          <w:tcPr>
            <w:tcW w:w="8640" w:type="dxa"/>
          </w:tcPr>
          <w:p w14:paraId="78E93AAA"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WAARVAN: AANPASSING FLOOR (OUTPUT FLOOR TREA)</w:t>
            </w:r>
          </w:p>
          <w:p w14:paraId="267C9374" w14:textId="77777777" w:rsidR="00173F08" w:rsidRPr="00496FE5" w:rsidRDefault="00173F08" w:rsidP="00822842">
            <w:pPr>
              <w:rPr>
                <w:rStyle w:val="InstructionsTabelleberschrift"/>
                <w:rFonts w:ascii="Times New Roman" w:hAnsi="Times New Roman"/>
                <w:b w:val="0"/>
                <w:bCs w:val="0"/>
                <w:sz w:val="24"/>
              </w:rPr>
            </w:pPr>
            <w:r w:rsidRPr="00496FE5">
              <w:rPr>
                <w:rStyle w:val="InstructionsTabelleberschrift"/>
                <w:rFonts w:ascii="Times New Roman" w:hAnsi="Times New Roman"/>
                <w:b w:val="0"/>
                <w:sz w:val="24"/>
              </w:rPr>
              <w:t>Entiteiten rapporteren de aanpassing van de floor berekend op individuele basis.</w:t>
            </w:r>
          </w:p>
        </w:tc>
      </w:tr>
      <w:tr w:rsidR="00173F08" w:rsidRPr="00496FE5" w14:paraId="5B3929C2" w14:textId="77777777" w:rsidTr="00822842">
        <w:tc>
          <w:tcPr>
            <w:tcW w:w="1188" w:type="dxa"/>
          </w:tcPr>
          <w:p w14:paraId="4F014BF5"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0080</w:t>
            </w:r>
          </w:p>
        </w:tc>
        <w:tc>
          <w:tcPr>
            <w:tcW w:w="8640" w:type="dxa"/>
          </w:tcPr>
          <w:p w14:paraId="7FCBE592"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KREDIET; TEGENPARTIJKREDIET; VERWATERINGSRISICO’S, NIET-AFGEWIKKELDE TRANSACTIES EN AFWIKKELINGS-/LEVERINGSRISICO</w:t>
            </w:r>
          </w:p>
          <w:p w14:paraId="4C32FDA3"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Het in deze kolom te rapporteren bedrag stemt overeen met de som van de risicogewogen posten die gelijk zijn aan of gelijkwaardig met de in rij 0040 “RISICOGEWOGEN POSTEN VOOR KREDIET-, TEGENPARTIJKREDIET- EN VERWATERINGSRISICO’S EN NIET-AFGEWIKKELDE TRANSACTIES” te rapporteren risicoposten en de bedragen van de eigenvermogensvereisten die gelijk zijn aan of gelijkwaardig met de in rij 0490 “TOTAAL VAN DE RISICOPOSTEN VOOR AFWIKKELINGS-/LEVERINGSRISICO’S” van template CA2 te rapporteren posten.</w:t>
            </w:r>
          </w:p>
        </w:tc>
      </w:tr>
      <w:tr w:rsidR="00173F08" w:rsidRPr="00496FE5" w14:paraId="48538122" w14:textId="77777777" w:rsidTr="00822842">
        <w:tc>
          <w:tcPr>
            <w:tcW w:w="1188" w:type="dxa"/>
          </w:tcPr>
          <w:p w14:paraId="3B03E59F"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0090</w:t>
            </w:r>
          </w:p>
        </w:tc>
        <w:tc>
          <w:tcPr>
            <w:tcW w:w="8640" w:type="dxa"/>
          </w:tcPr>
          <w:p w14:paraId="1F8CDF0D" w14:textId="117F25BE"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MARKTRISICO</w:t>
            </w:r>
          </w:p>
          <w:p w14:paraId="7A55CAD7" w14:textId="55D7980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Het in deze kolom te rapporteren bedrag stemt overeen met het bedrag aan eigenvermogensvereisten die gelijk zijn aan of gelijkwaardig zijn met de in rij 0520 “TOTAAL VAN DE RISICOPOSTEN VOOR ACTIVITEITEN WAARAAN MARKTRISICO VERBONDEN IS” van template CA2 te rapporteren posten.</w:t>
            </w:r>
          </w:p>
        </w:tc>
      </w:tr>
      <w:tr w:rsidR="00173F08" w:rsidRPr="00496FE5" w14:paraId="292EDAF3" w14:textId="77777777" w:rsidTr="00822842">
        <w:tc>
          <w:tcPr>
            <w:tcW w:w="1188" w:type="dxa"/>
          </w:tcPr>
          <w:p w14:paraId="468DC5E6"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0100</w:t>
            </w:r>
          </w:p>
        </w:tc>
        <w:tc>
          <w:tcPr>
            <w:tcW w:w="8640" w:type="dxa"/>
          </w:tcPr>
          <w:p w14:paraId="47EDEC82"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OPERATIONEEL RISICO</w:t>
            </w:r>
          </w:p>
          <w:p w14:paraId="0D971CE8"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Het in deze kolom te rapporteren bedrag stemt overeen met het bedrag van risicoposten dat gelijk is aan of gelijkwaardig met de in rij 0590 “TOTAAL VAN DE RISICOPOSTEN VOOR OPERATIONELE RISICO’S (OpR)” van template CA2 te rapporteren posten.</w:t>
            </w:r>
          </w:p>
          <w:p w14:paraId="793CB669"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Vaste kosten worden in deze kolom opgenomen, met inbegrip van rij 0630 “ADDITIONELE RISICOPOSTEN ALS GEVOLG VAN VASTE KOSTEN” van template CA2.</w:t>
            </w:r>
          </w:p>
        </w:tc>
      </w:tr>
      <w:tr w:rsidR="00173F08" w:rsidRPr="00496FE5" w14:paraId="21616B84" w14:textId="77777777" w:rsidTr="00822842">
        <w:tc>
          <w:tcPr>
            <w:tcW w:w="1188" w:type="dxa"/>
          </w:tcPr>
          <w:p w14:paraId="0592590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0110</w:t>
            </w:r>
          </w:p>
        </w:tc>
        <w:tc>
          <w:tcPr>
            <w:tcW w:w="8640" w:type="dxa"/>
          </w:tcPr>
          <w:p w14:paraId="5A6EE0BF"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ANDERE RISICOPOSTEN</w:t>
            </w:r>
          </w:p>
          <w:p w14:paraId="6AB0F2D9"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Het in deze kolom te rapporteren bedrag stemt overeen met het bedrag van de risicoposten dat hierboven niet specifiek wordt genoemd. Het is de som van de bedragen in de rijen 0640, 0680 en 0690 van template CA2.</w:t>
            </w:r>
          </w:p>
        </w:tc>
      </w:tr>
      <w:tr w:rsidR="00173F08" w:rsidRPr="00496FE5" w14:paraId="1AA509B5" w14:textId="77777777" w:rsidTr="00822842">
        <w:tc>
          <w:tcPr>
            <w:tcW w:w="1188" w:type="dxa"/>
          </w:tcPr>
          <w:p w14:paraId="31666405"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0120-0240</w:t>
            </w:r>
          </w:p>
        </w:tc>
        <w:tc>
          <w:tcPr>
            <w:tcW w:w="8640" w:type="dxa"/>
          </w:tcPr>
          <w:p w14:paraId="4017EF14"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GEDETAILLEERDE INFORMATIE OVER EIGEN VERMOGEN IN VERBAND MET DE GROEPSOLVABILITEIT</w:t>
            </w:r>
          </w:p>
          <w:p w14:paraId="713BB53E"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De in de volgende kolommen te rapporteren informatie is een weerspiegeling van de lokale solvabiliteitsregels van de lidstaat waar de entiteit of subgroep actief is.</w:t>
            </w:r>
          </w:p>
        </w:tc>
      </w:tr>
      <w:tr w:rsidR="00173F08" w:rsidRPr="00496FE5" w14:paraId="5A140096" w14:textId="77777777" w:rsidTr="00822842">
        <w:tc>
          <w:tcPr>
            <w:tcW w:w="1188" w:type="dxa"/>
          </w:tcPr>
          <w:p w14:paraId="487213B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0120</w:t>
            </w:r>
          </w:p>
        </w:tc>
        <w:tc>
          <w:tcPr>
            <w:tcW w:w="8640" w:type="dxa"/>
          </w:tcPr>
          <w:p w14:paraId="5B6BE8DD"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EIGEN VERMOGEN</w:t>
            </w:r>
          </w:p>
          <w:p w14:paraId="55D150C2"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Het in deze kolom te rapporteren bedrag stemt overeen met het bedrag van eigenvermogensvereisten die gelijk zijn aan of gelijkwaardig met de in rij 0010 “EIGEN VERMOGEN” van template CA1 te rapporteren posten.</w:t>
            </w:r>
          </w:p>
        </w:tc>
      </w:tr>
      <w:tr w:rsidR="00173F08" w:rsidRPr="00496FE5" w14:paraId="40713F8A" w14:textId="77777777" w:rsidTr="00822842">
        <w:tc>
          <w:tcPr>
            <w:tcW w:w="1188" w:type="dxa"/>
          </w:tcPr>
          <w:p w14:paraId="4C6759BA"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0130</w:t>
            </w:r>
          </w:p>
        </w:tc>
        <w:tc>
          <w:tcPr>
            <w:tcW w:w="8640" w:type="dxa"/>
          </w:tcPr>
          <w:p w14:paraId="33EA093E"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 xml:space="preserve">WAARVAN: IN AANMERKING KOMEND EIGEN VERMOGEN </w:t>
            </w:r>
          </w:p>
          <w:p w14:paraId="34714CBE"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82 van Verordening (EU) nr. 575/2013</w:t>
            </w:r>
            <w:r w:rsidRPr="00496FE5">
              <w:rPr>
                <w:rFonts w:ascii="Times New Roman" w:hAnsi="Times New Roman"/>
                <w:sz w:val="24"/>
              </w:rPr>
              <w:t xml:space="preserve"> </w:t>
            </w:r>
          </w:p>
          <w:p w14:paraId="7999D7DB"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 xml:space="preserve">Deze kolom wordt uitsluitend ingevuld voor individueel gerapporteerde dochterondernemingen die volledig geconsolideerd zijn en instellingen zijn. </w:t>
            </w:r>
          </w:p>
          <w:p w14:paraId="1DFAEDAA"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lastRenderedPageBreak/>
              <w:t>Met betrekking tot de bovengenoemde dochterondernemingen zijn gekwalificeerde deelnemingen de instrumenten (en de daaraan gerelateerde ingehouden winsten, agioreserves en andere reserves) die eigendom zijn van personen niet zijnde de in de consolidatie overeenkomstig Verordening (EU) nr. 575/2013 betrokken ondernemingen.</w:t>
            </w:r>
          </w:p>
          <w:p w14:paraId="3E7C4509"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173F08" w:rsidRPr="00496FE5" w14:paraId="6C60DC0C" w14:textId="77777777" w:rsidTr="00822842">
        <w:tc>
          <w:tcPr>
            <w:tcW w:w="1188" w:type="dxa"/>
          </w:tcPr>
          <w:p w14:paraId="539F5FBB"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0140</w:t>
            </w:r>
          </w:p>
        </w:tc>
        <w:tc>
          <w:tcPr>
            <w:tcW w:w="8640" w:type="dxa"/>
          </w:tcPr>
          <w:p w14:paraId="24287788" w14:textId="77777777" w:rsidR="00173F08" w:rsidRPr="00496FE5" w:rsidRDefault="00173F08" w:rsidP="00822842">
            <w:pPr>
              <w:rPr>
                <w:rStyle w:val="InstructionsTabelleberschrift"/>
                <w:rFonts w:ascii="Times New Roman" w:hAnsi="Times New Roman"/>
                <w:b w:val="0"/>
                <w:sz w:val="24"/>
              </w:rPr>
            </w:pPr>
            <w:r w:rsidRPr="00496FE5">
              <w:rPr>
                <w:rStyle w:val="InstructionsTabelleberschrift"/>
                <w:rFonts w:ascii="Times New Roman" w:hAnsi="Times New Roman"/>
                <w:sz w:val="24"/>
              </w:rPr>
              <w:t>GERELATEERDE EIGENVERMOGENSINSTRUMENTEN, GERELATEERDE INGEHOUDEN WINSTEN, AGIORESERVES EN ANDERE RESERVES</w:t>
            </w:r>
          </w:p>
          <w:p w14:paraId="3F7E53C7" w14:textId="77777777" w:rsidR="00173F08" w:rsidRPr="00496FE5" w:rsidRDefault="00173F08" w:rsidP="00822842">
            <w:pPr>
              <w:rPr>
                <w:rStyle w:val="InstructionsTabelleberschrift"/>
                <w:rFonts w:ascii="Times New Roman" w:hAnsi="Times New Roman"/>
                <w:b w:val="0"/>
                <w:sz w:val="24"/>
              </w:rPr>
            </w:pPr>
            <w:r w:rsidRPr="00496FE5">
              <w:rPr>
                <w:rStyle w:val="InstructionsTabelleberschrift"/>
                <w:rFonts w:ascii="Times New Roman" w:hAnsi="Times New Roman"/>
                <w:sz w:val="24"/>
              </w:rPr>
              <w:t>Artikel 87, lid 1, punt b), van Verordening (EU) nr. 575/2013</w:t>
            </w:r>
          </w:p>
        </w:tc>
      </w:tr>
      <w:tr w:rsidR="00173F08" w:rsidRPr="00496FE5" w14:paraId="389DE242" w14:textId="77777777" w:rsidTr="00822842">
        <w:tc>
          <w:tcPr>
            <w:tcW w:w="1188" w:type="dxa"/>
          </w:tcPr>
          <w:p w14:paraId="5AE6A1A2"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0150</w:t>
            </w:r>
          </w:p>
        </w:tc>
        <w:tc>
          <w:tcPr>
            <w:tcW w:w="8640" w:type="dxa"/>
          </w:tcPr>
          <w:p w14:paraId="5CD3A5A2"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TOTALE TIER 1-KAPITAAL</w:t>
            </w:r>
          </w:p>
          <w:p w14:paraId="3E861344"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Artikel 25 van Verordening (EU) nr. 575/2013</w:t>
            </w:r>
          </w:p>
        </w:tc>
      </w:tr>
      <w:tr w:rsidR="00173F08" w:rsidRPr="00496FE5" w14:paraId="7471167E" w14:textId="77777777" w:rsidTr="00822842">
        <w:tc>
          <w:tcPr>
            <w:tcW w:w="1188" w:type="dxa"/>
          </w:tcPr>
          <w:p w14:paraId="1BFDCD8E"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0160</w:t>
            </w:r>
          </w:p>
        </w:tc>
        <w:tc>
          <w:tcPr>
            <w:tcW w:w="8640" w:type="dxa"/>
          </w:tcPr>
          <w:p w14:paraId="72C37050"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WAARVAN: IN AANMERKING KOMEND TIER 1-KAPITAAL</w:t>
            </w:r>
          </w:p>
          <w:p w14:paraId="4EB8A1F3"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82 van Verordening (EU) nr. 575/2013</w:t>
            </w:r>
          </w:p>
          <w:p w14:paraId="1C29CEE8"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Deze kolom wordt uitsluitend ingevuld voor individueel gerapporteerde dochterondernemingen die volledig geconsolideerd zijn en instellingen zijn.</w:t>
            </w:r>
          </w:p>
          <w:p w14:paraId="0AF355C7"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Met betrekking tot de bovengenoemde dochterondernemingen zijn gekwalificeerde deelnemingen de instrumenten (en de daaraan gerelateerde ingehouden winsten en agioreserves) die eigendom zijn van personen niet zijnde de in de consolidatie overeenkomstig Verordening (EU) nr. 575/2013 betrokken ondernemingen.</w:t>
            </w:r>
          </w:p>
          <w:p w14:paraId="342E6F50"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173F08" w:rsidRPr="00496FE5" w14:paraId="4A7FFA9C" w14:textId="77777777" w:rsidTr="00822842">
        <w:tc>
          <w:tcPr>
            <w:tcW w:w="1188" w:type="dxa"/>
          </w:tcPr>
          <w:p w14:paraId="3178D616"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0170</w:t>
            </w:r>
          </w:p>
        </w:tc>
        <w:tc>
          <w:tcPr>
            <w:tcW w:w="8640" w:type="dxa"/>
          </w:tcPr>
          <w:p w14:paraId="03B9DCA4" w14:textId="77777777" w:rsidR="00173F08" w:rsidRPr="00496FE5" w:rsidRDefault="00173F08" w:rsidP="00822842">
            <w:pPr>
              <w:rPr>
                <w:rStyle w:val="InstructionsTabelleberschrift"/>
                <w:rFonts w:ascii="Times New Roman" w:hAnsi="Times New Roman"/>
                <w:b w:val="0"/>
                <w:sz w:val="24"/>
              </w:rPr>
            </w:pPr>
            <w:r w:rsidRPr="00496FE5">
              <w:rPr>
                <w:rStyle w:val="InstructionsTabelleberschrift"/>
                <w:rFonts w:ascii="Times New Roman" w:hAnsi="Times New Roman"/>
                <w:sz w:val="24"/>
              </w:rPr>
              <w:t>GERELATEERDE TIER 1-INSTRUMENTEN, GERELATEERDE INGEHOUDEN WINSTEN EN AGIOREKENINGEN</w:t>
            </w:r>
          </w:p>
          <w:p w14:paraId="0C524078"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Artikel 85, lid 1, punt b), van Verordening (EU) nr. 575/2013</w:t>
            </w:r>
            <w:r w:rsidRPr="00496FE5">
              <w:rPr>
                <w:rFonts w:ascii="Times New Roman" w:hAnsi="Times New Roman"/>
                <w:sz w:val="24"/>
              </w:rPr>
              <w:t xml:space="preserve"> </w:t>
            </w:r>
          </w:p>
        </w:tc>
      </w:tr>
      <w:tr w:rsidR="00173F08" w:rsidRPr="00496FE5" w14:paraId="03F84939" w14:textId="77777777" w:rsidTr="00822842">
        <w:tc>
          <w:tcPr>
            <w:tcW w:w="1188" w:type="dxa"/>
          </w:tcPr>
          <w:p w14:paraId="2ABE034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0180</w:t>
            </w:r>
          </w:p>
        </w:tc>
        <w:tc>
          <w:tcPr>
            <w:tcW w:w="8640" w:type="dxa"/>
          </w:tcPr>
          <w:p w14:paraId="56913F2B"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TIER 1-KERNKAPITAAL</w:t>
            </w:r>
          </w:p>
          <w:p w14:paraId="1D31362E"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Artikel 50 van Verordening (EU) nr. 575/2013</w:t>
            </w:r>
          </w:p>
        </w:tc>
      </w:tr>
      <w:tr w:rsidR="00173F08" w:rsidRPr="00496FE5" w14:paraId="0E2BA238" w14:textId="77777777" w:rsidTr="00822842">
        <w:tc>
          <w:tcPr>
            <w:tcW w:w="1188" w:type="dxa"/>
          </w:tcPr>
          <w:p w14:paraId="671DC042"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0190</w:t>
            </w:r>
          </w:p>
        </w:tc>
        <w:tc>
          <w:tcPr>
            <w:tcW w:w="8640" w:type="dxa"/>
          </w:tcPr>
          <w:p w14:paraId="7B6598C9"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WAARVAN: MINDERHEIDSBELANGEN:</w:t>
            </w:r>
          </w:p>
          <w:p w14:paraId="03A35E0B"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81 van Verordening (EU) nr. 575/2013</w:t>
            </w:r>
          </w:p>
          <w:p w14:paraId="2D5B8BC3"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Deze kolom wordt uitsluitend gerapporteerd voor dochterondernemingen die volledig geconsolideerd zijn en instellingen zijn, met uitzondering van in artikel 84, lid 3, van Verordening (EU) nr. 575/2013 bedoelde dochterondernemingen.</w:t>
            </w:r>
            <w:r w:rsidRPr="00496FE5">
              <w:rPr>
                <w:rStyle w:val="InstructionsTabelleText"/>
                <w:rFonts w:ascii="Times New Roman" w:hAnsi="Times New Roman"/>
                <w:sz w:val="24"/>
              </w:rPr>
              <w:t xml:space="preserve"> </w:t>
            </w:r>
            <w:r w:rsidRPr="00496FE5">
              <w:rPr>
                <w:rFonts w:ascii="Times New Roman" w:hAnsi="Times New Roman"/>
                <w:sz w:val="24"/>
              </w:rPr>
              <w:t>Iedere dochteronderneming wordt ten behoeve van alle krachtens artikel 84 van Verordening (EU) nr. 575/2013 vereiste berekeningen, voor zover van toepassing, op gesubconsolideerde basis beschouwd; in de overige gevallen, overeenkomstig artikel 84, lid 2, op individuele basis.</w:t>
            </w:r>
          </w:p>
          <w:p w14:paraId="2C0D816C"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 xml:space="preserve">Met betrekking tot de bovengenoemde dochterondernemingen zijn minderheidsbelangen de tier 1-kernkapitaalinstrumenten (en de daaraan gerelateerde ingehouden winsten en </w:t>
            </w:r>
            <w:r w:rsidRPr="00496FE5">
              <w:rPr>
                <w:rFonts w:ascii="Times New Roman" w:hAnsi="Times New Roman"/>
                <w:sz w:val="24"/>
              </w:rPr>
              <w:lastRenderedPageBreak/>
              <w:t>agioreserves) die eigendom zijn van personen niet zijnde de in de consolidatie overeenkomstig Verordening (EU) nr. 575/2013 betrokken ondernemingen.</w:t>
            </w:r>
          </w:p>
          <w:p w14:paraId="1D2ACDF3"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173F08" w:rsidRPr="00496FE5" w14:paraId="0252C0BA" w14:textId="77777777" w:rsidTr="00822842">
        <w:tc>
          <w:tcPr>
            <w:tcW w:w="1188" w:type="dxa"/>
          </w:tcPr>
          <w:p w14:paraId="3AFB0800"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0200</w:t>
            </w:r>
          </w:p>
        </w:tc>
        <w:tc>
          <w:tcPr>
            <w:tcW w:w="8640" w:type="dxa"/>
          </w:tcPr>
          <w:p w14:paraId="4B6EB0AE" w14:textId="77777777" w:rsidR="00173F08" w:rsidRPr="00496FE5" w:rsidRDefault="00173F08" w:rsidP="00822842">
            <w:pPr>
              <w:rPr>
                <w:rStyle w:val="InstructionsTabelleberschrift"/>
                <w:rFonts w:ascii="Times New Roman" w:hAnsi="Times New Roman"/>
                <w:b w:val="0"/>
                <w:sz w:val="24"/>
              </w:rPr>
            </w:pPr>
            <w:r w:rsidRPr="00496FE5">
              <w:rPr>
                <w:rStyle w:val="InstructionsTabelleberschrift"/>
                <w:rFonts w:ascii="Times New Roman" w:hAnsi="Times New Roman"/>
                <w:sz w:val="24"/>
              </w:rPr>
              <w:t>GERELATEERDE EIGENVERMOGENSINSTRUMENTEN, GERELATEERDE INGEHOUDEN WINSTEN, AGIORESERVES EN ANDERE RESERVES</w:t>
            </w:r>
          </w:p>
          <w:p w14:paraId="707CE464" w14:textId="77777777" w:rsidR="00173F08" w:rsidRPr="00496FE5" w:rsidRDefault="00173F08" w:rsidP="00822842">
            <w:pPr>
              <w:rPr>
                <w:rStyle w:val="InstructionsTabelleberschrift"/>
                <w:rFonts w:ascii="Times New Roman" w:hAnsi="Times New Roman"/>
                <w:b w:val="0"/>
                <w:sz w:val="24"/>
              </w:rPr>
            </w:pPr>
            <w:r w:rsidRPr="00496FE5">
              <w:rPr>
                <w:rStyle w:val="InstructionsTabelleberschrift"/>
                <w:rFonts w:ascii="Times New Roman" w:hAnsi="Times New Roman"/>
                <w:sz w:val="24"/>
              </w:rPr>
              <w:t>Artikel 84, lid 1, punt b), van Verordening (EU) nr. 575/2013</w:t>
            </w:r>
          </w:p>
        </w:tc>
      </w:tr>
      <w:tr w:rsidR="00173F08" w:rsidRPr="00496FE5" w14:paraId="79B83B2A" w14:textId="77777777" w:rsidTr="00822842">
        <w:tc>
          <w:tcPr>
            <w:tcW w:w="1188" w:type="dxa"/>
          </w:tcPr>
          <w:p w14:paraId="3BB83E5E"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0210</w:t>
            </w:r>
          </w:p>
        </w:tc>
        <w:tc>
          <w:tcPr>
            <w:tcW w:w="8640" w:type="dxa"/>
          </w:tcPr>
          <w:p w14:paraId="263D68BB"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AANVULLEND TIER 1-KAPITAAL</w:t>
            </w:r>
          </w:p>
          <w:p w14:paraId="1CE78A7A"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Artikel 61 van Verordening (EU) nr. 575/2013</w:t>
            </w:r>
          </w:p>
        </w:tc>
      </w:tr>
      <w:tr w:rsidR="00173F08" w:rsidRPr="00496FE5" w14:paraId="3A09E2CF" w14:textId="77777777" w:rsidTr="00822842">
        <w:tc>
          <w:tcPr>
            <w:tcW w:w="1188" w:type="dxa"/>
          </w:tcPr>
          <w:p w14:paraId="2BC2BA16"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0220</w:t>
            </w:r>
          </w:p>
        </w:tc>
        <w:tc>
          <w:tcPr>
            <w:tcW w:w="8640" w:type="dxa"/>
          </w:tcPr>
          <w:p w14:paraId="6869B355"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WAARVAN: IN AANMERKING KOMEND AANVULLEND TIER 1-KAPITAAL</w:t>
            </w:r>
          </w:p>
          <w:p w14:paraId="3A11BFD0"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Artikelen 82 en 83 van Verordening (EU) nr. 575/2013</w:t>
            </w:r>
          </w:p>
          <w:p w14:paraId="55F852AC"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Deze kolom wordt uitsluitend gerapporteerd voor de dochterondernemingen die volledig geconsolideerd zijn en instellingen zijn, met uitzondering van in artikel 85, lid 2, van Verordening (EU) nr. 575/2013 bedoelde dochterondernemingen.</w:t>
            </w:r>
            <w:r w:rsidRPr="00496FE5">
              <w:rPr>
                <w:rStyle w:val="InstructionsTabelleText"/>
                <w:rFonts w:ascii="Times New Roman" w:hAnsi="Times New Roman"/>
                <w:sz w:val="24"/>
              </w:rPr>
              <w:t xml:space="preserve"> </w:t>
            </w:r>
            <w:r w:rsidRPr="00496FE5">
              <w:rPr>
                <w:rFonts w:ascii="Times New Roman" w:hAnsi="Times New Roman"/>
                <w:sz w:val="24"/>
              </w:rPr>
              <w:t>Iedere dochteronderneming wordt ten behoeve van alle in artikel 85 van Verordening (EU) nr. 575/2013 vereiste berekeningen, voor zover van toepassing, op gesubconsolideerde basis beschouwd; in de overige gevallen, overeenkomstig artikel 85, lid 2, op individuele basis.</w:t>
            </w:r>
          </w:p>
          <w:p w14:paraId="32886E98"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Met betrekking tot de bovengenoemde dochterondernemingen zijn minderheidsbelangen de aanvullend tier 1-kapitaalinstrumenten (en de daaraan gerelateerde ingehouden winsten en agioreserves) die eigendom zijn van personen niet zijnde de in de consolidatie overeenkomstig Verordening (EU) nr. 575/2013 betrokken ondernemingen.</w:t>
            </w:r>
          </w:p>
          <w:p w14:paraId="37079C74"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173F08" w:rsidRPr="00496FE5" w14:paraId="3A46A33B" w14:textId="77777777" w:rsidTr="00822842">
        <w:tc>
          <w:tcPr>
            <w:tcW w:w="1188" w:type="dxa"/>
          </w:tcPr>
          <w:p w14:paraId="284F02C8"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0230</w:t>
            </w:r>
          </w:p>
        </w:tc>
        <w:tc>
          <w:tcPr>
            <w:tcW w:w="8640" w:type="dxa"/>
          </w:tcPr>
          <w:p w14:paraId="7A2A757D"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TIER 2-KAPITAAL</w:t>
            </w:r>
          </w:p>
          <w:p w14:paraId="49EA3D83"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Artikel 71 van Verordening (EU) nr. 575/2013</w:t>
            </w:r>
          </w:p>
        </w:tc>
      </w:tr>
      <w:tr w:rsidR="00173F08" w:rsidRPr="00496FE5" w14:paraId="127ECDAA" w14:textId="77777777" w:rsidTr="00822842">
        <w:tc>
          <w:tcPr>
            <w:tcW w:w="1188" w:type="dxa"/>
          </w:tcPr>
          <w:p w14:paraId="42F0E3B4"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0240</w:t>
            </w:r>
          </w:p>
        </w:tc>
        <w:tc>
          <w:tcPr>
            <w:tcW w:w="8640" w:type="dxa"/>
          </w:tcPr>
          <w:p w14:paraId="2E5C3EFE"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WAARVAN: IN AANMERKING KOMEND TIER 2-KAPITAAL</w:t>
            </w:r>
          </w:p>
          <w:p w14:paraId="23E95E82"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Artikelen 82 en 83 van Verordening (EU) nr. 575/2013</w:t>
            </w:r>
          </w:p>
          <w:p w14:paraId="4ADB5899"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Deze kolom wordt uitsluitend gerapporteerd voor de dochterondernemingen die volledig geconsolideerd zijn en instellingen zijn, met uitzondering van in artikel 87, lid 2, van Verordening (EU) nr. 575/2013 bedoelde dochterondernemingen.</w:t>
            </w:r>
            <w:r w:rsidRPr="00496FE5">
              <w:rPr>
                <w:rStyle w:val="InstructionsTabelleText"/>
                <w:rFonts w:ascii="Times New Roman" w:hAnsi="Times New Roman"/>
                <w:sz w:val="24"/>
              </w:rPr>
              <w:t xml:space="preserve"> </w:t>
            </w:r>
            <w:r w:rsidRPr="00496FE5">
              <w:rPr>
                <w:rFonts w:ascii="Times New Roman" w:hAnsi="Times New Roman"/>
                <w:sz w:val="24"/>
              </w:rPr>
              <w:t>Iedere dochteronderneming wordt ten behoeve van alle in artikel 87 van Verordening (EU) nr. 575/2013 vereiste berekeningen, voor zover van toepassing, op gesubconsolideerde basis beschouwd; in de overige gevallen, overeenkomstig artikel 87, lid 2, van die verordening, op individuele basis.</w:t>
            </w:r>
            <w:r w:rsidRPr="00496FE5">
              <w:rPr>
                <w:rStyle w:val="InstructionsTabelleText"/>
                <w:rFonts w:ascii="Times New Roman" w:hAnsi="Times New Roman"/>
                <w:sz w:val="24"/>
              </w:rPr>
              <w:t xml:space="preserve"> </w:t>
            </w:r>
          </w:p>
          <w:p w14:paraId="5BE2C856"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 xml:space="preserve">Met betrekking tot de bovengenoemde dochterondernemingen zijn minderheidsbelangen de tier 2-kapitaalinstrumenten (en de daaraan gerelateerde ingehouden winsten en </w:t>
            </w:r>
            <w:r w:rsidRPr="00496FE5">
              <w:rPr>
                <w:rFonts w:ascii="Times New Roman" w:hAnsi="Times New Roman"/>
                <w:sz w:val="24"/>
              </w:rPr>
              <w:lastRenderedPageBreak/>
              <w:t>agioreserves) die eigendom zijn van personen niet zijnde de in de consolidatie overeenkomstig Verordening (EU) nr. 575/2013 betrokken ondernemingen.</w:t>
            </w:r>
          </w:p>
          <w:p w14:paraId="262C7485"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Het te rapporteren bedrag is inclusief het effect van eventuele overgangsbepalingen. Het betreft het op de referentiedatum in aanmerking komende bedrag.</w:t>
            </w:r>
          </w:p>
        </w:tc>
      </w:tr>
      <w:tr w:rsidR="00173F08" w:rsidRPr="00496FE5" w14:paraId="21CB95DC" w14:textId="77777777" w:rsidTr="00822842">
        <w:tc>
          <w:tcPr>
            <w:tcW w:w="1188" w:type="dxa"/>
          </w:tcPr>
          <w:p w14:paraId="25A4A0D7"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0250-0400</w:t>
            </w:r>
          </w:p>
        </w:tc>
        <w:tc>
          <w:tcPr>
            <w:tcW w:w="8640" w:type="dxa"/>
          </w:tcPr>
          <w:p w14:paraId="37BB26C8"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INFORMATIE OVER DE BIJDRAGE VAN ENTITEITEN AAN DE GROEPSSOLVABILITEIT</w:t>
            </w:r>
          </w:p>
        </w:tc>
      </w:tr>
      <w:tr w:rsidR="00173F08" w:rsidRPr="00496FE5" w14:paraId="2F4DF8FC" w14:textId="77777777" w:rsidTr="00822842">
        <w:tc>
          <w:tcPr>
            <w:tcW w:w="1188" w:type="dxa"/>
          </w:tcPr>
          <w:p w14:paraId="1A40CC2D"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0250-0290</w:t>
            </w:r>
          </w:p>
        </w:tc>
        <w:tc>
          <w:tcPr>
            <w:tcW w:w="8640" w:type="dxa"/>
          </w:tcPr>
          <w:p w14:paraId="42E5971D"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BIJDRAGE AAN RISICO’S</w:t>
            </w:r>
          </w:p>
          <w:p w14:paraId="7CE31949" w14:textId="77777777" w:rsidR="00173F08" w:rsidRPr="00496FE5" w:rsidRDefault="00173F08" w:rsidP="00822842">
            <w:pPr>
              <w:rPr>
                <w:rStyle w:val="InstructionsTabelleberschrift"/>
                <w:rFonts w:ascii="Times New Roman" w:hAnsi="Times New Roman"/>
                <w:sz w:val="24"/>
              </w:rPr>
            </w:pPr>
            <w:r w:rsidRPr="00496FE5">
              <w:rPr>
                <w:rFonts w:ascii="Times New Roman" w:hAnsi="Times New Roman"/>
                <w:sz w:val="24"/>
              </w:rPr>
              <w:t>De in de volgende kolommen te rapporteren informatie is in overeenstemming met de solvabiliteitsvoorschriften die op de rapporterende instelling van toepassing zijn.</w:t>
            </w:r>
          </w:p>
        </w:tc>
      </w:tr>
      <w:tr w:rsidR="00173F08" w:rsidRPr="00496FE5" w14:paraId="2B71B535" w14:textId="77777777" w:rsidTr="00822842">
        <w:tc>
          <w:tcPr>
            <w:tcW w:w="1188" w:type="dxa"/>
          </w:tcPr>
          <w:p w14:paraId="5D55B1F0"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0250</w:t>
            </w:r>
          </w:p>
        </w:tc>
        <w:tc>
          <w:tcPr>
            <w:tcW w:w="8640" w:type="dxa"/>
          </w:tcPr>
          <w:p w14:paraId="3B982E96"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TOTAAL RISICOPOSTEN</w:t>
            </w:r>
          </w:p>
          <w:p w14:paraId="584007A2"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Hier wordt de som van de kolommen 0260 tot en met 0290 gerapporteerd.</w:t>
            </w:r>
          </w:p>
        </w:tc>
      </w:tr>
      <w:tr w:rsidR="00173F08" w:rsidRPr="00496FE5" w14:paraId="04A08911" w14:textId="77777777" w:rsidTr="00822842">
        <w:tc>
          <w:tcPr>
            <w:tcW w:w="1188" w:type="dxa"/>
          </w:tcPr>
          <w:p w14:paraId="4441868C"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0260</w:t>
            </w:r>
          </w:p>
        </w:tc>
        <w:tc>
          <w:tcPr>
            <w:tcW w:w="8640" w:type="dxa"/>
          </w:tcPr>
          <w:p w14:paraId="20D38FF7"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KREDIET; TEGENPARTIJKREDIET; VERWATERINGSRISICO’S, NIET-AFGEWIKKELDE TRANSACTIES EN AFWIKKELINGS-/LEVERINGSRISICO</w:t>
            </w:r>
          </w:p>
          <w:p w14:paraId="6F46A7CE"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Het te rapporteren bedrag is gelijk aan dat van de risicogewogen posten voor kredietrisico en eigenvermogensvereisten van afwikkelings-/leveringsrisico’s overeenkomstig Verordening (EU) nr. 575/2013, met uitzondering van bedragen die gerelateerd zijn aan transacties met andere entiteiten die in de geconsolideerde berekening van de solvabiliteitsratio van de groep zijn betrokken.</w:t>
            </w:r>
          </w:p>
        </w:tc>
      </w:tr>
      <w:tr w:rsidR="00173F08" w:rsidRPr="00496FE5" w14:paraId="659CB778" w14:textId="77777777" w:rsidTr="00822842">
        <w:tc>
          <w:tcPr>
            <w:tcW w:w="1188" w:type="dxa"/>
          </w:tcPr>
          <w:p w14:paraId="1DB71523"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0270</w:t>
            </w:r>
          </w:p>
        </w:tc>
        <w:tc>
          <w:tcPr>
            <w:tcW w:w="8640" w:type="dxa"/>
          </w:tcPr>
          <w:p w14:paraId="13B2AFE4" w14:textId="4AF0329D"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MARKTRISICO</w:t>
            </w:r>
          </w:p>
          <w:p w14:paraId="49127EF1" w14:textId="157C9035"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De risicoposten voor marktrisico moeten in overeenstemming met Verordening (EU) nr. 575/2013 worden berekend op het niveau van elke entiteit afzonderlijk.</w:t>
            </w:r>
            <w:r w:rsidRPr="00496FE5">
              <w:rPr>
                <w:rStyle w:val="InstructionsTabelleText"/>
                <w:rFonts w:ascii="Times New Roman" w:hAnsi="Times New Roman"/>
                <w:sz w:val="24"/>
              </w:rPr>
              <w:t xml:space="preserve"> De entiteiten rapporteren de bijdrage aan het totaal van de risicoposten voor het marktrisico van de groep. De som van die hier gerapporteerde bedragen stemt overeen met het bedrag gerapporteerd in rij 0520 “TOTAAL VAN DE RISICOPOSTEN VOOR ACTIVITEITEN WAARAAN MARKTRISICO VERBONDEN IS” van de geconsolideerde rapportage.</w:t>
            </w:r>
          </w:p>
        </w:tc>
      </w:tr>
      <w:tr w:rsidR="00173F08" w:rsidRPr="00496FE5" w14:paraId="50F614F9" w14:textId="77777777" w:rsidTr="00822842">
        <w:tc>
          <w:tcPr>
            <w:tcW w:w="1188" w:type="dxa"/>
          </w:tcPr>
          <w:p w14:paraId="48376137"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0280</w:t>
            </w:r>
          </w:p>
        </w:tc>
        <w:tc>
          <w:tcPr>
            <w:tcW w:w="8640" w:type="dxa"/>
          </w:tcPr>
          <w:p w14:paraId="0F996708"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OPERATIONEEL RISICO</w:t>
            </w:r>
          </w:p>
          <w:p w14:paraId="58C1AE53" w14:textId="2055313A" w:rsidR="00702B2E" w:rsidRPr="00496FE5" w:rsidRDefault="00702B2E" w:rsidP="00822842">
            <w:pPr>
              <w:rPr>
                <w:rFonts w:ascii="Times New Roman" w:hAnsi="Times New Roman"/>
                <w:sz w:val="24"/>
              </w:rPr>
            </w:pPr>
            <w:r w:rsidRPr="00496FE5">
              <w:rPr>
                <w:rFonts w:ascii="Times New Roman" w:hAnsi="Times New Roman"/>
                <w:sz w:val="24"/>
              </w:rPr>
              <w:t>Het in deze kolom te rapporteren bedrag stemt overeen met het bedrag van de risicoposten voor operationeel risico.</w:t>
            </w:r>
          </w:p>
          <w:p w14:paraId="585BB330" w14:textId="03A1297F"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Vaste algemene kosten worden in deze kolom opgenomen.</w:t>
            </w:r>
          </w:p>
        </w:tc>
      </w:tr>
      <w:tr w:rsidR="00173F08" w:rsidRPr="00496FE5" w14:paraId="3D9214F2" w14:textId="77777777" w:rsidTr="00822842">
        <w:tc>
          <w:tcPr>
            <w:tcW w:w="1188" w:type="dxa"/>
          </w:tcPr>
          <w:p w14:paraId="0B8F7AD0"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0290</w:t>
            </w:r>
          </w:p>
        </w:tc>
        <w:tc>
          <w:tcPr>
            <w:tcW w:w="8640" w:type="dxa"/>
          </w:tcPr>
          <w:p w14:paraId="1A6735B0"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ANDERE RISICOPOSTEN</w:t>
            </w:r>
          </w:p>
          <w:p w14:paraId="0483564A"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Het in deze kolom te rapporteren bedrag stemt overeen met het bedrag van de risicoposten voor risico die hierboven niet worden genoemd.</w:t>
            </w:r>
          </w:p>
        </w:tc>
      </w:tr>
      <w:tr w:rsidR="00173F08" w:rsidRPr="00496FE5" w14:paraId="120F25EE" w14:textId="77777777" w:rsidTr="00822842">
        <w:tc>
          <w:tcPr>
            <w:tcW w:w="1188" w:type="dxa"/>
          </w:tcPr>
          <w:p w14:paraId="283A6D5E"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0300-0400</w:t>
            </w:r>
          </w:p>
        </w:tc>
        <w:tc>
          <w:tcPr>
            <w:tcW w:w="8640" w:type="dxa"/>
          </w:tcPr>
          <w:p w14:paraId="648286BD"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BIJDRAGE AAN EIGEN VERMOGEN</w:t>
            </w:r>
          </w:p>
          <w:p w14:paraId="7E77E775" w14:textId="77777777" w:rsidR="00173F08" w:rsidRPr="00496FE5" w:rsidRDefault="00173F08" w:rsidP="00822842">
            <w:pPr>
              <w:pStyle w:val="Texte2"/>
              <w:ind w:left="0"/>
              <w:rPr>
                <w:rStyle w:val="InstructionsTabelleText"/>
                <w:rFonts w:ascii="Times New Roman" w:hAnsi="Times New Roman"/>
                <w:sz w:val="24"/>
                <w:szCs w:val="24"/>
              </w:rPr>
            </w:pPr>
            <w:r w:rsidRPr="00496FE5">
              <w:rPr>
                <w:rStyle w:val="InstructionsTabelleText"/>
                <w:rFonts w:ascii="Times New Roman" w:hAnsi="Times New Roman"/>
                <w:sz w:val="24"/>
              </w:rPr>
              <w:t xml:space="preserve">Dit deel van de template is niet bedoeld om instellingen te verplichten een complete berekening te maken van de totale kapitaalratio op het niveau van iedere entiteit afzonderlijk. </w:t>
            </w:r>
          </w:p>
          <w:p w14:paraId="58F77BCC" w14:textId="77777777" w:rsidR="00173F08" w:rsidRPr="00496FE5" w:rsidRDefault="00173F08" w:rsidP="00822842">
            <w:pPr>
              <w:pStyle w:val="Texte2"/>
              <w:ind w:left="0"/>
              <w:rPr>
                <w:rStyle w:val="InstructionsTabelleText"/>
                <w:rFonts w:ascii="Times New Roman" w:hAnsi="Times New Roman"/>
                <w:sz w:val="24"/>
                <w:szCs w:val="24"/>
              </w:rPr>
            </w:pPr>
            <w:r w:rsidRPr="00496FE5">
              <w:rPr>
                <w:rFonts w:ascii="Times New Roman" w:hAnsi="Times New Roman"/>
                <w:sz w:val="24"/>
              </w:rPr>
              <w:lastRenderedPageBreak/>
              <w:t>De kolommen 0300 tot en met 0350 worden gerapporteerd voor geconsolideerde entiteiten die aan het eigen vermogen bijdragen via minderheidsbelangen, in aanmerking komend tier 1-kapitaal of in aanmerking komend eigen vermogen. Met inachtneming van de drempel die is vastgesteld in deel II, hoofdstuk 2.3, laatste alinea, hierboven, worden de kolommen 0360 tot en met 0400 gerapporteerd voor alle geconsolideerde entiteiten die aan het geconsolideerde eigen vermogen bijdragen.</w:t>
            </w:r>
          </w:p>
          <w:p w14:paraId="29552A89" w14:textId="77777777" w:rsidR="00173F08" w:rsidRPr="00496FE5" w:rsidRDefault="00173F08" w:rsidP="00822842">
            <w:pPr>
              <w:pStyle w:val="Texte2"/>
              <w:ind w:left="0"/>
              <w:rPr>
                <w:rStyle w:val="InstructionsTabelleText"/>
                <w:rFonts w:ascii="Times New Roman" w:hAnsi="Times New Roman"/>
                <w:sz w:val="24"/>
                <w:szCs w:val="24"/>
              </w:rPr>
            </w:pPr>
            <w:r w:rsidRPr="00496FE5">
              <w:rPr>
                <w:rStyle w:val="InstructionsTabelleText"/>
                <w:rFonts w:ascii="Times New Roman" w:hAnsi="Times New Roman"/>
                <w:sz w:val="24"/>
              </w:rPr>
              <w:t xml:space="preserve">Eigen vermogen dat in een entiteit wordt ingebracht door de overige entiteiten die onder de rapporterende entiteit vallen, wordt buiten beschouwing gelaten; in deze kolom wordt uitsluitend de nettobijdrage aan het eigen vermogen van de groep gerapporteerd (hoofdzakelijk het eigen vermogen dat via derden en cumulatieve reserves wordt ingebracht). </w:t>
            </w:r>
          </w:p>
          <w:p w14:paraId="434D930D" w14:textId="77777777" w:rsidR="00173F08" w:rsidRPr="00496FE5" w:rsidRDefault="00173F08" w:rsidP="00822842">
            <w:pPr>
              <w:pStyle w:val="Texte2"/>
              <w:spacing w:after="120"/>
              <w:ind w:left="0"/>
              <w:rPr>
                <w:rStyle w:val="InstructionsTabelleberschrift"/>
                <w:rFonts w:ascii="Times New Roman" w:hAnsi="Times New Roman"/>
                <w:b w:val="0"/>
                <w:bCs w:val="0"/>
                <w:sz w:val="24"/>
                <w:szCs w:val="24"/>
              </w:rPr>
            </w:pPr>
            <w:r w:rsidRPr="00496FE5">
              <w:rPr>
                <w:rStyle w:val="InstructionsTabelleText"/>
                <w:rFonts w:ascii="Times New Roman" w:hAnsi="Times New Roman"/>
                <w:sz w:val="24"/>
              </w:rPr>
              <w:t>De in de volgende kolommen te rapporteren informatie is in overeenstemming met de solvabiliteitsvoorschriften die op de rapporterende instelling van toepassing zijn.</w:t>
            </w:r>
          </w:p>
        </w:tc>
      </w:tr>
      <w:tr w:rsidR="00173F08" w:rsidRPr="00496FE5" w14:paraId="00233A1B" w14:textId="77777777" w:rsidTr="00822842">
        <w:tc>
          <w:tcPr>
            <w:tcW w:w="1188" w:type="dxa"/>
          </w:tcPr>
          <w:p w14:paraId="6A2EC485"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0300-0350</w:t>
            </w:r>
          </w:p>
        </w:tc>
        <w:tc>
          <w:tcPr>
            <w:tcW w:w="8640" w:type="dxa"/>
          </w:tcPr>
          <w:p w14:paraId="1F3610D7"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IN HET GECONSOLIDEERDE EIGEN VERMOGEN OPGENOMEN IN AANMERKING KOMEND EIGEN VERMOGEN</w:t>
            </w:r>
          </w:p>
          <w:p w14:paraId="7830B882" w14:textId="77777777" w:rsidR="00173F08" w:rsidRPr="00496FE5" w:rsidRDefault="00173F08" w:rsidP="00822842">
            <w:pPr>
              <w:rPr>
                <w:rStyle w:val="InstructionsTabelleberschrift"/>
                <w:rFonts w:ascii="Times New Roman" w:hAnsi="Times New Roman"/>
                <w:sz w:val="24"/>
              </w:rPr>
            </w:pPr>
            <w:r w:rsidRPr="00496FE5">
              <w:rPr>
                <w:rFonts w:ascii="Times New Roman" w:hAnsi="Times New Roman"/>
                <w:sz w:val="24"/>
              </w:rPr>
              <w:t>Het als “IN HET GECONSOLIDEERDE EIGEN VERMOGEN OPGENOMEN IN AANMERKING KOMEND EIGEN VERMOGEN” te rapporteren bedrag is het bedrag dat wordt afgeleid uit deel twee, titel II, van Verordening (EU) nr. 575/2013, met uitzondering van vermogen dat door andere groepsentiteiten wordt ingebracht.</w:t>
            </w:r>
          </w:p>
        </w:tc>
      </w:tr>
      <w:tr w:rsidR="00173F08" w:rsidRPr="00496FE5" w14:paraId="2D948A28" w14:textId="77777777" w:rsidTr="00822842">
        <w:tc>
          <w:tcPr>
            <w:tcW w:w="1188" w:type="dxa"/>
          </w:tcPr>
          <w:p w14:paraId="6278E06B"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0300</w:t>
            </w:r>
          </w:p>
        </w:tc>
        <w:tc>
          <w:tcPr>
            <w:tcW w:w="8640" w:type="dxa"/>
          </w:tcPr>
          <w:p w14:paraId="52465511"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IN HET GECONSOLIDEERDE EIGEN VERMOGEN OPGENOMEN IN AANMERKING KOMEND EIGEN VERMOGEN</w:t>
            </w:r>
          </w:p>
          <w:p w14:paraId="6F3A607D"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87 van Verordening (EU) nr. 575/2013</w:t>
            </w:r>
          </w:p>
        </w:tc>
      </w:tr>
      <w:tr w:rsidR="00173F08" w:rsidRPr="00496FE5" w14:paraId="1998204E" w14:textId="77777777" w:rsidTr="00822842">
        <w:tc>
          <w:tcPr>
            <w:tcW w:w="1188" w:type="dxa"/>
          </w:tcPr>
          <w:p w14:paraId="3684E5FE"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0310</w:t>
            </w:r>
          </w:p>
        </w:tc>
        <w:tc>
          <w:tcPr>
            <w:tcW w:w="8640" w:type="dxa"/>
          </w:tcPr>
          <w:p w14:paraId="2378035D"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IN HET GECONSOLIDEERDE TIER 1-KAPITAAL OPGENOMEN IN AANMERKING KOMENDE TIER 1-INSTRUMENTEN</w:t>
            </w:r>
          </w:p>
          <w:p w14:paraId="4E25C234"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85 van Verordening (EU) nr. 575/2013</w:t>
            </w:r>
          </w:p>
        </w:tc>
      </w:tr>
      <w:tr w:rsidR="00173F08" w:rsidRPr="00496FE5" w14:paraId="70CC0CF1" w14:textId="77777777" w:rsidTr="00822842">
        <w:tc>
          <w:tcPr>
            <w:tcW w:w="1188" w:type="dxa"/>
          </w:tcPr>
          <w:p w14:paraId="7C1C1AE3"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0320</w:t>
            </w:r>
          </w:p>
        </w:tc>
        <w:tc>
          <w:tcPr>
            <w:tcW w:w="8640" w:type="dxa"/>
          </w:tcPr>
          <w:p w14:paraId="5D406C67" w14:textId="77777777" w:rsidR="00173F08" w:rsidRPr="00496FE5" w:rsidRDefault="00173F08" w:rsidP="00822842">
            <w:pPr>
              <w:rPr>
                <w:rStyle w:val="InstructionsTabelleText"/>
                <w:rFonts w:ascii="Times New Roman" w:hAnsi="Times New Roman"/>
                <w:sz w:val="24"/>
              </w:rPr>
            </w:pPr>
            <w:r w:rsidRPr="00496FE5">
              <w:rPr>
                <w:rStyle w:val="InstructionsTabelleberschrift"/>
                <w:rFonts w:ascii="Times New Roman" w:hAnsi="Times New Roman"/>
                <w:sz w:val="24"/>
              </w:rPr>
              <w:t>IN HET GECONSOLIDEERDE TIER 1-KERNKAPITAAL OPGENOMEN MINDERHEIDSBELANGEN</w:t>
            </w:r>
          </w:p>
          <w:p w14:paraId="0B8B81AA"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84 van Verordening (EU) nr. 575/2013</w:t>
            </w:r>
          </w:p>
          <w:p w14:paraId="01FA0CDC"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Het te rapporteren bedrag is het bedrag van de minderheidsbelangen van een dochteronderneming dat in het geconsolideerde tier 1-kernkapitaal overeenkomstig Verordening (EU) nr. 575/2013 is opgenomen.</w:t>
            </w:r>
            <w:r w:rsidRPr="00496FE5">
              <w:rPr>
                <w:rStyle w:val="InstructionsTabelleText"/>
                <w:rFonts w:ascii="Times New Roman" w:hAnsi="Times New Roman"/>
                <w:sz w:val="24"/>
              </w:rPr>
              <w:t xml:space="preserve"> </w:t>
            </w:r>
          </w:p>
        </w:tc>
      </w:tr>
      <w:tr w:rsidR="00173F08" w:rsidRPr="00496FE5" w14:paraId="72674BB4" w14:textId="77777777" w:rsidTr="00822842">
        <w:tc>
          <w:tcPr>
            <w:tcW w:w="1188" w:type="dxa"/>
          </w:tcPr>
          <w:p w14:paraId="5F195C28"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0330</w:t>
            </w:r>
          </w:p>
        </w:tc>
        <w:tc>
          <w:tcPr>
            <w:tcW w:w="8640" w:type="dxa"/>
          </w:tcPr>
          <w:p w14:paraId="6AF15CF2" w14:textId="77777777" w:rsidR="00173F08" w:rsidRPr="00496FE5" w:rsidRDefault="00173F08" w:rsidP="00822842">
            <w:pPr>
              <w:rPr>
                <w:rStyle w:val="InstructionsTabelleText"/>
                <w:rFonts w:ascii="Times New Roman" w:hAnsi="Times New Roman"/>
                <w:sz w:val="24"/>
              </w:rPr>
            </w:pPr>
            <w:r w:rsidRPr="00496FE5">
              <w:rPr>
                <w:rStyle w:val="InstructionsTabelleberschrift"/>
                <w:rFonts w:ascii="Times New Roman" w:hAnsi="Times New Roman"/>
                <w:sz w:val="24"/>
              </w:rPr>
              <w:t>IN HET GECONSOLIDEERDE AANVULLEND TIER 1-KAPITAAL OPGENOMEN IN AANMERKING KOMENDE TIER 1-INSTRUMENTEN</w:t>
            </w:r>
          </w:p>
          <w:p w14:paraId="488797C4"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86 van Verordening (EU) nr. 575/2013</w:t>
            </w:r>
          </w:p>
          <w:p w14:paraId="14D60AC1"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Het te rapporteren bedrag is het bedrag aan in aanmerking komende tier-1-kapitaal van een dochteronderneming dat in het geconsolideerde aanvullend tier 1-kapitaal overeenkomstig Verordening (EU) nr. 575/2013 is opgenomen.</w:t>
            </w:r>
            <w:r w:rsidRPr="00496FE5">
              <w:rPr>
                <w:rStyle w:val="InstructionsTabelleText"/>
                <w:rFonts w:ascii="Times New Roman" w:hAnsi="Times New Roman"/>
                <w:sz w:val="24"/>
              </w:rPr>
              <w:t xml:space="preserve"> </w:t>
            </w:r>
          </w:p>
        </w:tc>
      </w:tr>
      <w:tr w:rsidR="00173F08" w:rsidRPr="00496FE5" w14:paraId="26437422" w14:textId="77777777" w:rsidTr="00822842">
        <w:tc>
          <w:tcPr>
            <w:tcW w:w="1188" w:type="dxa"/>
          </w:tcPr>
          <w:p w14:paraId="7FD01E11"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0340</w:t>
            </w:r>
          </w:p>
        </w:tc>
        <w:tc>
          <w:tcPr>
            <w:tcW w:w="8640" w:type="dxa"/>
          </w:tcPr>
          <w:p w14:paraId="6E1E5EBF"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IN HET GECONSOLIDEERDE TIER 2-KAPITAAL OPGENOMEN IN AANMERKING KOMENDE EIGENVERMOGENSINSTRUMENTEN</w:t>
            </w:r>
          </w:p>
          <w:p w14:paraId="1E25A6DF"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Artikel 88 van Verordening (EU) nr. 575/2013</w:t>
            </w:r>
          </w:p>
          <w:p w14:paraId="257F78A1"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Het te rapporteren bedrag is het bedrag van de minderheidsbelangen van een dochteronderneming dat in het geconsolideerde tier 2-kapitaal overeenkomstig Verordening (EU) nr. 575/2013 is opgenomen.</w:t>
            </w:r>
            <w:r w:rsidRPr="00496FE5">
              <w:rPr>
                <w:rStyle w:val="InstructionsTabelleText"/>
                <w:rFonts w:ascii="Times New Roman" w:hAnsi="Times New Roman"/>
                <w:sz w:val="24"/>
              </w:rPr>
              <w:t xml:space="preserve"> </w:t>
            </w:r>
          </w:p>
        </w:tc>
      </w:tr>
      <w:tr w:rsidR="00173F08" w:rsidRPr="00496FE5" w14:paraId="39EA7587" w14:textId="77777777" w:rsidTr="00822842">
        <w:tc>
          <w:tcPr>
            <w:tcW w:w="1188" w:type="dxa"/>
          </w:tcPr>
          <w:p w14:paraId="04CB064F" w14:textId="77777777" w:rsidR="00173F08" w:rsidRPr="00496FE5" w:rsidRDefault="00173F08" w:rsidP="00822842">
            <w:pPr>
              <w:rPr>
                <w:rFonts w:ascii="Times New Roman" w:hAnsi="Times New Roman"/>
                <w:sz w:val="24"/>
              </w:rPr>
            </w:pPr>
            <w:r w:rsidRPr="00496FE5">
              <w:rPr>
                <w:rFonts w:ascii="Times New Roman" w:hAnsi="Times New Roman"/>
                <w:sz w:val="24"/>
              </w:rPr>
              <w:lastRenderedPageBreak/>
              <w:t>0350</w:t>
            </w:r>
          </w:p>
        </w:tc>
        <w:tc>
          <w:tcPr>
            <w:tcW w:w="8640" w:type="dxa"/>
          </w:tcPr>
          <w:p w14:paraId="7BBDC2E3" w14:textId="77777777" w:rsidR="00173F08" w:rsidRPr="00496FE5" w:rsidRDefault="00173F08" w:rsidP="00822842">
            <w:pPr>
              <w:rPr>
                <w:rStyle w:val="InstructionsTabelleberschrift"/>
                <w:rFonts w:ascii="Times New Roman" w:hAnsi="Times New Roman"/>
                <w:b w:val="0"/>
                <w:sz w:val="24"/>
                <w:lang w:val="en-US"/>
              </w:rPr>
            </w:pPr>
            <w:r w:rsidRPr="00496FE5">
              <w:rPr>
                <w:rStyle w:val="InstructionsTabelleberschrift"/>
                <w:rFonts w:ascii="Times New Roman" w:hAnsi="Times New Roman"/>
                <w:sz w:val="24"/>
                <w:lang w:val="en-US"/>
              </w:rPr>
              <w:t>PRO-MEMORIEPOST: GOODWILL (-) / (+) NEGATIEVE GOODWILL</w:t>
            </w:r>
          </w:p>
        </w:tc>
      </w:tr>
      <w:tr w:rsidR="00173F08" w:rsidRPr="00496FE5" w14:paraId="3997C23F" w14:textId="77777777" w:rsidTr="00822842">
        <w:tc>
          <w:tcPr>
            <w:tcW w:w="1188" w:type="dxa"/>
          </w:tcPr>
          <w:p w14:paraId="72AB87A5" w14:textId="77777777" w:rsidR="00173F08" w:rsidRPr="00496FE5" w:rsidRDefault="00173F08" w:rsidP="00822842">
            <w:pPr>
              <w:rPr>
                <w:rFonts w:ascii="Times New Roman" w:hAnsi="Times New Roman"/>
                <w:sz w:val="24"/>
              </w:rPr>
            </w:pPr>
            <w:r w:rsidRPr="00496FE5">
              <w:rPr>
                <w:rFonts w:ascii="Times New Roman" w:hAnsi="Times New Roman"/>
                <w:sz w:val="24"/>
              </w:rPr>
              <w:t>0360-0400</w:t>
            </w:r>
          </w:p>
        </w:tc>
        <w:tc>
          <w:tcPr>
            <w:tcW w:w="8640" w:type="dxa"/>
          </w:tcPr>
          <w:p w14:paraId="397FA959"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GECONSOLIDEERD EIGEN VERMOGEN</w:t>
            </w:r>
          </w:p>
          <w:p w14:paraId="71907E17"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18 van Verordening (EU) nr. 575/2013</w:t>
            </w:r>
          </w:p>
          <w:p w14:paraId="4F42327D"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Het als “GECONSOLIDEERD EIGEN VERMOGEN” te rapporteren bedrag is het bedrag dat wordt ontleend aan de balans, met uitzondering van vermogen dat door andere groepsentiteiten wordt ingebracht.</w:t>
            </w:r>
          </w:p>
        </w:tc>
      </w:tr>
      <w:tr w:rsidR="00173F08" w:rsidRPr="00496FE5" w14:paraId="293A7FF6" w14:textId="77777777" w:rsidTr="00822842">
        <w:tc>
          <w:tcPr>
            <w:tcW w:w="1188" w:type="dxa"/>
          </w:tcPr>
          <w:p w14:paraId="0E03C6C1" w14:textId="77777777" w:rsidR="00173F08" w:rsidRPr="00496FE5" w:rsidRDefault="00173F08" w:rsidP="00822842">
            <w:pPr>
              <w:rPr>
                <w:rFonts w:ascii="Times New Roman" w:hAnsi="Times New Roman"/>
                <w:sz w:val="24"/>
              </w:rPr>
            </w:pPr>
            <w:r w:rsidRPr="00496FE5">
              <w:rPr>
                <w:rFonts w:ascii="Times New Roman" w:hAnsi="Times New Roman"/>
                <w:sz w:val="24"/>
              </w:rPr>
              <w:t>0360</w:t>
            </w:r>
          </w:p>
        </w:tc>
        <w:tc>
          <w:tcPr>
            <w:tcW w:w="8640" w:type="dxa"/>
          </w:tcPr>
          <w:p w14:paraId="41EC81C0"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GECONSOLIDEERD EIGEN VERMOGEN</w:t>
            </w:r>
          </w:p>
        </w:tc>
      </w:tr>
      <w:tr w:rsidR="00173F08" w:rsidRPr="00496FE5" w14:paraId="2E86BBAD" w14:textId="77777777" w:rsidTr="00822842">
        <w:tc>
          <w:tcPr>
            <w:tcW w:w="1188" w:type="dxa"/>
          </w:tcPr>
          <w:p w14:paraId="444BD8B5" w14:textId="77777777" w:rsidR="00173F08" w:rsidRPr="00496FE5" w:rsidRDefault="00173F08" w:rsidP="00822842">
            <w:pPr>
              <w:rPr>
                <w:rFonts w:ascii="Times New Roman" w:hAnsi="Times New Roman"/>
                <w:sz w:val="24"/>
              </w:rPr>
            </w:pPr>
            <w:r w:rsidRPr="00496FE5">
              <w:rPr>
                <w:rFonts w:ascii="Times New Roman" w:hAnsi="Times New Roman"/>
                <w:sz w:val="24"/>
              </w:rPr>
              <w:t>0370</w:t>
            </w:r>
          </w:p>
        </w:tc>
        <w:tc>
          <w:tcPr>
            <w:tcW w:w="8640" w:type="dxa"/>
          </w:tcPr>
          <w:p w14:paraId="2CC57784"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WAARVAN: TIER 1-KERNKAPITAAL</w:t>
            </w:r>
          </w:p>
        </w:tc>
      </w:tr>
      <w:tr w:rsidR="00173F08" w:rsidRPr="00496FE5" w14:paraId="68DCA9F1" w14:textId="77777777" w:rsidTr="00822842">
        <w:tc>
          <w:tcPr>
            <w:tcW w:w="1188" w:type="dxa"/>
          </w:tcPr>
          <w:p w14:paraId="01DAA296" w14:textId="77777777" w:rsidR="00173F08" w:rsidRPr="00496FE5" w:rsidDel="0081176B" w:rsidRDefault="00173F08" w:rsidP="00822842">
            <w:pPr>
              <w:rPr>
                <w:rFonts w:ascii="Times New Roman" w:hAnsi="Times New Roman"/>
                <w:sz w:val="24"/>
              </w:rPr>
            </w:pPr>
            <w:r w:rsidRPr="00496FE5">
              <w:rPr>
                <w:rFonts w:ascii="Times New Roman" w:hAnsi="Times New Roman"/>
                <w:sz w:val="24"/>
              </w:rPr>
              <w:t>0380</w:t>
            </w:r>
          </w:p>
        </w:tc>
        <w:tc>
          <w:tcPr>
            <w:tcW w:w="8640" w:type="dxa"/>
          </w:tcPr>
          <w:p w14:paraId="3B9BF397" w14:textId="77777777" w:rsidR="00173F08" w:rsidRPr="00496FE5" w:rsidDel="0081176B"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WAARVAN: AANVULLEND TIER 1-KAPITAAL</w:t>
            </w:r>
          </w:p>
        </w:tc>
      </w:tr>
      <w:tr w:rsidR="00173F08" w:rsidRPr="00496FE5" w14:paraId="0D196D2B" w14:textId="77777777" w:rsidTr="00822842">
        <w:tc>
          <w:tcPr>
            <w:tcW w:w="1188" w:type="dxa"/>
          </w:tcPr>
          <w:p w14:paraId="74707B55" w14:textId="77777777" w:rsidR="00173F08" w:rsidRPr="00496FE5" w:rsidRDefault="00173F08" w:rsidP="00822842">
            <w:pPr>
              <w:rPr>
                <w:rFonts w:ascii="Times New Roman" w:hAnsi="Times New Roman"/>
                <w:sz w:val="24"/>
              </w:rPr>
            </w:pPr>
            <w:r w:rsidRPr="00496FE5">
              <w:rPr>
                <w:rFonts w:ascii="Times New Roman" w:hAnsi="Times New Roman"/>
                <w:sz w:val="24"/>
              </w:rPr>
              <w:t>0390</w:t>
            </w:r>
          </w:p>
        </w:tc>
        <w:tc>
          <w:tcPr>
            <w:tcW w:w="8640" w:type="dxa"/>
          </w:tcPr>
          <w:p w14:paraId="1A386497" w14:textId="77777777" w:rsidR="00173F08" w:rsidRPr="00496FE5" w:rsidRDefault="00173F08" w:rsidP="00822842">
            <w:pPr>
              <w:rPr>
                <w:rStyle w:val="InstructionsTabelleText"/>
                <w:rFonts w:ascii="Times New Roman" w:hAnsi="Times New Roman"/>
                <w:sz w:val="24"/>
              </w:rPr>
            </w:pPr>
            <w:r w:rsidRPr="00496FE5">
              <w:rPr>
                <w:rStyle w:val="InstructionsTabelleberschrift"/>
                <w:rFonts w:ascii="Times New Roman" w:hAnsi="Times New Roman"/>
                <w:sz w:val="24"/>
              </w:rPr>
              <w:t>WAARVAN: BIJDRAGEN AAN HET GECONSOLIDEERDE RESULTAAT</w:t>
            </w:r>
          </w:p>
          <w:p w14:paraId="0077C050"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Hier wordt de bijdrage van iedere entiteit aan het geconsolideerde resultaat (winst of verlies (-)) gerapporteerd. Dit omvat de aan minderheidsbelangen toe te rekenen resultaten.</w:t>
            </w:r>
          </w:p>
        </w:tc>
      </w:tr>
      <w:tr w:rsidR="00173F08" w:rsidRPr="00496FE5" w14:paraId="499357F9" w14:textId="77777777" w:rsidTr="00822842">
        <w:tc>
          <w:tcPr>
            <w:tcW w:w="1188" w:type="dxa"/>
          </w:tcPr>
          <w:p w14:paraId="237DD5A1" w14:textId="77777777" w:rsidR="00173F08" w:rsidRPr="00496FE5" w:rsidRDefault="00173F08" w:rsidP="00822842">
            <w:pPr>
              <w:rPr>
                <w:rFonts w:ascii="Times New Roman" w:hAnsi="Times New Roman"/>
                <w:sz w:val="24"/>
              </w:rPr>
            </w:pPr>
            <w:r w:rsidRPr="00496FE5">
              <w:rPr>
                <w:rFonts w:ascii="Times New Roman" w:hAnsi="Times New Roman"/>
                <w:sz w:val="24"/>
              </w:rPr>
              <w:t>0400</w:t>
            </w:r>
          </w:p>
        </w:tc>
        <w:tc>
          <w:tcPr>
            <w:tcW w:w="8640" w:type="dxa"/>
          </w:tcPr>
          <w:p w14:paraId="2D7939A6"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WAARVAN: (-) GOODWILL / (+) NEGATIEVE GOODWILL</w:t>
            </w:r>
          </w:p>
          <w:p w14:paraId="1EA56152" w14:textId="77777777" w:rsidR="00173F08" w:rsidRPr="00496FE5" w:rsidRDefault="00173F08" w:rsidP="00822842">
            <w:pPr>
              <w:rPr>
                <w:rStyle w:val="InstructionsTabelleberschrift"/>
                <w:rFonts w:ascii="Times New Roman" w:hAnsi="Times New Roman"/>
                <w:sz w:val="24"/>
              </w:rPr>
            </w:pPr>
            <w:r w:rsidRPr="00496FE5">
              <w:rPr>
                <w:rStyle w:val="InstructionsTabelleText"/>
                <w:rFonts w:ascii="Times New Roman" w:hAnsi="Times New Roman"/>
                <w:sz w:val="24"/>
              </w:rPr>
              <w:t>Hier wordt de (negatieve) goodwill van de rapporterende entiteit in de dochteronderneming gerapporteerd.</w:t>
            </w:r>
          </w:p>
        </w:tc>
      </w:tr>
      <w:tr w:rsidR="00173F08" w:rsidRPr="00496FE5" w14:paraId="33B902F7" w14:textId="77777777" w:rsidTr="00822842">
        <w:tc>
          <w:tcPr>
            <w:tcW w:w="1188" w:type="dxa"/>
          </w:tcPr>
          <w:p w14:paraId="34A2D119"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0410-0480</w:t>
            </w:r>
          </w:p>
        </w:tc>
        <w:tc>
          <w:tcPr>
            <w:tcW w:w="8640" w:type="dxa"/>
          </w:tcPr>
          <w:p w14:paraId="653C81F3"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KAPITAALBUFFERS</w:t>
            </w:r>
          </w:p>
          <w:p w14:paraId="5D522742" w14:textId="77777777" w:rsidR="00173F08" w:rsidRPr="00496FE5" w:rsidRDefault="00173F08" w:rsidP="00822842">
            <w:pPr>
              <w:rPr>
                <w:rStyle w:val="InstructionsTabelleberschrift"/>
                <w:rFonts w:ascii="Times New Roman" w:hAnsi="Times New Roman"/>
                <w:b w:val="0"/>
                <w:sz w:val="24"/>
              </w:rPr>
            </w:pPr>
            <w:r w:rsidRPr="00496FE5">
              <w:rPr>
                <w:rStyle w:val="InstructionsTabelleberschrift"/>
                <w:rFonts w:ascii="Times New Roman" w:hAnsi="Times New Roman"/>
                <w:sz w:val="24"/>
              </w:rPr>
              <w:t xml:space="preserve">De rapportage van kapitaalbuffers voor de GS-template volgt de algemene structuur van de CA4-template, met gebruikmaking van dezelfde rapportageconcepten. Bij het rapporteren van de kapitaalbuffers voor de GS-template worden de desbetreffende bedragen gerapporteerd in overeenstemming met de bepalingen die van toepassing zijn om het buffervereiste voor de geconsolideerde situatie van een groep te bepalen. De gerapporteerde bedragen aan kapitaalbuffers vertegenwoordigen bijgevolg de bijdragen van elke entiteit aan de buffers van het groepskapitaal. </w:t>
            </w:r>
            <w:r w:rsidRPr="00496FE5">
              <w:rPr>
                <w:rFonts w:ascii="Times New Roman" w:hAnsi="Times New Roman"/>
                <w:sz w:val="24"/>
              </w:rPr>
              <w:t>De gerapporteerde bedragen zijn gebaseerd op de nationale omzettingsmaatregelen van Richtlijn 2013/36/EU en op Verordening (EU) nr. 575/2013, met inbegrip van alle overgangsbepalingen waarin daarin is voorzien.</w:t>
            </w:r>
          </w:p>
        </w:tc>
      </w:tr>
      <w:tr w:rsidR="00173F08" w:rsidRPr="00496FE5" w14:paraId="63DC141B" w14:textId="77777777" w:rsidTr="00822842">
        <w:tc>
          <w:tcPr>
            <w:tcW w:w="1188" w:type="dxa"/>
          </w:tcPr>
          <w:p w14:paraId="5BB39E76"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0410</w:t>
            </w:r>
          </w:p>
        </w:tc>
        <w:tc>
          <w:tcPr>
            <w:tcW w:w="8640" w:type="dxa"/>
          </w:tcPr>
          <w:p w14:paraId="14D301D1"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GECOMBINEERD BUFFERVEREISTE</w:t>
            </w:r>
          </w:p>
          <w:p w14:paraId="7DF96672" w14:textId="77777777" w:rsidR="00173F08" w:rsidRPr="00496FE5" w:rsidRDefault="00173F08" w:rsidP="00822842">
            <w:pPr>
              <w:tabs>
                <w:tab w:val="left" w:pos="3510"/>
              </w:tabs>
              <w:rPr>
                <w:rStyle w:val="InstructionsTabelleberschrift"/>
                <w:rFonts w:ascii="Times New Roman" w:hAnsi="Times New Roman"/>
                <w:sz w:val="24"/>
              </w:rPr>
            </w:pPr>
            <w:r w:rsidRPr="00496FE5">
              <w:rPr>
                <w:rFonts w:ascii="Times New Roman" w:hAnsi="Times New Roman"/>
                <w:sz w:val="24"/>
              </w:rPr>
              <w:t>Artikel 128, punt 6, van Richtlijn 2013/36/EU</w:t>
            </w:r>
          </w:p>
        </w:tc>
      </w:tr>
      <w:tr w:rsidR="00173F08" w:rsidRPr="00496FE5" w14:paraId="4304DCA5" w14:textId="77777777" w:rsidTr="00822842">
        <w:tc>
          <w:tcPr>
            <w:tcW w:w="1188" w:type="dxa"/>
          </w:tcPr>
          <w:p w14:paraId="0CFC30D8"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0420</w:t>
            </w:r>
          </w:p>
        </w:tc>
        <w:tc>
          <w:tcPr>
            <w:tcW w:w="8640" w:type="dxa"/>
          </w:tcPr>
          <w:p w14:paraId="41EA8A90"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KAPITAALCONSERVERINGSBUFFER</w:t>
            </w:r>
          </w:p>
          <w:p w14:paraId="5DD283B6"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Artikel 128, punt 1, en artikel 129 van Richtlijn 2013/36/EU</w:t>
            </w:r>
          </w:p>
          <w:p w14:paraId="7013CF4E" w14:textId="77777777" w:rsidR="00173F08" w:rsidRPr="00496FE5" w:rsidRDefault="00173F08" w:rsidP="00496FE5">
            <w:pPr>
              <w:pStyle w:val="InstructionsText"/>
              <w:rPr>
                <w:rStyle w:val="InstructionsTabelleText"/>
                <w:rFonts w:ascii="Times New Roman" w:hAnsi="Times New Roman"/>
              </w:rPr>
            </w:pPr>
            <w:r w:rsidRPr="00496FE5">
              <w:t xml:space="preserve">Overeenkomstig artikel 129, lid 1, van Richtlijn 2013/36/EU is de kapitaalconserveringsbuffer een aanvullend bedrag aan tier 1-kernkapitaal. </w:t>
            </w:r>
            <w:r w:rsidRPr="00496FE5">
              <w:lastRenderedPageBreak/>
              <w:t>Aangezien de kapitaalconserveringsbuffer vast op 2,5 % is gesteld, moet in deze rij een bedrag worden ingevuld.</w:t>
            </w:r>
          </w:p>
        </w:tc>
      </w:tr>
      <w:tr w:rsidR="00173F08" w:rsidRPr="00496FE5" w14:paraId="33A8BFBD" w14:textId="77777777" w:rsidTr="00822842">
        <w:tc>
          <w:tcPr>
            <w:tcW w:w="1188" w:type="dxa"/>
          </w:tcPr>
          <w:p w14:paraId="2C9182C7"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lastRenderedPageBreak/>
              <w:t>0430</w:t>
            </w:r>
          </w:p>
        </w:tc>
        <w:tc>
          <w:tcPr>
            <w:tcW w:w="8640" w:type="dxa"/>
          </w:tcPr>
          <w:p w14:paraId="6552E827"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INSTELLINGSSPECIFIEKE CONTRACYCLISCHE KAPITAALBUFFER</w:t>
            </w:r>
          </w:p>
          <w:p w14:paraId="38A11488" w14:textId="77777777" w:rsidR="00173F08" w:rsidRPr="00496FE5" w:rsidRDefault="00173F08" w:rsidP="00822842">
            <w:pPr>
              <w:rPr>
                <w:rStyle w:val="InstructionsTabelleText"/>
                <w:rFonts w:ascii="Times New Roman" w:hAnsi="Times New Roman"/>
                <w:sz w:val="24"/>
              </w:rPr>
            </w:pPr>
            <w:r w:rsidRPr="00496FE5">
              <w:rPr>
                <w:rFonts w:ascii="Times New Roman" w:hAnsi="Times New Roman"/>
                <w:sz w:val="24"/>
              </w:rPr>
              <w:t>Artikel 128, punt 2, artikel 130 en artikelen 135 tot en met 140 van Richtlijn 2013/36/EU.</w:t>
            </w:r>
          </w:p>
          <w:p w14:paraId="169D829F" w14:textId="77777777" w:rsidR="00173F08" w:rsidRPr="00496FE5" w:rsidRDefault="00173F08" w:rsidP="00496FE5">
            <w:pPr>
              <w:pStyle w:val="InstructionsText"/>
              <w:rPr>
                <w:rStyle w:val="InstructionsTabelleText"/>
                <w:rFonts w:ascii="Times New Roman" w:hAnsi="Times New Roman"/>
              </w:rPr>
            </w:pPr>
            <w:r w:rsidRPr="00496FE5">
              <w:t>Het concrete bedrag van de contracyclische kapitaalbuffer wordt in deze cel gerapporteerd.</w:t>
            </w:r>
          </w:p>
        </w:tc>
      </w:tr>
      <w:tr w:rsidR="00173F08" w:rsidRPr="00496FE5" w14:paraId="393ED63D" w14:textId="77777777" w:rsidTr="00822842">
        <w:tc>
          <w:tcPr>
            <w:tcW w:w="1188" w:type="dxa"/>
          </w:tcPr>
          <w:p w14:paraId="6BD0956B" w14:textId="77777777" w:rsidR="00173F08" w:rsidRPr="00496FE5" w:rsidDel="00D70027"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0440</w:t>
            </w:r>
          </w:p>
        </w:tc>
        <w:tc>
          <w:tcPr>
            <w:tcW w:w="8640" w:type="dxa"/>
          </w:tcPr>
          <w:p w14:paraId="3C0108F5"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CONSERVERINGSBUFFER ALS GEVOLG VAN OP HET NIVEAU VAN EEN LIDSTAAT ONDERKEND MACROPRUDENTIEEL RISICO OF SYSTEEMRISICO</w:t>
            </w:r>
          </w:p>
          <w:p w14:paraId="0EC165D1" w14:textId="77777777" w:rsidR="00173F08" w:rsidRPr="00496FE5" w:rsidRDefault="00173F08" w:rsidP="00822842">
            <w:pPr>
              <w:rPr>
                <w:rStyle w:val="InstructionsTabelleberschrift"/>
                <w:rFonts w:ascii="Times New Roman" w:hAnsi="Times New Roman"/>
                <w:b w:val="0"/>
                <w:sz w:val="24"/>
              </w:rPr>
            </w:pPr>
            <w:r w:rsidRPr="00496FE5">
              <w:rPr>
                <w:rFonts w:ascii="Times New Roman" w:hAnsi="Times New Roman"/>
                <w:sz w:val="24"/>
              </w:rPr>
              <w:t>Artikel 458, lid 2, punt d), iv), van Verordening (EU) nr. 575/2013</w:t>
            </w:r>
          </w:p>
          <w:p w14:paraId="2C6BA8FE" w14:textId="77777777" w:rsidR="00173F08" w:rsidRPr="00496FE5" w:rsidRDefault="00173F08" w:rsidP="00496FE5">
            <w:pPr>
              <w:pStyle w:val="InstructionsText"/>
              <w:rPr>
                <w:rStyle w:val="InstructionsTabelleberschrift"/>
                <w:rFonts w:ascii="Times New Roman" w:hAnsi="Times New Roman"/>
              </w:rPr>
            </w:pPr>
            <w:r w:rsidRPr="00496FE5">
              <w:t>In deze cel wordt het bedrag gerapporteerd van de conserveringsbuffer die overeenkomstig artikel 458 van Verordening (EU) nr. 575/2013 naast de kapitaalconserveringsbuffer kan worden verlangd als gevolg van een op het niveau van een lidstaat onderkend macroprudentieel risico of systeemrisico.</w:t>
            </w:r>
          </w:p>
        </w:tc>
      </w:tr>
      <w:tr w:rsidR="00173F08" w:rsidRPr="00496FE5" w14:paraId="4E8C2CA8" w14:textId="77777777" w:rsidTr="00822842">
        <w:tc>
          <w:tcPr>
            <w:tcW w:w="1188" w:type="dxa"/>
          </w:tcPr>
          <w:p w14:paraId="3AADC451"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0450</w:t>
            </w:r>
          </w:p>
        </w:tc>
        <w:tc>
          <w:tcPr>
            <w:tcW w:w="8640" w:type="dxa"/>
          </w:tcPr>
          <w:p w14:paraId="37512F51" w14:textId="77777777" w:rsidR="00173F08" w:rsidRPr="00496FE5" w:rsidRDefault="00173F08" w:rsidP="00822842">
            <w:pPr>
              <w:rPr>
                <w:rStyle w:val="InstructionsTabelleberschrift"/>
                <w:rFonts w:ascii="Times New Roman" w:hAnsi="Times New Roman"/>
                <w:sz w:val="24"/>
              </w:rPr>
            </w:pPr>
            <w:r w:rsidRPr="00496FE5">
              <w:rPr>
                <w:rStyle w:val="InstructionsTabelleberschrift"/>
                <w:rFonts w:ascii="Times New Roman" w:hAnsi="Times New Roman"/>
                <w:sz w:val="24"/>
              </w:rPr>
              <w:t>SYSTEEMRISICOBUFFER</w:t>
            </w:r>
          </w:p>
          <w:p w14:paraId="409112BD" w14:textId="77777777" w:rsidR="00173F08" w:rsidRPr="00496FE5" w:rsidRDefault="00173F08" w:rsidP="00496FE5">
            <w:pPr>
              <w:pStyle w:val="InstructionsText"/>
            </w:pPr>
            <w:r w:rsidRPr="00496FE5">
              <w:t xml:space="preserve">Artikel 128, punt 5, en artikelen 133 en 134 van Richtlijn 2013/36/EU </w:t>
            </w:r>
          </w:p>
          <w:p w14:paraId="1888AE1C" w14:textId="77777777" w:rsidR="00173F08" w:rsidRPr="00496FE5" w:rsidRDefault="00173F08" w:rsidP="00822842">
            <w:pPr>
              <w:rPr>
                <w:rStyle w:val="InstructionsTabelleberschrift"/>
                <w:rFonts w:ascii="Times New Roman" w:hAnsi="Times New Roman"/>
                <w:sz w:val="24"/>
              </w:rPr>
            </w:pPr>
            <w:r w:rsidRPr="00496FE5">
              <w:rPr>
                <w:rFonts w:ascii="Times New Roman" w:hAnsi="Times New Roman"/>
                <w:sz w:val="24"/>
              </w:rPr>
              <w:t>Het bedrag van de systeemrisicobuffer wordt in deze cel gerapporteerd.</w:t>
            </w:r>
          </w:p>
        </w:tc>
      </w:tr>
      <w:tr w:rsidR="00173F08" w:rsidRPr="00496FE5" w14:paraId="1CE0C973" w14:textId="77777777" w:rsidTr="00822842">
        <w:tc>
          <w:tcPr>
            <w:tcW w:w="1188" w:type="dxa"/>
          </w:tcPr>
          <w:p w14:paraId="729A039E"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0470</w:t>
            </w:r>
          </w:p>
        </w:tc>
        <w:tc>
          <w:tcPr>
            <w:tcW w:w="8640" w:type="dxa"/>
          </w:tcPr>
          <w:p w14:paraId="1989B565" w14:textId="77777777" w:rsidR="00173F08" w:rsidRPr="00496FE5" w:rsidRDefault="00173F08" w:rsidP="00822842">
            <w:pPr>
              <w:tabs>
                <w:tab w:val="left" w:pos="6660"/>
              </w:tabs>
              <w:rPr>
                <w:rStyle w:val="InstructionsTabelleberschrift"/>
                <w:rFonts w:ascii="Times New Roman" w:hAnsi="Times New Roman"/>
                <w:sz w:val="24"/>
              </w:rPr>
            </w:pPr>
            <w:r w:rsidRPr="00496FE5">
              <w:rPr>
                <w:rStyle w:val="InstructionsTabelleberschrift"/>
                <w:rFonts w:ascii="Times New Roman" w:hAnsi="Times New Roman"/>
                <w:sz w:val="24"/>
              </w:rPr>
              <w:t>BUFFER VOOR MONDIAAL SYSTEEMRELEVANTE INSTELLINGEN</w:t>
            </w:r>
            <w:r w:rsidRPr="00496FE5">
              <w:rPr>
                <w:rStyle w:val="InstructionsTabelleberschrift"/>
                <w:rFonts w:ascii="Times New Roman" w:hAnsi="Times New Roman"/>
                <w:sz w:val="24"/>
              </w:rPr>
              <w:tab/>
            </w:r>
          </w:p>
          <w:p w14:paraId="530093DF" w14:textId="77777777" w:rsidR="00173F08" w:rsidRPr="00496FE5" w:rsidRDefault="00173F08" w:rsidP="00496FE5">
            <w:pPr>
              <w:pStyle w:val="InstructionsText"/>
              <w:rPr>
                <w:rStyle w:val="InstructionsTabelleberschrift"/>
                <w:rFonts w:ascii="Times New Roman" w:hAnsi="Times New Roman"/>
                <w:b w:val="0"/>
              </w:rPr>
            </w:pPr>
            <w:r w:rsidRPr="00496FE5">
              <w:rPr>
                <w:rStyle w:val="InstructionsTabelleberschrift"/>
                <w:rFonts w:ascii="Times New Roman" w:hAnsi="Times New Roman"/>
              </w:rPr>
              <w:t>Artikel 128, punt 3, en artikel 131 van Richtlijn 2013/36/EU</w:t>
            </w:r>
          </w:p>
          <w:p w14:paraId="5835A3FB" w14:textId="77777777" w:rsidR="00173F08" w:rsidRPr="00496FE5" w:rsidRDefault="00173F08" w:rsidP="00496FE5">
            <w:pPr>
              <w:pStyle w:val="InstructionsText"/>
              <w:rPr>
                <w:rStyle w:val="InstructionsTabelleberschrift"/>
                <w:rFonts w:ascii="Times New Roman" w:hAnsi="Times New Roman"/>
              </w:rPr>
            </w:pPr>
            <w:r w:rsidRPr="00496FE5">
              <w:t>Het bedrag van de buffer voor mondiaal systeemrelevante instellingen wordt in deze cel gerapporteerd.</w:t>
            </w:r>
          </w:p>
        </w:tc>
      </w:tr>
      <w:tr w:rsidR="00173F08" w:rsidRPr="00496FE5" w14:paraId="57BA6A14" w14:textId="77777777" w:rsidTr="00822842">
        <w:tc>
          <w:tcPr>
            <w:tcW w:w="1188" w:type="dxa"/>
          </w:tcPr>
          <w:p w14:paraId="769CFE84" w14:textId="77777777" w:rsidR="00173F08" w:rsidRPr="00496FE5" w:rsidRDefault="00173F08" w:rsidP="00822842">
            <w:pPr>
              <w:rPr>
                <w:rStyle w:val="InstructionsTabelleText"/>
                <w:rFonts w:ascii="Times New Roman" w:hAnsi="Times New Roman"/>
                <w:sz w:val="24"/>
              </w:rPr>
            </w:pPr>
            <w:r w:rsidRPr="00496FE5">
              <w:rPr>
                <w:rStyle w:val="InstructionsTabelleText"/>
                <w:rFonts w:ascii="Times New Roman" w:hAnsi="Times New Roman"/>
                <w:sz w:val="24"/>
              </w:rPr>
              <w:t>0480</w:t>
            </w:r>
          </w:p>
        </w:tc>
        <w:tc>
          <w:tcPr>
            <w:tcW w:w="8640" w:type="dxa"/>
          </w:tcPr>
          <w:p w14:paraId="7FDD0190" w14:textId="77777777" w:rsidR="00173F08" w:rsidRPr="00496FE5" w:rsidRDefault="00173F08" w:rsidP="00822842">
            <w:pPr>
              <w:tabs>
                <w:tab w:val="left" w:pos="6315"/>
              </w:tabs>
              <w:rPr>
                <w:rStyle w:val="InstructionsTabelleberschrift"/>
                <w:rFonts w:ascii="Times New Roman" w:hAnsi="Times New Roman"/>
                <w:sz w:val="24"/>
              </w:rPr>
            </w:pPr>
            <w:r w:rsidRPr="00496FE5">
              <w:rPr>
                <w:rStyle w:val="InstructionsTabelleberschrift"/>
                <w:rFonts w:ascii="Times New Roman" w:hAnsi="Times New Roman"/>
                <w:sz w:val="24"/>
              </w:rPr>
              <w:t>BUFFER VOOR ANDERE SYSTEEMRELEVANTE INSTELLINGEN</w:t>
            </w:r>
            <w:r w:rsidRPr="00496FE5">
              <w:rPr>
                <w:rStyle w:val="InstructionsTabelleberschrift"/>
                <w:rFonts w:ascii="Times New Roman" w:hAnsi="Times New Roman"/>
                <w:sz w:val="24"/>
              </w:rPr>
              <w:tab/>
            </w:r>
          </w:p>
          <w:p w14:paraId="5C91FC01" w14:textId="77777777" w:rsidR="00173F08" w:rsidRPr="00496FE5" w:rsidRDefault="00173F08" w:rsidP="00496FE5">
            <w:pPr>
              <w:pStyle w:val="InstructionsText"/>
            </w:pPr>
            <w:r w:rsidRPr="00496FE5">
              <w:t>Artikel 128, punt 4, en artikel 131 van Richtlijn 2013/36/EU</w:t>
            </w:r>
          </w:p>
          <w:p w14:paraId="677D9498" w14:textId="77777777" w:rsidR="00173F08" w:rsidRPr="00496FE5" w:rsidRDefault="00173F08" w:rsidP="00496FE5">
            <w:pPr>
              <w:pStyle w:val="InstructionsText"/>
              <w:rPr>
                <w:rStyle w:val="InstructionsTabelleberschrift"/>
                <w:rFonts w:ascii="Times New Roman" w:hAnsi="Times New Roman"/>
              </w:rPr>
            </w:pPr>
            <w:r w:rsidRPr="00496FE5">
              <w:t>Het bedrag van de buffer voor andere systeemrelevante instellingen wordt in deze cel gerapporteerd.</w:t>
            </w:r>
          </w:p>
        </w:tc>
      </w:tr>
    </w:tbl>
    <w:p w14:paraId="25845975" w14:textId="77777777" w:rsidR="00173F08" w:rsidRPr="00496FE5" w:rsidRDefault="00173F08" w:rsidP="00496FE5">
      <w:pPr>
        <w:pStyle w:val="InstructionsText"/>
      </w:pPr>
    </w:p>
    <w:p w14:paraId="1EA0AB00" w14:textId="77777777" w:rsidR="00BF2D9E" w:rsidRPr="00496FE5" w:rsidRDefault="00BF2D9E">
      <w:pPr>
        <w:rPr>
          <w:rFonts w:ascii="Times New Roman" w:hAnsi="Times New Roman"/>
        </w:rPr>
      </w:pPr>
    </w:p>
    <w:p w14:paraId="12D86B4B" w14:textId="77777777" w:rsidR="00BF2D9E" w:rsidRPr="00496FE5" w:rsidRDefault="00BF2D9E">
      <w:pPr>
        <w:rPr>
          <w:rFonts w:ascii="Times New Roman" w:hAnsi="Times New Roman"/>
        </w:rPr>
      </w:pPr>
    </w:p>
    <w:sectPr w:rsidR="00BF2D9E" w:rsidRPr="00496FE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496FE5"/>
    <w:rsid w:val="00601EA3"/>
    <w:rsid w:val="00631623"/>
    <w:rsid w:val="00694862"/>
    <w:rsid w:val="006A51C4"/>
    <w:rsid w:val="00702B2E"/>
    <w:rsid w:val="00780E9B"/>
    <w:rsid w:val="00930057"/>
    <w:rsid w:val="009871DF"/>
    <w:rsid w:val="00A04813"/>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496FE5"/>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496FE5"/>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76D59E7D-8B46-403A-A6AF-55E2D37FEF1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4102</Words>
  <Characters>25849</Characters>
  <Application>Microsoft Office Word</Application>
  <DocSecurity>0</DocSecurity>
  <Lines>574</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2025-01-24T10:49:45Z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7c5aef48-9540-46e8-bd77-7d0bce03c95c</vt:lpwstr>
  </property>
  <property fmtid="{D5CDD505-2E9C-101B-9397-08002B2CF9AE}" pid="10" name="MSIP_Label_6bd9ddd1-4d20-43f6-abfa-fc3c07406f94_ContentBits">
    <vt:lpwstr>0</vt:lpwstr>
  </property>
</Properties>
</file>