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SL</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PRILOGA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POROČANJE O MINIMALNI ZAHTEVI GLEDE KAPITALA IN KVALIFICIRANIH OBVEZNOSTI – NAVODILA</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DEL I:</w:t>
      </w:r>
      <w:bookmarkEnd w:id="2"/>
      <w:r>
        <w:rPr>
          <w:rFonts w:ascii="Times New Roman" w:hAnsi="Times New Roman"/>
        </w:rPr>
        <w:t xml:space="preserve"> SPLOŠNA NAVODILA</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Struktura in dogovori</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Struktura</w:t>
      </w:r>
      <w:bookmarkEnd w:id="9"/>
      <w:bookmarkEnd w:id="10"/>
      <w:bookmarkEnd w:id="11"/>
      <w:bookmarkEnd w:id="12"/>
    </w:p>
    <w:p w14:paraId="2AC3B1BF" w14:textId="310ACCAB" w:rsidR="002648B0" w:rsidRPr="00FB08AF" w:rsidRDefault="00102048" w:rsidP="009D79B2">
      <w:pPr>
        <w:pStyle w:val="InstructionsText2"/>
      </w:pPr>
      <w:r>
        <w:t>Ta okvir za poročanje o MREL in TLAC je sestavljen iz štirih skupin predlog:</w:t>
      </w:r>
    </w:p>
    <w:p w14:paraId="3086B9DD" w14:textId="5E78D7ED" w:rsidR="002648B0" w:rsidRPr="00FB08AF" w:rsidRDefault="00142215" w:rsidP="009D79B2">
      <w:pPr>
        <w:pStyle w:val="InstructionsText2"/>
        <w:numPr>
          <w:ilvl w:val="1"/>
          <w:numId w:val="15"/>
        </w:numPr>
      </w:pPr>
      <w:r>
        <w:t>zneski: ključne metrike za MREL in TLAC;</w:t>
      </w:r>
    </w:p>
    <w:p w14:paraId="3B952615" w14:textId="5D008287" w:rsidR="00436204" w:rsidRPr="00FB08AF" w:rsidRDefault="00142215" w:rsidP="009D79B2">
      <w:pPr>
        <w:pStyle w:val="InstructionsText2"/>
        <w:numPr>
          <w:ilvl w:val="1"/>
          <w:numId w:val="15"/>
        </w:numPr>
      </w:pPr>
      <w:r>
        <w:t>sestava in zapadlost;</w:t>
      </w:r>
    </w:p>
    <w:p w14:paraId="63E2C274" w14:textId="67BC4149" w:rsidR="002648B0" w:rsidRPr="00FB08AF" w:rsidRDefault="00102048" w:rsidP="009D79B2">
      <w:pPr>
        <w:pStyle w:val="InstructionsText2"/>
        <w:numPr>
          <w:ilvl w:val="1"/>
          <w:numId w:val="15"/>
        </w:numPr>
      </w:pPr>
      <w:r>
        <w:t>razvrstitev glede na vrstni red poplačila v hierarhiji upnikov;</w:t>
      </w:r>
    </w:p>
    <w:p w14:paraId="0D4AB948" w14:textId="42C1A351" w:rsidR="002648B0" w:rsidRPr="00FB08AF" w:rsidRDefault="00142215" w:rsidP="009D79B2">
      <w:pPr>
        <w:pStyle w:val="InstructionsText2"/>
        <w:numPr>
          <w:ilvl w:val="1"/>
          <w:numId w:val="15"/>
        </w:numPr>
      </w:pPr>
      <w:r>
        <w:t>informacije, povezane s posameznimi pogodbami.</w:t>
      </w:r>
    </w:p>
    <w:p w14:paraId="0F36F124" w14:textId="757CCD2C" w:rsidR="002648B0" w:rsidRPr="00FB08AF" w:rsidRDefault="002648B0" w:rsidP="009D79B2">
      <w:pPr>
        <w:pStyle w:val="InstructionsText2"/>
      </w:pPr>
      <w:r>
        <w:t>Za vsako predlogo so navedeni sklici na pravno podlago. Ta del vsebuje dodatne podrobne informacije glede splošnejših vidikov poročanja v zvezi s posameznim sklopom predlog in navodila glede specifičnih pozicij.</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Dogovor glede številčenja</w:t>
      </w:r>
      <w:bookmarkEnd w:id="15"/>
      <w:bookmarkEnd w:id="16"/>
      <w:bookmarkEnd w:id="17"/>
      <w:bookmarkEnd w:id="18"/>
    </w:p>
    <w:p w14:paraId="66584242" w14:textId="63AA7C63" w:rsidR="002648B0" w:rsidRPr="00FB08AF" w:rsidRDefault="002648B0" w:rsidP="009D79B2">
      <w:pPr>
        <w:pStyle w:val="InstructionsText2"/>
      </w:pPr>
      <w:r>
        <w:t>Pri sklicevanju na stolpce, vrstice in celice predlog se v dokumentu upošteva dogovor glede označevanja iz točk (a) do (d). Te številčne kode se obsežno uporabljajo v validacijskih pravilih, določenih v skladu s Prilogo III.</w:t>
      </w:r>
    </w:p>
    <w:p w14:paraId="62F2C4B4" w14:textId="37DCE2FC" w:rsidR="005643EA" w:rsidRPr="00FB08AF" w:rsidRDefault="00142215" w:rsidP="009D79B2">
      <w:pPr>
        <w:pStyle w:val="InstructionsText2"/>
        <w:numPr>
          <w:ilvl w:val="1"/>
          <w:numId w:val="15"/>
        </w:numPr>
      </w:pPr>
      <w:r>
        <w:t>uporablja se naslednji splošni zapis: {predloga;vrstica;stolpec};</w:t>
      </w:r>
    </w:p>
    <w:p w14:paraId="7FB9131E" w14:textId="0B707586" w:rsidR="007D41F2" w:rsidRPr="00FB08AF" w:rsidRDefault="00142215" w:rsidP="009D79B2">
      <w:pPr>
        <w:pStyle w:val="InstructionsText2"/>
        <w:numPr>
          <w:ilvl w:val="1"/>
          <w:numId w:val="15"/>
        </w:numPr>
      </w:pPr>
      <w:r>
        <w:t>sklici znotraj predloge ne vsebujejo navedbe predloge: {vrstica;stolpec};</w:t>
      </w:r>
    </w:p>
    <w:p w14:paraId="07D8D5F5" w14:textId="74593C91" w:rsidR="007D41F2" w:rsidRPr="00FB08AF" w:rsidRDefault="00142215" w:rsidP="009D79B2">
      <w:pPr>
        <w:pStyle w:val="InstructionsText2"/>
        <w:numPr>
          <w:ilvl w:val="1"/>
          <w:numId w:val="15"/>
        </w:numPr>
      </w:pPr>
      <w:r>
        <w:t>v primeru predlog, ki imajo le en stolpec, so navedene le vrstice: {predloga; vrstica};</w:t>
      </w:r>
    </w:p>
    <w:p w14:paraId="690EFD8E" w14:textId="1E756AEF" w:rsidR="002648B0" w:rsidRPr="00FB08AF" w:rsidRDefault="00BD4614" w:rsidP="009D79B2">
      <w:pPr>
        <w:pStyle w:val="InstructionsText2"/>
        <w:numPr>
          <w:ilvl w:val="1"/>
          <w:numId w:val="15"/>
        </w:numPr>
      </w:pPr>
      <w:r>
        <w:t>če sklic zajema predhodno navedene vrstice ali stolpce, se to označi z zvezdico.</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Dogovor glede predznaka</w:t>
      </w:r>
      <w:bookmarkEnd w:id="13"/>
      <w:bookmarkEnd w:id="14"/>
      <w:bookmarkEnd w:id="19"/>
      <w:bookmarkEnd w:id="20"/>
      <w:bookmarkEnd w:id="21"/>
      <w:bookmarkEnd w:id="22"/>
    </w:p>
    <w:p w14:paraId="5CD09166" w14:textId="3D59906B" w:rsidR="002648B0" w:rsidRPr="00FB08AF" w:rsidRDefault="002648B0" w:rsidP="009D79B2">
      <w:pPr>
        <w:pStyle w:val="InstructionsText2"/>
      </w:pPr>
      <w:r>
        <w:t>Vsak znesek, ki poveča kapital in kvalificirane obveznosti, zneske tveganju prilagojenih izpostavljenosti, mero izpostavljenosti količnika finančnega vzvoda ali zahteve, se poroča kot pozitivna vrednost. Nasprotno se vsak znesek, ki zmanjša kapital in kvalificirane obveznosti, zneske tveganju prilagojenih izpo</w:t>
      </w:r>
      <w:r>
        <w:lastRenderedPageBreak/>
        <w:t>stavljenosti, mero izpostavljenosti količnika finančnega vzvoda ali zahteve, poroča kot negativna vrednost. Če je pred postavko negativni predznak (–), se za zadevno postavko ne poroča noben pozitivni znesek.</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Okrajšave</w:t>
      </w:r>
      <w:bookmarkEnd w:id="23"/>
      <w:bookmarkEnd w:id="24"/>
      <w:r>
        <w:t xml:space="preserve"> in opredelitve pojmov</w:t>
      </w:r>
    </w:p>
    <w:p w14:paraId="246BFF93" w14:textId="656D592B" w:rsidR="007D41F2" w:rsidRPr="00FB08AF" w:rsidRDefault="007D41F2" w:rsidP="009D79B2">
      <w:pPr>
        <w:pStyle w:val="InstructionsText2"/>
      </w:pPr>
      <w:r>
        <w:t>Za namene prilog k tej uredbi se uporabljajo naslednje okrajšave in opredelitve pojmov:</w:t>
      </w:r>
    </w:p>
    <w:p w14:paraId="570D1886" w14:textId="129F471C" w:rsidR="007A0406" w:rsidRPr="00FB08AF" w:rsidRDefault="006876BA" w:rsidP="009D79B2">
      <w:pPr>
        <w:pStyle w:val="InstructionsText2"/>
        <w:numPr>
          <w:ilvl w:val="1"/>
          <w:numId w:val="15"/>
        </w:numPr>
      </w:pPr>
      <w:r>
        <w:t xml:space="preserve"> „MREL“ pomeni minimalno zahtevo glede kapitala in kvalificiranih obveznosti v skladu s členom 45 Direktive 2014/59/EU;</w:t>
      </w:r>
    </w:p>
    <w:p w14:paraId="57536738" w14:textId="0377AEDA" w:rsidR="007A0406" w:rsidRPr="00FB08AF" w:rsidRDefault="007A0406" w:rsidP="009D79B2">
      <w:pPr>
        <w:pStyle w:val="InstructionsText2"/>
        <w:numPr>
          <w:ilvl w:val="1"/>
          <w:numId w:val="15"/>
        </w:numPr>
      </w:pPr>
      <w:r>
        <w:t>„TLAC“ pomeni zahteve glede kapitala in kvalificiranih obveznosti za globalne sistemsko pomembne institucije (GSPI) v skladu s členom 92a Uredbe (EU) št. 575/2013;</w:t>
      </w:r>
    </w:p>
    <w:p w14:paraId="2F8292A9" w14:textId="510A8DF1" w:rsidR="005C73C9" w:rsidRPr="00FB08AF" w:rsidRDefault="005C73C9" w:rsidP="009D79B2">
      <w:pPr>
        <w:pStyle w:val="InstructionsText2"/>
        <w:numPr>
          <w:ilvl w:val="1"/>
          <w:numId w:val="15"/>
        </w:numPr>
      </w:pPr>
      <w:r>
        <w:t>„notranja TLAC“ pomeni zahtevo glede kapitala in kvalificiranih obveznosti za GSPI zunaj EU v skladu s členom 92b Uredbe (EU) št. 575/2013;</w:t>
      </w:r>
    </w:p>
    <w:p w14:paraId="20FFA708" w14:textId="217BA515" w:rsidR="008E638A" w:rsidRPr="00FB08AF" w:rsidRDefault="008E638A" w:rsidP="009D79B2">
      <w:pPr>
        <w:pStyle w:val="InstructionsText2"/>
        <w:numPr>
          <w:ilvl w:val="1"/>
          <w:numId w:val="15"/>
        </w:numPr>
      </w:pPr>
      <w:r>
        <w:t>„notranja MREL“ pomeni MREL, ki se uporablja za subjekte, ki sami niso subjekti v postopku reševanja, v skladu s členom 45f Direktive 2014/59/EU;</w:t>
      </w:r>
    </w:p>
    <w:p w14:paraId="549385E1" w14:textId="142F130E" w:rsidR="00A335B4" w:rsidRPr="00FB08AF" w:rsidRDefault="00A335B4" w:rsidP="009D79B2">
      <w:pPr>
        <w:pStyle w:val="InstructionsText2"/>
        <w:numPr>
          <w:ilvl w:val="1"/>
          <w:numId w:val="15"/>
        </w:numPr>
      </w:pPr>
      <w:r>
        <w:t>„neporabljeni znesek iz naslova predhodnega dovoljenja“ pomeni tisti del zneska, ki ga zajema predhodno dovoljenje za odpoklic, odkup, odplačilo ali izplačilo kapitalskih instrumentov v skladu s členom 78 Uredbe (EU) št. 575/2013 ali instrumentov kvalificiranih obveznosti v skladu s členom 78a navedene uredbe, kot je ustrezno, ki ga subjekt, ki poroča, še ni porabil za odpoklic, odkup, odplačilo ali izplačilo instrumentov. Kadar je dovoljenje priložnostno in se nanaša na instrumente z opcijo odpoklica, pri katerih ni zadostne gotovosti glede tega, ali bo opcija odpoklica izvršena, neporabljeni znesek iz naslova predhodnega dovoljenja ne vključuje nobenih takih instrumentov;</w:t>
      </w:r>
    </w:p>
    <w:p w14:paraId="228F5767" w14:textId="2A472080" w:rsidR="00A335B4" w:rsidRPr="00FB08AF" w:rsidRDefault="00A335B4" w:rsidP="009D79B2">
      <w:pPr>
        <w:pStyle w:val="InstructionsText2"/>
        <w:numPr>
          <w:ilvl w:val="1"/>
          <w:numId w:val="15"/>
        </w:numPr>
      </w:pPr>
      <w:r>
        <w:t xml:space="preserve">„neporabljeni znesek iz naslova priložnostnega dovoljenja“ pomeni tisti del zneska, ki ga zajema priložnostno predhodno dovoljenje za odpoklic, odkup, odplačilo ali izplačilo specifičnih kapitalskih instrumentov v skladu s členom 78(1), prvi pododstavek, Uredbe (EU) št. 575/2013 v povezavi s členom 28(5) </w:t>
      </w:r>
      <w:r>
        <w:rPr>
          <w:rStyle w:val="FormatvorlageInstructionsTabelleText"/>
          <w:rFonts w:ascii="Times New Roman" w:hAnsi="Times New Roman"/>
          <w:sz w:val="24"/>
        </w:rPr>
        <w:t>Delegirane uredbe Komisije (EU) št. 241/2014</w:t>
      </w:r>
      <w:r w:rsidR="00295371" w:rsidRPr="00FB08AF">
        <w:rPr>
          <w:rStyle w:val="FootnoteReference"/>
          <w:bCs/>
        </w:rPr>
        <w:footnoteReference w:id="2"/>
      </w:r>
      <w:r>
        <w:t xml:space="preserve"> ali specifičnih instrumentov kvalificiranih obveznosti v skladu s členom 78a Uredbe (EU) št. 575/2013 </w:t>
      </w:r>
      <w:r>
        <w:rPr>
          <w:rStyle w:val="FormatvorlageInstructionsTabelleText"/>
          <w:rFonts w:ascii="Times New Roman" w:hAnsi="Times New Roman"/>
          <w:sz w:val="24"/>
        </w:rPr>
        <w:t>v povezavi s členom 32b(2) Delegirane uredbe Komisije (EU) št. 241/2014</w:t>
      </w:r>
      <w:r>
        <w:t>, kot je ustrezno, ki ga subjekt, ki poroča, še ni porabil za odpoklic, odkup, odplačilo ali izplačilo teh instrumentov. Kadar se dovoljenje nanaša na instrumente z opcijo odpoklica, pri katerih ni zadostne gotovosti glede tega, ali bo opcija odpoklica izvršena, neporabljeni znesek iz naslova predhodnega dovoljenja ne vključuje nobenih takih instrumentov;</w:t>
      </w:r>
    </w:p>
    <w:p w14:paraId="2817175F" w14:textId="48A4A2F6" w:rsidR="001B1864" w:rsidRPr="00FB08AF" w:rsidRDefault="001B1864" w:rsidP="009D79B2">
      <w:pPr>
        <w:pStyle w:val="InstructionsText2"/>
        <w:numPr>
          <w:ilvl w:val="1"/>
          <w:numId w:val="15"/>
        </w:numPr>
      </w:pPr>
      <w:r>
        <w:t xml:space="preserve">„neporabljeni znesek iz naslova splošnega dovoljenja“ ali „neporabljeni znesek iz naslova splošnega predhodnega dovoljenja“ pomeni tisti del zneska, ki ga zajema predhodno dovoljenje za odpoklic, odkup, odplačilo ali izplačilo kapitalskih instrumentov v skladu s členom 78(1), drugi pododstavek, Uredbe (EU) </w:t>
      </w:r>
      <w:r>
        <w:lastRenderedPageBreak/>
        <w:t xml:space="preserve">št. 575/2013 v povezavi s členom 28(3) </w:t>
      </w:r>
      <w:r>
        <w:rPr>
          <w:rStyle w:val="FormatvorlageInstructionsTabelleText"/>
          <w:rFonts w:ascii="Times New Roman" w:hAnsi="Times New Roman"/>
          <w:sz w:val="24"/>
        </w:rPr>
        <w:t>Delegirane uredbe Komisije (EU) št. 241/2014</w:t>
      </w:r>
      <w:r>
        <w:t xml:space="preserve"> ali instrumentov kvalificiranih obveznosti v skladu s členom 78a Uredbe (EU) št. 575/2013 </w:t>
      </w:r>
      <w:r>
        <w:rPr>
          <w:rStyle w:val="FormatvorlageInstructionsTabelleText"/>
          <w:rFonts w:ascii="Times New Roman" w:hAnsi="Times New Roman"/>
          <w:sz w:val="24"/>
        </w:rPr>
        <w:t>v povezavi s členom 32b(3) in (5) Delegirane uredbe Komisije (EU) št. 241/2014</w:t>
      </w:r>
      <w:r>
        <w:t xml:space="preserve">, kot je ustrezno, ki ga subjekt, ki poroča, še ni porabil za odpoklic, odkup, odplačilo ali izplačilo teh instrumentov.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9D79B2">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DEL II: NAVODILA V ZVEZI S PREDLOGAMI</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Zneski: M 01.00 – Ključne metrike za MREL in TLAC (KM2)</w:t>
      </w:r>
      <w:bookmarkEnd w:id="29"/>
    </w:p>
    <w:p w14:paraId="33F01D1B" w14:textId="77777777" w:rsidR="00443BEC" w:rsidRPr="00FB08AF" w:rsidRDefault="00443BEC" w:rsidP="00C271AC">
      <w:pPr>
        <w:pStyle w:val="Numberedtilelevel1"/>
        <w:numPr>
          <w:ilvl w:val="1"/>
          <w:numId w:val="30"/>
        </w:numPr>
      </w:pPr>
      <w:bookmarkStart w:id="30" w:name="_Toc45558480"/>
      <w:r>
        <w:t>Splošne opombe</w:t>
      </w:r>
      <w:bookmarkEnd w:id="30"/>
    </w:p>
    <w:p w14:paraId="6B3CD7BF" w14:textId="035C8958" w:rsidR="00902E77" w:rsidRPr="00FB08AF" w:rsidRDefault="002701C8" w:rsidP="009D79B2">
      <w:pPr>
        <w:pStyle w:val="InstructionsText2"/>
      </w:pPr>
      <w:r>
        <w:t>Stolpec, ki se nanaša na minimalno zahtevo glede kapitala in kvalificiranih obveznosti (MREL), izpolnijo subjekti, za katere velja minimalna zahteva glede kapitala in kvalificiranih obveznosti v skladu s členom 45e Direktive 2014/59/EU. Postavke, ki se nanašajo na zahtevo glede kapitala in kvalificiranih obveznosti za GSPI (TLAC), poročajo samo tisti subjekti, ki morajo izpolnjevati zahtevo iz člena 92a Uredbe (EU) št. 575/2013.</w:t>
      </w:r>
    </w:p>
    <w:p w14:paraId="507A7131" w14:textId="63A7BD8F" w:rsidR="00443BEC" w:rsidRPr="00FB08AF" w:rsidRDefault="00443BEC" w:rsidP="00443BEC">
      <w:pPr>
        <w:pStyle w:val="Numberedtilelevel1"/>
        <w:numPr>
          <w:ilvl w:val="1"/>
          <w:numId w:val="30"/>
        </w:numPr>
      </w:pPr>
      <w:bookmarkStart w:id="31" w:name="_Toc45558481"/>
      <w:r>
        <w:t>Navodila za posamezne pozicije</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9D79B2">
            <w:pPr>
              <w:pStyle w:val="InstructionsText"/>
            </w:pPr>
            <w:r>
              <w:t>Stolpci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9D79B2">
            <w:pPr>
              <w:pStyle w:val="InstructionsText"/>
            </w:pPr>
            <w:r>
              <w:t>Pravna podlaga in navodila</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9D79B2">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Minimalna zahteva glede kapitala in kvalificiranih obveznosti (MREL)</w:t>
            </w:r>
          </w:p>
          <w:p w14:paraId="2AD8D05B" w14:textId="3CD8A827" w:rsidR="00B24942" w:rsidRPr="00FB08AF" w:rsidRDefault="00B24942" w:rsidP="009D79B2">
            <w:pPr>
              <w:pStyle w:val="InstructionsText"/>
            </w:pPr>
            <w:r>
              <w:rPr>
                <w:rStyle w:val="InstructionsTabelleberschrift"/>
                <w:rFonts w:ascii="Times New Roman" w:hAnsi="Times New Roman"/>
                <w:b w:val="0"/>
                <w:sz w:val="24"/>
                <w:u w:val="none"/>
              </w:rPr>
              <w:t xml:space="preserve">Člena 45 in 45e </w:t>
            </w:r>
            <w:r>
              <w:t>Direktive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9D79B2">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Zahteva glede kapitala in kvalificiranih obveznosti za GSPI (TLAC)</w:t>
            </w:r>
          </w:p>
          <w:p w14:paraId="3CB88656" w14:textId="5EB7C7A4" w:rsidR="00B24942" w:rsidRPr="00FB08AF" w:rsidRDefault="00B24942"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92a</w:t>
            </w:r>
            <w:r>
              <w:t xml:space="preserve"> Uredbe (EU) št. 575/2013.</w:t>
            </w:r>
          </w:p>
        </w:tc>
      </w:tr>
    </w:tbl>
    <w:p w14:paraId="131E3F94" w14:textId="2091667C" w:rsidR="00FF0E1F" w:rsidRPr="00FB08AF" w:rsidRDefault="00FF0E1F" w:rsidP="009D79B2">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Vrstica</w:t>
            </w:r>
          </w:p>
        </w:tc>
        <w:tc>
          <w:tcPr>
            <w:tcW w:w="7620" w:type="dxa"/>
            <w:shd w:val="clear" w:color="auto" w:fill="D9D9D9"/>
          </w:tcPr>
          <w:p w14:paraId="40ACB4D4" w14:textId="77777777" w:rsidR="00482729" w:rsidRPr="00FB08AF" w:rsidRDefault="00482729"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Pravna podlaga in navodila</w:t>
            </w:r>
          </w:p>
        </w:tc>
      </w:tr>
      <w:tr w:rsidR="00FB08AF" w:rsidRPr="00FB08AF" w14:paraId="10EE241B" w14:textId="77777777" w:rsidTr="00482729">
        <w:tc>
          <w:tcPr>
            <w:tcW w:w="1129" w:type="dxa"/>
          </w:tcPr>
          <w:p w14:paraId="02D860CF" w14:textId="09C9E02C"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620" w:type="dxa"/>
          </w:tcPr>
          <w:p w14:paraId="420690CF" w14:textId="4B72D8DC" w:rsidR="00482729" w:rsidRPr="00FB08AF" w:rsidRDefault="00D61796"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Znesek skupne izpostavljenosti tveganju in mera skupne izpostavljenosti </w:t>
            </w:r>
          </w:p>
        </w:tc>
      </w:tr>
      <w:tr w:rsidR="00FB08AF" w:rsidRPr="00FB08AF" w14:paraId="4ABF163D" w14:textId="77777777" w:rsidTr="00482729">
        <w:tc>
          <w:tcPr>
            <w:tcW w:w="1129" w:type="dxa"/>
          </w:tcPr>
          <w:p w14:paraId="1AEBCE31" w14:textId="77777777"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Znesek skupne izpostavljenosti tveganju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Člen 45(2), točka (a), Direktive 2014/59/EU in člen 92(3) Uredbe (EU) št.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Znesek skupne izpostavljenosti tveganju, ki se poroča v tej vrstici, je znesek skupne izpostavljenosti tveganju, ki je podlaga za izpolnjevanje zahtev iz člena 45 Direktive 2014/59/EU ali člena 92a Uredbe (EU) št. 575/2013, kot je ustrezno.</w:t>
            </w:r>
          </w:p>
        </w:tc>
      </w:tr>
      <w:tr w:rsidR="00FB08AF" w:rsidRPr="00FB08AF" w14:paraId="3AD21AA0" w14:textId="77777777" w:rsidTr="00482729">
        <w:tc>
          <w:tcPr>
            <w:tcW w:w="1129" w:type="dxa"/>
          </w:tcPr>
          <w:p w14:paraId="1FC4F735" w14:textId="77777777"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Mera skupne izpostavljenosti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Člen 45(2), točka (b), Direktive 2014/59/EU in člen 429(4) ter člen 429a Uredbe (EU) št.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Mera skupne izpostavljenosti, ki se poroča v tej vrstici, je mera skupne izpostavljenosti, ki je podlaga za izpolnjevanje zahtev iz člena 45 Direktive 2014/59/EU ali člena 92a Uredbe (EU) št. 575/2013, kot je ustrezno.</w:t>
            </w:r>
          </w:p>
        </w:tc>
      </w:tr>
      <w:tr w:rsidR="00FB08AF" w:rsidRPr="00FB08AF" w14:paraId="5ACF39FB" w14:textId="77777777" w:rsidTr="00482729">
        <w:tc>
          <w:tcPr>
            <w:tcW w:w="1129" w:type="dxa"/>
          </w:tcPr>
          <w:p w14:paraId="1A555FC6" w14:textId="6E8FDEAE" w:rsidR="00833ACC" w:rsidRPr="00FB08AF" w:rsidRDefault="00833AC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620" w:type="dxa"/>
          </w:tcPr>
          <w:p w14:paraId="5847F001" w14:textId="7DB76AE6" w:rsidR="00833ACC" w:rsidRPr="00FB08AF" w:rsidRDefault="00833ACC"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w:t>
            </w:r>
          </w:p>
        </w:tc>
      </w:tr>
      <w:tr w:rsidR="00FB08AF" w:rsidRPr="00FB08AF" w14:paraId="56610C42" w14:textId="77777777" w:rsidTr="00482729">
        <w:tc>
          <w:tcPr>
            <w:tcW w:w="1129" w:type="dxa"/>
          </w:tcPr>
          <w:p w14:paraId="20C9006A" w14:textId="4D78796C" w:rsidR="00833ACC" w:rsidRPr="00FB08AF" w:rsidRDefault="00833AC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MREL, se poroča kot vsota:</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kapitala, kot je opredeljen v členu 4(1), točka 118, in členu 72 Uredbe (EU) št.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kvalificiranih obveznosti, kot so opredeljene členu 2(1), točka 71a, Direktive 2014/59/EU.</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zahtevi glede kapitala in kvalificiranih obveznosti za GSPI (TLAC), je znesek iz člena 72l Uredbe (EU) št. 575/2013, sestavljen iz:</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kapitala, kot je opredeljen v členu 4(1), točka 118, in členu 72 Uredbe (EU) št.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kvalificiranih obveznosti v skladu s členom 72k Uredbe (EU) št. 575/2013.</w:t>
            </w:r>
          </w:p>
        </w:tc>
      </w:tr>
      <w:tr w:rsidR="00FB08AF" w:rsidRPr="00FB08AF" w14:paraId="0580BAE0" w14:textId="77777777" w:rsidTr="00482729">
        <w:tc>
          <w:tcPr>
            <w:tcW w:w="1129" w:type="dxa"/>
          </w:tcPr>
          <w:p w14:paraId="7F1FCE61" w14:textId="5708257A" w:rsidR="00CC7A43" w:rsidRPr="00FB08AF" w:rsidRDefault="00CC7A43"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kapital in podrejene obveznosti</w:t>
            </w:r>
          </w:p>
          <w:p w14:paraId="2FF67EC2" w14:textId="46DA0283" w:rsidR="00CC7A43" w:rsidRPr="00FB08AF" w:rsidRDefault="00CC7A43"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Znesek kapitala in podrejenih kvalificiranih obveznosti, ki se upošteva pri MREL, se poroča kot vsota:</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kapitala,</w:t>
            </w:r>
            <w:r>
              <w:rPr>
                <w:rStyle w:val="FormatvorlageInstructionsTabelleText"/>
                <w:rFonts w:ascii="Times New Roman" w:hAnsi="Times New Roman"/>
                <w:sz w:val="24"/>
              </w:rPr>
              <w:t xml:space="preserve"> kot je opredeljen</w:t>
            </w:r>
            <w:r>
              <w:rPr>
                <w:rStyle w:val="InstructionsTabelleberschrift"/>
                <w:rFonts w:ascii="Times New Roman" w:hAnsi="Times New Roman"/>
                <w:b w:val="0"/>
                <w:sz w:val="24"/>
                <w:u w:val="none"/>
              </w:rPr>
              <w:t xml:space="preserve"> v členu 4(1), točka 118, in členu 72</w:t>
            </w:r>
            <w:r>
              <w:rPr>
                <w:rStyle w:val="FormatvorlageInstructionsTabelleText"/>
                <w:rFonts w:ascii="Times New Roman" w:hAnsi="Times New Roman"/>
                <w:sz w:val="24"/>
              </w:rPr>
              <w:t xml:space="preserve"> Uredbe (EU) št. 575/2013</w:t>
            </w:r>
            <w:r>
              <w:rPr>
                <w:rStyle w:val="InstructionsTabelleberschrift"/>
                <w:rFonts w:ascii="Times New Roman" w:hAnsi="Times New Roman"/>
                <w:b w:val="0"/>
                <w:sz w:val="24"/>
                <w:u w:val="none"/>
              </w:rPr>
              <w: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kvalificiranih obveznosti, vključenih v</w:t>
            </w:r>
            <w:r>
              <w:rPr>
                <w:rStyle w:val="FormatvorlageInstructionsTabelleText"/>
                <w:rFonts w:ascii="Times New Roman" w:hAnsi="Times New Roman"/>
                <w:sz w:val="24"/>
              </w:rPr>
              <w:t xml:space="preserve"> znesek kapitala in kvalificiranih obveznosti v skladu s členom 45b Direktive 2014/59/EU, ki so podrejeni kvalificirani instrumenti, kot so opredeljeni v členu 2(1), točka 71b, navedene direktive;</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obveznosti</w:t>
            </w:r>
            <w:r>
              <w:rPr>
                <w:rStyle w:val="FormatvorlageInstructionsTabelleText"/>
                <w:rFonts w:ascii="Times New Roman" w:hAnsi="Times New Roman"/>
                <w:sz w:val="24"/>
              </w:rPr>
              <w:t>, vključenih v znesek kapitala in kvalificiranih obveznosti v skladu s členom 45b(3) Direktive 2014/59/EU.</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Kar zadeva podrejene kvalificirane obveznosti, se poročajo zneski, od katerih so odšteti,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Style w:val="InstructionsTabelleberschrift"/>
                <w:rFonts w:ascii="Times New Roman" w:hAnsi="Times New Roman"/>
                <w:b w:val="0"/>
                <w:sz w:val="24"/>
                <w:u w:val="none"/>
              </w:rPr>
              <w:t>kjer je relevantno, deleži v lastnih</w:t>
            </w:r>
            <w:r>
              <w:rPr>
                <w:rStyle w:val="FormatvorlageInstructionsTabelleText"/>
                <w:rFonts w:ascii="Times New Roman" w:hAnsi="Times New Roman"/>
                <w:sz w:val="24"/>
              </w:rPr>
              <w:t xml:space="preserve"> instrumentih podrejenih kvalificiranih obveznosti iz člena 72e(1), točka (a), Uredbe (EU) št. 575/2013 in</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neporabljeni zneski iz naslova predhodnega dovoljenja v obsegu, v katerem predhodno dovoljenje zajema instrumente podrejenih obveznosti na splošno ali specifičen instrument podrejenih obveznosti.</w:t>
            </w:r>
          </w:p>
        </w:tc>
      </w:tr>
      <w:tr w:rsidR="00FB08AF" w:rsidRPr="00FB08AF" w14:paraId="4FA2C35D" w14:textId="77777777" w:rsidTr="000D5110">
        <w:tc>
          <w:tcPr>
            <w:tcW w:w="1129" w:type="dxa"/>
          </w:tcPr>
          <w:p w14:paraId="260B136D" w14:textId="21AE5F32" w:rsidR="000D5110" w:rsidRPr="00FB08AF" w:rsidRDefault="000D511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tcPr>
          <w:p w14:paraId="11F50189" w14:textId="503D08CC" w:rsidR="000D5110" w:rsidRPr="00FB08AF" w:rsidRDefault="000D511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jih ureja pravo tretje države</w:t>
            </w:r>
          </w:p>
          <w:p w14:paraId="7B75DAA1" w14:textId="77777777" w:rsidR="000D5110" w:rsidRPr="00FB08AF" w:rsidRDefault="000D5110"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Znesek kapitala in kvalificiranih obveznosti, ki jih ureja pravo tretje države, kot je navedeno v členu 55 Direktive 2014/59/EU.</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Poročajo se zneski, od katerih so odšteti: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deleži v </w:t>
            </w:r>
            <w:r>
              <w:rPr>
                <w:rStyle w:val="FormatvorlageInstructionsTabelleText"/>
                <w:rFonts w:ascii="Times New Roman" w:hAnsi="Times New Roman"/>
                <w:sz w:val="24"/>
              </w:rPr>
              <w:t xml:space="preserve">lastnih instrumentih kvalificiranih obveznosti iz člena 72e(1), točka (a), Uredbe (EU) št. 575/2013, kjer je relevantno, in </w:t>
            </w:r>
            <w:r>
              <w:rPr>
                <w:rStyle w:val="FormatvorlageInstructionsTabelleText"/>
                <w:rFonts w:ascii="Times New Roman" w:hAnsi="Times New Roman"/>
                <w:sz w:val="24"/>
              </w:rPr>
              <w:lastRenderedPageBreak/>
              <w:t>deleži v kapitalskih instrumentih iz člena 36(1), točka (f), člena 56, točka (a), in člena 66, točka (a), Uredbe (EU) št. 575/2013, ki jih ureja pravo tretje države, ter</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neporabljeni zneski iz naslova priložnostnega dovoljenja v obsegu, v katerem predhodno dovoljenje zajema kapitalski instrument ali specifičen instrument kvalificiranih obveznosti, ki ga ureja pravo tretje države.</w:t>
            </w:r>
          </w:p>
        </w:tc>
      </w:tr>
      <w:tr w:rsidR="00FB08AF" w:rsidRPr="00FB08AF" w14:paraId="5C23CDC9" w14:textId="77777777" w:rsidTr="000D5110">
        <w:tc>
          <w:tcPr>
            <w:tcW w:w="1129" w:type="dxa"/>
          </w:tcPr>
          <w:p w14:paraId="322DB7EE" w14:textId="42E1D608" w:rsidR="000D5110" w:rsidRPr="00FB08AF" w:rsidRDefault="000D511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0230</w:t>
            </w:r>
          </w:p>
        </w:tc>
        <w:tc>
          <w:tcPr>
            <w:tcW w:w="7620" w:type="dxa"/>
          </w:tcPr>
          <w:p w14:paraId="1EF5E394" w14:textId="4735FB67" w:rsidR="000D5110" w:rsidRPr="00FB08AF" w:rsidRDefault="000D511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vsebujejo klavzulo o odpisu in konverziji, kot je navedeno v členu 55 Direktive 2014/59/EU</w:t>
            </w:r>
          </w:p>
          <w:p w14:paraId="441346A2" w14:textId="77777777" w:rsidR="000D5110" w:rsidRPr="00FB08AF" w:rsidRDefault="000D5110"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kapitala in kvalificiranih obveznosti, ki jih ureja pravo tretje države in ki vsebujejo klavzulo o odpisu in konverziji, kot je navedeno v členu 55 </w:t>
            </w:r>
            <w:r>
              <w:rPr>
                <w:rStyle w:val="FormatvorlageInstructionsTabelleText"/>
                <w:rFonts w:ascii="Times New Roman" w:hAnsi="Times New Roman"/>
                <w:sz w:val="24"/>
              </w:rPr>
              <w:t>Direktive 2014/59/EU</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Poročajo se zneski, od katerih so odšteti: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deleži v </w:t>
            </w:r>
            <w:r>
              <w:rPr>
                <w:rStyle w:val="FormatvorlageInstructionsTabelleText"/>
                <w:rFonts w:ascii="Times New Roman" w:hAnsi="Times New Roman"/>
                <w:sz w:val="24"/>
              </w:rPr>
              <w:t>lastnih instrumentih kvalificiranih obveznosti iz člena 72e(1), točka (a), Uredbe (EU) št. 575/2013, kjer je relevantno, in deleži v kapitalskih instrumentih iz člena 36(1), točka (f), člena 56, točka (a), in člena 66, točka (a), Uredbe (EU) št. 575/2013, ki jih ureja pravo tretje države in vsebujejo klavzulo o odpisu in konverziji, kot je navedeno v členu 55 Direktive 2014/59/EU, ter</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neporabljeni zneski iz naslova priložnostnega dovoljenja v obsegu, v katerem dovoljenje zajema kapitalski instrument ali specifičen instrument kvalificiranih obveznosti, ki ga ureja pravo tretje države in vsebuje klavzulo o odpisu in konverziji, kot je navedeno v členu 55 Direktive 2014/59/EU.</w:t>
            </w:r>
          </w:p>
        </w:tc>
      </w:tr>
      <w:tr w:rsidR="00FB08AF" w:rsidRPr="00FB08AF" w14:paraId="520E2C77" w14:textId="77777777" w:rsidTr="00482729">
        <w:tc>
          <w:tcPr>
            <w:tcW w:w="1129" w:type="dxa"/>
          </w:tcPr>
          <w:p w14:paraId="6194C92E" w14:textId="711D1B3F" w:rsidR="00C725CB" w:rsidRPr="00FB08AF" w:rsidRDefault="00C725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620" w:type="dxa"/>
          </w:tcPr>
          <w:p w14:paraId="1E3DF83A" w14:textId="77777777" w:rsidR="00C725CB" w:rsidRPr="00FB08AF" w:rsidRDefault="0097501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Druge obveznosti, za katere je mogoče uporabiti instrument za reševanje s sredstvi upnikov</w:t>
            </w:r>
          </w:p>
          <w:p w14:paraId="4B51FD1B" w14:textId="77777777" w:rsidR="00303127" w:rsidRPr="00FB08AF" w:rsidRDefault="00093411"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Subjektom, ki imajo na datum poročanja teh informacij zneske kapitala in kvalificiranih obveznosti v višini vsaj 150 % zahteve iz člena 45(1) </w:t>
            </w:r>
            <w:r>
              <w:rPr>
                <w:rStyle w:val="FormatvorlageInstructionsTabelleText"/>
                <w:rFonts w:ascii="Times New Roman" w:hAnsi="Times New Roman"/>
                <w:sz w:val="24"/>
              </w:rPr>
              <w:t>Direktive 2014/59/EU</w:t>
            </w:r>
            <w:r>
              <w:rPr>
                <w:rStyle w:val="InstructionsTabelleberschrift"/>
                <w:rFonts w:ascii="Times New Roman" w:hAnsi="Times New Roman"/>
                <w:b w:val="0"/>
                <w:sz w:val="24"/>
                <w:u w:val="none"/>
              </w:rPr>
              <w:t>, ni treba poročati informacij v vrsticah 0250 do 0290. Taki subjekti se lahko prostovoljno odločijo poročati te informacije v tej predlogi.</w:t>
            </w:r>
          </w:p>
          <w:p w14:paraId="23F6E725" w14:textId="074096E2" w:rsidR="00CA024E" w:rsidRPr="00FB08AF" w:rsidRDefault="00CA024E"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Neporabljeni zneski iz naslova predhodnega dovoljenja se v obsegu, v katerem dovoljenje zajema instrument kvalificiranih obveznosti, za namene teh vrstic štejejo za druge obveznosti, za katere je mogoče uporabiti instrument za reševanje s sredstvi upnikov. </w:t>
            </w:r>
          </w:p>
        </w:tc>
      </w:tr>
      <w:tr w:rsidR="00FB08AF" w:rsidRPr="00FB08AF" w14:paraId="42F97DBF" w14:textId="77777777" w:rsidTr="00482729">
        <w:tc>
          <w:tcPr>
            <w:tcW w:w="1129" w:type="dxa"/>
          </w:tcPr>
          <w:p w14:paraId="3162371B" w14:textId="2087A44F" w:rsidR="00975018" w:rsidRPr="00FB08AF" w:rsidRDefault="0097501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Druge obveznosti, za katere je mogoče uporabiti instrument za reševanje s sredstvi upnikov</w:t>
            </w:r>
          </w:p>
          <w:p w14:paraId="13517B1C" w14:textId="143C0711" w:rsidR="007705FD" w:rsidRPr="00FB08AF" w:rsidRDefault="00810D53"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Znesek obveznosti, za katere je mogoče uporabiti instrument za reševanje s sredstvi upnikov, kot so opredeljene v členu 2(1), točka 71,</w:t>
            </w:r>
            <w:r>
              <w:rPr>
                <w:rStyle w:val="FormatvorlageInstructionsTabelleText"/>
                <w:rFonts w:ascii="Times New Roman" w:hAnsi="Times New Roman"/>
                <w:sz w:val="24"/>
              </w:rPr>
              <w:t xml:space="preserve"> Direktive 2014/59/EU</w:t>
            </w:r>
            <w:r>
              <w:rPr>
                <w:rStyle w:val="InstructionsTabelleberschrift"/>
                <w:rFonts w:ascii="Times New Roman" w:hAnsi="Times New Roman"/>
                <w:b w:val="0"/>
                <w:sz w:val="24"/>
                <w:u w:val="none"/>
              </w:rPr>
              <w:t>, ki niso vključene v kapital in kvalificirane obveznosti v skladu s členom 45b navedene direktive.</w:t>
            </w:r>
          </w:p>
          <w:p w14:paraId="1FE8D9D5" w14:textId="092D6931" w:rsidR="000B5B4D" w:rsidRPr="00FB08AF" w:rsidRDefault="000B5B4D" w:rsidP="009D79B2">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jih ureja pravo tretje države</w:t>
            </w:r>
          </w:p>
          <w:p w14:paraId="083AFDCB" w14:textId="463FBABB" w:rsidR="000B5B4D" w:rsidRPr="00FB08AF" w:rsidRDefault="000B5B4D"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Znesek drugih obveznosti, za katere je mogoče uporabiti instrument za reševanje s sredstvi upnikov, ki jih ureja pravo tretje države, kot je navedeno v členu 55 </w:t>
            </w:r>
            <w:r>
              <w:t>Direktive 2014/59/EU</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0" w:type="dxa"/>
          </w:tcPr>
          <w:p w14:paraId="6C3DE5F1" w14:textId="31C6CA86" w:rsidR="00975018" w:rsidRPr="00FB08AF" w:rsidRDefault="000B5B4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vsebujejo klavzulo o odpisu in konverziji, kot je navedeno v členu 55 Direktive 2014/59/EU</w:t>
            </w:r>
          </w:p>
          <w:p w14:paraId="0FA24129" w14:textId="7C351D54" w:rsidR="000B5B4D" w:rsidRPr="00FB08AF" w:rsidRDefault="002A4F17"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Znesek drugih obveznosti, za katere je mogoče uporabiti instrument za reševanje s sredstvi upnikov, ki jih ureja pravo tretje države in ki vsebujejo klavzulo o odpisu in konverziji, kot je navedeno v členu 55 Direktive 2014/59/EU.</w:t>
            </w:r>
          </w:p>
        </w:tc>
      </w:tr>
      <w:tr w:rsidR="00FB08AF" w:rsidRPr="00FB08AF" w14:paraId="73B1588C" w14:textId="77777777" w:rsidTr="00482729">
        <w:tc>
          <w:tcPr>
            <w:tcW w:w="1129" w:type="dxa"/>
          </w:tcPr>
          <w:p w14:paraId="7ADCB31C" w14:textId="569C6F29" w:rsidR="00EC3749" w:rsidRPr="00FB08AF" w:rsidRDefault="00EC374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620" w:type="dxa"/>
          </w:tcPr>
          <w:p w14:paraId="7FD04343" w14:textId="76053762" w:rsidR="00EC3749" w:rsidRPr="00FB08AF" w:rsidRDefault="00EC374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Razčlenitev drugih obveznosti, za katere je mogoče uporabiti instrument za reševanje s sredstvi upnikov, po preostali zapadlosti</w:t>
            </w:r>
          </w:p>
        </w:tc>
      </w:tr>
      <w:tr w:rsidR="00FB08AF" w:rsidRPr="00FB08AF" w14:paraId="67A079B9" w14:textId="77777777" w:rsidTr="00482729">
        <w:tc>
          <w:tcPr>
            <w:tcW w:w="1129" w:type="dxa"/>
          </w:tcPr>
          <w:p w14:paraId="5EEE6C29" w14:textId="2CD6E6B3" w:rsidR="00EC3749" w:rsidRPr="00FB08AF" w:rsidRDefault="00EC374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9D79B2">
            <w:pPr>
              <w:pStyle w:val="InstructionsText"/>
              <w:rPr>
                <w:rStyle w:val="InstructionsTabelleberschrift"/>
                <w:rFonts w:ascii="Times New Roman" w:hAnsi="Times New Roman"/>
                <w:b w:val="0"/>
                <w:sz w:val="24"/>
              </w:rPr>
            </w:pPr>
            <w:r>
              <w:t>Preostala zapadlost &lt; 1 leto</w:t>
            </w:r>
          </w:p>
        </w:tc>
      </w:tr>
      <w:tr w:rsidR="00FB08AF" w:rsidRPr="00FB08AF" w14:paraId="525A1AA1" w14:textId="77777777" w:rsidTr="00482729">
        <w:tc>
          <w:tcPr>
            <w:tcW w:w="1129" w:type="dxa"/>
          </w:tcPr>
          <w:p w14:paraId="4FAE69C0" w14:textId="1CECBCB2" w:rsidR="00EC3749" w:rsidRPr="00FB08AF" w:rsidRDefault="00EC374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9D79B2">
            <w:pPr>
              <w:pStyle w:val="InstructionsText"/>
              <w:rPr>
                <w:rStyle w:val="InstructionsTabelleberschrift"/>
                <w:rFonts w:ascii="Times New Roman" w:hAnsi="Times New Roman"/>
                <w:b w:val="0"/>
                <w:sz w:val="24"/>
              </w:rPr>
            </w:pPr>
            <w:r>
              <w:t>Preostala zapadlost &gt;= 1 leto in &lt; 2 leti</w:t>
            </w:r>
          </w:p>
        </w:tc>
      </w:tr>
      <w:tr w:rsidR="00FB08AF" w:rsidRPr="00FB08AF" w14:paraId="2321B833" w14:textId="77777777" w:rsidTr="00482729">
        <w:tc>
          <w:tcPr>
            <w:tcW w:w="1129" w:type="dxa"/>
          </w:tcPr>
          <w:p w14:paraId="23750752" w14:textId="4414C85A" w:rsidR="00EC3749" w:rsidRPr="00FB08AF" w:rsidRDefault="00EC374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9D79B2">
            <w:pPr>
              <w:pStyle w:val="InstructionsText"/>
              <w:rPr>
                <w:rStyle w:val="InstructionsTabelleberschrift"/>
                <w:rFonts w:ascii="Times New Roman" w:hAnsi="Times New Roman"/>
                <w:b w:val="0"/>
                <w:sz w:val="24"/>
              </w:rPr>
            </w:pPr>
            <w:r>
              <w:t>Preostala zapadlost &gt;= 2 leti</w:t>
            </w:r>
          </w:p>
        </w:tc>
      </w:tr>
      <w:tr w:rsidR="00FB08AF" w:rsidRPr="00FB08AF" w14:paraId="5FBFB25C" w14:textId="77777777" w:rsidTr="00482729">
        <w:tc>
          <w:tcPr>
            <w:tcW w:w="1129" w:type="dxa"/>
          </w:tcPr>
          <w:p w14:paraId="0BAE42F4" w14:textId="274A17ED" w:rsidR="00CC7A43" w:rsidRPr="00FB08AF" w:rsidRDefault="00CC7A43"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620" w:type="dxa"/>
          </w:tcPr>
          <w:p w14:paraId="374B5319" w14:textId="4410DC5B" w:rsidR="00CC7A43" w:rsidRPr="00FB08AF" w:rsidRDefault="00CC7A43"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Deleži in izvzetja iz podrejenosti</w:t>
            </w:r>
          </w:p>
        </w:tc>
      </w:tr>
      <w:tr w:rsidR="00FB08AF" w:rsidRPr="00FB08AF" w14:paraId="05DC925B" w14:textId="77777777" w:rsidTr="00482729">
        <w:tc>
          <w:tcPr>
            <w:tcW w:w="1129" w:type="dxa"/>
          </w:tcPr>
          <w:p w14:paraId="3A493DAB" w14:textId="387626B0" w:rsidR="00A0358A" w:rsidRPr="00FB08AF" w:rsidRDefault="00A0358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 kot odstotek TREA</w:t>
            </w:r>
          </w:p>
          <w:p w14:paraId="26CF9D91" w14:textId="3FD820A0" w:rsidR="00A0358A" w:rsidRPr="00FB08AF" w:rsidRDefault="00A0358A"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Za namene te vrstice se znesek kapitala in kvalificiranih obveznosti, ki se poroča v vrstici 0200, izrazi kot odstotek zneska skupne izpostavljenosti tveganju, izračunanega v skladu s členom 92(3) Uredbe (EU) št. 575/2013.</w:t>
            </w:r>
          </w:p>
        </w:tc>
      </w:tr>
      <w:tr w:rsidR="00FB08AF" w:rsidRPr="00FB08AF" w14:paraId="3B43F132" w14:textId="77777777" w:rsidTr="00482729">
        <w:tc>
          <w:tcPr>
            <w:tcW w:w="1129" w:type="dxa"/>
          </w:tcPr>
          <w:p w14:paraId="6C4C71A0" w14:textId="30311B7C" w:rsidR="00A0358A" w:rsidRPr="00FB08AF" w:rsidRDefault="002B698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kapital in podrejene obveznosti</w:t>
            </w:r>
          </w:p>
          <w:p w14:paraId="4BB00887" w14:textId="054D6A44" w:rsidR="002B6980" w:rsidRPr="00FB08AF" w:rsidRDefault="002B6980"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Za namene te vrstice se znesek kapitala in podrejenih kvalificiranih obveznosti, ki se poroča v vrstici 0210, izrazi kot odstotek zneska skupne izpostavljenosti tveganju, izračunanega v skladu s členom 92(3)</w:t>
            </w:r>
            <w:r>
              <w:rPr>
                <w:rStyle w:val="FormatvorlageInstructionsTabelleText"/>
                <w:rFonts w:ascii="Times New Roman" w:hAnsi="Times New Roman"/>
                <w:sz w:val="24"/>
              </w:rPr>
              <w:t xml:space="preserve"> Uredbe (EU) št. 575/2013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 kot odstotek TEM</w:t>
            </w:r>
          </w:p>
          <w:p w14:paraId="389667F6" w14:textId="3967E8FF" w:rsidR="00A0358A" w:rsidRPr="00FB08AF" w:rsidRDefault="00A0358A"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Za namene te vrstice se znesek kapitala in kvalificiranih obveznosti, ki se poroča v vrstici 0200, izrazi kot odstotek mere skupne izpostavljenosti, izračunane v skladu s členom 429(4) in členom 429a </w:t>
            </w:r>
            <w:r>
              <w:rPr>
                <w:rStyle w:val="FormatvorlageInstructionsTabelleText"/>
                <w:rFonts w:ascii="Times New Roman" w:hAnsi="Times New Roman"/>
                <w:sz w:val="24"/>
              </w:rPr>
              <w:t>Uredbe (EU) št. 575/2013</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kapital in podrejene obveznosti</w:t>
            </w:r>
          </w:p>
          <w:p w14:paraId="6DE930D8" w14:textId="1386471E" w:rsidR="002B6980" w:rsidRPr="00FB08AF" w:rsidRDefault="002B6980"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Za namene te vrstice se znesek kapitala in podrejenih kvalificiranih obveznosti, ki se poroča v vrstici 0210, izrazi kot odstotek mere skupne izpostavljenosti, izračunane v skladu s členom 429(4) in členom 429a </w:t>
            </w:r>
            <w:r>
              <w:rPr>
                <w:rStyle w:val="FormatvorlageInstructionsTabelleText"/>
                <w:rFonts w:ascii="Times New Roman" w:hAnsi="Times New Roman"/>
                <w:sz w:val="24"/>
              </w:rPr>
              <w:t>Uredbe (EU) št. 575/2013</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Ali se uporablja izvzetje iz podrejenosti iz člena 72b(4) Uredbe (EU) št. 575/2013? (izvzetje 5 %)</w:t>
            </w:r>
          </w:p>
          <w:p w14:paraId="7E4A548A" w14:textId="0F07A0A9" w:rsidR="004C2312" w:rsidRPr="00FB08AF" w:rsidRDefault="004C2312"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To vrstico poročajo samo subjekti, za katere velja zahteva glede kapitala in kvalificiranih obveznosti za GSPI (zahteva TLAC).</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Če organ za reševanje dovoli, da se obveznosti štejejo za instrumente kvalificiranih obveznosti v skladu s členom 72b(4) Uredbe (EU) št. 575/2013, subjekt, ki poroča, v stolpcu 0020 navede „da“.</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Če organ za reševanje ne dovoli, da se obveznosti štejejo za instrumente kvalificiranih obveznosti v skladu s členom 72b(4) Uredbe (EU) št. 575/2013, subjekt, ki poroča, v stolpcu 0020 navede „ne“.</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Ker se izvzetji iz člena 72b(3) in (4) Uredbe (EU) št. 575/2013 medsebojno izključujeta, se ta vrstica ne izpolni, če je subjekt, ki poroča, izpolnil vrstico {v0350}.</w:t>
            </w:r>
          </w:p>
        </w:tc>
      </w:tr>
      <w:tr w:rsidR="00FB08AF" w:rsidRPr="00FB08AF" w14:paraId="16166491" w14:textId="77777777" w:rsidTr="00C90338">
        <w:tc>
          <w:tcPr>
            <w:tcW w:w="1129" w:type="dxa"/>
          </w:tcPr>
          <w:p w14:paraId="1FA1A80C" w14:textId="15BD6414" w:rsidR="002B6980" w:rsidRPr="00FB08AF" w:rsidRDefault="002B698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0350</w:t>
            </w:r>
          </w:p>
        </w:tc>
        <w:tc>
          <w:tcPr>
            <w:tcW w:w="7620" w:type="dxa"/>
          </w:tcPr>
          <w:p w14:paraId="3509C99D" w14:textId="456757DC" w:rsidR="000418B8" w:rsidRPr="00FB08AF" w:rsidRDefault="000418B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Skupni znesek dovoljenih instrumentov nepodrejenih kvalificiranih obveznosti, če se uporabi presoja glede podrejenosti iz člena 72b(3) Uredbe (EU) št. 575/2013 (izvzetje do največ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Skupni znesek nepodrejenih obveznosti, za katere je organ za reševanje dovolil, da se štejejo za instrumente kvalificiranih obveznosti za namene zahteve glede kapitala in kvalificiranih obveznosti za GSPI (TLAC) v skladu s členom 72b(3) Uredbe (EU) št. 575/2013, ali ki se štejejo za instrumente kvalificiranih obveznosti v skladu s členom 494(3) navedene uredbe.</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Ker se izvzetji iz člena 72b(3) in (4) Uredbe (EU) št. 575/2013 medsebojno izključujeta, se ta vrstica ne izpolni, če subjekt, ki poroča, v celici {v0340,s0020} navede „da“.</w:t>
            </w:r>
          </w:p>
        </w:tc>
      </w:tr>
      <w:tr w:rsidR="004C2312" w:rsidRPr="00FB08AF" w14:paraId="182951D6" w14:textId="77777777" w:rsidTr="00341BC3">
        <w:tc>
          <w:tcPr>
            <w:tcW w:w="1129" w:type="dxa"/>
          </w:tcPr>
          <w:p w14:paraId="15B70DD8" w14:textId="77777777" w:rsidR="004C2312" w:rsidRPr="00FB08AF" w:rsidRDefault="004C231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Delež skupnih nepodrejenih obveznosti, ki je vključen v kapital in kvalificirane obveznosti</w:t>
            </w:r>
          </w:p>
          <w:p w14:paraId="0FE9D1C5" w14:textId="188F5A41" w:rsidR="004C2312" w:rsidRPr="00FB08AF" w:rsidRDefault="004C2312"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To vrstico poročajo samo subjekti, za katere velja zahteva glede kapitala in kvalificiranih obveznosti za GSPI (zahteva TLAC).</w:t>
            </w:r>
          </w:p>
          <w:p w14:paraId="18212BF7" w14:textId="5569B4EC" w:rsidR="004C2312" w:rsidRPr="00FB08AF" w:rsidRDefault="004C2312"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Če se uporablja omejeno izvzetje iz podrejenosti iz člena 72b(3) Uredbe (EU) št. 575/2013, subjekti poročajo:</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izdanih obveznosti, ki so uvrščene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xml:space="preserve"> izključenim obveznostim iz člena 72a(2) Uredbe (EU) št. 575/2013 in so vključene v znesek, ki se poroča v vrstici 0200 (po uporabi zgornje meje),</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 xml:space="preserve">deljen z zneskom izdanih obveznosti, ki so uvrščene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xml:space="preserve"> izključenim obveznostim iz člena 72a(2) Uredbe (EU) št. 575/2013 in bi se pripoznale v vrstici 0200, če se zgornja meja ne bi uporabila.</w:t>
            </w:r>
          </w:p>
        </w:tc>
      </w:tr>
    </w:tbl>
    <w:p w14:paraId="12B066B2" w14:textId="77777777" w:rsidR="005643EA" w:rsidRPr="00FB08AF" w:rsidRDefault="005643EA" w:rsidP="009D79B2">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Sestava in zapadlost</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Razpoložljivi instrumenti za in sestava MREL in TLAC (skupine in subjekti v postopku reševanja)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Splošne opombe</w:t>
      </w:r>
      <w:bookmarkEnd w:id="38"/>
      <w:bookmarkEnd w:id="39"/>
      <w:bookmarkEnd w:id="40"/>
    </w:p>
    <w:p w14:paraId="7532242D" w14:textId="4019739D" w:rsidR="002701C8" w:rsidRPr="00FB08AF" w:rsidRDefault="002701C8" w:rsidP="009D79B2">
      <w:pPr>
        <w:pStyle w:val="InstructionsText2"/>
      </w:pPr>
      <w:r>
        <w:t>Predloga M 02.00 – Razpoložljivi instrumenti za in sestava MREL in TLAC (skupine in subjekti v postopku reševanja) (TLAC1) vsebuje nadaljnje podrobnosti o sestavi kapitala in kvalificiranih obveznosti.</w:t>
      </w:r>
    </w:p>
    <w:p w14:paraId="2B751F8F" w14:textId="6316E792" w:rsidR="00095D0D" w:rsidRPr="00FB08AF" w:rsidRDefault="00095D0D" w:rsidP="009D79B2">
      <w:pPr>
        <w:pStyle w:val="InstructionsText2"/>
      </w:pPr>
      <w:r>
        <w:t xml:space="preserve">Stolpec, ki se nanaša na minimalno zahtevo glede kapitala in kvalificiranih obveznosti (MREL), izpolnijo subjekti, za katere velja minimalna zahteva glede </w:t>
      </w:r>
      <w:r>
        <w:lastRenderedPageBreak/>
        <w:t>kapitala in kvalificiranih obveznosti v skladu s členom 45e Direktive 2014/59/EU. Postavke, ki se nanašajo na zahtevo glede kapitala in kvalificiranih obveznosti za GSPI (TLAC), poročajo samo tisti subjekti, ki morajo izpolnjevati zahtevo iz člena 92a Uredbe (EU) št. 575/2013.</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Navodila za posamezne pozicije</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9D79B2">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Stolpec</w:t>
            </w:r>
          </w:p>
        </w:tc>
        <w:tc>
          <w:tcPr>
            <w:tcW w:w="7620" w:type="dxa"/>
            <w:shd w:val="clear" w:color="auto" w:fill="D9D9D9"/>
          </w:tcPr>
          <w:p w14:paraId="2947DA5B" w14:textId="77777777" w:rsidR="00913681" w:rsidRPr="00FB08AF" w:rsidRDefault="00913681"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Pravna podlaga in navodila</w:t>
            </w:r>
          </w:p>
        </w:tc>
      </w:tr>
      <w:tr w:rsidR="00FB08AF" w:rsidRPr="00FB08AF" w14:paraId="594DECC5" w14:textId="77777777" w:rsidTr="001D28F3">
        <w:tc>
          <w:tcPr>
            <w:tcW w:w="1129" w:type="dxa"/>
          </w:tcPr>
          <w:p w14:paraId="7A56A478" w14:textId="77777777" w:rsidR="00913681" w:rsidRPr="00FB08AF" w:rsidRDefault="0091368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Minimalna zahteva glede kapitala in kvalificiranih obveznosti (MREL)</w:t>
            </w:r>
          </w:p>
          <w:p w14:paraId="3BA23812" w14:textId="78160C50" w:rsidR="00A47334" w:rsidRPr="00FB08AF" w:rsidRDefault="00A4733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Člena 45 in 45e Direktive 2014/59/EU.</w:t>
            </w:r>
          </w:p>
        </w:tc>
      </w:tr>
      <w:tr w:rsidR="00FB08AF" w:rsidRPr="00FB08AF" w14:paraId="1ACD0238" w14:textId="77777777" w:rsidTr="001D28F3">
        <w:tc>
          <w:tcPr>
            <w:tcW w:w="1129" w:type="dxa"/>
          </w:tcPr>
          <w:p w14:paraId="1D81206E" w14:textId="77777777" w:rsidR="00913681" w:rsidRPr="00FB08AF" w:rsidRDefault="0091368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Zahteve glede kapitala in kvalificiranih obveznosti za GSPI (TLAC)</w:t>
            </w:r>
          </w:p>
          <w:p w14:paraId="28749035" w14:textId="00E359CB" w:rsidR="00913681" w:rsidRPr="00FB08AF" w:rsidRDefault="00913681"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92a</w:t>
            </w:r>
            <w:r>
              <w:t xml:space="preserve"> Uredbe (EU) št. 575/2013</w:t>
            </w:r>
            <w:r>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Pojasnjevalna postavka: zneski, ki se kvalificirajo za namene MREL, ne pa za TLAC</w:t>
            </w:r>
          </w:p>
          <w:p w14:paraId="45D0BB3D" w14:textId="173F3B31" w:rsidR="00913681" w:rsidRPr="00FB08AF" w:rsidRDefault="00913681" w:rsidP="009D79B2">
            <w:pPr>
              <w:pStyle w:val="InstructionsText"/>
              <w:rPr>
                <w:noProof/>
              </w:rPr>
            </w:pPr>
            <w:r>
              <w:rPr>
                <w:rStyle w:val="FormatvorlageInstructionsTabelleText"/>
                <w:rFonts w:ascii="Times New Roman" w:hAnsi="Times New Roman"/>
                <w:sz w:val="24"/>
              </w:rPr>
              <w:t>Ta stolpec izpolnijo samo subjekti, za katere velja zahteva glede kapitala in kvalificiranih obveznosti za GSPI (TLAC).</w:t>
            </w:r>
            <w:r>
              <w:t xml:space="preserve"> </w:t>
            </w:r>
          </w:p>
          <w:p w14:paraId="47297FC0" w14:textId="3CE2FA32" w:rsidR="00913681" w:rsidRPr="00FB08AF" w:rsidRDefault="00913681"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Ta stolpec odraža razliko med zneski kapitala in obveznosti, ki se kvalificirajo za izpolnjevanje zahteve iz člena 45 </w:t>
            </w:r>
            <w:r>
              <w:rPr>
                <w:rStyle w:val="InstructionsTabelleberschrift"/>
                <w:rFonts w:ascii="Times New Roman" w:hAnsi="Times New Roman"/>
                <w:b w:val="0"/>
                <w:sz w:val="24"/>
                <w:u w:val="none"/>
              </w:rPr>
              <w:t>Direktive 2014/59/EU</w:t>
            </w:r>
            <w:r>
              <w:rPr>
                <w:rStyle w:val="FormatvorlageInstructionsTabelleText"/>
                <w:rFonts w:ascii="Times New Roman" w:hAnsi="Times New Roman"/>
                <w:sz w:val="24"/>
              </w:rPr>
              <w:t xml:space="preserve"> v skladu s členom 45e navedene direktive, in zneskom kapitala in obveznosti, ki se kvalificirajo za izpolnjevanje zahteve iz člena 92a </w:t>
            </w:r>
            <w:r>
              <w:t>Uredbe (EU) št. 575/2013</w:t>
            </w:r>
            <w:r>
              <w:rPr>
                <w:rStyle w:val="FormatvorlageInstructionsTabelleText"/>
                <w:rFonts w:ascii="Times New Roman" w:hAnsi="Times New Roman"/>
                <w:sz w:val="24"/>
              </w:rPr>
              <w:t>.</w:t>
            </w:r>
          </w:p>
        </w:tc>
      </w:tr>
    </w:tbl>
    <w:p w14:paraId="29964C1D" w14:textId="77777777" w:rsidR="00913681" w:rsidRPr="00FB08AF" w:rsidRDefault="00913681" w:rsidP="009D79B2">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9D79B2">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Vrstica</w:t>
            </w:r>
          </w:p>
        </w:tc>
        <w:tc>
          <w:tcPr>
            <w:tcW w:w="7620" w:type="dxa"/>
            <w:shd w:val="clear" w:color="auto" w:fill="D9D9D9"/>
          </w:tcPr>
          <w:p w14:paraId="41ABA84A" w14:textId="77777777" w:rsidR="00F72178" w:rsidRPr="00FB08AF" w:rsidRDefault="00F72178"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Pravna podlaga in navodila</w:t>
            </w:r>
          </w:p>
        </w:tc>
      </w:tr>
      <w:tr w:rsidR="00FB08AF" w:rsidRPr="00FB08AF" w14:paraId="47BD65D4" w14:textId="77777777" w:rsidTr="001D28F3">
        <w:tc>
          <w:tcPr>
            <w:tcW w:w="1129" w:type="dxa"/>
            <w:vAlign w:val="center"/>
          </w:tcPr>
          <w:p w14:paraId="3AEE63B0" w14:textId="6FCE879C" w:rsidR="000A3889" w:rsidRPr="00FB08AF" w:rsidRDefault="000A3889" w:rsidP="009D79B2">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KAPITAL IN KVALIFICIRANE OBVEZNOSTI</w:t>
            </w:r>
          </w:p>
          <w:p w14:paraId="158DD0F6" w14:textId="42467472" w:rsidR="00BE3EAB" w:rsidRPr="00FB08AF" w:rsidRDefault="000A38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Kapital in kvalificirane obveznosti za namene člena 45e </w:t>
            </w:r>
            <w:r>
              <w:rPr>
                <w:rStyle w:val="InstructionsTabelleberschrift"/>
                <w:rFonts w:ascii="Times New Roman" w:hAnsi="Times New Roman"/>
                <w:b w:val="0"/>
                <w:sz w:val="24"/>
                <w:u w:val="none"/>
              </w:rPr>
              <w:t>Direktive 2014/59/EU</w:t>
            </w:r>
            <w:r>
              <w:rPr>
                <w:rStyle w:val="FormatvorlageInstructionsTabelleText"/>
                <w:rFonts w:ascii="Times New Roman" w:hAnsi="Times New Roman"/>
                <w:sz w:val="24"/>
              </w:rPr>
              <w:t xml:space="preserve"> in člena 92a </w:t>
            </w:r>
            <w:r>
              <w:t>Uredbe (EU) št. 575/2013.</w:t>
            </w:r>
          </w:p>
          <w:p w14:paraId="47315A58" w14:textId="3A637A51" w:rsidR="00014A29" w:rsidRPr="00FB08AF" w:rsidRDefault="00014A29"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MREL, se poroča kot vsota:</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kapitala, kot je opredeljen v členu 4(1), točka 118, in členu 72 Uredbe (EU) št.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kvalificiranih obveznosti, kot so opredeljene členu 2(1), točka 71a, Direktive 2014/59/EU.</w:t>
            </w:r>
          </w:p>
          <w:p w14:paraId="21D33D83" w14:textId="75BBF812" w:rsidR="00014A29" w:rsidRPr="00FB08AF" w:rsidRDefault="00014A29" w:rsidP="009D79B2">
            <w:pPr>
              <w:rPr>
                <w:rStyle w:val="FormatvorlageInstructionsTabelleText"/>
                <w:rFonts w:ascii="Times New Roman" w:hAnsi="Times New Roman"/>
                <w:i/>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r w:rsidR="009D79B2">
              <w:rPr>
                <w:rStyle w:val="FormatvorlageInstructionsTabelleText"/>
                <w:rFonts w:ascii="Times New Roman" w:hAnsi="Times New Roman"/>
                <w:sz w:val="24"/>
              </w:rPr>
              <w:br/>
            </w:r>
            <w:r w:rsidR="009D79B2">
              <w:rPr>
                <w:rStyle w:val="FormatvorlageInstructionsTabelleText"/>
                <w:rFonts w:ascii="Times New Roman" w:hAnsi="Times New Roman"/>
                <w:sz w:val="24"/>
              </w:rPr>
              <w:br/>
            </w:r>
            <w:r>
              <w:rPr>
                <w:rStyle w:val="FormatvorlageInstructionsTabelleText"/>
                <w:rFonts w:ascii="Times New Roman" w:hAnsi="Times New Roman"/>
                <w:i/>
                <w:sz w:val="24"/>
                <w:lang w:eastAsia="de-DE"/>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zahtevi glede kapitala in kvalificiranih obveznosti za GSPI (TLAC), je znesek iz člena 72l Uredbe (EU) št. 575/2013, sestavljen iz:</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kapitala, kot je opredeljen v členu 4(1), točka 118, in členu 72 Uredbe (EU) št.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lastRenderedPageBreak/>
              <w:t>kvalificiranih obveznosti v skladu s členom 72k Uredbe (EU) št. 575/2013.</w:t>
            </w:r>
          </w:p>
        </w:tc>
      </w:tr>
      <w:tr w:rsidR="00FB08AF" w:rsidRPr="00FB08AF" w14:paraId="45F49B4E" w14:textId="77777777" w:rsidTr="007674DE">
        <w:tc>
          <w:tcPr>
            <w:tcW w:w="1129" w:type="dxa"/>
          </w:tcPr>
          <w:p w14:paraId="241A0978" w14:textId="00F1C803" w:rsidR="00F72178" w:rsidRPr="00FB08AF" w:rsidRDefault="00F7217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kapital</w:t>
            </w:r>
          </w:p>
          <w:p w14:paraId="090BDA8C" w14:textId="539B6E6D" w:rsidR="00F72178" w:rsidRPr="00FB08AF" w:rsidRDefault="006C308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4(1), točka 118, in člen 72 Uredbe (EU) št. 575/2013</w:t>
            </w:r>
          </w:p>
          <w:p w14:paraId="568BA2E2" w14:textId="2B97F467" w:rsidR="00631A23" w:rsidRPr="00FB08AF" w:rsidRDefault="00DD50DC"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V primeru MREL se instrumenti, ki jih ureja pravo tretje države, vključijo </w:t>
            </w:r>
            <w:r>
              <w:rPr>
                <w:rStyle w:val="InstructionsTabelleberschrift"/>
                <w:rFonts w:ascii="Times New Roman" w:hAnsi="Times New Roman"/>
                <w:b w:val="0"/>
                <w:sz w:val="24"/>
                <w:u w:val="none"/>
              </w:rPr>
              <w:t>v to vrstico in vrstici 0040 ter 0050 samo, če izpolnjujejo zahteve iz člena 55</w:t>
            </w:r>
            <w:r>
              <w:rPr>
                <w:rStyle w:val="FormatvorlageInstructionsTabelleText"/>
                <w:rFonts w:ascii="Times New Roman" w:hAnsi="Times New Roman"/>
                <w:sz w:val="24"/>
              </w:rPr>
              <w:t xml:space="preserve"> Direktive 2014/59/EU.</w:t>
            </w:r>
          </w:p>
        </w:tc>
      </w:tr>
      <w:tr w:rsidR="00FB08AF" w:rsidRPr="00FB08AF" w14:paraId="78B0B86B" w14:textId="77777777" w:rsidTr="007674DE">
        <w:tc>
          <w:tcPr>
            <w:tcW w:w="1129" w:type="dxa"/>
          </w:tcPr>
          <w:p w14:paraId="53F6EC0E" w14:textId="3294AFB1" w:rsidR="00F72178" w:rsidRPr="00FB08AF" w:rsidRDefault="00F7217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Navadni lastniški temeljni kapital</w:t>
            </w:r>
          </w:p>
          <w:p w14:paraId="2EE09494" w14:textId="7F87E430" w:rsidR="00F72178" w:rsidRPr="00FB08AF" w:rsidRDefault="00F72178"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50 Uredbe (EU) št. 575/2013.</w:t>
            </w:r>
          </w:p>
        </w:tc>
      </w:tr>
      <w:tr w:rsidR="00FB08AF" w:rsidRPr="00FB08AF" w14:paraId="4DB72D04" w14:textId="77777777" w:rsidTr="007674DE">
        <w:tc>
          <w:tcPr>
            <w:tcW w:w="1129" w:type="dxa"/>
          </w:tcPr>
          <w:p w14:paraId="4665A63A" w14:textId="0D24E4AF" w:rsidR="00A63011" w:rsidRPr="00FB08AF" w:rsidRDefault="00A6301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dodatni temeljni kapital</w:t>
            </w:r>
          </w:p>
          <w:p w14:paraId="44A6CA99" w14:textId="1B49FE4D" w:rsidR="00A63011" w:rsidRPr="00FB08AF" w:rsidRDefault="00A63011"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61 Uredbe (EU) št.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dodatni kapital</w:t>
            </w:r>
          </w:p>
          <w:p w14:paraId="63F618CB" w14:textId="00AD8301" w:rsidR="00A63011" w:rsidRPr="00FB08AF" w:rsidRDefault="006C308D"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71 Uredbe (EU) št. 575/2013.</w:t>
            </w:r>
          </w:p>
        </w:tc>
      </w:tr>
      <w:tr w:rsidR="00FB08AF" w:rsidRPr="00FB08AF" w14:paraId="5F8952C8" w14:textId="77777777" w:rsidTr="007674DE">
        <w:tc>
          <w:tcPr>
            <w:tcW w:w="1129" w:type="dxa"/>
            <w:vAlign w:val="center"/>
          </w:tcPr>
          <w:p w14:paraId="6363A10E" w14:textId="681F333D" w:rsidR="00A63011" w:rsidRPr="00FB08AF" w:rsidRDefault="0016365A" w:rsidP="009D79B2">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w:t>
            </w:r>
          </w:p>
          <w:p w14:paraId="76BC8267" w14:textId="51AF0C24" w:rsidR="00685080" w:rsidRPr="00FB08AF" w:rsidRDefault="00685080"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kot so opredeljene v členu 2(1), točka 71a, Direktive 2014/59/EU; v primeru instrumentov, ki jih ureja pravo tretje države, se instrument vključi v to vrstico samo, če izpolnjuje zahteve iz člena 55 navedene direktive.</w:t>
            </w:r>
          </w:p>
          <w:p w14:paraId="1997E756" w14:textId="7BE311EA" w:rsidR="00685080" w:rsidRPr="00FB08AF" w:rsidRDefault="00685080"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9D79B2">
            <w:pPr>
              <w:pStyle w:val="InstructionsText"/>
              <w:rPr>
                <w:b/>
                <w:szCs w:val="22"/>
              </w:rPr>
            </w:pPr>
            <w:r>
              <w:rPr>
                <w:rStyle w:val="FormatvorlageInstructionsTabelleText"/>
                <w:rFonts w:ascii="Times New Roman" w:hAnsi="Times New Roman"/>
                <w:sz w:val="24"/>
              </w:rPr>
              <w:t>Kvalificirane obveznosti v skladu s členom 72k Uredbe (EU) št. 575/2013.</w:t>
            </w:r>
          </w:p>
        </w:tc>
      </w:tr>
      <w:tr w:rsidR="00FB08AF" w:rsidRPr="00FB08AF" w14:paraId="1C6ED724" w14:textId="77777777" w:rsidTr="007674DE">
        <w:tc>
          <w:tcPr>
            <w:tcW w:w="1129" w:type="dxa"/>
            <w:vAlign w:val="center"/>
          </w:tcPr>
          <w:p w14:paraId="05D6280C" w14:textId="142EDD34" w:rsidR="00A63011" w:rsidRPr="00FB08AF" w:rsidRDefault="00A63011" w:rsidP="009D79B2">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Postavke kvalificiranih obveznosti pred prilagoditvami </w:t>
            </w:r>
          </w:p>
          <w:p w14:paraId="383F53A3" w14:textId="77777777" w:rsidR="00685080" w:rsidRPr="00FB08AF" w:rsidRDefault="00685080"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kot so opredeljene v členu 2(1), točka 71a, Direktive 2014/59/EU; v primeru instrumentov, ki jih ureja pravo tretje države, se instrument vključi v to vrstico samo, če izpolnjuje zahteve iz člena 55 navedene direktive. Poročajo se zneski, od katerih so odšteti neporabljeni zneski iz naslova predhodnega dovoljenja v obsegu, v katerem dovoljenje zajema instrumente kvalificiranih obveznosti.</w:t>
            </w:r>
          </w:p>
          <w:p w14:paraId="69F02168" w14:textId="455490F6" w:rsidR="00685080" w:rsidRPr="00FB08AF" w:rsidRDefault="00685080"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9D79B2">
            <w:pPr>
              <w:pStyle w:val="InstructionsText"/>
            </w:pPr>
            <w:r>
              <w:rPr>
                <w:rStyle w:val="FormatvorlageInstructionsTabelleText"/>
                <w:rFonts w:ascii="Times New Roman" w:hAnsi="Times New Roman"/>
                <w:sz w:val="24"/>
              </w:rPr>
              <w:t>Poročajo se kvalificirane obveznosti, ki izpolnjujejo vse zahteve iz členov 72a do 72d Uredbe (EU) št. 575/2013. Poročajo se zneski, od katerih so odšteti deleži v lastnih instrumentih kvalificiranih obveznosti in neporabljeni zneski iz naslova predhodnega dovoljenja v obsegu, v katerem dovoljenje zajema instrumente kvalificiranih obveznosti.</w:t>
            </w:r>
          </w:p>
        </w:tc>
      </w:tr>
      <w:tr w:rsidR="00FB08AF" w:rsidRPr="00FB08AF" w14:paraId="03BE5FC7" w14:textId="77777777" w:rsidTr="00EF1BBD">
        <w:tc>
          <w:tcPr>
            <w:tcW w:w="1129" w:type="dxa"/>
            <w:vAlign w:val="center"/>
          </w:tcPr>
          <w:p w14:paraId="6BFA1E2F" w14:textId="3832115E" w:rsidR="00EF1BBD" w:rsidRPr="00FB08AF" w:rsidRDefault="00EF1BB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kvalificirane obveznosti, ki se štejejo za strukturno podrejene </w:t>
            </w:r>
          </w:p>
          <w:p w14:paraId="3BCE2B05" w14:textId="77777777" w:rsidR="00EF1BBD" w:rsidRPr="00FB08AF" w:rsidRDefault="00EF1BBD"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lastRenderedPageBreak/>
              <w:t xml:space="preserve">Obveznosti, ki izpolnjujejo pogoje iz člena 45b </w:t>
            </w:r>
            <w:r>
              <w:rPr>
                <w:rStyle w:val="FormatvorlageInstructionsTabelleText"/>
                <w:rFonts w:ascii="Times New Roman" w:hAnsi="Times New Roman"/>
                <w:sz w:val="24"/>
              </w:rPr>
              <w:t xml:space="preserve">Direktive 2014/59/EU, </w:t>
            </w:r>
            <w:r>
              <w:rPr>
                <w:rStyle w:val="InstructionsTabelleberschrift"/>
                <w:rFonts w:ascii="Times New Roman" w:hAnsi="Times New Roman"/>
                <w:b w:val="0"/>
                <w:sz w:val="24"/>
                <w:u w:val="none"/>
              </w:rPr>
              <w:t xml:space="preserve">ker jih je izdal subjekt v postopku reševanja, ki je holding, in ker ni nobenih izključenih obveznosti iz člena 72a(2) Uredbe (EU) št. 575/2013, ki so uvrščene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xml:space="preserve"> ali podrejene instrumentom kvalificiranih obveznosti.</w:t>
            </w:r>
          </w:p>
          <w:p w14:paraId="1A629DBA" w14:textId="0DE8803D" w:rsidR="00014A29" w:rsidRPr="00FB08AF" w:rsidRDefault="00014A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57F8A551" w14:textId="371D79D0" w:rsidR="00EF1BBD" w:rsidRPr="00FB08AF" w:rsidRDefault="00EF1BB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Ta vrstica vključuje tudi kvalificirane obveznosti, ki se štejejo za take zaradi uporabe predhodno veljavnih pravil v skladu s členom 494b(3) Uredbe (EU) št. 575/2013.</w:t>
            </w:r>
          </w:p>
          <w:p w14:paraId="796DDC04" w14:textId="391BF591" w:rsidR="006A42FC" w:rsidRPr="00FB08AF" w:rsidRDefault="006A42FC"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Poročajo se zneski, od katerih so odšteti neporabljeni zneski iz naslova predhodnega dovoljenja</w:t>
            </w:r>
            <w:r>
              <w:rPr>
                <w:rStyle w:val="InstructionsTabelleberschrift"/>
                <w:rFonts w:ascii="Times New Roman" w:hAnsi="Times New Roman"/>
                <w:b w:val="0"/>
                <w:sz w:val="24"/>
                <w:u w:val="none"/>
              </w:rPr>
              <w:t xml:space="preserve"> v obsegu, v katerem predhodno dovoljenje zajema instrumente kvalificiranih obveznosti,</w:t>
            </w:r>
            <w:r>
              <w:rPr>
                <w:rStyle w:val="FormatvorlageInstructionsTabelleText"/>
                <w:rFonts w:ascii="Times New Roman" w:hAnsi="Times New Roman"/>
                <w:sz w:val="24"/>
              </w:rPr>
              <w:t xml:space="preserve"> ki izpolnjujejo merila, določena v prvem, drugem in tretjem pododstavku tega odstavka.</w:t>
            </w:r>
          </w:p>
          <w:p w14:paraId="4F393620" w14:textId="77777777" w:rsidR="00EF1BBD" w:rsidRPr="00FB08AF" w:rsidRDefault="00EF1BBD"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Obveznosti, ki:</w:t>
            </w:r>
          </w:p>
          <w:p w14:paraId="4850AF1A" w14:textId="5D492876" w:rsidR="00EF1BBD" w:rsidRPr="00FB08AF" w:rsidRDefault="006921A5"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izpolnjujejo zahteve iz členov 72a do 72d Uredbe (EU) št. 575/2013 in zlasti zahtevo iz člena 72b(2), točka (d)(iii), navedene uredbe, ne pa zahtev iz točke (d)(i) ali (d)(ii) navedenega odstavka, ali</w:t>
            </w:r>
          </w:p>
          <w:p w14:paraId="5A5A5CD9" w14:textId="0D1C4333" w:rsidR="00EF1BBD" w:rsidRPr="00FB08AF" w:rsidRDefault="006921A5" w:rsidP="009D79B2">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 xml:space="preserve">(b) izpolnjujejo zahteve iz členov 72a do 72d Uredbe (EU) št. 575/2013, razen člena 72b(2), točka (d), navedene uredbe, in za katere organi za reševanje v skladu s členom 72b(4) navedene uredbe dovolijo, da se štejejo za instrumente kvalificiranih obveznosti. </w:t>
            </w:r>
          </w:p>
          <w:p w14:paraId="5835FC6E" w14:textId="77777777" w:rsidR="00EF1BBD" w:rsidRPr="00FB08AF" w:rsidRDefault="00EF1BB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Ta vrstica vključuje tudi kvalificirane obveznosti, ki se štejejo za take zaradi uporabe predhodno veljavnih pravil v skladu s členom 494b(3) Uredbe (EU) št.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Style w:val="FormatvorlageInstructionsTabelleText"/>
                <w:rFonts w:ascii="Times New Roman" w:hAnsi="Times New Roman"/>
                <w:sz w:val="24"/>
              </w:rPr>
              <w:t>Poročajo se zneski, od katerih so odšteti neporabljeni zneski iz naslova predhodnega dovoljenja</w:t>
            </w:r>
            <w:r>
              <w:rPr>
                <w:rStyle w:val="InstructionsTabelleberschrift"/>
                <w:rFonts w:ascii="Times New Roman" w:hAnsi="Times New Roman"/>
                <w:b w:val="0"/>
                <w:sz w:val="24"/>
                <w:u w:val="none"/>
              </w:rPr>
              <w:t xml:space="preserve"> v obsegu, v katerem predhodno dovoljenje zajema instrumente kvalificiranih obveznosti,</w:t>
            </w:r>
            <w:r>
              <w:rPr>
                <w:rStyle w:val="FormatvorlageInstructionsTabelleText"/>
                <w:rFonts w:ascii="Times New Roman" w:hAnsi="Times New Roman"/>
                <w:sz w:val="24"/>
              </w:rPr>
              <w:t xml:space="preserve"> ki izpolnjujejo merila, določena v prvem in drugem pododstavku tega odstavka.</w:t>
            </w:r>
          </w:p>
        </w:tc>
      </w:tr>
      <w:tr w:rsidR="00FB08AF" w:rsidRPr="00FB08AF" w14:paraId="6A23855C" w14:textId="77777777" w:rsidTr="007674DE">
        <w:tc>
          <w:tcPr>
            <w:tcW w:w="1129" w:type="dxa"/>
            <w:vAlign w:val="center"/>
          </w:tcPr>
          <w:p w14:paraId="05433C19" w14:textId="400C8B72" w:rsidR="003C1F98" w:rsidRPr="00FB08AF" w:rsidRDefault="003C1F98" w:rsidP="009D79B2">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 podrejene izključenim obveznostim</w:t>
            </w:r>
          </w:p>
          <w:p w14:paraId="7423CFA6" w14:textId="5A9BD8DB" w:rsidR="00C80C5A" w:rsidRPr="00FB08AF" w:rsidRDefault="00D83C2E"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Kvalificirane obveznosti</w:t>
            </w:r>
            <w:r>
              <w:rPr>
                <w:rStyle w:val="FormatvorlageInstructionsTabelleText"/>
                <w:rFonts w:ascii="Times New Roman" w:hAnsi="Times New Roman"/>
                <w:sz w:val="24"/>
              </w:rPr>
              <w:t>, vključene v znesek kapitala in kvalificiranih obveznosti v skladu s členom 45b Direktive 2014/59/EU, ki so podrejeni kvalificirani instrumenti, kot so opredeljeni v členu 2(1), točka 71b, navedene direktive, in obveznosti, vključene v znesek kapitala in kvalificiranih obveznosti v skladu s členom 45b(3) navedene direktive. V primeru instrumentov, ki jih ureja pravo tretje države, se instrument vključi v to vrstico samo, če izpolnjuje zahteve iz člena 55 navedene direktive. Poročajo se zneski, od katerih so odšteti neporabljeni zneski iz naslova predhodnega dovoljenja v obsegu, v katerem dovoljenje zajema instrumente kvalificiranih obveznosti, podrejenih izključenim obveznostim.</w:t>
            </w:r>
          </w:p>
          <w:p w14:paraId="5C3837FC" w14:textId="25D3B279" w:rsidR="00C80C5A" w:rsidRPr="00FB08AF" w:rsidRDefault="00D83C2E" w:rsidP="009D79B2">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9D79B2">
            <w:pPr>
              <w:pStyle w:val="InstructionsText"/>
            </w:pPr>
            <w:r>
              <w:rPr>
                <w:rStyle w:val="FormatvorlageInstructionsTabelleText"/>
                <w:rFonts w:ascii="Times New Roman" w:hAnsi="Times New Roman"/>
                <w:sz w:val="24"/>
              </w:rPr>
              <w:lastRenderedPageBreak/>
              <w:t>Kvalificirane obveznosti, ki izpolnjujejo vse zahteve iz členov 72a do 72d Uredbe (EU) št. 575/2013, pri čemer se izključijo obveznosti, ki jih je dovoljeno šteti za instrumente kvalificiranih obveznosti v skladu s členom 72b(3) ali (4) navedene uredbe. Poročajo se zneski, od katerih so odšteti deleži v lastnih instrumentih kvalificiranih obveznosti in neporabljeni zneski iz naslova predhodnega dovoljenja v obsegu, v katerem predhodno dovoljenje zajema instrumente kvalificiranih obveznosti, podrejenih izključenim obveznostim.</w:t>
            </w:r>
          </w:p>
        </w:tc>
      </w:tr>
      <w:tr w:rsidR="00FB08AF" w:rsidRPr="00FB08AF" w14:paraId="65D7B875" w14:textId="77777777" w:rsidTr="007674DE">
        <w:tc>
          <w:tcPr>
            <w:tcW w:w="1129" w:type="dxa"/>
            <w:vAlign w:val="center"/>
          </w:tcPr>
          <w:p w14:paraId="2E78853D" w14:textId="4BB5EBB8" w:rsidR="00A63011" w:rsidRPr="00FB08AF" w:rsidRDefault="00A63011" w:rsidP="009D79B2">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9D79B2">
            <w:pPr>
              <w:pStyle w:val="InstructionsText"/>
              <w:rPr>
                <w:rStyle w:val="InstructionsTabelleberschrift"/>
                <w:rFonts w:ascii="Times New Roman" w:hAnsi="Times New Roman"/>
                <w:i/>
                <w:sz w:val="24"/>
              </w:rPr>
            </w:pPr>
            <w:r>
              <w:rPr>
                <w:rStyle w:val="InstructionsTabelleberschrift"/>
                <w:rFonts w:ascii="Times New Roman" w:hAnsi="Times New Roman"/>
                <w:sz w:val="24"/>
              </w:rPr>
              <w:t>Instrumenti kvalificiranih obveznosti, ki jih izda neposredno subjekt v postopku reševanja (za katere se ne uporabljajo predhodno veljavna pravila)</w:t>
            </w:r>
          </w:p>
          <w:p w14:paraId="4DBAA034" w14:textId="489D258B" w:rsidR="00C80C5A" w:rsidRPr="00FB08AF" w:rsidRDefault="00D83C2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Kvalificirane obveznosti</w:t>
            </w:r>
            <w:r>
              <w:rPr>
                <w:rStyle w:val="FormatvorlageInstructionsTabelleText"/>
                <w:rFonts w:ascii="Times New Roman" w:hAnsi="Times New Roman"/>
                <w:sz w:val="24"/>
              </w:rPr>
              <w:t>, vključene v znesek kapitala in kvalificiranih obveznosti v skladu s členom 45b Direktive 2014/59/EU, ki so podrejeni kvalificirani instrumenti, kot so opredeljeni v členu 2(1), točka 71b, navedene direktive, in ki jih izda neposredno subjekt v postopku reševanja. V primeru instrumentov, ki jih ureja pravo tretje države, se instrument vključi v to vrstico samo, če izpolnjuje zahteve iz člena 55 navedene direktive. Poročajo se zneski pred odbitkom neporabljenih zneskov iz naslova predhodnega dovoljenja v obsegu, v katerem dovoljenje zajema instrumente kvalificiranih obveznosti, ki jih izda neposredno subjekt v postopku reševanja in za katere se ne uporabljajo predhodno veljavna pravila.</w:t>
            </w:r>
          </w:p>
          <w:p w14:paraId="7ECE538F" w14:textId="2174F849" w:rsidR="00A63011" w:rsidRPr="00FB08AF" w:rsidRDefault="00A63011" w:rsidP="009D79B2">
            <w:pPr>
              <w:pStyle w:val="InstructionsText"/>
              <w:rPr>
                <w:rStyle w:val="FormatvorlageInstructionsTabelleText"/>
                <w:rFonts w:ascii="Times New Roman" w:hAnsi="Times New Roman"/>
                <w:sz w:val="24"/>
              </w:rPr>
            </w:pPr>
          </w:p>
          <w:p w14:paraId="055ECE85" w14:textId="77777777" w:rsidR="00C80C5A" w:rsidRPr="00FB08AF" w:rsidRDefault="00D83C2E"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vse zahteve iz členov 72a do 72d Uredbe (EU) št. 575/2013, pri čemer se izključijo obveznosti, ki jih je dovoljeno šteti za instrumente kvalificiranih obveznosti v skladu s členom 72b(3) ali (4) navedene uredbe, in ki jih izda neposredno subjekt v postopku reševanja. Poročajo se zneski pred odbitkom neporabljenih zneskov iz naslova predhodnega dovoljenja v obsegu, v katerem dovoljenje zajema instrumente kvalificiranih obveznosti, ki jih izda neposredno subjekt v postopku reševanja in za katere se ne uporabljajo predhodno veljavna pravila.</w:t>
            </w:r>
          </w:p>
          <w:p w14:paraId="538B9AEC" w14:textId="6E580954" w:rsidR="00A63011" w:rsidRPr="00FB08AF" w:rsidRDefault="003C1F9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Ta vrstica ne vključuje amortiziranega dela instrumentov dodatnega kapitala s preostalo zapadlostjo več kot enega leta (člen 72a(1), točka (b), Uredbe (EU) št. 575/2013) in kvalificiranih obveznosti, za katere se uporabljajo predhodno veljavna pravila v skladu s členom 494b navedene uredbe.</w:t>
            </w:r>
          </w:p>
          <w:p w14:paraId="609C4389" w14:textId="7A7AC95B" w:rsidR="006B3F3C" w:rsidRPr="00FB08AF" w:rsidRDefault="006B3F3C" w:rsidP="009D79B2">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9D79B2">
            <w:pPr>
              <w:pStyle w:val="InstructionsText"/>
            </w:pPr>
            <w:r>
              <w:rPr>
                <w:rStyle w:val="FormatvorlageInstructionsTabelleText"/>
                <w:rFonts w:ascii="Times New Roman" w:hAnsi="Times New Roman"/>
                <w:sz w:val="24"/>
              </w:rPr>
              <w:t>0110</w:t>
            </w:r>
          </w:p>
        </w:tc>
        <w:tc>
          <w:tcPr>
            <w:tcW w:w="7620" w:type="dxa"/>
            <w:vAlign w:val="center"/>
          </w:tcPr>
          <w:p w14:paraId="79B3EE97" w14:textId="7FDAAA39" w:rsidR="00A63011" w:rsidRPr="00FB08AF" w:rsidRDefault="00A6301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Instrumenti kvalificiranih obveznosti, ki jih izdajo drugi subjekti skupine v postopku reševanja (za katere se ne uporabljajo predhodno veljavna pravila)</w:t>
            </w:r>
          </w:p>
          <w:p w14:paraId="6D1C85D0" w14:textId="02C1463F" w:rsidR="00C80C5A" w:rsidRPr="00FB08AF" w:rsidRDefault="00B775C4"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Kvalificirane obveznosti</w:t>
            </w:r>
            <w:r>
              <w:rPr>
                <w:rStyle w:val="FormatvorlageInstructionsTabelleText"/>
                <w:rFonts w:ascii="Times New Roman" w:hAnsi="Times New Roman"/>
                <w:sz w:val="24"/>
              </w:rPr>
              <w:t xml:space="preserve">, vključene v znesek kapitala in kvalificiranih obveznosti v skladu s členom 45b Direktive 2014/59/EU, ki jih izdajo podrejene družbe in so vključene v MREL v skladu s členom 45b(3) navedene direktive. V primeru instrumentov, ki jih ureja pravo tretje države, se instrument </w:t>
            </w:r>
            <w:r>
              <w:rPr>
                <w:rStyle w:val="FormatvorlageInstructionsTabelleText"/>
                <w:rFonts w:ascii="Times New Roman" w:hAnsi="Times New Roman"/>
                <w:sz w:val="24"/>
              </w:rPr>
              <w:lastRenderedPageBreak/>
              <w:t>vključi v to vrstico samo, če izpolnjuje zahteve iz člena 55 navedene direktive. Poročajo se zneski pred odbitkom neporabljenih zneskov iz naslova predhodnega dovoljenja v obsegu, v katerem dovoljenje zajema instrumente kvalificiranih obveznosti, ki jih izdajo drugi subjekti skupine v postopku reševanja in za katere se ne uporabljajo predhodno veljavna pravila.</w:t>
            </w:r>
          </w:p>
          <w:p w14:paraId="5240CE7F" w14:textId="4DC3E44A" w:rsidR="00CD51BC" w:rsidRPr="00FB08AF" w:rsidRDefault="00CD58A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Kvalificirane obveznosti, ki izpolnjujejo vse zahteve iz členov 72a do 72d Uredbe (EU) št. 575/2013, pri čemer se izključijo obveznosti, ki jih je dovoljeno šteti za instrumente kvalificiranih obveznosti v skladu s členom 72b(3) ali (4) navedene uredbe, ki jih izdajo podrejene družbe in ki izpolnjujejo pogoje za vključitev v instrumente konsolidiranih kvalificiranih obveznosti subjekta v skladu s členom 88a navedene uredbe. Poročajo se zneski pred odbitkom neporabljenih zneskov iz naslova predhodnega dovoljenja v obsegu, v katerem dovoljenje zajema instrumente kvalificiranih obveznosti, ki jih izdajo drugi subjekti skupine v postopku reševanja in za katere se ne uporabljajo predhodno veljavna pravila.</w:t>
            </w:r>
          </w:p>
          <w:p w14:paraId="669A214A" w14:textId="7C7BF538" w:rsidR="003C1F98" w:rsidRPr="00FB08AF" w:rsidRDefault="003C1F98" w:rsidP="009D79B2">
            <w:pPr>
              <w:pStyle w:val="InstructionsText"/>
            </w:pPr>
            <w:r>
              <w:rPr>
                <w:rStyle w:val="FormatvorlageInstructionsTabelleText"/>
                <w:rFonts w:ascii="Times New Roman" w:hAnsi="Times New Roman"/>
                <w:sz w:val="24"/>
              </w:rPr>
              <w:t>Ta vrstica ne vključuje amortiziranega dela instrumentov dodatnega kapitala s preostalo zapadlostjo več kot enega leta (člen 72a(1), točka (b), Uredbe (EU) št. 575/2013) in kvalificiranih obveznosti, za katere se uporabljajo predhodno veljavna pravila v skladu s členom 494b navedene uredbe.</w:t>
            </w:r>
          </w:p>
        </w:tc>
      </w:tr>
      <w:tr w:rsidR="00FB08AF" w:rsidRPr="00FB08AF" w14:paraId="51864A69" w14:textId="77777777" w:rsidTr="007674DE">
        <w:tc>
          <w:tcPr>
            <w:tcW w:w="1129" w:type="dxa"/>
            <w:vAlign w:val="center"/>
          </w:tcPr>
          <w:p w14:paraId="47D16EC4" w14:textId="66D820CD" w:rsidR="003C1F98" w:rsidRPr="00FB08AF" w:rsidRDefault="003C1F98" w:rsidP="009D79B2">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Postavke kvalificiranih obveznosti, izdane pred 27. junijem 2019 </w:t>
            </w:r>
          </w:p>
          <w:p w14:paraId="45E921ED" w14:textId="5B5AA12F" w:rsidR="00CD51BC" w:rsidRPr="00FB08AF" w:rsidRDefault="003A0717"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Kvalificirane obveznosti</w:t>
            </w:r>
            <w:r>
              <w:rPr>
                <w:rStyle w:val="FormatvorlageInstructionsTabelleText"/>
                <w:rFonts w:ascii="Times New Roman" w:hAnsi="Times New Roman"/>
                <w:sz w:val="24"/>
              </w:rPr>
              <w:t>, ki</w:t>
            </w:r>
            <w:r>
              <w:rPr>
                <w:rStyle w:val="InstructionsTabelleberschrift"/>
                <w:rFonts w:ascii="Times New Roman" w:hAnsi="Times New Roman"/>
                <w:b w:val="0"/>
                <w:sz w:val="24"/>
                <w:u w:val="none"/>
              </w:rPr>
              <w:t xml:space="preserve"> izpolnjujejo naslednje pogoje:</w:t>
            </w:r>
          </w:p>
          <w:p w14:paraId="27B0933B" w14:textId="12AD7DA6" w:rsidR="003A0717" w:rsidRPr="00FB08AF" w:rsidRDefault="00C904F7"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izdane so bile pred 27. junijem 2019;</w:t>
            </w:r>
          </w:p>
          <w:p w14:paraId="784DD851" w14:textId="288C5949" w:rsidR="00CD51BC" w:rsidRPr="00FB08AF" w:rsidRDefault="00C904F7"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(b) so podrejeni</w:t>
            </w:r>
            <w:r>
              <w:rPr>
                <w:rStyle w:val="FormatvorlageInstructionsTabelleText"/>
                <w:rFonts w:ascii="Times New Roman" w:hAnsi="Times New Roman"/>
                <w:sz w:val="24"/>
              </w:rPr>
              <w:t xml:space="preserve"> kvalificirani instrumenti, kot so opredeljeni členu 2(1), točka 71b, Direktive 2014/59/EU; </w:t>
            </w:r>
          </w:p>
          <w:p w14:paraId="1A9E4169" w14:textId="4C0E47C2" w:rsidR="003A0717" w:rsidRPr="00FB08AF" w:rsidRDefault="00C904F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vključene so v kapital in kvalificirane obveznosti v skladu s členom 494b(3) Uredbe (EU) št. 575/2013;</w:t>
            </w:r>
          </w:p>
          <w:p w14:paraId="729FD97D" w14:textId="2B49FF11" w:rsidR="00612E23" w:rsidRPr="00FB08AF" w:rsidRDefault="00B5112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v primeru instrumentov, ki jih ureja pravo tretje države, izpolnjujejo zahteve iz člena 55 Direktive 2014/59/EU.</w:t>
            </w:r>
          </w:p>
          <w:p w14:paraId="23DB3E90" w14:textId="7AAD14FB" w:rsidR="006B3F3C" w:rsidRPr="00FB08AF" w:rsidRDefault="00A827D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 izdane pred 27. junijem 2019.</w:t>
            </w:r>
          </w:p>
          <w:p w14:paraId="101AB6AC" w14:textId="4E538F15" w:rsidR="00CD51BC" w:rsidRPr="00FB08AF" w:rsidRDefault="00CD51BC"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naslednje pogoje:</w:t>
            </w:r>
          </w:p>
          <w:p w14:paraId="06CB52C8" w14:textId="1DDB2DB7" w:rsidR="003A0717" w:rsidRPr="00FB08AF" w:rsidRDefault="00A01D02" w:rsidP="009D79B2">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izdane so bile pred 27. junijem 2019;</w:t>
            </w:r>
          </w:p>
          <w:p w14:paraId="7D19D1F7" w14:textId="50CAF5D5" w:rsidR="003A0717" w:rsidRPr="00FB08AF" w:rsidRDefault="00A01D02" w:rsidP="009D79B2">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skladne so s členom 72b(2), točka (d), Uredbe (EU) št. 575/2013;</w:t>
            </w:r>
          </w:p>
          <w:p w14:paraId="1483928C" w14:textId="77777777" w:rsidR="003C1F98" w:rsidRPr="00FB08AF" w:rsidRDefault="00A01D0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štejejo se lahko za kvalificirane obveznosti zaradi uporabe predhodno veljavnih pravil v skladu s členom 494b(3) Uredbe (EU) št. 575/2013.</w:t>
            </w:r>
          </w:p>
          <w:p w14:paraId="48932F31" w14:textId="7F06E6C5" w:rsidR="00A827D8" w:rsidRPr="00FB08AF" w:rsidRDefault="00A827D8"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 izdane pred 27. junijem 2019.</w:t>
            </w:r>
          </w:p>
        </w:tc>
      </w:tr>
      <w:tr w:rsidR="00FB08AF" w:rsidRPr="00FB08AF" w14:paraId="6F3C5EAB" w14:textId="77777777" w:rsidTr="007674DE">
        <w:tc>
          <w:tcPr>
            <w:tcW w:w="1129" w:type="dxa"/>
            <w:vAlign w:val="center"/>
          </w:tcPr>
          <w:p w14:paraId="696B1E7F" w14:textId="030293FD" w:rsidR="003C1F98" w:rsidRPr="00FB08AF" w:rsidRDefault="003C1F98" w:rsidP="009D79B2">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Instrumenti dodatnega kapitala s preostalo zapadlostjo najmanj enega leta v obsegu, v katerem se ne štejejo za postavke dodatnega kapitala</w:t>
            </w:r>
          </w:p>
          <w:p w14:paraId="7E53D3C8" w14:textId="5B2B54C5" w:rsidR="003C1F98" w:rsidRPr="00FB08AF" w:rsidRDefault="003C1F9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72 a(1), točka (b), Uredbe (EU) št. 575/2013.</w:t>
            </w:r>
          </w:p>
          <w:p w14:paraId="34EB2C71" w14:textId="026755AA" w:rsidR="003C1F98" w:rsidRPr="00FB08AF" w:rsidRDefault="003C1F9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Ta vrstica vključuje amortizirani del instrumentov dodatnega kapitala s preostalo zapadlostjo več kot enega leta. V tej vrstici se poroča samo znesek, ki ni pripoznan v kapitalu, vendar izpolnjuje vsa merila primernosti iz člena 72b Uredbe (EU) št. 575/2013.</w:t>
            </w:r>
          </w:p>
          <w:p w14:paraId="4D7DD40A" w14:textId="14F7E4FF" w:rsidR="00612E23" w:rsidRPr="00FB08AF" w:rsidRDefault="00DD50DC"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V primeru MREL se instrumenti, ki jih ureja pravo tretje države, vključijo v to vrstico samo, če izpolnjujejo zahteve iz člena 55 Direktive 2014/59/EU.</w:t>
            </w:r>
          </w:p>
        </w:tc>
      </w:tr>
      <w:tr w:rsidR="00FB08AF" w:rsidRPr="00FB08AF" w14:paraId="2B25B5F1" w14:textId="77777777" w:rsidTr="007674DE">
        <w:tc>
          <w:tcPr>
            <w:tcW w:w="1129" w:type="dxa"/>
            <w:vAlign w:val="center"/>
          </w:tcPr>
          <w:p w14:paraId="75C89F47" w14:textId="1C159A4F" w:rsidR="001D1E29" w:rsidRPr="00FB08AF" w:rsidRDefault="001D1E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Lastni instrumenti kvalificiranih obveznosti, podrejenih izključenim obveznostim</w:t>
            </w:r>
          </w:p>
          <w:p w14:paraId="16DB4BC1" w14:textId="77777777" w:rsidR="00017D7A" w:rsidRPr="00FB08AF" w:rsidRDefault="00017D7A" w:rsidP="009D79B2">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Člen 78a Uredbe (EU) št. 575/2013 in člen 32b(2), (3) ter (5) Delegirane uredbe (EU) št. 241/2014.</w:t>
            </w:r>
          </w:p>
          <w:p w14:paraId="657C9FF4" w14:textId="261FA598" w:rsidR="00017D7A" w:rsidRPr="00FB08AF" w:rsidRDefault="00017D7A" w:rsidP="009D79B2">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Ta vrstica vključuje neporabljene zneske iz naslova predhodnega dovoljenja v obsegu, v katerem dovoljenje zajema instrumente kvalificiranih obveznosti, podrejenih izključenim obveznostim. Znesek v tej vrstici je enak znesku v vrstici 0135 za MREL.</w:t>
            </w:r>
          </w:p>
          <w:p w14:paraId="290575AE" w14:textId="36721F56" w:rsidR="001D1E29" w:rsidRPr="00FB08AF" w:rsidRDefault="001D1E29" w:rsidP="009D79B2">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Člen 72e(1), točka (a), in člen 78a Uredbe (EU) št. 575/2013 ter člen 32b(2), (3) in (5) Delegirane uredbe (EU) št. 241/2014.</w:t>
            </w:r>
          </w:p>
          <w:p w14:paraId="696343EA" w14:textId="5EA84709" w:rsidR="00017D7A" w:rsidRPr="00FB08AF" w:rsidRDefault="00017D7A"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Ta vrstica vključuje:</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deleže v lastnih instrumentih podrejenih kvalificiranih obveznosti, ki se odbijejo v skladu s členom 72e(1), točka (a), Uredbe (EU) št. 575/2013, in</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neporabljene zneske iz naslova predhodnega dovoljenja v obsegu, v katerem dovoljenje zajema instrumente kvalificiranih obveznosti, podrejenih izključenim obveznostim.</w:t>
            </w:r>
          </w:p>
        </w:tc>
      </w:tr>
      <w:tr w:rsidR="00FB08AF" w:rsidRPr="00FB08AF" w14:paraId="11C86C93" w14:textId="77777777" w:rsidTr="004464A7">
        <w:tc>
          <w:tcPr>
            <w:tcW w:w="1129" w:type="dxa"/>
            <w:vAlign w:val="center"/>
          </w:tcPr>
          <w:p w14:paraId="06CEFE60" w14:textId="0DCE1B7F" w:rsidR="001D1E29" w:rsidRPr="00FB08AF" w:rsidRDefault="001D1E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od tega: neporabljeni zneski iz naslova predhodnega dovoljenja</w:t>
            </w:r>
          </w:p>
          <w:p w14:paraId="67B041F0" w14:textId="77777777" w:rsidR="001D1E29" w:rsidRPr="00FB08AF" w:rsidRDefault="001D1E29"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 TLAC</w:t>
            </w:r>
          </w:p>
          <w:p w14:paraId="7E150AA3" w14:textId="77777777" w:rsidR="001C3C19" w:rsidRPr="00FB08AF" w:rsidRDefault="001C3C1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tej vrstici se poročajo naslednji zneski: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neporabljeni zneski iz naslova priložnostnega dovoljenja v obsegu, v katerem dovoljenje zajema instrumente kvalificiranih obveznosti, podrejenih izključenim obveznostim;</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neporabljeni zneski iz naslova splošnega predhodnega dovoljenja v obsegu, v katerem dovoljenje zajema instrumente kvalificiranih obveznosti, podrejenih izključenim obveznostim.</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Kadar splošno predhodno dovoljenje iz točke (ii) ne določa uvrstitve instrumentov, ki se lahko odpokličejo, odkupijo, odplačajo ali izplačajo, se v tej vrstici poroča celotni neporabljeni znesek iz naslova splošnega predhodnega dovoljenja.</w:t>
            </w:r>
          </w:p>
        </w:tc>
      </w:tr>
      <w:tr w:rsidR="00FB08AF" w:rsidRPr="00FB08AF" w14:paraId="2A030C78" w14:textId="77777777" w:rsidTr="007674DE">
        <w:tc>
          <w:tcPr>
            <w:tcW w:w="1129" w:type="dxa"/>
            <w:vAlign w:val="center"/>
          </w:tcPr>
          <w:p w14:paraId="3F26CCDA" w14:textId="6FFA3FE7" w:rsidR="00305E50" w:rsidRPr="00FB08AF" w:rsidRDefault="00305E50" w:rsidP="009D79B2">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 ki niso podrejene izključenim obveznostim</w:t>
            </w:r>
          </w:p>
          <w:p w14:paraId="4CA285A7" w14:textId="77777777" w:rsidR="00982A9F" w:rsidRPr="00FB08AF" w:rsidRDefault="001E1CA1"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Obveznosti, ki izpolnjujejo pogoje iz člena 45b Direktive 2014/59/EU in ki niso v celoti podrejene terjatvam, ki izhajajo iz izključenih obveznosti iz člena 72a(2) Uredbe (EU) št. 575/2013. </w:t>
            </w: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 Poročajo se zneski, od katerih so odšteti neporabljeni zneski iz naslova predhodnega dovoljenja v obsegu, v katerem dovoljenje zajema kvalificirane obveznosti, ki niso podrejene izključenim obveznostim.</w:t>
            </w:r>
          </w:p>
          <w:p w14:paraId="0B2AC759" w14:textId="604E0A4C" w:rsidR="00982A9F" w:rsidRPr="00FB08AF" w:rsidRDefault="001E1CA1" w:rsidP="009D79B2">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9D79B2">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Kvalificirane obveznosti, ki izpolnjujejo zahteve iz členov 72a do 72d Uredbe (EU) št. 575/2013, razen člena 72b(2), točka (d), navedene uredbe, in ki so pripoznane kot kvalificirane obveznosti v skladu s členom 72b(3) ali (4) navedene uredbe. Če se uporablja člen 72b(3) Uredbe (EU) št. 575/2013, je znesek, ki se poroča, </w:t>
            </w:r>
            <w:r>
              <w:rPr>
                <w:rStyle w:val="InstructionsTabelleberschrift"/>
                <w:rFonts w:ascii="Times New Roman" w:hAnsi="Times New Roman"/>
                <w:b w:val="0"/>
                <w:sz w:val="24"/>
                <w:u w:val="none"/>
              </w:rPr>
              <w:t xml:space="preserve">znesek po uporabi zgornje meje </w:t>
            </w:r>
            <w:r>
              <w:rPr>
                <w:rStyle w:val="FormatvorlageInstructionsTabelleText"/>
                <w:rFonts w:ascii="Times New Roman" w:hAnsi="Times New Roman"/>
                <w:sz w:val="24"/>
              </w:rPr>
              <w:t>iz navedenega člena. Poročajo se zneski, od katerih so odšteti deleži v lastnih instrumentih kvalificiranih obveznosti in neporabljeni zneski iz naslova predhodnega dovoljenja v obsegu, v katerem dovoljenje zajema instrumente kvalificiranih obveznosti, ki niso podrejene izključenim obveznostim.</w:t>
            </w:r>
          </w:p>
        </w:tc>
      </w:tr>
      <w:tr w:rsidR="00FB08AF" w:rsidRPr="00FB08AF" w14:paraId="47FEB869" w14:textId="77777777" w:rsidTr="007674DE">
        <w:tc>
          <w:tcPr>
            <w:tcW w:w="1129" w:type="dxa"/>
            <w:vAlign w:val="center"/>
          </w:tcPr>
          <w:p w14:paraId="6C338E15" w14:textId="266651BF" w:rsidR="00A63011" w:rsidRPr="00FB08AF" w:rsidRDefault="00A63011" w:rsidP="009D79B2">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 ki niso podrejene izključenim obveznostim (za katere se ne uporabljajo predhodno veljavna pravila, pred uporabo zgornje meje)</w:t>
            </w:r>
          </w:p>
          <w:p w14:paraId="394955FE" w14:textId="77777777" w:rsidR="00982A9F" w:rsidRPr="00FB08AF" w:rsidRDefault="00604AF7"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Obveznosti, ki izpolnjujejo pogoje iz člena 45b(1), (2) in (3) Direktive 2014/59/EU in ki niso v celoti podrejene terjatvam, ki izhajajo iz izključenih obveznosti iz člena 72a(2) Uredbe (EU) št.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 Poročajo se zneski pred odbitkom neporabljenih zneskov iz naslova predhodnega dovoljenja v obsegu, v katerem dovoljenje zajema instrumente kvalificiranih obveznosti, ki niso podrejene izključenim obveznostim in za katere se ne uporabljajo predhodno veljavna pravila.</w:t>
            </w:r>
          </w:p>
          <w:p w14:paraId="032F7301" w14:textId="77777777" w:rsidR="00A827D8" w:rsidRPr="00FB08AF" w:rsidRDefault="00A827D8" w:rsidP="009D79B2">
            <w:pPr>
              <w:pStyle w:val="InstructionsText"/>
              <w:rPr>
                <w:rStyle w:val="FormatvorlageInstructionsTabelleText"/>
                <w:rFonts w:ascii="Times New Roman" w:hAnsi="Times New Roman"/>
                <w:b/>
                <w:sz w:val="24"/>
              </w:rPr>
            </w:pPr>
          </w:p>
          <w:p w14:paraId="388C46BA" w14:textId="3360303E" w:rsidR="00982A9F" w:rsidRPr="00FB08AF" w:rsidRDefault="00604AF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zahteve iz členov 72a do 72d Uredbe (EU) št. 575/2013, razen člena 72b(2), točka (d), navedene uredbe, in ki bi jih bilo dovoljeno šteti za instrumente kvalificiranih obveznosti v skladu s členom 72b(3) navedene uredbe ali jih je dovoljeno šteti za instrumente kvalificiranih obveznosti v skladu s členom 72b(4) navedene uredbe. Poročajo se zneski pred odbitkom neporabljenih zneskov iz naslova predhodnega dovoljenja v obsegu, v katerem dovoljenje zajema instrumente kvalificiranih obveznosti, ki niso podrejene izključenim obveznostim in za katere se ne uporabljajo predhodno veljavna pravila.</w:t>
            </w:r>
          </w:p>
          <w:p w14:paraId="0909459E" w14:textId="187AE3BC" w:rsidR="00EA28E5" w:rsidRPr="00FB08AF" w:rsidRDefault="00855A4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Če se uporablja člen 72b(3) ali člen 494(2) Uredbe (EU) št. 575/2013, se v tej vrstici poroča polni znesek brez uporabe zgornje meje 3,5 % oziroma 2,5 %.</w:t>
            </w:r>
          </w:p>
          <w:p w14:paraId="10DEA222" w14:textId="0F79DC02" w:rsidR="00A63011" w:rsidRPr="00FB08AF" w:rsidRDefault="00EA28E5"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Ta vrstica ne vključuje nobenih zneskov, ki se lahko pripoznajo na prehodni podlagi v skladu s členom 494b(3) Uredbe (EU) št. 575/2013.</w:t>
            </w:r>
          </w:p>
        </w:tc>
      </w:tr>
      <w:tr w:rsidR="00FB08AF" w:rsidRPr="00FB08AF" w14:paraId="10AF45A5" w14:textId="77777777" w:rsidTr="007674DE">
        <w:tc>
          <w:tcPr>
            <w:tcW w:w="1129" w:type="dxa"/>
            <w:vAlign w:val="center"/>
          </w:tcPr>
          <w:p w14:paraId="7372F449" w14:textId="2D516431" w:rsidR="00A63011" w:rsidRPr="00FB08AF" w:rsidRDefault="00A63011" w:rsidP="009D79B2">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 ki niso podrejene izključenim obveznostim, izdane pred 27. junijem 2019 (pred uporabo zgornje meje)</w:t>
            </w:r>
          </w:p>
          <w:p w14:paraId="2510BB3A" w14:textId="1AF410B0" w:rsidR="00982A9F" w:rsidRPr="00FB08AF" w:rsidRDefault="00C11CA5"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naslednje pogoje:</w:t>
            </w:r>
          </w:p>
          <w:p w14:paraId="5FFD2677" w14:textId="50F9F4F8" w:rsidR="001C6D0D"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izdane so bile pred 27. junijem 2019;</w:t>
            </w:r>
          </w:p>
          <w:p w14:paraId="07403C05" w14:textId="503B2949" w:rsidR="009B0942"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izpolnjujejo pogoje iz člena 45b(1), (2) in (3) Direktive 2014/59/EU in niso v celoti podrejene terjatvam, ki izhajajo iz izključenih obveznosti iz člena 72a(2) Uredbe (EU) št. 575/2013;</w:t>
            </w:r>
          </w:p>
          <w:p w14:paraId="71564EA2" w14:textId="74C6BCA7" w:rsidR="001C6D0D"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štejejo se lahko za kvalificirane obveznosti zaradi uporabe predhodno veljavnih pravil v skladu s členom 494b(3) Uredbe (EU) št. 575/2013.</w:t>
            </w:r>
          </w:p>
          <w:p w14:paraId="7503510D" w14:textId="08ABA911" w:rsidR="00B1149D" w:rsidRPr="00FB08AF" w:rsidRDefault="00014A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32F37C9F" w14:textId="14155D73" w:rsidR="00A827D8" w:rsidRPr="00FB08AF" w:rsidRDefault="00A827D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 ki niso podrejene izključenim obveznostim, izdane pred 27. junijem 2019.</w:t>
            </w:r>
          </w:p>
          <w:p w14:paraId="7EAB8752" w14:textId="12D859E9" w:rsidR="00982A9F" w:rsidRPr="00FB08AF" w:rsidRDefault="00C11CA5"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naslednje pogoje:</w:t>
            </w:r>
          </w:p>
          <w:p w14:paraId="2927D076" w14:textId="4B7CFD54" w:rsidR="000A5224"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izdane so bile pred 27. junijem 2019;</w:t>
            </w:r>
          </w:p>
          <w:p w14:paraId="25193AE0" w14:textId="3C81B8F5" w:rsidR="000A5224"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izpolnjujejo zahteve iz členov 72a do 72d Uredbe (EU) št. 575/2013, razen člena 72b(2), točka (d), navedene uredbe, in bi jih bilo dovoljeno šteti za instrumente kvalificiranih obveznosti v skladu s členom 72b(3) navedene uredbe ali jih je dovoljeno šteti za instrumente kvalificiranih obveznosti v skladu s členom 72b(4) navedene uredbe;</w:t>
            </w:r>
          </w:p>
          <w:p w14:paraId="406887A9" w14:textId="60E275A3" w:rsidR="00C11CA5" w:rsidRPr="00FB08AF" w:rsidRDefault="00D164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štejejo se lahko za kvalificirane obveznosti zaradi uporabe predhodno veljavnih pravil v skladu s členom 494b(3) Uredbe (EU) št. 575/2013.</w:t>
            </w:r>
          </w:p>
          <w:p w14:paraId="1C129A1F" w14:textId="57A1694B" w:rsidR="00A63011" w:rsidRPr="00FB08AF" w:rsidRDefault="00A827D8"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 ki niso podrejene izključenim obveznostim, izdane pred 27. junijem 2019.Če se uporablja člen 72b(3) ali člen 494(2) Uredbe (EU) št. 575/2013, se v tej vrstici poroča polni znesek brez uporabe zgornje meje 3,5 % oziroma 2,5 %.</w:t>
            </w:r>
          </w:p>
        </w:tc>
      </w:tr>
      <w:tr w:rsidR="00FB08AF" w:rsidRPr="00FB08AF" w14:paraId="63A9F93C" w14:textId="77777777" w:rsidTr="004464A7">
        <w:tc>
          <w:tcPr>
            <w:tcW w:w="1129" w:type="dxa"/>
            <w:vAlign w:val="center"/>
          </w:tcPr>
          <w:p w14:paraId="128930AB" w14:textId="7D151456" w:rsidR="00766C0D" w:rsidRPr="00FB08AF" w:rsidRDefault="00766C0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0162</w:t>
            </w:r>
          </w:p>
        </w:tc>
        <w:tc>
          <w:tcPr>
            <w:tcW w:w="7620" w:type="dxa"/>
            <w:vAlign w:val="center"/>
          </w:tcPr>
          <w:p w14:paraId="341CD98D" w14:textId="7BF644C3" w:rsidR="00766C0D" w:rsidRPr="00FB08AF" w:rsidRDefault="00766C0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Lastni instrumenti kvalificiranih obveznosti, ki niso podrejene izključenim obveznostim</w:t>
            </w:r>
          </w:p>
          <w:p w14:paraId="7CFF60FF" w14:textId="77777777" w:rsidR="00766C0D" w:rsidRPr="00FB08AF" w:rsidRDefault="00766C0D" w:rsidP="009D79B2">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lastRenderedPageBreak/>
              <w:t>Člen 78a Uredbe (EU) št. 575/2013 in člen 32b(2), (3) ter (5) Delegirane uredbe (EU) št. 241/2014.</w:t>
            </w:r>
          </w:p>
          <w:p w14:paraId="07A5D05B" w14:textId="26693921" w:rsidR="008B0571" w:rsidRPr="00FB08AF" w:rsidRDefault="008B0571" w:rsidP="009D79B2">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Ta vrstica vključuje neporabljene zneske iz naslova predhodnega dovoljenja v obsegu, v katerem dovoljenje zajema instrumente kvalificiranih obveznosti, ki niso podrejene izključenim obveznostim. Znesek v tej vrstici je enak znesku v vrstici 0165 za MREL.</w:t>
            </w:r>
          </w:p>
          <w:p w14:paraId="267D0224" w14:textId="77777777" w:rsidR="008B0571" w:rsidRPr="00FB08AF" w:rsidRDefault="008B0571" w:rsidP="009D79B2">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Člen 72e(1), točka (a), in člen 78a Uredbe (EU) št. 575/2013 ter člen 32b(2), (3) in (5) Delegirane uredbe (EU) št. 241/2014.</w:t>
            </w:r>
          </w:p>
          <w:p w14:paraId="5453E8FB" w14:textId="28C75257" w:rsidR="008B0571" w:rsidRPr="00FB08AF" w:rsidRDefault="008B0571" w:rsidP="009D79B2">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Ta vrstica vključuje:</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deleže v lastnih instrumentih nepodrejenih kvalificiranih obveznosti, ki se odbijejo v skladu s členom 72e(1), točka (a), Uredbe (EU) št. 575/2013, in</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neporabljene zneske iz naslova predhodnega dovoljenja v obsegu, v katerem dovoljenje zajema instrumente kvalificiranih obveznosti, ki niso podrejene izključenim obveznostim.</w:t>
            </w:r>
          </w:p>
        </w:tc>
      </w:tr>
      <w:tr w:rsidR="00FB08AF" w:rsidRPr="00FB08AF" w14:paraId="377B4629" w14:textId="77777777" w:rsidTr="004464A7">
        <w:tc>
          <w:tcPr>
            <w:tcW w:w="1129" w:type="dxa"/>
            <w:vAlign w:val="center"/>
          </w:tcPr>
          <w:p w14:paraId="0ACB5F85" w14:textId="0CEF3E7C" w:rsidR="00766C0D" w:rsidRPr="00FB08AF" w:rsidRDefault="00766C0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FB08AF" w:rsidRDefault="00766C0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od tega: neporabljeni zneski iz naslova predhodnega dovoljenja</w:t>
            </w:r>
          </w:p>
          <w:p w14:paraId="50F54C4D" w14:textId="77777777" w:rsidR="00766C0D" w:rsidRPr="00FB08AF" w:rsidRDefault="00766C0D"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in TLAC</w:t>
            </w:r>
          </w:p>
          <w:p w14:paraId="0DC13AF4" w14:textId="77777777" w:rsidR="00F81089" w:rsidRPr="00FB08AF" w:rsidRDefault="00F8108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tej vrstici se poročajo naslednji zneski: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neporabljeni zneski iz naslova priložnostnega dovoljenja v obsegu, v katerem dovoljenje zajema instrument kvalificiranih obveznosti, ki niso podrejene izključenim obveznostim;</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neporabljeni zneski iz naslova splošnega predhodnega dovoljenja v obsegu, v katerem dovoljenje zajema instrumente </w:t>
            </w:r>
            <w:r>
              <w:rPr>
                <w:rStyle w:val="FormatvorlageInstructionsTabelleText"/>
                <w:rFonts w:ascii="Times New Roman" w:hAnsi="Times New Roman"/>
                <w:sz w:val="24"/>
                <w:u w:val="single"/>
              </w:rPr>
              <w:t>kvalificiranih</w:t>
            </w:r>
            <w:r>
              <w:rPr>
                <w:rStyle w:val="FormatvorlageInstructionsTabelleText"/>
                <w:rFonts w:ascii="Times New Roman" w:hAnsi="Times New Roman"/>
                <w:sz w:val="24"/>
              </w:rPr>
              <w:t xml:space="preserve"> obveznosti, ki niso podrejene izključenim obveznostim.</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Kadar splošno predhodno dovoljenje iz točke (ii) ne določa uvrstitve instrumentov, ki se lahko odpokličejo, odkupijo, odplačajo ali izplačajo, se celotni neporabljeni znesek iz naslova splošnega predhodnega dovoljenja poroča v vrstici 0135 in ne v tej vrstici.</w:t>
            </w:r>
          </w:p>
        </w:tc>
      </w:tr>
      <w:tr w:rsidR="00FB08AF" w:rsidRPr="00FB08AF" w14:paraId="11F3B154" w14:textId="77777777" w:rsidTr="007674DE">
        <w:tc>
          <w:tcPr>
            <w:tcW w:w="1129" w:type="dxa"/>
            <w:vAlign w:val="center"/>
          </w:tcPr>
          <w:p w14:paraId="0A3863D3" w14:textId="12D058F9" w:rsidR="00EA28E5" w:rsidRPr="00FB08AF" w:rsidRDefault="00EA28E5" w:rsidP="009D79B2">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Zneski, ki se kvalificirajo po uporabi zgornje meje iz člena 72b(3) Uredbe (EU) št. 575/2013 (za katere se ne uporabljajo predhodno veljavna pravila)</w:t>
            </w:r>
          </w:p>
          <w:p w14:paraId="13F2D135" w14:textId="77777777" w:rsidR="00FC063F" w:rsidRPr="00FB08AF" w:rsidRDefault="00F36F9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zahteve iz členov 72a do 72d Uredbe (EU) št. 575/2013, razen člena 72b(2), točka (d), navedene uredbe, po uporabi člena 72b(3) do (5) navedene uredbe, pri čemer se izključijo obveznosti, pripoznane na podlagi uporabe predhodno veljavnih pravil v skladu s členom 494b(3) navedene uredbe.</w:t>
            </w:r>
          </w:p>
          <w:p w14:paraId="305A441C" w14:textId="5D103CC3" w:rsidR="00E45961" w:rsidRPr="00FB08AF" w:rsidRDefault="00D301E1" w:rsidP="009D79B2">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Če se uporablja člen 72b(3) </w:t>
            </w:r>
            <w:r>
              <w:t>Uredbe (EU) št. 575/2013</w:t>
            </w:r>
            <w:r>
              <w:rPr>
                <w:rStyle w:val="FormatvorlageInstructionsTabelleText"/>
                <w:rFonts w:ascii="Times New Roman" w:hAnsi="Times New Roman"/>
                <w:sz w:val="24"/>
              </w:rPr>
              <w:t xml:space="preserve"> in do 31. decembra 2021, je znesek, ki se poroča v tej vrstici, znesek po uporabi člena 494(2) navedene uredbe (zgornja meja v višini 2,5 %).</w:t>
            </w:r>
          </w:p>
        </w:tc>
      </w:tr>
      <w:tr w:rsidR="00FB08AF" w:rsidRPr="00FB08AF" w14:paraId="4BB935B5" w14:textId="77777777" w:rsidTr="007674DE">
        <w:tc>
          <w:tcPr>
            <w:tcW w:w="1129" w:type="dxa"/>
            <w:vAlign w:val="center"/>
          </w:tcPr>
          <w:p w14:paraId="61DA2F84" w14:textId="4BFF468A" w:rsidR="00EA28E5" w:rsidRPr="00FB08AF" w:rsidRDefault="00EA28E5" w:rsidP="009D79B2">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Zneski, ki se kvalificirajo po uporabi zgornje meje iz člena 72b(3) Uredbe (EU) št. 575/2013, sestavljeni iz postavk, ki so bile izdane pred 27. junijem 2019 </w:t>
            </w:r>
          </w:p>
          <w:p w14:paraId="53A05F4F" w14:textId="77777777" w:rsidR="00FC063F" w:rsidRPr="00FB08AF" w:rsidRDefault="000B1772"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naslednje pogoje:</w:t>
            </w:r>
          </w:p>
          <w:p w14:paraId="3AE4F260" w14:textId="31F4952D" w:rsidR="000B1772" w:rsidRPr="00FB08AF" w:rsidRDefault="00D301E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izdane so bile pred 27. junijem 2019;</w:t>
            </w:r>
          </w:p>
          <w:p w14:paraId="59FE9F26" w14:textId="4E7CB3E4" w:rsidR="000B1772" w:rsidRPr="00FB08AF" w:rsidRDefault="00D301E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izpolnjujejo zahteve iz členov 72a do 72d Uredbe (EU) št. 575/2013, razen člena 72b(2), točka (d), navedene uredbe, po uporabi člena 72b(3) do (5) navedene uredbe;</w:t>
            </w:r>
          </w:p>
          <w:p w14:paraId="114EE1F8" w14:textId="260F9651" w:rsidR="000B1772" w:rsidRPr="00FB08AF" w:rsidRDefault="00D301E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štejejo se lahko za kvalificirane obveznosti zaradi uporabe predhodno veljavnih pravil v skladu s členom 494b(3) </w:t>
            </w:r>
            <w:r>
              <w:t>Uredbe (EU) št. 575/2013</w:t>
            </w:r>
            <w:r>
              <w:rPr>
                <w:rStyle w:val="FormatvorlageInstructionsTabelleText"/>
                <w:rFonts w:ascii="Times New Roman" w:hAnsi="Times New Roman"/>
                <w:sz w:val="24"/>
              </w:rPr>
              <w:t>.</w:t>
            </w:r>
          </w:p>
          <w:p w14:paraId="0A5DCE1F" w14:textId="40193B08" w:rsidR="00E45961" w:rsidRPr="00FB08AF" w:rsidRDefault="00D301E1"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Če se uporablja člen 72b(3) </w:t>
            </w:r>
            <w:r>
              <w:t>Uredbe (EU) št. 575/2013</w:t>
            </w:r>
            <w:r>
              <w:rPr>
                <w:rStyle w:val="FormatvorlageInstructionsTabelleText"/>
                <w:rFonts w:ascii="Times New Roman" w:hAnsi="Times New Roman"/>
                <w:sz w:val="24"/>
              </w:rPr>
              <w:t xml:space="preserve"> in do 31. decembra 2021, je znesek, ki se poroča v tej vrstici, znesek po uporabi člena 494(2) navedene uredbe (zgornja meja v višini 2,5 %).</w:t>
            </w:r>
          </w:p>
        </w:tc>
      </w:tr>
      <w:tr w:rsidR="00FB08AF" w:rsidRPr="00FB08AF" w14:paraId="692AEFC6" w14:textId="77777777" w:rsidTr="007674DE">
        <w:tc>
          <w:tcPr>
            <w:tcW w:w="1129" w:type="dxa"/>
            <w:vAlign w:val="center"/>
          </w:tcPr>
          <w:p w14:paraId="3D783C0C" w14:textId="6DDA4312" w:rsidR="00A63011" w:rsidRPr="00FB08AF" w:rsidRDefault="00A63011" w:rsidP="009D79B2">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Odbitki</w:t>
            </w:r>
          </w:p>
        </w:tc>
      </w:tr>
      <w:tr w:rsidR="00FB08AF" w:rsidRPr="00FB08AF" w14:paraId="5F32D0E3" w14:textId="77777777" w:rsidTr="007674DE">
        <w:tc>
          <w:tcPr>
            <w:tcW w:w="1129" w:type="dxa"/>
            <w:vAlign w:val="center"/>
          </w:tcPr>
          <w:p w14:paraId="3E47080A" w14:textId="2297CCF2" w:rsidR="00A63011" w:rsidRPr="00FB08AF" w:rsidRDefault="00A63011" w:rsidP="009D79B2">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Izpostavljenosti med skupinami v postopku reševanja z več vstopnimi točkami </w:t>
            </w:r>
          </w:p>
          <w:p w14:paraId="750816D8" w14:textId="45220EA8" w:rsidR="0052529D" w:rsidRPr="00FB08AF" w:rsidRDefault="00FC063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Ta vrstica odraža odbitke izpostavljenosti med skupinami GSPI v postopku reševanja z več vstopnimi točkami, ki ustrezajo neposrednim, posrednim in sintetičnim deležem v kapitalskih instrumentih ali instrumentih kvalificiranih obveznosti ene ali več podrejenih družb, ki ne spadajo v isto skupino v postopku reševanja kot subjekt v postopku reševanja, v skladu s členom 72e(4) Uredbe (EU) št. 575/2013.</w:t>
            </w:r>
          </w:p>
        </w:tc>
      </w:tr>
      <w:tr w:rsidR="00FB08AF" w:rsidRPr="00FB08AF" w14:paraId="5835F98E" w14:textId="77777777" w:rsidTr="007674DE">
        <w:tc>
          <w:tcPr>
            <w:tcW w:w="1129" w:type="dxa"/>
            <w:vAlign w:val="center"/>
          </w:tcPr>
          <w:p w14:paraId="32F5C825" w14:textId="3263F67C" w:rsidR="00A63011" w:rsidRPr="00FB08AF" w:rsidRDefault="00327CA4" w:rsidP="009D79B2">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Naložbe v druge instrumente kvalificiranih obveznosti</w:t>
            </w:r>
          </w:p>
          <w:p w14:paraId="6D6E0AE5" w14:textId="7C627841" w:rsidR="00FC063F" w:rsidRPr="00FB08AF" w:rsidRDefault="00FC063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Subjekti poročajo odbitek naložb v druge instrumente kvalificiranih obveznosti, kot je navedeno v členu 72e(1), točke (b), (c) in (d), členu 72e(2) in (3) ter členih 72g do 72j </w:t>
            </w:r>
            <w:r>
              <w:t>Uredbe (EU) št. 575/2013</w:t>
            </w:r>
            <w:r>
              <w:rPr>
                <w:rStyle w:val="FormatvorlageInstructionsTabelleText"/>
                <w:rFonts w:ascii="Times New Roman" w:hAnsi="Times New Roman"/>
                <w:sz w:val="24"/>
              </w:rPr>
              <w:t>, pri čemer se znesek, ki se odbije od postavk kvalificiranih obveznosti, določi v skladu z delom 2, naslov I, poglavje 5a, oddelek 2, navedene uredbe.</w:t>
            </w:r>
          </w:p>
        </w:tc>
      </w:tr>
      <w:tr w:rsidR="00FB08AF" w:rsidRPr="00FB08AF" w14:paraId="1E39D578" w14:textId="77777777" w:rsidTr="007674DE">
        <w:tc>
          <w:tcPr>
            <w:tcW w:w="1129" w:type="dxa"/>
            <w:vAlign w:val="center"/>
          </w:tcPr>
          <w:p w14:paraId="33758206" w14:textId="3E9120C1" w:rsidR="00A63011" w:rsidRPr="00FB08AF" w:rsidRDefault="00327CA4" w:rsidP="009D79B2">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Presežek odbitkov od kvalificiranih obveznosti nad kvalificiranimi obveznostmi</w:t>
            </w:r>
          </w:p>
          <w:p w14:paraId="7BA038D3" w14:textId="50DBC754" w:rsidR="00913681" w:rsidRPr="00FB08AF" w:rsidRDefault="00EA28E5"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ne morejo biti negativne, vendar je možno, da znesek odbitkov od postavk kvalificiranih obveznosti presega znesek postavk kvalificiranih obveznosti. Kadar pride do tega, mora biti znesek kvalificiranih obveznosti enak nič, presežek odbitkov pa se odbije od dodatnega kapitala v skladu s členom 66, točka (e),</w:t>
            </w:r>
            <w:r>
              <w:t xml:space="preserve"> Uredbe (EU) št. 575/2013</w:t>
            </w:r>
            <w:r>
              <w:rPr>
                <w:rStyle w:val="FormatvorlageInstructionsTabelleText"/>
                <w:rFonts w:ascii="Times New Roman" w:hAnsi="Times New Roman"/>
                <w:sz w:val="24"/>
              </w:rPr>
              <w:t>.</w:t>
            </w:r>
          </w:p>
          <w:p w14:paraId="3E09EF9B" w14:textId="2F11A2BE" w:rsidR="00A63011" w:rsidRPr="00FB08AF" w:rsidRDefault="00913681"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Pri tej postavki se doseže, da znesek kvalificiranih obveznosti, ki se poroča v vrstici 0060, nikoli ni manjši od nič.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0400–0500</w:t>
            </w:r>
          </w:p>
        </w:tc>
        <w:tc>
          <w:tcPr>
            <w:tcW w:w="7620" w:type="dxa"/>
            <w:vAlign w:val="center"/>
          </w:tcPr>
          <w:p w14:paraId="7038FF40"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Pojasnjevalne postavke</w:t>
            </w:r>
          </w:p>
        </w:tc>
      </w:tr>
      <w:tr w:rsidR="00FB08AF" w:rsidRPr="00FB08AF" w:rsidDel="000A3889" w14:paraId="1F7040BA" w14:textId="77777777" w:rsidTr="007674DE">
        <w:tc>
          <w:tcPr>
            <w:tcW w:w="1129" w:type="dxa"/>
            <w:vAlign w:val="center"/>
          </w:tcPr>
          <w:p w14:paraId="335E3648" w14:textId="0E055C41" w:rsidR="004B26E4" w:rsidRPr="00FB08AF" w:rsidRDefault="004B26E4" w:rsidP="009D79B2">
            <w:pPr>
              <w:pStyle w:val="InstructionsText"/>
            </w:pPr>
            <w:r>
              <w:rPr>
                <w:rStyle w:val="FormatvorlageInstructionsTabelleText"/>
                <w:rFonts w:ascii="Times New Roman" w:hAnsi="Times New Roman"/>
                <w:sz w:val="24"/>
              </w:rPr>
              <w:lastRenderedPageBreak/>
              <w:t>0400</w:t>
            </w:r>
          </w:p>
        </w:tc>
        <w:tc>
          <w:tcPr>
            <w:tcW w:w="7620" w:type="dxa"/>
            <w:vAlign w:val="center"/>
          </w:tcPr>
          <w:p w14:paraId="0120BDD9"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Razpoložljivi navadni lastniški temeljni kapital (%) po izpolnitvi zahtev za subjekt </w:t>
            </w:r>
          </w:p>
          <w:p w14:paraId="536CE450" w14:textId="1A7AB164"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Znesek navadnega lastniškega temeljnega kapitala, enak nič ali pozitiven, ki je na voljo po izpolnitvi vsake od zahtev iz člena 141a(1), točke (a), (b) in (c), Direktive 2013/36/EU</w:t>
            </w:r>
            <w:r w:rsidR="006876BA" w:rsidRPr="00FB08AF">
              <w:rPr>
                <w:rStyle w:val="FootnoteReference"/>
              </w:rPr>
              <w:footnoteReference w:id="3"/>
            </w:r>
            <w:r>
              <w:rPr>
                <w:rStyle w:val="FormatvorlageInstructionsTabelleText"/>
                <w:rFonts w:ascii="Times New Roman" w:hAnsi="Times New Roman"/>
                <w:sz w:val="24"/>
              </w:rPr>
              <w:t xml:space="preserve"> in je višji izmed naslednjega:</w:t>
            </w:r>
          </w:p>
          <w:p w14:paraId="1016D212" w14:textId="01D3D2DE"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kjer je relevantno, zahteve glede kapitala in kvalificiranih obveznosti za GSPI iz člena 92a</w:t>
            </w:r>
            <w:r>
              <w:t xml:space="preserve"> Uredbe (EU) št. 575/2013 </w:t>
            </w:r>
            <w:r>
              <w:rPr>
                <w:rStyle w:val="FormatvorlageInstructionsTabelleText"/>
                <w:rFonts w:ascii="Times New Roman" w:hAnsi="Times New Roman"/>
                <w:sz w:val="24"/>
              </w:rPr>
              <w:t xml:space="preserve">(zahteva TLAC), kadar se izračuna v skladu z odstavkom 1, točka (a), navedenega člena; </w:t>
            </w:r>
          </w:p>
          <w:p w14:paraId="78E1074D" w14:textId="364D5169"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minimalne zahteve glede kapitala in kvalificiranih obveznosti v skladu s členom 45 </w:t>
            </w:r>
            <w:r>
              <w:t>Direktive 2014/59/EU</w:t>
            </w:r>
            <w:r>
              <w:rPr>
                <w:rStyle w:val="FormatvorlageInstructionsTabelleText"/>
                <w:rFonts w:ascii="Times New Roman" w:hAnsi="Times New Roman"/>
                <w:sz w:val="24"/>
              </w:rPr>
              <w:t>, kadar se izračuna v skladu s členom 45(2), točka (a), navedene direktive.</w:t>
            </w:r>
          </w:p>
          <w:p w14:paraId="4922B454" w14:textId="09574DDE"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Razpoložljivi navadni lastniški temeljni kapital se izrazi kot odstotek zneska skupne izpostavljenosti tveganju, kot se poroča v vrstici 0100 predloge M 01.00.</w:t>
            </w:r>
          </w:p>
          <w:p w14:paraId="584E56EB" w14:textId="63B909F8" w:rsidR="004B26E4" w:rsidRPr="00FB08AF" w:rsidRDefault="004B26E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Vrednost, ki se poroča, je enaka tako v stolpcu MREL kot TLAC.</w:t>
            </w:r>
          </w:p>
          <w:p w14:paraId="4055321C" w14:textId="584B90B2" w:rsidR="005D755D" w:rsidRPr="00FB08AF" w:rsidRDefault="004B26E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Pri njej se upošteva učinek prehodnih določb na kapital in kvalificirane obveznosti, na znesek skupne izpostavljenosti tveganju in na same zahteve. Smernica glede dodatnega kapitala iz člena 104b Direktive 2013/36/EU in zahteva po skupnem blažilniku iz člena 128, prvi pododstavek, točka 6, navedene direktive se ne upoštevata.</w:t>
            </w:r>
          </w:p>
        </w:tc>
      </w:tr>
      <w:tr w:rsidR="00FB08AF" w:rsidRPr="00FB08AF" w:rsidDel="000A3889" w14:paraId="4009374D" w14:textId="77777777" w:rsidTr="007674DE">
        <w:tc>
          <w:tcPr>
            <w:tcW w:w="1129" w:type="dxa"/>
            <w:vAlign w:val="center"/>
          </w:tcPr>
          <w:p w14:paraId="45843D1F" w14:textId="0AF81A10" w:rsidR="004B26E4" w:rsidRPr="00FB08AF" w:rsidRDefault="004B26E4" w:rsidP="009D79B2">
            <w:pPr>
              <w:pStyle w:val="InstructionsText"/>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Zahteva po skupnem blažilniku (%)</w:t>
            </w:r>
          </w:p>
          <w:p w14:paraId="287F6D1A" w14:textId="65FAE7E2"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128</w:t>
            </w:r>
            <w:r>
              <w:rPr>
                <w:rStyle w:val="InstructionsTabelleberschrift"/>
                <w:rFonts w:ascii="Times New Roman" w:hAnsi="Times New Roman"/>
                <w:b w:val="0"/>
                <w:sz w:val="24"/>
                <w:u w:val="none"/>
              </w:rPr>
              <w:t>, prvi pododstavek, točka 6,</w:t>
            </w:r>
            <w:r>
              <w:rPr>
                <w:rStyle w:val="FormatvorlageInstructionsTabelleText"/>
                <w:rFonts w:ascii="Times New Roman" w:hAnsi="Times New Roman"/>
                <w:sz w:val="24"/>
              </w:rPr>
              <w:t xml:space="preserve"> </w:t>
            </w:r>
            <w:r>
              <w:t xml:space="preserve">Direktive 2013/36/EU </w:t>
            </w:r>
          </w:p>
          <w:p w14:paraId="7D299A16" w14:textId="40FF678D" w:rsidR="004B26E4" w:rsidRPr="00FB08AF" w:rsidRDefault="004B26E4"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Zahteva po skupnem blažilniku se izrazi kot odstotek </w:t>
            </w:r>
            <w:r>
              <w:rPr>
                <w:rStyle w:val="InstructionsTabelleberschrift"/>
                <w:rFonts w:ascii="Times New Roman" w:hAnsi="Times New Roman"/>
                <w:b w:val="0"/>
                <w:sz w:val="24"/>
                <w:u w:val="none"/>
              </w:rPr>
              <w:t>zneska skupne izpostavljenosti tveganju</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varovalnega kapitalskega blažilnika </w:t>
            </w:r>
          </w:p>
          <w:p w14:paraId="4EFA0A18" w14:textId="5AE605AD" w:rsidR="004B26E4" w:rsidRPr="00FB08AF" w:rsidRDefault="004B26E4" w:rsidP="009D79B2">
            <w:pPr>
              <w:pStyle w:val="InstructionsText"/>
              <w:rPr>
                <w:rStyle w:val="InstructionsTabelleberschrift"/>
                <w:rFonts w:ascii="Times New Roman" w:hAnsi="Times New Roman"/>
                <w:sz w:val="24"/>
              </w:rPr>
            </w:pPr>
            <w:r>
              <w:t xml:space="preserve">Znesek skupnega blažilnika za institucijo (izražen kot odstotek </w:t>
            </w:r>
            <w:r>
              <w:rPr>
                <w:rStyle w:val="FormatvorlageInstructionsTabelleText"/>
                <w:rFonts w:ascii="Times New Roman" w:hAnsi="Times New Roman"/>
                <w:sz w:val="24"/>
              </w:rPr>
              <w:t>zneska skupne</w:t>
            </w:r>
            <w:r>
              <w:rPr>
                <w:rStyle w:val="InstructionsTabelleberschrift"/>
                <w:rFonts w:ascii="Times New Roman" w:hAnsi="Times New Roman"/>
                <w:b w:val="0"/>
                <w:sz w:val="24"/>
                <w:u w:val="none"/>
              </w:rPr>
              <w:t xml:space="preserve"> izpostavljenosti tveganju</w:t>
            </w:r>
            <w:r>
              <w:t>), ki se nanaša na zahtevo glede varovalnega kapitalskega blažilnika.</w:t>
            </w:r>
          </w:p>
        </w:tc>
      </w:tr>
      <w:tr w:rsidR="00FB08AF" w:rsidRPr="00FB08AF" w:rsidDel="000A3889" w14:paraId="39E2CDFC" w14:textId="77777777" w:rsidTr="00C15B90">
        <w:tc>
          <w:tcPr>
            <w:tcW w:w="1129" w:type="dxa"/>
            <w:vAlign w:val="center"/>
          </w:tcPr>
          <w:p w14:paraId="2C44CA49" w14:textId="2C472C8B"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proticikličnega blažilnika </w:t>
            </w:r>
          </w:p>
          <w:p w14:paraId="66111F18" w14:textId="6AC08DF1" w:rsidR="004B26E4" w:rsidRPr="00FB08AF" w:rsidRDefault="004B26E4" w:rsidP="009D79B2">
            <w:pPr>
              <w:pStyle w:val="InstructionsText"/>
              <w:rPr>
                <w:rStyle w:val="InstructionsTabelleberschrift"/>
                <w:rFonts w:ascii="Times New Roman" w:hAnsi="Times New Roman"/>
                <w:sz w:val="24"/>
              </w:rPr>
            </w:pPr>
            <w:r>
              <w:t xml:space="preserve">Znesek skupnega blažilnika za institucijo (izražen kot odstotek </w:t>
            </w:r>
            <w:r>
              <w:rPr>
                <w:rStyle w:val="FormatvorlageInstructionsTabelleText"/>
                <w:rFonts w:ascii="Times New Roman" w:hAnsi="Times New Roman"/>
                <w:sz w:val="24"/>
              </w:rPr>
              <w:t>zneska skupne</w:t>
            </w:r>
            <w:r>
              <w:rPr>
                <w:rStyle w:val="InstructionsTabelleberschrift"/>
                <w:rFonts w:ascii="Times New Roman" w:hAnsi="Times New Roman"/>
                <w:b w:val="0"/>
                <w:sz w:val="24"/>
                <w:u w:val="none"/>
              </w:rPr>
              <w:t xml:space="preserve"> izpostavljenosti tveganju</w:t>
            </w:r>
            <w:r>
              <w:t>), ki se nanaša na zahtevo glede proticikličnega blažilnika.</w:t>
            </w:r>
          </w:p>
        </w:tc>
      </w:tr>
      <w:tr w:rsidR="00FB08AF" w:rsidRPr="00FB08AF" w:rsidDel="000A3889" w14:paraId="59FE41E4" w14:textId="77777777" w:rsidTr="00C15B90">
        <w:tc>
          <w:tcPr>
            <w:tcW w:w="1129" w:type="dxa"/>
            <w:vAlign w:val="center"/>
          </w:tcPr>
          <w:p w14:paraId="217DA17F" w14:textId="3479E338"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blažilnika sistemskih tveganj </w:t>
            </w:r>
          </w:p>
          <w:p w14:paraId="6BA953BC" w14:textId="3A467DC0" w:rsidR="004B26E4" w:rsidRPr="00FB08AF" w:rsidRDefault="004B26E4" w:rsidP="009D79B2">
            <w:pPr>
              <w:pStyle w:val="InstructionsText"/>
              <w:rPr>
                <w:rStyle w:val="InstructionsTabelleberschrift"/>
                <w:rFonts w:ascii="Times New Roman" w:hAnsi="Times New Roman"/>
                <w:b w:val="0"/>
                <w:sz w:val="24"/>
              </w:rPr>
            </w:pPr>
            <w:r>
              <w:t xml:space="preserve">Znesek skupnega blažilnika za institucijo (izražen kot odstotek </w:t>
            </w:r>
            <w:r>
              <w:rPr>
                <w:rStyle w:val="FormatvorlageInstructionsTabelleText"/>
                <w:rFonts w:ascii="Times New Roman" w:hAnsi="Times New Roman"/>
                <w:sz w:val="24"/>
              </w:rPr>
              <w:t>zneska skupne</w:t>
            </w:r>
            <w:r>
              <w:rPr>
                <w:rStyle w:val="InstructionsTabelleberschrift"/>
                <w:rFonts w:ascii="Times New Roman" w:hAnsi="Times New Roman"/>
                <w:b w:val="0"/>
                <w:sz w:val="24"/>
                <w:u w:val="none"/>
              </w:rPr>
              <w:t xml:space="preserve"> izpostavljenosti tveganju</w:t>
            </w:r>
            <w:r>
              <w:t>), ki se nanaša na zahtevo glede blažilnika sistemskih tveganj.</w:t>
            </w:r>
          </w:p>
        </w:tc>
      </w:tr>
      <w:tr w:rsidR="00FB08AF" w:rsidRPr="00FB08AF" w:rsidDel="000A3889" w14:paraId="3DCE6243" w14:textId="77777777" w:rsidTr="00C15B90">
        <w:tc>
          <w:tcPr>
            <w:tcW w:w="1129" w:type="dxa"/>
            <w:vAlign w:val="center"/>
          </w:tcPr>
          <w:p w14:paraId="5A22262F" w14:textId="5C0B7ADC"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blažilnik za globalne sistemsko pomembne institucije (GSPI) ali druge sistemsko pomembne institucije (DSPI)</w:t>
            </w:r>
          </w:p>
          <w:p w14:paraId="6B1FCB7D" w14:textId="7282D718" w:rsidR="004B26E4" w:rsidRPr="00FB08AF" w:rsidRDefault="004B26E4" w:rsidP="009D79B2">
            <w:pPr>
              <w:pStyle w:val="InstructionsText"/>
              <w:rPr>
                <w:rStyle w:val="InstructionsTabelleberschrift"/>
                <w:rFonts w:ascii="Times New Roman" w:hAnsi="Times New Roman"/>
                <w:b w:val="0"/>
                <w:sz w:val="24"/>
              </w:rPr>
            </w:pPr>
            <w:r>
              <w:lastRenderedPageBreak/>
              <w:t>Znesek skupnega blažilnika za institucijo (izražen kot odstotek zneska skupne izpostavljenosti tveganju), ki se nanaša na zahtevo glede blažilnika za GSPI ali DSPI.</w:t>
            </w:r>
          </w:p>
        </w:tc>
      </w:tr>
      <w:tr w:rsidR="00FB08AF" w:rsidRPr="00FB08AF" w:rsidDel="000A3889" w14:paraId="30EDA47C" w14:textId="77777777" w:rsidTr="005F608F">
        <w:tc>
          <w:tcPr>
            <w:tcW w:w="1129" w:type="dxa"/>
            <w:vAlign w:val="center"/>
          </w:tcPr>
          <w:p w14:paraId="7D952F17" w14:textId="19B8B068"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0460</w:t>
            </w:r>
          </w:p>
        </w:tc>
        <w:tc>
          <w:tcPr>
            <w:tcW w:w="7620" w:type="dxa"/>
          </w:tcPr>
          <w:p w14:paraId="253143B2"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Naložbe v podrejene kvalificirane obveznosti drugih institucij</w:t>
            </w:r>
          </w:p>
          <w:p w14:paraId="5F3C8CAD" w14:textId="17332BCC" w:rsidR="004B26E4" w:rsidRPr="00FB08AF" w:rsidRDefault="004B26E4" w:rsidP="009D79B2">
            <w:pPr>
              <w:pStyle w:val="InstructionsText"/>
            </w:pPr>
            <w:r>
              <w:t>Pozicije, ki se poročajo v tej vrstici in vrsticah 0470 do 0490, se določijo ob upoštevanju načel iz člena 72h Uredbe (EU) št. 575/2013 (neto dolge pozicije, pristop vpogleda).</w:t>
            </w:r>
          </w:p>
        </w:tc>
      </w:tr>
      <w:tr w:rsidR="00FB08AF" w:rsidRPr="00FB08AF" w:rsidDel="000A3889" w14:paraId="429E36A7" w14:textId="77777777" w:rsidTr="005F608F">
        <w:tc>
          <w:tcPr>
            <w:tcW w:w="1129" w:type="dxa"/>
            <w:vAlign w:val="center"/>
          </w:tcPr>
          <w:p w14:paraId="05FC840F" w14:textId="60FA98C2"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Naložbe v podrejene kvalificirane obveznosti GSPI</w:t>
            </w:r>
          </w:p>
          <w:p w14:paraId="4362DBFC" w14:textId="36173A4D" w:rsidR="004B26E4" w:rsidRPr="00FB08AF" w:rsidRDefault="004B26E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Znesek deležev v instrumentih kvalificiranih obveznosti iz člena 72b(2) Uredbe (EU) št. 575/2013, ki jih izdajo GSPI, pri čemer se izključijo instrumenti v skladu s členom 72b(3) do (5) navedene uredbe.</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Naložbe v podrejene kvalificirane obveznosti DSPI</w:t>
            </w:r>
          </w:p>
          <w:p w14:paraId="7CD464ED" w14:textId="141E401F" w:rsidR="004B26E4" w:rsidRPr="00FB08AF" w:rsidRDefault="004B26E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deležev v instrumentih kvalificiranih obveznosti iz člena 72b(2) </w:t>
            </w:r>
            <w:r>
              <w:t>Uredbe (EU) št. 575/2013</w:t>
            </w:r>
            <w:r>
              <w:rPr>
                <w:rStyle w:val="InstructionsTabelleberschrift"/>
                <w:rFonts w:ascii="Times New Roman" w:hAnsi="Times New Roman"/>
                <w:b w:val="0"/>
                <w:sz w:val="24"/>
                <w:u w:val="none"/>
              </w:rPr>
              <w:t>, ki jih izdajo DSPI.</w:t>
            </w:r>
          </w:p>
          <w:p w14:paraId="38FA530C" w14:textId="678EB475"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Naložbe v podrejene kvalificirane obveznosti DSPI, ki so hkrati GSPI, se ne poročajo v tej vrstici, ampak izključno v vrstici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Naložbe v podrejene kvalificirane obveznosti drugih institucij</w:t>
            </w:r>
          </w:p>
          <w:p w14:paraId="2E60AD38" w14:textId="475CCA51" w:rsidR="004B26E4" w:rsidRPr="00FB08AF" w:rsidRDefault="004B26E4"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deležev v instrumentih kvalificiranih obveznosti iz člena 72b(2) </w:t>
            </w:r>
            <w:r>
              <w:t>Uredbe (EU) št. 575/2013</w:t>
            </w:r>
            <w:r>
              <w:rPr>
                <w:rStyle w:val="InstructionsTabelleberschrift"/>
                <w:rFonts w:ascii="Times New Roman" w:hAnsi="Times New Roman"/>
                <w:b w:val="0"/>
                <w:sz w:val="24"/>
                <w:u w:val="none"/>
              </w:rPr>
              <w:t>, ki jih izdajo institucije, ki niso niti GSPI niti DSPI.</w:t>
            </w:r>
          </w:p>
        </w:tc>
      </w:tr>
      <w:tr w:rsidR="00FB08AF" w:rsidRPr="00FB08AF" w:rsidDel="000A3889" w14:paraId="64D619AB" w14:textId="77777777" w:rsidTr="005F608F">
        <w:tc>
          <w:tcPr>
            <w:tcW w:w="1129" w:type="dxa"/>
            <w:vAlign w:val="center"/>
          </w:tcPr>
          <w:p w14:paraId="6ACE68D1" w14:textId="6650FAE0" w:rsidR="004B26E4" w:rsidRPr="00FB08AF" w:rsidRDefault="004B26E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Izključene obveznosti</w:t>
            </w:r>
          </w:p>
          <w:p w14:paraId="0B9817CF" w14:textId="78CE829E" w:rsidR="004B26E4" w:rsidRPr="00FB08AF" w:rsidRDefault="004B26E4"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Člen 72a(2)</w:t>
            </w:r>
            <w:r>
              <w:t xml:space="preserve"> Uredbe (EU) št.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Priložnostna dovoljenja za postavke kvalificiranih obveznosti: vnaprej določen znesek</w:t>
            </w:r>
          </w:p>
          <w:p w14:paraId="677D3A8B" w14:textId="376DEED4" w:rsidR="00D62E86" w:rsidRPr="00FB08AF" w:rsidRDefault="000713BD"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 tej vrstici se poročajo zneski, ki jih zajema predhodno, priložnostno dovoljenje za odpoklic, odkup, odplačilo ali izplačilo specifičnih instrumentov kvalificiranih obveznosti v skladu s členom 78a(1), prvi pododstavek, Uredbe (EU) št. 575/2013, v povezavi s členom 32b(2) Delegirane uredbe Komisije (EU) št. 241/2014. Vključuje tako porabljene kot neporabljene zneske.</w:t>
            </w:r>
          </w:p>
        </w:tc>
      </w:tr>
      <w:tr w:rsidR="00FB08AF" w:rsidRPr="00FB08AF" w:rsidDel="000A3889" w14:paraId="20D6D7BB" w14:textId="77777777" w:rsidTr="005F608F">
        <w:tc>
          <w:tcPr>
            <w:tcW w:w="1129" w:type="dxa"/>
            <w:vAlign w:val="center"/>
          </w:tcPr>
          <w:p w14:paraId="31555333" w14:textId="29A04155" w:rsidR="006C3B88" w:rsidRPr="00FB08AF" w:rsidRDefault="000713B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Splošna predhodna dovoljenja za postavke kvalificiranih obveznosti: vnaprej določen znesek</w:t>
            </w:r>
          </w:p>
          <w:p w14:paraId="31659376" w14:textId="0F700AE4" w:rsidR="007371FE" w:rsidRPr="00FB08AF" w:rsidRDefault="000713BD"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V tej vrstici se poročajo zneski, ki jih zajema splošno predhodno dovoljenje za odpoklic, odkup, odplačilo ali izplačilo instrumentov kvalificiranih obveznosti v skladu s členom 78a(1), drugi pododstavek, Uredbe (EU) št. 575/2013, v povezavi s členom 32b(3) in (5) Delegirane uredbe Komisije (EU) št. 241/2014. Vključuje tako porabljene kot neporabljene zneske.</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lastRenderedPageBreak/>
        <w:t>M 03.00 – Notranja MREL in notranja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Splošne opombe</w:t>
      </w:r>
      <w:bookmarkEnd w:id="46"/>
      <w:bookmarkEnd w:id="47"/>
      <w:bookmarkEnd w:id="48"/>
    </w:p>
    <w:p w14:paraId="1C147C02" w14:textId="6DCE8FA1" w:rsidR="00B94302" w:rsidRPr="00FB08AF" w:rsidRDefault="000466F4" w:rsidP="009D79B2">
      <w:pPr>
        <w:pStyle w:val="InstructionsText2"/>
      </w:pPr>
      <w:r>
        <w:t xml:space="preserve">V predlogi M 03.00 so prikazani kapital in kvalificirane obveznosti za namene </w:t>
      </w:r>
    </w:p>
    <w:p w14:paraId="12678ACA" w14:textId="5474E36B" w:rsidR="00B94302" w:rsidRPr="00FB08AF" w:rsidRDefault="00B94302" w:rsidP="009D79B2">
      <w:pPr>
        <w:pStyle w:val="InstructionsText2"/>
        <w:numPr>
          <w:ilvl w:val="1"/>
          <w:numId w:val="15"/>
        </w:numPr>
      </w:pPr>
      <w:r>
        <w:t xml:space="preserve">zahteve glede kapitala in kvalificiranih obveznosti subjektov, ki sami niso subjekti v postopku reševanja v skladu s členom 45f Direktive 2014/59/EU (notranja MREL); in </w:t>
      </w:r>
    </w:p>
    <w:p w14:paraId="39FE2B42" w14:textId="23457429" w:rsidR="000466F4" w:rsidRPr="00FB08AF" w:rsidRDefault="00B94302" w:rsidP="009D79B2">
      <w:pPr>
        <w:pStyle w:val="InstructionsText2"/>
        <w:numPr>
          <w:ilvl w:val="1"/>
          <w:numId w:val="15"/>
        </w:numPr>
      </w:pPr>
      <w:r>
        <w:t>zahteve glede kapitala in kvalificiranih obveznosti za GSPI zunaj EU, ki se uporablja za pomembne podrejene družbe GSPI iz tretjih držav v skladu s členom 92b Uredbe (EU) št. 575/2013 (notranja TLAC).</w:t>
      </w:r>
    </w:p>
    <w:p w14:paraId="30A80998" w14:textId="585E986E" w:rsidR="00095D0D" w:rsidRPr="00FB08AF" w:rsidRDefault="00095D0D" w:rsidP="009D79B2">
      <w:pPr>
        <w:pStyle w:val="InstructionsText2"/>
      </w:pPr>
      <w:r>
        <w:t>Stolpec, ki se nanaša na notranjo MREL, izpolnijo subjekti, za katere velja minimalna zahteva glede kapitala in kvalificiranih obveznosti v skladu s členoma 45 in 45f Direktive 2014/59/EU. Postavke, ki se nanašajo na zahtevo glede kapitala in kvalificiranih obveznosti za GSPI (TLAC), poročajo samo tisti subjekti, ki morajo izpolnjevati zahtevo iz člena 92b Uredbe (EU) št. 575/2013.</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Navodila za posamezne pozicije</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9D79B2">
            <w:pPr>
              <w:pStyle w:val="InstructionsText"/>
            </w:pPr>
            <w:r>
              <w:rPr>
                <w:rStyle w:val="FormatvorlageInstructionsTabelleText"/>
                <w:rFonts w:ascii="Times New Roman" w:hAnsi="Times New Roman"/>
                <w:sz w:val="24"/>
              </w:rPr>
              <w:t>Stolpci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9D79B2">
            <w:pPr>
              <w:pStyle w:val="InstructionsText"/>
            </w:pPr>
            <w:r>
              <w:t>Pravna podlaga in navodila</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9D79B2">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Notranja MREL</w:t>
            </w:r>
          </w:p>
          <w:p w14:paraId="201A3B71" w14:textId="00D90FED" w:rsidR="001B51A1" w:rsidRPr="00FB08AF" w:rsidRDefault="001B51A1" w:rsidP="009D79B2">
            <w:pPr>
              <w:pStyle w:val="InstructionsText"/>
            </w:pPr>
            <w:r>
              <w:rPr>
                <w:rStyle w:val="InstructionsTabelleberschrift"/>
                <w:rFonts w:ascii="Times New Roman" w:hAnsi="Times New Roman"/>
                <w:b w:val="0"/>
                <w:sz w:val="24"/>
                <w:u w:val="none"/>
              </w:rPr>
              <w:t>Člena 45 in 45f</w:t>
            </w:r>
            <w:r>
              <w:t xml:space="preserve"> Direktive 2014/59/EU</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Notranja TLAC</w:t>
            </w:r>
          </w:p>
          <w:p w14:paraId="4CED47A8" w14:textId="3FFFF330" w:rsidR="001B51A1" w:rsidRPr="00FB08AF" w:rsidRDefault="001B51A1"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Člen 92b Uredbe (EU) št.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Vrstica</w:t>
            </w:r>
          </w:p>
        </w:tc>
        <w:tc>
          <w:tcPr>
            <w:tcW w:w="7624" w:type="dxa"/>
            <w:shd w:val="clear" w:color="auto" w:fill="D9D9D9"/>
          </w:tcPr>
          <w:p w14:paraId="32CBB7D3" w14:textId="77777777" w:rsidR="00482729" w:rsidRPr="00FB08AF" w:rsidRDefault="00482729" w:rsidP="009D79B2">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Pravna podlaga in navodila</w:t>
            </w:r>
          </w:p>
        </w:tc>
      </w:tr>
      <w:tr w:rsidR="00FB08AF" w:rsidRPr="00FB08AF" w14:paraId="41AF0D4A" w14:textId="77777777" w:rsidTr="003D419A">
        <w:tc>
          <w:tcPr>
            <w:tcW w:w="1130" w:type="dxa"/>
          </w:tcPr>
          <w:p w14:paraId="1DB3C03E" w14:textId="7AE25700"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Raven uporabe</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Če se za subjekt notranja MREL in, kjer je relevantno, notranja TLAC uporabljata na posamični podlagi, se navede „posamična“.</w:t>
            </w:r>
          </w:p>
          <w:p w14:paraId="3FFF56BB" w14:textId="1F40B525"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Če se za subjekt notranja MREL in, kjer je relevantno, notranja TLAC uporabljata na konsolidirani podlagi, se navede „konsolidirana“.</w:t>
            </w:r>
          </w:p>
        </w:tc>
      </w:tr>
      <w:tr w:rsidR="00FB08AF" w:rsidRPr="00FB08AF" w14:paraId="6A7893EE" w14:textId="77777777" w:rsidTr="003D419A">
        <w:tc>
          <w:tcPr>
            <w:tcW w:w="1130" w:type="dxa"/>
          </w:tcPr>
          <w:p w14:paraId="739DA30D" w14:textId="77777777"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Znesek skupne izpostavljenosti tveganju in mera skupne izpostavljenosti</w:t>
            </w:r>
          </w:p>
        </w:tc>
      </w:tr>
      <w:tr w:rsidR="00FB08AF" w:rsidRPr="00FB08AF" w14:paraId="4DBB3E48" w14:textId="77777777" w:rsidTr="003D419A">
        <w:tc>
          <w:tcPr>
            <w:tcW w:w="1130" w:type="dxa"/>
          </w:tcPr>
          <w:p w14:paraId="2ED0120A" w14:textId="77777777"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Znesek skupne izpostavljenosti tveganju (TREA)</w:t>
            </w:r>
          </w:p>
          <w:p w14:paraId="4199D149" w14:textId="400A985D" w:rsidR="00482729" w:rsidRPr="00FB08AF" w:rsidRDefault="00EB663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45(2), točka (a),</w:t>
            </w:r>
            <w:r>
              <w:t xml:space="preserve"> Direktive 2014/59/EU </w:t>
            </w:r>
            <w:r>
              <w:rPr>
                <w:rStyle w:val="FormatvorlageInstructionsTabelleText"/>
                <w:rFonts w:ascii="Times New Roman" w:hAnsi="Times New Roman"/>
                <w:sz w:val="24"/>
              </w:rPr>
              <w:t>in člen 92(3) Uredbe (EU) št. 575/2013.</w:t>
            </w:r>
          </w:p>
          <w:p w14:paraId="5D2ACB04" w14:textId="718410E8" w:rsidR="00EB663A" w:rsidRPr="00FB08AF" w:rsidRDefault="00EB663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Znesek skupne izpostavljenosti tveganju, ki se poroča v tej vrstici, je znesek skupne izpostavljenosti tveganju, ki je podlaga za izpolnjevanje zahtev iz člena 45 </w:t>
            </w:r>
            <w:r>
              <w:t>Direktive 2014/59/EU</w:t>
            </w:r>
            <w:r>
              <w:rPr>
                <w:rStyle w:val="FormatvorlageInstructionsTabelleText"/>
                <w:rFonts w:ascii="Times New Roman" w:hAnsi="Times New Roman"/>
                <w:sz w:val="24"/>
              </w:rPr>
              <w:t xml:space="preserve"> oziroma člena 92b Uredbe (EU) št. 575/2013, kot je ustrezno.</w:t>
            </w:r>
          </w:p>
        </w:tc>
      </w:tr>
      <w:tr w:rsidR="00FB08AF" w:rsidRPr="00FB08AF" w14:paraId="02CB25F9" w14:textId="77777777" w:rsidTr="003D419A">
        <w:tc>
          <w:tcPr>
            <w:tcW w:w="1130" w:type="dxa"/>
          </w:tcPr>
          <w:p w14:paraId="2351243A" w14:textId="77777777" w:rsidR="00482729" w:rsidRPr="00FB08AF" w:rsidRDefault="0048272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Mera skupne izpostavljenosti (TEM)</w:t>
            </w:r>
          </w:p>
          <w:p w14:paraId="2E2DFC02" w14:textId="22295559" w:rsidR="00482729" w:rsidRPr="00FB08AF" w:rsidRDefault="00EB663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Člen 45(2), točka (b),</w:t>
            </w:r>
            <w:r>
              <w:t xml:space="preserve"> Direktive 2014/59/EU </w:t>
            </w:r>
            <w:r>
              <w:rPr>
                <w:rStyle w:val="FormatvorlageInstructionsTabelleText"/>
                <w:rFonts w:ascii="Times New Roman" w:hAnsi="Times New Roman"/>
                <w:sz w:val="24"/>
              </w:rPr>
              <w:t>in člen 429(4) ter člen 429a Uredbe (EU) št. 575/2013.</w:t>
            </w:r>
          </w:p>
          <w:p w14:paraId="21A2EF83" w14:textId="26BBECE8" w:rsidR="00EB663A" w:rsidRPr="00FB08AF" w:rsidRDefault="00EB663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Mera skupne izpostavljenosti, ki se poroča v tej vrstici, je mera skupne izpostavljenosti, ki je podlaga za izpolnjevanje zahtev iz člena 45</w:t>
            </w:r>
            <w:r>
              <w:t xml:space="preserve"> Direktive 2014/59/EU</w:t>
            </w:r>
            <w:r>
              <w:rPr>
                <w:rStyle w:val="FormatvorlageInstructionsTabelleText"/>
                <w:rFonts w:ascii="Times New Roman" w:hAnsi="Times New Roman"/>
                <w:sz w:val="24"/>
              </w:rPr>
              <w:t xml:space="preserve"> oziroma člena 92b Uredbe (EU) št. 575/2013, kot je ustrezno.</w:t>
            </w:r>
          </w:p>
        </w:tc>
      </w:tr>
      <w:tr w:rsidR="00FB08AF" w:rsidRPr="00FB08AF" w14:paraId="4F1A3591" w14:textId="77777777" w:rsidTr="003D419A">
        <w:tc>
          <w:tcPr>
            <w:tcW w:w="1130" w:type="dxa"/>
          </w:tcPr>
          <w:p w14:paraId="785AFE92" w14:textId="127C5541"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0200–0295</w:t>
            </w:r>
          </w:p>
        </w:tc>
        <w:tc>
          <w:tcPr>
            <w:tcW w:w="7624" w:type="dxa"/>
          </w:tcPr>
          <w:p w14:paraId="55E50C6B" w14:textId="10895EF1"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kapital in kvalificirane obveznosti</w:t>
            </w:r>
          </w:p>
        </w:tc>
      </w:tr>
      <w:tr w:rsidR="00FB08AF" w:rsidRPr="00FB08AF" w14:paraId="34A1EF6D" w14:textId="77777777" w:rsidTr="003D419A">
        <w:tc>
          <w:tcPr>
            <w:tcW w:w="1130" w:type="dxa"/>
          </w:tcPr>
          <w:p w14:paraId="5ACE189C" w14:textId="3066F1ED"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kapital in kvalificirane obveznosti</w:t>
            </w:r>
          </w:p>
          <w:p w14:paraId="534DA971" w14:textId="4929E71C" w:rsidR="003E7AB6" w:rsidRPr="00FB08AF" w:rsidRDefault="003E7AB6"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Notranja MREL</w:t>
            </w:r>
          </w:p>
          <w:p w14:paraId="3311F538" w14:textId="46DF5157" w:rsidR="003E7AB6" w:rsidRPr="00FB08AF" w:rsidRDefault="005F18D0"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Vsota kvalificiranega kapitala, kvalificiranih obveznosti in jamstev, ki jih je dovoljeno upoštevati pri notranji MREL v skladu s členom</w:t>
            </w:r>
            <w:r>
              <w:rPr>
                <w:rStyle w:val="InstructionsTabelleberschrift"/>
                <w:rFonts w:ascii="Times New Roman" w:hAnsi="Times New Roman"/>
                <w:b w:val="0"/>
                <w:sz w:val="24"/>
                <w:u w:val="none"/>
              </w:rPr>
              <w:t xml:space="preserve"> 45f(2) </w:t>
            </w:r>
            <w:r>
              <w:t>Direktive 2014/59/EU</w:t>
            </w:r>
            <w:r>
              <w:rPr>
                <w:rStyle w:val="InstructionsTabelleberschrift"/>
                <w:rFonts w:ascii="Times New Roman" w:hAnsi="Times New Roman"/>
                <w:b w:val="0"/>
                <w:sz w:val="24"/>
                <w:u w:val="none"/>
              </w:rPr>
              <w:t>, pri čemer se upošteva tudi člen 89(2), četrti pododstavek, navedene direktive, kjer je relevantno.</w:t>
            </w:r>
          </w:p>
          <w:p w14:paraId="1E457A5C" w14:textId="00404F53" w:rsidR="00184B3F" w:rsidRPr="00FB08AF" w:rsidRDefault="00184B3F"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 primeru instrumentov, ki jih ureja pravo tretje države, se instrument vključi v to vrstico samo, če izpolnjuje zahteve iz člena 55 </w:t>
            </w:r>
            <w:r>
              <w:t>Direktive 2014/59/EU</w:t>
            </w:r>
            <w:r>
              <w:rPr>
                <w:rStyle w:val="InstructionsTabelleberschrift"/>
                <w:rFonts w:ascii="Times New Roman" w:hAnsi="Times New Roman"/>
                <w:b w:val="0"/>
                <w:sz w:val="24"/>
                <w:u w:val="none"/>
              </w:rPr>
              <w:t>.</w:t>
            </w:r>
          </w:p>
          <w:p w14:paraId="186388A3" w14:textId="45C059C2" w:rsidR="009237BC" w:rsidRPr="00FB08AF" w:rsidRDefault="009237BC"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Znesek, ki se poroča v tej vrstici, je znesek po odbitkih v skladu s členom 72e(5) Uredbe (EU) št. 575/2013.</w:t>
            </w:r>
          </w:p>
          <w:p w14:paraId="6BB8F2AA" w14:textId="196F3E1F" w:rsidR="003E7AB6" w:rsidRPr="00FB08AF" w:rsidRDefault="003E7AB6" w:rsidP="009D79B2">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Notranja TLAC</w:t>
            </w:r>
          </w:p>
          <w:p w14:paraId="2F92FA88" w14:textId="7F40432F" w:rsidR="007056F7" w:rsidRPr="00FB08AF" w:rsidRDefault="003E7AB6" w:rsidP="009D79B2">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Kvalificirani kapital in kvalificirane obveznosti, ki jih je dovoljeno upoštevati </w:t>
            </w:r>
            <w:r>
              <w:rPr>
                <w:rStyle w:val="InstructionsTabelleberschrift"/>
                <w:rFonts w:ascii="Times New Roman" w:hAnsi="Times New Roman"/>
                <w:b w:val="0"/>
                <w:sz w:val="24"/>
                <w:u w:val="none"/>
              </w:rPr>
              <w:t>pri notranji TLAC v skladu s členom 92b(2) in (3) Uredbe (EU) št. 575/2013. Znesek, ki se poroča v tej vrstici, je znesek po odbitkih v skladu s členom 72e(5) Uredbe (EU) št. 575/2013.</w:t>
            </w:r>
          </w:p>
        </w:tc>
      </w:tr>
      <w:tr w:rsidR="00FB08AF" w:rsidRPr="00FB08AF" w14:paraId="52695ECE" w14:textId="77777777" w:rsidTr="003D419A">
        <w:tc>
          <w:tcPr>
            <w:tcW w:w="1130" w:type="dxa"/>
          </w:tcPr>
          <w:p w14:paraId="00EDFF0E" w14:textId="0467C223"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kapital</w:t>
            </w:r>
          </w:p>
          <w:p w14:paraId="5A61F12E" w14:textId="3EC25C34"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Vsota navadnega lastniškega temeljnega kapitala, kvalificiranega dodatnega temeljnega kapitala in kvalificiranega dodatnega kapitala.</w:t>
            </w:r>
          </w:p>
          <w:p w14:paraId="367CC087" w14:textId="44CFF9D0" w:rsidR="00E661B2" w:rsidRPr="00FB08AF" w:rsidRDefault="00DD50D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primeru notranje MREL se v to vrstico in vrstici 0230 ter 0240, kot je ustrezno, vključijo instrumenti iz člena 89(2), četrti pododstavek, </w:t>
            </w:r>
            <w:r>
              <w:t>Direktive 2014/59/EU</w:t>
            </w:r>
            <w:r>
              <w:rPr>
                <w:rStyle w:val="FormatvorlageInstructionsTabelleText"/>
                <w:rFonts w:ascii="Times New Roman" w:hAnsi="Times New Roman"/>
                <w:sz w:val="24"/>
              </w:rPr>
              <w:t xml:space="preserve">. </w:t>
            </w:r>
          </w:p>
          <w:p w14:paraId="455E6C31" w14:textId="79AF7F1E" w:rsidR="00184B3F" w:rsidRPr="00FB08AF" w:rsidRDefault="00DD50D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Instrumenti, ki jih ureja pravo tretje države, se vključijo v to vrstico in vrstici 0230 ter 0240 samo, če izpolnjujejo zahteve iz člena 55 navedene direktive.</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Navadni lastniški temeljni kapital</w:t>
            </w:r>
          </w:p>
          <w:p w14:paraId="391FC0ED" w14:textId="2504BD1E"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50 Uredbe (EU) št. 575/2013.</w:t>
            </w:r>
          </w:p>
        </w:tc>
      </w:tr>
      <w:tr w:rsidR="00FB08AF" w:rsidRPr="00FB08AF" w14:paraId="2EFA4CA0" w14:textId="77777777" w:rsidTr="003D419A">
        <w:tc>
          <w:tcPr>
            <w:tcW w:w="1130" w:type="dxa"/>
          </w:tcPr>
          <w:p w14:paraId="35FBDDD1" w14:textId="32E85087"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dodatni temeljni kapital</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Člen 61 Uredbe (EU) št. 575/2013.</w:t>
            </w:r>
          </w:p>
          <w:p w14:paraId="704BD2D0" w14:textId="77777777" w:rsidR="003E7AB6" w:rsidRPr="00FB08AF" w:rsidRDefault="003E7AB6"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Notranja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Instrumenti se upoštevajo samo, če izpolnjujejo merila iz člena 45f(2), točka (b)(ii), Direktive 2014/59/EU.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Notranja TLAC</w:t>
            </w:r>
          </w:p>
          <w:p w14:paraId="4D436EB1" w14:textId="46C00EC9" w:rsidR="005F18D0" w:rsidRPr="00FB08AF" w:rsidRDefault="003E7AB6"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Instrumenti se upoštevajo samo, če izpolnjujejo merila iz člena 92b(2) Uredbe (EU) št. 575/2013.</w:t>
            </w:r>
          </w:p>
        </w:tc>
      </w:tr>
      <w:tr w:rsidR="00FB08AF" w:rsidRPr="00FB08AF" w14:paraId="09AB5E26" w14:textId="77777777" w:rsidTr="003D419A">
        <w:tc>
          <w:tcPr>
            <w:tcW w:w="1130" w:type="dxa"/>
          </w:tcPr>
          <w:p w14:paraId="535A652C" w14:textId="1871B789"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0240</w:t>
            </w:r>
          </w:p>
        </w:tc>
        <w:tc>
          <w:tcPr>
            <w:tcW w:w="7624" w:type="dxa"/>
          </w:tcPr>
          <w:p w14:paraId="4DE83B06" w14:textId="575598CE"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Kvalificirani dodatni kapital</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Člen 71 Uredbe (EU) št. 575/2013.</w:t>
            </w:r>
          </w:p>
          <w:p w14:paraId="6229C6AA" w14:textId="15A67666" w:rsidR="003E7AB6" w:rsidRPr="00FB08AF" w:rsidRDefault="003E7AB6"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Notranja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Instrumenti se upoštevajo samo, če izpolnjujejo merila iz člena 45f(2), točka (b)(ii), Direktive 2014/59/EU.</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Notranja TLAC</w:t>
            </w:r>
          </w:p>
          <w:p w14:paraId="781CF336" w14:textId="79259FEC" w:rsidR="005F18D0" w:rsidRPr="00FB08AF" w:rsidRDefault="003E7AB6"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Instrumenti se upoštevajo samo, če izpolnjujejo merila iz člena 92b(2)</w:t>
            </w:r>
            <w:r>
              <w:t xml:space="preserve"> Uredbe (EU) št.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9D79B2">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Kvalificirane obveznosti in jamstva</w:t>
            </w:r>
          </w:p>
        </w:tc>
      </w:tr>
      <w:tr w:rsidR="00FB08AF" w:rsidRPr="00FB08AF" w14:paraId="048DBBF5" w14:textId="77777777" w:rsidTr="003D419A">
        <w:tc>
          <w:tcPr>
            <w:tcW w:w="1130" w:type="dxa"/>
          </w:tcPr>
          <w:p w14:paraId="3AB59BE7" w14:textId="615DE75D"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Kvalificirane obveznosti (brez jamstev)</w:t>
            </w:r>
          </w:p>
          <w:p w14:paraId="7FFDA680" w14:textId="5DD968F5" w:rsidR="003E7AB6" w:rsidRPr="00FB08AF" w:rsidRDefault="003E7AB6" w:rsidP="009D79B2">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Notranja MREL</w:t>
            </w:r>
          </w:p>
          <w:p w14:paraId="5366075E" w14:textId="664E3FEA" w:rsidR="00184B3F" w:rsidRPr="00FB08AF" w:rsidRDefault="003E7AB6" w:rsidP="00437CF3">
            <w:pPr>
              <w:rPr>
                <w:rStyle w:val="InstructionsTabelleberschrift"/>
                <w:rFonts w:ascii="Times New Roman" w:hAnsi="Times New Roman"/>
                <w:b w:val="0"/>
                <w:sz w:val="24"/>
                <w:u w:val="none"/>
              </w:rPr>
            </w:pPr>
            <w:r>
              <w:rPr>
                <w:rStyle w:val="FormatvorlageInstructionsTabelleText"/>
                <w:rFonts w:ascii="Times New Roman" w:hAnsi="Times New Roman"/>
                <w:sz w:val="24"/>
              </w:rPr>
              <w:t>Kvalificirane obveznosti, ki izpolnjujejo pogoje iz člena 45f(2), točka (a), Direktive 2014/59/EU,</w:t>
            </w:r>
            <w:r>
              <w:rPr>
                <w:rStyle w:val="InstructionsTabelleberschrift"/>
                <w:rFonts w:ascii="Times New Roman" w:hAnsi="Times New Roman"/>
                <w:b w:val="0"/>
                <w:sz w:val="24"/>
                <w:u w:val="none"/>
              </w:rPr>
              <w:t xml:space="preserve"> pri čemer se upošteva tudi člen 89(2), četrti pododstavek, navedene direktive, kjer je relevantno.</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 primeru instrumentov, ki jih ureja pravo tretje države, se instrument vključi v to vrstico samo, če izpolnjuje zahteve iz člena 55 Direktive 2014/59/EU.</w:t>
            </w:r>
          </w:p>
          <w:p w14:paraId="6243972D" w14:textId="5B30D454" w:rsidR="00A827D8" w:rsidRPr="00FB08AF" w:rsidRDefault="00A827D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Notranja TLAC</w:t>
            </w:r>
          </w:p>
          <w:p w14:paraId="510BD17E" w14:textId="77777777" w:rsidR="00BA24B5"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Znesek kvalificiranih obveznosti se izračuna v skladu s členom 72k Uredbe (EU) št. 575/2013, če te obveznosti izpolnjujejo pogoje iz člena 92b(3) navedene uredbe.</w:t>
            </w:r>
          </w:p>
          <w:p w14:paraId="193E429A" w14:textId="37505F8E" w:rsidR="00A827D8" w:rsidRPr="00FB08AF" w:rsidRDefault="00A827D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Poročajo se zneski pred odbitkom neporabljenih zneskov iz naslova predhodnega dovoljenja v obsegu, v katerem dovoljenje zajema instrumente kvalificiranih obveznosti.</w:t>
            </w:r>
          </w:p>
        </w:tc>
      </w:tr>
      <w:tr w:rsidR="00FB08AF" w:rsidRPr="00FB08AF" w14:paraId="2C6CB8FF" w14:textId="77777777" w:rsidTr="003D419A">
        <w:tc>
          <w:tcPr>
            <w:tcW w:w="1130" w:type="dxa"/>
          </w:tcPr>
          <w:p w14:paraId="7DB1A4FA" w14:textId="349A2C07" w:rsidR="003909BE" w:rsidRPr="00FB08AF" w:rsidRDefault="003909B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Lastni instrumenti kvalificiranih obveznosti: neporabljeni zneski iz naslova predhodnega dovoljenja</w:t>
            </w:r>
          </w:p>
          <w:p w14:paraId="7D07C761" w14:textId="3DF9A7B6" w:rsidR="003909BE" w:rsidRPr="00FB08AF" w:rsidRDefault="002526C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tej vrstici se poročajo naslednji zneski:</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neporabljeni zneski iz naslova priložnostnega dovoljenja v obsegu, v katerem dovoljenje zajema instrumente kvalificiranih obveznosti;</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neporabljeni zneski iz naslova splošnega predhodnega dovoljenja v obsegu, v katerem dovoljenje zajema instrumente kvalificiranih obveznosti.</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Jamstva, ki jih zagotovi subjekt v postopku reševanja in dovoli organ za reševanje</w:t>
            </w:r>
          </w:p>
          <w:p w14:paraId="374F83E9" w14:textId="0086AE55" w:rsidR="00B253EA" w:rsidRPr="00FB08AF" w:rsidRDefault="00BA3D2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Če organ za reševanje podrejene družbe subjektu, ki poroča, dovoli, da zahtevo glede notranje MREL izpolni z jamstvi, se poroča znesek jamstev, ki jih zagotovi subjekt v postopku reševanja in ki izpolnjujejo vse pogoje iz člena 45f(5)</w:t>
            </w:r>
            <w:r>
              <w:t xml:space="preserve"> Direktive 2014/59/EU</w:t>
            </w:r>
            <w:r>
              <w:rPr>
                <w:rStyle w:val="FormatvorlageInstructionsTabelleText"/>
                <w:rFonts w:ascii="Times New Roman" w:hAnsi="Times New Roman"/>
                <w:sz w:val="24"/>
              </w:rPr>
              <w:t>.</w:t>
            </w:r>
          </w:p>
        </w:tc>
      </w:tr>
      <w:tr w:rsidR="00FB08AF" w:rsidRPr="00FB08AF" w14:paraId="64B2DBBF" w14:textId="77777777" w:rsidTr="003D419A">
        <w:tc>
          <w:tcPr>
            <w:tcW w:w="1130" w:type="dxa"/>
          </w:tcPr>
          <w:p w14:paraId="30EE14F3" w14:textId="68466EFD" w:rsidR="00585408" w:rsidRPr="00FB08AF" w:rsidRDefault="0058540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0280</w:t>
            </w:r>
          </w:p>
        </w:tc>
        <w:tc>
          <w:tcPr>
            <w:tcW w:w="7624" w:type="dxa"/>
          </w:tcPr>
          <w:p w14:paraId="5CE64777" w14:textId="77777777" w:rsidR="00585408" w:rsidRPr="00FB08AF" w:rsidRDefault="0058540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Pojasnjevalna postavka: zavarovani del jamstva</w:t>
            </w:r>
          </w:p>
          <w:p w14:paraId="38A673BD" w14:textId="7D135857" w:rsidR="00585408" w:rsidRPr="00FB08AF" w:rsidRDefault="00585408" w:rsidP="009D79B2">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Del jamstva, ki se poroča v vrstici 0270, zavarovan z dogovorom o finančnem zavarovanju iz člena 45f(5), točka (c),</w:t>
            </w:r>
            <w:r>
              <w:t xml:space="preserve"> Direktive 2014/59/EU</w:t>
            </w:r>
            <w:r>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Kapitalski instrumenti in instrumenti kvalificiranih obveznosti, izdani s strani subjektov, ki niso v postopku reševanja, iz iste skupine v postopku reševanja</w:t>
            </w:r>
          </w:p>
          <w:p w14:paraId="61784284" w14:textId="5986961E" w:rsidR="00CA5793" w:rsidRPr="00FB08AF" w:rsidRDefault="00CA5793"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tej vrstici se poročajo deleži v kapitalskih instrumentih in instrumentih kvalificiranih obveznosti, ki jih je treba odbiti v skladu s členom 72e(5) Uredbe (EU) št. 575/2013 in členom 45c(2a), peti pododstavek, Direktive 2014/59/EU.</w:t>
            </w:r>
          </w:p>
          <w:p w14:paraId="5DF1D2B8" w14:textId="03C99A20" w:rsidR="0051480C" w:rsidRPr="00FB08AF" w:rsidRDefault="001C1DDA"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Za izračun odbitkov na podlagi člena 45c(2a) Direktive 2014/59/EU se uporabi razmerje, poročano v vrstici 0630.</w:t>
            </w:r>
          </w:p>
        </w:tc>
      </w:tr>
      <w:tr w:rsidR="00FB08AF" w:rsidRPr="00FB08AF" w14:paraId="60615C31" w14:textId="77777777" w:rsidTr="004464A7">
        <w:tc>
          <w:tcPr>
            <w:tcW w:w="1130" w:type="dxa"/>
          </w:tcPr>
          <w:p w14:paraId="2CA35B53" w14:textId="1022F240" w:rsidR="004912BF" w:rsidRPr="00FB08AF" w:rsidRDefault="004912BF" w:rsidP="009D79B2">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od tega: kapitalski instrumenti, izdani s strani subjektov za likvidacijo</w:t>
            </w:r>
          </w:p>
          <w:p w14:paraId="383BADED" w14:textId="317127AA" w:rsidR="004912BF" w:rsidRPr="00FB08AF" w:rsidRDefault="004912B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Poročajo se naložbe v kapitalske instrumente, izdane s strani subjektov za likvidacijo iste skupine v postopku reševanja, za katere organ za reševanje ni določil minimalne zahteve glede kapitala in kvalificiranih obveznosti v skladu s členom 45 Direktive 2014/59/EU, ki jih je treba odbiti v skladu s členom 45c(2a), peti pododstavek, Direktive 2014/59/EU.</w:t>
            </w:r>
          </w:p>
          <w:p w14:paraId="3FACB9D1" w14:textId="4C3C03F6" w:rsidR="00D825FB" w:rsidRPr="00FB08AF" w:rsidRDefault="00D825FB"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Za izračun odbitkov na podlagi člena 45c(2a) Direktive 2014/59/EU se uporabi razmerje, poročano v vrstici 0630.</w:t>
            </w:r>
          </w:p>
        </w:tc>
      </w:tr>
      <w:tr w:rsidR="00FB08AF" w:rsidRPr="00FB08AF" w14:paraId="57E1CA1A" w14:textId="77777777" w:rsidTr="003D419A">
        <w:tc>
          <w:tcPr>
            <w:tcW w:w="1130" w:type="dxa"/>
          </w:tcPr>
          <w:p w14:paraId="60241F09" w14:textId="0B97E6C7" w:rsidR="00EB22CD" w:rsidRPr="00FB08AF" w:rsidRDefault="00EB22CD"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Presežek odbitkov od kvalificiranih obveznosti nad kvalificiranimi obveznostmi</w:t>
            </w:r>
          </w:p>
          <w:p w14:paraId="2511E64F" w14:textId="5D0B7587" w:rsidR="002952FA" w:rsidRPr="00FB08AF" w:rsidRDefault="002952F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ne morejo biti negativne, vendar je možno, da znesek odbitkov od postavk kvalificiranih obveznosti presega znesek postavk kvalificiranih obveznosti. Kadar pride do tega, mora biti znesek kvalificiranih obveznosti enak nič, presežek odbitkov pa se odbije od dodatnega kapitala v skladu s členom 66, točka (e),</w:t>
            </w:r>
            <w:r>
              <w:t xml:space="preserve"> Uredbe (EU) št. 575/2013</w:t>
            </w:r>
            <w:r>
              <w:rPr>
                <w:rStyle w:val="FormatvorlageInstructionsTabelleText"/>
                <w:rFonts w:ascii="Times New Roman" w:hAnsi="Times New Roman"/>
                <w:sz w:val="24"/>
              </w:rPr>
              <w:t>.</w:t>
            </w:r>
          </w:p>
          <w:p w14:paraId="64C79667" w14:textId="29EA8140" w:rsidR="00EB22CD" w:rsidRPr="00FB08AF" w:rsidRDefault="002952FA"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Pri tej postavki se doseže, da znesek kvalificiranih obveznosti, ki se poroča v vrstici 0251, nikoli ni manjši od nič.</w:t>
            </w:r>
          </w:p>
        </w:tc>
      </w:tr>
      <w:tr w:rsidR="00FB08AF" w:rsidRPr="00FB08AF" w14:paraId="4C6B668C" w14:textId="77777777" w:rsidTr="003D419A">
        <w:tc>
          <w:tcPr>
            <w:tcW w:w="1130" w:type="dxa"/>
          </w:tcPr>
          <w:p w14:paraId="1443EEEE" w14:textId="56213E28" w:rsidR="00BE557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0400–0440</w:t>
            </w:r>
          </w:p>
        </w:tc>
        <w:tc>
          <w:tcPr>
            <w:tcW w:w="7624" w:type="dxa"/>
          </w:tcPr>
          <w:p w14:paraId="0D31D956" w14:textId="68870AD9" w:rsidR="00BE557E" w:rsidRPr="00FB08AF" w:rsidRDefault="00BE557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Deleži kvalificiranega kapitala in kvalificiranih obveznosti</w:t>
            </w:r>
          </w:p>
        </w:tc>
      </w:tr>
      <w:tr w:rsidR="00FB08AF" w:rsidRPr="00FB08AF" w14:paraId="45BCEF11" w14:textId="77777777" w:rsidTr="003D419A">
        <w:tc>
          <w:tcPr>
            <w:tcW w:w="1130" w:type="dxa"/>
          </w:tcPr>
          <w:p w14:paraId="48372301" w14:textId="2ABACA7C"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 kot odstotek TREA</w:t>
            </w:r>
          </w:p>
          <w:p w14:paraId="638A2511" w14:textId="34438C98" w:rsidR="00CC432E" w:rsidRPr="00FB08AF" w:rsidRDefault="00CC432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Zneski kvalificiranega kapitala, kvalificiranih obveznosti in dovoljenih jamstev subjekta, ki poroča, ki se upoštevajo pri notranji MREL oziroma notranji TLAC, izraženi kot odstotek zneska skupne izpostavljenosti tveganju, izračunanega v skladu s členom 92(3) </w:t>
            </w:r>
            <w:r>
              <w:t>Uredbe (EU) št. 575/2013</w:t>
            </w:r>
            <w:r>
              <w:rPr>
                <w:rStyle w:val="FormatvorlageInstructionsTabelleText"/>
                <w:rFonts w:ascii="Times New Roman" w:hAnsi="Times New Roman"/>
                <w:sz w:val="24"/>
              </w:rPr>
              <w:t>.</w:t>
            </w:r>
          </w:p>
        </w:tc>
      </w:tr>
      <w:tr w:rsidR="00FB08AF" w:rsidRPr="00FB08AF" w14:paraId="4FA4FC47" w14:textId="77777777" w:rsidTr="003D419A">
        <w:tc>
          <w:tcPr>
            <w:tcW w:w="1130" w:type="dxa"/>
          </w:tcPr>
          <w:p w14:paraId="72742DBD" w14:textId="0C90E56F"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dovoljena jamstva</w:t>
            </w:r>
          </w:p>
          <w:p w14:paraId="6E0BA424" w14:textId="75A3DA62" w:rsidR="00CC432E" w:rsidRPr="00FB08AF" w:rsidRDefault="00CC432E"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 xml:space="preserve">Znesek kvalificiranega kapitala, kvalificiranih obveznosti in dovoljenih jamstev subjekta, ki poroča, ki so jamstva, zagotovljena s strani subjekta v postopku reševanja, in ki jih organ za reševanje pripozna v skladu s členom 45f(5) </w:t>
            </w:r>
            <w:r>
              <w:t>Direktive 2014/59/EU</w:t>
            </w:r>
            <w:r>
              <w:rPr>
                <w:rStyle w:val="FormatvorlageInstructionsTabelleText"/>
                <w:rFonts w:ascii="Times New Roman" w:hAnsi="Times New Roman"/>
                <w:sz w:val="24"/>
              </w:rPr>
              <w:t xml:space="preserve">, ki se upošteva pri notranji MREL, izražen kot odstotek zneska skupne izpostavljenosti tveganju, izračunanega v skladu s členom 92(3) </w:t>
            </w:r>
            <w:r>
              <w:t>Uredbe (EU) št.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0420</w:t>
            </w:r>
          </w:p>
        </w:tc>
        <w:tc>
          <w:tcPr>
            <w:tcW w:w="7624" w:type="dxa"/>
          </w:tcPr>
          <w:p w14:paraId="58A4D821" w14:textId="66F6ECF9" w:rsidR="00CC432E" w:rsidRPr="00FB08AF" w:rsidRDefault="00CC432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 in kvalificirane obveznosti kot odstotek TEM</w:t>
            </w:r>
          </w:p>
          <w:p w14:paraId="2DE6FA49" w14:textId="1BA8B4E8" w:rsidR="00CC432E" w:rsidRPr="00FB08AF" w:rsidRDefault="00CC432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Zneski kvalificiranega kapitala in kvalificiranih obveznosti subjekta, ki poroča, ki se upoštevajo pri notranji MREL oziroma notranji TLAC, izraženi kot odstotek mere skupne izpostavljenosti, izračunane v skladu s členom 429(4) in 429a navedene uredbe.</w:t>
            </w:r>
          </w:p>
        </w:tc>
      </w:tr>
      <w:tr w:rsidR="00FB08AF" w:rsidRPr="00FB08AF" w14:paraId="44A3123C" w14:textId="77777777" w:rsidTr="003D419A">
        <w:tc>
          <w:tcPr>
            <w:tcW w:w="1130" w:type="dxa"/>
          </w:tcPr>
          <w:p w14:paraId="11C9C58C" w14:textId="3E187751"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dovoljena jamstva</w:t>
            </w:r>
          </w:p>
          <w:p w14:paraId="5D4BEBD4" w14:textId="3230DB3C" w:rsidR="00CC432E" w:rsidRPr="00FB08AF" w:rsidRDefault="00CC432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Znesek kvalificiranega kapitala in kvalificiranih obveznosti subjekta, ki poroča, ki so jamstva, zagotovljena s strani subjekta v postopku reševanja, in ki jih organ za reševanje pripozna v skladu s členom 45f(5) </w:t>
            </w:r>
            <w:r>
              <w:t>Direktive 2014/59/EU</w:t>
            </w:r>
            <w:r>
              <w:rPr>
                <w:rStyle w:val="FormatvorlageInstructionsTabelleText"/>
                <w:rFonts w:ascii="Times New Roman" w:hAnsi="Times New Roman"/>
                <w:sz w:val="24"/>
              </w:rPr>
              <w:t>, ki se upošteva pri notranji MREL, izražen kot odstotek mere skupne izpostavljenosti, izračunane v skladu s členoma 429(4) in 429a</w:t>
            </w:r>
            <w:r>
              <w:t xml:space="preserve"> Uredbe (EU) št. 575/2013</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Razpoložljivi navadni lastniški temeljni kapital (%) po izpolnitvi zahtev za subjekt</w:t>
            </w:r>
          </w:p>
          <w:p w14:paraId="58C29D7C" w14:textId="1757540E" w:rsidR="008561CE" w:rsidRPr="00FB08AF" w:rsidRDefault="008561C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Znesek navadnega lastniškega temeljnega kapitala, enak nič ali pozitiven, ki je na voljo po izpolnitvi vsake od zahtev iz člena 141a(1), točke (a), (b) in (c),</w:t>
            </w:r>
            <w:r>
              <w:t xml:space="preserve"> Direktive 2013/36/EU</w:t>
            </w:r>
            <w:r>
              <w:rPr>
                <w:rStyle w:val="FormatvorlageInstructionsTabelleText"/>
                <w:rFonts w:ascii="Times New Roman" w:hAnsi="Times New Roman"/>
                <w:sz w:val="24"/>
              </w:rPr>
              <w:t xml:space="preserve"> in je višji izmed naslednjega:</w:t>
            </w:r>
          </w:p>
          <w:p w14:paraId="57381FCD" w14:textId="1EA0E4F9" w:rsidR="008561CE" w:rsidRPr="00FB08AF" w:rsidRDefault="008561C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kjer je relevantno, zahteve glede notranje TLAC v skladu s členom 92b </w:t>
            </w:r>
            <w:r>
              <w:t>Uredbe (EU) št. 575/2013</w:t>
            </w:r>
            <w:r>
              <w:rPr>
                <w:rStyle w:val="FormatvorlageInstructionsTabelleText"/>
                <w:rFonts w:ascii="Times New Roman" w:hAnsi="Times New Roman"/>
                <w:sz w:val="24"/>
              </w:rPr>
              <w:t>, kadar se v skladu s členom 92b(1) navedene uredbe izračuna kot 90 % zahteve iz člena 92a(1), točka (a), navedene uredbe;</w:t>
            </w:r>
          </w:p>
          <w:p w14:paraId="1F28DC82" w14:textId="1D7CE280" w:rsidR="008561CE" w:rsidRPr="00FB08AF" w:rsidRDefault="008561C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zahteve glede notranje MREL v skladu s členom 45f </w:t>
            </w:r>
            <w:r>
              <w:t>Direktive 2014/59/EU</w:t>
            </w:r>
            <w:r>
              <w:rPr>
                <w:rStyle w:val="FormatvorlageInstructionsTabelleText"/>
                <w:rFonts w:ascii="Times New Roman" w:hAnsi="Times New Roman"/>
                <w:sz w:val="24"/>
              </w:rPr>
              <w:t>, kadar se izračuna v skladu s členom 45(2), točka (a), navedene direktive.</w:t>
            </w:r>
          </w:p>
          <w:p w14:paraId="39B4A403" w14:textId="7A71894C" w:rsidR="00B012C5" w:rsidRPr="00FB08AF" w:rsidRDefault="00B012C5"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Razpoložljivi navadni lastniški temeljni kapital se izrazi kot odstotek zneska skupne izpostavljenosti tveganju, kot se poroča v vrstici 0100.</w:t>
            </w:r>
          </w:p>
          <w:p w14:paraId="64F956E6" w14:textId="77777777" w:rsidR="00B012C5" w:rsidRPr="00FB08AF" w:rsidRDefault="008561CE"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Vrednost, ki se poroča, je enaka tako v stolpcu interna MREL kot interna TLAC. </w:t>
            </w:r>
          </w:p>
          <w:p w14:paraId="5B370C0A" w14:textId="715557DB" w:rsidR="00CC432E" w:rsidRPr="00FB08AF" w:rsidRDefault="008561CE"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Pri njej se upošteva učinek prehodnih določb na kapital in kvalificirane obveznosti, na znesek skupne izpostavljenosti tveganju in na same zahteve. Smernica glede dodatnega kapitala iz člena 104b</w:t>
            </w:r>
            <w:r>
              <w:t xml:space="preserve"> Direktive 2013/36/EU </w:t>
            </w:r>
            <w:r>
              <w:rPr>
                <w:rStyle w:val="InstructionsTabelleberschrift"/>
                <w:rFonts w:ascii="Times New Roman" w:hAnsi="Times New Roman"/>
                <w:b w:val="0"/>
                <w:sz w:val="24"/>
                <w:u w:val="none"/>
              </w:rPr>
              <w:t>in zahteva po skupnem blažilniku iz člena 128, prvi pododstavek, točka 6, navedene direktive se ne upoštevata.</w:t>
            </w:r>
          </w:p>
        </w:tc>
      </w:tr>
      <w:tr w:rsidR="00FB08AF" w:rsidRPr="00FB08AF" w14:paraId="5B18A184" w14:textId="77777777" w:rsidTr="003D419A">
        <w:tc>
          <w:tcPr>
            <w:tcW w:w="1130" w:type="dxa"/>
          </w:tcPr>
          <w:p w14:paraId="283EF212" w14:textId="449188CE" w:rsidR="00CC432E"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0500–0550</w:t>
            </w:r>
          </w:p>
        </w:tc>
        <w:tc>
          <w:tcPr>
            <w:tcW w:w="7624" w:type="dxa"/>
          </w:tcPr>
          <w:p w14:paraId="11D95EDB" w14:textId="1E3A12BE" w:rsidR="00CC432E" w:rsidRPr="00FB08AF" w:rsidRDefault="007C3317"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Pojasnjevalne postavke</w:t>
            </w:r>
          </w:p>
        </w:tc>
      </w:tr>
      <w:tr w:rsidR="00FB08AF" w:rsidRPr="00FB08AF" w14:paraId="0F211788" w14:textId="77777777" w:rsidTr="003D419A">
        <w:tc>
          <w:tcPr>
            <w:tcW w:w="1130" w:type="dxa"/>
          </w:tcPr>
          <w:p w14:paraId="57743B4C" w14:textId="1E81FE0B" w:rsidR="00437CF3" w:rsidRPr="00FB08AF" w:rsidDel="00437CF3"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Zahteva po skupnem blažilniku (%)</w:t>
            </w:r>
          </w:p>
          <w:p w14:paraId="6C2996F7" w14:textId="721860D8" w:rsidR="00437CF3" w:rsidRPr="00FB08AF" w:rsidRDefault="00437CF3"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Člen 128</w:t>
            </w:r>
            <w:r>
              <w:rPr>
                <w:rStyle w:val="InstructionsTabelleberschrift"/>
                <w:rFonts w:ascii="Times New Roman" w:hAnsi="Times New Roman"/>
                <w:b w:val="0"/>
                <w:sz w:val="24"/>
                <w:u w:val="none"/>
              </w:rPr>
              <w:t>, prvi pododstavek, točka 6,</w:t>
            </w:r>
            <w:r>
              <w:rPr>
                <w:rStyle w:val="FormatvorlageInstructionsTabelleText"/>
                <w:rFonts w:ascii="Times New Roman" w:hAnsi="Times New Roman"/>
                <w:sz w:val="24"/>
              </w:rPr>
              <w:t xml:space="preserve"> </w:t>
            </w:r>
            <w:r>
              <w:t xml:space="preserve">Direktive 2013/36/EU </w:t>
            </w:r>
          </w:p>
          <w:p w14:paraId="2113C95F" w14:textId="74DBE512" w:rsidR="00437CF3" w:rsidRPr="00FB08AF" w:rsidRDefault="00437CF3"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Zahteva po skupnem blažilniku se izrazi kot odstotek zneska skupne izpostavljenosti tveganju.</w:t>
            </w:r>
          </w:p>
        </w:tc>
      </w:tr>
      <w:tr w:rsidR="00FB08AF" w:rsidRPr="00FB08AF" w:rsidDel="000A3889" w14:paraId="09231B65" w14:textId="77777777" w:rsidTr="003D419A">
        <w:tc>
          <w:tcPr>
            <w:tcW w:w="1130" w:type="dxa"/>
            <w:vAlign w:val="center"/>
          </w:tcPr>
          <w:p w14:paraId="3A18AE1F" w14:textId="1174A4A5" w:rsidR="008C1E88"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0510</w:t>
            </w:r>
          </w:p>
        </w:tc>
        <w:tc>
          <w:tcPr>
            <w:tcW w:w="7624" w:type="dxa"/>
            <w:vAlign w:val="center"/>
          </w:tcPr>
          <w:p w14:paraId="5FDCA6A3" w14:textId="77777777" w:rsidR="008C1E88" w:rsidRPr="00FB08AF" w:rsidRDefault="008C1E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varovalnega kapitalskega blažilnika </w:t>
            </w:r>
          </w:p>
          <w:p w14:paraId="2EF1B114" w14:textId="1AE53AED" w:rsidR="008C1E88" w:rsidRPr="00FB08AF" w:rsidRDefault="008C1E88" w:rsidP="009D79B2">
            <w:pPr>
              <w:pStyle w:val="InstructionsText"/>
              <w:rPr>
                <w:rStyle w:val="InstructionsTabelleberschrift"/>
                <w:rFonts w:ascii="Times New Roman" w:hAnsi="Times New Roman"/>
                <w:sz w:val="24"/>
              </w:rPr>
            </w:pPr>
            <w:r>
              <w:t xml:space="preserve">Znesek skupnega blažilnika za institucijo (izražen kot odstotek </w:t>
            </w:r>
            <w:r>
              <w:rPr>
                <w:rStyle w:val="FormatvorlageInstructionsTabelleText"/>
                <w:rFonts w:ascii="Times New Roman" w:hAnsi="Times New Roman"/>
                <w:sz w:val="24"/>
              </w:rPr>
              <w:t>zneska skupne izpostavljenosti tveganju</w:t>
            </w:r>
            <w:r>
              <w:t>), ki se nanaša na zahtevo glede varovalnega kapitalskega blažilnika.</w:t>
            </w:r>
          </w:p>
        </w:tc>
      </w:tr>
      <w:tr w:rsidR="00FB08AF" w:rsidRPr="00FB08AF" w:rsidDel="000A3889" w14:paraId="5F62F9F9" w14:textId="77777777" w:rsidTr="003D419A">
        <w:tc>
          <w:tcPr>
            <w:tcW w:w="1130" w:type="dxa"/>
            <w:vAlign w:val="center"/>
          </w:tcPr>
          <w:p w14:paraId="22DE9DFA" w14:textId="352D04CB" w:rsidR="008C1E88"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proticikličnega blažilnika </w:t>
            </w:r>
          </w:p>
          <w:p w14:paraId="4E424522" w14:textId="1A5077C0" w:rsidR="008C1E88" w:rsidRPr="00FB08AF" w:rsidRDefault="008C1E88" w:rsidP="009D79B2">
            <w:pPr>
              <w:pStyle w:val="InstructionsText"/>
              <w:rPr>
                <w:rStyle w:val="InstructionsTabelleberschrift"/>
                <w:rFonts w:ascii="Times New Roman" w:hAnsi="Times New Roman"/>
                <w:sz w:val="24"/>
              </w:rPr>
            </w:pPr>
            <w:r>
              <w:t xml:space="preserve">Znesek skupnega blažilnika za institucijo (izražen kot odstotek </w:t>
            </w:r>
            <w:r>
              <w:rPr>
                <w:rStyle w:val="FormatvorlageInstructionsTabelleText"/>
                <w:rFonts w:ascii="Times New Roman" w:hAnsi="Times New Roman"/>
                <w:sz w:val="24"/>
              </w:rPr>
              <w:t>zneska skupne izpostavljenosti tveganju</w:t>
            </w:r>
            <w:r>
              <w:t>), ki se nanaša na zahtevo glede proticikličnega blažilnika.</w:t>
            </w:r>
          </w:p>
        </w:tc>
      </w:tr>
      <w:tr w:rsidR="00FB08AF" w:rsidRPr="00FB08AF" w:rsidDel="000A3889" w14:paraId="3DD0E60F" w14:textId="77777777" w:rsidTr="003D419A">
        <w:tc>
          <w:tcPr>
            <w:tcW w:w="1130" w:type="dxa"/>
            <w:vAlign w:val="center"/>
          </w:tcPr>
          <w:p w14:paraId="731CB060" w14:textId="4E4E808F" w:rsidR="008C1E88"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od tega: zahteva glede blažilnika sistemskih tveganj </w:t>
            </w:r>
          </w:p>
          <w:p w14:paraId="65530AC4" w14:textId="655A20A0" w:rsidR="008C1E88" w:rsidRPr="00FB08AF" w:rsidRDefault="008C1E88" w:rsidP="009D79B2">
            <w:pPr>
              <w:pStyle w:val="InstructionsText"/>
              <w:rPr>
                <w:rStyle w:val="InstructionsTabelleberschrift"/>
                <w:rFonts w:ascii="Times New Roman" w:hAnsi="Times New Roman"/>
                <w:b w:val="0"/>
                <w:sz w:val="24"/>
              </w:rPr>
            </w:pPr>
            <w:r>
              <w:t xml:space="preserve">Znesek skupnega blažilnika za institucijo (izražen kot odstotek </w:t>
            </w:r>
            <w:r>
              <w:rPr>
                <w:rStyle w:val="FormatvorlageInstructionsTabelleText"/>
                <w:rFonts w:ascii="Times New Roman" w:hAnsi="Times New Roman"/>
                <w:sz w:val="24"/>
              </w:rPr>
              <w:t>zneska skupne izpostavljenosti tveganju</w:t>
            </w:r>
            <w:r>
              <w:t>), ki se nanaša na zahtevo glede blažilnika sistemskih tveganj.</w:t>
            </w:r>
          </w:p>
        </w:tc>
      </w:tr>
      <w:tr w:rsidR="00FB08AF" w:rsidRPr="00FB08AF" w:rsidDel="000A3889" w14:paraId="5D343AEB" w14:textId="77777777" w:rsidTr="003D419A">
        <w:tc>
          <w:tcPr>
            <w:tcW w:w="1130" w:type="dxa"/>
            <w:vAlign w:val="center"/>
          </w:tcPr>
          <w:p w14:paraId="121693A9" w14:textId="7BE6F216" w:rsidR="008C1E88" w:rsidRPr="00FB08AF" w:rsidRDefault="00443BE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blažilnik za globalne sistemsko pomembne institucije (GSPI) ali druge sistemsko pomembne institucije (DSPI)</w:t>
            </w:r>
          </w:p>
          <w:p w14:paraId="294528A0" w14:textId="78EBD6C0" w:rsidR="008C1E88" w:rsidRPr="00FB08AF" w:rsidRDefault="008C1E88" w:rsidP="009D79B2">
            <w:pPr>
              <w:pStyle w:val="InstructionsText"/>
              <w:rPr>
                <w:rStyle w:val="InstructionsTabelleberschrift"/>
                <w:rFonts w:ascii="Times New Roman" w:hAnsi="Times New Roman"/>
                <w:b w:val="0"/>
                <w:sz w:val="24"/>
              </w:rPr>
            </w:pPr>
            <w:r>
              <w:t xml:space="preserve">Znesek skupnega blažilnika za institucijo (izražen kot odstotek </w:t>
            </w:r>
            <w:r>
              <w:rPr>
                <w:rStyle w:val="FormatvorlageInstructionsTabelleText"/>
                <w:rFonts w:ascii="Times New Roman" w:hAnsi="Times New Roman"/>
                <w:sz w:val="24"/>
              </w:rPr>
              <w:t>zneska skupne izpostavljenosti tveganju</w:t>
            </w:r>
            <w:r>
              <w:t>), ki se nanaša na zahtevo glede blažilnika za GSPI ali DSPI.</w:t>
            </w:r>
          </w:p>
        </w:tc>
      </w:tr>
      <w:tr w:rsidR="00FB08AF" w:rsidRPr="00FB08AF" w14:paraId="0BE86C45" w14:textId="77777777" w:rsidTr="004912BF">
        <w:tc>
          <w:tcPr>
            <w:tcW w:w="1130" w:type="dxa"/>
          </w:tcPr>
          <w:p w14:paraId="121F7357" w14:textId="54E1542B"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Druge obveznosti, za katere je mogoče uporabiti instrument za reševanje s sredstvi upnikov</w:t>
            </w:r>
          </w:p>
          <w:p w14:paraId="119B8728" w14:textId="77777777" w:rsidR="003D419A" w:rsidRPr="00FB08AF" w:rsidRDefault="00093411"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Subjekti, ki imajo na datum poročanja teh informacij zneske kapitala in kvalificiranih obveznosti v višini vsaj 150 % zahteve iz člena 45(1) </w:t>
            </w:r>
            <w:r>
              <w:rPr>
                <w:rStyle w:val="FormatvorlageInstructionsTabelleText"/>
                <w:rFonts w:ascii="Times New Roman" w:hAnsi="Times New Roman"/>
                <w:sz w:val="24"/>
              </w:rPr>
              <w:t>Direktive 2014/59/EU</w:t>
            </w:r>
            <w:r>
              <w:rPr>
                <w:rStyle w:val="InstructionsTabelleberschrift"/>
                <w:rFonts w:ascii="Times New Roman" w:hAnsi="Times New Roman"/>
                <w:b w:val="0"/>
                <w:sz w:val="24"/>
                <w:u w:val="none"/>
              </w:rPr>
              <w:t>, so izvzeti iz poročanja informacij v vrsticah 0550 do 0600. Taki subjekti se lahko prostovoljno odločijo poročati te informacije v tej predlogi.</w:t>
            </w:r>
          </w:p>
          <w:p w14:paraId="7F1DE3D2" w14:textId="77777777" w:rsidR="00D95EC1" w:rsidRPr="00FB08AF" w:rsidRDefault="002F47FA"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Neporabljeni zneski iz naslova predhodnega dovoljenja se v obsegu, v katerem dovoljenje zajema instrument kvalificiranih obveznosti, za namene teh vrstic štejejo za druge obveznosti, za katere je mogoče uporabiti instrument za reševanje s sredstvi upnikov.</w:t>
            </w:r>
          </w:p>
          <w:p w14:paraId="0474B24A" w14:textId="0F044F02" w:rsidR="002F47FA" w:rsidRPr="00FB08AF" w:rsidRDefault="002F47FA" w:rsidP="009D79B2">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Druge obveznosti, za katere je mogoče uporabiti instrument za reševanje s sredstvi upnikov</w:t>
            </w:r>
          </w:p>
          <w:p w14:paraId="6D9455D3" w14:textId="6A0F2470" w:rsidR="003D419A" w:rsidRPr="00FB08AF" w:rsidRDefault="003D419A"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obveznosti, za katere je mogoče uporabiti instrument za reševanje s sredstvi upnikov, kot so opredeljene v členu 2(1), točka 71, </w:t>
            </w:r>
            <w:r>
              <w:rPr>
                <w:rStyle w:val="FormatvorlageInstructionsTabelleText"/>
                <w:rFonts w:ascii="Times New Roman" w:hAnsi="Times New Roman"/>
                <w:sz w:val="24"/>
              </w:rPr>
              <w:t>Direktive 2014/59/EU</w:t>
            </w:r>
            <w:r>
              <w:rPr>
                <w:rStyle w:val="InstructionsTabelleberschrift"/>
                <w:rFonts w:ascii="Times New Roman" w:hAnsi="Times New Roman"/>
                <w:b w:val="0"/>
                <w:sz w:val="24"/>
                <w:u w:val="none"/>
              </w:rPr>
              <w:t>, ki se ne kvalificirajo za izpolnjevanje zahtev iz členov 45 in 45f</w:t>
            </w:r>
            <w:r>
              <w:rPr>
                <w:rStyle w:val="FormatvorlageInstructionsTabelleText"/>
                <w:rFonts w:ascii="Times New Roman" w:hAnsi="Times New Roman"/>
                <w:sz w:val="24"/>
              </w:rPr>
              <w:t xml:space="preserve"> navedene direktive.</w:t>
            </w:r>
          </w:p>
        </w:tc>
      </w:tr>
      <w:tr w:rsidR="00FB08AF" w:rsidRPr="00FB08AF" w14:paraId="09D32370" w14:textId="77777777" w:rsidTr="004912BF">
        <w:tc>
          <w:tcPr>
            <w:tcW w:w="1130" w:type="dxa"/>
          </w:tcPr>
          <w:p w14:paraId="0E687337" w14:textId="4D51B3C2"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jih ureja pravo tretje države</w:t>
            </w:r>
          </w:p>
          <w:p w14:paraId="49B397CB" w14:textId="77777777" w:rsidR="003D419A" w:rsidRPr="00FB08AF" w:rsidRDefault="003D419A"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Znesek drugih obveznosti, za katere je mogoče uporabiti instrument za reševanje s sredstvi upnikov, ki jih ureja pravo tretje države, kot je navedeno v členu 55 </w:t>
            </w:r>
            <w:r>
              <w:t>Direktive 2014/59/EU</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0570</w:t>
            </w:r>
          </w:p>
        </w:tc>
        <w:tc>
          <w:tcPr>
            <w:tcW w:w="7624" w:type="dxa"/>
          </w:tcPr>
          <w:p w14:paraId="0805987F" w14:textId="46360A96"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ki vsebujejo klavzulo o odpisu in konverziji, kot je navedeno v členu 55 Direktive 2014/59/EU</w:t>
            </w:r>
          </w:p>
          <w:p w14:paraId="59B7F63C" w14:textId="77777777"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Znesek drugih obveznosti, za katere je mogoče uporabiti instrument za reševanje s sredstvi upnikov, ki jih ureja pravo tretje države in ki vsebujejo klavzulo o odpisu in konverziji, kot je navedeno v členu 55 Direktive 2014/59/EU.</w:t>
            </w:r>
          </w:p>
        </w:tc>
      </w:tr>
      <w:tr w:rsidR="00FB08AF" w:rsidRPr="00FB08AF" w14:paraId="44A3DA67" w14:textId="77777777" w:rsidTr="004912BF">
        <w:tc>
          <w:tcPr>
            <w:tcW w:w="1130" w:type="dxa"/>
          </w:tcPr>
          <w:p w14:paraId="7CE13650" w14:textId="796C2343"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0580–0600</w:t>
            </w:r>
          </w:p>
        </w:tc>
        <w:tc>
          <w:tcPr>
            <w:tcW w:w="7624" w:type="dxa"/>
          </w:tcPr>
          <w:p w14:paraId="66ED9CC3" w14:textId="77777777" w:rsidR="003D419A" w:rsidRPr="00FB08AF" w:rsidRDefault="003D419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Razčlenitev drugih obveznosti, za katere je mogoče uporabiti instrument za reševanje s sredstvi upnikov, po preostali zapadlosti</w:t>
            </w:r>
          </w:p>
        </w:tc>
      </w:tr>
      <w:tr w:rsidR="00FB08AF" w:rsidRPr="00FB08AF" w14:paraId="300DD006" w14:textId="77777777" w:rsidTr="004912BF">
        <w:tc>
          <w:tcPr>
            <w:tcW w:w="1130" w:type="dxa"/>
          </w:tcPr>
          <w:p w14:paraId="5CFE7B08" w14:textId="085E597A"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9D79B2">
            <w:pPr>
              <w:pStyle w:val="InstructionsText"/>
              <w:rPr>
                <w:rStyle w:val="InstructionsTabelleberschrift"/>
                <w:rFonts w:ascii="Times New Roman" w:hAnsi="Times New Roman"/>
                <w:b w:val="0"/>
                <w:sz w:val="24"/>
              </w:rPr>
            </w:pPr>
            <w:r>
              <w:t>Preostala zapadlost &lt; 1 leto</w:t>
            </w:r>
          </w:p>
        </w:tc>
      </w:tr>
      <w:tr w:rsidR="00FB08AF" w:rsidRPr="00FB08AF" w14:paraId="0721C064" w14:textId="77777777" w:rsidTr="004912BF">
        <w:tc>
          <w:tcPr>
            <w:tcW w:w="1130" w:type="dxa"/>
          </w:tcPr>
          <w:p w14:paraId="1CF24349" w14:textId="7201FBB8"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9D79B2">
            <w:pPr>
              <w:pStyle w:val="InstructionsText"/>
              <w:rPr>
                <w:rStyle w:val="InstructionsTabelleberschrift"/>
                <w:rFonts w:ascii="Times New Roman" w:hAnsi="Times New Roman"/>
                <w:b w:val="0"/>
                <w:sz w:val="24"/>
              </w:rPr>
            </w:pPr>
            <w:r>
              <w:t>Preostala zapadlost &gt;= 1 leto in &lt; 2 leti</w:t>
            </w:r>
          </w:p>
        </w:tc>
      </w:tr>
      <w:tr w:rsidR="00FB08AF" w:rsidRPr="00FB08AF" w14:paraId="30F1478A" w14:textId="77777777" w:rsidTr="004912BF">
        <w:tc>
          <w:tcPr>
            <w:tcW w:w="1130" w:type="dxa"/>
          </w:tcPr>
          <w:p w14:paraId="34DE713A" w14:textId="3C7DD6BD" w:rsidR="003D419A" w:rsidRPr="00FB08AF" w:rsidRDefault="003D419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9D79B2">
            <w:pPr>
              <w:pStyle w:val="InstructionsText"/>
              <w:rPr>
                <w:rStyle w:val="InstructionsTabelleberschrift"/>
                <w:rFonts w:ascii="Times New Roman" w:hAnsi="Times New Roman"/>
                <w:b w:val="0"/>
                <w:sz w:val="24"/>
              </w:rPr>
            </w:pPr>
            <w:r>
              <w:t>Preostala zapadlost &gt;= 2 leti</w:t>
            </w:r>
          </w:p>
        </w:tc>
      </w:tr>
      <w:tr w:rsidR="00FB08AF" w:rsidRPr="00FB08AF" w:rsidDel="000A3889" w14:paraId="1A70910A" w14:textId="77777777" w:rsidTr="003D419A">
        <w:tc>
          <w:tcPr>
            <w:tcW w:w="1130" w:type="dxa"/>
            <w:vAlign w:val="center"/>
          </w:tcPr>
          <w:p w14:paraId="38CB7734" w14:textId="5A2BE7DA" w:rsidR="00DC4984" w:rsidRPr="00FB08AF" w:rsidRDefault="007D143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Izključene obveznosti</w:t>
            </w:r>
          </w:p>
          <w:p w14:paraId="70A8E546" w14:textId="429FC290" w:rsidR="00DC4984" w:rsidRPr="00FB08AF" w:rsidRDefault="00DC4984" w:rsidP="009D79B2">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Člen 72a(2)</w:t>
            </w:r>
            <w:r>
              <w:t xml:space="preserve"> Uredbe (EU) št. 575/2013</w:t>
            </w:r>
            <w:r>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Kapitalski instrumenti, izdani s strani subjektov za likvidacijo iz iste skupine v postopku reševanja</w:t>
            </w:r>
          </w:p>
          <w:p w14:paraId="35DA2E89" w14:textId="0741A503" w:rsidR="00B73E12" w:rsidRPr="00FB08AF" w:rsidRDefault="00B73E1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Deleži v kapitalskih instrumentih, izdanih s strani subjektov, ki niso v postopku reševanja, so subjekti za likvidacijo in so del iste skupine v postopku reševanja ter za katere organ za reševanje ni določil minimalne zahteve glede kapitala in kvalificiranih obveznosti v skladu s členom 45 Direktive 2014/59/EU.</w:t>
            </w:r>
          </w:p>
          <w:p w14:paraId="7D6540B2" w14:textId="0E3804A8" w:rsidR="00B73E12" w:rsidRPr="00FB08AF" w:rsidRDefault="00B73E12"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Ta znesek se poroča v tej vrstici ne glede na to, ali so izpolnjeni pogoji iz člena 45c(2a), peti pododstavek, Direktive 2014/59/EU.</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Razmerje med deleži v kapitalskih instrumentih, izdanih s strani subjektov za likvidacijo, in kvalificiranim kapitalom ter kvalificiranimi obveznosti</w:t>
            </w:r>
          </w:p>
          <w:p w14:paraId="72E04E58" w14:textId="77777777" w:rsidR="00B73E12" w:rsidRPr="00FB08AF" w:rsidRDefault="00B73E12" w:rsidP="009D79B2">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Člen 45c(2a) Direktive 2014/59/EU. </w:t>
            </w:r>
          </w:p>
          <w:p w14:paraId="222A80B4" w14:textId="77777777" w:rsidR="00B73E12" w:rsidRPr="00FB08AF" w:rsidRDefault="00B73E12" w:rsidP="009D79B2">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Razmerje se izračuna samo za datum predložitve 31. december. Za druge referenčne datume se poroča razmerje, izračunano na dan 31. decembra predhodnega leta.</w:t>
            </w:r>
          </w:p>
          <w:p w14:paraId="5398413F" w14:textId="77777777" w:rsidR="00B73E12" w:rsidRPr="00FB08AF" w:rsidRDefault="00B73E12" w:rsidP="009D79B2">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Razmerje se poroča, kot sledi:</w:t>
            </w:r>
          </w:p>
          <w:p w14:paraId="130BEF26" w14:textId="12CD6EAE" w:rsidR="00B73E12" w:rsidRPr="00FB08AF" w:rsidRDefault="00B73E12" w:rsidP="009D79B2">
            <w:pPr>
              <w:pStyle w:val="InstructionsText"/>
              <w:numPr>
                <w:ilvl w:val="0"/>
                <w:numId w:val="76"/>
              </w:numPr>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števec: za zadevno koledarsko leto povprečje 12 mesečnih vrednosti deležev v kapitalskih instrumentih, izdanih s strani subjektov, ki niso v postopku reševanja, so subjekti za likvidacijo in so del iste skupine v postopku reševanja ter za katere organ za reševanje ni določil minimalne zahteve glede kapitala in kvalificiranih obveznosti v skladu s členom 45 Direktive 2014/59/EU;</w:t>
            </w:r>
          </w:p>
          <w:p w14:paraId="78E1880F" w14:textId="05939301" w:rsidR="00B73E12" w:rsidRPr="00FB08AF" w:rsidRDefault="00B73E12" w:rsidP="009D79B2">
            <w:pPr>
              <w:pStyle w:val="InstructionsText"/>
              <w:numPr>
                <w:ilvl w:val="0"/>
                <w:numId w:val="76"/>
              </w:numPr>
              <w:rPr>
                <w:rStyle w:val="InstructionsTabelleberschrift"/>
                <w:rFonts w:ascii="Times New Roman" w:hAnsi="Times New Roman"/>
                <w:sz w:val="24"/>
              </w:rPr>
            </w:pPr>
            <w:r>
              <w:rPr>
                <w:rStyle w:val="InstructionsTabelleberschrift"/>
                <w:rFonts w:ascii="Times New Roman" w:hAnsi="Times New Roman"/>
                <w:b w:val="0"/>
                <w:sz w:val="24"/>
                <w:u w:val="none"/>
              </w:rPr>
              <w:t>imenovalec: za zadevno koledarsko leto povprečje 12 mesečnih vrednosti kapitala in kvalificiranih obveznosti subjekta, ki poroča, izračunano brez upoštevanja odbitkov deležev v kapitalskih instrumentih v skladu s členom 45c(2a), peti pododstavek, Direktive 2014/59/EU.</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Struktura financiranja kvalificiranih obveznosti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Splošne opombe</w:t>
      </w:r>
      <w:bookmarkEnd w:id="55"/>
      <w:bookmarkEnd w:id="56"/>
      <w:bookmarkEnd w:id="57"/>
    </w:p>
    <w:p w14:paraId="3591A4DC" w14:textId="13176F8B" w:rsidR="00AD2DA9" w:rsidRPr="00FB08AF" w:rsidRDefault="00762AE8" w:rsidP="009D79B2">
      <w:pPr>
        <w:pStyle w:val="InstructionsText2"/>
      </w:pPr>
      <w:r>
        <w:t>V tej predlogi se zahtevajo informacije o strukturi financiranja kvalificiranih obveznosti subjektov, za katere se uporablja MREL. Kvalificirane obveznosti so razčlenjene glede na vrsto obveznosti in zapadlost.</w:t>
      </w:r>
    </w:p>
    <w:p w14:paraId="051EEF6E" w14:textId="11A35C94" w:rsidR="00E645F5" w:rsidRPr="00FB08AF" w:rsidRDefault="00E645F5" w:rsidP="009D79B2">
      <w:pPr>
        <w:pStyle w:val="InstructionsText2"/>
      </w:pPr>
      <w:r>
        <w:t>Subjekti v tej predlogi poročajo samo obveznosti, ki se kvalificirajo za izpolnjevanje minimalne zahteve glede kapitala in kvalificiranih obveznosti iz Direktive 2014/59/EU (MREL/notranja MREL).</w:t>
      </w:r>
    </w:p>
    <w:p w14:paraId="5A88828B" w14:textId="2C48351E" w:rsidR="00095D0D" w:rsidRPr="00FB08AF" w:rsidRDefault="00AD2DA9" w:rsidP="009D79B2">
      <w:pPr>
        <w:pStyle w:val="InstructionsText2"/>
      </w:pPr>
      <w:r>
        <w:t>Če je subjekt, ki poroča, subjekt v postopku reševanja, se poročajo kvalificirane obveznosti, kot so opredeljene v členu 2(1), točka 71a, Direktive 2014/59/EU, pred odbitkom neporabljenih zneskov iz naslova predhodnega dovoljenja. V primeru kvalificiranih obveznosti, ki jih ureja pravo tretje države, se vključijo samo tiste obveznosti, ki izpolnjujejo zahteve iz člena 55 navedene direktive.</w:t>
      </w:r>
    </w:p>
    <w:p w14:paraId="1A4BEB0E" w14:textId="13462232" w:rsidR="00762AE8" w:rsidRPr="00FB08AF" w:rsidRDefault="00AD2DA9" w:rsidP="009D79B2">
      <w:pPr>
        <w:pStyle w:val="InstructionsText2"/>
      </w:pPr>
      <w:r>
        <w:t xml:space="preserve">Če subjekt, ki poroča, ni subjekt v postopku reševanja, v tej predlogi poroča kvalificirane obveznosti iz člena 45f(2), točka (a), Direktive 2014/59/EU, pri čemer upošteva tudi člen 89(2), četrti pododstavek, navedene direktive, kjer je relevantno, pred odbitkom neporabljenih zneskov iz naslova predhodnega dovoljenja. </w:t>
      </w:r>
      <w:r>
        <w:rPr>
          <w:rStyle w:val="InstructionsTabelleberschrift"/>
          <w:rFonts w:ascii="Times New Roman" w:hAnsi="Times New Roman"/>
          <w:b w:val="0"/>
          <w:sz w:val="24"/>
          <w:u w:val="none"/>
        </w:rPr>
        <w:t>V primeru instrumentov, ki jih ureja pravo tretje države, se instrument vključi v to vrstico samo, če izpolnjuje zahteve iz člena 55 navedene direktive.</w:t>
      </w:r>
    </w:p>
    <w:p w14:paraId="2C1B2000" w14:textId="677FC435" w:rsidR="00762AE8" w:rsidRPr="00FB08AF" w:rsidRDefault="00762AE8" w:rsidP="009D79B2">
      <w:pPr>
        <w:pStyle w:val="InstructionsText2"/>
      </w:pPr>
      <w:r>
        <w:t xml:space="preserve">Razčlenitev glede na vrsto obveznosti temelji na istem sklopu vrst obveznosti, ki se uporablja pri poročanju za namene priprave načrtov reševanja v skladu z Izvedbeno uredbo (EU) 2018/1624. Na voljo so sklicevanja na navedeno izvedbeno uredbo, da se lahko določijo različne vrste obveznosti. </w:t>
      </w:r>
    </w:p>
    <w:p w14:paraId="27A75DAB" w14:textId="209C08EF" w:rsidR="00762AE8" w:rsidRPr="00FB08AF" w:rsidRDefault="00762AE8" w:rsidP="009D79B2">
      <w:pPr>
        <w:pStyle w:val="InstructionsText2"/>
      </w:pPr>
      <w:r>
        <w:t>Če se zahteva razčlenitev glede na zapadlost, je preostala zapadlost čas do pogodbene zapadlosti ali, v skladu s pogoji iz člena 72c(2) ali (3) Uredbe (EU) št. 575/2013, prvi možni datum, na katerega se lahko izvrši opcija. V primeru vmesnih plačil glavnice se glavnica razdeli in razporedi v ustrezne žepke zapadlosti. Kadar je primerno, se zapadlost obravnava ločeno za glavnico in obračunane obresti.</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Navodila za posamezne pozicije</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9D79B2">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Vrstica</w:t>
            </w:r>
          </w:p>
        </w:tc>
        <w:tc>
          <w:tcPr>
            <w:tcW w:w="7620" w:type="dxa"/>
            <w:shd w:val="clear" w:color="auto" w:fill="D9D9D9"/>
          </w:tcPr>
          <w:p w14:paraId="21D1603A" w14:textId="77777777" w:rsidR="00762AE8" w:rsidRPr="00FB08AF" w:rsidRDefault="00762AE8" w:rsidP="009D79B2">
            <w:pPr>
              <w:pStyle w:val="InstructionsText"/>
              <w:rPr>
                <w:rStyle w:val="InstructionsTabelleText"/>
                <w:rFonts w:ascii="Times New Roman" w:hAnsi="Times New Roman"/>
                <w:bCs/>
                <w:sz w:val="24"/>
              </w:rPr>
            </w:pPr>
            <w:r>
              <w:rPr>
                <w:rStyle w:val="InstructionsTabelleText"/>
                <w:rFonts w:ascii="Times New Roman" w:hAnsi="Times New Roman"/>
                <w:sz w:val="24"/>
              </w:rPr>
              <w:t>Pravna podlaga in navodila</w:t>
            </w:r>
          </w:p>
        </w:tc>
      </w:tr>
      <w:tr w:rsidR="00FB08AF" w:rsidRPr="00FB08AF" w14:paraId="5383880C" w14:textId="77777777" w:rsidTr="00762AE8">
        <w:tc>
          <w:tcPr>
            <w:tcW w:w="1129" w:type="dxa"/>
            <w:vAlign w:val="center"/>
          </w:tcPr>
          <w:p w14:paraId="64C649B2"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9D79B2">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KVALIFICIRANE OBVEZNOSTI</w:t>
            </w:r>
          </w:p>
        </w:tc>
      </w:tr>
      <w:tr w:rsidR="00FB08AF" w:rsidRPr="00FB08AF" w14:paraId="0F28EE1A" w14:textId="77777777" w:rsidTr="00762AE8">
        <w:tc>
          <w:tcPr>
            <w:tcW w:w="1129" w:type="dxa"/>
            <w:vAlign w:val="center"/>
          </w:tcPr>
          <w:p w14:paraId="7807213A"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Vloge, ki niso niti krite niti prednostne &gt;= 1 leto</w:t>
            </w:r>
          </w:p>
          <w:p w14:paraId="49C46A25" w14:textId="3811070C" w:rsidR="00762AE8" w:rsidRPr="00FB08AF" w:rsidRDefault="00762AE8"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Vloge, ki niso niti krite niti prednostne, kot so opredeljene za namene vrstice 0320 predloge Z 02.00 iz Priloge I k</w:t>
            </w:r>
            <w:r>
              <w:t xml:space="preserve"> 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1 leto in &lt; 2 leti</w:t>
            </w:r>
          </w:p>
        </w:tc>
      </w:tr>
      <w:tr w:rsidR="00FB08AF" w:rsidRPr="00FB08AF" w14:paraId="2B846C55" w14:textId="77777777" w:rsidTr="00762AE8">
        <w:tc>
          <w:tcPr>
            <w:tcW w:w="1129" w:type="dxa"/>
            <w:vAlign w:val="center"/>
          </w:tcPr>
          <w:p w14:paraId="1DF3A70F"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2 leti</w:t>
            </w:r>
          </w:p>
        </w:tc>
      </w:tr>
      <w:tr w:rsidR="00FB08AF" w:rsidRPr="00FB08AF" w14:paraId="0BA3B219" w14:textId="77777777" w:rsidTr="00762AE8">
        <w:tc>
          <w:tcPr>
            <w:tcW w:w="1129" w:type="dxa"/>
            <w:vAlign w:val="center"/>
          </w:tcPr>
          <w:p w14:paraId="123CD651"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ki so jih izdale podrejene družbe</w:t>
            </w:r>
          </w:p>
        </w:tc>
      </w:tr>
      <w:tr w:rsidR="00FB08AF" w:rsidRPr="00FB08AF" w14:paraId="0C7523A2" w14:textId="77777777" w:rsidTr="00762AE8">
        <w:tc>
          <w:tcPr>
            <w:tcW w:w="1129" w:type="dxa"/>
            <w:vAlign w:val="center"/>
          </w:tcPr>
          <w:p w14:paraId="21F422EE"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0300</w:t>
            </w:r>
          </w:p>
        </w:tc>
        <w:tc>
          <w:tcPr>
            <w:tcW w:w="7620" w:type="dxa"/>
            <w:vAlign w:val="center"/>
          </w:tcPr>
          <w:p w14:paraId="2DECC0A1" w14:textId="77777777" w:rsidR="00762AE8" w:rsidRPr="00FB08AF" w:rsidRDefault="00762AE8" w:rsidP="009D79B2">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Zavarovane obveznosti, ki niso zavarovane s premoženjem &gt;= 1 leto </w:t>
            </w:r>
          </w:p>
          <w:p w14:paraId="6EA6B4DB" w14:textId="03EDC0BC" w:rsidR="00762AE8" w:rsidRPr="00FB08AF" w:rsidRDefault="00762AE8"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Zavarovane obveznosti, ki niso zavarovane s premoženjem, kot so opredeljene za namene vrstice 0340 predloge Z 02.00 iz Priloge I k</w:t>
            </w:r>
            <w:r>
              <w:t xml:space="preserve"> 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6A53393A" w14:textId="77777777" w:rsidTr="00762AE8">
        <w:tc>
          <w:tcPr>
            <w:tcW w:w="1129" w:type="dxa"/>
            <w:vAlign w:val="center"/>
          </w:tcPr>
          <w:p w14:paraId="04E4AAE3"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1 leto in &lt; 2 leti</w:t>
            </w:r>
          </w:p>
        </w:tc>
      </w:tr>
      <w:tr w:rsidR="00FB08AF" w:rsidRPr="00FB08AF" w14:paraId="600B55D1" w14:textId="77777777" w:rsidTr="00762AE8">
        <w:tc>
          <w:tcPr>
            <w:tcW w:w="1129" w:type="dxa"/>
            <w:vAlign w:val="center"/>
          </w:tcPr>
          <w:p w14:paraId="15C760CE"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2 leti</w:t>
            </w:r>
          </w:p>
        </w:tc>
      </w:tr>
      <w:tr w:rsidR="00FB08AF" w:rsidRPr="00FB08AF" w14:paraId="1A7BF7A4" w14:textId="77777777" w:rsidTr="00762AE8">
        <w:tc>
          <w:tcPr>
            <w:tcW w:w="1129" w:type="dxa"/>
            <w:vAlign w:val="center"/>
          </w:tcPr>
          <w:p w14:paraId="2DE80C2B"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ki so jih izdale podrejene družbe</w:t>
            </w:r>
          </w:p>
        </w:tc>
      </w:tr>
      <w:tr w:rsidR="00FB08AF" w:rsidRPr="00FB08AF" w14:paraId="2B098627" w14:textId="77777777" w:rsidTr="00762AE8">
        <w:tc>
          <w:tcPr>
            <w:tcW w:w="1129" w:type="dxa"/>
            <w:vAlign w:val="center"/>
          </w:tcPr>
          <w:p w14:paraId="20D819CF"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Strukturirani vrednostni papirji &gt;= 1 leto</w:t>
            </w:r>
          </w:p>
          <w:p w14:paraId="74959F34" w14:textId="50937CF0" w:rsidR="00762AE8" w:rsidRPr="00FB08AF" w:rsidRDefault="00762AE8"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Strukturirani vrednostni papirji, kot so opredeljeni za namene vrstice 0350 predloge Z 02.00 iz Priloge I k</w:t>
            </w:r>
            <w:r>
              <w:t xml:space="preserve"> 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1 leto in &lt; 2 leti</w:t>
            </w:r>
          </w:p>
        </w:tc>
      </w:tr>
      <w:tr w:rsidR="00FB08AF" w:rsidRPr="00FB08AF" w14:paraId="6936C748" w14:textId="77777777" w:rsidTr="00762AE8">
        <w:tc>
          <w:tcPr>
            <w:tcW w:w="1129" w:type="dxa"/>
            <w:vAlign w:val="center"/>
          </w:tcPr>
          <w:p w14:paraId="6F001B61"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preostala zapadlost &gt;= 2 leti</w:t>
            </w:r>
          </w:p>
        </w:tc>
      </w:tr>
      <w:tr w:rsidR="00FB08AF" w:rsidRPr="00FB08AF" w14:paraId="10DD7ADF" w14:textId="77777777" w:rsidTr="00762AE8">
        <w:tc>
          <w:tcPr>
            <w:tcW w:w="1129" w:type="dxa"/>
            <w:vAlign w:val="center"/>
          </w:tcPr>
          <w:p w14:paraId="7587F6C9"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ki so jih izdale podrejene družbe</w:t>
            </w:r>
          </w:p>
        </w:tc>
      </w:tr>
      <w:tr w:rsidR="00FB08AF" w:rsidRPr="00FB08AF" w14:paraId="07BF9E28" w14:textId="77777777" w:rsidTr="00762AE8">
        <w:tc>
          <w:tcPr>
            <w:tcW w:w="1129" w:type="dxa"/>
            <w:vAlign w:val="center"/>
          </w:tcPr>
          <w:p w14:paraId="1BBF737D"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9D79B2">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Nadrejene nezavarovane obveznosti &gt;= 1 leto</w:t>
            </w:r>
          </w:p>
          <w:p w14:paraId="0E73B3A6" w14:textId="66B8722E" w:rsidR="00762AE8" w:rsidRPr="00FB08AF" w:rsidRDefault="00762AE8"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Nadrejene nezavarovane obveznosti, kot so opredeljene za namene vrstice 0360 predloge Z 02.00 iz Priloge I k</w:t>
            </w:r>
            <w:r>
              <w:t xml:space="preserve"> 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35199AA2" w14:textId="77777777" w:rsidTr="00762AE8">
        <w:tc>
          <w:tcPr>
            <w:tcW w:w="1129" w:type="dxa"/>
            <w:vAlign w:val="center"/>
          </w:tcPr>
          <w:p w14:paraId="5D231682"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1 leto in &lt; 2 leti</w:t>
            </w:r>
          </w:p>
        </w:tc>
      </w:tr>
      <w:tr w:rsidR="00FB08AF" w:rsidRPr="00FB08AF" w14:paraId="07D96CBB" w14:textId="77777777" w:rsidTr="00762AE8">
        <w:tc>
          <w:tcPr>
            <w:tcW w:w="1129" w:type="dxa"/>
            <w:vAlign w:val="center"/>
          </w:tcPr>
          <w:p w14:paraId="324DFF96"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2 leti</w:t>
            </w:r>
          </w:p>
        </w:tc>
      </w:tr>
      <w:tr w:rsidR="00FB08AF" w:rsidRPr="00FB08AF" w14:paraId="295B6D82" w14:textId="77777777" w:rsidTr="00762AE8">
        <w:tc>
          <w:tcPr>
            <w:tcW w:w="1129" w:type="dxa"/>
            <w:vAlign w:val="center"/>
          </w:tcPr>
          <w:p w14:paraId="3B2CFD81"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ki so jih izdale podrejene družbe</w:t>
            </w:r>
          </w:p>
        </w:tc>
      </w:tr>
      <w:tr w:rsidR="00FB08AF" w:rsidRPr="00FB08AF" w14:paraId="12EA602F" w14:textId="77777777" w:rsidTr="00762AE8">
        <w:tc>
          <w:tcPr>
            <w:tcW w:w="1129" w:type="dxa"/>
            <w:vAlign w:val="center"/>
          </w:tcPr>
          <w:p w14:paraId="3384E48D"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9D79B2">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Nadrejene neprednostne obveznosti &gt;= 1 leto</w:t>
            </w:r>
          </w:p>
          <w:p w14:paraId="2BB67D1C" w14:textId="651E9DC0" w:rsidR="00762AE8" w:rsidRPr="00FB08AF" w:rsidRDefault="00762AE8" w:rsidP="009D79B2">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Nadrejene neprednostne obveznosti, kot so opredeljene za namene vrstice 0365 predloge Z 02.00 iz Priloge I k </w:t>
            </w:r>
            <w:r>
              <w:t>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1 leto in &lt; 2 leti</w:t>
            </w:r>
          </w:p>
        </w:tc>
      </w:tr>
      <w:tr w:rsidR="00FB08AF" w:rsidRPr="00FB08AF" w14:paraId="09D13A9A" w14:textId="77777777" w:rsidTr="00762AE8">
        <w:tc>
          <w:tcPr>
            <w:tcW w:w="1129" w:type="dxa"/>
            <w:vAlign w:val="center"/>
          </w:tcPr>
          <w:p w14:paraId="1E082A92"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9D79B2">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od tega: preostala zapadlost &gt;= 2 leti</w:t>
            </w:r>
          </w:p>
        </w:tc>
      </w:tr>
      <w:tr w:rsidR="00FB08AF" w:rsidRPr="00FB08AF" w14:paraId="23C432FB" w14:textId="77777777" w:rsidTr="00762AE8">
        <w:tc>
          <w:tcPr>
            <w:tcW w:w="1129" w:type="dxa"/>
            <w:vAlign w:val="center"/>
          </w:tcPr>
          <w:p w14:paraId="3AC1EB08"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ki so jih izdale podrejene družbe</w:t>
            </w:r>
          </w:p>
        </w:tc>
      </w:tr>
      <w:tr w:rsidR="00FB08AF" w:rsidRPr="00FB08AF" w14:paraId="6A916816" w14:textId="77777777" w:rsidTr="00762AE8">
        <w:tc>
          <w:tcPr>
            <w:tcW w:w="1129" w:type="dxa"/>
            <w:vAlign w:val="center"/>
          </w:tcPr>
          <w:p w14:paraId="38E47A5C"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Podrejene obveznosti (nepriznane za kapital) &gt;= 1 leto</w:t>
            </w:r>
          </w:p>
          <w:p w14:paraId="47C4F901" w14:textId="4780C2C4" w:rsidR="00762AE8" w:rsidRPr="00FB08AF" w:rsidRDefault="00F94369"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Podrejene obveznosti, kot so opredeljene za namene vrstice 0370 predloge Z 02.00 iz Priloge I k</w:t>
            </w:r>
            <w:r>
              <w:t xml:space="preserve"> Izvedbeni uredbi (EU) 2018/1624</w:t>
            </w:r>
            <w:r>
              <w:rPr>
                <w:rStyle w:val="FormatvorlageInstructionsTabelleText"/>
                <w:rFonts w:ascii="Times New Roman" w:hAnsi="Times New Roman"/>
                <w:sz w:val="24"/>
              </w:rPr>
              <w:t>, ki se kvalificirajo za namene člena 45</w:t>
            </w:r>
            <w:r>
              <w:t xml:space="preserve"> Direktive 2014/59/EU</w:t>
            </w:r>
            <w:r>
              <w:rPr>
                <w:rStyle w:val="FormatvorlageInstructionsTabelleText"/>
                <w:rFonts w:ascii="Times New Roman" w:hAnsi="Times New Roman"/>
                <w:sz w:val="24"/>
              </w:rPr>
              <w:t>.</w:t>
            </w:r>
          </w:p>
        </w:tc>
      </w:tr>
      <w:tr w:rsidR="00FB08AF" w:rsidRPr="00FB08AF" w14:paraId="57465221" w14:textId="77777777" w:rsidTr="00762AE8">
        <w:tc>
          <w:tcPr>
            <w:tcW w:w="1129" w:type="dxa"/>
            <w:vAlign w:val="center"/>
          </w:tcPr>
          <w:p w14:paraId="67531431"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preostala zapadlost &gt;= 1 leto in &lt; 2 leti</w:t>
            </w:r>
          </w:p>
        </w:tc>
      </w:tr>
      <w:tr w:rsidR="00FB08AF" w:rsidRPr="00FB08AF" w14:paraId="625CC92F" w14:textId="77777777" w:rsidTr="00762AE8">
        <w:tc>
          <w:tcPr>
            <w:tcW w:w="1129" w:type="dxa"/>
            <w:vAlign w:val="center"/>
          </w:tcPr>
          <w:p w14:paraId="3FC9B0A7"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preostala zapadlost &gt;= 2 leti</w:t>
            </w:r>
          </w:p>
        </w:tc>
      </w:tr>
      <w:tr w:rsidR="00FB08AF" w:rsidRPr="00FB08AF" w14:paraId="5E1CEAC6" w14:textId="77777777" w:rsidTr="00762AE8">
        <w:tc>
          <w:tcPr>
            <w:tcW w:w="1129" w:type="dxa"/>
            <w:vAlign w:val="center"/>
          </w:tcPr>
          <w:p w14:paraId="1C9EF155"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9D79B2">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od</w:t>
            </w:r>
            <w:r>
              <w:rPr>
                <w:rStyle w:val="FormatvorlageInstructionsTabelleText"/>
                <w:rFonts w:ascii="Times New Roman" w:hAnsi="Times New Roman"/>
                <w:b/>
                <w:sz w:val="24"/>
                <w:u w:val="single"/>
              </w:rPr>
              <w:t xml:space="preserve"> tega:</w:t>
            </w:r>
            <w:r>
              <w:rPr>
                <w:rStyle w:val="InstructionsTabelleberschrift"/>
                <w:rFonts w:ascii="Times New Roman" w:hAnsi="Times New Roman"/>
                <w:sz w:val="24"/>
              </w:rPr>
              <w:t xml:space="preserve"> ki so jih izdale podrejene družbe</w:t>
            </w:r>
          </w:p>
        </w:tc>
      </w:tr>
      <w:tr w:rsidR="00FB08AF" w:rsidRPr="00FB08AF" w14:paraId="2CFE4F64" w14:textId="77777777" w:rsidTr="00762AE8">
        <w:tc>
          <w:tcPr>
            <w:tcW w:w="1129" w:type="dxa"/>
            <w:vAlign w:val="center"/>
          </w:tcPr>
          <w:p w14:paraId="1667A13F"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Druge kvalificirane obveznosti za MREL &gt;= 1 leto</w:t>
            </w:r>
          </w:p>
          <w:p w14:paraId="76DA3A5F" w14:textId="4DF75699"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Vsak drug instrument, ki se kvalificira za namene člena 45 </w:t>
            </w:r>
            <w:r>
              <w:t>Direktive 2014/59/EU</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0810</w:t>
            </w:r>
          </w:p>
        </w:tc>
        <w:tc>
          <w:tcPr>
            <w:tcW w:w="7620" w:type="dxa"/>
            <w:vAlign w:val="center"/>
          </w:tcPr>
          <w:p w14:paraId="17A02E94"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preostala zapadlost &gt;= 1 leto in &lt; 2 leti</w:t>
            </w:r>
          </w:p>
        </w:tc>
      </w:tr>
      <w:tr w:rsidR="00FB08AF" w:rsidRPr="00FB08AF" w14:paraId="3D6B2982" w14:textId="77777777" w:rsidTr="00762AE8">
        <w:tc>
          <w:tcPr>
            <w:tcW w:w="1129" w:type="dxa"/>
            <w:vAlign w:val="center"/>
          </w:tcPr>
          <w:p w14:paraId="43A5C56C"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preostala zapadlost &gt;= 2 leti</w:t>
            </w:r>
          </w:p>
        </w:tc>
      </w:tr>
      <w:tr w:rsidR="00762AE8" w:rsidRPr="00FB08AF" w14:paraId="11DE9C50" w14:textId="77777777" w:rsidTr="00762AE8">
        <w:tc>
          <w:tcPr>
            <w:tcW w:w="1129" w:type="dxa"/>
            <w:vAlign w:val="center"/>
          </w:tcPr>
          <w:p w14:paraId="53242FBA" w14:textId="77777777" w:rsidR="00762AE8" w:rsidRPr="00FB08AF" w:rsidRDefault="00762AE8"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od tega: ki so jih izdale podrejene družbe</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razvrstitev glede na vrstni red poplačila v hierarhiji upnikov</w:t>
      </w:r>
      <w:bookmarkEnd w:id="62"/>
    </w:p>
    <w:p w14:paraId="2625F207" w14:textId="7E2342CE" w:rsidR="00C91ACB" w:rsidRPr="00FB08AF" w:rsidRDefault="00C91ACB" w:rsidP="009D79B2">
      <w:pPr>
        <w:pStyle w:val="InstructionsText2"/>
      </w:pPr>
      <w:r>
        <w:t>Predlogi M 05.00 in M 06.00 zajemata razvrstitev kvalificiranih obveznosti glede na vrstni red poplačila v hierarhiji upnikov. Obe predlogi se vedno poročata na posamični ravni.</w:t>
      </w:r>
    </w:p>
    <w:p w14:paraId="18C2B303" w14:textId="229D9162" w:rsidR="00C91ACB" w:rsidRPr="00FB08AF" w:rsidRDefault="00C91ACB" w:rsidP="009D79B2">
      <w:pPr>
        <w:pStyle w:val="InstructionsText2"/>
      </w:pPr>
      <w:r>
        <w:t>V primeru subjektov, ki sami niso subjekti v postopku reševanja, se znesek, ki se lahko pripiše posameznemu mestu v vrstnem redu poplačila, nadalje razčleni na zneske, ki se dolgujejo subjektu v postopku reševanja, in druge zneske, ki se ne dolgujejo subjektu v postopku reševanja, kjer je relevantno.</w:t>
      </w:r>
    </w:p>
    <w:p w14:paraId="21EE5EAE" w14:textId="77777777" w:rsidR="00C91ACB" w:rsidRPr="00FB08AF" w:rsidRDefault="00C91ACB" w:rsidP="009D79B2">
      <w:pPr>
        <w:pStyle w:val="InstructionsText2"/>
      </w:pPr>
      <w:r>
        <w:t xml:space="preserve">Vrstni red poplačila je prikazan od najbolj podrejenega do najbolj nadrejenega mesta. Vrstice za mesta v vrstnem redu poplačila se dodajajo tako dolgo, dokler niso sporočeni najvišje uvrščeni kvalificirani instrument in vse obveznosti, ki so uvrščene </w:t>
      </w:r>
      <w:r>
        <w:rPr>
          <w:i/>
        </w:rPr>
        <w:t>pari passu</w:t>
      </w:r>
      <w:r>
        <w:t xml:space="preserve"> temu instrumentu.</w:t>
      </w:r>
    </w:p>
    <w:p w14:paraId="50B30E08" w14:textId="117FE293" w:rsidR="00C91ACB" w:rsidRPr="00FB08AF" w:rsidRDefault="00C91ACB" w:rsidP="00873459">
      <w:pPr>
        <w:pStyle w:val="Numberedtilelevel1"/>
        <w:numPr>
          <w:ilvl w:val="1"/>
          <w:numId w:val="30"/>
        </w:numPr>
      </w:pPr>
      <w:bookmarkStart w:id="63" w:name="_Toc45558494"/>
      <w:r>
        <w:t>M 05.00 – Razvrstitev glede na vrstni red poplačila v hierarhiji upnikov (subjekt, ki ni v postopku reševanja)</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Splošne opombe</w:t>
      </w:r>
      <w:bookmarkEnd w:id="64"/>
      <w:bookmarkEnd w:id="65"/>
      <w:bookmarkEnd w:id="66"/>
    </w:p>
    <w:p w14:paraId="627C4E67" w14:textId="13CBE53A" w:rsidR="005B59C9" w:rsidRPr="00FB08AF" w:rsidRDefault="00BD1023" w:rsidP="009D79B2">
      <w:pPr>
        <w:pStyle w:val="InstructionsText2"/>
      </w:pPr>
      <w:r>
        <w:t>Subjekti, za katere velja obveznost izpolnjevanja zahteve iz člena 92b Uredbe (EU) št. 575/2013, v tej predlogi poročajo:</w:t>
      </w:r>
    </w:p>
    <w:p w14:paraId="1ED4982B" w14:textId="10259DA4" w:rsidR="005B59C9" w:rsidRPr="00FB08AF" w:rsidRDefault="005B59C9" w:rsidP="009D79B2">
      <w:pPr>
        <w:pStyle w:val="InstructionsText2"/>
        <w:numPr>
          <w:ilvl w:val="1"/>
          <w:numId w:val="15"/>
        </w:numPr>
      </w:pPr>
      <w:r>
        <w:t>postavke navadnega lastniškega temeljnega kapitala iz člena 26 Uredbe (EU) št. 575/2013;</w:t>
      </w:r>
    </w:p>
    <w:p w14:paraId="5BDB8BA9" w14:textId="0E1D5F91" w:rsidR="005B59C9" w:rsidRPr="00FB08AF" w:rsidRDefault="005B59C9" w:rsidP="009D79B2">
      <w:pPr>
        <w:pStyle w:val="InstructionsText2"/>
        <w:numPr>
          <w:ilvl w:val="1"/>
          <w:numId w:val="15"/>
        </w:numPr>
      </w:pPr>
      <w:r>
        <w:t>postavke dodatnega temeljnega kapitala iz člena 51 Uredbe (EU) št. 575/2013;</w:t>
      </w:r>
    </w:p>
    <w:p w14:paraId="2BC0BBDC" w14:textId="777D7399" w:rsidR="005B59C9" w:rsidRPr="00FB08AF" w:rsidRDefault="005B59C9" w:rsidP="009D79B2">
      <w:pPr>
        <w:pStyle w:val="InstructionsText2"/>
        <w:numPr>
          <w:ilvl w:val="1"/>
          <w:numId w:val="15"/>
        </w:numPr>
      </w:pPr>
      <w:r>
        <w:t>instrumente dodatnega kapitala ter povezani vplačani presežek kapitala iz člena 62, točki (a) in (b), Uredbe (EU) št. 575/2013, vključno z amortiziranim delom instrumenta, ki ni pripoznan za namene izpolnjevanja zahtev iz člena 92 ali 92b navedene uredbe oziroma člena 45 Direktive 2014/59/EU; ter</w:t>
      </w:r>
    </w:p>
    <w:p w14:paraId="3C2101A2" w14:textId="4BF53639" w:rsidR="005B59C9" w:rsidRPr="00FB08AF" w:rsidRDefault="001D0B80" w:rsidP="009D79B2">
      <w:pPr>
        <w:pStyle w:val="InstructionsText2"/>
        <w:numPr>
          <w:ilvl w:val="1"/>
          <w:numId w:val="15"/>
        </w:numPr>
      </w:pPr>
      <w:r>
        <w:t xml:space="preserve">instrumente obveznosti, ki se kvalificirajo za izpolnjevanje notranje MREL; </w:t>
      </w:r>
    </w:p>
    <w:p w14:paraId="3AB7FC53" w14:textId="1519070D" w:rsidR="00F07E87" w:rsidRPr="00FB08AF" w:rsidRDefault="002854B5" w:rsidP="009D79B2">
      <w:pPr>
        <w:pStyle w:val="InstructionsText2"/>
        <w:numPr>
          <w:ilvl w:val="1"/>
          <w:numId w:val="15"/>
        </w:numPr>
      </w:pPr>
      <w:r>
        <w:t xml:space="preserve">druge obveznosti, za katere je mogoče uporabiti instrument za reševanje s sredstvi upnikov; </w:t>
      </w:r>
    </w:p>
    <w:p w14:paraId="4B50C36D" w14:textId="1C6214FE" w:rsidR="00BD1023" w:rsidRPr="00FB08AF" w:rsidRDefault="00F07E87" w:rsidP="009D79B2">
      <w:pPr>
        <w:pStyle w:val="InstructionsText2"/>
        <w:numPr>
          <w:ilvl w:val="1"/>
          <w:numId w:val="15"/>
        </w:numPr>
      </w:pPr>
      <w:r>
        <w:t xml:space="preserve">obveznosti, izključene iz reševanja s sredstvi upnikov; te obveznosti se vključijo v obsegu, v katerem so uvrščene </w:t>
      </w:r>
      <w:r>
        <w:rPr>
          <w:i/>
        </w:rPr>
        <w:t>pari passu</w:t>
      </w:r>
      <w:r>
        <w:t xml:space="preserve"> ali podrejene kateremu koli instrumentu, vključenemu v znesek kvalificiranih obveznosti za namene notranje MREL. </w:t>
      </w:r>
    </w:p>
    <w:p w14:paraId="3B9B66AD" w14:textId="79CC074C" w:rsidR="00F07E87" w:rsidRPr="00FB08AF" w:rsidRDefault="004938DD" w:rsidP="009D79B2">
      <w:pPr>
        <w:pStyle w:val="InstructionsText2"/>
      </w:pPr>
      <w:r>
        <w:lastRenderedPageBreak/>
        <w:t>Zneski instrumentov, ki se kvalificirajo za izpolnjevanje zahtev iz člena 92 ali 92b Uredbe (EU) št. 575/2013 oziroma člena 45 Direktive 2014/59/EU v skladu z veljavnimi prehodnimi določbami, se prav tako upoštevajo v obsegu instrumentov in postavk, navedenih v odstavku 20.</w:t>
      </w:r>
    </w:p>
    <w:p w14:paraId="53BEC45A" w14:textId="0B58E749" w:rsidR="00F07E87" w:rsidRPr="00FB08AF" w:rsidRDefault="00F07E87" w:rsidP="009D79B2">
      <w:pPr>
        <w:pStyle w:val="InstructionsText2"/>
      </w:pPr>
      <w:r>
        <w:t xml:space="preserve">Zneski instrumentov, navedenih v odstavku 20, točke (a), (b) in (c), so znesek po odbitku deležev v lastnih instrumentih iz člena 36(1), točka (f), člena 56, točka (a), in člena 66, točka (a), Uredbe (EU) št. 575/2013. </w:t>
      </w:r>
    </w:p>
    <w:p w14:paraId="587F91CD" w14:textId="329A01DA" w:rsidR="00F07E87" w:rsidRPr="00FB08AF" w:rsidRDefault="00F07E87" w:rsidP="009D79B2">
      <w:pPr>
        <w:pStyle w:val="InstructionsText2"/>
      </w:pPr>
      <w:r>
        <w:t>Zneski instrumentov, navedenih v odstavku 20, točke (a) do (d), so znesek pred odbitkom neporabljenih zneskov iz naslova predhodnega dovoljenja.</w:t>
      </w:r>
    </w:p>
    <w:p w14:paraId="275B2F72" w14:textId="5ED34F87" w:rsidR="00C91BDF" w:rsidRPr="00FB08AF" w:rsidRDefault="00F942C9" w:rsidP="009D79B2">
      <w:pPr>
        <w:pStyle w:val="InstructionsText2"/>
      </w:pPr>
      <w:r>
        <w:t>Subjekti, za katere ne velja obveznost izpolnjevanja zahteve iz člena 92b Uredbe (EU) št. 575/2013, vendar so obvezani izpolnjevati zahtevo iz člena 45 Direktive 2014/59/EU v skladu s členom 45f navedene direktive, v tej predlogi poročajo instrumente in postavke, navedene v odstavku 20 tega oddelka, z izjemo obveznosti, ki so izključene iz reševanja s sredstvi upnikov, iz točke (f) navedenega odstavka.</w:t>
      </w:r>
    </w:p>
    <w:p w14:paraId="3C363ACA" w14:textId="4AF65FDD" w:rsidR="00F942C9" w:rsidRPr="00FB08AF" w:rsidRDefault="00586927" w:rsidP="009D79B2">
      <w:pPr>
        <w:pStyle w:val="InstructionsText2"/>
      </w:pPr>
      <w:r>
        <w:t>Subjekti lahko odstopajo od odstavka 24, tako da se odločijo poročati isti obseg kapitala in obveznosti, kot je naveden v odstavku 20.</w:t>
      </w:r>
    </w:p>
    <w:p w14:paraId="2D11E02F" w14:textId="211DD7F3" w:rsidR="00453B42" w:rsidRPr="00FB08AF" w:rsidRDefault="00FC1379" w:rsidP="009D79B2">
      <w:pPr>
        <w:pStyle w:val="InstructionsText2"/>
      </w:pPr>
      <w:r>
        <w:t>Subjekti, ki imajo na datum poročanja teh informacij zneske kapitala in kvalificiranih obveznosti v višini vsaj 150 % zahteve iz člena 45(1) Direktive 2014/59/EU, so izvzeti iz poročanja informacij o drugih obveznostih, za katere je mogoče uporabiti instrument za reševanje s sredstvi upnikov. Taki subjekti se lahko v tej predlogi odločijo prostovoljno poročati informacije o drugih obveznostih, za katere je mogoče uporabiti instrument za reševanje s sredstvi upnikov.</w:t>
      </w:r>
    </w:p>
    <w:p w14:paraId="04EC4B94" w14:textId="2CAEDC93" w:rsidR="00C91ACB" w:rsidRPr="00FB08AF" w:rsidRDefault="00C91ACB" w:rsidP="009D79B2">
      <w:pPr>
        <w:pStyle w:val="InstructionsText2"/>
      </w:pPr>
      <w:r>
        <w:t>Kombinacija stolpcev 0010 in 0020 je identifikator vrstice in je enoznačna za vse vrstice v predlogi.</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Navodila za posamezne pozicije</w:t>
      </w:r>
      <w:bookmarkEnd w:id="67"/>
      <w:bookmarkEnd w:id="68"/>
      <w:bookmarkEnd w:id="69"/>
    </w:p>
    <w:p w14:paraId="6C74EEE4" w14:textId="77777777" w:rsidR="00C91ACB" w:rsidRPr="00FB08AF" w:rsidRDefault="00C91ACB" w:rsidP="009D79B2">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9D79B2">
            <w:pPr>
              <w:pStyle w:val="InstructionsText"/>
            </w:pPr>
            <w:r>
              <w:t>Stolpci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9D79B2">
            <w:pPr>
              <w:pStyle w:val="InstructionsText"/>
            </w:pPr>
            <w:r>
              <w:t>Pravna podlaga in navodila</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9D79B2">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Mesto v vrstnem redu poplačila v primeru insolventnosti </w:t>
            </w:r>
          </w:p>
          <w:p w14:paraId="257C9336"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 se številka, ki označuje mesto v vrstnem redu poplačila v primeru insolventnosti v hierarhiji upnikov subjekta, ki poroča, pri čemer se začne z najbolj podrejenim mestom.</w:t>
            </w:r>
          </w:p>
          <w:p w14:paraId="37284C2B" w14:textId="5590BC0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Mesto v vrstnem redu poplačila v primeru insolventnosti je eno od tistih iz vrstnega reda poplačila v primeru insolventnosti, ki ga objavi organ za reševanje zadevne jurisdikcije.</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9D79B2">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Vrsta upnika </w:t>
            </w:r>
          </w:p>
          <w:p w14:paraId="65F1A0B3"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Vrsta upnika se sporoči na podlagi naslednjih kategorij:</w:t>
            </w:r>
          </w:p>
          <w:p w14:paraId="01AEE8AB" w14:textId="77777777" w:rsidR="00C91ACB" w:rsidRPr="00FB08AF" w:rsidRDefault="00C91ACB" w:rsidP="009D79B2">
            <w:pPr>
              <w:pStyle w:val="InstructionsText"/>
              <w:numPr>
                <w:ilvl w:val="0"/>
                <w:numId w:val="77"/>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„Subjekt v postopku reševanja“</w:t>
            </w:r>
            <w:r>
              <w:rPr>
                <w:rStyle w:val="FormatvorlageInstructionsTabelleText"/>
                <w:rFonts w:ascii="Times New Roman" w:hAnsi="Times New Roman"/>
                <w:sz w:val="24"/>
              </w:rPr>
              <w:br/>
              <w:t>Ta vnos se izbere za poročanje zneskov, ki jih ima subjekt v postopku reševanja v lasti neposredno ali posredno prek subjektov vzdolž verige lastništva, kjer je relevantno.</w:t>
            </w:r>
          </w:p>
          <w:p w14:paraId="2E20A258" w14:textId="77777777" w:rsidR="00C91ACB" w:rsidRPr="00FB08AF" w:rsidRDefault="00C91ACB" w:rsidP="009D79B2">
            <w:pPr>
              <w:pStyle w:val="InstructionsText"/>
              <w:numPr>
                <w:ilvl w:val="0"/>
                <w:numId w:val="77"/>
              </w:numPr>
              <w:rPr>
                <w:rStyle w:val="InstructionsTabelleberschrift"/>
                <w:rFonts w:ascii="Times New Roman" w:hAnsi="Times New Roman"/>
                <w:sz w:val="24"/>
              </w:rPr>
            </w:pPr>
            <w:r>
              <w:rPr>
                <w:rStyle w:val="FormatvorlageInstructionsTabelleText"/>
                <w:rFonts w:ascii="Times New Roman" w:hAnsi="Times New Roman"/>
                <w:sz w:val="24"/>
              </w:rPr>
              <w:t>„Subjekti, ki niso subjekt v postopku reševanja“</w:t>
            </w:r>
            <w:r>
              <w:rPr>
                <w:rStyle w:val="FormatvorlageInstructionsTabelleText"/>
                <w:rFonts w:ascii="Times New Roman" w:hAnsi="Times New Roman"/>
                <w:sz w:val="24"/>
              </w:rPr>
              <w:br/>
              <w:t>Ta vnos se izbere za poročanje zneskov, ki jih imajo v lasti drugi upniki, kjer je relevantno.</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9D79B2">
            <w:pPr>
              <w:pStyle w:val="InstructionsText"/>
            </w:pPr>
            <w:r>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Opis mesta v vrstnem redu poplačila v primeru insolventnosti</w:t>
            </w:r>
          </w:p>
          <w:p w14:paraId="122A9954" w14:textId="50727B02"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Opis, vključen v vrstni red poplačila v primeru insolventnosti, ki ga objavi organ za reševanje zadevne jurisdikcije, če obstaja standardiziran seznam s takim opisom. V nasprotnem primeru lasten opis mesta v vrstnem redu poplačila v primeru insolventnosti institucije, ki vsebuje vsaj glavno vrsto instrumenta za zadevno mesto v vrstnem redu poplačila v primeru insolventnosti.</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9D79B2">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Obveznosti in kapital</w:t>
            </w:r>
          </w:p>
          <w:p w14:paraId="03660D92" w14:textId="490D18A6" w:rsidR="00CA73FF"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 se znesek kapitala, kvalificiranih obveznosti in, kjer je relevantno, drugih obveznosti, za katere je mogoče uporabiti instrument za reševanje s sredstvi upnikov, ki se dodeli posameznemu mestu v vrstnem redu poplačila v primeru insolventnosti, navedenemu v stolpcu 0010.</w:t>
            </w:r>
          </w:p>
          <w:p w14:paraId="3EAF0BAC" w14:textId="7A1FF05A" w:rsidR="00C91ACB" w:rsidRPr="00FB08AF" w:rsidRDefault="00CA73FF"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Kjer je relevantno, ta stolpec vključuje tudi obveznosti, izključene iz reševanja s sredstvi upnikov, v obsegu, v katerem so podrejene ali uvrščene </w:t>
            </w:r>
            <w:r>
              <w:rPr>
                <w:rStyle w:val="FormatvorlageInstructionsTabelleText"/>
                <w:rFonts w:ascii="Times New Roman" w:hAnsi="Times New Roman"/>
                <w:i/>
                <w:sz w:val="24"/>
              </w:rPr>
              <w:t>pari passu</w:t>
            </w:r>
            <w:r>
              <w:rPr>
                <w:rStyle w:val="FormatvorlageInstructionsTabelleText"/>
                <w:rFonts w:ascii="Times New Roman" w:hAnsi="Times New Roman"/>
                <w:sz w:val="24"/>
              </w:rPr>
              <w:t xml:space="preserve"> kapitalu in kvalificiranim obveznostim. </w:t>
            </w:r>
          </w:p>
          <w:p w14:paraId="7816F63A" w14:textId="75FF0FBE" w:rsidR="00586927" w:rsidRPr="00FB08AF" w:rsidRDefault="00586927" w:rsidP="009D79B2">
            <w:pPr>
              <w:pStyle w:val="InstructionsText"/>
              <w:rPr>
                <w:rStyle w:val="FormatvorlageInstructionsTabelleText"/>
                <w:rFonts w:ascii="Times New Roman" w:hAnsi="Times New Roman"/>
                <w:sz w:val="24"/>
              </w:rPr>
            </w:pPr>
            <w:r>
              <w:t>V primeru subjektov iz odstavka 24 ta stolpec ostane prazen, razen če se ti subjekti odločijo uporabiti odstopanje iz odstavka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9D79B2">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izključene obveznosti</w:t>
            </w:r>
          </w:p>
          <w:p w14:paraId="6FB0E40C" w14:textId="550BD034"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Znesek obveznosti, izključenih v skladu s členom 72a(2) Uredbe (EU) št. 575/2013 ali členom 44(2) </w:t>
            </w:r>
            <w:r>
              <w:t>Direktive 2014/59/EU</w:t>
            </w:r>
            <w:r>
              <w:rPr>
                <w:rStyle w:val="FormatvorlageInstructionsTabelleText"/>
                <w:rFonts w:ascii="Times New Roman" w:hAnsi="Times New Roman"/>
                <w:sz w:val="24"/>
              </w:rPr>
              <w:t>. Če se je organ za reševanje odločil izključiti obveznosti v skladu s členom 44(3) navedene direktive, se te izključene obveznosti prav tako poročajo v tem stolpcu.</w:t>
            </w:r>
          </w:p>
          <w:p w14:paraId="2571716C" w14:textId="535D396F" w:rsidR="00586927" w:rsidRPr="00FB08AF" w:rsidRDefault="00586927" w:rsidP="009D79B2">
            <w:pPr>
              <w:pStyle w:val="InstructionsText"/>
              <w:rPr>
                <w:rStyle w:val="FormatvorlageInstructionsTabelleText"/>
                <w:rFonts w:ascii="Times New Roman" w:hAnsi="Times New Roman"/>
                <w:sz w:val="24"/>
              </w:rPr>
            </w:pPr>
            <w:r>
              <w:t>V primeru subjektov iz odstavka 24 ta stolpec ostane prazen, razen če se ti subjekti odločijo uporabiti odstopanje iz odstavka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9D79B2">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Obveznosti in kapital, zmanjšani za izključene obveznosti</w:t>
            </w:r>
          </w:p>
          <w:p w14:paraId="7EBBC66A" w14:textId="270A00CE" w:rsidR="00C91ACB" w:rsidRPr="00FB08AF" w:rsidRDefault="006B1D21"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Kadar subjekti izpolnijo stolpec 0040, se poroča znesek obveznosti in kapitala, kot se poroča v stolpcu 0040, zmanjšan za znesek izključenih obveznosti iz stolpca 0050.</w:t>
            </w:r>
          </w:p>
          <w:p w14:paraId="5A6ACD32" w14:textId="010EC8FF" w:rsidR="006B1D21" w:rsidRPr="00FB08AF" w:rsidRDefault="00B77345"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Kadar subjekti ne izpolnijo stolpca 0040, v tem stolpcu poročajo </w:t>
            </w:r>
            <w:r>
              <w:t>kapital in obveznosti, ki se kvalificirajo za namene notranje MREL. Druge obveznosti, za katere je mogoče uporabiti instrument za reševanje s sredstvi upnikov, se v tem stolpcu poročajo pod pogoji iz odstavka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9D79B2">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kapital in kvalificirane obveznosti za namene notranje MREL</w:t>
            </w:r>
          </w:p>
          <w:p w14:paraId="61B28CDA" w14:textId="2F99546E"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Poroča se znesek kapitala in kvalificiranih obveznosti, ki se upoštevajo pri notranji MREL v skladu s členom 45f(2) </w:t>
            </w:r>
            <w:r>
              <w:t>Direktive 2014/59/EU</w:t>
            </w:r>
            <w:r>
              <w:rPr>
                <w:rStyle w:val="FormatvorlageInstructionsTabelleText"/>
                <w:rFonts w:ascii="Times New Roman" w:hAnsi="Times New Roman"/>
                <w:sz w:val="24"/>
              </w:rPr>
              <w:t>.</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9D79B2">
            <w:pPr>
              <w:pStyle w:val="InstructionsText"/>
            </w:pPr>
            <w:r>
              <w:lastRenderedPageBreak/>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9D79B2">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od tega: s preostalo zapadlostjo</w:t>
            </w:r>
          </w:p>
          <w:p w14:paraId="747045F9" w14:textId="55F8A8A2"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upoštevajo pri notranji MREL, kot se poroča v stolpcu 0070, se razčleni glede na preostalo zapadlost različnih instrumentov in postavk. Instrumenti in postavke brez določene zapadlosti se ne upoštevajo pri tej razčlenitvi, ampak poročajo ločeno v stolpcu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9D79B2">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leto &lt; 2 leti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9D79B2">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leti &lt; 5 let</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9D79B2">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let &lt; 10 let</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9D79B2">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let</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9D79B2">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vrednostni papirji brez zapadlosti</w:t>
            </w:r>
          </w:p>
          <w:p w14:paraId="1526BF49" w14:textId="314313E1" w:rsidR="004B37F2" w:rsidRPr="00FB08AF" w:rsidRDefault="00B45720"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ta stolpec se vključijo vrednostni papirji brez zapadlosti in vse postavke navadnega lastniškega temeljnega kapitala ter vplačani presežek kapitala pri instrumentih dodatnega temeljnega kapitala in dodatnega kapitala, vključenih v obseg te predloge.</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Razvrstitev glede na vrstni red poplačila v hierarhiji upnikov (subjekt v postopku reševanja)</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Splošne opombe</w:t>
      </w:r>
      <w:bookmarkEnd w:id="71"/>
      <w:bookmarkEnd w:id="72"/>
      <w:bookmarkEnd w:id="73"/>
    </w:p>
    <w:p w14:paraId="5542EFDB" w14:textId="45CDB215" w:rsidR="00322A0F" w:rsidRPr="00FB08AF" w:rsidRDefault="00586927" w:rsidP="009D79B2">
      <w:pPr>
        <w:pStyle w:val="InstructionsText2"/>
      </w:pPr>
      <w:r>
        <w:t xml:space="preserve">Subjekti, za katere velja obveznost izpolnjevanja zahteve iz člena 92a Uredbe (EU) št. 575/2013, v tej predlogi poročajo: </w:t>
      </w:r>
    </w:p>
    <w:p w14:paraId="6279EFD7" w14:textId="7F35A1E6" w:rsidR="00322A0F" w:rsidRPr="00FB08AF" w:rsidRDefault="00322A0F" w:rsidP="009D79B2">
      <w:pPr>
        <w:pStyle w:val="InstructionsText2"/>
        <w:numPr>
          <w:ilvl w:val="1"/>
          <w:numId w:val="15"/>
        </w:numPr>
      </w:pPr>
      <w:r>
        <w:t>postavke navadnega lastniškega temeljnega kapitala iz člena 26 Uredbe (EU) št. 575/2013;</w:t>
      </w:r>
    </w:p>
    <w:p w14:paraId="7AF30828" w14:textId="4790DF54" w:rsidR="00322A0F" w:rsidRPr="00FB08AF" w:rsidRDefault="00322A0F" w:rsidP="009D79B2">
      <w:pPr>
        <w:pStyle w:val="InstructionsText2"/>
        <w:numPr>
          <w:ilvl w:val="1"/>
          <w:numId w:val="15"/>
        </w:numPr>
      </w:pPr>
      <w:r>
        <w:t>postavke dodatnega temeljnega kapitala iz člena 51 Uredbe (EU) št. 575/2013;</w:t>
      </w:r>
    </w:p>
    <w:p w14:paraId="7BBA0777" w14:textId="77DA25EB" w:rsidR="001C4D81" w:rsidRPr="00FB08AF" w:rsidRDefault="00322A0F" w:rsidP="009D79B2">
      <w:pPr>
        <w:pStyle w:val="InstructionsText2"/>
        <w:numPr>
          <w:ilvl w:val="1"/>
          <w:numId w:val="15"/>
        </w:numPr>
      </w:pPr>
      <w:r>
        <w:t xml:space="preserve">instrumente dodatnega kapitala ter povezani vplačani presežek kapitala iz člena 62, točki (a) in (b), Uredbe (EU) št. 575/2013, vključno z amortiziranim delom instrumenta, ki ni pripoznan za namene izpolnjevanja zahtev iz člena 92 ali 92a Uredbe (EU) št. 575/2013 oziroma člena 45 Direktive 2014/59/EU; </w:t>
      </w:r>
    </w:p>
    <w:p w14:paraId="66755AB2" w14:textId="7027C9DC" w:rsidR="001C4D81" w:rsidRPr="00FB08AF" w:rsidRDefault="001C4D81" w:rsidP="009D79B2">
      <w:pPr>
        <w:pStyle w:val="InstructionsText2"/>
        <w:numPr>
          <w:ilvl w:val="1"/>
          <w:numId w:val="15"/>
        </w:numPr>
      </w:pPr>
      <w:r>
        <w:t xml:space="preserve">instrumente obveznosti, ki se kvalificirajo za izpolnjevanje MREL; </w:t>
      </w:r>
    </w:p>
    <w:p w14:paraId="3F253CA0" w14:textId="4177F2DC" w:rsidR="001C4D81" w:rsidRPr="00FB08AF" w:rsidRDefault="001C4D81" w:rsidP="009D79B2">
      <w:pPr>
        <w:pStyle w:val="InstructionsText2"/>
        <w:numPr>
          <w:ilvl w:val="1"/>
          <w:numId w:val="15"/>
        </w:numPr>
      </w:pPr>
      <w:r>
        <w:t>druge obveznosti, za katere je mogoče uporabiti instrument za reševanje s sredstvi upnikov;</w:t>
      </w:r>
    </w:p>
    <w:p w14:paraId="5A6C0462" w14:textId="4A21FFB8" w:rsidR="00586927" w:rsidRPr="00FB08AF" w:rsidRDefault="001C4D81" w:rsidP="009D79B2">
      <w:pPr>
        <w:pStyle w:val="InstructionsText2"/>
        <w:numPr>
          <w:ilvl w:val="1"/>
          <w:numId w:val="15"/>
        </w:numPr>
      </w:pPr>
      <w:r>
        <w:t xml:space="preserve">obveznosti, izključene iz reševanja s sredstvi upnikov; te obveznosti se vključijo v obsegu, v katerem so uvrščene </w:t>
      </w:r>
      <w:r>
        <w:rPr>
          <w:i/>
        </w:rPr>
        <w:t>pari passu</w:t>
      </w:r>
      <w:r>
        <w:t xml:space="preserve"> ali podrejene kateremu koli instrumentu, vključenemu v znesek kvalificiranih obveznosti za namene MREL. </w:t>
      </w:r>
    </w:p>
    <w:p w14:paraId="00E6E45F" w14:textId="155C153B" w:rsidR="001C4D81" w:rsidRPr="00FB08AF" w:rsidRDefault="00B45720" w:rsidP="009D79B2">
      <w:pPr>
        <w:pStyle w:val="InstructionsText2"/>
      </w:pPr>
      <w:r>
        <w:t xml:space="preserve">Zneski instrumentov, ki se kvalificirajo za izpolnjevanje zahtev iz člena 92 ali 92a Uredbe (EU) št. 575/2013 oziroma člena 45 Direktive 2014/59/EU v skladu </w:t>
      </w:r>
      <w:r>
        <w:lastRenderedPageBreak/>
        <w:t>z veljavnimi prehodnimi določbami, se prav tako upoštevajo v obsegu instrumentov in postavk, navedenih v odstavku 28.</w:t>
      </w:r>
    </w:p>
    <w:p w14:paraId="13BF79C7" w14:textId="449C5518" w:rsidR="00322A0F" w:rsidRPr="00FB08AF" w:rsidRDefault="00586927" w:rsidP="009D79B2">
      <w:pPr>
        <w:pStyle w:val="InstructionsText2"/>
      </w:pPr>
      <w:r>
        <w:t xml:space="preserve">Subjekti, za katere ne velja obveznost izpolnjevanja zahteve iz člena 92a Uredbe (EU) št. 575/2013, vendar so obvezani izpolnjevati zahtevo iz člena 45 Direktive 2014/59/EU v skladu s členom 45e navedene direktive, v tej predlogi poročajo instrumente in postavke, navedene v odstavku 28 tega oddelka, z izjemo obveznosti, ki so izključene iz reševanja s sredstvi upnikov, iz točke (f) navedenega odstavka. </w:t>
      </w:r>
    </w:p>
    <w:p w14:paraId="7CF10E5F" w14:textId="23B22620" w:rsidR="00586927" w:rsidRPr="00FB08AF" w:rsidRDefault="00322A0F" w:rsidP="009D79B2">
      <w:pPr>
        <w:pStyle w:val="InstructionsText2"/>
      </w:pPr>
      <w:r>
        <w:t>Subjekti lahko odstopajo od odstavka 30, tako da se odločijo poročati isti obseg kapitala in obveznosti, kot je naveden v odstavku 28.</w:t>
      </w:r>
    </w:p>
    <w:p w14:paraId="42EA1386" w14:textId="70CEE922" w:rsidR="00904685" w:rsidRPr="00FB08AF" w:rsidRDefault="00904685" w:rsidP="009D79B2">
      <w:pPr>
        <w:pStyle w:val="InstructionsText2"/>
      </w:pPr>
      <w:r>
        <w:t xml:space="preserve">Zneski instrumentov, navedenih v odstavku 28, točke (a), (b) in (c), so znesek po odbitku deležev v lastnih instrumentih iz člena 36(1), točka (f), člena 56, točka (a), in člena 66, točka (a), Uredbe (EU) št. 575/2013. </w:t>
      </w:r>
    </w:p>
    <w:p w14:paraId="28FBE016" w14:textId="3E3D56AA" w:rsidR="00904685" w:rsidRPr="00FB08AF" w:rsidRDefault="00904685" w:rsidP="009D79B2">
      <w:pPr>
        <w:pStyle w:val="InstructionsText2"/>
      </w:pPr>
      <w:r>
        <w:t>Zneski instrumentov, navedenih v odstavku 28, točke (a) do (d), so znesek pred odbitkom neporabljenih zneskov iz naslova predhodnega dovoljenja.</w:t>
      </w:r>
    </w:p>
    <w:p w14:paraId="56113AA6" w14:textId="51BD8668" w:rsidR="00453B42" w:rsidRPr="00FB08AF" w:rsidRDefault="00FC1379" w:rsidP="009D79B2">
      <w:pPr>
        <w:pStyle w:val="InstructionsText2"/>
      </w:pPr>
      <w:r>
        <w:t>Subjekti, ki imajo na datum poročanja teh informacij zneske kapitala in kvalificiranih obveznosti v višini vsaj 150 % zahteve iz člena 45(1) Direktive 2014/59/EU, so izvzeti iz poročanja informacij o drugih obveznostih, za katere je mogoče uporabiti instrument za reševanje s sredstvi upnikov. Taki subjekti se lahko v tej predlogi odločijo prostovoljno poročati informacije o drugih obveznostih, za katere je mogoče uporabiti instrument za reševanje s sredstvi upnikov.</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Navodila za posamezne pozicije</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9D79B2">
            <w:pPr>
              <w:pStyle w:val="InstructionsText"/>
            </w:pPr>
            <w:r>
              <w:t>Stolpci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9D79B2">
            <w:pPr>
              <w:pStyle w:val="InstructionsText"/>
            </w:pPr>
            <w:r>
              <w:t>Pravna podlaga in navodila</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Mesto v vrstnem redu poplačila v primeru insolventnosti</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Glej navodila za stolpec 0010 v predlogi M 05.00.</w:t>
            </w:r>
          </w:p>
          <w:p w14:paraId="4BDEE699" w14:textId="2E13107A" w:rsidR="002D5E59" w:rsidRPr="00FB08AF" w:rsidRDefault="002D5E59" w:rsidP="00C271AC">
            <w:r>
              <w:rPr>
                <w:rStyle w:val="FormatvorlageInstructionsTabelleText"/>
                <w:rFonts w:ascii="Times New Roman" w:hAnsi="Times New Roman"/>
                <w:sz w:val="24"/>
              </w:rPr>
              <w:t>Ta stolpec je identifikator vrstice in je enoznačen za vse vrstice v predlogi.</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Opis mesta v vrstnem redu poplačila v primeru insolventnosti</w:t>
            </w:r>
          </w:p>
          <w:p w14:paraId="307D484C"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Glej navodila za stolpec 0030 v predlogi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Obveznosti in kapital </w:t>
            </w:r>
          </w:p>
          <w:p w14:paraId="1EB9D7FE" w14:textId="2BE7FDA6"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 se znesek kapitala, kvalificiranih obveznosti in, kjer je relevantno, drugih obveznosti, za katere je mogoče uporabiti instrument za reševanje s sredstvi upnikov, ki se dodeli posameznemu mestu v vrstnem redu poplačila v primeru insolventnosti, navedenemu v stolpcu 0010.</w:t>
            </w:r>
          </w:p>
          <w:p w14:paraId="0FCAB71E" w14:textId="124EF6C2" w:rsidR="00C91ACB" w:rsidRPr="00FB08AF" w:rsidRDefault="0036208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Kjer je relevantno, ta stolpec vključuje tudi obveznosti, izključene iz reševanja s sredstvi upnikov, v obsegu, v katerem so podrejene ali uvrščene </w:t>
            </w:r>
            <w:r>
              <w:rPr>
                <w:rStyle w:val="FormatvorlageInstructionsTabelleText"/>
                <w:rFonts w:ascii="Times New Roman" w:hAnsi="Times New Roman"/>
                <w:i/>
                <w:sz w:val="24"/>
              </w:rPr>
              <w:t>pari passu</w:t>
            </w:r>
            <w:r>
              <w:rPr>
                <w:rStyle w:val="FormatvorlageInstructionsTabelleText"/>
                <w:rFonts w:ascii="Times New Roman" w:hAnsi="Times New Roman"/>
                <w:sz w:val="24"/>
              </w:rPr>
              <w:t xml:space="preserve"> kvalificiranim obveznostim.</w:t>
            </w:r>
          </w:p>
          <w:p w14:paraId="43425123" w14:textId="125BD30B" w:rsidR="00586927" w:rsidRPr="00FB08AF" w:rsidRDefault="00586927" w:rsidP="009D79B2">
            <w:pPr>
              <w:pStyle w:val="InstructionsText"/>
              <w:rPr>
                <w:rStyle w:val="FormatvorlageInstructionsTabelleText"/>
                <w:rFonts w:ascii="Times New Roman" w:hAnsi="Times New Roman"/>
                <w:sz w:val="24"/>
              </w:rPr>
            </w:pPr>
            <w:r>
              <w:t>V primeru subjektov iz odstavka 30 ta stolpec ostane prazen, razen če se ti subjekti odločijo uporabiti odstopanje iz odstavka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izključene obveznosti</w:t>
            </w:r>
          </w:p>
          <w:p w14:paraId="26F592C4" w14:textId="0CB68218" w:rsidR="00586927" w:rsidRPr="00FB08AF" w:rsidRDefault="0058692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Znesek obveznosti, izključenih v skladu s členom 72a(2)</w:t>
            </w:r>
            <w:r>
              <w:t xml:space="preserve"> Uredbe (EU) št. 575/2013</w:t>
            </w:r>
            <w:r>
              <w:rPr>
                <w:rStyle w:val="FormatvorlageInstructionsTabelleText"/>
                <w:rFonts w:ascii="Times New Roman" w:hAnsi="Times New Roman"/>
                <w:sz w:val="24"/>
              </w:rPr>
              <w:t xml:space="preserve"> ali členom</w:t>
            </w:r>
            <w:r>
              <w:t xml:space="preserve"> 44(2) Direktive 2014/59/EU</w:t>
            </w:r>
            <w:r>
              <w:rPr>
                <w:rStyle w:val="FormatvorlageInstructionsTabelleText"/>
                <w:rFonts w:ascii="Times New Roman" w:hAnsi="Times New Roman"/>
                <w:sz w:val="24"/>
              </w:rPr>
              <w:t>.</w:t>
            </w:r>
          </w:p>
          <w:p w14:paraId="2F6500DE" w14:textId="50FC43DE" w:rsidR="00586927" w:rsidRPr="00FB08AF" w:rsidRDefault="00586927" w:rsidP="009D79B2">
            <w:pPr>
              <w:pStyle w:val="InstructionsText"/>
              <w:rPr>
                <w:rStyle w:val="FormatvorlageInstructionsTabelleText"/>
                <w:rFonts w:ascii="Times New Roman" w:hAnsi="Times New Roman"/>
                <w:sz w:val="24"/>
              </w:rPr>
            </w:pPr>
            <w:r>
              <w:t>V primeru subjektov iz odstavka 30 ta stolpec ostane prazen, razen če se ti subjekti odločijo uporabiti odstopanje iz odstavka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Obveznosti in kapital, zmanjšani za izključene obveznosti</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Kadar subjekti izpolnijo stolpec 0030, se poroča znesek obveznosti in kapitala, kot se poroča v stolpcu 0030, zmanjšan za znesek izključenih obveznosti iz stolpca 0040.</w:t>
            </w:r>
          </w:p>
          <w:p w14:paraId="0B40F998" w14:textId="26D00C12" w:rsidR="0000147E" w:rsidRPr="00FB08AF" w:rsidRDefault="0000147E" w:rsidP="0000147E">
            <w:r>
              <w:rPr>
                <w:rStyle w:val="FormatvorlageInstructionsTabelleText"/>
                <w:rFonts w:ascii="Times New Roman" w:hAnsi="Times New Roman"/>
                <w:sz w:val="24"/>
              </w:rPr>
              <w:t>Kadar subjekti ne izpolnijo stolpca 0030, v tem stolpcu poročajo kapital in obveznosti, ki se kvalificirajo za namene MREL. Druge obveznosti, za katere je mogoče uporabiti instrument za reševanje s sredstvi upnikov, se v tem stolpcu poročajo pod pogoji iz odstavka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kapital in obveznosti, ki se potencialno kvalificirajo za izpolnjevanje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Znesek kapitala in obveznosti, ki se kvalificirajo za namene izpolnjevanja zahtev iz člena 45 Direktive 2014/59/EU v skladu s členom 45e navedene direktive.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9D79B2">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9D79B2">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od tega: s preostalo zapadlostjo</w:t>
            </w:r>
          </w:p>
          <w:p w14:paraId="4B3D0A8C" w14:textId="433D743D" w:rsidR="00C91ACB" w:rsidRPr="00FB08AF" w:rsidDel="001B3CDA" w:rsidRDefault="00C91ACB"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Znesek kapitala in obveznosti, ki se kvalificirajo za namene izpolnjevanja zahtev iz člena 45 Direktive 2014/59/EU v skladu s členom 45e navedene direktive, kot se poroča v stolpcu 0060, se razčleni glede na preostalo zapadlost različnih instrumentov in postavk. Instrumenti in postavke brez določene zapadlosti se ne upoštevajo pri tej razčlenitvi, ampak poročajo ločeno v stolpcu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9D79B2">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leto &lt; 2 leti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2 leti &lt; 5 let</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5 let &lt; 10 let</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 10 let</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od tega: vrednostni papirji brez zapadlosti</w:t>
            </w:r>
          </w:p>
          <w:p w14:paraId="19006E90" w14:textId="474EA0B1" w:rsidR="00322A0F" w:rsidRPr="00FB08AF" w:rsidRDefault="007C224A"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V ta stolpec se vključijo vrednostni papirji brez zapadlosti in vse postavke navadnega lastniškega temeljnega kapitala ter vplačani presežek kapitala pri instrumentih dodatnega temeljnega kapitala in dodatnega kapitala, vključenih v obseg te predloge.</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Instrumenti, ki jih ureja pravo tretje države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Splošne opombe</w:t>
      </w:r>
      <w:bookmarkEnd w:id="81"/>
      <w:bookmarkEnd w:id="82"/>
    </w:p>
    <w:p w14:paraId="38DE6937" w14:textId="1FE5439B" w:rsidR="00ED05AC" w:rsidRPr="00FB08AF" w:rsidRDefault="00962059" w:rsidP="009D79B2">
      <w:pPr>
        <w:pStyle w:val="InstructionsText2"/>
      </w:pPr>
      <w:r>
        <w:t xml:space="preserve">Predloga M 07.00 zagotavlja razčlenitev po posameznih pogodbah za instrumente, ki se lahko štejejo za kapital in kvalificirane obveznosti za namene </w:t>
      </w:r>
      <w:r>
        <w:lastRenderedPageBreak/>
        <w:t>MREL. V predlogi se poročajo samo instrumenti, ki jih ureja pravo tretje države.</w:t>
      </w:r>
    </w:p>
    <w:p w14:paraId="058C983F" w14:textId="395F6621" w:rsidR="00810663" w:rsidRPr="00FB08AF" w:rsidRDefault="003677E2" w:rsidP="009D79B2">
      <w:pPr>
        <w:pStyle w:val="InstructionsText2"/>
      </w:pPr>
      <w:r>
        <w:t>Subjekti v zvezi s kvalificiranimi obveznostmi, ki niso podrejene izključenim obveznostim, poročajo samo vrednostne papirje, ki so zamenljivi, tržni finančni instrumenti, ob izključitvi kreditov in vlog.</w:t>
      </w:r>
    </w:p>
    <w:p w14:paraId="7F675B40" w14:textId="6125AF03" w:rsidR="00FC1379" w:rsidRPr="00FB08AF" w:rsidRDefault="00B40AC1" w:rsidP="009D79B2">
      <w:pPr>
        <w:pStyle w:val="InstructionsText2"/>
      </w:pPr>
      <w:r>
        <w:t xml:space="preserve">V primeru instrumentov, ki delno ustrezajo dvema različnima kategorijama kapitala ali kvalificiranih obveznosti, se instrument poroča dvakrat, tako da se ločeno odražajo zneski, dodeljeni različnima kategorijama kapitala. </w:t>
      </w:r>
    </w:p>
    <w:p w14:paraId="4D79951A" w14:textId="26C7050A" w:rsidR="00043DC2" w:rsidRPr="00FB08AF" w:rsidRDefault="00ED05AC" w:rsidP="009D79B2">
      <w:pPr>
        <w:pStyle w:val="InstructionsText2"/>
      </w:pPr>
      <w:r>
        <w:t>Kombinacija stolpcev 0020 (Koda izdajatelja), 0040 (Oznaka pogodbe) in 0070 (Vrsta kapitala ali kvalificiranih obveznosti) predstavlja identifikator vrstice, ki mora biti enoznačen za vsako vrstico, ki se poroča v predlogi.</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Navodila za posamezne pozicije</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9D79B2">
            <w:pPr>
              <w:pStyle w:val="InstructionsText"/>
            </w:pPr>
            <w:r>
              <w:t>Stolpci</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9D79B2">
            <w:pPr>
              <w:pStyle w:val="InstructionsText"/>
            </w:pPr>
            <w:r>
              <w:t>Pravna podlaga in navodila</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9D79B2">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Izdajatelj</w:t>
            </w:r>
          </w:p>
          <w:p w14:paraId="05F6543E" w14:textId="28A11EDA" w:rsidR="00043DC2" w:rsidRPr="00FB08AF" w:rsidRDefault="00DA4A88" w:rsidP="009D79B2">
            <w:pPr>
              <w:pStyle w:val="InstructionsText"/>
            </w:pPr>
            <w:r>
              <w:rPr>
                <w:rStyle w:val="FormatvorlageInstructionsTabelleText"/>
                <w:rFonts w:ascii="Times New Roman" w:hAnsi="Times New Roman"/>
                <w:sz w:val="24"/>
              </w:rPr>
              <w:t>Če se informacije poročajo za skupino v postopku reševanja, se navede subjekt skupine, ki je izdal zadevni instrument. Če se informacije poročajo za en sam subjekt v postopku reševanja, je izdajatelj subjekt, ki poroča.</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9D79B2">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Ime</w:t>
            </w:r>
          </w:p>
          <w:p w14:paraId="2FB63179" w14:textId="5B49BA2B" w:rsidR="00ED05AC" w:rsidRPr="00FB08AF" w:rsidRDefault="00ED05AC" w:rsidP="009D79B2">
            <w:pPr>
              <w:pStyle w:val="InstructionsText"/>
              <w:rPr>
                <w:b/>
              </w:rPr>
            </w:pPr>
            <w:r>
              <w:rPr>
                <w:rStyle w:val="FormatvorlageInstructionsTabelleText"/>
                <w:rFonts w:ascii="Times New Roman" w:hAnsi="Times New Roman"/>
                <w:sz w:val="24"/>
              </w:rPr>
              <w:t>Ime subjekta, ki je izdal kapitalski instrument ali instrument kvalificiranih obveznosti.</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9D79B2">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Koda</w:t>
            </w:r>
          </w:p>
          <w:p w14:paraId="2EE9B378" w14:textId="77777777" w:rsidR="00ED05AC" w:rsidRPr="00FB08AF" w:rsidRDefault="00ED05AC"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Koda subjekta, ki je izdal kapitalski instrument ali instrument kvalificiranih obveznosti.</w:t>
            </w:r>
          </w:p>
          <w:p w14:paraId="5C534D19" w14:textId="03170FCB" w:rsidR="00ED05AC" w:rsidRPr="00FB08AF" w:rsidRDefault="0047023B" w:rsidP="009D79B2">
            <w:pPr>
              <w:pStyle w:val="InstructionsText"/>
            </w:pPr>
            <w:r>
              <w:t>Koda mora biti kot del identifikatorja vrstice enoznačna za vsak sporočeni subjekt. Koda za institucije je koda LEI. Koda za druge subjekte je koda LEI ali nacionalna koda, če koda LEI ni na voljo. Koda je enoznačna in se uporablja dosledno v vseh predlogah in skozi čas. Koda ima vedno določeno vrednost.</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9D79B2">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Vrsta kode</w:t>
            </w:r>
          </w:p>
          <w:p w14:paraId="435D7AD5" w14:textId="3FA7BE57" w:rsidR="00ED05AC" w:rsidRPr="00FB08AF" w:rsidRDefault="0047023B" w:rsidP="009D79B2">
            <w:pPr>
              <w:pStyle w:val="InstructionsText"/>
            </w:pPr>
            <w:r>
              <w:t>Institucije navedejo vrsto kode, ki se sporoči v stolpcu 0020 kot „koda LEI“ ali „ni koda LEI“. Vrsto kode je treba vedno sporočiti.</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9D79B2">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Oznaka pogodbe</w:t>
            </w:r>
          </w:p>
          <w:p w14:paraId="326C4E21" w14:textId="0DEE61DF" w:rsidR="00BA682D" w:rsidRPr="00FB08AF" w:rsidRDefault="009B0274"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Poroča se oznaka pogodbe za instrument, kot so koda CUSIP, koda ISIN ali oznaka Bloomberg za prodajo zaprtemu krogu vlagateljev.</w:t>
            </w:r>
          </w:p>
          <w:p w14:paraId="00632D1C" w14:textId="24ADD3E6" w:rsidR="00ED05AC" w:rsidRPr="00FB08AF" w:rsidRDefault="00ED05AC"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Ta postavka je del identifikatorja vrstice.</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9D79B2">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Veljavno pravo (tretja država)</w:t>
            </w:r>
          </w:p>
          <w:p w14:paraId="163E775F" w14:textId="518162A9" w:rsidR="00ED05AC" w:rsidRPr="00FB08AF" w:rsidRDefault="007F0EF4"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Navede se tretja država (države, ki niso članice EGP), katere pravo ureja pogodbo ali dele pogodbe.</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9D79B2">
            <w:pPr>
              <w:pStyle w:val="InstructionsText"/>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Pogodbeno pripoznanje pooblastil za odpis in konverzijo</w:t>
            </w:r>
          </w:p>
          <w:p w14:paraId="613A9113" w14:textId="6DD59252" w:rsidR="00ED05AC" w:rsidRPr="00FB08AF" w:rsidRDefault="00851D10"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Navede se, ali pogodba vsebuje pogodbene določbe iz člena 55(1) Direktive 2014/59/EU in člena 52(1), točki (p) in (q), ter člena 63, točki (n) in (o), </w:t>
            </w:r>
            <w:r>
              <w:t>Uredbe (EU) št.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9D79B2">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Regulativna obravnava</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9D79B2">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Vrsta kapitala ali kvalificiranih obveznosti</w:t>
            </w:r>
          </w:p>
          <w:p w14:paraId="779CE017" w14:textId="78E30545" w:rsidR="00D90C26" w:rsidRPr="00FB08AF" w:rsidRDefault="00D90C26"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Vrsta kapitala ali kvalificiranih obveznosti, za katero se instrument šteje na referenčni datum. Upoštevajo se prehodne določbe glede tega, kateri instrumenti so kvalificirani. Instrumenti, ki ustrezajo več kategorijam kapitala, se poročajo po enkrat na zadevno kategorijo kapitala.</w:t>
            </w:r>
          </w:p>
          <w:p w14:paraId="4891BE29" w14:textId="77777777" w:rsidR="00C55DCC" w:rsidRPr="00FB08AF" w:rsidRDefault="00D90C26"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Vrsta kapitala ali kvalificiranih obveznosti se sporoči na podlagi naslednjih kategorij:</w:t>
            </w:r>
          </w:p>
          <w:p w14:paraId="1630B549" w14:textId="41D6C04F" w:rsidR="00D90C26" w:rsidRPr="00FB08AF" w:rsidRDefault="0009405D" w:rsidP="009D79B2">
            <w:pPr>
              <w:pStyle w:val="InstructionsText"/>
              <w:numPr>
                <w:ilvl w:val="0"/>
                <w:numId w:val="7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navadni </w:t>
            </w:r>
            <w:r w:rsidR="00D90C26">
              <w:rPr>
                <w:rStyle w:val="FormatvorlageInstructionsTabelleText"/>
                <w:rFonts w:ascii="Times New Roman" w:hAnsi="Times New Roman"/>
                <w:sz w:val="24"/>
              </w:rPr>
              <w:t>lastniški temeljni kapital</w:t>
            </w:r>
          </w:p>
          <w:p w14:paraId="65A77421" w14:textId="4598EE18" w:rsidR="00D90C26" w:rsidRPr="00FB08AF" w:rsidRDefault="0009405D" w:rsidP="009D79B2">
            <w:pPr>
              <w:pStyle w:val="InstructionsText"/>
              <w:numPr>
                <w:ilvl w:val="0"/>
                <w:numId w:val="7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dodatni </w:t>
            </w:r>
            <w:r w:rsidR="00D90C26">
              <w:rPr>
                <w:rStyle w:val="FormatvorlageInstructionsTabelleText"/>
                <w:rFonts w:ascii="Times New Roman" w:hAnsi="Times New Roman"/>
                <w:sz w:val="24"/>
              </w:rPr>
              <w:t>temeljni kapital</w:t>
            </w:r>
          </w:p>
          <w:p w14:paraId="641F022F" w14:textId="1F7051CE" w:rsidR="00D90C26" w:rsidRPr="00FB08AF" w:rsidRDefault="0009405D" w:rsidP="009D79B2">
            <w:pPr>
              <w:pStyle w:val="InstructionsText"/>
              <w:numPr>
                <w:ilvl w:val="0"/>
                <w:numId w:val="7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dodatni </w:t>
            </w:r>
            <w:r w:rsidR="00D90C26">
              <w:rPr>
                <w:rStyle w:val="FormatvorlageInstructionsTabelleText"/>
                <w:rFonts w:ascii="Times New Roman" w:hAnsi="Times New Roman"/>
                <w:sz w:val="24"/>
              </w:rPr>
              <w:t>kapital</w:t>
            </w:r>
          </w:p>
          <w:p w14:paraId="362D821A" w14:textId="087F23FC" w:rsidR="00E97A21" w:rsidRPr="00FB08AF" w:rsidRDefault="0009405D" w:rsidP="009D79B2">
            <w:pPr>
              <w:pStyle w:val="InstructionsText"/>
              <w:numPr>
                <w:ilvl w:val="0"/>
                <w:numId w:val="78"/>
              </w:numPr>
              <w:rPr>
                <w:rStyle w:val="InstructionsTabelleberschrift"/>
                <w:rFonts w:ascii="Times New Roman" w:hAnsi="Times New Roman"/>
                <w:sz w:val="24"/>
              </w:rPr>
            </w:pPr>
            <w:r>
              <w:rPr>
                <w:rStyle w:val="FormatvorlageInstructionsTabelleText"/>
                <w:rFonts w:ascii="Times New Roman" w:hAnsi="Times New Roman"/>
                <w:sz w:val="24"/>
              </w:rPr>
              <w:t xml:space="preserve">kvalificirane </w:t>
            </w:r>
            <w:r w:rsidR="00D90C26">
              <w:rPr>
                <w:rStyle w:val="FormatvorlageInstructionsTabelleText"/>
                <w:rFonts w:ascii="Times New Roman" w:hAnsi="Times New Roman"/>
                <w:sz w:val="24"/>
              </w:rPr>
              <w:t>obveznosti</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9D79B2">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Vrsta instrumenta</w:t>
            </w:r>
          </w:p>
          <w:p w14:paraId="4DDA8CAD" w14:textId="77777777" w:rsidR="00BA7DE2" w:rsidRPr="00FB08AF" w:rsidRDefault="000B7865"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Vrsta instrumenta, ki se navede, je odvisna od veljavnega prava, v skladu s katerim je bil izdan.</w:t>
            </w:r>
          </w:p>
          <w:p w14:paraId="24055387" w14:textId="305E1E7C" w:rsidR="00D90C26" w:rsidRPr="00FB08AF" w:rsidRDefault="000B7865"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 primeru instrumentov navadnega lastniškega temeljnega kapitala se vrsta instrumenta izbere s seznama instrumentov navadnega lastniškega temeljnega kapitala, ki ga objavi EBA v skladu s členom 26(3) </w:t>
            </w:r>
            <w:r>
              <w:t>Uredbe (EU) št.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 primeru kapitala, ki ni navadni lastniški temeljni kapital, in kvalificiranih obveznosti se vrsta instrumenta izbere s seznama ustreznih instrumentov, ki ga objavijo EBA, pristojni organi ali organi za reševanje, če tak seznam obstaja. Če seznam ne obstaja, subjekt, ki poroča, sam določi vrsto instrumentov.</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9D79B2">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Znesek</w:t>
            </w:r>
          </w:p>
          <w:p w14:paraId="157078AA" w14:textId="77810698" w:rsidR="00E97A21" w:rsidRPr="00FB08AF" w:rsidRDefault="00C55DCC"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Poroča se znesek, pripoznan za kapital ali kvalificirane obveznosti, pri čemer se pri instrumentih, ki so vključeni na več ravneh, upošteva raven poročanja. Znesek je znesek, ki je relevanten na referenčni datum ob upoštevanju učinka prehodnih določb.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9D79B2">
            <w:pPr>
              <w:pStyle w:val="InstructionsText"/>
            </w:pPr>
            <w:r>
              <w:rPr>
                <w:rStyle w:val="FormatvorlageInstructionsTabelleText"/>
                <w:rFonts w:ascii="Times New Roman" w:hAnsi="Times New Roman"/>
                <w:sz w:val="24"/>
              </w:rPr>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Mesto v vrstnem redu poplačila v običajnem insolvenčnem postopku</w:t>
            </w:r>
          </w:p>
          <w:p w14:paraId="00049CE6" w14:textId="77777777" w:rsidR="0015243E" w:rsidRPr="00FB08AF" w:rsidRDefault="0015243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Navede se mesto instrumenta v vrstnem redu poplačila v običajnem insolvenčnem postopku. </w:t>
            </w:r>
          </w:p>
          <w:p w14:paraId="41FD6A13" w14:textId="77777777" w:rsidR="00722C11" w:rsidRPr="00FB08AF" w:rsidRDefault="0015243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Sestavljeno je iz dvočrkovne kode ISO države, katere pravo ureja vrstni red poplačila pogodbe (stolpec 0100), ki je pravo države članice, in številke, ki označuje zadevno mesto v vrstnem redu poplačila v primeru insolventnosti (stolpec 0110). </w:t>
            </w:r>
          </w:p>
          <w:p w14:paraId="1F24E301" w14:textId="06E1D9AE" w:rsidR="00C23169" w:rsidRPr="00FB08AF" w:rsidRDefault="0015243E" w:rsidP="009D79B2">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Zadevno mesto v vrstnem redu poplačila v primeru insolventnosti se določi na podlagi vrstnega reda poplačila v primeru insolventnosti, ki ga objavi organ za reševanje ali drug organ, kadar takšen standardiziran seznam obstaja.</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9D79B2">
            <w:pPr>
              <w:pStyle w:val="InstructionsText"/>
            </w:pPr>
            <w:r>
              <w:rPr>
                <w:rStyle w:val="FormatvorlageInstructionsTabelleText"/>
                <w:rFonts w:ascii="Times New Roman" w:hAnsi="Times New Roman"/>
                <w:sz w:val="24"/>
              </w:rPr>
              <w:lastRenderedPageBreak/>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Zapadlost</w:t>
            </w:r>
          </w:p>
          <w:p w14:paraId="5BC18DE0" w14:textId="111D094F" w:rsidR="00C814BF" w:rsidRPr="00FB08AF" w:rsidRDefault="00C814BF"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Zapadlost instrumenta se poroča v naslednji obliki: dd/mm/llll. V primeru instrumentov brez zapadlosti celica ostane prazna.</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9D79B2">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(Prvi) datum odpoklica</w:t>
            </w:r>
          </w:p>
          <w:p w14:paraId="6C93237B" w14:textId="044F8666" w:rsidR="00F65BB7" w:rsidRPr="00FB08AF" w:rsidRDefault="0090259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Če ima izdajatelj opcijo odpoklica, se poroča prvi datum, na katerega se lahko izvrši odpoklic.</w:t>
            </w:r>
          </w:p>
          <w:p w14:paraId="1F0D3195" w14:textId="0EC677E5" w:rsidR="00F65BB7" w:rsidRPr="00FB08AF" w:rsidRDefault="00F65BB7"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Če je do prvega datuma odpoklica prišlo pred referenčnim datumom, se poroča ta datum, če je odpoklic še vedno mogoče izvršiti. Če ga ni več mogoče izvršiti, se poroča naslednji datum, na katerega se lahko izvrši odpoklic.</w:t>
            </w:r>
          </w:p>
          <w:p w14:paraId="180F0F72" w14:textId="0990A68B" w:rsidR="00C814BF" w:rsidRPr="00FB08AF" w:rsidRDefault="0090259E"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primeru opcij odpoklica izdajatelja z nedoločenim datumom izvršitve ali opcij odpoklica, ki jih sprožijo določeni dogodki, se poroča konservativno ocenjen verjetni datum odpoklica.</w:t>
            </w:r>
          </w:p>
          <w:p w14:paraId="171C2174" w14:textId="43DB211C" w:rsidR="00C23169" w:rsidRPr="00FB08AF" w:rsidRDefault="00FC7E0D" w:rsidP="009D79B2">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Opcije odpoklica v zvezi regulativnimi ali davčnimi zadevami se ne upoštevajo za namene tega stolpca.</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9D79B2">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9D79B2">
            <w:pPr>
              <w:pStyle w:val="InstructionsText"/>
              <w:rPr>
                <w:rStyle w:val="InstructionsTabelleberschrift"/>
                <w:rFonts w:ascii="Times New Roman" w:hAnsi="Times New Roman"/>
                <w:sz w:val="24"/>
              </w:rPr>
            </w:pPr>
            <w:r>
              <w:rPr>
                <w:rStyle w:val="InstructionsTabelleberschrift"/>
                <w:rFonts w:ascii="Times New Roman" w:hAnsi="Times New Roman"/>
                <w:sz w:val="24"/>
              </w:rPr>
              <w:t>Regulativni odpoklic (D/N)</w:t>
            </w:r>
          </w:p>
          <w:p w14:paraId="2DB12A69" w14:textId="0ACA0878" w:rsidR="00C23169" w:rsidRPr="00FB08AF" w:rsidRDefault="0087315C" w:rsidP="009D79B2">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Navede se, ali ima izdajatelj opcijo odpoklica, </w:t>
            </w:r>
            <w:r>
              <w:rPr>
                <w:rStyle w:val="FormatvorlageInstructionsTabelleText"/>
                <w:rFonts w:ascii="Times New Roman" w:hAnsi="Times New Roman"/>
                <w:sz w:val="24"/>
              </w:rPr>
              <w:t>ki se lahko izvrši ob nastopu regulativnega dogodka, ki vpliva na primernost pogodbe za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Delegirana uredba Komisije (EU) št. 241/2014 z dne 7. januarja 2014 o dopolnitvi Uredbe (EU) št. 575/2013 Evropskega parlamenta in Sveta v zvezi z regulativnimi tehničnimi standardi glede kapitalskih zahtev za institucije (UL L 74, 14.3.2014, str.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Direktiva 2013/36/EU Evropskega parlamenta in Sveta z dne 26. junija 2013 o dostopu do dejavnosti kreditnih institucij in bonitetnem nadzoru kreditnih institucij in investicijskih podjetij, spremembi Direktive 2002/87/ES in razveljavitvi direktiv 2006/48/ES in 2006/49/ES (UL L 176, 27.6.2013, str.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5A57AC"/>
    <w:multiLevelType w:val="hybridMultilevel"/>
    <w:tmpl w:val="226CF7DE"/>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7D7F02"/>
    <w:multiLevelType w:val="multilevel"/>
    <w:tmpl w:val="0407001D"/>
    <w:numStyleLink w:val="Formatvorlage3"/>
  </w:abstractNum>
  <w:abstractNum w:abstractNumId="21"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3"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CB5A03"/>
    <w:multiLevelType w:val="hybridMultilevel"/>
    <w:tmpl w:val="C860C586"/>
    <w:lvl w:ilvl="0" w:tplc="8460C64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5"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8"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9"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40"/>
  </w:num>
  <w:num w:numId="3" w16cid:durableId="250704334">
    <w:abstractNumId w:val="50"/>
  </w:num>
  <w:num w:numId="4" w16cid:durableId="1393386640">
    <w:abstractNumId w:val="29"/>
  </w:num>
  <w:num w:numId="5" w16cid:durableId="1840342573">
    <w:abstractNumId w:val="46"/>
  </w:num>
  <w:num w:numId="6" w16cid:durableId="572618477">
    <w:abstractNumId w:val="25"/>
  </w:num>
  <w:num w:numId="7" w16cid:durableId="1092701592">
    <w:abstractNumId w:val="49"/>
  </w:num>
  <w:num w:numId="8" w16cid:durableId="1761096816">
    <w:abstractNumId w:val="10"/>
  </w:num>
  <w:num w:numId="9" w16cid:durableId="1589654125">
    <w:abstractNumId w:val="43"/>
  </w:num>
  <w:num w:numId="10" w16cid:durableId="14773008">
    <w:abstractNumId w:val="23"/>
  </w:num>
  <w:num w:numId="11" w16cid:durableId="1601446782">
    <w:abstractNumId w:val="33"/>
  </w:num>
  <w:num w:numId="12" w16cid:durableId="655382628">
    <w:abstractNumId w:val="15"/>
  </w:num>
  <w:num w:numId="13" w16cid:durableId="22093217">
    <w:abstractNumId w:val="44"/>
  </w:num>
  <w:num w:numId="14" w16cid:durableId="970284668">
    <w:abstractNumId w:val="39"/>
  </w:num>
  <w:num w:numId="15" w16cid:durableId="712119518">
    <w:abstractNumId w:val="22"/>
  </w:num>
  <w:num w:numId="16" w16cid:durableId="321130615">
    <w:abstractNumId w:val="32"/>
  </w:num>
  <w:num w:numId="17" w16cid:durableId="269316234">
    <w:abstractNumId w:val="20"/>
  </w:num>
  <w:num w:numId="18" w16cid:durableId="1506676202">
    <w:abstractNumId w:val="47"/>
  </w:num>
  <w:num w:numId="19" w16cid:durableId="1320040099">
    <w:abstractNumId w:val="3"/>
  </w:num>
  <w:num w:numId="20" w16cid:durableId="991981158">
    <w:abstractNumId w:val="52"/>
  </w:num>
  <w:num w:numId="21" w16cid:durableId="1650087619">
    <w:abstractNumId w:val="48"/>
  </w:num>
  <w:num w:numId="22" w16cid:durableId="1671443880">
    <w:abstractNumId w:val="13"/>
  </w:num>
  <w:num w:numId="23" w16cid:durableId="2056929243">
    <w:abstractNumId w:val="8"/>
  </w:num>
  <w:num w:numId="24" w16cid:durableId="2068062580">
    <w:abstractNumId w:val="9"/>
  </w:num>
  <w:num w:numId="25" w16cid:durableId="1697078302">
    <w:abstractNumId w:val="42"/>
  </w:num>
  <w:num w:numId="26" w16cid:durableId="1226139225">
    <w:abstractNumId w:val="11"/>
  </w:num>
  <w:num w:numId="27" w16cid:durableId="1267806963">
    <w:abstractNumId w:val="28"/>
  </w:num>
  <w:num w:numId="28" w16cid:durableId="1911501126">
    <w:abstractNumId w:val="2"/>
  </w:num>
  <w:num w:numId="29" w16cid:durableId="886795705">
    <w:abstractNumId w:val="18"/>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4"/>
  </w:num>
  <w:num w:numId="33" w16cid:durableId="1441140989">
    <w:abstractNumId w:val="19"/>
  </w:num>
  <w:num w:numId="34" w16cid:durableId="490878345">
    <w:abstractNumId w:val="27"/>
  </w:num>
  <w:num w:numId="35" w16cid:durableId="735278721">
    <w:abstractNumId w:val="31"/>
  </w:num>
  <w:num w:numId="36" w16cid:durableId="207498083">
    <w:abstractNumId w:val="41"/>
  </w:num>
  <w:num w:numId="37" w16cid:durableId="4660501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2"/>
  </w:num>
  <w:num w:numId="40" w16cid:durableId="2014263863">
    <w:abstractNumId w:val="22"/>
  </w:num>
  <w:num w:numId="41" w16cid:durableId="1643924564">
    <w:abstractNumId w:val="22"/>
  </w:num>
  <w:num w:numId="42" w16cid:durableId="1140726735">
    <w:abstractNumId w:val="38"/>
  </w:num>
  <w:num w:numId="43" w16cid:durableId="1972855914">
    <w:abstractNumId w:val="4"/>
  </w:num>
  <w:num w:numId="44" w16cid:durableId="1943416906">
    <w:abstractNumId w:val="24"/>
  </w:num>
  <w:num w:numId="45" w16cid:durableId="1259871850">
    <w:abstractNumId w:val="45"/>
  </w:num>
  <w:num w:numId="46" w16cid:durableId="1789816692">
    <w:abstractNumId w:val="6"/>
  </w:num>
  <w:num w:numId="47" w16cid:durableId="1832911175">
    <w:abstractNumId w:val="22"/>
  </w:num>
  <w:num w:numId="48" w16cid:durableId="316809264">
    <w:abstractNumId w:val="22"/>
  </w:num>
  <w:num w:numId="49" w16cid:durableId="1637643878">
    <w:abstractNumId w:val="12"/>
  </w:num>
  <w:num w:numId="50" w16cid:durableId="1155338883">
    <w:abstractNumId w:val="53"/>
  </w:num>
  <w:num w:numId="51" w16cid:durableId="1016233626">
    <w:abstractNumId w:val="14"/>
  </w:num>
  <w:num w:numId="52" w16cid:durableId="1317218939">
    <w:abstractNumId w:val="26"/>
  </w:num>
  <w:num w:numId="53" w16cid:durableId="170488796">
    <w:abstractNumId w:val="35"/>
  </w:num>
  <w:num w:numId="54" w16cid:durableId="1829397285">
    <w:abstractNumId w:val="22"/>
  </w:num>
  <w:num w:numId="55" w16cid:durableId="1321809290">
    <w:abstractNumId w:val="22"/>
  </w:num>
  <w:num w:numId="56" w16cid:durableId="1945764498">
    <w:abstractNumId w:val="22"/>
  </w:num>
  <w:num w:numId="57" w16cid:durableId="841623985">
    <w:abstractNumId w:val="22"/>
  </w:num>
  <w:num w:numId="58" w16cid:durableId="1498761348">
    <w:abstractNumId w:val="22"/>
  </w:num>
  <w:num w:numId="59" w16cid:durableId="461458130">
    <w:abstractNumId w:val="22"/>
  </w:num>
  <w:num w:numId="60" w16cid:durableId="1834564557">
    <w:abstractNumId w:val="22"/>
  </w:num>
  <w:num w:numId="61" w16cid:durableId="760957143">
    <w:abstractNumId w:val="22"/>
  </w:num>
  <w:num w:numId="62" w16cid:durableId="946741136">
    <w:abstractNumId w:val="22"/>
  </w:num>
  <w:num w:numId="63" w16cid:durableId="1781101996">
    <w:abstractNumId w:val="22"/>
  </w:num>
  <w:num w:numId="64" w16cid:durableId="654916619">
    <w:abstractNumId w:val="22"/>
  </w:num>
  <w:num w:numId="65" w16cid:durableId="889655873">
    <w:abstractNumId w:val="30"/>
  </w:num>
  <w:num w:numId="66" w16cid:durableId="492911919">
    <w:abstractNumId w:val="17"/>
  </w:num>
  <w:num w:numId="67" w16cid:durableId="163403816">
    <w:abstractNumId w:val="1"/>
  </w:num>
  <w:num w:numId="68" w16cid:durableId="514468051">
    <w:abstractNumId w:val="36"/>
  </w:num>
  <w:num w:numId="69" w16cid:durableId="1341851840">
    <w:abstractNumId w:val="7"/>
  </w:num>
  <w:num w:numId="70" w16cid:durableId="823399401">
    <w:abstractNumId w:val="21"/>
  </w:num>
  <w:num w:numId="71" w16cid:durableId="1304651332">
    <w:abstractNumId w:val="22"/>
  </w:num>
  <w:num w:numId="72" w16cid:durableId="9332050">
    <w:abstractNumId w:val="6"/>
  </w:num>
  <w:num w:numId="73" w16cid:durableId="1782069897">
    <w:abstractNumId w:val="22"/>
  </w:num>
  <w:num w:numId="74" w16cid:durableId="220555982">
    <w:abstractNumId w:val="22"/>
  </w:num>
  <w:num w:numId="75" w16cid:durableId="1337656134">
    <w:abstractNumId w:val="51"/>
  </w:num>
  <w:num w:numId="76" w16cid:durableId="574515657">
    <w:abstractNumId w:val="5"/>
  </w:num>
  <w:num w:numId="77" w16cid:durableId="464854718">
    <w:abstractNumId w:val="16"/>
  </w:num>
  <w:num w:numId="78" w16cid:durableId="2129469714">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05D"/>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4088"/>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9B2"/>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sl-S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sl-SI"/>
    </w:rPr>
  </w:style>
  <w:style w:type="character" w:customStyle="1" w:styleId="Heading2Char">
    <w:name w:val="Heading 2 Char"/>
    <w:link w:val="Heading2"/>
    <w:uiPriority w:val="99"/>
    <w:locked/>
    <w:rsid w:val="00EC5046"/>
    <w:rPr>
      <w:rFonts w:ascii="Verdana" w:hAnsi="Verdana" w:cs="Times New Roman"/>
      <w:b/>
      <w:sz w:val="24"/>
      <w:szCs w:val="24"/>
      <w:u w:val="single"/>
      <w:lang w:val="sl-SI"/>
    </w:rPr>
  </w:style>
  <w:style w:type="character" w:customStyle="1" w:styleId="Heading3Char">
    <w:name w:val="Heading 3 Char"/>
    <w:uiPriority w:val="99"/>
    <w:locked/>
    <w:rsid w:val="00884FEB"/>
    <w:rPr>
      <w:rFonts w:cs="Times New Roman"/>
      <w:sz w:val="24"/>
      <w:szCs w:val="24"/>
      <w:lang w:val="sl-S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sl-S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sl-S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sl-S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9D79B2"/>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sl-S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9D79B2"/>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sl-S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sl-S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sl-S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sl-S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sl-S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12190</Words>
  <Characters>71048</Characters>
  <Application>Microsoft Office Word</Application>
  <DocSecurity>0</DocSecurity>
  <Lines>1315</Lines>
  <Paragraphs>558</Paragraphs>
  <ScaleCrop>false</ScaleCrop>
  <Company/>
  <LinksUpToDate>false</LinksUpToDate>
  <CharactersWithSpaces>82680</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