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8CFC5" w14:textId="3E8DA443" w:rsidR="00367B3A" w:rsidRDefault="00367B3A" w:rsidP="00295371">
      <w:pPr>
        <w:suppressAutoHyphens/>
        <w:jc w:val="center"/>
        <w:rPr>
          <w:rFonts w:ascii="Times New Roman" w:hAnsi="Times New Roman"/>
          <w:b/>
          <w:sz w:val="24"/>
          <w:u w:val="single"/>
        </w:rPr>
      </w:pPr>
      <w:bookmarkStart w:id="0" w:name="_Toc262568021"/>
      <w:bookmarkStart w:id="1" w:name="_Toc295829847"/>
      <w:r>
        <w:rPr>
          <w:rFonts w:ascii="Times New Roman" w:hAnsi="Times New Roman"/>
          <w:b/>
          <w:sz w:val="24"/>
          <w:u w:val="single"/>
        </w:rPr>
        <w:t>MT</w:t>
      </w:r>
    </w:p>
    <w:p w14:paraId="3A6A5996" w14:textId="6AD676CF" w:rsidR="007312D4" w:rsidRDefault="007312D4" w:rsidP="00295371">
      <w:pPr>
        <w:suppressAutoHyphens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ANNESS II</w:t>
      </w:r>
    </w:p>
    <w:p w14:paraId="53C03FF3" w14:textId="77777777" w:rsidR="007312D4" w:rsidRDefault="007312D4" w:rsidP="00295371">
      <w:pPr>
        <w:suppressAutoHyphens/>
        <w:jc w:val="center"/>
        <w:rPr>
          <w:rFonts w:ascii="Times New Roman" w:hAnsi="Times New Roman"/>
          <w:b/>
          <w:sz w:val="24"/>
          <w:u w:val="single"/>
        </w:rPr>
      </w:pPr>
    </w:p>
    <w:p w14:paraId="72B7353D" w14:textId="015A3DEE" w:rsidR="002D5E59" w:rsidRPr="00FB08AF" w:rsidRDefault="002648B0" w:rsidP="00C271A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RAPPORTAR DWAR IR-REKWIŻIT MINIMU GĦALL-FONDI PROPRJI U L-OBBLIGAZZJONIJIET ELIĠIBBLI - STRUZZJONIJIET</w:t>
      </w:r>
      <w:bookmarkStart w:id="2" w:name="_Toc264038394"/>
      <w:bookmarkStart w:id="3" w:name="_Toc360188317"/>
      <w:bookmarkStart w:id="4" w:name="_Toc473560865"/>
      <w:bookmarkStart w:id="5" w:name="_Toc45558472"/>
    </w:p>
    <w:p w14:paraId="1E3EA219" w14:textId="498D9ACB" w:rsidR="00937126" w:rsidRPr="00FB08AF" w:rsidRDefault="00937126" w:rsidP="00C271AC">
      <w:pPr>
        <w:jc w:val="center"/>
        <w:rPr>
          <w:rFonts w:ascii="Times New Roman" w:hAnsi="Times New Roman"/>
        </w:rPr>
      </w:pPr>
    </w:p>
    <w:p w14:paraId="59F3C90B" w14:textId="2D215499" w:rsidR="002648B0" w:rsidRPr="00FB08AF" w:rsidRDefault="002648B0" w:rsidP="002D5E59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PARTI I:</w:t>
      </w:r>
      <w:bookmarkEnd w:id="2"/>
      <w:r>
        <w:rPr>
          <w:rFonts w:ascii="Times New Roman" w:hAnsi="Times New Roman"/>
        </w:rPr>
        <w:t xml:space="preserve"> STRUZZJONIJIET ĠENERALI</w:t>
      </w:r>
      <w:bookmarkEnd w:id="3"/>
      <w:bookmarkEnd w:id="4"/>
      <w:bookmarkEnd w:id="5"/>
    </w:p>
    <w:p w14:paraId="787498EA" w14:textId="5C2F927E" w:rsidR="002648B0" w:rsidRPr="00FB08AF" w:rsidRDefault="002648B0" w:rsidP="00962025">
      <w:pPr>
        <w:pStyle w:val="Numberedtilelevel1"/>
      </w:pPr>
      <w:bookmarkStart w:id="6" w:name="_Toc360188318"/>
      <w:bookmarkStart w:id="7" w:name="_Toc473560866"/>
      <w:bookmarkStart w:id="8" w:name="_Toc45558473"/>
      <w:r>
        <w:t>Struttura u konvenzjonijiet</w:t>
      </w:r>
      <w:bookmarkEnd w:id="6"/>
      <w:bookmarkEnd w:id="7"/>
      <w:bookmarkEnd w:id="8"/>
    </w:p>
    <w:p w14:paraId="2C1B34C2" w14:textId="170A170D" w:rsidR="002648B0" w:rsidRPr="00FB08AF" w:rsidRDefault="002648B0" w:rsidP="00BA4811">
      <w:pPr>
        <w:pStyle w:val="Numberedtilelevel1"/>
        <w:numPr>
          <w:ilvl w:val="1"/>
          <w:numId w:val="30"/>
        </w:numPr>
      </w:pPr>
      <w:bookmarkStart w:id="9" w:name="_Toc360188319"/>
      <w:bookmarkStart w:id="10" w:name="_Toc473560867"/>
      <w:bookmarkStart w:id="11" w:name="_Toc16868626"/>
      <w:bookmarkStart w:id="12" w:name="_Toc45558474"/>
      <w:bookmarkStart w:id="13" w:name="_Toc264038399"/>
      <w:bookmarkStart w:id="14" w:name="_Toc294018834"/>
      <w:r>
        <w:t>Struttura</w:t>
      </w:r>
      <w:bookmarkEnd w:id="9"/>
      <w:bookmarkEnd w:id="10"/>
      <w:bookmarkEnd w:id="11"/>
      <w:bookmarkEnd w:id="12"/>
    </w:p>
    <w:p w14:paraId="2AC3B1BF" w14:textId="310ACCAB" w:rsidR="002648B0" w:rsidRPr="00FB08AF" w:rsidRDefault="00102048" w:rsidP="00A41ECA">
      <w:pPr>
        <w:pStyle w:val="InstructionsText2"/>
      </w:pPr>
      <w:r>
        <w:t>Dan il-qafas għar-rapportar dwar l-MREL u t-TLAC jikkonsisti f’erba’ gruppi ta’ mudelli:</w:t>
      </w:r>
    </w:p>
    <w:p w14:paraId="3086B9DD" w14:textId="5E78D7ED" w:rsidR="002648B0" w:rsidRPr="00FB08AF" w:rsidRDefault="00142215" w:rsidP="00A41ECA">
      <w:pPr>
        <w:pStyle w:val="InstructionsText2"/>
        <w:numPr>
          <w:ilvl w:val="1"/>
          <w:numId w:val="15"/>
        </w:numPr>
      </w:pPr>
      <w:r>
        <w:t>ammonti: metriċi ewlenin tal-MREL u t-TLAC;</w:t>
      </w:r>
    </w:p>
    <w:p w14:paraId="3B952615" w14:textId="5D008287" w:rsidR="00436204" w:rsidRPr="00FB08AF" w:rsidRDefault="00142215" w:rsidP="00A41ECA">
      <w:pPr>
        <w:pStyle w:val="InstructionsText2"/>
        <w:numPr>
          <w:ilvl w:val="1"/>
          <w:numId w:val="15"/>
        </w:numPr>
      </w:pPr>
      <w:r>
        <w:t>kompożizzjoni u maturità;</w:t>
      </w:r>
    </w:p>
    <w:p w14:paraId="63E2C274" w14:textId="67BC4149" w:rsidR="002648B0" w:rsidRPr="00FB08AF" w:rsidRDefault="00102048" w:rsidP="00A41ECA">
      <w:pPr>
        <w:pStyle w:val="InstructionsText2"/>
        <w:numPr>
          <w:ilvl w:val="1"/>
          <w:numId w:val="15"/>
        </w:numPr>
      </w:pPr>
      <w:r>
        <w:t>klassifikazzjoni tal-kredituri;</w:t>
      </w:r>
    </w:p>
    <w:p w14:paraId="0D4AB948" w14:textId="42C1A351" w:rsidR="002648B0" w:rsidRPr="00FB08AF" w:rsidRDefault="00142215" w:rsidP="00A41ECA">
      <w:pPr>
        <w:pStyle w:val="InstructionsText2"/>
        <w:numPr>
          <w:ilvl w:val="1"/>
          <w:numId w:val="15"/>
        </w:numPr>
      </w:pPr>
      <w:r>
        <w:t>informazzjoni speċifika għall-kuntratti.</w:t>
      </w:r>
    </w:p>
    <w:p w14:paraId="0F36F124" w14:textId="757CCD2C" w:rsidR="002648B0" w:rsidRPr="00FB08AF" w:rsidRDefault="002648B0" w:rsidP="00A41ECA">
      <w:pPr>
        <w:pStyle w:val="InstructionsText2"/>
      </w:pPr>
      <w:r>
        <w:t>Għal kull formola jissemmew ir-referenzi legali. Aktar informazzjoni dettaljata rigward aspetti aktar ġenerali tar-rapportar ta’ kull sett ta’ mudelli u struzzjonijiet li jikkonċernaw pożizzjonijiet speċifiċi hija inkluża f’din il-Parti.</w:t>
      </w:r>
    </w:p>
    <w:p w14:paraId="720FE1D9" w14:textId="22384390" w:rsidR="002648B0" w:rsidRPr="00FB08AF" w:rsidRDefault="002648B0" w:rsidP="00BA4811">
      <w:pPr>
        <w:pStyle w:val="Numberedtilelevel1"/>
        <w:numPr>
          <w:ilvl w:val="1"/>
          <w:numId w:val="30"/>
        </w:numPr>
      </w:pPr>
      <w:bookmarkStart w:id="15" w:name="_Toc360188320"/>
      <w:bookmarkStart w:id="16" w:name="_Toc473560868"/>
      <w:bookmarkStart w:id="17" w:name="_Toc16868627"/>
      <w:bookmarkStart w:id="18" w:name="_Toc45558475"/>
      <w:r>
        <w:t>Konvenzjoni tan-numerazzjoni</w:t>
      </w:r>
      <w:bookmarkEnd w:id="15"/>
      <w:bookmarkEnd w:id="16"/>
      <w:bookmarkEnd w:id="17"/>
      <w:bookmarkEnd w:id="18"/>
    </w:p>
    <w:p w14:paraId="66584242" w14:textId="63AA7C63" w:rsidR="002648B0" w:rsidRPr="00FB08AF" w:rsidRDefault="002648B0" w:rsidP="00A41ECA">
      <w:pPr>
        <w:pStyle w:val="InstructionsText2"/>
      </w:pPr>
      <w:r>
        <w:t>Meta ssir referenza għall-kolonni, ir-ringieli u ċ-ċelloli tal-mudell, id-dokument isegwi l-konvenzjoni dwar it-tikkettar stabbilita fil-punti (a) sa (d). Dawk il-kodiċijiet numeriċi jintużaw b’mod estensiv fir-regoli ta’ validazzjoni definiti f’konformità mal-Anness III.</w:t>
      </w:r>
    </w:p>
    <w:p w14:paraId="62F2C4B4" w14:textId="37DCE2FC" w:rsidR="005643EA" w:rsidRPr="00FB08AF" w:rsidRDefault="00142215" w:rsidP="00A41ECA">
      <w:pPr>
        <w:pStyle w:val="InstructionsText2"/>
        <w:numPr>
          <w:ilvl w:val="1"/>
          <w:numId w:val="15"/>
        </w:numPr>
      </w:pPr>
      <w:r>
        <w:t>tiġi segwita n-notazzjoni ġenerali li ġejja: {Mudell;Ringiela;Kolonna};</w:t>
      </w:r>
    </w:p>
    <w:p w14:paraId="7FB9131E" w14:textId="0B707586" w:rsidR="007D41F2" w:rsidRPr="00FB08AF" w:rsidRDefault="00142215" w:rsidP="00A41ECA">
      <w:pPr>
        <w:pStyle w:val="InstructionsText2"/>
        <w:numPr>
          <w:ilvl w:val="1"/>
          <w:numId w:val="15"/>
        </w:numPr>
      </w:pPr>
      <w:r>
        <w:t>ir-referenzi f’mudell ma jinkludux indikazzjoni tal-mudell: {Ringiela;Kolonna};</w:t>
      </w:r>
    </w:p>
    <w:p w14:paraId="07D8D5F5" w14:textId="74593C91" w:rsidR="007D41F2" w:rsidRPr="00FB08AF" w:rsidRDefault="00142215" w:rsidP="00A41ECA">
      <w:pPr>
        <w:pStyle w:val="InstructionsText2"/>
        <w:numPr>
          <w:ilvl w:val="1"/>
          <w:numId w:val="15"/>
        </w:numPr>
      </w:pPr>
      <w:r>
        <w:t>fil-każ ta’ mudelli b’kolonna waħda biss, issir referenza biss għar-ringieli: {Mudell;Ringiela};</w:t>
      </w:r>
    </w:p>
    <w:p w14:paraId="690EFD8E" w14:textId="1E756AEF" w:rsidR="002648B0" w:rsidRPr="00FB08AF" w:rsidRDefault="00BD4614" w:rsidP="00A41ECA">
      <w:pPr>
        <w:pStyle w:val="InstructionsText2"/>
        <w:numPr>
          <w:ilvl w:val="1"/>
          <w:numId w:val="15"/>
        </w:numPr>
      </w:pPr>
      <w:r>
        <w:t>jintuża sinjal ta’ asterisk biex jesprimi li r-referenza tkopri r-ringieli jew il-kolonni speċifikati qabel.</w:t>
      </w:r>
    </w:p>
    <w:p w14:paraId="7F222ACA" w14:textId="4175B580" w:rsidR="002648B0" w:rsidRPr="00FB08AF" w:rsidRDefault="002648B0" w:rsidP="00BA4811">
      <w:pPr>
        <w:pStyle w:val="Numberedtilelevel1"/>
        <w:numPr>
          <w:ilvl w:val="1"/>
          <w:numId w:val="30"/>
        </w:numPr>
      </w:pPr>
      <w:bookmarkStart w:id="19" w:name="_Toc360188321"/>
      <w:bookmarkStart w:id="20" w:name="_Toc473560869"/>
      <w:bookmarkStart w:id="21" w:name="_Toc16868628"/>
      <w:bookmarkStart w:id="22" w:name="_Toc45558476"/>
      <w:r>
        <w:t>Il-konvenzjoni dwar is-sinjali</w:t>
      </w:r>
      <w:bookmarkEnd w:id="13"/>
      <w:bookmarkEnd w:id="14"/>
      <w:bookmarkEnd w:id="19"/>
      <w:bookmarkEnd w:id="20"/>
      <w:bookmarkEnd w:id="21"/>
      <w:bookmarkEnd w:id="22"/>
    </w:p>
    <w:p w14:paraId="5CD09166" w14:textId="3D59906B" w:rsidR="002648B0" w:rsidRPr="00FB08AF" w:rsidRDefault="002648B0" w:rsidP="00A41ECA">
      <w:pPr>
        <w:pStyle w:val="InstructionsText2"/>
      </w:pPr>
      <w:r>
        <w:t xml:space="preserve">Kwalunkwe ammont li jżid il-fondi proprji u l-obbligazzjonijiet eliġibbli, l-ammonti ta’ skoperturi ponderati għar-riskju, il-kejl tal-iskopertura tal-proporzjon ta’ lieva finanzjarja jew ir-rekwiżiti għandhom jiġu rrapportati bħala </w:t>
      </w:r>
      <w:r>
        <w:lastRenderedPageBreak/>
        <w:t>ċifra pożittiva. Għall-kuntrarju, kwalunkwe ammont li jnaqqas il-fondi proprji u l-obbligazzjonijiet eliġibbli, l-ammonti ta’ skoperturi ponderati għar-riskju, il-kejl tal-iskopertura tal-proporzjon ta’ lieva finanzjarja jew ir-rekwiżiti għandhom jiġu rrapportati bħala ċifra negattiva. Meta jkun hemm sinjal negattiv (-) qabel it-tikketta ta’ entrata, ma jkun mistenni li tiġi rrapportata ebda ċifra pożittiva għal dik l-entrata.</w:t>
      </w:r>
    </w:p>
    <w:p w14:paraId="4866E65F" w14:textId="7E31C83B" w:rsidR="00304CA5" w:rsidRPr="00FB08AF" w:rsidRDefault="001F2830" w:rsidP="00BA4811">
      <w:pPr>
        <w:pStyle w:val="Numberedtilelevel1"/>
        <w:numPr>
          <w:ilvl w:val="1"/>
          <w:numId w:val="30"/>
        </w:numPr>
      </w:pPr>
      <w:bookmarkStart w:id="23" w:name="_Toc16868629"/>
      <w:bookmarkStart w:id="24" w:name="_Toc45558477"/>
      <w:r>
        <w:t>Abbrevjazzjonijiet</w:t>
      </w:r>
      <w:bookmarkEnd w:id="23"/>
      <w:bookmarkEnd w:id="24"/>
      <w:r>
        <w:t xml:space="preserve"> u definizzjonijiet</w:t>
      </w:r>
    </w:p>
    <w:p w14:paraId="246BFF93" w14:textId="656D592B" w:rsidR="007D41F2" w:rsidRPr="00FB08AF" w:rsidRDefault="007D41F2" w:rsidP="00A41ECA">
      <w:pPr>
        <w:pStyle w:val="InstructionsText2"/>
      </w:pPr>
      <w:r>
        <w:t>Għall-finijiet tal-Annessi għal dan ir-Regolament japplikaw it-taqsiriet u d-definizzjonijiet li ġejjin:</w:t>
      </w:r>
    </w:p>
    <w:p w14:paraId="570D1886" w14:textId="129F471C" w:rsidR="007A0406" w:rsidRPr="00FB08AF" w:rsidRDefault="006876BA" w:rsidP="00A41ECA">
      <w:pPr>
        <w:pStyle w:val="InstructionsText2"/>
        <w:numPr>
          <w:ilvl w:val="1"/>
          <w:numId w:val="15"/>
        </w:numPr>
      </w:pPr>
      <w:r>
        <w:t xml:space="preserve"> “MREL” jirreferi għar-rekwiżit minimu għal fondi proprji u obbligazzjonijiet eliġibbli skont l-Artikolu 45 tad-Direttiva 2014/59/UE;</w:t>
      </w:r>
    </w:p>
    <w:p w14:paraId="57536738" w14:textId="0377AEDA" w:rsidR="007A0406" w:rsidRPr="00FB08AF" w:rsidRDefault="007A0406" w:rsidP="00A41ECA">
      <w:pPr>
        <w:pStyle w:val="InstructionsText2"/>
        <w:numPr>
          <w:ilvl w:val="1"/>
          <w:numId w:val="15"/>
        </w:numPr>
      </w:pPr>
      <w:r>
        <w:t>“TLAC” jirreferi għar-rekwiżiti għal fondi proprji u obbligazzjonijiet eliġibbli għal istituzzjonijiet globali sistemikament importanti (G-SIIs) skont l-Artikolu 92a tar-Regolament (UE) Nru 575/2013;</w:t>
      </w:r>
    </w:p>
    <w:p w14:paraId="2F8292A9" w14:textId="510A8DF1" w:rsidR="005C73C9" w:rsidRPr="00FB08AF" w:rsidRDefault="005C73C9" w:rsidP="00A41ECA">
      <w:pPr>
        <w:pStyle w:val="InstructionsText2"/>
        <w:numPr>
          <w:ilvl w:val="1"/>
          <w:numId w:val="15"/>
        </w:numPr>
      </w:pPr>
      <w:r>
        <w:t>“TLAC interna” jirreferi għar-rekwiżit għal fondi proprji u obbligazzjonijiet eliġibbli għal G-SIIs mhux tal-UE skont l-Artikolu 92b tar-Regolament (UE) Nru 575/2013;</w:t>
      </w:r>
    </w:p>
    <w:p w14:paraId="20FFA708" w14:textId="217BA515" w:rsidR="008E638A" w:rsidRPr="00FB08AF" w:rsidRDefault="008E638A" w:rsidP="00A41ECA">
      <w:pPr>
        <w:pStyle w:val="InstructionsText2"/>
        <w:numPr>
          <w:ilvl w:val="1"/>
          <w:numId w:val="15"/>
        </w:numPr>
      </w:pPr>
      <w:r>
        <w:t>“MREL intern” jirreferi għall-MREL applikat għal entitajiet li huma stess mhumiex entitajiet ta’ riżoluzzjoni skont l-Artikolu 45f tad-Direttiva 2014/59/UE;</w:t>
      </w:r>
    </w:p>
    <w:p w14:paraId="549385E1" w14:textId="142F130E" w:rsidR="00A335B4" w:rsidRPr="00FB08AF" w:rsidRDefault="00A335B4" w:rsidP="00A41ECA">
      <w:pPr>
        <w:pStyle w:val="InstructionsText2"/>
        <w:numPr>
          <w:ilvl w:val="1"/>
          <w:numId w:val="15"/>
        </w:numPr>
      </w:pPr>
      <w:r>
        <w:t>“ammont ta’ permess minn qabel mhux użat” ifisser l-ammont kopert minn permess minn qabel biex jinxtraw, jinfdew, jitħallsu lura jew jinxtraw mill-ġdid strumenti ta’ fondi proprji f’konformità mal-Artikolu 78 tar-Regolament (UE) Nru 575/2013, jew strumenti ta’ obbligazzjonijiet eliġibbli f’konformità mal-Artikolu 78a ta’ dak ir-Regolament, kif applikabbli, sal-punt li l-entità relatriċi tkun għadha ma użatx dak l-ammont biex tixtri, tifdi, tħallas lura jew tixtri mill-ġdid strumenti. Meta l-permess ikun permess ad hoc u jirreferi għal strumenti eżerċitabbli fejn ma tingħata l-ebda ċertezza suffiċjenti li l-opzjoni eżerċitabbli se tiġi eżegwita, l-ammont ta’ permess minn qabel mhux użat għandu jeskludi kwalunkwe strument bħal dan;</w:t>
      </w:r>
    </w:p>
    <w:p w14:paraId="228F5767" w14:textId="2A472080" w:rsidR="00A335B4" w:rsidRPr="00FB08AF" w:rsidRDefault="00A335B4" w:rsidP="00A41ECA">
      <w:pPr>
        <w:pStyle w:val="InstructionsText2"/>
        <w:numPr>
          <w:ilvl w:val="1"/>
          <w:numId w:val="15"/>
        </w:numPr>
      </w:pPr>
      <w:r>
        <w:t xml:space="preserve">“ammont ta’ permess ad hoc mhux użat” ifisser l-ammont kopert minn permess ad hoc minn qabel biex jinxtraw, jinfdew, jitħallsu lura jew jinxtraw mill-ġdid strumenti speċifiċi ta’ fondi proprji f’konformità mal-Artikolu 78(1), l-ewwel subparagrafu, tar-Regolament (UE) Nru 575/2013 flimkien mal-Artikolu 28(5) </w:t>
      </w:r>
      <w:r>
        <w:rPr>
          <w:rStyle w:val="FormatvorlageInstructionsTabelleText"/>
          <w:rFonts w:ascii="Times New Roman" w:hAnsi="Times New Roman"/>
          <w:sz w:val="24"/>
        </w:rPr>
        <w:t>tar-Regolament Delegat tal-Kummissjoni (UE) Nru 241/2014</w:t>
      </w:r>
      <w:r w:rsidR="00295371" w:rsidRPr="00FB08AF">
        <w:rPr>
          <w:rStyle w:val="FootnoteReference"/>
          <w:bCs/>
        </w:rPr>
        <w:footnoteReference w:id="2"/>
      </w:r>
      <w:r>
        <w:t xml:space="preserve"> jew strumenti ta’ obbligazzjonijiet eliġibbli speċifiċi f’konformità mal-Artikoli 78a tar-Regolament (UE) Nru 575/2013 </w:t>
      </w:r>
      <w:r>
        <w:rPr>
          <w:rStyle w:val="FormatvorlageInstructionsTabelleText"/>
          <w:rFonts w:ascii="Times New Roman" w:hAnsi="Times New Roman"/>
          <w:sz w:val="24"/>
        </w:rPr>
        <w:t>flimkien mal-Artikolu 32b(2) tar-Regolament Delegat (UE) Nru 241/2014</w:t>
      </w:r>
      <w:r>
        <w:t xml:space="preserve">, kif applikabbli, sal-punt li l-entità relatriċi tkun għadha ma użatx dak l-ammont biex tixtri, tifdi, tħallas lura jew tixtri mill-ġdid dawk l-istrumenti. Meta l-permess jirreferi għal strumenti eżerċitabbli fejn ma </w:t>
      </w:r>
      <w:r>
        <w:lastRenderedPageBreak/>
        <w:t>tingħata l-ebda ċertezza suffiċjenti li l-opzjoni eżerċitabbli se tiġi eżegwita, l-ammont ta’ permess minn qabel mhux użat għandu jeskludi kwalunkwe strument bħal dan.</w:t>
      </w:r>
    </w:p>
    <w:p w14:paraId="2817175F" w14:textId="48A4A2F6" w:rsidR="001B1864" w:rsidRPr="00FB08AF" w:rsidRDefault="001B1864" w:rsidP="00A41ECA">
      <w:pPr>
        <w:pStyle w:val="InstructionsText2"/>
        <w:numPr>
          <w:ilvl w:val="1"/>
          <w:numId w:val="15"/>
        </w:numPr>
      </w:pPr>
      <w:r>
        <w:t xml:space="preserve">“ammont ta’ permess ġenerali mhux użat” jew “ammont GPP mhux użat” ifisser l-ammont kopert minn permess minn qabel biex jinxtraw, jinfdew, jitħallsu lura jew jinxtraw mill-ġdid strumenti ta’ fondi proprji f’konformità mal-Artikolu 78(1), it-tieni subparagrafu, tar-Regolament (UE) Nru 575/2013 flimkien mal-Artikolu 28(3) </w:t>
      </w:r>
      <w:r>
        <w:rPr>
          <w:rStyle w:val="FormatvorlageInstructionsTabelleText"/>
          <w:rFonts w:ascii="Times New Roman" w:hAnsi="Times New Roman"/>
          <w:sz w:val="24"/>
        </w:rPr>
        <w:t>tar-Regolament Delegat (UE) Nru 241/2014</w:t>
      </w:r>
      <w:r>
        <w:t xml:space="preserve"> jew strumenti ta’ obbligazzjonijiet eliġibbli f’konformità mal-Artikoli 78a tar-Regolament (UE) Nru 575/2013 </w:t>
      </w:r>
      <w:r>
        <w:rPr>
          <w:rStyle w:val="FormatvorlageInstructionsTabelleText"/>
          <w:rFonts w:ascii="Times New Roman" w:hAnsi="Times New Roman"/>
          <w:sz w:val="24"/>
        </w:rPr>
        <w:t>flimkien mal-Artikolu 32b(3) u (5) tar-Regolament Delegat (UE) Nru 241/2014</w:t>
      </w:r>
      <w:r>
        <w:t xml:space="preserve">, kif applikabbli, sal-punt li l-entità relatriċi tkun għadha ma użatx dak l-ammont biex tixtri, tifdi, tħallas lura jew tixtri mill-ġdid dawk l-istrumenti. </w:t>
      </w:r>
    </w:p>
    <w:p w14:paraId="6568EFDF" w14:textId="77777777" w:rsidR="00304CA5" w:rsidRPr="00FB08AF" w:rsidRDefault="00304CA5" w:rsidP="004125A1">
      <w:pPr>
        <w:rPr>
          <w:rFonts w:ascii="Times New Roman" w:hAnsi="Times New Roman"/>
        </w:rPr>
      </w:pPr>
    </w:p>
    <w:p w14:paraId="31426CA0" w14:textId="02347391" w:rsidR="004A4EB9" w:rsidRPr="00FB08AF" w:rsidRDefault="004A4EB9" w:rsidP="007B2300">
      <w:pPr>
        <w:pStyle w:val="body"/>
      </w:pPr>
      <w:bookmarkStart w:id="25" w:name="_Toc264033192"/>
      <w:bookmarkEnd w:id="25"/>
    </w:p>
    <w:p w14:paraId="314229FD" w14:textId="77777777" w:rsidR="00AD3F9D" w:rsidRPr="00FB08AF" w:rsidRDefault="00AD3F9D" w:rsidP="00A41ECA">
      <w:pPr>
        <w:pStyle w:val="InstructionsText2"/>
        <w:sectPr w:rsidR="00AD3F9D" w:rsidRPr="00FB08AF" w:rsidSect="00A801A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1417" w:right="1417" w:bottom="1134" w:left="1417" w:header="708" w:footer="708" w:gutter="0"/>
          <w:cols w:space="708"/>
          <w:rtlGutter/>
          <w:docGrid w:linePitch="360"/>
        </w:sectPr>
      </w:pPr>
    </w:p>
    <w:p w14:paraId="2FB2FFF1" w14:textId="001A0A83" w:rsidR="002648B0" w:rsidRPr="00FB08AF" w:rsidRDefault="002648B0" w:rsidP="00D64B66">
      <w:pPr>
        <w:pStyle w:val="Heading2"/>
        <w:rPr>
          <w:rFonts w:ascii="Times New Roman" w:hAnsi="Times New Roman"/>
        </w:rPr>
      </w:pPr>
      <w:bookmarkStart w:id="26" w:name="_Toc360188322"/>
      <w:bookmarkStart w:id="27" w:name="_Toc473560870"/>
      <w:bookmarkStart w:id="28" w:name="_Toc45558478"/>
      <w:r>
        <w:rPr>
          <w:rFonts w:ascii="Times New Roman" w:hAnsi="Times New Roman"/>
        </w:rPr>
        <w:lastRenderedPageBreak/>
        <w:t>PARTI II: STRUZZJONIJIET RELATATI MAL-FORMOLI</w:t>
      </w:r>
      <w:bookmarkEnd w:id="26"/>
      <w:bookmarkEnd w:id="27"/>
      <w:bookmarkEnd w:id="28"/>
    </w:p>
    <w:p w14:paraId="011193F3" w14:textId="255CE50E" w:rsidR="002648B0" w:rsidRPr="00FB08AF" w:rsidRDefault="00F753F4" w:rsidP="00873459">
      <w:pPr>
        <w:pStyle w:val="Numberedtilelevel1"/>
        <w:numPr>
          <w:ilvl w:val="0"/>
          <w:numId w:val="31"/>
        </w:numPr>
      </w:pPr>
      <w:bookmarkStart w:id="29" w:name="_Toc45558479"/>
      <w:r>
        <w:t>Ammonti: M 01.00 – Metriċi ewlenin għall-MREL u t-TLAC (KM2)</w:t>
      </w:r>
      <w:bookmarkEnd w:id="29"/>
    </w:p>
    <w:p w14:paraId="33F01D1B" w14:textId="77777777" w:rsidR="00443BEC" w:rsidRPr="00FB08AF" w:rsidRDefault="00443BEC" w:rsidP="00C271AC">
      <w:pPr>
        <w:pStyle w:val="Numberedtilelevel1"/>
        <w:numPr>
          <w:ilvl w:val="1"/>
          <w:numId w:val="30"/>
        </w:numPr>
      </w:pPr>
      <w:bookmarkStart w:id="30" w:name="_Toc45558480"/>
      <w:r>
        <w:t>Kummenti ġenerali</w:t>
      </w:r>
      <w:bookmarkEnd w:id="30"/>
    </w:p>
    <w:p w14:paraId="6B3CD7BF" w14:textId="035C8958" w:rsidR="00902E77" w:rsidRPr="00FB08AF" w:rsidRDefault="002701C8" w:rsidP="00A41ECA">
      <w:pPr>
        <w:pStyle w:val="InstructionsText2"/>
      </w:pPr>
      <w:r>
        <w:t>Il-kolonna li tirreferi għar-rekwiżit minimu għall-fondi proprji u l-obbligazzjonijiet eliġibbli (MREL) għandha timtela minn entitajiet li huma soġġetti għar-rekwiżit minimu għall-fondi proprji u l-obbligazzjonijiet eliġibbli f’konformità mal-Artikolu 45e tad-Direttiva 2014/59/UE. Huma biss dawk l-entitajiet obbligati li jikkonformaw mar-rekwiżit stipulat fl-Artikolu 92a tar-Regolament (UE) Nru 575/2013 li għandhom jirrapportaw l-entrati li jirreferu għar-rekwiżit tal-G-SII għall-fondi proprji u l-obbligazzjonijiet eliġibbli (TLAC).</w:t>
      </w:r>
    </w:p>
    <w:p w14:paraId="507A7131" w14:textId="63A7BD8F" w:rsidR="00443BEC" w:rsidRPr="00FB08AF" w:rsidRDefault="00443BEC" w:rsidP="00443BEC">
      <w:pPr>
        <w:pStyle w:val="Numberedtilelevel1"/>
        <w:numPr>
          <w:ilvl w:val="1"/>
          <w:numId w:val="30"/>
        </w:numPr>
      </w:pPr>
      <w:bookmarkStart w:id="31" w:name="_Toc45558481"/>
      <w:r>
        <w:t>Struzzjonijiet dwar pożizzjonijiet speċifiċi</w:t>
      </w:r>
      <w:bookmarkEnd w:id="31"/>
    </w:p>
    <w:tbl>
      <w:tblPr>
        <w:tblW w:w="8749" w:type="dxa"/>
        <w:tblInd w:w="539" w:type="dxa"/>
        <w:tblLayout w:type="fixed"/>
        <w:tblLook w:val="00A0" w:firstRow="1" w:lastRow="0" w:firstColumn="1" w:lastColumn="0" w:noHBand="0" w:noVBand="0"/>
      </w:tblPr>
      <w:tblGrid>
        <w:gridCol w:w="1129"/>
        <w:gridCol w:w="7620"/>
      </w:tblGrid>
      <w:tr w:rsidR="00FB08AF" w:rsidRPr="00FB08AF" w14:paraId="76045A07" w14:textId="77777777" w:rsidTr="00FF0E1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1DC8DF" w14:textId="77777777" w:rsidR="00FF0E1F" w:rsidRPr="00FB08AF" w:rsidRDefault="00FF0E1F" w:rsidP="00A41ECA">
            <w:pPr>
              <w:pStyle w:val="InstructionsText"/>
            </w:pPr>
            <w:r>
              <w:t>Kolonni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AFEC2E" w14:textId="77777777" w:rsidR="00FF0E1F" w:rsidRPr="00FB08AF" w:rsidRDefault="00FF0E1F" w:rsidP="00A41ECA">
            <w:pPr>
              <w:pStyle w:val="InstructionsText"/>
            </w:pPr>
            <w:r>
              <w:t>Referenzi u struzzjonijiet legali</w:t>
            </w:r>
          </w:p>
        </w:tc>
      </w:tr>
      <w:tr w:rsidR="00FB08AF" w:rsidRPr="00FB08AF" w14:paraId="5ABDF8AA" w14:textId="77777777" w:rsidTr="00FF0E1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BD06" w14:textId="48A203E7" w:rsidR="00B24942" w:rsidRPr="00FB08AF" w:rsidRDefault="00B24942" w:rsidP="00A41ECA">
            <w:pPr>
              <w:pStyle w:val="InstructionsText"/>
            </w:pPr>
            <w:r>
              <w:t>0010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75FF9" w14:textId="77777777" w:rsidR="00B24942" w:rsidRPr="00FB08AF" w:rsidRDefault="00B24942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Rekwiżit minimu għal fondi proprji u obbligazzjonijiet eliġibbli (MREL)</w:t>
            </w:r>
          </w:p>
          <w:p w14:paraId="2AD8D05B" w14:textId="3CD8A827" w:rsidR="00B24942" w:rsidRPr="00FB08AF" w:rsidRDefault="00B24942" w:rsidP="00A41ECA">
            <w:pPr>
              <w:pStyle w:val="InstructionsText"/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L-Artikoli 45 u 45e</w:t>
            </w:r>
            <w:r>
              <w:t xml:space="preserve"> tad-Direttiva 2014/59/UE</w:t>
            </w:r>
          </w:p>
        </w:tc>
      </w:tr>
      <w:tr w:rsidR="00B24942" w:rsidRPr="00FB08AF" w14:paraId="0E066ADC" w14:textId="77777777" w:rsidTr="00FF0E1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7B7F" w14:textId="17F5FFCB" w:rsidR="00B24942" w:rsidRPr="00FB08AF" w:rsidRDefault="00B24942" w:rsidP="00A41ECA">
            <w:pPr>
              <w:pStyle w:val="InstructionsText"/>
            </w:pPr>
            <w:r>
              <w:t>0020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21F8" w14:textId="642A69C0" w:rsidR="00B24942" w:rsidRPr="00FB08AF" w:rsidRDefault="00B24942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Rekwiżit għal fondi proprji u obbligazzjonijiet eliġibbli għall-G-SIIs (TLAC)</w:t>
            </w:r>
          </w:p>
          <w:p w14:paraId="3CB88656" w14:textId="5EB7C7A4" w:rsidR="00B24942" w:rsidRPr="00FB08AF" w:rsidRDefault="00B24942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L-Artikolu 92a</w:t>
            </w:r>
            <w:r>
              <w:t xml:space="preserve"> tar-Regolament (UE) Nru 575/2013</w:t>
            </w:r>
          </w:p>
        </w:tc>
      </w:tr>
    </w:tbl>
    <w:p w14:paraId="131E3F94" w14:textId="2091667C" w:rsidR="00FF0E1F" w:rsidRPr="00FB08AF" w:rsidRDefault="00FF0E1F" w:rsidP="00A41ECA">
      <w:pPr>
        <w:pStyle w:val="InstructionsText"/>
      </w:pPr>
    </w:p>
    <w:tbl>
      <w:tblPr>
        <w:tblW w:w="8749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7620"/>
      </w:tblGrid>
      <w:tr w:rsidR="00FB08AF" w:rsidRPr="00FB08AF" w14:paraId="3CA212D1" w14:textId="77777777" w:rsidTr="00482729">
        <w:tc>
          <w:tcPr>
            <w:tcW w:w="1129" w:type="dxa"/>
            <w:shd w:val="clear" w:color="auto" w:fill="D9D9D9"/>
          </w:tcPr>
          <w:p w14:paraId="3C2709B8" w14:textId="77777777" w:rsidR="00482729" w:rsidRPr="00FB08AF" w:rsidRDefault="00482729" w:rsidP="00A41ECA">
            <w:pPr>
              <w:pStyle w:val="InstructionsText"/>
              <w:rPr>
                <w:rStyle w:val="InstructionsTabelleText"/>
                <w:rFonts w:ascii="Times New Roman" w:hAnsi="Times New Roman"/>
                <w:bCs/>
                <w:sz w:val="24"/>
              </w:rPr>
            </w:pPr>
            <w:r>
              <w:rPr>
                <w:rStyle w:val="InstructionsTabelleText"/>
                <w:rFonts w:ascii="Times New Roman" w:hAnsi="Times New Roman"/>
                <w:sz w:val="24"/>
              </w:rPr>
              <w:t>Ringiela</w:t>
            </w:r>
          </w:p>
        </w:tc>
        <w:tc>
          <w:tcPr>
            <w:tcW w:w="7620" w:type="dxa"/>
            <w:shd w:val="clear" w:color="auto" w:fill="D9D9D9"/>
          </w:tcPr>
          <w:p w14:paraId="40ACB4D4" w14:textId="77777777" w:rsidR="00482729" w:rsidRPr="00FB08AF" w:rsidRDefault="00482729" w:rsidP="00A41ECA">
            <w:pPr>
              <w:pStyle w:val="InstructionsText"/>
              <w:rPr>
                <w:rStyle w:val="InstructionsTabelleText"/>
                <w:rFonts w:ascii="Times New Roman" w:hAnsi="Times New Roman"/>
                <w:bCs/>
                <w:sz w:val="24"/>
              </w:rPr>
            </w:pPr>
            <w:r>
              <w:rPr>
                <w:rStyle w:val="InstructionsTabelleText"/>
                <w:rFonts w:ascii="Times New Roman" w:hAnsi="Times New Roman"/>
                <w:sz w:val="24"/>
              </w:rPr>
              <w:t>Referenzi u struzzjonijiet legali</w:t>
            </w:r>
          </w:p>
        </w:tc>
      </w:tr>
      <w:tr w:rsidR="00FB08AF" w:rsidRPr="00FB08AF" w14:paraId="10EE241B" w14:textId="77777777" w:rsidTr="00482729">
        <w:tc>
          <w:tcPr>
            <w:tcW w:w="1129" w:type="dxa"/>
          </w:tcPr>
          <w:p w14:paraId="02D860CF" w14:textId="09C9E02C" w:rsidR="00482729" w:rsidRPr="00FB08AF" w:rsidRDefault="0048272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0100-0120</w:t>
            </w:r>
          </w:p>
        </w:tc>
        <w:tc>
          <w:tcPr>
            <w:tcW w:w="7620" w:type="dxa"/>
          </w:tcPr>
          <w:p w14:paraId="420690CF" w14:textId="4B72D8DC" w:rsidR="00482729" w:rsidRPr="00FB08AF" w:rsidRDefault="00D61796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 xml:space="preserve">L-ammont totali tal-iskopertura għar-riskju u l-kejl tal-iskopertura totali </w:t>
            </w:r>
          </w:p>
        </w:tc>
      </w:tr>
      <w:tr w:rsidR="00FB08AF" w:rsidRPr="00FB08AF" w14:paraId="4ABF163D" w14:textId="77777777" w:rsidTr="00482729">
        <w:tc>
          <w:tcPr>
            <w:tcW w:w="1129" w:type="dxa"/>
          </w:tcPr>
          <w:p w14:paraId="1AEBCE31" w14:textId="77777777" w:rsidR="00482729" w:rsidRPr="00FB08AF" w:rsidRDefault="0048272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0100</w:t>
            </w:r>
          </w:p>
        </w:tc>
        <w:tc>
          <w:tcPr>
            <w:tcW w:w="7620" w:type="dxa"/>
          </w:tcPr>
          <w:p w14:paraId="6351F1FC" w14:textId="14541FAF" w:rsidR="00482729" w:rsidRPr="00FB08AF" w:rsidRDefault="00482729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L-ammont totali tal-iskopertura għar-riskju (TREA)</w:t>
            </w:r>
          </w:p>
          <w:p w14:paraId="2DCC2520" w14:textId="7A3D9C76" w:rsidR="00EB663A" w:rsidRPr="00FB08AF" w:rsidRDefault="00833ACC" w:rsidP="00740250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L-Artikolu 45(2), il-punt (a), tad-Direttiva 2014/59/UE, l-Artikolu 92(3) tar-Regolament (UE) Nru 575/2013.</w:t>
            </w:r>
          </w:p>
          <w:p w14:paraId="59BD35A0" w14:textId="68EBF60A" w:rsidR="00482729" w:rsidRPr="00FB08AF" w:rsidRDefault="00EB663A" w:rsidP="00454476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 totali tal-iskopertura għar-riskju rrapportat f’din ir-ringiela għandu jkun l-ammont totali tal-iskopertura għar-riskju li huwa l-bażi għall-konformità mar-rekwiżiti stabbiliti fl-Artikolu 45 tad-Direttiva 2014/59/UE jew tal-Artikolu 92a tar-Regolament (UE) Nru 575/2013, kif applikabbli.</w:t>
            </w:r>
          </w:p>
        </w:tc>
      </w:tr>
      <w:tr w:rsidR="00FB08AF" w:rsidRPr="00FB08AF" w14:paraId="3AD21AA0" w14:textId="77777777" w:rsidTr="00482729">
        <w:tc>
          <w:tcPr>
            <w:tcW w:w="1129" w:type="dxa"/>
          </w:tcPr>
          <w:p w14:paraId="1FC4F735" w14:textId="77777777" w:rsidR="00482729" w:rsidRPr="00FB08AF" w:rsidRDefault="0048272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0110</w:t>
            </w:r>
          </w:p>
        </w:tc>
        <w:tc>
          <w:tcPr>
            <w:tcW w:w="7620" w:type="dxa"/>
          </w:tcPr>
          <w:p w14:paraId="624C65F2" w14:textId="5BF36935" w:rsidR="00482729" w:rsidRPr="00FB08AF" w:rsidRDefault="00482729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Kejl tal-iskopertura totali (TEM)</w:t>
            </w:r>
          </w:p>
          <w:p w14:paraId="1A7F5C6F" w14:textId="31F45D0B" w:rsidR="00482729" w:rsidRPr="00FB08AF" w:rsidRDefault="00833ACC" w:rsidP="00740250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L-Artikolu 45(2), il-punt (b), tad-Direttiva 2014/59/UE, l-Artikolu 429(4) u l-Artikolu 429a tar-Regolament (UE) Nru 575/2013.</w:t>
            </w:r>
          </w:p>
          <w:p w14:paraId="27EFEFE0" w14:textId="06A23103" w:rsidR="00EB663A" w:rsidRPr="00FB08AF" w:rsidRDefault="00EB663A" w:rsidP="00454476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Il-kejl tal-iskopertura totali rrapportat f’din ir-ringiela għandu jkun il-kejl tal-iskopertura totali, li huwa l-bażi għall-konformità mar-rekwiżiti stabbiliti fl-Artikolu 45 tad-Direttiva 2014/59/UE jew l-Artikolu 92a tar-Regolament (UE) Nru 575/2013, kif applikabbli.</w:t>
            </w:r>
          </w:p>
        </w:tc>
      </w:tr>
      <w:tr w:rsidR="00FB08AF" w:rsidRPr="00FB08AF" w14:paraId="5ACF39FB" w14:textId="77777777" w:rsidTr="00482729">
        <w:tc>
          <w:tcPr>
            <w:tcW w:w="1129" w:type="dxa"/>
          </w:tcPr>
          <w:p w14:paraId="1A555FC6" w14:textId="6E8FDEAE" w:rsidR="00833ACC" w:rsidRPr="00FB08AF" w:rsidRDefault="00833ACC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0200-0230</w:t>
            </w:r>
          </w:p>
        </w:tc>
        <w:tc>
          <w:tcPr>
            <w:tcW w:w="7620" w:type="dxa"/>
          </w:tcPr>
          <w:p w14:paraId="5847F001" w14:textId="7DB76AE6" w:rsidR="00833ACC" w:rsidRPr="00FB08AF" w:rsidRDefault="00833ACC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Fondi proprji u obbligazzjonijiet eliġibbli</w:t>
            </w:r>
          </w:p>
        </w:tc>
      </w:tr>
      <w:tr w:rsidR="00FB08AF" w:rsidRPr="00FB08AF" w14:paraId="56610C42" w14:textId="77777777" w:rsidTr="00482729">
        <w:tc>
          <w:tcPr>
            <w:tcW w:w="1129" w:type="dxa"/>
          </w:tcPr>
          <w:p w14:paraId="20C9006A" w14:textId="4D78796C" w:rsidR="00833ACC" w:rsidRPr="00FB08AF" w:rsidRDefault="00833ACC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0200</w:t>
            </w:r>
          </w:p>
        </w:tc>
        <w:tc>
          <w:tcPr>
            <w:tcW w:w="7620" w:type="dxa"/>
          </w:tcPr>
          <w:p w14:paraId="69CC3F9F" w14:textId="44BAB6DC" w:rsidR="00833ACC" w:rsidRPr="00FB08AF" w:rsidRDefault="00833ACC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Fondi proprji u obbligazzjonijiet eliġibbli</w:t>
            </w:r>
          </w:p>
          <w:p w14:paraId="23602173" w14:textId="13A6C1A6" w:rsidR="00014A29" w:rsidRPr="00FB08AF" w:rsidRDefault="00014A29" w:rsidP="00833ACC">
            <w:pPr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</w:t>
            </w:r>
          </w:p>
          <w:p w14:paraId="5BB19EC3" w14:textId="6EEA08CA" w:rsidR="00833ACC" w:rsidRPr="00FB08AF" w:rsidRDefault="00833ACC" w:rsidP="00833ACC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 ta’ fondi proprji u obbligazzjonijiet eliġibbli li jgħoddu għall-MREL għandu jiġi rrapportat bħala s-somma ta’:</w:t>
            </w:r>
          </w:p>
          <w:p w14:paraId="48247D2D" w14:textId="593F7FE6" w:rsidR="00833ACC" w:rsidRPr="00FB08AF" w:rsidRDefault="00833ACC" w:rsidP="00454476">
            <w:pPr>
              <w:pStyle w:val="ListParagraph"/>
              <w:numPr>
                <w:ilvl w:val="0"/>
                <w:numId w:val="20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fondi proprji kif definiti fl-Artikolu 4(1), il-punt (118), u l-Artikolu 72 tar-Regolament (UE) Nru 575/2013; </w:t>
            </w:r>
          </w:p>
          <w:p w14:paraId="4562E31B" w14:textId="37D6374D" w:rsidR="00833ACC" w:rsidRPr="00FB08AF" w:rsidRDefault="00031DC6" w:rsidP="00454476">
            <w:pPr>
              <w:pStyle w:val="ListParagraph"/>
              <w:numPr>
                <w:ilvl w:val="0"/>
                <w:numId w:val="20"/>
              </w:numPr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obbligazzjonijiet eliġibbli kif definit fl-Artikolu 2(1), il-punt (71a), tad-Direttiva 2014/59/UE.</w:t>
            </w:r>
          </w:p>
          <w:p w14:paraId="08E53EB1" w14:textId="30145812" w:rsidR="00014A29" w:rsidRPr="00FB08AF" w:rsidRDefault="00014A29" w:rsidP="00CC7A43">
            <w:pPr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Fil-każ ta’ strumenti rregolati mil-liġi ta’ pajjiż terz, l-istrument għandu jiġi inkluż biss f’din ir-ringiela jekk jissodisfa r-rekwiżiti stipulati fl-Artikolu 55 tad-Direttiva 2014/59/UE.</w:t>
            </w:r>
          </w:p>
          <w:p w14:paraId="3802483D" w14:textId="72951D63" w:rsidR="00014A29" w:rsidRPr="00FB08AF" w:rsidRDefault="00014A29" w:rsidP="007B2300">
            <w:pPr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172C64BD" w14:textId="5B59747A" w:rsidR="00C74C49" w:rsidRPr="00FB08AF" w:rsidRDefault="00C74C49" w:rsidP="00CC7A43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 ta’ fondi proprji u obbligazzjonijiet eliġibbli li jgħoddu għar-rekwiżit tal-G-SII għall-fondi proprji u l-obbligazzjonijiet eliġibbli (TLAC) għandu jkun l-ammont imsemmi fl-Artikolu 72 l tar-Regolament (UE) Nru 575/2013, li jikkonsisti fi:</w:t>
            </w:r>
          </w:p>
          <w:p w14:paraId="2C797F81" w14:textId="05226138" w:rsidR="00C74C49" w:rsidRPr="00FB08AF" w:rsidRDefault="00C74C49" w:rsidP="00FC7D64">
            <w:pPr>
              <w:pStyle w:val="ListParagraph"/>
              <w:numPr>
                <w:ilvl w:val="0"/>
                <w:numId w:val="22"/>
              </w:numPr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fondi proprji kif definiti fl-Artikolu 4(1), il-punt (118), u l-Artikolu 72 tar-Regolament (UE) Nru 575/2013;</w:t>
            </w:r>
          </w:p>
          <w:p w14:paraId="5A219BC0" w14:textId="42171A65" w:rsidR="00C60A1B" w:rsidRPr="00FB08AF" w:rsidRDefault="00C74C49" w:rsidP="00FC7D64">
            <w:pPr>
              <w:pStyle w:val="ListParagraph"/>
              <w:numPr>
                <w:ilvl w:val="0"/>
                <w:numId w:val="22"/>
              </w:numPr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obbligazzjonijiet eliġibbli f’konformità mal-Artikolu 72k tar-Regolament (UE) Nru 575/2013.</w:t>
            </w:r>
          </w:p>
        </w:tc>
      </w:tr>
      <w:tr w:rsidR="00FB08AF" w:rsidRPr="00FB08AF" w14:paraId="0580BAE0" w14:textId="77777777" w:rsidTr="00482729">
        <w:tc>
          <w:tcPr>
            <w:tcW w:w="1129" w:type="dxa"/>
          </w:tcPr>
          <w:p w14:paraId="7F1FCE61" w14:textId="5708257A" w:rsidR="00CC7A43" w:rsidRPr="00FB08AF" w:rsidRDefault="00CC7A43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0210</w:t>
            </w:r>
          </w:p>
        </w:tc>
        <w:tc>
          <w:tcPr>
            <w:tcW w:w="7620" w:type="dxa"/>
          </w:tcPr>
          <w:p w14:paraId="4DC5951E" w14:textId="77777777" w:rsidR="00CC7A43" w:rsidRPr="00FB08AF" w:rsidRDefault="00CC7A43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fondi proprji u obbligazzjonijiet subordinati</w:t>
            </w:r>
          </w:p>
          <w:p w14:paraId="2FF67EC2" w14:textId="46DA0283" w:rsidR="00CC7A43" w:rsidRPr="00FB08AF" w:rsidRDefault="00CC7A43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L-ammont ta’ fondi proprji u obbligazzjonijiet eliġibbli subordinati li jgħoddu għall-MREL għandu jiġi rrapportat bħala s-somma ta’:</w:t>
            </w:r>
          </w:p>
          <w:p w14:paraId="1E69B0AB" w14:textId="728EBA78" w:rsidR="00CC7A43" w:rsidRPr="00FB08AF" w:rsidRDefault="00CC7A43" w:rsidP="007B2300">
            <w:pPr>
              <w:pStyle w:val="ListParagraph"/>
              <w:numPr>
                <w:ilvl w:val="0"/>
                <w:numId w:val="45"/>
              </w:numP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fondi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proprji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kif definiti fl-Artikolu 4(1), il-punt (118), u l-Artikolu 72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tar-Regolament (UE) Nru 575/2013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;</w:t>
            </w:r>
          </w:p>
          <w:p w14:paraId="2CA01563" w14:textId="21173DD8" w:rsidR="00DE3106" w:rsidRPr="00FB08AF" w:rsidRDefault="00031DC6" w:rsidP="00E55589">
            <w:pPr>
              <w:pStyle w:val="ListParagraph"/>
              <w:numPr>
                <w:ilvl w:val="0"/>
                <w:numId w:val="45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obbligazzjonijiet eliġibbli inklużi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fl-ammont ta’ fondi proprji u obbligazzjonijiet eliġibbli f’konformità mal-Artikolu 45b tad-Direttiva 2014/59/UE li huma strumenti eliġibbli subordinati kif definiti fil-punt fl-Artikolu 2(1), il-punt (71b) ta’ dik id-Direttiva;</w:t>
            </w:r>
          </w:p>
          <w:p w14:paraId="013BC1DB" w14:textId="4C025BAC" w:rsidR="007B2300" w:rsidRPr="00FB08AF" w:rsidRDefault="00DE3106" w:rsidP="007B2300">
            <w:pPr>
              <w:pStyle w:val="ListParagraph"/>
              <w:numPr>
                <w:ilvl w:val="0"/>
                <w:numId w:val="45"/>
              </w:numPr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obbligazzjonijiet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inklużi fl-ammont ta’ fondi proprji u obbligazzjonijiet eliġibbli f’konformità mal-Artikolu 45b(3) tad-Direttiva 2014/59/UE.</w:t>
            </w:r>
          </w:p>
          <w:p w14:paraId="6E9E5E3C" w14:textId="13AC4EF4" w:rsidR="00CC7A43" w:rsidRPr="00FB08AF" w:rsidRDefault="0036191E" w:rsidP="00E55589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Fil-każ tal-istrumenti rregolati mil-liġi ta’ pajjiż terz, l-istrument għandu jiġi inkluż biss f’din ir-ringiela jekk jissodisfa r-rekwiżiti tal-Artikolu 55 stipulat fid-Direttiva 2014/59/UE.</w:t>
            </w:r>
          </w:p>
          <w:p w14:paraId="015C2F95" w14:textId="689BF0B6" w:rsidR="00581EAB" w:rsidRPr="00FB08AF" w:rsidRDefault="00947AE8" w:rsidP="00E55589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Fir-rigward tal-obbligazzjonijiet eliġibbli subordinati, l-ammonti rrapportati għandhom ikunu l-ammonti netti minn </w:t>
            </w:r>
          </w:p>
          <w:p w14:paraId="47ABA882" w14:textId="6BD49519" w:rsidR="00581EAB" w:rsidRPr="00FB08AF" w:rsidRDefault="008C19BD" w:rsidP="00581EAB">
            <w:pPr>
              <w:pStyle w:val="ListParagraph"/>
              <w:numPr>
                <w:ilvl w:val="0"/>
                <w:numId w:val="65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fejn applikabbli, parteċipazzjonijiet ta’ strumenti ta’ obbligazzjonijiet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eliġibbli subordinati proprji, kif imsemmi fl-Artikolu 72e(1), il-punt (a) tar-Regolament (UE) Nru 575/2013, u</w:t>
            </w:r>
          </w:p>
          <w:p w14:paraId="023D5208" w14:textId="3A69C0C3" w:rsidR="00581EAB" w:rsidRPr="00FB08AF" w:rsidRDefault="00A335B4" w:rsidP="009E5168">
            <w:pPr>
              <w:pStyle w:val="ListParagraph"/>
              <w:numPr>
                <w:ilvl w:val="0"/>
                <w:numId w:val="65"/>
              </w:numP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ammonti ta’ permessi minn qabel mhux użati, sal-punt li l-permess minn qabel ikopri strumenti ta’ obbligazzjonijiet subordinati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b’mod ġenerali jew strument speċifiku ta’ obbligazzjonijiet subordinati.</w:t>
            </w:r>
          </w:p>
        </w:tc>
      </w:tr>
      <w:tr w:rsidR="00FB08AF" w:rsidRPr="00FB08AF" w14:paraId="4FA2C35D" w14:textId="77777777" w:rsidTr="000D5110">
        <w:tc>
          <w:tcPr>
            <w:tcW w:w="1129" w:type="dxa"/>
          </w:tcPr>
          <w:p w14:paraId="260B136D" w14:textId="21AE5F32" w:rsidR="000D5110" w:rsidRPr="00FB08AF" w:rsidRDefault="000D5110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0220</w:t>
            </w:r>
          </w:p>
        </w:tc>
        <w:tc>
          <w:tcPr>
            <w:tcW w:w="7620" w:type="dxa"/>
          </w:tcPr>
          <w:p w14:paraId="11F50189" w14:textId="503D08CC" w:rsidR="000D5110" w:rsidRPr="00FB08AF" w:rsidRDefault="000D5110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huma regolati mil-liġi ta’ pajjiż terz</w:t>
            </w:r>
          </w:p>
          <w:p w14:paraId="7B75DAA1" w14:textId="77777777" w:rsidR="000D5110" w:rsidRPr="00FB08AF" w:rsidRDefault="000D5110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L-ammont ta’ fondi proprji u obbligazzjonijiet eliġibbli li huma rregolati mil-liġi ta’ pajjiż terz kif imsemmi fl-Artikolu 55 tad-Direttiva 2014/59/UE.</w:t>
            </w:r>
          </w:p>
          <w:p w14:paraId="6536DCBA" w14:textId="04E8BB0B" w:rsidR="00D544E6" w:rsidRPr="00FB08AF" w:rsidRDefault="00947AE8" w:rsidP="00D544E6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L-ammonti rrapportati għandhom ikunu l-ammonti netti minn: </w:t>
            </w:r>
          </w:p>
          <w:p w14:paraId="04BEB273" w14:textId="2791EFB1" w:rsidR="00D544E6" w:rsidRPr="00FB08AF" w:rsidRDefault="008C19BD" w:rsidP="00D544E6">
            <w:pPr>
              <w:pStyle w:val="ListParagraph"/>
              <w:numPr>
                <w:ilvl w:val="0"/>
                <w:numId w:val="66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parteċipazzjonijiet ta’ strumenti ta’ obbligazzjonijiet eliġibbli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proprji, kif imsemmi fl-Artikolu 72e(1), il-punt (a), tar-Regolament (UE) Nru 575/2013, fejn applikabbli, u parteċipazzjonijiet ta’ strumenti ta’ fondi proprji, kif imsemmi fl-Artikolu 36(1), il-punt (f), l-Artikolu 56, il-punt (a), u l-Artikolu 66, il-punt (a), tar-Regolament (UE) Nru 575/2013, irregolati mil-liġi ta’ pajjiż terz; kif ukoll</w:t>
            </w:r>
          </w:p>
          <w:p w14:paraId="1FA67352" w14:textId="170D3681" w:rsidR="00D544E6" w:rsidRPr="00FB08AF" w:rsidRDefault="001C3C19" w:rsidP="009E5168">
            <w:pPr>
              <w:pStyle w:val="ListParagraph"/>
              <w:numPr>
                <w:ilvl w:val="0"/>
                <w:numId w:val="66"/>
              </w:numP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ammonti ta’ permessi ad hoc mhux użati, sa fejn il-permess minn qabel ikopri strument ta’ fondi proprji jew strument ta’ obbligazzjonijiet eliġibbli speċifiċi li huwa rregolat mil-liġi ta’ pajjiż terz.</w:t>
            </w:r>
          </w:p>
        </w:tc>
      </w:tr>
      <w:tr w:rsidR="00FB08AF" w:rsidRPr="00FB08AF" w14:paraId="5C23CDC9" w14:textId="77777777" w:rsidTr="000D5110">
        <w:tc>
          <w:tcPr>
            <w:tcW w:w="1129" w:type="dxa"/>
          </w:tcPr>
          <w:p w14:paraId="322DB7EE" w14:textId="42E1D608" w:rsidR="000D5110" w:rsidRPr="00FB08AF" w:rsidRDefault="000D5110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0230</w:t>
            </w:r>
          </w:p>
        </w:tc>
        <w:tc>
          <w:tcPr>
            <w:tcW w:w="7620" w:type="dxa"/>
          </w:tcPr>
          <w:p w14:paraId="1EF5E394" w14:textId="4735FB67" w:rsidR="000D5110" w:rsidRPr="00FB08AF" w:rsidRDefault="000D5110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fihom klawżola ta’ tniżżil fil-valur u ta’ konverżjoni kif imsemmi fl-Artikolu 55 tad-Direttiva 2014/59/UE</w:t>
            </w:r>
          </w:p>
          <w:p w14:paraId="441346A2" w14:textId="77777777" w:rsidR="000D5110" w:rsidRPr="00FB08AF" w:rsidRDefault="000D5110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L-ammont ta’ fondi proprji u obbligazzjonijiet eliġibbli li huma rregolati mil-liġi ta’ pajjiż terz u li fihom klawżola ta’ tniżżil fil-valur u ta’ konverżjoni kif imsemmi fl-Artikolu 55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tad-Direttiva 2014/59/UE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.</w:t>
            </w:r>
          </w:p>
          <w:p w14:paraId="51482315" w14:textId="77777777" w:rsidR="00D544E6" w:rsidRPr="00FB08AF" w:rsidRDefault="00D544E6" w:rsidP="00D544E6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L-ammonti rrapportati għandhom ikunu l-ammonti netti minn </w:t>
            </w:r>
          </w:p>
          <w:p w14:paraId="5776B6EB" w14:textId="6CA86BCA" w:rsidR="00D544E6" w:rsidRPr="00FB08AF" w:rsidRDefault="008C19BD" w:rsidP="00D544E6">
            <w:pPr>
              <w:pStyle w:val="ListParagraph"/>
              <w:numPr>
                <w:ilvl w:val="0"/>
                <w:numId w:val="67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parteċipazzjonijiet ta’ strumenti ta’ obbligazzjonijiet eliġibbli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proprji, kif imsemmi fl-Artikolu 72e(1), il-punt (a), tar-Regolament (UE) Nru 575/2013, fejn applikabbli, u parteċipazzjonijiet fi strumenti ta’ fondi proprji, kif imsemmi fl-Artikolu 36(1), il-punt (f), l-Artikolu 56, il-punt (a), u l-Artikolu 66, il-punt (a), tar-Regolament (UE) Nru 575/2013, irregolati mil-liġi ta’ pajjiż terz u li fihom klawżola ta’ tniżżil fil-valur u ta’ konverżjoni kif imsemmi fl-Artikolu 55 tad-Direttiva 2014/59/UE u</w:t>
            </w:r>
          </w:p>
          <w:p w14:paraId="5A286E7E" w14:textId="27B31AB3" w:rsidR="00D544E6" w:rsidRPr="00FB08AF" w:rsidRDefault="001C3C19" w:rsidP="009E5168">
            <w:pPr>
              <w:pStyle w:val="ListParagraph"/>
              <w:numPr>
                <w:ilvl w:val="0"/>
                <w:numId w:val="67"/>
              </w:numPr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l-ammonti ta’ permessi ad hoc mhux użati, sa fejn dak il-permess jkopri strument ta’ fondi proprji jew strument speċifiku ta’ obbligazzjonijiet eliġibbli li huma rregolati mil-liġi ta’ pajjiż terz u li fihom klawżola ta’ tniżżil fil-valur u ta’ konverżjoni kif imsemmi fl-Artikolu 55 tad-Direttiva 2014/59/UE.</w:t>
            </w:r>
          </w:p>
        </w:tc>
      </w:tr>
      <w:tr w:rsidR="00FB08AF" w:rsidRPr="00FB08AF" w14:paraId="520E2C77" w14:textId="77777777" w:rsidTr="00482729">
        <w:tc>
          <w:tcPr>
            <w:tcW w:w="1129" w:type="dxa"/>
          </w:tcPr>
          <w:p w14:paraId="6194C92E" w14:textId="711D1B3F" w:rsidR="00C725CB" w:rsidRPr="00FB08AF" w:rsidRDefault="00C725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0250-0290</w:t>
            </w:r>
          </w:p>
        </w:tc>
        <w:tc>
          <w:tcPr>
            <w:tcW w:w="7620" w:type="dxa"/>
          </w:tcPr>
          <w:p w14:paraId="1E3DF83A" w14:textId="77777777" w:rsidR="00C725CB" w:rsidRPr="00FB08AF" w:rsidRDefault="00975018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Obbligazzjonijiet oħrajn ta’ kapaċità ta’ rikapitalizzazzjoni interna</w:t>
            </w:r>
          </w:p>
          <w:p w14:paraId="4B51FD1B" w14:textId="77777777" w:rsidR="00303127" w:rsidRPr="00FB08AF" w:rsidRDefault="00093411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Entitajiet li, fid-</w:t>
            </w:r>
            <w:r>
              <w:rPr>
                <w:rStyle w:val="InstructionsTabelleberschrift"/>
                <w:rFonts w:ascii="Times New Roman" w:hAnsi="Times New Roman"/>
                <w:b w:val="0"/>
                <w:i/>
                <w:iCs/>
                <w:sz w:val="24"/>
                <w:u w:val="none"/>
              </w:rPr>
              <w:t>data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tar-rapportar ta’ dik l-informazzjoni, iżommu ammonti ta’ fondi proprji u obbligazzjonijiet eliġibbli ta’ mill-inqas 150 % tar-rekwiżit stipulat fl-Artikolu 45(1)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tad-Direttiva 2014/59/UE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għandhom jiġu eżentati mir-rapportar tal-informazzjoni fir-ringieli 0250 sa 0290. Tali entitajiet jistgħu jagħżlu li jirrapportaw dik l-informazzjoni f’dan il-mudell fuq bażi volontarja.</w:t>
            </w:r>
          </w:p>
          <w:p w14:paraId="23F6E725" w14:textId="074096E2" w:rsidR="00CA024E" w:rsidRPr="00FB08AF" w:rsidRDefault="00CA024E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lastRenderedPageBreak/>
              <w:t xml:space="preserve">L-ammonti ta’ permessi minn qabel mhux użati, sal-punt li l-permess ikopri strument ta’ obbligazzjonijiet eliġibbli, għandhom jitqiesu bħala obbligazzjonijiet oħrajn b’kapaċità ta’ rikapitalizzazzjoni interna għall-finijiet ta’ dawn ir-ringieli. </w:t>
            </w:r>
          </w:p>
        </w:tc>
      </w:tr>
      <w:tr w:rsidR="00FB08AF" w:rsidRPr="00FB08AF" w14:paraId="42F97DBF" w14:textId="77777777" w:rsidTr="00482729">
        <w:tc>
          <w:tcPr>
            <w:tcW w:w="1129" w:type="dxa"/>
          </w:tcPr>
          <w:p w14:paraId="3162371B" w14:textId="2087A44F" w:rsidR="00975018" w:rsidRPr="00FB08AF" w:rsidRDefault="0097501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0250</w:t>
            </w:r>
          </w:p>
        </w:tc>
        <w:tc>
          <w:tcPr>
            <w:tcW w:w="7620" w:type="dxa"/>
          </w:tcPr>
          <w:p w14:paraId="5DF67F30" w14:textId="4A1B3CDE" w:rsidR="00975018" w:rsidRPr="00FB08AF" w:rsidRDefault="00975018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Obbligazzjonijiet oħrajn ta’ kapaċità ta’ rikapitalizzazzjoni interna</w:t>
            </w:r>
          </w:p>
          <w:p w14:paraId="13517B1C" w14:textId="143C0711" w:rsidR="007705FD" w:rsidRPr="00FB08AF" w:rsidRDefault="00810D53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L-ammont ta’ obbligazzjonijiet ta’ kapaċità ta’ rikapitalizzazzjoni interna, kif definit fl-Artikolu 2(1), il-punt (71)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tad-Direttiva 2014/59/UE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, li mhumiex inklużi fil-fondi proprji u l-obbligazzjonijiet eliġibbli f’konformità mal-Artikolu 45b ta’ dik id-Direttiva.</w:t>
            </w:r>
          </w:p>
          <w:p w14:paraId="1FE8D9D5" w14:textId="092D6931" w:rsidR="000B5B4D" w:rsidRPr="00FB08AF" w:rsidRDefault="000B5B4D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  <w:lang w:eastAsia="en-US"/>
              </w:rPr>
            </w:pPr>
          </w:p>
        </w:tc>
      </w:tr>
      <w:tr w:rsidR="00FB08AF" w:rsidRPr="00FB08AF" w14:paraId="5A270F57" w14:textId="77777777" w:rsidTr="00482729">
        <w:tc>
          <w:tcPr>
            <w:tcW w:w="1129" w:type="dxa"/>
          </w:tcPr>
          <w:p w14:paraId="4AC52576" w14:textId="6D98DAFD" w:rsidR="00975018" w:rsidRPr="00FB08AF" w:rsidRDefault="0097501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0260</w:t>
            </w:r>
          </w:p>
        </w:tc>
        <w:tc>
          <w:tcPr>
            <w:tcW w:w="7620" w:type="dxa"/>
          </w:tcPr>
          <w:p w14:paraId="7CF081FC" w14:textId="7743924C" w:rsidR="00975018" w:rsidRPr="00FB08AF" w:rsidRDefault="000B5B4D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huma regolati mil-liġi ta’ pajjiż terz</w:t>
            </w:r>
          </w:p>
          <w:p w14:paraId="083AFDCB" w14:textId="463FBABB" w:rsidR="000B5B4D" w:rsidRPr="00FB08AF" w:rsidRDefault="000B5B4D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L-ammont ta’ obbligazzjonijiet oħrajn ta’ kapaċità ta’ rikapitalizzazzjoni interna li huma rregolati mil-liġi ta’ pajjiż terz kif imsemmi fl-Artikolu 55 </w:t>
            </w:r>
            <w:r>
              <w:t>tad-Direttiva 2014/59/UE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.</w:t>
            </w:r>
          </w:p>
        </w:tc>
      </w:tr>
      <w:tr w:rsidR="00FB08AF" w:rsidRPr="00FB08AF" w14:paraId="5EAA89AD" w14:textId="77777777" w:rsidTr="00482729">
        <w:tc>
          <w:tcPr>
            <w:tcW w:w="1129" w:type="dxa"/>
          </w:tcPr>
          <w:p w14:paraId="509F7041" w14:textId="18983768" w:rsidR="00975018" w:rsidRPr="00FB08AF" w:rsidRDefault="0097501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0270</w:t>
            </w:r>
          </w:p>
        </w:tc>
        <w:tc>
          <w:tcPr>
            <w:tcW w:w="7620" w:type="dxa"/>
          </w:tcPr>
          <w:p w14:paraId="6C3DE5F1" w14:textId="31C6CA86" w:rsidR="00975018" w:rsidRPr="00FB08AF" w:rsidRDefault="000B5B4D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fihom klawżola ta’ tniżżil fil-valur u ta’ konverżjoni kif imsemmi fl-Artikolu 55 tad-Direttiva 2014/59/UE</w:t>
            </w:r>
          </w:p>
          <w:p w14:paraId="0FA24129" w14:textId="7C351D54" w:rsidR="000B5B4D" w:rsidRPr="00FB08AF" w:rsidRDefault="002A4F17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L-ammont ta’ obbligazzjonijiet oħrajn ta’ kapaċità ta’ rikapitalizzazzjoni interna li huma rregolati mil-liġi ta’ pajjiż terz u li fihom klawżola ta’ tniżżil fil-valur u ta’ konverżjoni kif imsemmi fl-Artikolu 55 tad-Direttiva 2014/59/UE.</w:t>
            </w:r>
          </w:p>
        </w:tc>
      </w:tr>
      <w:tr w:rsidR="00FB08AF" w:rsidRPr="00FB08AF" w14:paraId="73B1588C" w14:textId="77777777" w:rsidTr="00482729">
        <w:tc>
          <w:tcPr>
            <w:tcW w:w="1129" w:type="dxa"/>
          </w:tcPr>
          <w:p w14:paraId="7ADCB31C" w14:textId="569C6F29" w:rsidR="00EC3749" w:rsidRPr="00FB08AF" w:rsidRDefault="00EC374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0280 - 0290</w:t>
            </w:r>
          </w:p>
        </w:tc>
        <w:tc>
          <w:tcPr>
            <w:tcW w:w="7620" w:type="dxa"/>
          </w:tcPr>
          <w:p w14:paraId="7FD04343" w14:textId="76053762" w:rsidR="00EC3749" w:rsidRPr="00FB08AF" w:rsidRDefault="00EC3749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Diżaggregazzjoni ta’ obbligazzjonijiet oħrajn ta’ kapaċità ta’ rikapitalizzazzjoni interna skont il-maturità residwa</w:t>
            </w:r>
          </w:p>
        </w:tc>
      </w:tr>
      <w:tr w:rsidR="00FB08AF" w:rsidRPr="00FB08AF" w14:paraId="67A079B9" w14:textId="77777777" w:rsidTr="00482729">
        <w:tc>
          <w:tcPr>
            <w:tcW w:w="1129" w:type="dxa"/>
          </w:tcPr>
          <w:p w14:paraId="5EEE6C29" w14:textId="2CD6E6B3" w:rsidR="00EC3749" w:rsidRPr="00FB08AF" w:rsidRDefault="00EC374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0280</w:t>
            </w:r>
          </w:p>
        </w:tc>
        <w:tc>
          <w:tcPr>
            <w:tcW w:w="7620" w:type="dxa"/>
          </w:tcPr>
          <w:p w14:paraId="7BB8479E" w14:textId="1277B407" w:rsidR="00EC3749" w:rsidRPr="00FB08AF" w:rsidRDefault="00EC3749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>
              <w:t>Maturità residwa ta’ &lt; sena</w:t>
            </w:r>
          </w:p>
        </w:tc>
      </w:tr>
      <w:tr w:rsidR="00FB08AF" w:rsidRPr="00FB08AF" w14:paraId="525A1AA1" w14:textId="77777777" w:rsidTr="00482729">
        <w:tc>
          <w:tcPr>
            <w:tcW w:w="1129" w:type="dxa"/>
          </w:tcPr>
          <w:p w14:paraId="4FAE69C0" w14:textId="1CECBCB2" w:rsidR="00EC3749" w:rsidRPr="00FB08AF" w:rsidRDefault="00EC374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0285</w:t>
            </w:r>
          </w:p>
        </w:tc>
        <w:tc>
          <w:tcPr>
            <w:tcW w:w="7620" w:type="dxa"/>
          </w:tcPr>
          <w:p w14:paraId="711BCB7B" w14:textId="7195CB9C" w:rsidR="00EC3749" w:rsidRPr="00FB08AF" w:rsidRDefault="00EC3749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>
              <w:t>Maturità residwa ta’ &gt;= sena u &lt; sentejn</w:t>
            </w:r>
          </w:p>
        </w:tc>
      </w:tr>
      <w:tr w:rsidR="00FB08AF" w:rsidRPr="00FB08AF" w14:paraId="2321B833" w14:textId="77777777" w:rsidTr="00482729">
        <w:tc>
          <w:tcPr>
            <w:tcW w:w="1129" w:type="dxa"/>
          </w:tcPr>
          <w:p w14:paraId="23750752" w14:textId="4414C85A" w:rsidR="00EC3749" w:rsidRPr="00FB08AF" w:rsidRDefault="00EC374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0290</w:t>
            </w:r>
          </w:p>
        </w:tc>
        <w:tc>
          <w:tcPr>
            <w:tcW w:w="7620" w:type="dxa"/>
          </w:tcPr>
          <w:p w14:paraId="5BA6A556" w14:textId="4CC49FD3" w:rsidR="00EC3749" w:rsidRPr="00FB08AF" w:rsidRDefault="00EC3749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>
              <w:t>Maturità residwa ta’ &gt;= sentejn</w:t>
            </w:r>
          </w:p>
        </w:tc>
      </w:tr>
      <w:tr w:rsidR="00FB08AF" w:rsidRPr="00FB08AF" w14:paraId="5FBFB25C" w14:textId="77777777" w:rsidTr="00482729">
        <w:tc>
          <w:tcPr>
            <w:tcW w:w="1129" w:type="dxa"/>
          </w:tcPr>
          <w:p w14:paraId="0BAE42F4" w14:textId="274A17ED" w:rsidR="00CC7A43" w:rsidRPr="00FB08AF" w:rsidRDefault="00CC7A43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0300-0360</w:t>
            </w:r>
          </w:p>
        </w:tc>
        <w:tc>
          <w:tcPr>
            <w:tcW w:w="7620" w:type="dxa"/>
          </w:tcPr>
          <w:p w14:paraId="374B5319" w14:textId="4410DC5B" w:rsidR="00CC7A43" w:rsidRPr="00FB08AF" w:rsidRDefault="00CC7A43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Proporzjonijiet u eżenzjonijiet ta’ subordinazzjoni</w:t>
            </w:r>
          </w:p>
        </w:tc>
      </w:tr>
      <w:tr w:rsidR="00FB08AF" w:rsidRPr="00FB08AF" w14:paraId="05DC925B" w14:textId="77777777" w:rsidTr="00482729">
        <w:tc>
          <w:tcPr>
            <w:tcW w:w="1129" w:type="dxa"/>
          </w:tcPr>
          <w:p w14:paraId="3A493DAB" w14:textId="387626B0" w:rsidR="00A0358A" w:rsidRPr="00FB08AF" w:rsidRDefault="00A0358A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0300</w:t>
            </w:r>
          </w:p>
        </w:tc>
        <w:tc>
          <w:tcPr>
            <w:tcW w:w="7620" w:type="dxa"/>
          </w:tcPr>
          <w:p w14:paraId="63757942" w14:textId="1ACF8B54" w:rsidR="00A0358A" w:rsidRPr="00FB08AF" w:rsidRDefault="00A0358A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Fondi proprji u obbligazzjonijiet eliġibbli bħala perċentwal tat-TREA</w:t>
            </w:r>
          </w:p>
          <w:p w14:paraId="26CF9D91" w14:textId="3FD820A0" w:rsidR="00A0358A" w:rsidRPr="00FB08AF" w:rsidRDefault="00A0358A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Għall-finijiet ta’ din ir-ringiela, l-ammont ta’ fondi proprji u obbligazzjonijiet eliġibbli li jiġi rrapportat fir-ringiela 0200 għandu jiġi espress bħala perċentwal tal-ammont totali tal-iskopertura għar-riskju kkalkolat f’konformità mal-Artikolu 92(3) tar-Regolament (UE) Nru 575/2013.</w:t>
            </w:r>
          </w:p>
        </w:tc>
      </w:tr>
      <w:tr w:rsidR="00FB08AF" w:rsidRPr="00FB08AF" w14:paraId="3B43F132" w14:textId="77777777" w:rsidTr="00482729">
        <w:tc>
          <w:tcPr>
            <w:tcW w:w="1129" w:type="dxa"/>
          </w:tcPr>
          <w:p w14:paraId="6C4C71A0" w14:textId="30311B7C" w:rsidR="00A0358A" w:rsidRPr="00FB08AF" w:rsidRDefault="002B6980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0310</w:t>
            </w:r>
          </w:p>
        </w:tc>
        <w:tc>
          <w:tcPr>
            <w:tcW w:w="7620" w:type="dxa"/>
          </w:tcPr>
          <w:p w14:paraId="19FBD071" w14:textId="77777777" w:rsidR="00A0358A" w:rsidRPr="00FB08AF" w:rsidRDefault="002B6980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fondi proprji u obbligazzjonijiet subordinati</w:t>
            </w:r>
          </w:p>
          <w:p w14:paraId="4BB00887" w14:textId="054D6A44" w:rsidR="002B6980" w:rsidRPr="00FB08AF" w:rsidRDefault="002B6980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Għall-finijiet ta’ din ir-ringiela, l-ammont ta’ fondi proprji u obbligazzjonijiet eliġibbli subordinati li jiġi rrapportat fir-ringiela 0210 għandu jiġi espress bħala perċentwal tal-ammont totali tal-iskopertura għar-riskju kkalkolat f’konformità mal-Artikolu 92(3)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tar-Regolament (UE) Nru 575/2013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.</w:t>
            </w:r>
          </w:p>
        </w:tc>
      </w:tr>
      <w:tr w:rsidR="00FB08AF" w:rsidRPr="00FB08AF" w14:paraId="7D1F0DD3" w14:textId="77777777" w:rsidTr="00482729">
        <w:tc>
          <w:tcPr>
            <w:tcW w:w="1129" w:type="dxa"/>
          </w:tcPr>
          <w:p w14:paraId="5FAADABD" w14:textId="4C7009D5" w:rsidR="00A0358A" w:rsidRPr="00FB08AF" w:rsidRDefault="00A0358A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0320</w:t>
            </w:r>
          </w:p>
        </w:tc>
        <w:tc>
          <w:tcPr>
            <w:tcW w:w="7620" w:type="dxa"/>
          </w:tcPr>
          <w:p w14:paraId="3AA50C32" w14:textId="102EF905" w:rsidR="002B6980" w:rsidRPr="00FB08AF" w:rsidRDefault="002B6980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Fondi proprji u obbligazzjonijiet eliġibbli bħala perċentwal tat-TEM</w:t>
            </w:r>
          </w:p>
          <w:p w14:paraId="389667F6" w14:textId="3967E8FF" w:rsidR="00A0358A" w:rsidRPr="00FB08AF" w:rsidRDefault="00A0358A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Għall-finijiet ta’ din ir-ringiela, l-ammont ta’ fondi proprji u obbligazzjonijiet eliġibbli li jiġi rrapportat fir-ringiela 0200 għandu jiġi 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lastRenderedPageBreak/>
              <w:t>espress bħala perċentwal tal-kejl tal-iskopertura totali kkalkolat f’konformità mal-Artikoli 429(4) u 429a t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ar-Regolament (UE) Nru 575/2013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.</w:t>
            </w:r>
          </w:p>
        </w:tc>
      </w:tr>
      <w:tr w:rsidR="00FB08AF" w:rsidRPr="00FB08AF" w14:paraId="2603BE6A" w14:textId="77777777" w:rsidTr="00C90338">
        <w:tc>
          <w:tcPr>
            <w:tcW w:w="1129" w:type="dxa"/>
          </w:tcPr>
          <w:p w14:paraId="70C4E830" w14:textId="2D563F10" w:rsidR="002B6980" w:rsidRPr="00FB08AF" w:rsidRDefault="002B6980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0330</w:t>
            </w:r>
          </w:p>
        </w:tc>
        <w:tc>
          <w:tcPr>
            <w:tcW w:w="7620" w:type="dxa"/>
          </w:tcPr>
          <w:p w14:paraId="4D0C5A18" w14:textId="77777777" w:rsidR="002B6980" w:rsidRPr="00FB08AF" w:rsidRDefault="002B6980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fondi proprji u obbligazzjonijiet subordinati</w:t>
            </w:r>
          </w:p>
          <w:p w14:paraId="6DE930D8" w14:textId="1386471E" w:rsidR="002B6980" w:rsidRPr="00FB08AF" w:rsidRDefault="002B6980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Għall-finijiet ta’ din ir-ringiela, l-ammont ta’ fondi proprji u obbligazzjonijiet eliġibbli li jiġi rrapportat fir-ringiela 0210 għandu jiġi espress bħala perċentwal tal-kejl tal-iskopertura totali kkalkolat f’konformità mal-Artikoli 429(4) u 429a t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ar-Regolament (UE) Nru 575/2013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.</w:t>
            </w:r>
          </w:p>
        </w:tc>
      </w:tr>
      <w:tr w:rsidR="00FB08AF" w:rsidRPr="00FB08AF" w14:paraId="318821F0" w14:textId="77777777" w:rsidTr="00341BC3">
        <w:tc>
          <w:tcPr>
            <w:tcW w:w="1129" w:type="dxa"/>
          </w:tcPr>
          <w:p w14:paraId="62E1CCA0" w14:textId="4A8C2BD4" w:rsidR="004C2312" w:rsidRPr="00FB08AF" w:rsidRDefault="004C2312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0340</w:t>
            </w:r>
          </w:p>
        </w:tc>
        <w:tc>
          <w:tcPr>
            <w:tcW w:w="7620" w:type="dxa"/>
          </w:tcPr>
          <w:p w14:paraId="0B740E04" w14:textId="56DB18DD" w:rsidR="004C2312" w:rsidRPr="00FB08AF" w:rsidRDefault="004C2312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Tapplika l-eżenzjoni ta’ subordinazzjoni stipulata fl-Artikolu 72b(4) tar-Regolament (UE) Nru 575/2013? (eżenzjoni ta’ 5 %)</w:t>
            </w:r>
          </w:p>
          <w:p w14:paraId="7E4A548A" w14:textId="0F07A0A9" w:rsidR="004C2312" w:rsidRPr="00FB08AF" w:rsidRDefault="004C2312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Din ir-ringiela għandha tiġi rrapportata biss minn entitajiet soġġetti għar-rekwiżit tal-G-SII għall-fondi proprji u l-obbligazzjonijiet eliġibbli (rekwiżit tat-TLAC).</w:t>
            </w:r>
          </w:p>
          <w:p w14:paraId="049A2EF8" w14:textId="27BA3427" w:rsidR="004C2312" w:rsidRPr="00FB08AF" w:rsidRDefault="001C369A" w:rsidP="00341BC3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Meta l-awtorità ta’ riżoluzzjoni tippermetti li l-obbligazzjonijiet jikkwalifikaw bħala strumenti ta’ obbligazzjonijiet eliġibbli f’konformità mal-Artikolu 72b(4) tar-Regolament (UE) Nru 575/2013, l-entità li tirrapporta għandha tindika “iva” fil-kolonna 0020.</w:t>
            </w:r>
          </w:p>
          <w:p w14:paraId="2A0884E3" w14:textId="22D96245" w:rsidR="004C2312" w:rsidRPr="00FB08AF" w:rsidRDefault="00441D4D" w:rsidP="00341BC3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Meta l-awtorità ta’ riżoluzzjoni ma tippermettix li l-obbligazzjonijiet jikkwalifikaw bħala strumenti ta’ obbligazzjonijiet eliġibbli f’konformità mal-Artikolu 72b(4) tar-Regolament (UE) Nru 575/2013, l-entità li tirrapporta għandha tindika “le” fil-kolonna 0020.</w:t>
            </w:r>
          </w:p>
          <w:p w14:paraId="23DEB310" w14:textId="089BA898" w:rsidR="004C2312" w:rsidRPr="00FB08AF" w:rsidRDefault="004C2312" w:rsidP="00441D4D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Billi l-eżenzjonijiet stipulati fl-Artikolu 72b(3) u (4) tar-Regolament (UE) Nru 575/2013 huma esklussivi b’mod reċiproku, din ir-ringiela ma għandhiex timtela jekk l-entità li tirrapporta tkun imliet {r0350}.</w:t>
            </w:r>
          </w:p>
        </w:tc>
      </w:tr>
      <w:tr w:rsidR="00FB08AF" w:rsidRPr="00FB08AF" w14:paraId="16166491" w14:textId="77777777" w:rsidTr="00C90338">
        <w:tc>
          <w:tcPr>
            <w:tcW w:w="1129" w:type="dxa"/>
          </w:tcPr>
          <w:p w14:paraId="1FA1A80C" w14:textId="15BD6414" w:rsidR="002B6980" w:rsidRPr="00FB08AF" w:rsidRDefault="002B6980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0350</w:t>
            </w:r>
          </w:p>
        </w:tc>
        <w:tc>
          <w:tcPr>
            <w:tcW w:w="7620" w:type="dxa"/>
          </w:tcPr>
          <w:p w14:paraId="3509C99D" w14:textId="456757DC" w:rsidR="000418B8" w:rsidRPr="00FB08AF" w:rsidRDefault="000418B8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L-ammont aggregat ta’ strumenti ta’ obbligazzjonijiet eliġibbli mhux subordinati permessi jekk tiġi applikata d-diskrezzjoni tas-subordinazzjoni stipulata fl-Artikolu 72b(3) tar-Regolament (UE) Nru 575/2013 (eżenzjoni massima ta’ 3,5 %)</w:t>
            </w:r>
          </w:p>
          <w:p w14:paraId="1FC3A371" w14:textId="5AFA5120" w:rsidR="002B6980" w:rsidRPr="00FB08AF" w:rsidRDefault="008C0FD4" w:rsidP="008C0FD4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Ammont aggregat ta’ obbligazzjonijiet mhux subordinati li l-awtorità ta’ riżoluzzjoni ppermettiet li jikkwalifikaw bħala strumenti ta’ obbligazzjonijiet eliġibbli għall-fini tar-rekwiżit tal-G-SII għall-fondi proprji u l-obbligazzjonijiet eliġibbli (TLAC) f’konformità mal-Artikolu 72b(3) tar-Regolament (UE) Nru 575/2013 jew li jikkwalifikaw skont l-Artikolu 494(3) ta’ dak ir-Regolament.</w:t>
            </w:r>
          </w:p>
          <w:p w14:paraId="5A2D4755" w14:textId="6058CE93" w:rsidR="002B6980" w:rsidRPr="00FB08AF" w:rsidRDefault="002B6980" w:rsidP="000D1C6A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Billi l-eżenzjonijiet stipulati fl-Artikolu 72b(3) u (4) tar-Regolament (UE) Nru 575/2013 huma esklussivi b’mod reċiproku, din ir-ringiela ma għandhiex timtela jekk l-entità li tirrapporta tindika “iva” {r0340,c0020}.</w:t>
            </w:r>
          </w:p>
        </w:tc>
      </w:tr>
      <w:tr w:rsidR="004C2312" w:rsidRPr="00FB08AF" w14:paraId="182951D6" w14:textId="77777777" w:rsidTr="00341BC3">
        <w:tc>
          <w:tcPr>
            <w:tcW w:w="1129" w:type="dxa"/>
          </w:tcPr>
          <w:p w14:paraId="15B70DD8" w14:textId="77777777" w:rsidR="004C2312" w:rsidRPr="00FB08AF" w:rsidRDefault="004C2312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0360</w:t>
            </w:r>
          </w:p>
        </w:tc>
        <w:tc>
          <w:tcPr>
            <w:tcW w:w="7620" w:type="dxa"/>
          </w:tcPr>
          <w:p w14:paraId="2A9ACE51" w14:textId="77777777" w:rsidR="004C2312" w:rsidRPr="00FB08AF" w:rsidRDefault="004C2312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Is-sehem tal-obbligazzjonijiet mhux subordinati totali li huwa inkluż fil-fondi proprji u fl-obbligazzjonijiet eliġibbli</w:t>
            </w:r>
          </w:p>
          <w:p w14:paraId="0FE9D1C5" w14:textId="188F5A41" w:rsidR="004C2312" w:rsidRPr="00FB08AF" w:rsidRDefault="004C2312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Din ir-ringiela għandha tiġi rrapportata biss minn entitajiet soġġetti għar-rekwiżit tal-G-SII għall-fondi proprji u l-obbligazzjonijiet eliġibbli (rekwiżit tat-TLAC).</w:t>
            </w:r>
          </w:p>
          <w:p w14:paraId="18212BF7" w14:textId="5569B4EC" w:rsidR="004C2312" w:rsidRPr="00FB08AF" w:rsidRDefault="004C2312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Jekk tapplika eżenzjoni ta’ subordinazzjoni limitata stipulata fl-Artikolu 72b(3) tar-Regolament (UE) Nru 575/2013, l-entitajiet għandhom jirrapportaw:</w:t>
            </w:r>
          </w:p>
          <w:p w14:paraId="4BA05B73" w14:textId="527E2F2D" w:rsidR="004C2312" w:rsidRPr="00FB08AF" w:rsidRDefault="004C2312" w:rsidP="00E274D8">
            <w:pPr>
              <w:pStyle w:val="ListParagraph"/>
              <w:numPr>
                <w:ilvl w:val="0"/>
                <w:numId w:val="24"/>
              </w:numP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lastRenderedPageBreak/>
              <w:t>l-ammont ta’ obbligazzjonijiet maħruġa li jikklassifika pari passu mal-obbligazzjonijiet esklużi kif imsemmi fl-Artikolu 72a(2) tar-Regolament (UE) Nru 575/2013 u huwa inkluż fl-ammont irrapportat fir-ringiela 0200 (wara l-applikazzjoni tal-limitu massimu),</w:t>
            </w:r>
          </w:p>
          <w:p w14:paraId="61E137DF" w14:textId="5AC9E81D" w:rsidR="004C2312" w:rsidRPr="00FB08AF" w:rsidRDefault="004C2312" w:rsidP="000B6FC5">
            <w:pPr>
              <w:pStyle w:val="ListParagraph"/>
              <w:numPr>
                <w:ilvl w:val="0"/>
                <w:numId w:val="24"/>
              </w:numPr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diviż bl-ammont ta’ obbligazzjonijiet maħruġa li jikklassifika pari passu mal-obbligazzjonijiet esklużi kif imsemmi fl-Artikolu 72a(2) tar-Regolament (UE) Nru 575/2013 u li jkunu rikonoxxuti taħt ir-ringiela 0200 jekk ma jkun ġie applikat l-ebda limitu massimu.</w:t>
            </w:r>
          </w:p>
        </w:tc>
      </w:tr>
    </w:tbl>
    <w:p w14:paraId="12B066B2" w14:textId="77777777" w:rsidR="005643EA" w:rsidRPr="00FB08AF" w:rsidRDefault="005643EA" w:rsidP="00A41ECA">
      <w:pPr>
        <w:pStyle w:val="InstructionsText"/>
      </w:pPr>
    </w:p>
    <w:p w14:paraId="55DB744D" w14:textId="77777777" w:rsidR="0015093D" w:rsidRPr="00FB08AF" w:rsidRDefault="002A276F" w:rsidP="0015093D">
      <w:pPr>
        <w:pStyle w:val="Numberedtilelevel1"/>
      </w:pPr>
      <w:bookmarkStart w:id="32" w:name="_Toc45558482"/>
      <w:bookmarkStart w:id="33" w:name="_Toc473560875"/>
      <w:bookmarkStart w:id="34" w:name="_Toc308175823"/>
      <w:bookmarkStart w:id="35" w:name="_Toc360188327"/>
      <w:r>
        <w:t>Kompożizzjoni u maturità</w:t>
      </w:r>
      <w:bookmarkEnd w:id="32"/>
    </w:p>
    <w:p w14:paraId="3F7E1AB0" w14:textId="1D53E41C" w:rsidR="0015093D" w:rsidRPr="00FB08AF" w:rsidRDefault="00F72178" w:rsidP="00873459">
      <w:pPr>
        <w:pStyle w:val="Numberedtilelevel1"/>
        <w:numPr>
          <w:ilvl w:val="1"/>
          <w:numId w:val="30"/>
        </w:numPr>
      </w:pPr>
      <w:bookmarkStart w:id="36" w:name="_Toc45558483"/>
      <w:bookmarkEnd w:id="0"/>
      <w:bookmarkEnd w:id="1"/>
      <w:bookmarkEnd w:id="33"/>
      <w:bookmarkEnd w:id="34"/>
      <w:bookmarkEnd w:id="35"/>
      <w:r>
        <w:t>M 02.00 – il-kapaċità u l-kompożizzjoni tal-MREL u tat-TLAC (gruppi u entitajiet ta’ riżoluzzjoni) (TLAC1)</w:t>
      </w:r>
      <w:bookmarkEnd w:id="36"/>
    </w:p>
    <w:p w14:paraId="2DC79833" w14:textId="1965E9D9" w:rsidR="00F72178" w:rsidRPr="00FB08AF" w:rsidRDefault="00F72178" w:rsidP="00873459">
      <w:pPr>
        <w:pStyle w:val="Numberedtilelevel1"/>
        <w:numPr>
          <w:ilvl w:val="2"/>
          <w:numId w:val="30"/>
        </w:numPr>
      </w:pPr>
      <w:bookmarkStart w:id="37" w:name="_Toc16865801"/>
      <w:bookmarkStart w:id="38" w:name="_Toc16868635"/>
      <w:bookmarkStart w:id="39" w:name="_Toc20316748"/>
      <w:bookmarkStart w:id="40" w:name="_Toc45558484"/>
      <w:bookmarkEnd w:id="37"/>
      <w:r>
        <w:t>Kummenti ġenerali</w:t>
      </w:r>
      <w:bookmarkEnd w:id="38"/>
      <w:bookmarkEnd w:id="39"/>
      <w:bookmarkEnd w:id="40"/>
    </w:p>
    <w:p w14:paraId="7532242D" w14:textId="4019739D" w:rsidR="002701C8" w:rsidRPr="00FB08AF" w:rsidRDefault="002701C8" w:rsidP="00A41ECA">
      <w:pPr>
        <w:pStyle w:val="InstructionsText2"/>
      </w:pPr>
      <w:r>
        <w:t>Il-mudell M 02.00 – il-kapaċità u l-kompożizzjoni tal-MREL u tat-TLAC (gruppi u entitajiet ta’ riżoluzzjoni) (TLAC1) jipprovdi aktar dettalji dwar il-kompożizzjoni tal-fondi proprji u tal-obbligazzjonijiet eliġibbli.</w:t>
      </w:r>
    </w:p>
    <w:p w14:paraId="2B751F8F" w14:textId="6316E792" w:rsidR="00095D0D" w:rsidRPr="00FB08AF" w:rsidRDefault="00095D0D" w:rsidP="00A41ECA">
      <w:pPr>
        <w:pStyle w:val="InstructionsText2"/>
      </w:pPr>
      <w:r>
        <w:t>Il-kolonna li tirreferi għar-rekwiżit minimu għall-fondi proprji u l-obbligazzjonijiet eliġibbli (MREL) għandha timtela minn entitajiet li huma soġġetti għar-rekwiżit minimu għall-fondi proprji u l-obbligazzjonijiet eliġibbli f’konformità mal-Artikolu 45e tad-Direttiva 2014/59/UE. Huma biss dawk l-entitajiet obbligati li jikkonformaw mar-rekwiżit stipulat fl-Artikolu 92a tar-Regolament (UE) Nru 575/2013 li għandhom jirrapportaw l-entrati li jirreferu għar-rekwiżit tal-G-SII għall-fondi proprji u l-obbligazzjonijiet eliġibbli (TLAC).</w:t>
      </w:r>
    </w:p>
    <w:p w14:paraId="5AAB8790" w14:textId="3BE410D3" w:rsidR="00F72178" w:rsidRPr="00FB08AF" w:rsidRDefault="00F72178" w:rsidP="00873459">
      <w:pPr>
        <w:pStyle w:val="Numberedtilelevel1"/>
        <w:numPr>
          <w:ilvl w:val="2"/>
          <w:numId w:val="30"/>
        </w:numPr>
      </w:pPr>
      <w:bookmarkStart w:id="41" w:name="_Toc18593301"/>
      <w:bookmarkStart w:id="42" w:name="_Toc16868636"/>
      <w:bookmarkStart w:id="43" w:name="_Toc20316749"/>
      <w:bookmarkStart w:id="44" w:name="_Toc45558485"/>
      <w:bookmarkEnd w:id="41"/>
      <w:r>
        <w:t>Struzzjonijiet dwar pożizzjonijiet speċifiċi</w:t>
      </w:r>
      <w:bookmarkEnd w:id="42"/>
      <w:bookmarkEnd w:id="43"/>
      <w:bookmarkEnd w:id="44"/>
    </w:p>
    <w:tbl>
      <w:tblPr>
        <w:tblW w:w="8749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7620"/>
      </w:tblGrid>
      <w:tr w:rsidR="00FB08AF" w:rsidRPr="00FB08AF" w14:paraId="44909951" w14:textId="77777777" w:rsidTr="001D28F3">
        <w:tc>
          <w:tcPr>
            <w:tcW w:w="1129" w:type="dxa"/>
            <w:shd w:val="clear" w:color="auto" w:fill="D9D9D9"/>
          </w:tcPr>
          <w:p w14:paraId="3799FB3B" w14:textId="2B0D5FB1" w:rsidR="00913681" w:rsidRPr="00FB08AF" w:rsidRDefault="00913681" w:rsidP="00A41ECA">
            <w:pPr>
              <w:pStyle w:val="InstructionsText"/>
              <w:rPr>
                <w:rStyle w:val="InstructionsTabelleText"/>
                <w:rFonts w:ascii="Times New Roman" w:eastAsia="Arial" w:hAnsi="Times New Roman"/>
                <w:bCs/>
                <w:sz w:val="24"/>
              </w:rPr>
            </w:pPr>
            <w:r>
              <w:rPr>
                <w:rStyle w:val="InstructionsTabelleText"/>
                <w:rFonts w:ascii="Times New Roman" w:hAnsi="Times New Roman"/>
                <w:sz w:val="24"/>
              </w:rPr>
              <w:t>Kolonna</w:t>
            </w:r>
          </w:p>
        </w:tc>
        <w:tc>
          <w:tcPr>
            <w:tcW w:w="7620" w:type="dxa"/>
            <w:shd w:val="clear" w:color="auto" w:fill="D9D9D9"/>
          </w:tcPr>
          <w:p w14:paraId="2947DA5B" w14:textId="77777777" w:rsidR="00913681" w:rsidRPr="00FB08AF" w:rsidRDefault="00913681" w:rsidP="00A41ECA">
            <w:pPr>
              <w:pStyle w:val="InstructionsText"/>
              <w:rPr>
                <w:rStyle w:val="InstructionsTabelleText"/>
                <w:rFonts w:ascii="Times New Roman" w:hAnsi="Times New Roman"/>
                <w:bCs/>
                <w:sz w:val="24"/>
              </w:rPr>
            </w:pPr>
            <w:r>
              <w:rPr>
                <w:rStyle w:val="InstructionsTabelleText"/>
                <w:rFonts w:ascii="Times New Roman" w:hAnsi="Times New Roman"/>
                <w:sz w:val="24"/>
              </w:rPr>
              <w:t>Referenzi u struzzjonijiet legali</w:t>
            </w:r>
          </w:p>
        </w:tc>
      </w:tr>
      <w:tr w:rsidR="00FB08AF" w:rsidRPr="00FB08AF" w14:paraId="594DECC5" w14:textId="77777777" w:rsidTr="001D28F3">
        <w:tc>
          <w:tcPr>
            <w:tcW w:w="1129" w:type="dxa"/>
          </w:tcPr>
          <w:p w14:paraId="7A56A478" w14:textId="77777777" w:rsidR="00913681" w:rsidRPr="00FB08AF" w:rsidRDefault="00913681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0010</w:t>
            </w:r>
          </w:p>
        </w:tc>
        <w:tc>
          <w:tcPr>
            <w:tcW w:w="7620" w:type="dxa"/>
          </w:tcPr>
          <w:p w14:paraId="29E99259" w14:textId="77777777" w:rsidR="00913681" w:rsidRPr="00FB08AF" w:rsidRDefault="00913681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Rekwiżit minimu għal fondi proprji u obbligazzjonijiet eliġibbli (MREL)</w:t>
            </w:r>
          </w:p>
          <w:p w14:paraId="3BA23812" w14:textId="78160C50" w:rsidR="00A47334" w:rsidRPr="00FB08AF" w:rsidRDefault="00A47334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L-Artikoli 45 u 45e tad-Direttiva 2014/59/UE.</w:t>
            </w:r>
          </w:p>
        </w:tc>
      </w:tr>
      <w:tr w:rsidR="00FB08AF" w:rsidRPr="00FB08AF" w14:paraId="1ACD0238" w14:textId="77777777" w:rsidTr="001D28F3">
        <w:tc>
          <w:tcPr>
            <w:tcW w:w="1129" w:type="dxa"/>
          </w:tcPr>
          <w:p w14:paraId="1D81206E" w14:textId="77777777" w:rsidR="00913681" w:rsidRPr="00FB08AF" w:rsidRDefault="00913681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0020</w:t>
            </w:r>
          </w:p>
        </w:tc>
        <w:tc>
          <w:tcPr>
            <w:tcW w:w="7620" w:type="dxa"/>
          </w:tcPr>
          <w:p w14:paraId="3B4D8FB6" w14:textId="205BC47D" w:rsidR="00913681" w:rsidRPr="00FB08AF" w:rsidRDefault="00913681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Rekwiżiti għal fondi proprji u obbligazzjonijiet eliġibbli għall-G-SIIs (TLAC)</w:t>
            </w:r>
          </w:p>
          <w:p w14:paraId="28749035" w14:textId="00E359CB" w:rsidR="00913681" w:rsidRPr="00FB08AF" w:rsidRDefault="00913681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L-Artikolu 92a</w:t>
            </w:r>
            <w:r>
              <w:t xml:space="preserve"> tar-Regolament (UE) Nru 575/2013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913681" w:rsidRPr="00FB08AF" w14:paraId="1E16C6CA" w14:textId="77777777" w:rsidTr="001D28F3">
        <w:tc>
          <w:tcPr>
            <w:tcW w:w="1129" w:type="dxa"/>
          </w:tcPr>
          <w:p w14:paraId="45DAE454" w14:textId="77777777" w:rsidR="00913681" w:rsidRPr="00FB08AF" w:rsidRDefault="00913681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0030</w:t>
            </w:r>
          </w:p>
        </w:tc>
        <w:tc>
          <w:tcPr>
            <w:tcW w:w="7620" w:type="dxa"/>
            <w:vAlign w:val="center"/>
          </w:tcPr>
          <w:p w14:paraId="4332BAEC" w14:textId="0F53D802" w:rsidR="00913681" w:rsidRPr="00FB08AF" w:rsidRDefault="00913681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Entrata ta’ memorandum: Ammonti eliġibbli għall-finijiet ta’ MREL, iżda mhux ta’ TLAC</w:t>
            </w:r>
          </w:p>
          <w:p w14:paraId="45D0BB3D" w14:textId="173F3B31" w:rsidR="00913681" w:rsidRPr="00FB08AF" w:rsidRDefault="00913681" w:rsidP="00A41ECA">
            <w:pPr>
              <w:pStyle w:val="InstructionsText"/>
              <w:rPr>
                <w:noProof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Din il-kolonna għandha timtela biss minn entitajiet soġġetti għar-rekwiżit għall-fondi proprji u l-obbligazzjonijiet eliġibbli għall-G-SIIs (TLAC).</w:t>
            </w:r>
            <w:r>
              <w:t xml:space="preserve"> </w:t>
            </w:r>
          </w:p>
          <w:p w14:paraId="47297FC0" w14:textId="3CE2FA32" w:rsidR="00913681" w:rsidRPr="00FB08AF" w:rsidRDefault="00913681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 w:rsidRPr="001B39D0">
              <w:rPr>
                <w:rStyle w:val="FormatvorlageInstructionsTabelleText"/>
                <w:rFonts w:ascii="Times New Roman" w:hAnsi="Times New Roman"/>
                <w:sz w:val="24"/>
              </w:rPr>
              <w:t>Din il-kolonna għandha tirrifletti d-differenza bejn l-ammonti ta’ fondi proprji u obbligazzjonijiet eliġibbli biex jissodisfaw ir-rekwiżit stipulat fl-</w:t>
            </w:r>
            <w:r w:rsidRPr="001B39D0"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Artikolu 45 tad-Direttiva 2014/59/UE f’konformità mal-Artikolu 45e ta’ dik id-Direttiva u l-ammont ta’ fondi proprji u obbligazzjonijiet eliġibbli biex jissodisfaw ir-rekwiżit stipulat fl-Artikolu 92a tar-Regolament (UE) Nru 575/2013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</w:tbl>
    <w:p w14:paraId="29964C1D" w14:textId="77777777" w:rsidR="00913681" w:rsidRPr="00FB08AF" w:rsidRDefault="00913681" w:rsidP="00A41ECA">
      <w:pPr>
        <w:pStyle w:val="InstructionsText"/>
      </w:pPr>
    </w:p>
    <w:tbl>
      <w:tblPr>
        <w:tblW w:w="8749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7620"/>
      </w:tblGrid>
      <w:tr w:rsidR="00FB08AF" w:rsidRPr="00FB08AF" w14:paraId="7163FE27" w14:textId="77777777" w:rsidTr="007674DE">
        <w:tc>
          <w:tcPr>
            <w:tcW w:w="1129" w:type="dxa"/>
            <w:shd w:val="clear" w:color="auto" w:fill="D9D9D9"/>
          </w:tcPr>
          <w:p w14:paraId="22DE3533" w14:textId="77777777" w:rsidR="00F72178" w:rsidRPr="00FB08AF" w:rsidRDefault="00F72178" w:rsidP="00A41ECA">
            <w:pPr>
              <w:pStyle w:val="InstructionsText"/>
              <w:rPr>
                <w:rStyle w:val="InstructionsTabelleText"/>
                <w:rFonts w:ascii="Times New Roman" w:hAnsi="Times New Roman"/>
                <w:bCs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Ringiela</w:t>
            </w:r>
          </w:p>
        </w:tc>
        <w:tc>
          <w:tcPr>
            <w:tcW w:w="7620" w:type="dxa"/>
            <w:shd w:val="clear" w:color="auto" w:fill="D9D9D9"/>
          </w:tcPr>
          <w:p w14:paraId="41ABA84A" w14:textId="77777777" w:rsidR="00F72178" w:rsidRPr="00FB08AF" w:rsidRDefault="00F72178" w:rsidP="00A41ECA">
            <w:pPr>
              <w:pStyle w:val="InstructionsText"/>
              <w:rPr>
                <w:rStyle w:val="InstructionsTabelleText"/>
                <w:rFonts w:ascii="Times New Roman" w:hAnsi="Times New Roman"/>
                <w:bCs/>
                <w:sz w:val="24"/>
              </w:rPr>
            </w:pPr>
            <w:r>
              <w:rPr>
                <w:rStyle w:val="InstructionsTabelleText"/>
                <w:rFonts w:ascii="Times New Roman" w:hAnsi="Times New Roman"/>
                <w:sz w:val="24"/>
              </w:rPr>
              <w:t>Referenzi u struzzjonijiet legali</w:t>
            </w:r>
          </w:p>
        </w:tc>
      </w:tr>
      <w:tr w:rsidR="00FB08AF" w:rsidRPr="00FB08AF" w14:paraId="47BD65D4" w14:textId="77777777" w:rsidTr="001D28F3">
        <w:tc>
          <w:tcPr>
            <w:tcW w:w="1129" w:type="dxa"/>
            <w:vAlign w:val="center"/>
          </w:tcPr>
          <w:p w14:paraId="3AEE63B0" w14:textId="6FCE879C" w:rsidR="000A3889" w:rsidRPr="00FB08AF" w:rsidRDefault="000A3889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0010</w:t>
            </w:r>
          </w:p>
        </w:tc>
        <w:tc>
          <w:tcPr>
            <w:tcW w:w="7620" w:type="dxa"/>
            <w:vAlign w:val="center"/>
          </w:tcPr>
          <w:p w14:paraId="3E6078FF" w14:textId="61357071" w:rsidR="00014A29" w:rsidRPr="00FB08AF" w:rsidRDefault="000A388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FONDI PROPRJI U OBBLIGAZZJONIJIET ELIĠIBBLI</w:t>
            </w:r>
          </w:p>
          <w:p w14:paraId="158DD0F6" w14:textId="42467472" w:rsidR="00BE3EAB" w:rsidRPr="00FB08AF" w:rsidRDefault="000A388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  <w:lang w:eastAsia="en-US"/>
              </w:rPr>
            </w:pPr>
            <w:r w:rsidRPr="00A41ECA">
              <w:rPr>
                <w:rStyle w:val="FormatvorlageInstructionsTabelleText"/>
                <w:rFonts w:ascii="Times New Roman" w:hAnsi="Times New Roman"/>
                <w:sz w:val="24"/>
                <w:lang w:eastAsia="en-US"/>
              </w:rPr>
              <w:t>Il-fondi proprji u l-obbligazzjonijiet eliġibbli għall-finijiet tal-Artikolu 45e tad-Direttiva 2014/59/UE u tal-Artikolu 92a tar-Regolament (UE) Nru 575/2013</w:t>
            </w:r>
          </w:p>
          <w:p w14:paraId="47315A58" w14:textId="3A637A51" w:rsidR="00014A29" w:rsidRPr="00FB08AF" w:rsidRDefault="00014A2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</w:t>
            </w:r>
          </w:p>
          <w:p w14:paraId="3E6FE74F" w14:textId="77777777" w:rsidR="00BE3EAB" w:rsidRPr="00FB08AF" w:rsidRDefault="00BE3EAB" w:rsidP="00BE3EAB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 ta’ fondi proprji u obbligazzjonijiet eliġibbli li jgħoddu għall-MREL għandu jiġi rrapportat bħala s-somma ta’:</w:t>
            </w:r>
          </w:p>
          <w:p w14:paraId="66099F0F" w14:textId="00BEC1C1" w:rsidR="00BE3EAB" w:rsidRPr="00FB08AF" w:rsidRDefault="00BE3EAB" w:rsidP="00FE656D">
            <w:pPr>
              <w:pStyle w:val="ListParagraph"/>
              <w:numPr>
                <w:ilvl w:val="0"/>
                <w:numId w:val="28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fondi proprji kif definiti fl-Artikolu 4(1), il-punt (118), u l-Artikolu 72 tar-Regolament (UE) Nru 575/2013; </w:t>
            </w:r>
          </w:p>
          <w:p w14:paraId="1A27E8BB" w14:textId="311BCA4D" w:rsidR="00BE3EAB" w:rsidRPr="00FB08AF" w:rsidRDefault="00BE3EAB" w:rsidP="00FE656D">
            <w:pPr>
              <w:pStyle w:val="ListParagraph"/>
              <w:numPr>
                <w:ilvl w:val="0"/>
                <w:numId w:val="28"/>
              </w:numPr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obbligazzjonijiet eliġibbli kif definit fl-Artikolu 2(1), il-punt (71a), tad-Direttiva 2014/59/UE.</w:t>
            </w:r>
          </w:p>
          <w:p w14:paraId="21D33D83" w14:textId="122CC6DD" w:rsidR="00014A29" w:rsidRPr="00FB08AF" w:rsidRDefault="00014A29" w:rsidP="00BE3EAB">
            <w:pPr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Fil-każ ta’ strumenti rregolati mil-liġi ta’ pajjiż terz, l-istrument għandu jiġi inkluż biss f’din ir-ringiela jekk jissodisfa r-rekwiżiti stipulati fl-Artikolu 55 tad-Direttiva 2014/59/EU.</w:t>
            </w: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0817FF17" w14:textId="147DF078" w:rsidR="00BE3EAB" w:rsidRPr="00FB08AF" w:rsidRDefault="00BE3EAB" w:rsidP="00BE3EAB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 ta’ fondi proprji u obbligazzjonijiet eliġibbli li jgħoddu għar-rekwiżit għall-fondi proprji u l-obbligazzjonijiet eliġibbli għall-G-SIIs (TLAC) għandu jkun l-ammont imsemmi fl-Artikolu 72 l tar-Regolament (UE) Nru 575/2013, li jikkonsisti fi:</w:t>
            </w:r>
          </w:p>
          <w:p w14:paraId="23B4F5AB" w14:textId="3387CBBD" w:rsidR="00D83C2E" w:rsidRPr="00FB08AF" w:rsidRDefault="00BE3EAB" w:rsidP="00A65357">
            <w:pPr>
              <w:pStyle w:val="ListParagraph"/>
              <w:numPr>
                <w:ilvl w:val="0"/>
                <w:numId w:val="27"/>
              </w:numPr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fondi proprji kif definiti fl-Artikolu 4(1), il-punt (118), u l-Artikolu 72 tar-Regolament (UE) Nru 575/2013;</w:t>
            </w:r>
          </w:p>
          <w:p w14:paraId="6DCF60B1" w14:textId="36852AD7" w:rsidR="00AF19A1" w:rsidRPr="00FB08AF" w:rsidRDefault="00BE3EAB" w:rsidP="00BC0F5B">
            <w:pPr>
              <w:pStyle w:val="ListParagraph"/>
              <w:numPr>
                <w:ilvl w:val="0"/>
                <w:numId w:val="27"/>
              </w:numPr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obbligazzjonijiet eliġibbli f’konformità mal-Artikolu 72k tar-Regolament (UE) Nru 575/2013.</w:t>
            </w:r>
          </w:p>
        </w:tc>
      </w:tr>
      <w:tr w:rsidR="00FB08AF" w:rsidRPr="00FB08AF" w14:paraId="45F49B4E" w14:textId="77777777" w:rsidTr="007674DE">
        <w:tc>
          <w:tcPr>
            <w:tcW w:w="1129" w:type="dxa"/>
          </w:tcPr>
          <w:p w14:paraId="241A0978" w14:textId="00F1C803" w:rsidR="00F72178" w:rsidRPr="00FB08AF" w:rsidRDefault="00F7217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0020</w:t>
            </w:r>
          </w:p>
        </w:tc>
        <w:tc>
          <w:tcPr>
            <w:tcW w:w="7620" w:type="dxa"/>
          </w:tcPr>
          <w:p w14:paraId="15E9F845" w14:textId="5692C9FF" w:rsidR="00F72178" w:rsidRPr="00FB08AF" w:rsidRDefault="00880C00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Fondi proprji (eliġibbli)</w:t>
            </w:r>
          </w:p>
          <w:p w14:paraId="090BDA8C" w14:textId="539B6E6D" w:rsidR="00F72178" w:rsidRPr="00FB08AF" w:rsidRDefault="006C308D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Il-punt (118) tal-Artikolu 4(1) u l-Artikolu 72 tar-Regolament (UE) Nru 575/2013</w:t>
            </w:r>
          </w:p>
          <w:p w14:paraId="568BA2E2" w14:textId="2B97F467" w:rsidR="00631A23" w:rsidRPr="00FB08AF" w:rsidRDefault="00DD50DC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Fil-każ tal-MREL, l-istrumenti rregolati mil-liġi ta’ pajjiż terz għandhom jiġu inklużi 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biss f’din ir-ringiela u fir-ringieli 0040 u 0050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jekk jissodisfaw ir-rekwiżiti stipulati fl-Artikolu 55 tad-Direttiva 2014/59/UE.</w:t>
            </w:r>
          </w:p>
        </w:tc>
      </w:tr>
      <w:tr w:rsidR="00FB08AF" w:rsidRPr="00FB08AF" w14:paraId="78B0B86B" w14:textId="77777777" w:rsidTr="007674DE">
        <w:tc>
          <w:tcPr>
            <w:tcW w:w="1129" w:type="dxa"/>
          </w:tcPr>
          <w:p w14:paraId="53F6EC0E" w14:textId="3294AFB1" w:rsidR="00F72178" w:rsidRPr="00FB08AF" w:rsidRDefault="00F7217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0030</w:t>
            </w:r>
          </w:p>
        </w:tc>
        <w:tc>
          <w:tcPr>
            <w:tcW w:w="7620" w:type="dxa"/>
          </w:tcPr>
          <w:p w14:paraId="42CAC46E" w14:textId="697F38BE" w:rsidR="00F72178" w:rsidRPr="00FB08AF" w:rsidRDefault="00F72178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Kapital tal-Grad 1 ta’ Ekwità Komuni</w:t>
            </w:r>
          </w:p>
          <w:p w14:paraId="2EE09494" w14:textId="7F87E430" w:rsidR="00F72178" w:rsidRPr="00FB08AF" w:rsidRDefault="00F72178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L-Artikolu 50 tar-Regolament (UE) Nru 575/2013.</w:t>
            </w:r>
          </w:p>
        </w:tc>
      </w:tr>
      <w:tr w:rsidR="00FB08AF" w:rsidRPr="00FB08AF" w14:paraId="4DB72D04" w14:textId="77777777" w:rsidTr="007674DE">
        <w:tc>
          <w:tcPr>
            <w:tcW w:w="1129" w:type="dxa"/>
          </w:tcPr>
          <w:p w14:paraId="4665A63A" w14:textId="0D24E4AF" w:rsidR="00A63011" w:rsidRPr="00FB08AF" w:rsidRDefault="00A63011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0040</w:t>
            </w:r>
          </w:p>
        </w:tc>
        <w:tc>
          <w:tcPr>
            <w:tcW w:w="7620" w:type="dxa"/>
            <w:vAlign w:val="center"/>
          </w:tcPr>
          <w:p w14:paraId="376A736F" w14:textId="1C5D040D" w:rsidR="00A63011" w:rsidRPr="00FB08AF" w:rsidRDefault="00880C00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Kapital tal-Grad 1 Addizzjonali (Eliġibbli)</w:t>
            </w:r>
          </w:p>
          <w:p w14:paraId="44A6CA99" w14:textId="1B49FE4D" w:rsidR="00A63011" w:rsidRPr="00FB08AF" w:rsidRDefault="00A63011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L-Artikolu 61 tar-Regolament (UE) Nru 575/2013.</w:t>
            </w:r>
            <w:r>
              <w:t xml:space="preserve"> </w:t>
            </w:r>
          </w:p>
        </w:tc>
      </w:tr>
      <w:tr w:rsidR="00FB08AF" w:rsidRPr="00FB08AF" w14:paraId="732204C7" w14:textId="77777777" w:rsidTr="007674DE">
        <w:tc>
          <w:tcPr>
            <w:tcW w:w="1129" w:type="dxa"/>
          </w:tcPr>
          <w:p w14:paraId="7547F104" w14:textId="5B65B6B5" w:rsidR="00A63011" w:rsidRPr="00FB08AF" w:rsidRDefault="00A63011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0050</w:t>
            </w:r>
          </w:p>
        </w:tc>
        <w:tc>
          <w:tcPr>
            <w:tcW w:w="7620" w:type="dxa"/>
            <w:vAlign w:val="center"/>
          </w:tcPr>
          <w:p w14:paraId="3ADA9D5F" w14:textId="2739B118" w:rsidR="00A63011" w:rsidRPr="00FB08AF" w:rsidRDefault="00880C00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Kapital tal-Grad 2 (Eliġibbli)</w:t>
            </w:r>
          </w:p>
          <w:p w14:paraId="63F618CB" w14:textId="00AD8301" w:rsidR="00A63011" w:rsidRPr="00FB08AF" w:rsidRDefault="006C308D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L-Artikolu 71 tar-Regolament (UE) Nru 575/2013.</w:t>
            </w:r>
          </w:p>
        </w:tc>
      </w:tr>
      <w:tr w:rsidR="00FB08AF" w:rsidRPr="00FB08AF" w14:paraId="5F8952C8" w14:textId="77777777" w:rsidTr="007674DE">
        <w:tc>
          <w:tcPr>
            <w:tcW w:w="1129" w:type="dxa"/>
            <w:vAlign w:val="center"/>
          </w:tcPr>
          <w:p w14:paraId="6363A10E" w14:textId="681F333D" w:rsidR="00A63011" w:rsidRPr="00FB08AF" w:rsidRDefault="0016365A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0060</w:t>
            </w:r>
          </w:p>
        </w:tc>
        <w:tc>
          <w:tcPr>
            <w:tcW w:w="7620" w:type="dxa"/>
            <w:vAlign w:val="center"/>
          </w:tcPr>
          <w:p w14:paraId="4FEFDC5E" w14:textId="25C1A41E" w:rsidR="00A63011" w:rsidRPr="00FB08AF" w:rsidRDefault="00A63011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Obbligazzjonijiet eliġibbli</w:t>
            </w:r>
          </w:p>
          <w:p w14:paraId="76BC8267" w14:textId="51AF0C24" w:rsidR="00685080" w:rsidRPr="00FB08AF" w:rsidRDefault="00685080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</w:t>
            </w:r>
          </w:p>
          <w:p w14:paraId="4A43196B" w14:textId="0CE82DD5" w:rsidR="0016365A" w:rsidRPr="00FB08AF" w:rsidRDefault="00685080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Obbligazzjonijiet eliġibbli kif definit fl-Artikolu 2(1), il-punt (71a), tad-Direttiva 2014/59/UE; fil-każ ta’ strumenti rregolati mil-liġi ta’ pajjiż terz, l-istrument għandu jiġi inkluż biss f’din ir-ringiela jekk jissodisfa r-rekwiżiti stipulati fl-Artikolu 55 ta’ dik id-Direttiva.</w:t>
            </w:r>
          </w:p>
          <w:p w14:paraId="1997E756" w14:textId="7BE311EA" w:rsidR="00685080" w:rsidRPr="00FB08AF" w:rsidRDefault="00685080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00267CAB" w14:textId="6284073F" w:rsidR="00A63011" w:rsidRPr="00FB08AF" w:rsidRDefault="00685080" w:rsidP="00A41ECA">
            <w:pPr>
              <w:pStyle w:val="InstructionsText"/>
              <w:rPr>
                <w:b/>
                <w:szCs w:val="22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Obbligazzjonijiet eliġibbli f’konformità mal-Artikolu 72k tar-Regolament (UE) Nru 575/2013.</w:t>
            </w:r>
          </w:p>
        </w:tc>
      </w:tr>
      <w:tr w:rsidR="00FB08AF" w:rsidRPr="00FB08AF" w14:paraId="1C6ED724" w14:textId="77777777" w:rsidTr="007674DE">
        <w:tc>
          <w:tcPr>
            <w:tcW w:w="1129" w:type="dxa"/>
            <w:vAlign w:val="center"/>
          </w:tcPr>
          <w:p w14:paraId="05D6280C" w14:textId="142EDD34" w:rsidR="00A63011" w:rsidRPr="00FB08AF" w:rsidRDefault="00A63011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0070</w:t>
            </w:r>
          </w:p>
        </w:tc>
        <w:tc>
          <w:tcPr>
            <w:tcW w:w="7620" w:type="dxa"/>
            <w:vAlign w:val="center"/>
          </w:tcPr>
          <w:p w14:paraId="3CACADFF" w14:textId="65107B69" w:rsidR="00A63011" w:rsidRPr="00FB08AF" w:rsidRDefault="00A63011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 xml:space="preserve">Entrati ta’ obbligazzjonijiet eliġibbli qabel l-aġġustamenti </w:t>
            </w:r>
          </w:p>
          <w:p w14:paraId="383F53A3" w14:textId="77777777" w:rsidR="00685080" w:rsidRPr="00FB08AF" w:rsidRDefault="00685080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</w:t>
            </w:r>
          </w:p>
          <w:p w14:paraId="09BA6C55" w14:textId="4232FCE0" w:rsidR="008E420D" w:rsidRPr="00FB08AF" w:rsidRDefault="00685080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Obbligazzjonijiet eliġibbli kif definit fl-Artikolu 2(1), il-punt (71a), tad-Direttiva 2014/59/UE; fil-każ ta’ strumenti rregolati mil-liġi ta’ pajjiż terz, l-istrument għandu jiġi inkluż biss f’din ir-ringiela jekk jissodisfa r-rekwiżiti stipulati fl-Artikolu 55 ta’ dik id-Direttiva. L-ammonti rrapportati għandhom ikunu ammonti netti mill-ammonti ta’ permessi minn qabel mhux użati, sal-punt li l-permess ikopri l-istrumenti tal-obbligazzjonijiet eliġibbli.</w:t>
            </w:r>
          </w:p>
          <w:p w14:paraId="69F02168" w14:textId="455490F6" w:rsidR="00685080" w:rsidRPr="00FB08AF" w:rsidRDefault="00685080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03CAF6E8" w14:textId="133579FB" w:rsidR="00181B53" w:rsidRPr="00FB08AF" w:rsidRDefault="00685080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Obbligazzjonijiet eliġibbli li jikkonformaw mar-rekwiżiti kollha stipulati fl-Artikoli 72a sa 72d tar-Regolament (UE) Nru 575/2013 għandhom jiġu rrapportati. L-ammonti rrapportati għandhom ikunu ammonti netti mill-istrumenti ta’ obbligazzjonijiet eliġibbli, u nett mill-ammonti ta’ permessi minn qabel mhux użati, sal-punt li l-permess ikopri l-istrumenti tal-obbligazzjonijiet eliġibbli.</w:t>
            </w:r>
          </w:p>
        </w:tc>
      </w:tr>
      <w:tr w:rsidR="00FB08AF" w:rsidRPr="00FB08AF" w14:paraId="03BE5FC7" w14:textId="77777777" w:rsidTr="00EF1BBD">
        <w:tc>
          <w:tcPr>
            <w:tcW w:w="1129" w:type="dxa"/>
            <w:vAlign w:val="center"/>
          </w:tcPr>
          <w:p w14:paraId="6BFA1E2F" w14:textId="3832115E" w:rsidR="00EF1BBD" w:rsidRPr="00FB08AF" w:rsidRDefault="00EF1BBD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0080</w:t>
            </w:r>
          </w:p>
        </w:tc>
        <w:tc>
          <w:tcPr>
            <w:tcW w:w="7620" w:type="dxa"/>
            <w:vAlign w:val="center"/>
          </w:tcPr>
          <w:p w14:paraId="7564EC67" w14:textId="77777777" w:rsidR="00EF1BBD" w:rsidRPr="00FB08AF" w:rsidRDefault="00EF1BBD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 xml:space="preserve">Li minnhom: obbligazzjonijiet eliġibbli meqjusa bħala strutturalment subordinati </w:t>
            </w:r>
          </w:p>
          <w:p w14:paraId="3BCE2B05" w14:textId="77777777" w:rsidR="00EF1BBD" w:rsidRPr="00FB08AF" w:rsidRDefault="00EF1BBD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t>MREL</w:t>
            </w:r>
          </w:p>
          <w:p w14:paraId="6F55458A" w14:textId="04AC4CB9" w:rsidR="00EF1BBD" w:rsidRPr="00FB08AF" w:rsidRDefault="00EF1BBD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Obbligazzjonijiet li jikkonformaw mal-kundizzjonijiet stipulati fl-Artikolu 45b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tad-Direttiva 2014/59/UE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minħabba li jinħarġu minn entità ta’ riżoluzzjoni li hija kumpanija azzjonarja u minħabba li ma hemmx obbligazzjonijiet esklużi kif imsemmi fl-Artikolu 72a(2) tar-Regolament (UE) Nru 575/2013 li jikklassifikaw pari passu ma’ strumenti ta’ obbligazzjonijiet eliġibbli jew li huma subordinati għalihom.</w:t>
            </w:r>
          </w:p>
          <w:p w14:paraId="1A629DBA" w14:textId="0DE8803D" w:rsidR="00014A29" w:rsidRPr="00FB08AF" w:rsidRDefault="00014A2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Fil-każ ta’ strumenti rregolati mil-liġi ta’ pajjiż terz, l-istrument għandu jiġi inkluż biss f’din ir-ringiela jekk jissodisfa r-rekwiżiti stipulati fl-Artikolu 55 tad-Direttiva 2014/59/UE.</w:t>
            </w:r>
          </w:p>
          <w:p w14:paraId="57F8A551" w14:textId="371D79D0" w:rsidR="00EF1BBD" w:rsidRPr="00FB08AF" w:rsidRDefault="00EF1BBD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Din ir-ringiela għandha tinkludi wkoll l-obbligazzjonijiet eliġibbli li jikkwalifikaw bħala riżultat tal-anterjorità f’konformità mal-Artikolu 494b(3) tar-Regolament (UE) Nru 575/2013.</w:t>
            </w:r>
          </w:p>
          <w:p w14:paraId="796DDC04" w14:textId="391BF591" w:rsidR="006A42FC" w:rsidRPr="00FB08AF" w:rsidRDefault="006A42FC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L-ammonti rrapportati għandhom ikunu l-ammonti li ma jinkludux l-ammonti ta’ permessi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minn qabel mhux użati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, sal-punt li l-permess minn qabel ikopri l-istrumenti tal-obbligazzjonijiet eliġibbli li jissodisfaw il-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kriterji speċifikati fl-ewwel, fit-tieni u fit-tielet subparagrafi ta’ dan il-paragrafu.</w:t>
            </w:r>
          </w:p>
          <w:p w14:paraId="4F393620" w14:textId="77777777" w:rsidR="00EF1BBD" w:rsidRPr="00FB08AF" w:rsidRDefault="00EF1BBD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t>TLAC</w:t>
            </w:r>
          </w:p>
          <w:p w14:paraId="60DE397F" w14:textId="6AEF8E6E" w:rsidR="00EF1BBD" w:rsidRPr="00FB08AF" w:rsidRDefault="00EF1BBD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Obbligazzjonijiet li:</w:t>
            </w:r>
          </w:p>
          <w:p w14:paraId="4850AF1A" w14:textId="5D492876" w:rsidR="00EF1BBD" w:rsidRPr="00FB08AF" w:rsidRDefault="006921A5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(a) jikkonformaw mar-rekwiżiti stipulati fl-Artikoli 72a sa 72d tar-Regolament (UE) Nru 575/2013 u, b’mod partikolari, mar-rekwiżit stipulat l-Artikolu 72b(2), il-punt (d)(iii) ta’ dak ir-Regolament, iżda mhux mar-rekwiżiti stipulati fil-punti (d)(i) jew (d)(ii) ta’ dak il-paragrafu, jew</w:t>
            </w:r>
          </w:p>
          <w:p w14:paraId="5A5A5CD9" w14:textId="0D1C4333" w:rsidR="00EF1BBD" w:rsidRPr="00FB08AF" w:rsidRDefault="006921A5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(b)li jikkonformaw mar-rekwiżiti stipulati fl-Artikoli 72a sa 72d</w:t>
            </w:r>
            <w:r>
              <w:t xml:space="preserve">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tar-Regolament (UE) Nru 575/2013, ħlief l-Artikolu 72b(2), il-punt (d) ta’ dak ir-Regolament, u li huma permessi jikkwalifikaw bħala strumenti ta’ obbligazzjonijiet eliġibbli mill-awtoritajiet ta’ riżoluzzjoni f’konformità mal-Artikolu 72b(4) ta’ dak ir-Regolament. </w:t>
            </w:r>
          </w:p>
          <w:p w14:paraId="5835FC6E" w14:textId="77777777" w:rsidR="00EF1BBD" w:rsidRPr="00FB08AF" w:rsidRDefault="00EF1BBD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Din ir-ringiela għandha tinkludi wkoll l-obbligazzjonijiet eliġibbli li jikkwalifikaw bħala riżultat tal-anterjorità f’konformità mal-Artikolu 494b(3) tar-Regolament (UE) Nru 575/2013.</w:t>
            </w:r>
          </w:p>
          <w:p w14:paraId="57A8D9F5" w14:textId="1A4880A3" w:rsidR="006A42FC" w:rsidRPr="00FB08AF" w:rsidRDefault="006A42FC" w:rsidP="00672C9C">
            <w:pP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L-ammonti rrapportati għandhom ikunu l-ammonti li ma jinkludux l-ammonti ta’ permessi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minn qabel mhux użati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, sal-punt li l-permess minn qabel ikopri l-istrumenti tal-obbligazzjonijiet eliġibbli li jissodisfaw il-kriterji speċifikati fl-ewwel, fl-ewwel u fit-tieni subparagrafi ta’ dan il-paragrafu.</w:t>
            </w:r>
          </w:p>
        </w:tc>
      </w:tr>
      <w:tr w:rsidR="00FB08AF" w:rsidRPr="00FB08AF" w14:paraId="6A23855C" w14:textId="77777777" w:rsidTr="007674DE">
        <w:tc>
          <w:tcPr>
            <w:tcW w:w="1129" w:type="dxa"/>
            <w:vAlign w:val="center"/>
          </w:tcPr>
          <w:p w14:paraId="05433C19" w14:textId="400C8B72" w:rsidR="003C1F98" w:rsidRPr="00FB08AF" w:rsidRDefault="003C1F98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0090</w:t>
            </w:r>
          </w:p>
        </w:tc>
        <w:tc>
          <w:tcPr>
            <w:tcW w:w="7620" w:type="dxa"/>
            <w:vAlign w:val="center"/>
          </w:tcPr>
          <w:p w14:paraId="21FA960A" w14:textId="77777777" w:rsidR="003C1F98" w:rsidRPr="00FB08AF" w:rsidRDefault="003C1F98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Obbligazzjonijiet eliġibbli subordinati għall-obbligazzjonijiet esklużi</w:t>
            </w:r>
          </w:p>
          <w:p w14:paraId="7423CFA6" w14:textId="5A9BD8DB" w:rsidR="00C80C5A" w:rsidRPr="00FB08AF" w:rsidRDefault="00D83C2E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</w:t>
            </w:r>
            <w:r>
              <w:rPr>
                <w:rStyle w:val="InstructionsTabelleberschrift"/>
                <w:rFonts w:ascii="Times New Roman" w:hAnsi="Times New Roman"/>
                <w:sz w:val="24"/>
              </w:rPr>
              <w:t xml:space="preserve"> </w:t>
            </w:r>
          </w:p>
          <w:p w14:paraId="1C189CD3" w14:textId="6A7B9DEA" w:rsidR="00D83C2E" w:rsidRPr="00FB08AF" w:rsidRDefault="00C80C5A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Obbligazzjonijiet eliġibbli inklużi fl-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ammont ta’ fondi proprji u obbligazzjonijiet eliġibbli f’konformità mal-Artikolu 45b tad-Direttiva 2014/59/UE li huma strumenti eliġibbli subordinati kif definiti fl-Artikolu 2(1), il-punt (71b) ta’ dik id-Direttiva u obbligazzjonijiet inklużi fl-ammont ta’ fondi proprji u obbligazzjonijiet eliġibbli f’konformità mal-Artikolu 45b(3) ta’ dik id-Direttiva. Fil-każ ta’ strumenti rregolati mil-liġi ta’ pajjiż terz, l-istrument għandu jiġi inkluż biss f’din ir-ringiela jekk jissodisfa r-rekwiżiti stipulati fl-Artikolu 55 ta’ dik id-Direttiva. L-ammonti rrapportati għandhom ikunu ammonti netti mill-ammonti ta’ permessi minn qabel mhux użati, sal-punt li l-permess ikopri l-istrumenti tal-obbligazzjonijiet eliġibbli subordinati għall-obbligazzjonijiet esklużi.</w:t>
            </w:r>
          </w:p>
          <w:p w14:paraId="5C3837FC" w14:textId="25D3B279" w:rsidR="00C80C5A" w:rsidRPr="00FB08AF" w:rsidRDefault="00D83C2E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7F653EB4" w14:textId="23661CC2" w:rsidR="00D83C2E" w:rsidRPr="00FB08AF" w:rsidRDefault="00C80C5A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Obbligazzjonijiet eliġibbli li jikkonformaw mar-rekwiżiti kollha stipulati fl-Artikoli 72a sa 72d</w:t>
            </w:r>
            <w:r>
              <w:t xml:space="preserve">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tar-Regolament (UE) Nru 575/2013, bl-esklużjoni tal-obbligazzjonijiet permessi biex jikkwalifikaw bħala strumenti ta’ obbligazzjonijiet eliġibbli f’konformità mal-Artikolu 72b(3) jew (4) ta’ dak ir-Regolament. L-ammonti rrapportati għandhom jeskludu l-ammonti ta’ parteċipazzjonijiet ta’ strumenti ta’ obbligazzjonijiet eliġibbli, u kif ukoll l-ammonti ta’ permessi minn qabel mhux użati, sal-punt li l-permess ikopri l-istrumenti tal-obbligazzjonijiet eliġibbli.</w:t>
            </w:r>
          </w:p>
        </w:tc>
      </w:tr>
      <w:tr w:rsidR="00FB08AF" w:rsidRPr="00FB08AF" w14:paraId="65D7B875" w14:textId="77777777" w:rsidTr="007674DE">
        <w:tc>
          <w:tcPr>
            <w:tcW w:w="1129" w:type="dxa"/>
            <w:vAlign w:val="center"/>
          </w:tcPr>
          <w:p w14:paraId="2E78853D" w14:textId="4BB5EBB8" w:rsidR="00A63011" w:rsidRPr="00FB08AF" w:rsidRDefault="00A63011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0100</w:t>
            </w:r>
          </w:p>
        </w:tc>
        <w:tc>
          <w:tcPr>
            <w:tcW w:w="7620" w:type="dxa"/>
            <w:vAlign w:val="center"/>
          </w:tcPr>
          <w:p w14:paraId="32ABAB10" w14:textId="5A2436B8" w:rsidR="00A63011" w:rsidRPr="00FB08AF" w:rsidRDefault="00A63011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i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Strumenti ta’ obbligazzjonijiet eliġibbli maħruġa direttament mill-entità ta’ riżoluzzjoni (mhux soġġetti għal anterjorità)</w:t>
            </w:r>
          </w:p>
          <w:p w14:paraId="4DBAA034" w14:textId="489D258B" w:rsidR="00C80C5A" w:rsidRPr="00FB08AF" w:rsidRDefault="00D83C2E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lastRenderedPageBreak/>
              <w:t>MREL</w:t>
            </w:r>
          </w:p>
          <w:p w14:paraId="698153B3" w14:textId="1F6A16E5" w:rsidR="006B3F3C" w:rsidRPr="00FB08AF" w:rsidRDefault="00C80C5A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Obbligazzjonijiet eliġibbli inklużi fl-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ammont ta’ fondi proprji u obbligazzjonijiet eliġibbli f’konformità mal-Artikolu 45b tad-Direttiva 2014/59/UE li huma strumenti eliġibbli subordinati kif definiti fl-Artikolu 2(1), il-punt (71b) ta’ dik id-Direttiva u li jinħarġu direttament mill-entità ta’ riżoluzzjoni. Fil-każ ta’ strumenti rregolati mil-liġi ta’ pajjiż terz, l-istrument għandu jiġi inkluż biss f’din ir-ringiela jekk jissodisfa r-rekwiżiti stipulati fl-Artikolu 55 ta’ dik id-Direttiva. L-ammonti rrapportati għandhom ikunu ammonti qabel ma jitnaqqsu l-ammonti ta’ permessi minn qabel mhux użati, sal-punt li l-permess ikopri l-istrumenti tal-obbligazzjonijiet eliġibbli li jinħarġu direttament mill-entità ta’ riżoluzzjoni li mhumiex anterjuri.</w:t>
            </w:r>
          </w:p>
          <w:p w14:paraId="7ECE538F" w14:textId="2174F849" w:rsidR="00A63011" w:rsidRPr="00FB08AF" w:rsidRDefault="00A63011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</w:p>
          <w:p w14:paraId="055ECE85" w14:textId="77777777" w:rsidR="00C80C5A" w:rsidRPr="00FB08AF" w:rsidRDefault="00D83C2E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51F95D97" w14:textId="43FD0F8E" w:rsidR="00D83C2E" w:rsidRPr="00FB08AF" w:rsidRDefault="00C80C5A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Obbligazzjonijiet eliġibbli li jikkonformaw mar-rekwiżiti kollha stipulati fl-Artikoli 72a sa 72d tar-Regolament (UE) Nru 575/2013, bl-esklużjoni ta’ obbligazzjonijiet permessi biex jikkwalifikaw bħala strumenti ta’ obbligazzjonijiet eliġibbli f’konformità mal-Artikolu 72b(3) jew (4) ta’ dak ir-Regolament, u li jinħarġu direttament mill-entità ta’ riżoluzzjoni. L-ammonti rrapportati għandhom ikunu ammonti qabel ma jitnaqqsu l-ammonti ta’ permessi minn qabel mhux użati, sal-punt li l-permess ikopri l-istrumenti tal-obbligazzjonijiet eliġibbli li jinħarġu direttament mill-entità ta’ riżoluzzjoni li mhumiex anterjuri.</w:t>
            </w:r>
          </w:p>
          <w:p w14:paraId="538B9AEC" w14:textId="6E580954" w:rsidR="00A63011" w:rsidRPr="00FB08AF" w:rsidRDefault="003C1F9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Din ir-ringiela la għandha tinkludi l-porzjon amortizzat tal-istrumenti tal-Grad 2, fejn il-maturità li jifdal tkun akbar minn sena 1 (l-Artikolu 72a(1), il-punt (b) tar-Regolament (UE) Nru 575/2013), u lanqas l-obbligazzjonijiet eliġibbli soġġetti għal anterjorità skont l-Artikolu 494b ta’ dak ir-Regolament.</w:t>
            </w:r>
          </w:p>
          <w:p w14:paraId="609C4389" w14:textId="7A7AC95B" w:rsidR="006B3F3C" w:rsidRPr="00FB08AF" w:rsidRDefault="006B3F3C" w:rsidP="00A41ECA">
            <w:pPr>
              <w:pStyle w:val="InstructionsText"/>
            </w:pPr>
          </w:p>
        </w:tc>
      </w:tr>
      <w:tr w:rsidR="00FB08AF" w:rsidRPr="00FB08AF" w14:paraId="41FBFCDC" w14:textId="77777777" w:rsidTr="007674DE">
        <w:tc>
          <w:tcPr>
            <w:tcW w:w="1129" w:type="dxa"/>
            <w:vAlign w:val="center"/>
          </w:tcPr>
          <w:p w14:paraId="11EA5A62" w14:textId="26C75E8E" w:rsidR="00A63011" w:rsidRPr="00FB08AF" w:rsidRDefault="00A63011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0110</w:t>
            </w:r>
          </w:p>
        </w:tc>
        <w:tc>
          <w:tcPr>
            <w:tcW w:w="7620" w:type="dxa"/>
            <w:vAlign w:val="center"/>
          </w:tcPr>
          <w:p w14:paraId="79B3EE97" w14:textId="7FDAAA39" w:rsidR="00A63011" w:rsidRPr="00FB08AF" w:rsidRDefault="00A63011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Strumenti ta’ obbligazzjonijiet eliġibbli maħruġa minn entitajiet oħrajn fi ħdan il-grupp ta’ riżoluzzjoni (mhux soġġetti għal anterjorità)</w:t>
            </w:r>
          </w:p>
          <w:p w14:paraId="6D1C85D0" w14:textId="02C1463F" w:rsidR="00C80C5A" w:rsidRPr="00FB08AF" w:rsidRDefault="00B775C4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</w:t>
            </w:r>
          </w:p>
          <w:p w14:paraId="50B462B4" w14:textId="69301D76" w:rsidR="00B775C4" w:rsidRPr="00FB08AF" w:rsidRDefault="00C80C5A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Obbligazzjonijiet eliġibbli inklużi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fl-ammont ta’ fondi proprji u obbligazzjonijiet eliġibbli f’konformità mal-Artikolu 45b tad-Direttiva 2014/59/UE li jinħarġu minn sussidjarji u li huma inklużi fl-MREL f’konformità mal-Artikolu 45b(3) ta’ dik id-Direttiva. Fil-każ ta’ strumenti rregolati mil-liġi ta’ pajjiż terz, l-istrument għandu jiġi inkluż biss f’din ir-ringiela jekk jissodisfa r-rekwiżiti stipulati fl-Artikolu 55 ta’ dik id-Direttiva. L-ammonti rrapportati għandhom ikunu ammonti qabel ma jitnaqqsu l-ammonti ta’ permessi minn qabel mhux użati, sal-punt li l-permess ikopri l-istrumenti tal-obbligazzjonijiet eliġibbli li jinħarġu direttament minn entitajiet oħrajn fil-grupp ta’ riżoluzzjoni li mhumiex anterjuri.</w:t>
            </w:r>
          </w:p>
          <w:p w14:paraId="5240CE7F" w14:textId="4DC3E44A" w:rsidR="00CD51BC" w:rsidRPr="00FB08AF" w:rsidRDefault="00CD58AA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371D0855" w14:textId="426AC3D1" w:rsidR="00B775C4" w:rsidRPr="00FB08AF" w:rsidRDefault="00CD51BC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Obbligazzjonijiet eliġibbli li jikkonformaw mar-rekwiżiti kollha stipulati fl-Artikoli 72a sa 72d tar-Regolament (UE) Nru 575/2013, bl-esklużjoni ta’ obbligazzjonijiet permessi biex jikkwalifikaw bħala strumenti ta’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obbligazzjonijiet eliġibbli skont l-Artikolu 72b(3) jew (4) ta’ dak ir-Regolament, li jinħarġu minn sussidjarji u jikkwalifikaw għall-inklużjoni fl-istrumenti tal-obbligazzjonijiet eliġibbli kkonsolidati ta’ entità f’konformità mal-Artikolu 88a ta’ dak ir-Regolament. L-ammonti rrapportati għandhom ikunu ammonti qabel ma jitnaqqsu l-ammonti ta’ permessi minn qabel mhux użati, sal-punt li l-permess ikopri l-istrumenti tal-obbligazzjonijiet eliġibbli li jinħarġu direttament minn entitajiet oħrajn fil-grupp ta’ riżoluzzjoni li mhumiex anterjuri.</w:t>
            </w:r>
          </w:p>
          <w:p w14:paraId="669A214A" w14:textId="7C7BF538" w:rsidR="003C1F98" w:rsidRPr="00FB08AF" w:rsidRDefault="003C1F98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Din ir-ringiela la għandha tinkludi l-porzjon amortizzat tal-istrumenti tal-Grad 2, fejn il-maturità li jifdal tkun akbar minn sena 1 (l-Artikolu 72a(1), il-punt (b) tar-Regolament (UE) Nru 575/2013), u lanqas l-obbligazzjonijiet eliġibbli soġġetti għal anterjorità skont l-Artikolu 494b ta’ dak ir-Regolament.</w:t>
            </w:r>
          </w:p>
        </w:tc>
      </w:tr>
      <w:tr w:rsidR="00FB08AF" w:rsidRPr="00FB08AF" w14:paraId="51864A69" w14:textId="77777777" w:rsidTr="007674DE">
        <w:tc>
          <w:tcPr>
            <w:tcW w:w="1129" w:type="dxa"/>
            <w:vAlign w:val="center"/>
          </w:tcPr>
          <w:p w14:paraId="47D16EC4" w14:textId="66D820CD" w:rsidR="003C1F98" w:rsidRPr="00FB08AF" w:rsidRDefault="003C1F98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0120</w:t>
            </w:r>
          </w:p>
        </w:tc>
        <w:tc>
          <w:tcPr>
            <w:tcW w:w="7620" w:type="dxa"/>
            <w:vAlign w:val="center"/>
          </w:tcPr>
          <w:p w14:paraId="6C0E7472" w14:textId="6E4EAD48" w:rsidR="003C1F98" w:rsidRPr="00FB08AF" w:rsidRDefault="003C1F98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 xml:space="preserve">Entrati ta’ obbligazzjonijiet eliġibbli maħruġa qabel is-27 ta’ Ġunju 2019 </w:t>
            </w:r>
          </w:p>
          <w:p w14:paraId="45E921ED" w14:textId="5B5AA12F" w:rsidR="00CD51BC" w:rsidRPr="00FB08AF" w:rsidRDefault="003A0717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</w:t>
            </w:r>
          </w:p>
          <w:p w14:paraId="77573479" w14:textId="4DEADB3A" w:rsidR="003A0717" w:rsidRPr="00FB08AF" w:rsidRDefault="003A0717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L-obbligazzjonijiet eliġibbli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li 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jissodisfaw il-kundizzjonijiet li ġejjin:</w:t>
            </w:r>
          </w:p>
          <w:p w14:paraId="27B0933B" w14:textId="12AD7DA6" w:rsidR="003A0717" w:rsidRPr="00FB08AF" w:rsidRDefault="00C904F7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(a) ikunu nħarġu qabel is-27 ta’ Ġunju 2019;</w:t>
            </w:r>
          </w:p>
          <w:p w14:paraId="784DD851" w14:textId="288C5949" w:rsidR="00CD51BC" w:rsidRPr="00FB08AF" w:rsidRDefault="00C904F7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(b) ikunu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strumenti eliġibbli subordinati kif definiti fl-Artikolu 2(1), il-punt (71b) tad-Direttiva 2014/59/UE; </w:t>
            </w:r>
          </w:p>
          <w:p w14:paraId="1A9E4169" w14:textId="4C0E47C2" w:rsidR="003A0717" w:rsidRPr="00FB08AF" w:rsidRDefault="00C904F7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(c) ikunu inklużi f’fondi proprji u obbligazzjonijiet eliġibbli f’konformità mal-Artikolu 494b(3) tar-Regolament (UE) Nru 575/2013.</w:t>
            </w:r>
          </w:p>
          <w:p w14:paraId="729FD97D" w14:textId="2B49FF11" w:rsidR="00612E23" w:rsidRPr="00FB08AF" w:rsidRDefault="00B51127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(d) fil-każ tal-istrumenti rregolati mil-liġi ta’ pajjiż terz, jissodisfaw ir-rekwiżiti stipulati fl-Artikolu 55 tad-Direttiva 2014/59/UE.</w:t>
            </w:r>
          </w:p>
          <w:p w14:paraId="23DB3E90" w14:textId="7AAD14FB" w:rsidR="006B3F3C" w:rsidRPr="00FB08AF" w:rsidRDefault="00A827D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L-ammonti rrapportati għandhom ikunu l-ammonti qabel ma jitnaqqsu l-ammonti ta’ permessi minn qabel mhux użati, sal-punt li l-permess ikopri l-istrumenti tal-obbligazzjonijiet eliġibbli li nħarġu qabel is-27 ta’ Ġunju 2019.</w:t>
            </w:r>
          </w:p>
          <w:p w14:paraId="101AB6AC" w14:textId="4E538F15" w:rsidR="00CD51BC" w:rsidRPr="00FB08AF" w:rsidRDefault="00CD51BC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2C4CA631" w14:textId="53206BFA" w:rsidR="003A0717" w:rsidRPr="00FB08AF" w:rsidRDefault="00902941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L-obbligazzjonijiet eliġibbli li jissodisfaw il-kundizzjonijiet li ġejjin:</w:t>
            </w:r>
          </w:p>
          <w:p w14:paraId="06CB52C8" w14:textId="1DDB2DB7" w:rsidR="003A0717" w:rsidRPr="00FB08AF" w:rsidRDefault="00A01D02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(a) ikunu nħarġu qabel is-27 ta’ Ġunju 2019;</w:t>
            </w:r>
          </w:p>
          <w:p w14:paraId="7D19D1F7" w14:textId="50CAF5D5" w:rsidR="003A0717" w:rsidRPr="00FB08AF" w:rsidRDefault="00A01D02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(b) jikkonformaw mal-Artikolu 72b(2), il-punt (d), tar-Regolament (UE) Nru 575/2013;</w:t>
            </w:r>
          </w:p>
          <w:p w14:paraId="1483928C" w14:textId="77777777" w:rsidR="003C1F98" w:rsidRPr="00FB08AF" w:rsidRDefault="00A01D02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(c) ikunu jikkwalifikaw bħala obbligazzjonijiet eliġibbli bħala riżultat tal-anterjorità f’konformità mal-Artikolu 494b(3)</w:t>
            </w:r>
            <w:r>
              <w:t xml:space="preserve">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tar-Regolament (UE) Nru 575/2013.</w:t>
            </w:r>
          </w:p>
          <w:p w14:paraId="48932F31" w14:textId="7F06E6C5" w:rsidR="00A827D8" w:rsidRPr="00FB08AF" w:rsidRDefault="00A827D8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L-ammonti rrapportati għandhom ikunu l-ammonti qabel ma jitnaqqsu l-ammonti ta’ permessi minn qabel mhux użati, sal-punt li l-permess ikopri l-istrumenti tal-obbligazzjonijiet eliġibbli li nħarġu qabel is-27 ta’ Ġunju 2019.</w:t>
            </w:r>
          </w:p>
        </w:tc>
      </w:tr>
      <w:tr w:rsidR="00FB08AF" w:rsidRPr="00FB08AF" w14:paraId="6F3C5EAB" w14:textId="77777777" w:rsidTr="007674DE">
        <w:tc>
          <w:tcPr>
            <w:tcW w:w="1129" w:type="dxa"/>
            <w:vAlign w:val="center"/>
          </w:tcPr>
          <w:p w14:paraId="696B1E7F" w14:textId="030293FD" w:rsidR="003C1F98" w:rsidRPr="00FB08AF" w:rsidRDefault="003C1F98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0130</w:t>
            </w:r>
          </w:p>
        </w:tc>
        <w:tc>
          <w:tcPr>
            <w:tcW w:w="7620" w:type="dxa"/>
            <w:vAlign w:val="center"/>
          </w:tcPr>
          <w:p w14:paraId="46569A0F" w14:textId="1545D13C" w:rsidR="003C1F98" w:rsidRPr="00FB08AF" w:rsidRDefault="003C1F98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Strumenti tal-Grad 2 b’maturità residwa ta’ mill-inqas sena 1 sal-punt li ma jikkwalifikawx bħala entrati tal-Grad 2</w:t>
            </w:r>
          </w:p>
          <w:p w14:paraId="7E53D3C8" w14:textId="5B2B54C5" w:rsidR="003C1F98" w:rsidRPr="00FB08AF" w:rsidRDefault="003C1F9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L-Artikolu 72a(1), il-punt (b) tar-Regolament (UE) Nru 575/2013</w:t>
            </w:r>
          </w:p>
          <w:p w14:paraId="34EB2C71" w14:textId="026755AA" w:rsidR="003C1F98" w:rsidRPr="00FB08AF" w:rsidRDefault="003C1F9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Din ir-ringiela għandha tinkludi l-porzjon amortizzat tal-istrumenti tal-Grad 2, fejn il-maturità li jifdal tkun akbar minn sena 1. Huwa biss l-ammont mhux rikonoxxut f’fondi proprji, iżda li jissodisfa l-kriterji ta’ eliġibbiltà kollha stipulati fl-Artikolu 72b tar-Regolament (UE) Nru 575/2013 li għandu jiġi rrapportat f’din ir-ringiela.</w:t>
            </w:r>
          </w:p>
          <w:p w14:paraId="4D7DD40A" w14:textId="14F7E4FF" w:rsidR="00612E23" w:rsidRPr="00FB08AF" w:rsidRDefault="00DD50DC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Fil-każ tal-MREL, l-istrumenti rregolati mil-liġi ta’ pajjiż terz għandhom jiġu inklużi biss f’din ir-ringiela jekk jissodisfaw ir-rekwiżiti stipulati fl-Artikolu 55 tad-Direttiva 2014/59/UE.</w:t>
            </w:r>
          </w:p>
        </w:tc>
      </w:tr>
      <w:tr w:rsidR="00FB08AF" w:rsidRPr="00FB08AF" w14:paraId="2B25B5F1" w14:textId="77777777" w:rsidTr="007674DE">
        <w:tc>
          <w:tcPr>
            <w:tcW w:w="1129" w:type="dxa"/>
            <w:vAlign w:val="center"/>
          </w:tcPr>
          <w:p w14:paraId="75C89F47" w14:textId="1C159A4F" w:rsidR="001D1E29" w:rsidRPr="00FB08AF" w:rsidRDefault="001D1E2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0132</w:t>
            </w:r>
          </w:p>
        </w:tc>
        <w:tc>
          <w:tcPr>
            <w:tcW w:w="7620" w:type="dxa"/>
            <w:vAlign w:val="center"/>
          </w:tcPr>
          <w:p w14:paraId="3C34006F" w14:textId="77777777" w:rsidR="001D1E29" w:rsidRPr="00FB08AF" w:rsidRDefault="001D1E29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(-) Strumenti ta’ obbligazzjonijiet proprji eliġibbli mhux subordinati għall-obbligazzjonijiet esklużi</w:t>
            </w:r>
          </w:p>
          <w:p w14:paraId="16DB4BC1" w14:textId="77777777" w:rsidR="00017D7A" w:rsidRPr="00FB08AF" w:rsidRDefault="00017D7A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bCs w:val="0"/>
                <w:i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t>MREL</w:t>
            </w:r>
          </w:p>
          <w:p w14:paraId="532907F3" w14:textId="0FACFBE9" w:rsidR="00017D7A" w:rsidRPr="00FB08AF" w:rsidRDefault="00017D7A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Cs w:val="0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L-Artikolu 78a tar-Regolament (UE) Nru 575/2013, l-Artikolu 32b(2), (3) u (5) tar-Regolament Delegat (UE) Nru 241/2014</w:t>
            </w:r>
          </w:p>
          <w:p w14:paraId="657C9FF4" w14:textId="261FA598" w:rsidR="00017D7A" w:rsidRPr="00FB08AF" w:rsidRDefault="00017D7A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bCs w:val="0"/>
                <w:i/>
                <w:sz w:val="24"/>
                <w:u w:val="non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Din ir-ringiela għandha tinkludi ammonti ta’ permessi minn qabel mhux użati, sal-punt li l-permess ikopri l-istrumenti tal-obbligazzjonijiet eliġibbli subordinati għall-obbligazzjonijiet esklużi. L-ammont f’din ir-ringiela għandu jkun ugwali għall-ammont fir-ringiela 0135 għall-MREL.</w:t>
            </w:r>
          </w:p>
          <w:p w14:paraId="290575AE" w14:textId="36721F56" w:rsidR="001D1E29" w:rsidRPr="00FB08AF" w:rsidRDefault="001D1E29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bCs w:val="0"/>
                <w:i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t>TLAC</w:t>
            </w:r>
          </w:p>
          <w:p w14:paraId="3C7CBDF9" w14:textId="514E0218" w:rsidR="00017D7A" w:rsidRPr="00FB08AF" w:rsidRDefault="001D1E2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Cs w:val="0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L-Artikolu 72e(1), il-punt (a), u l-Artikolu 78a tar-Regolament (UE) Nru 575/2013, l-Artikolu 32b(2), (3) u (5) tar-Regolament Delegat (UE) Nru 241/2014</w:t>
            </w:r>
          </w:p>
          <w:p w14:paraId="696343EA" w14:textId="5EA84709" w:rsidR="00017D7A" w:rsidRPr="00FB08AF" w:rsidRDefault="00017D7A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Cs w:val="0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Din ir-ringiela għandha tinkludi:</w:t>
            </w:r>
          </w:p>
          <w:p w14:paraId="601685A6" w14:textId="78227CDD" w:rsidR="00017D7A" w:rsidRPr="00FB08AF" w:rsidRDefault="008C19BD" w:rsidP="00017D7A">
            <w:pPr>
              <w:pStyle w:val="ListParagraph"/>
              <w:numPr>
                <w:ilvl w:val="0"/>
                <w:numId w:val="69"/>
              </w:numPr>
              <w:rPr>
                <w:rStyle w:val="FormatvorlageInstructionsTabelleText"/>
                <w:rFonts w:ascii="Times New Roman" w:hAnsi="Times New Roman"/>
                <w:bCs w:val="0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parteċipazzjonijiet ta’ strumenti ta’ obbligazzjonijiet eliġibbli subordinati proprji li jridu jitnaqqsu skont l-Artikolu 72e(1), il-punt (a), tar-Regolament (UE) Nru 575/2013; kif ukoll</w:t>
            </w:r>
          </w:p>
          <w:p w14:paraId="2C9354B7" w14:textId="38B33A6C" w:rsidR="001D1E29" w:rsidRPr="00FB08AF" w:rsidRDefault="008C19BD" w:rsidP="009E5168">
            <w:pPr>
              <w:pStyle w:val="ListParagraph"/>
              <w:numPr>
                <w:ilvl w:val="0"/>
                <w:numId w:val="69"/>
              </w:numPr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ammonti ta’ permessi minn qabel mhux użati, sal-punt li l-permess ikopri l-istrumenti tal-obbligazzjonijiet eliġibbli subordinati għall-obbligazzjonijiet esklużi.</w:t>
            </w:r>
          </w:p>
        </w:tc>
      </w:tr>
      <w:tr w:rsidR="00FB08AF" w:rsidRPr="00FB08AF" w14:paraId="11C86C93" w14:textId="77777777" w:rsidTr="004464A7">
        <w:tc>
          <w:tcPr>
            <w:tcW w:w="1129" w:type="dxa"/>
            <w:vAlign w:val="center"/>
          </w:tcPr>
          <w:p w14:paraId="06CEFE60" w14:textId="0DCE1B7F" w:rsidR="001D1E29" w:rsidRPr="00FB08AF" w:rsidRDefault="001D1E2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0135</w:t>
            </w:r>
          </w:p>
        </w:tc>
        <w:tc>
          <w:tcPr>
            <w:tcW w:w="7620" w:type="dxa"/>
            <w:vAlign w:val="center"/>
          </w:tcPr>
          <w:p w14:paraId="4E01627F" w14:textId="69824B14" w:rsidR="001D1E29" w:rsidRPr="00FB08AF" w:rsidRDefault="001D1E29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(-) li minnu: ammonti ta’ permessi minn qabel mhux użati</w:t>
            </w:r>
          </w:p>
          <w:p w14:paraId="67B041F0" w14:textId="77777777" w:rsidR="001D1E29" w:rsidRPr="00FB08AF" w:rsidRDefault="001D1E2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 u TLAC</w:t>
            </w:r>
          </w:p>
          <w:p w14:paraId="7E150AA3" w14:textId="77777777" w:rsidR="001C3C19" w:rsidRPr="00FB08AF" w:rsidRDefault="001C3C1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L-ammonti li ġejjin għandhom jiġu rrapportati f’din ir-ringiela: </w:t>
            </w:r>
          </w:p>
          <w:p w14:paraId="2838CD0F" w14:textId="4C01DA00" w:rsidR="001D1E29" w:rsidRPr="00FB08AF" w:rsidRDefault="001C3C19" w:rsidP="001C3C19">
            <w:pPr>
              <w:pStyle w:val="ListParagraph"/>
              <w:numPr>
                <w:ilvl w:val="0"/>
                <w:numId w:val="51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ammonti ta’ permessi ad hoc minn qabel mhux użati, sal-punt li l-permess ikopri l-istrumenti tal-obbligazzjonijiet eliġibbli subordinati għall-obbligazzjonijiet esklużi;</w:t>
            </w:r>
          </w:p>
          <w:p w14:paraId="2AE5E3F7" w14:textId="2881DA46" w:rsidR="001D1E29" w:rsidRPr="00FB08AF" w:rsidRDefault="001C3C19" w:rsidP="00766C0D">
            <w:pPr>
              <w:pStyle w:val="ListParagraph"/>
              <w:numPr>
                <w:ilvl w:val="0"/>
                <w:numId w:val="51"/>
              </w:numPr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ammonti ta’ GPP mhux użati, sal-punt li l-permess ikopri l-istrumenti tal-obbligazzjonijiet eliġibbli subordinati għall-obbligazzjonijiet esklużi.</w:t>
            </w:r>
          </w:p>
          <w:p w14:paraId="262C6FC4" w14:textId="01A909F6" w:rsidR="008B0571" w:rsidRPr="00A0527F" w:rsidRDefault="00766C0D" w:rsidP="008B0571">
            <w:pP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Meta permess ġenerali minn qabel kif imsemmi fil-punt (ii) ma jispeċifikax il-klassifikazzjoni tal-istrumenti li jistgħu jinxtraw, jinfdew, jitħallsu lura jew jinxtraw mill-ġdid, l-ammont sħiħ tal-APE mhux użat għandu jiġi rrapportat f’din ir-ringiela.</w:t>
            </w:r>
          </w:p>
        </w:tc>
      </w:tr>
      <w:tr w:rsidR="00FB08AF" w:rsidRPr="00FB08AF" w14:paraId="2A030C78" w14:textId="77777777" w:rsidTr="007674DE">
        <w:tc>
          <w:tcPr>
            <w:tcW w:w="1129" w:type="dxa"/>
            <w:vAlign w:val="center"/>
          </w:tcPr>
          <w:p w14:paraId="3F26CCDA" w14:textId="6FFA3FE7" w:rsidR="00305E50" w:rsidRPr="00FB08AF" w:rsidRDefault="00305E50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0140</w:t>
            </w:r>
          </w:p>
        </w:tc>
        <w:tc>
          <w:tcPr>
            <w:tcW w:w="7620" w:type="dxa"/>
            <w:vAlign w:val="center"/>
          </w:tcPr>
          <w:p w14:paraId="7E0332CD" w14:textId="77777777" w:rsidR="00305E50" w:rsidRPr="00FB08AF" w:rsidRDefault="00305E50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Obbligazzjonijiet eliġibbli mhux subordinati għall-obbligazzjonijiet esklużi</w:t>
            </w:r>
          </w:p>
          <w:p w14:paraId="4CA285A7" w14:textId="77777777" w:rsidR="00982A9F" w:rsidRPr="00FB08AF" w:rsidRDefault="001E1CA1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t>MREL</w:t>
            </w:r>
          </w:p>
          <w:p w14:paraId="1E4FE37F" w14:textId="20A59CB2" w:rsidR="001E1CA1" w:rsidRPr="00FB08AF" w:rsidRDefault="001E1CA1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Obbligazzjonijiet li jikkonformaw mal-kundizzjonijiet stipulati fl-Artikolu 45b tad-Direttiva 2014/59/UE u li mhumiex kompletament subordinati għal pretensjonijiet li jirriżultaw mill-obbligazzjonijiet esklużi msemmija fl-Artikolu 72a(2) tar-Regolament (UE) Nru 575/2013.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Fil-każ ta’ strumenti rregolati mil-liġi ta’ pajjiż terz, l-istrument għandu jiġi inkluż biss f’din ir-ringiela jekk jissodisfa r-rekwiżiti stipulati fl-Artikolu 55 tad-Direttiva 2014/59/UE. L-ammonti rrapportati għandhom ikunu ammonti netti mill-ammonti ta’ permessi minn qabel mhux użati, sal-punt li l-permess ikopri l-istrumenti tal-obbligazzjonijiet eliġibbli li mhumiex subordinati għall-obbligazzjonijiet esklużi.</w:t>
            </w:r>
          </w:p>
          <w:p w14:paraId="0B2AC759" w14:textId="604E0A4C" w:rsidR="00982A9F" w:rsidRPr="00FB08AF" w:rsidRDefault="001E1CA1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t>TLAC</w:t>
            </w:r>
          </w:p>
          <w:p w14:paraId="4E8D9E69" w14:textId="28758AF0" w:rsidR="00305E50" w:rsidRPr="00FB08AF" w:rsidRDefault="00982A9F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Obbligazzjonijiet eliġibbli li jikkonformaw mar-rekwiżiti stipulati fl-Artikoli 72a sa 72d tar-Regolament (UE) Nru 575/2013, ħlief fl-Artikolu 72b(2), il-punt (d) ta’ dak ir-Regolament, u huma rikonoxxuti bħala obbligazzjonijiet eliġibbli f’konformità mal-Artikolu 72b(3) jew (4) ta’ dak ir-Regolament. Fejn japplika l-Artikolu 72b(3) tar-Regolament (UE) Nru 575/2013, l-ammont irrapportat għandu</w:t>
            </w:r>
            <w:r>
              <w:t xml:space="preserve"> 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jkun l-ammont wara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l-applikazzjoni tal-limitu massimu stipulat f’dak l-Artikolu. L-ammonti rrapportati għandhom jeskludu l-ammonti ta’ parteċipazzjonijiet ta’ strumenti ta’ obbligazzjonijiet eliġibbli, u kif ukoll l-ammonti ta’ permessi minn qabel mhux użati, sal-punt li l-permess ikopri l-istrumenti tal-obbligazzjonijiet eliġibbli mhux subordinati għal obbligazzjonijiet esklużi.</w:t>
            </w:r>
          </w:p>
        </w:tc>
      </w:tr>
      <w:tr w:rsidR="00FB08AF" w:rsidRPr="00FB08AF" w14:paraId="47FEB869" w14:textId="77777777" w:rsidTr="007674DE">
        <w:tc>
          <w:tcPr>
            <w:tcW w:w="1129" w:type="dxa"/>
            <w:vAlign w:val="center"/>
          </w:tcPr>
          <w:p w14:paraId="6C338E15" w14:textId="266651BF" w:rsidR="00A63011" w:rsidRPr="00FB08AF" w:rsidRDefault="00A63011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0150</w:t>
            </w:r>
          </w:p>
        </w:tc>
        <w:tc>
          <w:tcPr>
            <w:tcW w:w="7620" w:type="dxa"/>
            <w:vAlign w:val="center"/>
          </w:tcPr>
          <w:p w14:paraId="2B3CCCA3" w14:textId="49C67F64" w:rsidR="00A63011" w:rsidRPr="00FB08AF" w:rsidRDefault="00A63011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Obbligazzjonijiet eliġibbli li mhumiex subordinati għall-obbligazzjonijiet esklużi (mhux soġġetti għal anterjorità qabel il-limitu massimu)</w:t>
            </w:r>
          </w:p>
          <w:p w14:paraId="394955FE" w14:textId="77777777" w:rsidR="00982A9F" w:rsidRPr="00FB08AF" w:rsidRDefault="00604AF7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</w:t>
            </w:r>
          </w:p>
          <w:p w14:paraId="7E6B0179" w14:textId="36FBFEC4" w:rsidR="00A827D8" w:rsidRPr="00FB08AF" w:rsidRDefault="003A0717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Obbligazzjonijiet li jikkonformaw mal-kundizzjonijiet stipulati fl-Artikolu 45b(1), (2) u (3) tad-Direttiva 2014/59/UE u li mhumiex kompletament subordinati għal pretensjonijiet li jirriżultaw mill-obbligazzjonijiet esklużi msemmija fl-Artikolu 72a(2) tar-Regolament (UE) Nru 575/2013.</w:t>
            </w:r>
            <w:r>
              <w:rPr>
                <w:rStyle w:val="FormatvorlageInstructionsTabelleText"/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Fil-każ ta’ strumenti rregolati mil-liġi ta’ pajjiż terz, l-istrument għandu jiġi inkluż biss f’din ir-ringiela jekk jissodisfa r-rekwiżiti stipulati fl-Artikolu 55 tad-Direttiva 2014/59/UE. L-ammonti rrapportati għandhom ikunu ammonti qabel ma jitnaqqsu l-ammonti ta’ permessi minn qabel mhux użati, sal-punt li l-permess ikopri l-istrumenti tal-obbligazzjonijiet eliġibbli li ma jkunux subordinati għal obbligazzjonijiet esklużi u mingħajr anterjorità.</w:t>
            </w:r>
          </w:p>
          <w:p w14:paraId="032F7301" w14:textId="77777777" w:rsidR="00A827D8" w:rsidRPr="00FB08AF" w:rsidRDefault="00A827D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</w:p>
          <w:p w14:paraId="388C46BA" w14:textId="3360303E" w:rsidR="00982A9F" w:rsidRPr="00FB08AF" w:rsidRDefault="00604AF7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0B4467BB" w14:textId="0E7A3E73" w:rsidR="00D37718" w:rsidRPr="00FB08AF" w:rsidRDefault="00982A9F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Obbligazzjonijiet eliġibbli li jikkonformaw mar-rekwiżiti stipulati fl-Artikoli 72a sa 72d tar-Regolament (UE) Nru 575/2013, ħlief għall-Artikolu 72b(2), il-punt (d) ta’ dak ir-Regolament, u li jistgħu kunu permessi</w:t>
            </w:r>
            <w:r>
              <w:t xml:space="preserve">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jikkwalifikaw bħala strumenti ta’ obbligazzjonijiet eliġibbli f’konformità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 xml:space="preserve">mal-Artikolu 72b(3) ta’ dak ir-Regolament jew li huma permessi jikkwalifikaw bħala strumenti ta’ obbligazzjonijiet eliġibbli f’konformità mal-Artikolu 72b(4) ta’ dak ir-Regolament. L-ammonti rrapportati għandhom ikunu ammonti qabel ma jitnaqqsu l-ammonti ta’ permessi minn qabel mhux użati, sal-punt li l-permess ikopri l-istrumenti tal-obbligazzjonijiet eliġibbli li ma jkunux subordinati għal obbligazzjonijiet </w:t>
            </w:r>
            <w:r w:rsidR="00A22E31">
              <w:rPr>
                <w:rStyle w:val="FormatvorlageInstructionsTabelleText"/>
                <w:rFonts w:ascii="Times New Roman" w:hAnsi="Times New Roman"/>
                <w:sz w:val="24"/>
              </w:rPr>
              <w:t>esklużi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u mingħajr anterjorità.</w:t>
            </w:r>
          </w:p>
          <w:p w14:paraId="0909459E" w14:textId="187AE3BC" w:rsidR="00EA28E5" w:rsidRPr="00FB08AF" w:rsidRDefault="00855A44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Fejn japplika l-Artikolu 72b(3) jew l-Artikolu 494(2) tar-Regolament (UE) Nru 575/2013, għandu jiġi rrapportat l-ammont sħiħ mingħajr applikazzjoni tal-limitu massimu ta’ 3,5 %, u tal-limitu massimu ta’ 2,5 %, rispettivament, f’din ir-ringiela.</w:t>
            </w:r>
          </w:p>
          <w:p w14:paraId="10DEA222" w14:textId="0F79DC02" w:rsidR="00A63011" w:rsidRPr="00FB08AF" w:rsidRDefault="00EA28E5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Din ir-ringiela ma għandha tinkludi l-ebda ammont rikonoxxibbli fuq bażi tranżitorja f’konformità mal-Artikolu 494b(3) tar-Regolament (UE) Nru 575/2013.</w:t>
            </w:r>
          </w:p>
        </w:tc>
      </w:tr>
      <w:tr w:rsidR="00FB08AF" w:rsidRPr="00FB08AF" w14:paraId="10AF45A5" w14:textId="77777777" w:rsidTr="007674DE">
        <w:tc>
          <w:tcPr>
            <w:tcW w:w="1129" w:type="dxa"/>
            <w:vAlign w:val="center"/>
          </w:tcPr>
          <w:p w14:paraId="7372F449" w14:textId="2D516431" w:rsidR="00A63011" w:rsidRPr="00FB08AF" w:rsidRDefault="00A63011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0160</w:t>
            </w:r>
          </w:p>
        </w:tc>
        <w:tc>
          <w:tcPr>
            <w:tcW w:w="7620" w:type="dxa"/>
            <w:vAlign w:val="center"/>
          </w:tcPr>
          <w:p w14:paraId="5F838AA0" w14:textId="3D7F71E6" w:rsidR="00EA28E5" w:rsidRPr="00FB08AF" w:rsidRDefault="00EA28E5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Obbligazzjonijiet eliġibbli li mhumiex subordinati għall-obbligazzjonijiet esklużi maħruġa qabel is-27 ta’ Ġunju 2019 (qabel il-limitu massimu)</w:t>
            </w:r>
          </w:p>
          <w:p w14:paraId="2510BB3A" w14:textId="1AF410B0" w:rsidR="00982A9F" w:rsidRPr="00FB08AF" w:rsidRDefault="00C11CA5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</w:t>
            </w:r>
          </w:p>
          <w:p w14:paraId="18163CEC" w14:textId="2030FFF7" w:rsidR="001C6D0D" w:rsidRPr="00FB08AF" w:rsidRDefault="00982A9F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L-obbligazzjonijiet eliġibbli li jissodisfaw il-kundizzjonijiet li ġejjin:</w:t>
            </w:r>
          </w:p>
          <w:p w14:paraId="5FFD2677" w14:textId="50F9F4F8" w:rsidR="001C6D0D" w:rsidRPr="00FB08AF" w:rsidRDefault="00D1648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(a) ikunu nħarġu qabel is-27 ta’ Ġunju 2019;</w:t>
            </w:r>
          </w:p>
          <w:p w14:paraId="07403C05" w14:textId="503B2949" w:rsidR="009B0942" w:rsidRPr="00FB08AF" w:rsidRDefault="00D1648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(b) ikunu jikkonformaw mal-kundizzjonijiet stipulati fl-Artikolu 45b(1), (2) u (3) tad-Direttiva 2014/59/UE u ma jkunux kompletament subordinati għal pretensjonijiet li jirriżultaw mill-obbligazzjonijiet esklużi msemmija fl-Artikolu 72a(2) tar-Regolament (UE) Nru 575/2013;</w:t>
            </w:r>
          </w:p>
          <w:p w14:paraId="71564EA2" w14:textId="74C6BCA7" w:rsidR="001C6D0D" w:rsidRPr="00FB08AF" w:rsidRDefault="00D1648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(c) ikunu jikkwalifikaw bħala obbligazzjonijiet eliġibbli bħala riżultat tal-anterjorità f’konformità mal-Artikolu 494b(3) tar-Regolament (UE) Nru 575/2013.</w:t>
            </w:r>
          </w:p>
          <w:p w14:paraId="7503510D" w14:textId="08ABA911" w:rsidR="00B1149D" w:rsidRPr="00FB08AF" w:rsidRDefault="00014A2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Fil-każ ta’ strumenti rregolati mil-liġi ta’ pajjiż terz, l-istrument għandu jiġi inkluż biss f’din ir-ringiela jekk jissodisfa r-rekwiżiti stipulati fl-Artikolu 55 tad-Direttiva 2014/59/UE.</w:t>
            </w:r>
          </w:p>
          <w:p w14:paraId="32F37C9F" w14:textId="14155D73" w:rsidR="00A827D8" w:rsidRPr="00FB08AF" w:rsidRDefault="00A827D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L-ammonti rrapportati għandhom ikunu ammonti qabel ma jitnaqqsu l-ammonti ta’ permessi minn qabel mhux użati, sal-punt li l-permess ikopri l-istrumenti tal-obbligazzjonijiet eliġibbli li ma jkunux subordinati għal obbligazzjonijiet esklużi u li jkunu nħarġu qabel is-27 ta’ Ġunju 2019.</w:t>
            </w:r>
          </w:p>
          <w:p w14:paraId="7EAB8752" w14:textId="12D859E9" w:rsidR="00982A9F" w:rsidRPr="00FB08AF" w:rsidRDefault="00C11CA5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4F8A7696" w14:textId="38C1B326" w:rsidR="000A5224" w:rsidRPr="00FB08AF" w:rsidRDefault="0020559A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L-obbligazzjonijiet eliġibbli li jissodisfaw il-kundizzjonijiet li ġejjin:</w:t>
            </w:r>
          </w:p>
          <w:p w14:paraId="2927D076" w14:textId="4B7CFD54" w:rsidR="000A5224" w:rsidRPr="00FB08AF" w:rsidRDefault="00D1648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(a) ikunu nħarġu qabel is-27 ta’ Ġunju 2019;</w:t>
            </w:r>
          </w:p>
          <w:p w14:paraId="25193AE0" w14:textId="3C81B8F5" w:rsidR="000A5224" w:rsidRPr="00FB08AF" w:rsidRDefault="00D1648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(b) jikkonformaw mar-rekwiżiti stipulati fl-Artikoli 72a sa 72d tar-Regolament (UE) Nru 575/2013, ħlief għall-Artikolu 72b(2), il-punt (d) ta’ dak ir-Regolament, u li jistgħu kunu permessi jikkwalifikaw bħala strumenti ta’ obbligazzjonijiet eliġibbli f’konformità mal-Artikolu 72b(3) ta’ dak ir-Regolament jew li huma permessi jikkwalifikaw bħala strumenti ta’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obbligazzjonijiet eliġibbli f’konformità mal-Artikolu 72b(4) ta’ dak ir-Regolament;</w:t>
            </w:r>
          </w:p>
          <w:p w14:paraId="406887A9" w14:textId="60E275A3" w:rsidR="00C11CA5" w:rsidRPr="00FB08AF" w:rsidRDefault="00D1648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(c) ikunu jikkwalifikaw bħala obbligazzjonijiet eliġibbli bħala riżultat tal-anterjorità f’konformità mal-Artikolu 494b(3) tar-Regolament (UE) Nru 575/2013.</w:t>
            </w:r>
          </w:p>
          <w:p w14:paraId="1C129A1F" w14:textId="57A1694B" w:rsidR="00A63011" w:rsidRPr="00FB08AF" w:rsidRDefault="00A827D8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L-ammonti rrapportati għandhom ikunu l-ammonti qabel jitnaqqsu l-ammonti mhux użati ta’ permessi minn qabel, sal-punt li l-permess ikopri strumenti ta’ obbligazzjonijiet eliġibbli li mhumiex subordinati għal obbligazzjonijiet esklużi u li nħarġu qabel s-27 ta’ Ġunju 2019. Fejn japplika l-Artikolu 72b(3) jew l-Artikolu 494(2) tar-Regolament (UE) Nru 575/2013, l-ammont sħiħ mingħajr l-applikazzjoni tal-limitu massimu ta’ 3,5 % u 2,5 % rispettivament għandu jiġi rrapportat f’din ir-ringiela.</w:t>
            </w:r>
          </w:p>
        </w:tc>
      </w:tr>
      <w:tr w:rsidR="00FB08AF" w:rsidRPr="00FB08AF" w14:paraId="63A9F93C" w14:textId="77777777" w:rsidTr="004464A7">
        <w:tc>
          <w:tcPr>
            <w:tcW w:w="1129" w:type="dxa"/>
            <w:vAlign w:val="center"/>
          </w:tcPr>
          <w:p w14:paraId="128930AB" w14:textId="7D151456" w:rsidR="00766C0D" w:rsidRPr="00FB08AF" w:rsidRDefault="00766C0D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0162</w:t>
            </w:r>
          </w:p>
        </w:tc>
        <w:tc>
          <w:tcPr>
            <w:tcW w:w="7620" w:type="dxa"/>
            <w:vAlign w:val="center"/>
          </w:tcPr>
          <w:p w14:paraId="341CD98D" w14:textId="7BF644C3" w:rsidR="00766C0D" w:rsidRPr="00FB08AF" w:rsidRDefault="00766C0D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(-) Strumenti ta’ obbligazzjonijiet proprji eliġibbli mhux subordinati għall-obbligazzjonijiet esklużi</w:t>
            </w:r>
          </w:p>
          <w:p w14:paraId="7CFF60FF" w14:textId="77777777" w:rsidR="00766C0D" w:rsidRPr="00FB08AF" w:rsidRDefault="00766C0D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bCs w:val="0"/>
                <w:i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t>MREL</w:t>
            </w:r>
          </w:p>
          <w:p w14:paraId="5FDB3A76" w14:textId="21AD9479" w:rsidR="00766C0D" w:rsidRPr="00FB08AF" w:rsidRDefault="00766C0D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Cs w:val="0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L-Artikolu 78a tar-Regolament (UE) Nru 575/2013, l-Artikolu 32b(2), (3) u (5) tar-Regolament Delegat (UE) Nru 241/2014</w:t>
            </w:r>
          </w:p>
          <w:p w14:paraId="07A5D05B" w14:textId="26693921" w:rsidR="008B0571" w:rsidRPr="00FB08AF" w:rsidRDefault="008B0571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bCs w:val="0"/>
                <w:i/>
                <w:sz w:val="24"/>
                <w:u w:val="non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Din ir-ringiela għandha tinkludi ammonti ta’ permessi minn qabel mhux użati, sal-punt li l-permess ikopri l-istrumenti tal-obbligazzjonijiet eliġibbli mhux subordinati għall-obbligazzjonijiet esklużi. L-ammont f’din ir-ringiela għandu jkun ugwali għall-ammont fir-ringiela 0165 għall-MREL.</w:t>
            </w:r>
          </w:p>
          <w:p w14:paraId="267D0224" w14:textId="77777777" w:rsidR="008B0571" w:rsidRPr="00FB08AF" w:rsidRDefault="008B0571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bCs w:val="0"/>
                <w:i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t>TLAC</w:t>
            </w:r>
          </w:p>
          <w:p w14:paraId="24C7F64C" w14:textId="6651375D" w:rsidR="008B0571" w:rsidRPr="00FB08AF" w:rsidRDefault="008B0571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Cs w:val="0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L-Artikolu 72e(1), il-punt (a), u l-Artikolu 78a tar-Regolament (UE) Nru 575/2013, l-Artikolu 32b(2), (3) u (5) tar-Regolament Delegat (UE) Nru 241/2014</w:t>
            </w:r>
          </w:p>
          <w:p w14:paraId="5453E8FB" w14:textId="28C75257" w:rsidR="008B0571" w:rsidRPr="00FB08AF" w:rsidRDefault="008B0571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Cs w:val="0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Din ir-ringiela għandha tinkludi:</w:t>
            </w:r>
          </w:p>
          <w:p w14:paraId="321DC970" w14:textId="180EDF4D" w:rsidR="008B0571" w:rsidRPr="00FB08AF" w:rsidRDefault="008C19BD" w:rsidP="008B0571">
            <w:pPr>
              <w:pStyle w:val="ListParagraph"/>
              <w:numPr>
                <w:ilvl w:val="0"/>
                <w:numId w:val="70"/>
              </w:numPr>
              <w:rPr>
                <w:rStyle w:val="FormatvorlageInstructionsTabelleText"/>
                <w:rFonts w:ascii="Times New Roman" w:hAnsi="Times New Roman"/>
                <w:bCs w:val="0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parteċipazzjonijiet ta’ strumenti proprji ta’ obbligazzjonijiet eliġibbli mhux subordinati li jridu jitnaqqsu skont l-Artikolu 72e(1), il-punt (a), tar-Regolament (UE) Nru 575/2013; kif ukoll</w:t>
            </w:r>
          </w:p>
          <w:p w14:paraId="6C390CB9" w14:textId="54C5D1D0" w:rsidR="008B0571" w:rsidRPr="00FB08AF" w:rsidRDefault="00D37B2B" w:rsidP="009E5168">
            <w:pPr>
              <w:pStyle w:val="ListParagraph"/>
              <w:numPr>
                <w:ilvl w:val="0"/>
                <w:numId w:val="70"/>
              </w:numPr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ammonti ta’ permessi minn qabel mhux użati, sal-punt li l-permess ikopri l-istrumenti tal-obbligazzjonijiet eliġibbli li mhumiex subordinati għall-obbligazzjonijiet esklużi.</w:t>
            </w:r>
          </w:p>
        </w:tc>
      </w:tr>
      <w:tr w:rsidR="00FB08AF" w:rsidRPr="00FB08AF" w14:paraId="377B4629" w14:textId="77777777" w:rsidTr="004464A7">
        <w:tc>
          <w:tcPr>
            <w:tcW w:w="1129" w:type="dxa"/>
            <w:vAlign w:val="center"/>
          </w:tcPr>
          <w:p w14:paraId="0ACB5F85" w14:textId="0CEF3E7C" w:rsidR="00766C0D" w:rsidRPr="00FB08AF" w:rsidRDefault="00766C0D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0165</w:t>
            </w:r>
          </w:p>
        </w:tc>
        <w:tc>
          <w:tcPr>
            <w:tcW w:w="7620" w:type="dxa"/>
            <w:vAlign w:val="center"/>
          </w:tcPr>
          <w:p w14:paraId="371C3A4C" w14:textId="440EE909" w:rsidR="00766C0D" w:rsidRPr="00FB08AF" w:rsidRDefault="00766C0D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 xml:space="preserve"> (-) li minnu: ammonti ta’ permessi minn qabel mhux użati</w:t>
            </w:r>
          </w:p>
          <w:p w14:paraId="50F54C4D" w14:textId="77777777" w:rsidR="00766C0D" w:rsidRPr="00FB08AF" w:rsidRDefault="00766C0D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 u TLAC</w:t>
            </w:r>
          </w:p>
          <w:p w14:paraId="0DC13AF4" w14:textId="77777777" w:rsidR="00F81089" w:rsidRPr="00FB08AF" w:rsidRDefault="00F8108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L-ammonti li ġejjin għandhom jiġu rrapportati f’din ir-ringiela: </w:t>
            </w:r>
          </w:p>
          <w:p w14:paraId="705775C2" w14:textId="0B0EDB42" w:rsidR="00766C0D" w:rsidRPr="00FB08AF" w:rsidRDefault="00D37B2B" w:rsidP="00766C0D">
            <w:pPr>
              <w:pStyle w:val="ListParagraph"/>
              <w:numPr>
                <w:ilvl w:val="0"/>
                <w:numId w:val="52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ammonti ta’ permessi ad hoc mhux użati, sal-punt li l-permess ikopri strumenti ta’ obbligazzjonijiet eliġibbli li mhumiex subordinati għall-obbligazzjonijiet esklużi;</w:t>
            </w:r>
          </w:p>
          <w:p w14:paraId="664D7867" w14:textId="5A7A4644" w:rsidR="00766C0D" w:rsidRPr="00FB08AF" w:rsidRDefault="00D37B2B" w:rsidP="00766C0D">
            <w:pPr>
              <w:pStyle w:val="ListParagraph"/>
              <w:numPr>
                <w:ilvl w:val="0"/>
                <w:numId w:val="52"/>
              </w:numPr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ammonti GPP mhux użati, sal-punt li l-permess ikopri l-istrumenti tal-obbligazzjonijiet eliġibbli li mhumiex subordinati għall-obbligazzjonijiet esklużi.</w:t>
            </w:r>
          </w:p>
          <w:p w14:paraId="4510FB08" w14:textId="6849570E" w:rsidR="00766C0D" w:rsidRPr="00FB08AF" w:rsidRDefault="00766C0D" w:rsidP="004464A7">
            <w:pPr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</w:rPr>
              <w:t xml:space="preserve">Meta permess ġenerali minn qabel kif imsemmi fil-punt (ii) ma jispeċifikax il-klassifikazzjoni tal-istrumenti li jistgħu jinxtraw, jinfdew, jitħallsu lura jew 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</w:rPr>
              <w:lastRenderedPageBreak/>
              <w:t>jinxtraw mill-ġdid, l-ammont sħiħ tal-APE mhux użat għandu jiġi rrapportat fir-ringiela 0135, mhux f’din ir-ringiela.</w:t>
            </w:r>
          </w:p>
        </w:tc>
      </w:tr>
      <w:tr w:rsidR="00FB08AF" w:rsidRPr="00FB08AF" w14:paraId="11F3B154" w14:textId="77777777" w:rsidTr="007674DE">
        <w:tc>
          <w:tcPr>
            <w:tcW w:w="1129" w:type="dxa"/>
            <w:vAlign w:val="center"/>
          </w:tcPr>
          <w:p w14:paraId="0A3863D3" w14:textId="12D058F9" w:rsidR="00EA28E5" w:rsidRPr="00FB08AF" w:rsidRDefault="00EA28E5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0170</w:t>
            </w:r>
          </w:p>
        </w:tc>
        <w:tc>
          <w:tcPr>
            <w:tcW w:w="7620" w:type="dxa"/>
            <w:vAlign w:val="center"/>
          </w:tcPr>
          <w:p w14:paraId="616148D5" w14:textId="5B73B67F" w:rsidR="00EA28E5" w:rsidRPr="00FB08AF" w:rsidRDefault="00EA28E5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Ammonti eliġibbli wara l-applikazzjoni tal-limitu massimu tal-Artikolu 72b(3) tar-Regolament (UE) Nru 575/2013 (mhux soġġetti għal anterjorità)</w:t>
            </w:r>
          </w:p>
          <w:p w14:paraId="13F2D135" w14:textId="77777777" w:rsidR="00FC063F" w:rsidRPr="00FB08AF" w:rsidRDefault="00F36F9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6B93C9D6" w14:textId="3FE91C94" w:rsidR="00EA28E5" w:rsidRPr="00FB08AF" w:rsidRDefault="00FC063F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L-obbligazzjonijiet eliġibbli li jikkonformaw mar-rekwiżiti stipulati fl-Artikoli 72a sa 72d tar-Regolament (UE) Nru 575/2013, ħlief għall-Artikolu 72b(2), il-punt (d) ta’ dak ir-Regolament, wara li jiġi applikati l-Artikolu 72b(3) sa (5) ta’ dak ir-Regolament, bl-esklużjoni tal-obbligazzjonijiet rikonoxxuti skont l-anterjorità stabbilita fl-Artikolu 494b(3) ta’ dak ir-Regolament.</w:t>
            </w:r>
          </w:p>
          <w:p w14:paraId="305A441C" w14:textId="5D103CC3" w:rsidR="00E45961" w:rsidRPr="00FB08AF" w:rsidRDefault="00D301E1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Fejn japplika l-Artikolu 72b(3) </w:t>
            </w:r>
            <w:r>
              <w:t>tar-Regolament (UE) Nru 575/2013 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u sal-31 ta’ Diċembru 2021, l-ammont irrapportat f’din ir-ringiela għandu jkun l-ammont wara l-applikazzjoni tal-Artikolu 494(2) ta’ dak ir-Regolament (limitu massimu ta’ 2,5 %).</w:t>
            </w:r>
          </w:p>
        </w:tc>
      </w:tr>
      <w:tr w:rsidR="00FB08AF" w:rsidRPr="00FB08AF" w14:paraId="4BB935B5" w14:textId="77777777" w:rsidTr="007674DE">
        <w:tc>
          <w:tcPr>
            <w:tcW w:w="1129" w:type="dxa"/>
            <w:vAlign w:val="center"/>
          </w:tcPr>
          <w:p w14:paraId="61DA2F84" w14:textId="4BFF468A" w:rsidR="00EA28E5" w:rsidRPr="00FB08AF" w:rsidRDefault="00EA28E5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0180</w:t>
            </w:r>
          </w:p>
        </w:tc>
        <w:tc>
          <w:tcPr>
            <w:tcW w:w="7620" w:type="dxa"/>
            <w:vAlign w:val="center"/>
          </w:tcPr>
          <w:p w14:paraId="17E7C796" w14:textId="1A628FF6" w:rsidR="00EA28E5" w:rsidRPr="00FB08AF" w:rsidRDefault="00EA28E5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 xml:space="preserve">Ammonti eliġibbli wara l-applikazzjoni tal-limitu massimu tal-Artikolu 72b(3) tar-Regolament (UE) Nru 575/2013 li jikkonsisti fl-entrati maħruġa qabel is-27 ta’ Ġunju 2019 </w:t>
            </w:r>
          </w:p>
          <w:p w14:paraId="53A05F4F" w14:textId="77777777" w:rsidR="00FC063F" w:rsidRPr="00FB08AF" w:rsidRDefault="000B1772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406D6DBE" w14:textId="7F7CC175" w:rsidR="000B1772" w:rsidRPr="00FB08AF" w:rsidRDefault="00FC063F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L-obbligazzjonijiet eliġibbli li jissodisfaw il-kundizzjonijiet li ġejjin:</w:t>
            </w:r>
          </w:p>
          <w:p w14:paraId="3AE4F260" w14:textId="31F4952D" w:rsidR="000B1772" w:rsidRPr="00FB08AF" w:rsidRDefault="00D301E1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(a) ikunu nħarġu qabel is-27 ta’ Ġunju 2019;</w:t>
            </w:r>
          </w:p>
          <w:p w14:paraId="59FE9F26" w14:textId="4E7CB3E4" w:rsidR="000B1772" w:rsidRPr="00FB08AF" w:rsidRDefault="00D301E1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(b) ikunu jikkonformaw mar-rekwiżiti stipulati fl-Artikoli 72a sa 72d tar-Regolament (UE) Nru 575/2013, ħlief għall-Artikolu 72b(2), il-punt (d) ta’ dak ir-Regolament, wara li jiġi applikat l-Artikolu 72b(3) sa (5) ta’ dak ir-Regolament;</w:t>
            </w:r>
          </w:p>
          <w:p w14:paraId="114EE1F8" w14:textId="260F9651" w:rsidR="000B1772" w:rsidRPr="00FB08AF" w:rsidRDefault="00D301E1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(c) ikunu jikkwalifikaw bħala obbligazzjonijiet eliġibbli bħala riżultat tal-anterjorità f’konformità mal-Artikolu 494b(3)</w:t>
            </w:r>
            <w:r>
              <w:t xml:space="preserve">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tar-Regolament (UE) Nru 575/2013.</w:t>
            </w:r>
          </w:p>
          <w:p w14:paraId="0A5DCE1F" w14:textId="40193B08" w:rsidR="00E45961" w:rsidRPr="00FB08AF" w:rsidRDefault="00D301E1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Fejn japplika l-Artikolu 72b(3) </w:t>
            </w:r>
            <w:r>
              <w:t>tar-Regolament (UE) Nru 575/2013 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u sal-31 ta’ Diċembru 2021, l-ammont irrapportat f’din ir-ringiela għandu jkun l-ammont wara l-applikazzjoni tal-Artikolu 494(2) ta’ dak ir-Regolament (limitu massimu ta’ 2,5 %).</w:t>
            </w:r>
          </w:p>
        </w:tc>
      </w:tr>
      <w:tr w:rsidR="00FB08AF" w:rsidRPr="00FB08AF" w14:paraId="692AEFC6" w14:textId="77777777" w:rsidTr="007674DE">
        <w:tc>
          <w:tcPr>
            <w:tcW w:w="1129" w:type="dxa"/>
            <w:vAlign w:val="center"/>
          </w:tcPr>
          <w:p w14:paraId="3D783C0C" w14:textId="6DDA4312" w:rsidR="00A63011" w:rsidRPr="00FB08AF" w:rsidRDefault="00A63011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0190</w:t>
            </w:r>
          </w:p>
        </w:tc>
        <w:tc>
          <w:tcPr>
            <w:tcW w:w="7620" w:type="dxa"/>
            <w:vAlign w:val="center"/>
          </w:tcPr>
          <w:p w14:paraId="48A47BB7" w14:textId="58C2F8F9" w:rsidR="00A63011" w:rsidRPr="00FB08AF" w:rsidRDefault="00EA28E5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(-) Tnaqqis</w:t>
            </w:r>
          </w:p>
        </w:tc>
      </w:tr>
      <w:tr w:rsidR="00FB08AF" w:rsidRPr="00FB08AF" w14:paraId="5F32D0E3" w14:textId="77777777" w:rsidTr="007674DE">
        <w:tc>
          <w:tcPr>
            <w:tcW w:w="1129" w:type="dxa"/>
            <w:vAlign w:val="center"/>
          </w:tcPr>
          <w:p w14:paraId="3E47080A" w14:textId="2297CCF2" w:rsidR="00A63011" w:rsidRPr="00FB08AF" w:rsidRDefault="00A63011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0200</w:t>
            </w:r>
          </w:p>
        </w:tc>
        <w:tc>
          <w:tcPr>
            <w:tcW w:w="7620" w:type="dxa"/>
            <w:vAlign w:val="center"/>
          </w:tcPr>
          <w:p w14:paraId="5A2E902B" w14:textId="2920CF5C" w:rsidR="00A63011" w:rsidRPr="00FB08AF" w:rsidRDefault="00EA28E5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 xml:space="preserve">(-) Skoperturi bejn gruppi ta’ riżoluzzjoni b’punt ta’ dħul multiplu (MPE) </w:t>
            </w:r>
          </w:p>
          <w:p w14:paraId="750816D8" w14:textId="45220EA8" w:rsidR="0052529D" w:rsidRPr="00FB08AF" w:rsidRDefault="00FC063F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460C4152" w14:textId="210E085F" w:rsidR="00A63011" w:rsidRPr="00FB08AF" w:rsidRDefault="0052529D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Din ir-ringiela għandha tirrifletti t-tnaqqis tal-iskoperturi bejn il-gruppi ta’ riżoluzzjoni tal-MPE G-SII, li jikkorrispondu għal parteċipazzjonijiet diretti, indiretti jew sintetiċi ta’ strumenti ta’ fondi proprji jew strumenti ta’ obbligazzjonijiet eliġibbli ta’ sussidjarja waħda jew aktar li ma jappartjenux għall-istess grupp ta’ riżoluzzjoni bħall-entità ta’ riżoluzzjoni, f’konformità mal-Artikolu 72e(4) tar-Regolament (UE) Nru 575/2013.</w:t>
            </w:r>
          </w:p>
        </w:tc>
      </w:tr>
      <w:tr w:rsidR="00FB08AF" w:rsidRPr="00FB08AF" w14:paraId="5835F98E" w14:textId="77777777" w:rsidTr="007674DE">
        <w:tc>
          <w:tcPr>
            <w:tcW w:w="1129" w:type="dxa"/>
            <w:vAlign w:val="center"/>
          </w:tcPr>
          <w:p w14:paraId="32F5C825" w14:textId="3263F67C" w:rsidR="00A63011" w:rsidRPr="00FB08AF" w:rsidRDefault="00327CA4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0211</w:t>
            </w:r>
          </w:p>
        </w:tc>
        <w:tc>
          <w:tcPr>
            <w:tcW w:w="7620" w:type="dxa"/>
            <w:vAlign w:val="center"/>
          </w:tcPr>
          <w:p w14:paraId="70CDC53F" w14:textId="6AA8C423" w:rsidR="00A63011" w:rsidRPr="00FB08AF" w:rsidRDefault="00EA28E5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(-) Investimenti fi strumenti ta’ obbligazzjonijiet eliġibbli oħrajn</w:t>
            </w:r>
          </w:p>
          <w:p w14:paraId="6D6E0AE5" w14:textId="7C627841" w:rsidR="00FC063F" w:rsidRPr="00FB08AF" w:rsidRDefault="00FC063F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TLAC</w:t>
            </w:r>
          </w:p>
          <w:p w14:paraId="1A0BF801" w14:textId="01C0B7CC" w:rsidR="002C7835" w:rsidRPr="00FB08AF" w:rsidRDefault="00E645F5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L-entitajiet għandhom jirrapportaw it-tnaqqis tal-investimenti fi strumenti ta’ obbligazzjonijiet eliġibbli oħrajn, kif imsemmi fl-Artikolu 72e(1), il-punti (b), (c) u (d), fl-Artikolu 72e(2) u (3) u fl-Artikoli 72g sa 72j</w:t>
            </w:r>
            <w:r>
              <w:t xml:space="preserve"> tar-Regolament (UE) Nru 575/2013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, , fejn l-ammont li għandu jitnaqqas mill-entrati ta’ obbligazzjonijiet eliġibbli jiġi ddeterminat f’konformità mal-Parti Tnejn, it-Titolu I, il-Kapitolu 5a, it-Taqsima 2, ta’ dak ir-Regolament.</w:t>
            </w:r>
          </w:p>
        </w:tc>
      </w:tr>
      <w:tr w:rsidR="00FB08AF" w:rsidRPr="00FB08AF" w14:paraId="1E39D578" w14:textId="77777777" w:rsidTr="007674DE">
        <w:tc>
          <w:tcPr>
            <w:tcW w:w="1129" w:type="dxa"/>
            <w:vAlign w:val="center"/>
          </w:tcPr>
          <w:p w14:paraId="33758206" w14:textId="3E9120C1" w:rsidR="00A63011" w:rsidRPr="00FB08AF" w:rsidRDefault="00327CA4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0220</w:t>
            </w:r>
          </w:p>
        </w:tc>
        <w:tc>
          <w:tcPr>
            <w:tcW w:w="7620" w:type="dxa"/>
            <w:vAlign w:val="center"/>
          </w:tcPr>
          <w:p w14:paraId="3D31E736" w14:textId="4E1C375C" w:rsidR="00A63011" w:rsidRPr="00FB08AF" w:rsidRDefault="00A63011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Eċċess tat-tnaqqis mill-obbligazzjonijiet eliġibbli fuq l-obbligazzjonijiet eliġibbli</w:t>
            </w:r>
          </w:p>
          <w:p w14:paraId="7BA038D3" w14:textId="50DBC754" w:rsidR="00913681" w:rsidRPr="00FB08AF" w:rsidRDefault="00EA28E5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L-obbligazzjonijiet eliġibbli ma jistgħux ikunu negattivi, iżda huwa possibbli li l-ammont tat-tnaqqis mill-entrati ta’ obbligazzjonijiet eliġibbli jkun akbar mill-entrati ta’ obbligazzjonijiet eliġibbli. Meta jiġri dan, l-obbligazzjonijiet eliġibbli jridu jkunu ugwali għal żero, u l-eċċess tat-tnaqqis għandu jitnaqqas mill-Grad 2 f’konformità mal-Artikolu 66, il-punt(e),</w:t>
            </w:r>
            <w:r>
              <w:t xml:space="preserve"> tar-Regolament (UE) Nru 575/2013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  <w:p w14:paraId="3E09EF9B" w14:textId="2F11A2BE" w:rsidR="00A63011" w:rsidRPr="00FB08AF" w:rsidRDefault="00913681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B’din l-entrata, jirriżulta li l-obbligazzjonijiet eliġibbli kif irrapportati fir-ringiela 0060 qatt ma jkunu inqas minn żero. </w:t>
            </w:r>
          </w:p>
        </w:tc>
      </w:tr>
      <w:tr w:rsidR="00FB08AF" w:rsidRPr="00FB08AF" w:rsidDel="000A3889" w14:paraId="55A5288B" w14:textId="77777777" w:rsidTr="00EF1BBD">
        <w:tc>
          <w:tcPr>
            <w:tcW w:w="1129" w:type="dxa"/>
            <w:vAlign w:val="center"/>
          </w:tcPr>
          <w:p w14:paraId="0469F718" w14:textId="77777777" w:rsidR="004B26E4" w:rsidRPr="00FB08AF" w:rsidRDefault="004B26E4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0400-0500</w:t>
            </w:r>
          </w:p>
        </w:tc>
        <w:tc>
          <w:tcPr>
            <w:tcW w:w="7620" w:type="dxa"/>
            <w:vAlign w:val="center"/>
          </w:tcPr>
          <w:p w14:paraId="7038FF40" w14:textId="77777777" w:rsidR="004B26E4" w:rsidRPr="00FB08AF" w:rsidRDefault="004B26E4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Entrati fil-memorandum</w:t>
            </w:r>
          </w:p>
        </w:tc>
      </w:tr>
      <w:tr w:rsidR="00FB08AF" w:rsidRPr="00FB08AF" w:rsidDel="000A3889" w14:paraId="1F7040BA" w14:textId="77777777" w:rsidTr="007674DE">
        <w:tc>
          <w:tcPr>
            <w:tcW w:w="1129" w:type="dxa"/>
            <w:vAlign w:val="center"/>
          </w:tcPr>
          <w:p w14:paraId="335E3648" w14:textId="0E055C41" w:rsidR="004B26E4" w:rsidRPr="00FB08AF" w:rsidRDefault="004B26E4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0400</w:t>
            </w:r>
          </w:p>
        </w:tc>
        <w:tc>
          <w:tcPr>
            <w:tcW w:w="7620" w:type="dxa"/>
            <w:vAlign w:val="center"/>
          </w:tcPr>
          <w:p w14:paraId="0120BDD9" w14:textId="77777777" w:rsidR="004B26E4" w:rsidRPr="00FB08AF" w:rsidRDefault="004B26E4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 xml:space="preserve">CET1 (%) disponibbli wara li jiġu ssodisfati r-rekwiżiti tal-entità </w:t>
            </w:r>
          </w:p>
          <w:p w14:paraId="536CE450" w14:textId="1A7AB164" w:rsidR="004B26E4" w:rsidRPr="00FB08AF" w:rsidRDefault="004B26E4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 ta’ CET1, ugwali għal żero jew pożittiv, disponibbli wara li jiġu ssodisfati kull wieħed mir-rekwiżiti msemmija fl-Artikolu 141a(1), il-punti (a), (b) u (c) tad-Direttiva 2013/36/UE</w:t>
            </w:r>
            <w:r w:rsidR="006876BA" w:rsidRPr="00FB08AF">
              <w:rPr>
                <w:rStyle w:val="FootnoteReference"/>
              </w:rPr>
              <w:footnoteReference w:id="3"/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u l-ogħla minn:</w:t>
            </w:r>
          </w:p>
          <w:p w14:paraId="1016D212" w14:textId="01D3D2DE" w:rsidR="004B26E4" w:rsidRPr="00FB08AF" w:rsidRDefault="004B26E4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(a) fejn applikabbli, ir-rekwiżit tal-G-SII għall-fondi proprji u l-obbligazzjonijiet eliġibbli stipulati fl-Artikolu 92a</w:t>
            </w:r>
            <w:r>
              <w:t xml:space="preserve"> tar-Regolament (UE) Nru 575/2013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(ir-rekwiżit TLAC), meta kkalkolat f’konformità mal-paragrafu (1), il-punt (a) ta’ dak l-artikolu, </w:t>
            </w:r>
          </w:p>
          <w:p w14:paraId="78E1074D" w14:textId="364D5169" w:rsidR="004B26E4" w:rsidRPr="00FB08AF" w:rsidRDefault="004B26E4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(b) ir-rekwiżit minimu għall-fondi proprji u l-obbligazzjonijiet eliġibbli skont l-Artikolu 45</w:t>
            </w:r>
            <w:r>
              <w:t xml:space="preserve"> tad-Direttiva 2014/59/UE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, meta kkalkolat f’konformità mal-Artikolu 45(2), il-punt (a) ta’ dik id-Direttiva.</w:t>
            </w:r>
          </w:p>
          <w:p w14:paraId="4922B454" w14:textId="09574DDE" w:rsidR="004B26E4" w:rsidRPr="00FB08AF" w:rsidRDefault="004B26E4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Is-CET1 disponibbli għandu jiġi espress f’perċentwal tal-ammont totali tal-iskopertura għar-riskju kif irrapportat fir-ringiela 0100 tal-mudell M 01.00.</w:t>
            </w:r>
          </w:p>
          <w:p w14:paraId="584E56EB" w14:textId="63B909F8" w:rsidR="004B26E4" w:rsidRPr="00FB08AF" w:rsidRDefault="004B26E4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Iċ-ċifra rrapportata għandha tkun identika kemm fil-kolonni tal-MREL kif ukoll f’dawk tat-TLAC.</w:t>
            </w:r>
          </w:p>
          <w:p w14:paraId="4055321C" w14:textId="584B90B2" w:rsidR="005D755D" w:rsidRPr="00FB08AF" w:rsidRDefault="004B26E4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Din għandha tqis l-effett tad-dispożizzjonijiet tranżitorji fuq il-fondi proprji u l-obbligazzjonijiet eliġibbli, l-ammont totali tal-iskopertura għar-riskju u r-rekwiżiti nfushom. La l-gwida dwar il-fondi proprji addizzjonali msemmija fl-Artikolu 104b tad-Direttiva 2013/36/UE u lanqas ir-rekwiżit ta’ riżerva 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lastRenderedPageBreak/>
              <w:t>kombinata tal-Artikolu 128, l-ewwel subparagrafu, il-punt (6) ta’ dik id-Direttiva, ma għandhom jiġu kkunsidrati.</w:t>
            </w:r>
          </w:p>
        </w:tc>
      </w:tr>
      <w:tr w:rsidR="00FB08AF" w:rsidRPr="00FB08AF" w:rsidDel="000A3889" w14:paraId="4009374D" w14:textId="77777777" w:rsidTr="007674DE">
        <w:tc>
          <w:tcPr>
            <w:tcW w:w="1129" w:type="dxa"/>
            <w:vAlign w:val="center"/>
          </w:tcPr>
          <w:p w14:paraId="45843D1F" w14:textId="0AF81A10" w:rsidR="004B26E4" w:rsidRPr="00FB08AF" w:rsidRDefault="004B26E4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0410</w:t>
            </w:r>
          </w:p>
        </w:tc>
        <w:tc>
          <w:tcPr>
            <w:tcW w:w="7620" w:type="dxa"/>
            <w:vAlign w:val="center"/>
          </w:tcPr>
          <w:p w14:paraId="07181A26" w14:textId="13872A80" w:rsidR="004B26E4" w:rsidRPr="00FB08AF" w:rsidRDefault="004B26E4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Rekwiżit ta’ riżerva kombinat (%)</w:t>
            </w:r>
          </w:p>
          <w:p w14:paraId="287F6D1A" w14:textId="65FAE7E2" w:rsidR="004B26E4" w:rsidRPr="00FB08AF" w:rsidRDefault="004B26E4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</w:rPr>
              <w:t>L-Artikolu 128</w:t>
            </w:r>
            <w:r>
              <w:rPr>
                <w:rStyle w:val="InstructionsTabelleberschrift"/>
                <w:b w:val="0"/>
                <w:u w:val="none"/>
              </w:rPr>
              <w:t>, l-ewwel subparagrafu, il-punt (6)</w:t>
            </w:r>
            <w:r>
              <w:rPr>
                <w:rStyle w:val="FormatvorlageInstructionsTabelleText"/>
              </w:rPr>
              <w:t xml:space="preserve"> tad-</w:t>
            </w:r>
            <w:r>
              <w:t xml:space="preserve">Direttiva 2013/36/UE </w:t>
            </w:r>
          </w:p>
          <w:p w14:paraId="7D299A16" w14:textId="40FF678D" w:rsidR="004B26E4" w:rsidRPr="00FB08AF" w:rsidRDefault="004B26E4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Ir-rekwiżit ta’ riżerva kombinata għandu jiġi espress bħala perċentwal tal-ammont totali</w:t>
            </w:r>
            <w:r>
              <w:t xml:space="preserve"> 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ta’ skopertura għar-riskju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FB08AF" w:rsidRPr="00FB08AF" w:rsidDel="000A3889" w14:paraId="69621A66" w14:textId="77777777" w:rsidTr="007674DE">
        <w:tc>
          <w:tcPr>
            <w:tcW w:w="1129" w:type="dxa"/>
            <w:vAlign w:val="center"/>
          </w:tcPr>
          <w:p w14:paraId="206B49C7" w14:textId="6928727F" w:rsidR="004B26E4" w:rsidRPr="00FB08AF" w:rsidRDefault="004B26E4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0420</w:t>
            </w:r>
          </w:p>
        </w:tc>
        <w:tc>
          <w:tcPr>
            <w:tcW w:w="7620" w:type="dxa"/>
            <w:vAlign w:val="center"/>
          </w:tcPr>
          <w:p w14:paraId="06E9467D" w14:textId="77777777" w:rsidR="004B26E4" w:rsidRPr="00FB08AF" w:rsidRDefault="004B26E4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 xml:space="preserve">li minnhom: ir-rekwiżit ta’ riżerva ta’ konservazzjoni ta’ kapital </w:t>
            </w:r>
          </w:p>
          <w:p w14:paraId="4EFA0A18" w14:textId="5AE605AD" w:rsidR="004B26E4" w:rsidRPr="00FB08AF" w:rsidRDefault="004B26E4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t>L-ammont tar-riżerva kombinata speċifika għall-istituzzjoni (espress bħala perċentwal tal-</w:t>
            </w:r>
            <w:r>
              <w:rPr>
                <w:rStyle w:val="FormatvorlageInstructionsTabelleText"/>
              </w:rPr>
              <w:t>ammont totali</w:t>
            </w:r>
            <w:r>
              <w:rPr>
                <w:rStyle w:val="InstructionsTabelleberschrift"/>
                <w:b w:val="0"/>
                <w:u w:val="none"/>
              </w:rPr>
              <w:t xml:space="preserve"> tal-iskopertura għar-riskju</w:t>
            </w:r>
            <w:r>
              <w:t>) li tirrigwarda r-rekwiżit ta’ riżerva ta’ konservazzjoni tal-kapital.</w:t>
            </w:r>
          </w:p>
        </w:tc>
      </w:tr>
      <w:tr w:rsidR="00FB08AF" w:rsidRPr="00FB08AF" w:rsidDel="000A3889" w14:paraId="39E2CDFC" w14:textId="77777777" w:rsidTr="00C15B90">
        <w:tc>
          <w:tcPr>
            <w:tcW w:w="1129" w:type="dxa"/>
            <w:vAlign w:val="center"/>
          </w:tcPr>
          <w:p w14:paraId="2C44CA49" w14:textId="2C472C8B" w:rsidR="004B26E4" w:rsidRPr="00FB08AF" w:rsidRDefault="004B26E4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0430</w:t>
            </w:r>
          </w:p>
        </w:tc>
        <w:tc>
          <w:tcPr>
            <w:tcW w:w="7620" w:type="dxa"/>
          </w:tcPr>
          <w:p w14:paraId="2C432667" w14:textId="77777777" w:rsidR="004B26E4" w:rsidRPr="00FB08AF" w:rsidRDefault="004B26E4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 xml:space="preserve">li minnhom: ir-rekwiżit ta’ riżerva kontroċiklika </w:t>
            </w:r>
          </w:p>
          <w:p w14:paraId="66111F18" w14:textId="6AC08DF1" w:rsidR="004B26E4" w:rsidRPr="00FB08AF" w:rsidRDefault="004B26E4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t>L-ammont tar-riżerva kombinata speċifika għall-istituzzjoni (espress bħala perċentwal tal</w:t>
            </w:r>
            <w:r>
              <w:rPr>
                <w:rStyle w:val="FormatvorlageInstructionsTabelleText"/>
              </w:rPr>
              <w:t xml:space="preserve">-ammont totali </w:t>
            </w:r>
            <w:r>
              <w:t xml:space="preserve">tal-iskopertura għar-riskju) li tirrigwarda r-rekwiżit ta’ riżerva </w:t>
            </w:r>
            <w:r>
              <w:rPr>
                <w:rStyle w:val="InstructionsTabelleberschrift"/>
                <w:b w:val="0"/>
                <w:u w:val="none"/>
              </w:rPr>
              <w:t>kontroċiklika.</w:t>
            </w:r>
          </w:p>
        </w:tc>
      </w:tr>
      <w:tr w:rsidR="00FB08AF" w:rsidRPr="00FB08AF" w:rsidDel="000A3889" w14:paraId="59FE41E4" w14:textId="77777777" w:rsidTr="00C15B90">
        <w:tc>
          <w:tcPr>
            <w:tcW w:w="1129" w:type="dxa"/>
            <w:vAlign w:val="center"/>
          </w:tcPr>
          <w:p w14:paraId="217DA17F" w14:textId="3479E338" w:rsidR="004B26E4" w:rsidRPr="00FB08AF" w:rsidRDefault="004B26E4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0440</w:t>
            </w:r>
          </w:p>
        </w:tc>
        <w:tc>
          <w:tcPr>
            <w:tcW w:w="7620" w:type="dxa"/>
          </w:tcPr>
          <w:p w14:paraId="519E9751" w14:textId="77777777" w:rsidR="004B26E4" w:rsidRPr="00FB08AF" w:rsidRDefault="004B26E4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 xml:space="preserve">li minnhom: ir-rekwiżit tar-riżerva għar-riskju sistemiku </w:t>
            </w:r>
          </w:p>
          <w:p w14:paraId="6BA953BC" w14:textId="3A467DC0" w:rsidR="004B26E4" w:rsidRPr="00FB08AF" w:rsidRDefault="004B26E4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>
              <w:t>L-ammont tar-riżerva kombinata speċifika għall-istituzzjoni (espress bħala perċentwal t</w:t>
            </w:r>
            <w:r>
              <w:rPr>
                <w:rStyle w:val="FormatvorlageInstructionsTabelleText"/>
              </w:rPr>
              <w:t xml:space="preserve">al-ammont totali </w:t>
            </w:r>
            <w:r>
              <w:rPr>
                <w:rStyle w:val="InstructionsTabelleberschrift"/>
                <w:b w:val="0"/>
                <w:u w:val="none"/>
              </w:rPr>
              <w:t>tal-iskopertura għar-riskju</w:t>
            </w:r>
            <w:r>
              <w:t>) li tirrigwarda r-rekwiżit ta’ riżerva għar-riskju sistemiku.</w:t>
            </w:r>
          </w:p>
        </w:tc>
      </w:tr>
      <w:tr w:rsidR="00FB08AF" w:rsidRPr="00FB08AF" w:rsidDel="000A3889" w14:paraId="3DCE6243" w14:textId="77777777" w:rsidTr="00C15B90">
        <w:tc>
          <w:tcPr>
            <w:tcW w:w="1129" w:type="dxa"/>
            <w:vAlign w:val="center"/>
          </w:tcPr>
          <w:p w14:paraId="5A22262F" w14:textId="5C0B7ADC" w:rsidR="004B26E4" w:rsidRPr="00FB08AF" w:rsidRDefault="004B26E4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0450</w:t>
            </w:r>
          </w:p>
        </w:tc>
        <w:tc>
          <w:tcPr>
            <w:tcW w:w="7620" w:type="dxa"/>
          </w:tcPr>
          <w:p w14:paraId="609E7EEE" w14:textId="77777777" w:rsidR="004B26E4" w:rsidRPr="00FB08AF" w:rsidRDefault="004B26E4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Riżerva għal Istituzzjoni Globali Sistematikament Importanti (G-SII) jew Istituzzjoni Oħra Sistematikament Importanti (O-SII)</w:t>
            </w:r>
          </w:p>
          <w:p w14:paraId="6B1FCB7D" w14:textId="7282D718" w:rsidR="004B26E4" w:rsidRPr="00FB08AF" w:rsidRDefault="004B26E4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>
              <w:t>L-ammont tar-riżerva kombinata speċifika għall-istituzzjoni (espress bħala perċentwal tal-ammont totali tal-iskopertura għar-riskju) li tirrigwarda r-rekwiżit ta’ riżerva G-SII jew O-SII.</w:t>
            </w:r>
          </w:p>
        </w:tc>
      </w:tr>
      <w:tr w:rsidR="00FB08AF" w:rsidRPr="00FB08AF" w:rsidDel="000A3889" w14:paraId="30EDA47C" w14:textId="77777777" w:rsidTr="005F608F">
        <w:tc>
          <w:tcPr>
            <w:tcW w:w="1129" w:type="dxa"/>
            <w:vAlign w:val="center"/>
          </w:tcPr>
          <w:p w14:paraId="7D952F17" w14:textId="19B8B068" w:rsidR="004B26E4" w:rsidRPr="00FB08AF" w:rsidRDefault="004B26E4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0460</w:t>
            </w:r>
          </w:p>
        </w:tc>
        <w:tc>
          <w:tcPr>
            <w:tcW w:w="7620" w:type="dxa"/>
          </w:tcPr>
          <w:p w14:paraId="253143B2" w14:textId="77777777" w:rsidR="004B26E4" w:rsidRPr="00FB08AF" w:rsidRDefault="004B26E4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Investimenti f’obbligazzjonijiet eliġibbli subordinati ta’ istituzzjonijiet oħrajn</w:t>
            </w:r>
          </w:p>
          <w:p w14:paraId="5F3C8CAD" w14:textId="17332BCC" w:rsidR="004B26E4" w:rsidRPr="00FB08AF" w:rsidRDefault="004B26E4" w:rsidP="00A41ECA">
            <w:pPr>
              <w:pStyle w:val="InstructionsText"/>
            </w:pPr>
            <w:r>
              <w:t>Il-pożizzjonijiet irrapportati f’din ir-ringiela u fir-ringieli 0470 sa 0490 għandhom jiġu ddeterminati billi jitqiesu l-prinċipji stipulati fl-Artikolu 72h tar-Regolament (UE) Nru 575/2013 (pożizzjonijiet twal netti, approċċ taċ-ċar kristall).</w:t>
            </w:r>
          </w:p>
        </w:tc>
      </w:tr>
      <w:tr w:rsidR="00FB08AF" w:rsidRPr="00FB08AF" w:rsidDel="000A3889" w14:paraId="429E36A7" w14:textId="77777777" w:rsidTr="005F608F">
        <w:tc>
          <w:tcPr>
            <w:tcW w:w="1129" w:type="dxa"/>
            <w:vAlign w:val="center"/>
          </w:tcPr>
          <w:p w14:paraId="05FC840F" w14:textId="60FA98C2" w:rsidR="004B26E4" w:rsidRPr="00FB08AF" w:rsidRDefault="004B26E4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0470</w:t>
            </w:r>
          </w:p>
        </w:tc>
        <w:tc>
          <w:tcPr>
            <w:tcW w:w="7620" w:type="dxa"/>
          </w:tcPr>
          <w:p w14:paraId="642E47E4" w14:textId="20D0C8BD" w:rsidR="004B26E4" w:rsidRPr="00FB08AF" w:rsidRDefault="004B26E4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Investimenti f’obbligazzjonijiet eliġibbli subordinati ta’ G-SIIs</w:t>
            </w:r>
          </w:p>
          <w:p w14:paraId="4362DBFC" w14:textId="36173A4D" w:rsidR="004B26E4" w:rsidRPr="00FB08AF" w:rsidRDefault="004B26E4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L-ammont ta’ parteċipazzjonijiet ta’ strumenti ta’ obbligazzjonijiet eliġibbli, kif imsemmi fl-Artikolu 72b(2) tar-Regolament (UE) Nru 575/2013, bl-esklużjoni tal-istrumenti skont l-Artikolu 72b(3) sa (5) ta’ dak ir-Regolament, li jinħarġu mill-G-SIIs.</w:t>
            </w:r>
          </w:p>
        </w:tc>
      </w:tr>
      <w:tr w:rsidR="00FB08AF" w:rsidRPr="00FB08AF" w:rsidDel="000A3889" w14:paraId="7650C255" w14:textId="77777777" w:rsidTr="008E6E73">
        <w:trPr>
          <w:trHeight w:val="996"/>
        </w:trPr>
        <w:tc>
          <w:tcPr>
            <w:tcW w:w="1129" w:type="dxa"/>
            <w:vAlign w:val="center"/>
          </w:tcPr>
          <w:p w14:paraId="6A96DF1D" w14:textId="132F91C1" w:rsidR="004B26E4" w:rsidRPr="00FB08AF" w:rsidRDefault="004B26E4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0480</w:t>
            </w:r>
          </w:p>
        </w:tc>
        <w:tc>
          <w:tcPr>
            <w:tcW w:w="7620" w:type="dxa"/>
          </w:tcPr>
          <w:p w14:paraId="70DB94C0" w14:textId="33495A29" w:rsidR="004B26E4" w:rsidRPr="00FB08AF" w:rsidRDefault="004B26E4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Investimenti f’obbligazzjonijiet eliġibbli subordinati ta’ O-SIIs</w:t>
            </w:r>
          </w:p>
          <w:p w14:paraId="7CD464ED" w14:textId="141E401F" w:rsidR="004B26E4" w:rsidRPr="00FB08AF" w:rsidRDefault="004B26E4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L-ammont ta’ parteċipazzjonijiet ta’ strumenti ta’ obbligazzjonijiet eliġibbli, kif imsemmi fl-Artikolu 72b(2) </w:t>
            </w:r>
            <w:r>
              <w:t xml:space="preserve">tar-Regolament (UE) Nru 575/2013, 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li jinħarġu mill-O-SIIs.</w:t>
            </w:r>
          </w:p>
          <w:p w14:paraId="38FA530C" w14:textId="678EB475" w:rsidR="004B26E4" w:rsidRPr="00FB08AF" w:rsidRDefault="004B26E4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lastRenderedPageBreak/>
              <w:t>L-investimenti f’obbligazzjonijiet eliġibbli subordinati tal-O-SIIs li fl-istess ħin huma G-SIIs ma għandhomx jiġu rrapportati f’din ir-ringiela, iżda esklussivament fir-ringiela 0470.</w:t>
            </w:r>
          </w:p>
        </w:tc>
      </w:tr>
      <w:tr w:rsidR="00FB08AF" w:rsidRPr="00FB08AF" w:rsidDel="000A3889" w14:paraId="4DE21622" w14:textId="77777777" w:rsidTr="005F608F">
        <w:tc>
          <w:tcPr>
            <w:tcW w:w="1129" w:type="dxa"/>
            <w:vAlign w:val="center"/>
          </w:tcPr>
          <w:p w14:paraId="24857184" w14:textId="1A8E3AB8" w:rsidR="004B26E4" w:rsidRPr="00FB08AF" w:rsidRDefault="004B26E4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0490</w:t>
            </w:r>
          </w:p>
        </w:tc>
        <w:tc>
          <w:tcPr>
            <w:tcW w:w="7620" w:type="dxa"/>
          </w:tcPr>
          <w:p w14:paraId="7A6FD579" w14:textId="77777777" w:rsidR="004B26E4" w:rsidRPr="00FB08AF" w:rsidRDefault="004B26E4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Investimenti f’obbligazzjonijiet eliġibbli subordinati ta’ istituzzjonijiet oħrajn</w:t>
            </w:r>
          </w:p>
          <w:p w14:paraId="2E60AD38" w14:textId="475CCA51" w:rsidR="004B26E4" w:rsidRPr="00FB08AF" w:rsidRDefault="004B26E4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L-ammont ta’ parteċipazzjonijiet ta’ strumenti ta’ obbligazzjonijiet eliġibbli, kif imsemmi fl-Artikolu 72b(2) </w:t>
            </w:r>
            <w:r>
              <w:t>tar-Regolament (UE) Nru 575/2013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li jinħarġu minn istituzzjonijiet li la huma G-SIIs u lanqas O-SIIs.</w:t>
            </w:r>
          </w:p>
        </w:tc>
      </w:tr>
      <w:tr w:rsidR="00FB08AF" w:rsidRPr="00FB08AF" w:rsidDel="000A3889" w14:paraId="64D619AB" w14:textId="77777777" w:rsidTr="005F608F">
        <w:tc>
          <w:tcPr>
            <w:tcW w:w="1129" w:type="dxa"/>
            <w:vAlign w:val="center"/>
          </w:tcPr>
          <w:p w14:paraId="6ACE68D1" w14:textId="6650FAE0" w:rsidR="004B26E4" w:rsidRPr="00FB08AF" w:rsidRDefault="004B26E4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0500</w:t>
            </w:r>
          </w:p>
        </w:tc>
        <w:tc>
          <w:tcPr>
            <w:tcW w:w="7620" w:type="dxa"/>
          </w:tcPr>
          <w:p w14:paraId="63ABFEFC" w14:textId="77777777" w:rsidR="004B26E4" w:rsidRPr="00FB08AF" w:rsidRDefault="004B26E4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Obbligazzjonijiet esklużi</w:t>
            </w:r>
          </w:p>
          <w:p w14:paraId="0B9817CF" w14:textId="78CE829E" w:rsidR="004B26E4" w:rsidRPr="00FB08AF" w:rsidRDefault="004B26E4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L-Artikolu 72a(2)</w:t>
            </w:r>
            <w:r>
              <w:t xml:space="preserve"> tar-Regolament (UE) Nru 575/2013</w:t>
            </w:r>
          </w:p>
        </w:tc>
      </w:tr>
      <w:tr w:rsidR="00FB08AF" w:rsidRPr="00FB08AF" w:rsidDel="000A3889" w14:paraId="4A3BDA43" w14:textId="77777777" w:rsidTr="005F608F">
        <w:tc>
          <w:tcPr>
            <w:tcW w:w="1129" w:type="dxa"/>
            <w:vAlign w:val="center"/>
          </w:tcPr>
          <w:p w14:paraId="04C72904" w14:textId="141E4AA5" w:rsidR="006C3B88" w:rsidRPr="00FB08AF" w:rsidRDefault="006C3B8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0600</w:t>
            </w:r>
          </w:p>
        </w:tc>
        <w:tc>
          <w:tcPr>
            <w:tcW w:w="7620" w:type="dxa"/>
          </w:tcPr>
          <w:p w14:paraId="50A50FDB" w14:textId="14E23443" w:rsidR="006C3B88" w:rsidRPr="00FB08AF" w:rsidRDefault="006C3B88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Permessi ad hoc għal elementi ta’ obbligazzjonijiet eliġibbli: Ammont predeterminat</w:t>
            </w:r>
          </w:p>
          <w:p w14:paraId="677D3A8B" w14:textId="376DEED4" w:rsidR="00D62E86" w:rsidRPr="00FB08AF" w:rsidRDefault="000713BD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L-ammonti koperti minn permess ad hoc preċedenti biex jinxtraw, jinfdew, jitħallsu lura jew jinxtraw mill-ġdid strumenti ta’ obbligazzjonijiet eliġibbli speċifiċi f’konformità mal-Artikolu 78a(1), l-ewwel subparagrafu, tar-Regolament (UE) Nru 575/2013 flimkien mal-Artikolu 32b(2) tar-Regolament Delegat (UE) Nru 241/2014 għandhom jiġu rrapportati f’din ir-ringiela. Dan għandu jinkludi kemm l-ammonti użati kif ukoll dawk mhux użati.</w:t>
            </w:r>
          </w:p>
        </w:tc>
      </w:tr>
      <w:tr w:rsidR="00FB08AF" w:rsidRPr="00FB08AF" w:rsidDel="000A3889" w14:paraId="20D6D7BB" w14:textId="77777777" w:rsidTr="005F608F">
        <w:tc>
          <w:tcPr>
            <w:tcW w:w="1129" w:type="dxa"/>
            <w:vAlign w:val="center"/>
          </w:tcPr>
          <w:p w14:paraId="31555333" w14:textId="29A04155" w:rsidR="006C3B88" w:rsidRPr="00FB08AF" w:rsidRDefault="000713BD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0610</w:t>
            </w:r>
          </w:p>
        </w:tc>
        <w:tc>
          <w:tcPr>
            <w:tcW w:w="7620" w:type="dxa"/>
          </w:tcPr>
          <w:p w14:paraId="49FD9529" w14:textId="5D38E4B0" w:rsidR="000713BD" w:rsidRPr="00FB08AF" w:rsidRDefault="006C3B88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Permessi ġenerali minn qabel għal entrati ta’ obbligazzjonijiet eliġibbli: Ammont predeterminat</w:t>
            </w:r>
          </w:p>
          <w:p w14:paraId="31659376" w14:textId="0F700AE4" w:rsidR="007371FE" w:rsidRPr="00FB08AF" w:rsidRDefault="000713BD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L-ammonti koperti minn permess ġenerali minn qabel biex jinxtraw, jinfdew, jitħallsu lura jew jinxtraw mill-ġdid strumenti ta’ obbligazzjonijiet eliġibbli f’konformità mal-Artikolu 78a(1), it-tieni subparagrafu, tar-Regolament (UE) Nru 575/2013 flimkien mal-Artikolu 32b(3) u (5) tar-Regolament Delegat (UE) Nru 241/2014 għandhom jiġu rrapportati f’din ir-ringiela. Dan għandu jinkludi kemm l-ammonti użati kif ukoll dawk mhux użati.</w:t>
            </w:r>
          </w:p>
        </w:tc>
      </w:tr>
    </w:tbl>
    <w:p w14:paraId="56EB0CAA" w14:textId="633BECAD" w:rsidR="00A63011" w:rsidRPr="00FB08AF" w:rsidRDefault="00A63011"/>
    <w:p w14:paraId="155D68FA" w14:textId="13C73186" w:rsidR="00482729" w:rsidRPr="00FB08AF" w:rsidRDefault="00482729" w:rsidP="00873459">
      <w:pPr>
        <w:pStyle w:val="Numberedtilelevel1"/>
        <w:numPr>
          <w:ilvl w:val="1"/>
          <w:numId w:val="30"/>
        </w:numPr>
      </w:pPr>
      <w:bookmarkStart w:id="45" w:name="_Toc45558486"/>
      <w:r>
        <w:t>M 03.00 – MREL Intern u TLAC Interna (ILAC)</w:t>
      </w:r>
      <w:bookmarkEnd w:id="45"/>
    </w:p>
    <w:p w14:paraId="3B90FFA9" w14:textId="51811D4F" w:rsidR="00482729" w:rsidRPr="00FB08AF" w:rsidRDefault="00482729" w:rsidP="00873459">
      <w:pPr>
        <w:pStyle w:val="Numberedtilelevel1"/>
        <w:numPr>
          <w:ilvl w:val="2"/>
          <w:numId w:val="30"/>
        </w:numPr>
      </w:pPr>
      <w:bookmarkStart w:id="46" w:name="_Toc16868638"/>
      <w:bookmarkStart w:id="47" w:name="_Toc20316751"/>
      <w:bookmarkStart w:id="48" w:name="_Toc45558487"/>
      <w:r>
        <w:t>Kummenti ġenerali</w:t>
      </w:r>
      <w:bookmarkEnd w:id="46"/>
      <w:bookmarkEnd w:id="47"/>
      <w:bookmarkEnd w:id="48"/>
    </w:p>
    <w:p w14:paraId="1C147C02" w14:textId="6DCE8FA1" w:rsidR="00B94302" w:rsidRPr="00FB08AF" w:rsidRDefault="000466F4" w:rsidP="00A41ECA">
      <w:pPr>
        <w:pStyle w:val="InstructionsText2"/>
      </w:pPr>
      <w:r>
        <w:t xml:space="preserve">Il-mudell M 03.00 jippreżenta l-fondi proprji u l-obbligazzjonijiet eliġibbli għall-finijiet ta’ </w:t>
      </w:r>
    </w:p>
    <w:p w14:paraId="12678ACA" w14:textId="5474E36B" w:rsidR="00B94302" w:rsidRPr="00FB08AF" w:rsidRDefault="00B94302" w:rsidP="00A41ECA">
      <w:pPr>
        <w:pStyle w:val="InstructionsText2"/>
        <w:numPr>
          <w:ilvl w:val="1"/>
          <w:numId w:val="15"/>
        </w:numPr>
      </w:pPr>
      <w:r>
        <w:t xml:space="preserve">ir-rekwiżit għal fondi proprji u obbligazzjonijiet eliġibbli ta’ entitajiet li huma stess mhumiex entitajiet ta’ riżoluzzjoni skont l-Artikolu 45f tad-Direttiva 2014/59/UE (MREL intern); kif ukoll </w:t>
      </w:r>
    </w:p>
    <w:p w14:paraId="39FE2B42" w14:textId="23457429" w:rsidR="000466F4" w:rsidRPr="00FB08AF" w:rsidRDefault="00B94302" w:rsidP="00A41ECA">
      <w:pPr>
        <w:pStyle w:val="InstructionsText2"/>
        <w:numPr>
          <w:ilvl w:val="1"/>
          <w:numId w:val="15"/>
        </w:numPr>
      </w:pPr>
      <w:r>
        <w:t>ir-rekwiżit għal fondi proprji u obbligazzjonijiet eliġibbli għal G-SIIs mhux tal-UE applikabbli għal sussidjarji materjali ta’ G-SIIs ta’ pajjiżi terzi skont l-Artikolu 92b tar-Regolament (UE) Nru 575/2013 (TLAC interna).</w:t>
      </w:r>
    </w:p>
    <w:p w14:paraId="30A80998" w14:textId="585E986E" w:rsidR="00095D0D" w:rsidRPr="00FB08AF" w:rsidRDefault="00095D0D" w:rsidP="00A41ECA">
      <w:pPr>
        <w:pStyle w:val="InstructionsText2"/>
      </w:pPr>
      <w:r>
        <w:lastRenderedPageBreak/>
        <w:t>Il-kolonna li tirreferi għall-MREL intern għandha timtela minn entitajiet li huma soġġetti għar-rekwiżit minimu għall-fondi proprji u l-obbligazzjonijiet eliġibbli f’konformità mal-Artikoli 45 u 45f tad-Direttiva 2014/59/UE. Huma biss dawk l-entitajiet obbligati li jikkonformaw mar-rekwiżit stipulat fl-Artikolu 92b tar-Regolament (UE) Nru 575/2013 li għandhom jirrapportaw l-entrati li jirreferu għar-rekwiżit tal-G-SII għall-fondi proprji u l-obbligazzjonijiet eliġibbli (TLAC).</w:t>
      </w:r>
    </w:p>
    <w:p w14:paraId="36894AC7" w14:textId="0E1DF87A" w:rsidR="00482729" w:rsidRPr="00FB08AF" w:rsidRDefault="00482729" w:rsidP="00873459">
      <w:pPr>
        <w:pStyle w:val="Numberedtilelevel1"/>
        <w:numPr>
          <w:ilvl w:val="2"/>
          <w:numId w:val="30"/>
        </w:numPr>
      </w:pPr>
      <w:bookmarkStart w:id="49" w:name="_Toc45558488"/>
      <w:bookmarkStart w:id="50" w:name="_Toc18593305"/>
      <w:bookmarkStart w:id="51" w:name="_Toc16868639"/>
      <w:bookmarkStart w:id="52" w:name="_Toc20316752"/>
      <w:bookmarkStart w:id="53" w:name="_Toc45558489"/>
      <w:bookmarkEnd w:id="49"/>
      <w:bookmarkEnd w:id="50"/>
      <w:r>
        <w:t>Struzzjonijiet dwar pożizzjonijiet speċifiċi</w:t>
      </w:r>
      <w:bookmarkEnd w:id="51"/>
      <w:bookmarkEnd w:id="52"/>
      <w:bookmarkEnd w:id="53"/>
    </w:p>
    <w:tbl>
      <w:tblPr>
        <w:tblW w:w="8749" w:type="dxa"/>
        <w:tblInd w:w="539" w:type="dxa"/>
        <w:tblLayout w:type="fixed"/>
        <w:tblLook w:val="00A0" w:firstRow="1" w:lastRow="0" w:firstColumn="1" w:lastColumn="0" w:noHBand="0" w:noVBand="0"/>
      </w:tblPr>
      <w:tblGrid>
        <w:gridCol w:w="1129"/>
        <w:gridCol w:w="7620"/>
      </w:tblGrid>
      <w:tr w:rsidR="00FB08AF" w:rsidRPr="00FB08AF" w14:paraId="62525A48" w14:textId="77777777" w:rsidTr="0097501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A80631" w14:textId="77777777" w:rsidR="00D94B63" w:rsidRPr="00FB08AF" w:rsidRDefault="00D94B63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Kolonni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0267BB" w14:textId="77777777" w:rsidR="00D94B63" w:rsidRPr="00FB08AF" w:rsidRDefault="00D94B63" w:rsidP="00A41ECA">
            <w:pPr>
              <w:pStyle w:val="InstructionsText"/>
            </w:pPr>
            <w:r>
              <w:t>Referenzi u struzzjonijiet legali</w:t>
            </w:r>
          </w:p>
        </w:tc>
      </w:tr>
      <w:tr w:rsidR="00FB08AF" w:rsidRPr="00FB08AF" w14:paraId="296729BB" w14:textId="77777777" w:rsidTr="0097501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64D6" w14:textId="07D5BA6C" w:rsidR="001B51A1" w:rsidRPr="00FB08AF" w:rsidRDefault="001B51A1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0010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26B3" w14:textId="49E67982" w:rsidR="001B51A1" w:rsidRPr="00FB08AF" w:rsidRDefault="001B51A1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MREL intern</w:t>
            </w:r>
          </w:p>
          <w:p w14:paraId="201A3B71" w14:textId="00D90FED" w:rsidR="001B51A1" w:rsidRPr="00FB08AF" w:rsidRDefault="001B51A1" w:rsidP="00A41ECA">
            <w:pPr>
              <w:pStyle w:val="InstructionsText"/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L-Artikoli 45 u 45f </w:t>
            </w:r>
            <w:r>
              <w:t>tad-Direttiva 2014/59/UE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.</w:t>
            </w:r>
          </w:p>
        </w:tc>
      </w:tr>
      <w:tr w:rsidR="001B51A1" w:rsidRPr="00FB08AF" w14:paraId="45E2D445" w14:textId="77777777" w:rsidTr="0097501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48B5" w14:textId="706D15B3" w:rsidR="001B51A1" w:rsidRPr="00FB08AF" w:rsidRDefault="001B51A1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0020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2706" w14:textId="75D40260" w:rsidR="001B51A1" w:rsidRPr="00FB08AF" w:rsidRDefault="005B3F5D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TLAC interna</w:t>
            </w:r>
          </w:p>
          <w:p w14:paraId="4CED47A8" w14:textId="3FFFF330" w:rsidR="001B51A1" w:rsidRPr="00FB08AF" w:rsidRDefault="001B51A1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L-Artikolu 92b tar-Regolament (UE) Nru 575/2013.</w:t>
            </w:r>
          </w:p>
        </w:tc>
      </w:tr>
    </w:tbl>
    <w:p w14:paraId="6B5C3257" w14:textId="77777777" w:rsidR="00D94B63" w:rsidRPr="00FB08AF" w:rsidRDefault="00D94B63" w:rsidP="00C814BF"/>
    <w:tbl>
      <w:tblPr>
        <w:tblW w:w="8754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0"/>
        <w:gridCol w:w="7624"/>
      </w:tblGrid>
      <w:tr w:rsidR="00FB08AF" w:rsidRPr="00FB08AF" w14:paraId="4C57F7FD" w14:textId="77777777" w:rsidTr="003D419A">
        <w:tc>
          <w:tcPr>
            <w:tcW w:w="1130" w:type="dxa"/>
            <w:shd w:val="clear" w:color="auto" w:fill="D9D9D9"/>
          </w:tcPr>
          <w:p w14:paraId="04790BF0" w14:textId="77777777" w:rsidR="00482729" w:rsidRPr="00FB08AF" w:rsidRDefault="00482729" w:rsidP="00A41ECA">
            <w:pPr>
              <w:pStyle w:val="InstructionsText"/>
              <w:rPr>
                <w:rStyle w:val="InstructionsTabelleText"/>
                <w:rFonts w:ascii="Times New Roman" w:hAnsi="Times New Roman"/>
                <w:bCs/>
                <w:sz w:val="24"/>
              </w:rPr>
            </w:pPr>
            <w:r>
              <w:rPr>
                <w:rStyle w:val="InstructionsTabelleText"/>
                <w:rFonts w:ascii="Times New Roman" w:hAnsi="Times New Roman"/>
                <w:sz w:val="24"/>
              </w:rPr>
              <w:t>Ringiela</w:t>
            </w:r>
          </w:p>
        </w:tc>
        <w:tc>
          <w:tcPr>
            <w:tcW w:w="7624" w:type="dxa"/>
            <w:shd w:val="clear" w:color="auto" w:fill="D9D9D9"/>
          </w:tcPr>
          <w:p w14:paraId="32CBB7D3" w14:textId="77777777" w:rsidR="00482729" w:rsidRPr="00FB08AF" w:rsidRDefault="00482729" w:rsidP="00A41ECA">
            <w:pPr>
              <w:pStyle w:val="InstructionsText"/>
              <w:rPr>
                <w:rStyle w:val="InstructionsTabelleText"/>
                <w:rFonts w:ascii="Times New Roman" w:eastAsia="Arial" w:hAnsi="Times New Roman"/>
                <w:bCs/>
                <w:sz w:val="24"/>
              </w:rPr>
            </w:pPr>
            <w:r>
              <w:rPr>
                <w:rStyle w:val="InstructionsTabelleText"/>
                <w:rFonts w:ascii="Times New Roman" w:hAnsi="Times New Roman"/>
                <w:sz w:val="24"/>
              </w:rPr>
              <w:t>Referenzi u struzzjonijiet legali</w:t>
            </w:r>
          </w:p>
        </w:tc>
      </w:tr>
      <w:tr w:rsidR="00FB08AF" w:rsidRPr="00FB08AF" w14:paraId="41AF0D4A" w14:textId="77777777" w:rsidTr="003D419A">
        <w:tc>
          <w:tcPr>
            <w:tcW w:w="1130" w:type="dxa"/>
          </w:tcPr>
          <w:p w14:paraId="1DB3C03E" w14:textId="7AE25700" w:rsidR="00482729" w:rsidRPr="00FB08AF" w:rsidRDefault="0048272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0010</w:t>
            </w:r>
          </w:p>
        </w:tc>
        <w:tc>
          <w:tcPr>
            <w:tcW w:w="7624" w:type="dxa"/>
          </w:tcPr>
          <w:p w14:paraId="13E2D408" w14:textId="6AAA9F68" w:rsidR="00482729" w:rsidRPr="00FB08AF" w:rsidRDefault="00B827DB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Livell ta' applikazzjoni</w:t>
            </w:r>
          </w:p>
          <w:p w14:paraId="7FECF1A5" w14:textId="60A40903" w:rsidR="00482729" w:rsidRPr="00FB08AF" w:rsidRDefault="00482729" w:rsidP="00482729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Jekk l-entità tkun soġġetta għall-MREL intern u, fejn applikabbli, TLAC interna, fuq bażi individwali, hija għandha tindika “individwali”.</w:t>
            </w:r>
          </w:p>
          <w:p w14:paraId="3FFF56BB" w14:textId="1F40B525" w:rsidR="00482729" w:rsidRPr="00FB08AF" w:rsidRDefault="0048272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Jekk l-entità tkun soġġetta għall-MREL intern u, fejn applikabbli, TLAC interna, fuq bażi konsolidata, hija għandha tindika “konsolidata”.</w:t>
            </w:r>
          </w:p>
        </w:tc>
      </w:tr>
      <w:tr w:rsidR="00FB08AF" w:rsidRPr="00FB08AF" w14:paraId="6A7893EE" w14:textId="77777777" w:rsidTr="003D419A">
        <w:tc>
          <w:tcPr>
            <w:tcW w:w="1130" w:type="dxa"/>
          </w:tcPr>
          <w:p w14:paraId="739DA30D" w14:textId="77777777" w:rsidR="00482729" w:rsidRPr="00FB08AF" w:rsidRDefault="0048272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0100-0110</w:t>
            </w:r>
          </w:p>
        </w:tc>
        <w:tc>
          <w:tcPr>
            <w:tcW w:w="7624" w:type="dxa"/>
          </w:tcPr>
          <w:p w14:paraId="01851B65" w14:textId="77777777" w:rsidR="00482729" w:rsidRPr="00FB08AF" w:rsidRDefault="0048272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L-ammont totali tal-iskopertura għar-riskju u l-kejl tal-iskopertura totali</w:t>
            </w:r>
          </w:p>
        </w:tc>
      </w:tr>
      <w:tr w:rsidR="00FB08AF" w:rsidRPr="00FB08AF" w14:paraId="4DBB3E48" w14:textId="77777777" w:rsidTr="003D419A">
        <w:tc>
          <w:tcPr>
            <w:tcW w:w="1130" w:type="dxa"/>
          </w:tcPr>
          <w:p w14:paraId="2ED0120A" w14:textId="77777777" w:rsidR="00482729" w:rsidRPr="00FB08AF" w:rsidRDefault="0048272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0100</w:t>
            </w:r>
          </w:p>
        </w:tc>
        <w:tc>
          <w:tcPr>
            <w:tcW w:w="7624" w:type="dxa"/>
          </w:tcPr>
          <w:p w14:paraId="7F50E33E" w14:textId="141734F5" w:rsidR="00482729" w:rsidRPr="00FB08AF" w:rsidRDefault="00482729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L-ammont totali tal-iskopertura għar-riskju (TREA)</w:t>
            </w:r>
          </w:p>
          <w:p w14:paraId="4199D149" w14:textId="400A985D" w:rsidR="00482729" w:rsidRPr="00FB08AF" w:rsidRDefault="00EB663A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L-Artikolu 45(2), il-punt (a), tad-</w:t>
            </w:r>
            <w:r>
              <w:t>Direttiva 2014/59/UE,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l-Artikolu 92(3) tar-Regolament (UE) Nru 575/2013.</w:t>
            </w:r>
          </w:p>
          <w:p w14:paraId="5D2ACB04" w14:textId="718410E8" w:rsidR="00EB663A" w:rsidRPr="00FB08AF" w:rsidRDefault="00EB663A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 totali tal-iskopertura għar-riskju rrapportat f’din ir-ringiela għandu jkun l-ammont totali tal-iskopertura għar-riskju li huwa l-bażi għall-konformità mar-rekwiżiti stabbiliti fl-Artikolu 45</w:t>
            </w:r>
            <w:r>
              <w:t xml:space="preserve"> tad-Direttiva 2014/59/UE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jew tal-Artikolu 92b tar-Regolament (UE) Nru 575/2013, rispettivament kif applikabbli.</w:t>
            </w:r>
          </w:p>
        </w:tc>
      </w:tr>
      <w:tr w:rsidR="00FB08AF" w:rsidRPr="00FB08AF" w14:paraId="02CB25F9" w14:textId="77777777" w:rsidTr="003D419A">
        <w:tc>
          <w:tcPr>
            <w:tcW w:w="1130" w:type="dxa"/>
          </w:tcPr>
          <w:p w14:paraId="2351243A" w14:textId="77777777" w:rsidR="00482729" w:rsidRPr="00FB08AF" w:rsidRDefault="0048272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0110</w:t>
            </w:r>
          </w:p>
        </w:tc>
        <w:tc>
          <w:tcPr>
            <w:tcW w:w="7624" w:type="dxa"/>
          </w:tcPr>
          <w:p w14:paraId="7AE79743" w14:textId="7017BA08" w:rsidR="00482729" w:rsidRPr="00FB08AF" w:rsidRDefault="00482729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Kejl tal-iskopertura totali (TEM)</w:t>
            </w:r>
          </w:p>
          <w:p w14:paraId="2E2DFC02" w14:textId="22295559" w:rsidR="00482729" w:rsidRPr="00FB08AF" w:rsidRDefault="00EB663A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L-Artikolu 45(2), il-punt (b), tad-</w:t>
            </w:r>
            <w:r>
              <w:t xml:space="preserve">Direttiva 2014/59/UE,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l-Artikolu 429(4) u l-Artikolu 429a tar-Regolament (UE) Nru 575/2013.</w:t>
            </w:r>
          </w:p>
          <w:p w14:paraId="21A2EF83" w14:textId="26BBECE8" w:rsidR="00EB663A" w:rsidRPr="00FB08AF" w:rsidRDefault="00EB663A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Il-kejl tal-iskopertura totali rrapportat f’din ir-ringiela għandu jkun il-kejl tal-iskopertura totali, li huwa l-bażi għall-konformità mar-rekwiżiti stabbiliti fl-Artikolu 45</w:t>
            </w:r>
            <w:r>
              <w:t xml:space="preserve"> tad-Direttiva 2014/59/UE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jew l-Artikolu 92b tar-Regolament (UE) Nru 575/2013, rispettivament kif applikabbli.</w:t>
            </w:r>
          </w:p>
        </w:tc>
      </w:tr>
      <w:tr w:rsidR="00FB08AF" w:rsidRPr="00FB08AF" w14:paraId="4F1A3591" w14:textId="77777777" w:rsidTr="003D419A">
        <w:tc>
          <w:tcPr>
            <w:tcW w:w="1130" w:type="dxa"/>
          </w:tcPr>
          <w:p w14:paraId="785AFE92" w14:textId="127C5541" w:rsidR="005F18D0" w:rsidRPr="00FB08AF" w:rsidRDefault="005F18D0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0200 - 0295</w:t>
            </w:r>
          </w:p>
        </w:tc>
        <w:tc>
          <w:tcPr>
            <w:tcW w:w="7624" w:type="dxa"/>
          </w:tcPr>
          <w:p w14:paraId="55E50C6B" w14:textId="10895EF1" w:rsidR="005F18D0" w:rsidRPr="00FB08AF" w:rsidRDefault="005F18D0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Fondi proprji eliġibbli u obbligazzjonijiet eliġibbli</w:t>
            </w:r>
          </w:p>
        </w:tc>
      </w:tr>
      <w:tr w:rsidR="00FB08AF" w:rsidRPr="00FB08AF" w14:paraId="34A1EF6D" w14:textId="77777777" w:rsidTr="003D419A">
        <w:tc>
          <w:tcPr>
            <w:tcW w:w="1130" w:type="dxa"/>
          </w:tcPr>
          <w:p w14:paraId="5ACE189C" w14:textId="3066F1ED" w:rsidR="005F18D0" w:rsidRPr="00FB08AF" w:rsidRDefault="005F18D0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0200</w:t>
            </w:r>
          </w:p>
        </w:tc>
        <w:tc>
          <w:tcPr>
            <w:tcW w:w="7624" w:type="dxa"/>
          </w:tcPr>
          <w:p w14:paraId="5C1CA237" w14:textId="3B324586" w:rsidR="005F18D0" w:rsidRPr="00FB08AF" w:rsidRDefault="005F18D0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Fondi proprji eliġibbli u obbligazzjonijiet eliġibbli</w:t>
            </w:r>
          </w:p>
          <w:p w14:paraId="534DA971" w14:textId="4929E71C" w:rsidR="003E7AB6" w:rsidRPr="00FB08AF" w:rsidRDefault="003E7AB6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 intern</w:t>
            </w:r>
          </w:p>
          <w:p w14:paraId="3311F538" w14:textId="46DF5157" w:rsidR="003E7AB6" w:rsidRPr="00A41ECA" w:rsidRDefault="005F18D0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 w:rsidRPr="00A41ECA">
              <w:rPr>
                <w:rStyle w:val="FormatvorlageInstructionsTabelleText"/>
                <w:rFonts w:ascii="Times New Roman" w:hAnsi="Times New Roman"/>
                <w:sz w:val="24"/>
              </w:rPr>
              <w:t xml:space="preserve">Is-somma tal-fondi proprji eliġibbli, l-obbligazzjonijiet eliġibbli u l-garanziji permessi li jgħoddu għall-MREL intern f’konformità </w:t>
            </w:r>
            <w:r w:rsidRPr="00A41ECA">
              <w:t>mal-</w:t>
            </w:r>
            <w:r w:rsidRPr="00A41ECA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Artikolu 45f(2) </w:t>
            </w:r>
            <w:r w:rsidRPr="00A41ECA">
              <w:t>tad-Direttiva 2014/59/UE</w:t>
            </w:r>
            <w:r w:rsidRPr="00A41ECA"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, billi jitqies ukoll, fejn applikabbli, ir-raba’ subparagrafu tal-Artikolu 89(2) ta’ dik id-Direttiva.</w:t>
            </w:r>
          </w:p>
          <w:p w14:paraId="1E457A5C" w14:textId="00404F53" w:rsidR="00184B3F" w:rsidRPr="00FB08AF" w:rsidRDefault="00184B3F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Fil-każ ta’ strumenti rregolati mil-liġi ta’ pajjiż terz, l-istrument għandu jiġi inkluż biss f’din ir-ringiela jekk jissodisfa r-rekwiżiti stipulati fl-Artikolu 55</w:t>
            </w:r>
            <w:r>
              <w:t xml:space="preserve"> tad-Direttiva 2014/59/UE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.</w:t>
            </w:r>
          </w:p>
          <w:p w14:paraId="186388A3" w14:textId="45C059C2" w:rsidR="009237BC" w:rsidRPr="00FB08AF" w:rsidRDefault="009237BC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L-ammont irrapportat f’din ir-ringiela għandu jkun l-ammont wara li jsir it-tnaqqis</w:t>
            </w:r>
            <w:r>
              <w:t xml:space="preserve"> 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f’konformità mal-Artikolu 72e(5) tar-Regolament (UE) Nru 575/2013.</w:t>
            </w:r>
          </w:p>
          <w:p w14:paraId="6BB8F2AA" w14:textId="196F3E1F" w:rsidR="003E7AB6" w:rsidRPr="00FB08AF" w:rsidRDefault="003E7AB6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t>TLAC interna</w:t>
            </w:r>
          </w:p>
          <w:p w14:paraId="2F92FA88" w14:textId="7F40432F" w:rsidR="007056F7" w:rsidRPr="00FB08AF" w:rsidRDefault="003E7AB6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Il-fondi proprji eliġibbli u 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l-obbligazzjonijiet eliġibbli permessi li jgħoddu għat-TLAC interna f’konformità mal-Artikolu 92b(2) u (3) tar-Regolament (UE) Nru 575/2013. L-ammont irrapportat f’din ir-ringiela għandu jkun l-ammont wara li jsir it-tnaqqis f’konformità mal-Artikolu 72e(5) tar-Regolament (UE) Nru 575/2013.</w:t>
            </w:r>
          </w:p>
        </w:tc>
      </w:tr>
      <w:tr w:rsidR="00FB08AF" w:rsidRPr="00FB08AF" w14:paraId="52695ECE" w14:textId="77777777" w:rsidTr="003D419A">
        <w:tc>
          <w:tcPr>
            <w:tcW w:w="1130" w:type="dxa"/>
          </w:tcPr>
          <w:p w14:paraId="00EDFF0E" w14:textId="0467C223" w:rsidR="005F18D0" w:rsidRPr="00FB08AF" w:rsidRDefault="005F18D0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0210</w:t>
            </w:r>
          </w:p>
        </w:tc>
        <w:tc>
          <w:tcPr>
            <w:tcW w:w="7624" w:type="dxa"/>
          </w:tcPr>
          <w:p w14:paraId="64674845" w14:textId="77777777" w:rsidR="005F18D0" w:rsidRPr="00FB08AF" w:rsidRDefault="005F18D0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Fondi proprji eliġibbli</w:t>
            </w:r>
          </w:p>
          <w:p w14:paraId="5A61F12E" w14:textId="3EC25C34" w:rsidR="005F18D0" w:rsidRPr="00FB08AF" w:rsidRDefault="005F18D0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Is-somma tal-kapital CET1, il-kapital tal-Grad 1 addizzjonali eliġibbli u l-kapital tal-Grad 2 eliġibbli</w:t>
            </w:r>
          </w:p>
          <w:p w14:paraId="367CC087" w14:textId="44CFF9D0" w:rsidR="00E661B2" w:rsidRPr="00FB08AF" w:rsidRDefault="00DD50DC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Fil-każ tal-MREL intern, l-istrumenti msemmija fir-raba’ subparagrafu tal-Artikolu 89(2) tad-Direttiva</w:t>
            </w:r>
            <w:r>
              <w:t xml:space="preserve"> 2014/59/UE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għandhom jiġu inklużi f’din ir-ringiela u fir-ringieli 0230 u 0240, fejn japplika dak il-paragrafu. </w:t>
            </w:r>
          </w:p>
          <w:p w14:paraId="455E6C31" w14:textId="79AF7F1E" w:rsidR="00184B3F" w:rsidRPr="00FB08AF" w:rsidRDefault="00DD50DC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L-istrumenti rregolati mil-liġi ta’ pajjiż terz għandhom jiġu inklużi biss f’din ir-ringiela u fir-ringieli 0230 u 0240 jekk jissodisfaw ir-rekwiżiti stabbiliti l-Artikolu 55 ta’ dik id-Direttiva.</w:t>
            </w:r>
            <w:r>
              <w:rPr>
                <w:rStyle w:val="FormatvorlageInstructionsTabelleText"/>
                <w:rFonts w:ascii="Times New Roman" w:hAnsi="Times New Roman"/>
                <w:sz w:val="24"/>
                <w:u w:val="single"/>
              </w:rPr>
              <w:t xml:space="preserve"> </w:t>
            </w:r>
          </w:p>
        </w:tc>
      </w:tr>
      <w:tr w:rsidR="00FB08AF" w:rsidRPr="00FB08AF" w14:paraId="1239298E" w14:textId="77777777" w:rsidTr="003D419A">
        <w:tc>
          <w:tcPr>
            <w:tcW w:w="1130" w:type="dxa"/>
          </w:tcPr>
          <w:p w14:paraId="2F66E352" w14:textId="67069279" w:rsidR="005F18D0" w:rsidRPr="00FB08AF" w:rsidRDefault="005F18D0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0220</w:t>
            </w:r>
          </w:p>
        </w:tc>
        <w:tc>
          <w:tcPr>
            <w:tcW w:w="7624" w:type="dxa"/>
          </w:tcPr>
          <w:p w14:paraId="192B9C81" w14:textId="77777777" w:rsidR="005F18D0" w:rsidRPr="00FB08AF" w:rsidRDefault="005F18D0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Kapital tal-Grad 1 ta’ Ekwità Komuni (CET1)</w:t>
            </w:r>
          </w:p>
          <w:p w14:paraId="391FC0ED" w14:textId="2504BD1E" w:rsidR="005F18D0" w:rsidRPr="00FB08AF" w:rsidRDefault="005F18D0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L-Artikolu 50 tar-Regolament (UE) Nru 575/2013.</w:t>
            </w:r>
          </w:p>
        </w:tc>
      </w:tr>
      <w:tr w:rsidR="00FB08AF" w:rsidRPr="00FB08AF" w14:paraId="2EFA4CA0" w14:textId="77777777" w:rsidTr="003D419A">
        <w:tc>
          <w:tcPr>
            <w:tcW w:w="1130" w:type="dxa"/>
          </w:tcPr>
          <w:p w14:paraId="35FBDDD1" w14:textId="32E85087" w:rsidR="005F18D0" w:rsidRPr="00FB08AF" w:rsidRDefault="005F18D0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0230</w:t>
            </w:r>
          </w:p>
        </w:tc>
        <w:tc>
          <w:tcPr>
            <w:tcW w:w="7624" w:type="dxa"/>
          </w:tcPr>
          <w:p w14:paraId="1A795B5E" w14:textId="41D7EB09" w:rsidR="005F18D0" w:rsidRPr="00FB08AF" w:rsidRDefault="005F18D0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Kapital tal-Grad 1 Addizzjonali Eliġibbli</w:t>
            </w:r>
          </w:p>
          <w:p w14:paraId="3CB2E0B8" w14:textId="4021DC45" w:rsidR="005F18D0" w:rsidRPr="00FB08AF" w:rsidRDefault="005F18D0" w:rsidP="00437CF3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L-Artikolu 61 tar-Regolament (UE) Nru 575/2013</w:t>
            </w:r>
          </w:p>
          <w:p w14:paraId="704BD2D0" w14:textId="77777777" w:rsidR="003E7AB6" w:rsidRPr="00FB08AF" w:rsidRDefault="003E7AB6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 intern</w:t>
            </w:r>
          </w:p>
          <w:p w14:paraId="3563B5D5" w14:textId="54EAB442" w:rsidR="005F18D0" w:rsidRPr="00FB08AF" w:rsidRDefault="003E7AB6" w:rsidP="00437CF3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L-istrumenti għandhom jiġu kkunsidrati biss meta jissodisfaw il-kriterji msemmija fl-Artikolu 45f(2), fil-punt (b)(ii), tad-Direttiva 2014/59/UE. </w:t>
            </w:r>
          </w:p>
          <w:p w14:paraId="4F571476" w14:textId="60A65E40" w:rsidR="003E7AB6" w:rsidRPr="00FB08AF" w:rsidRDefault="003E7AB6" w:rsidP="00437CF3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t>TLAC interna</w:t>
            </w:r>
          </w:p>
          <w:p w14:paraId="4D436EB1" w14:textId="46C00EC9" w:rsidR="005F18D0" w:rsidRPr="00FB08AF" w:rsidRDefault="003E7AB6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L-istrumenti għandhom jiġu kkunsidrati biss meta jissodisfaw il-kriterji stipulati fl-Artikolu 92b(2) tar-Regolament (UE) Nru 575/2013.</w:t>
            </w:r>
          </w:p>
        </w:tc>
      </w:tr>
      <w:tr w:rsidR="00FB08AF" w:rsidRPr="00FB08AF" w14:paraId="09AB5E26" w14:textId="77777777" w:rsidTr="003D419A">
        <w:tc>
          <w:tcPr>
            <w:tcW w:w="1130" w:type="dxa"/>
          </w:tcPr>
          <w:p w14:paraId="535A652C" w14:textId="1871B789" w:rsidR="005F18D0" w:rsidRPr="00FB08AF" w:rsidRDefault="005F18D0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0240</w:t>
            </w:r>
          </w:p>
        </w:tc>
        <w:tc>
          <w:tcPr>
            <w:tcW w:w="7624" w:type="dxa"/>
          </w:tcPr>
          <w:p w14:paraId="4DE83B06" w14:textId="575598CE" w:rsidR="005F18D0" w:rsidRPr="00FB08AF" w:rsidRDefault="005F18D0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Kapital tal-Grad 2 Eliġibbli</w:t>
            </w:r>
          </w:p>
          <w:p w14:paraId="612D408D" w14:textId="42DD45B8" w:rsidR="005F18D0" w:rsidRPr="00FB08AF" w:rsidRDefault="005F18D0" w:rsidP="00437CF3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L-Artikolu 71 tar-Regolament (UE) Nru 575/2013</w:t>
            </w:r>
          </w:p>
          <w:p w14:paraId="6229C6AA" w14:textId="15A67666" w:rsidR="003E7AB6" w:rsidRPr="00FB08AF" w:rsidRDefault="003E7AB6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 intern</w:t>
            </w:r>
          </w:p>
          <w:p w14:paraId="2012463A" w14:textId="6FDCD1EA" w:rsidR="005F18D0" w:rsidRPr="00FB08AF" w:rsidRDefault="003E7AB6" w:rsidP="00437CF3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L-istrumenti għandhom jiġu kkunsidrati biss meta jissodisfaw il-kriterji stabbiliti fl-Artikolu 45f(2), fil-punt (b)(ii), tad-Direttiva 2014/59/UE.</w:t>
            </w:r>
          </w:p>
          <w:p w14:paraId="15C285E6" w14:textId="7A34A784" w:rsidR="003E7AB6" w:rsidRPr="00FB08AF" w:rsidRDefault="003E7AB6" w:rsidP="00437CF3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t>TLAC interna</w:t>
            </w:r>
          </w:p>
          <w:p w14:paraId="781CF336" w14:textId="79259FEC" w:rsidR="005F18D0" w:rsidRPr="00FB08AF" w:rsidRDefault="003E7AB6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L-istrumenti għandhom jiġu kkunsidrati biss meta jissodisfaw il-kriterji stipulati fl-Artikolu 92b(2)</w:t>
            </w:r>
            <w:r>
              <w:t xml:space="preserve"> tar-Regolament (UE) Nru 575/2013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FB08AF" w:rsidRPr="00FB08AF" w14:paraId="64DE2EC8" w14:textId="77777777" w:rsidTr="003D419A">
        <w:tc>
          <w:tcPr>
            <w:tcW w:w="1130" w:type="dxa"/>
          </w:tcPr>
          <w:p w14:paraId="710A49FF" w14:textId="327170DE" w:rsidR="005F18D0" w:rsidRPr="00FB08AF" w:rsidRDefault="00BE557E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0250</w:t>
            </w:r>
          </w:p>
        </w:tc>
        <w:tc>
          <w:tcPr>
            <w:tcW w:w="7624" w:type="dxa"/>
          </w:tcPr>
          <w:p w14:paraId="32C5AF2D" w14:textId="5E936CC4" w:rsidR="00767EA2" w:rsidRPr="00FB08AF" w:rsidRDefault="005F18D0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Obbligazzjonijiet u garanziji eliġibbli</w:t>
            </w:r>
          </w:p>
        </w:tc>
      </w:tr>
      <w:tr w:rsidR="00FB08AF" w:rsidRPr="00FB08AF" w14:paraId="048DBBF5" w14:textId="77777777" w:rsidTr="003D419A">
        <w:tc>
          <w:tcPr>
            <w:tcW w:w="1130" w:type="dxa"/>
          </w:tcPr>
          <w:p w14:paraId="3AB59BE7" w14:textId="615DE75D" w:rsidR="005F18D0" w:rsidRPr="00FB08AF" w:rsidRDefault="005F18D0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0260</w:t>
            </w:r>
          </w:p>
        </w:tc>
        <w:tc>
          <w:tcPr>
            <w:tcW w:w="7624" w:type="dxa"/>
          </w:tcPr>
          <w:p w14:paraId="642AC050" w14:textId="53D28D4F" w:rsidR="005F18D0" w:rsidRPr="00FB08AF" w:rsidRDefault="005F18D0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Obbligazzjonijiet eliġibbli (esklużi l-garanziji)</w:t>
            </w:r>
          </w:p>
          <w:p w14:paraId="7FFDA680" w14:textId="5DD968F5" w:rsidR="003E7AB6" w:rsidRPr="00FB08AF" w:rsidRDefault="003E7AB6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i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i/>
                <w:sz w:val="24"/>
              </w:rPr>
              <w:t>MREL intern</w:t>
            </w:r>
          </w:p>
          <w:p w14:paraId="5366075E" w14:textId="664E3FEA" w:rsidR="00184B3F" w:rsidRPr="00FB08AF" w:rsidRDefault="003E7AB6" w:rsidP="00437CF3">
            <w:pP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L-obbligazzjonijiet eliġibbli li jissodisfaw il-kundizzjonijiet stabbiliti fid-Direttiva 2014/59/UE, l-Artikolu 45f(2), il-punt (a)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, billi jitqies ukoll, fejn applikabbli, l-Artikolu 89(2), ir-raba’ subparagrafu ta’ dik id-Direttiva.</w:t>
            </w:r>
          </w:p>
          <w:p w14:paraId="57209D45" w14:textId="62F6F123" w:rsidR="005F18D0" w:rsidRPr="00FB08AF" w:rsidRDefault="00184B3F" w:rsidP="00437CF3">
            <w:pP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Fil-każ ta’ strumenti rregolati mil-liġi ta’ pajjiż terz, l-istrument għandu jiġi inkluż biss f’din ir-ringiela jekk jissodisfa r-rekwiżiti stipulati fl-Artikolu 55 tad-Direttiva 2014/59/UE.</w:t>
            </w:r>
          </w:p>
          <w:p w14:paraId="6243972D" w14:textId="5B30D454" w:rsidR="00A827D8" w:rsidRPr="00FB08AF" w:rsidRDefault="00A827D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L-ammonti rrapportati għandhom ikunu ammonti qabel ma jitnaqqsu l-ammonti ta’ permessi minn qabel mhux użati, sal-punt li l-permess ikopri l-istrumenti tal-obbligazzjonijiet eliġibbli.</w:t>
            </w:r>
          </w:p>
          <w:p w14:paraId="7FC16AEF" w14:textId="6593B239" w:rsidR="003E7AB6" w:rsidRPr="00FB08AF" w:rsidRDefault="003E7AB6" w:rsidP="00437CF3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i/>
                <w:sz w:val="24"/>
                <w:u w:val="none"/>
              </w:rPr>
              <w:t>TLAC interna</w:t>
            </w:r>
          </w:p>
          <w:p w14:paraId="510BD17E" w14:textId="77777777" w:rsidR="00BA24B5" w:rsidRPr="00FB08AF" w:rsidRDefault="00443BEC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 ta’ obbligazzjonijiet eliġibbli għandu jiġi kkalkolat f’konformità mal-Artikolu 72k tar-Regolament (UE) Nru 575/2013 fejn dawk l-obbligazzjonijiet jissodisfaw il-kundizzjonijiet stabbiliti fl-Artikolu 92b(3) ta’ dak ir-Regolament.</w:t>
            </w:r>
          </w:p>
          <w:p w14:paraId="193E429A" w14:textId="0E9CFD32" w:rsidR="00A827D8" w:rsidRPr="00FB08AF" w:rsidRDefault="00A827D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L-ammonti rrapportati għandhom ikunu ammonti qabel ma </w:t>
            </w:r>
            <w:r w:rsidR="00A22E31">
              <w:rPr>
                <w:rStyle w:val="FormatvorlageInstructionsTabelleText"/>
                <w:rFonts w:ascii="Times New Roman" w:hAnsi="Times New Roman"/>
                <w:sz w:val="24"/>
              </w:rPr>
              <w:t>jitnaqqsu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l-ammonti ta’ permessi minn qabel mhux użati, sal-punt li l-permess ikopri l-istrumenti tal-obbligazzjonijiet eliġibbli.</w:t>
            </w:r>
          </w:p>
        </w:tc>
      </w:tr>
      <w:tr w:rsidR="00FB08AF" w:rsidRPr="00FB08AF" w14:paraId="2C6CB8FF" w14:textId="77777777" w:rsidTr="003D419A">
        <w:tc>
          <w:tcPr>
            <w:tcW w:w="1130" w:type="dxa"/>
          </w:tcPr>
          <w:p w14:paraId="7DB1A4FA" w14:textId="349A2C07" w:rsidR="003909BE" w:rsidRPr="00FB08AF" w:rsidRDefault="003909BE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0265</w:t>
            </w:r>
          </w:p>
        </w:tc>
        <w:tc>
          <w:tcPr>
            <w:tcW w:w="7624" w:type="dxa"/>
          </w:tcPr>
          <w:p w14:paraId="0D718B54" w14:textId="77777777" w:rsidR="003909BE" w:rsidRPr="00FB08AF" w:rsidRDefault="003909BE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(-) Strumenti ta’ obbligazzjonijiet eliġibbli proprji: Ammonti ta’ permessi minn qabel mhux użati</w:t>
            </w:r>
          </w:p>
          <w:p w14:paraId="7D07C761" w14:textId="3DF9A7B6" w:rsidR="003909BE" w:rsidRPr="00FB08AF" w:rsidRDefault="002526C4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L-ammonti li ġejjin għandhom jiġu rrapportati f’din ir-ringiela:</w:t>
            </w:r>
          </w:p>
          <w:p w14:paraId="5C2A74CE" w14:textId="368DB298" w:rsidR="003909BE" w:rsidRPr="00FB08AF" w:rsidRDefault="007F3B25" w:rsidP="003909BE">
            <w:pPr>
              <w:pStyle w:val="ListParagraph"/>
              <w:numPr>
                <w:ilvl w:val="0"/>
                <w:numId w:val="53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ammonti ta’ permessi ad hoc minn qabel mhux użati, sal-punt li l-permess ikopri l-istrumenti tal-obbligazzjonijiet eliġibbli;</w:t>
            </w:r>
          </w:p>
          <w:p w14:paraId="5E9090A7" w14:textId="750933C1" w:rsidR="003909BE" w:rsidRPr="00FB08AF" w:rsidRDefault="007F3B25" w:rsidP="003909BE">
            <w:pPr>
              <w:pStyle w:val="ListParagraph"/>
              <w:numPr>
                <w:ilvl w:val="0"/>
                <w:numId w:val="53"/>
              </w:numPr>
              <w:rPr>
                <w:rStyle w:val="FormatvorlageInstructionsTabelleText"/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ammonti ta’ GPP mhux użati, sal-punt li l-permess ikopri l-istrumenti tal-obbligazzjonijiet eliġibbli.</w:t>
            </w:r>
          </w:p>
          <w:p w14:paraId="231309D3" w14:textId="20CB3C85" w:rsidR="00D62E86" w:rsidRPr="00FB08AF" w:rsidRDefault="00D62E86" w:rsidP="00971906">
            <w:pPr>
              <w:rPr>
                <w:rStyle w:val="InstructionsTabelleberschrift"/>
                <w:rFonts w:ascii="Times New Roman" w:hAnsi="Times New Roman"/>
                <w:sz w:val="24"/>
              </w:rPr>
            </w:pPr>
          </w:p>
        </w:tc>
      </w:tr>
      <w:tr w:rsidR="00FB08AF" w:rsidRPr="00FB08AF" w14:paraId="008441F0" w14:textId="77777777" w:rsidTr="003D419A">
        <w:tc>
          <w:tcPr>
            <w:tcW w:w="1130" w:type="dxa"/>
          </w:tcPr>
          <w:p w14:paraId="4C704759" w14:textId="3507A2B2" w:rsidR="005F18D0" w:rsidRPr="00FB08AF" w:rsidRDefault="005F18D0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0270</w:t>
            </w:r>
          </w:p>
        </w:tc>
        <w:tc>
          <w:tcPr>
            <w:tcW w:w="7624" w:type="dxa"/>
          </w:tcPr>
          <w:p w14:paraId="0A6DF4A8" w14:textId="56570D04" w:rsidR="005F18D0" w:rsidRPr="00FB08AF" w:rsidRDefault="005F18D0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Garanziji pprovduti mill-entità ta’ riżoluzzjoni u permessi mill-awtorità ta’ riżoluzzjoni</w:t>
            </w:r>
          </w:p>
          <w:p w14:paraId="374F83E9" w14:textId="0086AE55" w:rsidR="00B253EA" w:rsidRPr="00FB08AF" w:rsidRDefault="00BA3D22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Meta l-awtorità ta’ riżoluzzjoni tas-sussidjarja tippermetti lill-entità li tirrapporta tissodisfa r-rekwiżit tal-MREL intern bil-garanziji, għandu jiġi rrapportat l-ammont ta’ garanziji li huma pprovduti mill-entità ta’ riżoluzzjoni u li jissodisfaw il-kundizzjonijiet kollha stabbiliti fl</w:t>
            </w:r>
            <w:r>
              <w:t>-Artikolu 45f(5) tad-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Direttiva 2014/59/UE.</w:t>
            </w:r>
          </w:p>
        </w:tc>
      </w:tr>
      <w:tr w:rsidR="00FB08AF" w:rsidRPr="00FB08AF" w14:paraId="64B2DBBF" w14:textId="77777777" w:rsidTr="003D419A">
        <w:tc>
          <w:tcPr>
            <w:tcW w:w="1130" w:type="dxa"/>
          </w:tcPr>
          <w:p w14:paraId="30EE14F3" w14:textId="68466EFD" w:rsidR="00585408" w:rsidRPr="00FB08AF" w:rsidRDefault="0058540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0280</w:t>
            </w:r>
          </w:p>
        </w:tc>
        <w:tc>
          <w:tcPr>
            <w:tcW w:w="7624" w:type="dxa"/>
          </w:tcPr>
          <w:p w14:paraId="5CE64777" w14:textId="77777777" w:rsidR="00585408" w:rsidRPr="00FB08AF" w:rsidRDefault="00585408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Entrata ta’ memorandum: Parti kollateralizzata tal-garanzija</w:t>
            </w:r>
          </w:p>
          <w:p w14:paraId="38A673BD" w14:textId="7D135857" w:rsidR="00585408" w:rsidRPr="00FB08AF" w:rsidRDefault="00585408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Il-parti tal-garanzija rrapportata fir-ringiela 0270 li hija kollateralizzata permezz ta’ arranġament kollaterali finanzjarju kif imsemmi fl-Artikolu 45f(5), il-punt (c),</w:t>
            </w:r>
            <w:r>
              <w:t xml:space="preserve"> tad-Direttiva 2014/59/UE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FB08AF" w:rsidRPr="00FB08AF" w14:paraId="212DD81A" w14:textId="77777777" w:rsidTr="003D419A">
        <w:tc>
          <w:tcPr>
            <w:tcW w:w="1130" w:type="dxa"/>
          </w:tcPr>
          <w:p w14:paraId="1CAAC26F" w14:textId="5E899B7F" w:rsidR="00585408" w:rsidRPr="00FB08AF" w:rsidRDefault="0058540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0290</w:t>
            </w:r>
          </w:p>
        </w:tc>
        <w:tc>
          <w:tcPr>
            <w:tcW w:w="7624" w:type="dxa"/>
          </w:tcPr>
          <w:p w14:paraId="303D6E75" w14:textId="71A9DBC7" w:rsidR="00585408" w:rsidRPr="00FB08AF" w:rsidRDefault="00585408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(-) Strumenti ta’ fondi proprji u strumenti ta’ obbligazzjonijiet eliġibbli maħruġa minn entitajiet mhux ta’ riżoluzzjoni tal-istess grupp ta’ riżoluzzjoni</w:t>
            </w:r>
          </w:p>
          <w:p w14:paraId="61784284" w14:textId="5986961E" w:rsidR="00CA5793" w:rsidRPr="00FB08AF" w:rsidRDefault="00CA5793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Parteċipazzjonijiet ta’ strumenti ta’ fondi proprji u strumenti ta’ obbligazzjonijiet eliġibbli li għandhom jitnaqqsu f’konformità mal-Artikolu 72e(5) tar-Regolament (UE) Nru 575/2013 u l-Artikolu 45c (2a), il-ħames subparagrafu, tad-Direttiva 2014/59/UE għandhom jiġu rrapportati f’din ir-ringiela.</w:t>
            </w:r>
          </w:p>
          <w:p w14:paraId="5DF1D2B8" w14:textId="03C99A20" w:rsidR="0051480C" w:rsidRPr="00FB08AF" w:rsidRDefault="001C1DDA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Għall-kalkolu tat-tnaqqis skont l-Artikolu 45c (2a) tad-Direttiva 2014/59/UE, għandu jintuża l-proporzjon irrapportat fir-ringiela 0630.</w:t>
            </w:r>
          </w:p>
        </w:tc>
      </w:tr>
      <w:tr w:rsidR="00FB08AF" w:rsidRPr="00FB08AF" w14:paraId="60615C31" w14:textId="77777777" w:rsidTr="004464A7">
        <w:tc>
          <w:tcPr>
            <w:tcW w:w="1130" w:type="dxa"/>
          </w:tcPr>
          <w:p w14:paraId="2CA35B53" w14:textId="1022F240" w:rsidR="004912BF" w:rsidRPr="00FB08AF" w:rsidRDefault="004912BF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trike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0293</w:t>
            </w:r>
          </w:p>
        </w:tc>
        <w:tc>
          <w:tcPr>
            <w:tcW w:w="7624" w:type="dxa"/>
          </w:tcPr>
          <w:p w14:paraId="11F35912" w14:textId="6640C3B7" w:rsidR="004912BF" w:rsidRPr="00FB08AF" w:rsidRDefault="004912BF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(-) li minnu: Strumenti ta’ fondi proprji maħruġa minn entitajiet ta’ likwidazzjoni</w:t>
            </w:r>
          </w:p>
          <w:p w14:paraId="383BADED" w14:textId="317127AA" w:rsidR="004912BF" w:rsidRPr="00FB08AF" w:rsidRDefault="004912BF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Għandhom jiġu rrapportati investimenti fl-istrumenti ta’ fondi proprji maħruġa minn entitajiet ta’ likwidazzjoni tal-istess grupp ta’ riżoluzzjoni, li għalihom l-awtorità ta’ riżoluzzjoni ma ddeterminatx rekwiżit minimu għal fondi proprji u obbligazzjonijiet eliġibbli f’konformità mal-Artikolu 45 tad-Direttiva 2014/59/UE, li għandhom jitnaqqsu f’konformità mal-Artikolu 45c (2a), il-ħames subparagrafu, tad-Direttiva 2014/59/UE.</w:t>
            </w:r>
          </w:p>
          <w:p w14:paraId="3FACB9D1" w14:textId="4C3C03F6" w:rsidR="00D825FB" w:rsidRPr="00FB08AF" w:rsidRDefault="00D825FB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Għall-kalkolu tat-tnaqqis skont l-Artikolu 45c (2a) tad-Direttiva 2014/59/UE, għandu jintuża l-proporzjon irrapportat fir-ringiela 0630.</w:t>
            </w:r>
          </w:p>
        </w:tc>
      </w:tr>
      <w:tr w:rsidR="00FB08AF" w:rsidRPr="00FB08AF" w14:paraId="57E1CA1A" w14:textId="77777777" w:rsidTr="003D419A">
        <w:tc>
          <w:tcPr>
            <w:tcW w:w="1130" w:type="dxa"/>
          </w:tcPr>
          <w:p w14:paraId="60241F09" w14:textId="0B97E6C7" w:rsidR="00EB22CD" w:rsidRPr="00FB08AF" w:rsidRDefault="00EB22CD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0295</w:t>
            </w:r>
          </w:p>
        </w:tc>
        <w:tc>
          <w:tcPr>
            <w:tcW w:w="7624" w:type="dxa"/>
          </w:tcPr>
          <w:p w14:paraId="5E70B663" w14:textId="77777777" w:rsidR="002952FA" w:rsidRPr="00FB08AF" w:rsidRDefault="002952FA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Eċċess tat-tnaqqis mill-obbligazzjonijiet eliġibbli fuq l-obbligazzjonijiet eliġibbli</w:t>
            </w:r>
          </w:p>
          <w:p w14:paraId="2511E64F" w14:textId="5D0B7587" w:rsidR="002952FA" w:rsidRPr="00FB08AF" w:rsidRDefault="002952FA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L-obbligazzjonijiet eliġibbli ma jistgħux ikunu negattivi, iżda huwa possibbli li l-ammont tat-tnaqqis mill-entrati ta’ obbligazzjonijiet eliġibbli jkun akbar mill-entrati ta’ obbligazzjonijiet eliġibbli. Meta jiġri dan, l-obbligazzjonijiet eliġibbli jridu jkunu ugwali għal żero, u l-eċċess tat-tnaqqis għandu jitnaqqas mill-Grad 2 f’konformità mal-Artikolu 66, il-punt(e),</w:t>
            </w:r>
            <w:r>
              <w:t xml:space="preserve"> tar-Regolament (UE) Nru 575/2013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  <w:p w14:paraId="64C79667" w14:textId="29EA8140" w:rsidR="00EB22CD" w:rsidRPr="00FB08AF" w:rsidRDefault="002952FA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B’din l-entrata, jirriżulta li l-obbligazzjonijiet eliġibbli kif irrapportati fir-ringiela 0251 qatt ma jkunu inqas minn żero.</w:t>
            </w:r>
          </w:p>
        </w:tc>
      </w:tr>
      <w:tr w:rsidR="00FB08AF" w:rsidRPr="00FB08AF" w14:paraId="4C6B668C" w14:textId="77777777" w:rsidTr="003D419A">
        <w:tc>
          <w:tcPr>
            <w:tcW w:w="1130" w:type="dxa"/>
          </w:tcPr>
          <w:p w14:paraId="1443EEEE" w14:textId="56213E28" w:rsidR="00BE557E" w:rsidRPr="00FB08AF" w:rsidRDefault="00443BEC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0400-0440</w:t>
            </w:r>
          </w:p>
        </w:tc>
        <w:tc>
          <w:tcPr>
            <w:tcW w:w="7624" w:type="dxa"/>
          </w:tcPr>
          <w:p w14:paraId="0D31D956" w14:textId="68870AD9" w:rsidR="00BE557E" w:rsidRPr="00FB08AF" w:rsidRDefault="00BE557E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Il-proporzjonijiet ta’ fondi proprji eliġibbli u obbligazzjonijiet eliġibbli</w:t>
            </w:r>
          </w:p>
        </w:tc>
      </w:tr>
      <w:tr w:rsidR="00FB08AF" w:rsidRPr="00FB08AF" w14:paraId="45BCEF11" w14:textId="77777777" w:rsidTr="003D419A">
        <w:tc>
          <w:tcPr>
            <w:tcW w:w="1130" w:type="dxa"/>
          </w:tcPr>
          <w:p w14:paraId="48372301" w14:textId="2ABACA7C" w:rsidR="00CC432E" w:rsidRPr="00FB08AF" w:rsidRDefault="00443BEC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0400</w:t>
            </w:r>
          </w:p>
        </w:tc>
        <w:tc>
          <w:tcPr>
            <w:tcW w:w="7624" w:type="dxa"/>
          </w:tcPr>
          <w:p w14:paraId="54F4D6AB" w14:textId="3BCDF32E" w:rsidR="00CC432E" w:rsidRPr="00FB08AF" w:rsidRDefault="00CC432E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Fondi proprji u obbligazzjonijiet eliġibbli bħala perċentwal tat-TREA</w:t>
            </w:r>
          </w:p>
          <w:p w14:paraId="638A2511" w14:textId="34438C98" w:rsidR="00CC432E" w:rsidRPr="00FB08AF" w:rsidRDefault="00CC432E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L-ammonti ta’ fondi proprji eliġibbli, obbligazzjonijiet eliġibbli u garanziji permessi tal-entità li tirrapporta li jgħoddu, rispettivament, għall-MREL intern u għat-TLAC interna, espressi bħala perċentwal tal-ammont totali tal-iskopertura għar-riskju kkalkolat f’konformità mal-Artikolu 92(3)</w:t>
            </w:r>
            <w:r>
              <w:t xml:space="preserve">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tar-Regolament (UE) Nru 575/2013.</w:t>
            </w:r>
          </w:p>
        </w:tc>
      </w:tr>
      <w:tr w:rsidR="00FB08AF" w:rsidRPr="00FB08AF" w14:paraId="4FA4FC47" w14:textId="77777777" w:rsidTr="003D419A">
        <w:tc>
          <w:tcPr>
            <w:tcW w:w="1130" w:type="dxa"/>
          </w:tcPr>
          <w:p w14:paraId="72742DBD" w14:textId="0C90E56F" w:rsidR="00CC432E" w:rsidRPr="00FB08AF" w:rsidRDefault="00443BEC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0410</w:t>
            </w:r>
          </w:p>
        </w:tc>
        <w:tc>
          <w:tcPr>
            <w:tcW w:w="7624" w:type="dxa"/>
          </w:tcPr>
          <w:p w14:paraId="76B8F18F" w14:textId="34485D4A" w:rsidR="00CC432E" w:rsidRPr="00FB08AF" w:rsidRDefault="00CC432E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garanziji permessi</w:t>
            </w:r>
          </w:p>
          <w:p w14:paraId="6E0BA424" w14:textId="75A3DA62" w:rsidR="00CC432E" w:rsidRPr="00FB08AF" w:rsidRDefault="00CC432E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L-ammont ta’ fondi proprji eliġibbli, obbligazzjonijiet eliġibbli u garanziji permessi tal-entità li tirrapporta li huma garanziji pprovduti mill-entità ta’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riżoluzzjoni u li huma rikonoxxuti mill-awtorità ta’ riżoluzzjoni f’konformità mal-Artikolu 45f(5)</w:t>
            </w:r>
            <w:r>
              <w:t xml:space="preserve"> tad-Direttiva 2014/59/UE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, li jgħodd għall-MREL intern, espress bħala perċentwal tal-ammont totali tal-iskopertura għar-riskju kkalkolat f’konformità mal-Artikolu 92(3)</w:t>
            </w:r>
            <w:r>
              <w:t xml:space="preserve"> tar-Regolament (UE) Nru 575/2013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FB08AF" w:rsidRPr="00FB08AF" w14:paraId="111C9D43" w14:textId="77777777" w:rsidTr="003D419A">
        <w:tc>
          <w:tcPr>
            <w:tcW w:w="1130" w:type="dxa"/>
          </w:tcPr>
          <w:p w14:paraId="467C6978" w14:textId="2DBE9902" w:rsidR="00CC432E" w:rsidRPr="00FB08AF" w:rsidRDefault="00443BEC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0420</w:t>
            </w:r>
          </w:p>
        </w:tc>
        <w:tc>
          <w:tcPr>
            <w:tcW w:w="7624" w:type="dxa"/>
          </w:tcPr>
          <w:p w14:paraId="58A4D821" w14:textId="66F6ECF9" w:rsidR="00CC432E" w:rsidRPr="00FB08AF" w:rsidRDefault="00CC432E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Fondi proprji u obbligazzjonijiet eliġibbli bħala perċentwal tat-TEM</w:t>
            </w:r>
          </w:p>
          <w:p w14:paraId="2DE6FA49" w14:textId="1BA8B4E8" w:rsidR="00CC432E" w:rsidRPr="00FB08AF" w:rsidRDefault="00CC432E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L-ammonti ta’ fondi proprji eliġibbli u obbligazzjonijiet eliġibbli tal-entità li tirrapporta li jgħodd, rispettivament, għall-MREL intern u għat-TLAC interna, espressi bħala perċentwal tal-kejl totali tal-iskopertura kkalkolat f’konformità mal-Artikolu 429(4) u l-Artikolu 429a ta’ dak ir-Regolament.</w:t>
            </w:r>
          </w:p>
        </w:tc>
      </w:tr>
      <w:tr w:rsidR="00FB08AF" w:rsidRPr="00FB08AF" w14:paraId="44A3123C" w14:textId="77777777" w:rsidTr="003D419A">
        <w:tc>
          <w:tcPr>
            <w:tcW w:w="1130" w:type="dxa"/>
          </w:tcPr>
          <w:p w14:paraId="11C9C58C" w14:textId="3E187751" w:rsidR="00CC432E" w:rsidRPr="00FB08AF" w:rsidRDefault="00443BEC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0430</w:t>
            </w:r>
          </w:p>
        </w:tc>
        <w:tc>
          <w:tcPr>
            <w:tcW w:w="7624" w:type="dxa"/>
          </w:tcPr>
          <w:p w14:paraId="58EA40B5" w14:textId="34FD1BA0" w:rsidR="00CC432E" w:rsidRPr="00FB08AF" w:rsidRDefault="00CC432E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garanziji permessi</w:t>
            </w:r>
          </w:p>
          <w:p w14:paraId="5D4BEBD4" w14:textId="3230DB3C" w:rsidR="00CC432E" w:rsidRPr="00FB08AF" w:rsidRDefault="00CC432E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 ta’ fondi proprji eliġibbli u obbligazzjonijiet eliġibbli tal-entità li tirrapporta li huma garanziji pprovduti mill-entità ta’ riżoluzzjoni u li huma rikonoxxuti mill-awtorità ta’ riżoluzzjoni f’konformità mal-Artikolu 45f(5)</w:t>
            </w:r>
            <w:r>
              <w:t xml:space="preserve"> tad-Direttiva 2014/59/UE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, li jgħodd għall-MREL intern, espress bħala perċentwal tal-kejl tal-iskopertura totali kkalkolat f’konformità mal-Artikolu 429(4) u l-Artikolu 429a</w:t>
            </w:r>
            <w:r>
              <w:t xml:space="preserve"> tar-Regolament (UE) Nru 575/2013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FB08AF" w:rsidRPr="00FB08AF" w14:paraId="69D5BE89" w14:textId="77777777" w:rsidTr="003D419A">
        <w:tc>
          <w:tcPr>
            <w:tcW w:w="1130" w:type="dxa"/>
          </w:tcPr>
          <w:p w14:paraId="15398885" w14:textId="4BA644A1" w:rsidR="00CC432E" w:rsidRPr="00FB08AF" w:rsidRDefault="00443BEC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0440</w:t>
            </w:r>
          </w:p>
        </w:tc>
        <w:tc>
          <w:tcPr>
            <w:tcW w:w="7624" w:type="dxa"/>
          </w:tcPr>
          <w:p w14:paraId="7658B11D" w14:textId="05E4D2E9" w:rsidR="00A612E2" w:rsidRPr="00FB08AF" w:rsidRDefault="00CC432E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CET1 (%) disponibbli wara li jiġu ssodisfati r-rekwiżiti tal-entità</w:t>
            </w:r>
          </w:p>
          <w:p w14:paraId="58C29D7C" w14:textId="1757540E" w:rsidR="008561CE" w:rsidRPr="00FB08AF" w:rsidRDefault="008561CE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 ta’ CET1, ugwali għal żero jew pożittiv, disponibbli wara li jiġu ssodisfati kull wieħed mir-rekwiżiti msemmija fl-Artikolu 141a(1), il-punti (a), (b) u (c)</w:t>
            </w:r>
            <w:r>
              <w:t xml:space="preserve"> tad-Direttiva 2013/36/UE u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l-ogħla minn:</w:t>
            </w:r>
          </w:p>
          <w:p w14:paraId="57381FCD" w14:textId="1EA0E4F9" w:rsidR="008561CE" w:rsidRPr="00FB08AF" w:rsidRDefault="008561CE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(a) fejn applikabbli, ir-rekwiżit tat-TLAC interna skont l-Artikolu 92b</w:t>
            </w:r>
            <w:r>
              <w:t xml:space="preserve"> tar-Regolament (UE) Nru 575/2013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, meta kkalkolat f’konformità mal-Artikolu 92b(1) ta’ dak ir-Regolament bħala 90 % tar-rekwiżiti tal-Artikolu 92a(1), il-punt (a) ta’ dak ir-Regolament;</w:t>
            </w:r>
          </w:p>
          <w:p w14:paraId="1F28DC82" w14:textId="1D7CE280" w:rsidR="008561CE" w:rsidRPr="00FB08AF" w:rsidRDefault="008561CE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(b) ir-rekwiżit tal-MREL intern skont l-Artikolu 45f </w:t>
            </w:r>
            <w:r>
              <w:t>tad-Direttiva 2014/59/UE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, meta kkalkolat f’konformità mal-Artikolu 45(2), il-punt (a) ta’ dik id-Direttiva.</w:t>
            </w:r>
          </w:p>
          <w:p w14:paraId="39B4A403" w14:textId="7A71894C" w:rsidR="00B012C5" w:rsidRPr="00FB08AF" w:rsidRDefault="00B012C5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Is-CET1 disponibbli għandu jiġi espress f’perċentwal tal-ammont totali tal-iskopertura għar-riskju kif irrapportat fir-ringiela 0100.</w:t>
            </w:r>
          </w:p>
          <w:p w14:paraId="64F956E6" w14:textId="77777777" w:rsidR="00B012C5" w:rsidRPr="00FB08AF" w:rsidRDefault="008561CE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Iċ-ċifra rrapportata għandha tkun identika kemm fil-kolonni tal-MREL intern kif ukoll f’dawk tat-TLAC interna. </w:t>
            </w:r>
          </w:p>
          <w:p w14:paraId="5B370C0A" w14:textId="715557DB" w:rsidR="00CC432E" w:rsidRPr="00FB08AF" w:rsidRDefault="008561CE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Din għandha tqis l-effett tad-dispożizzjonijiet tranżitorji fuq il-fondi proprji u l-obbligazzjonijiet eliġibbli, l-ammont totali tal-iskopertura għar-riskju u r-rekwiżiti nfushom. La l-gwida dwar il-fondi proprji addizzjonali msemmija fl-Artikolu 104b</w:t>
            </w:r>
            <w:r>
              <w:t xml:space="preserve"> tad-Direttiva 2013/36/UE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u lanqas ir-rekwiżit ta’ riżerva kombinata tal-Artikolu 128, l-ewwel subparagrafu, il-punt (6) ta’ dik id-Direttiva, ma għandhom jiġu kkunsidrati.</w:t>
            </w:r>
          </w:p>
        </w:tc>
      </w:tr>
      <w:tr w:rsidR="00FB08AF" w:rsidRPr="00FB08AF" w14:paraId="5B18A184" w14:textId="77777777" w:rsidTr="003D419A">
        <w:tc>
          <w:tcPr>
            <w:tcW w:w="1130" w:type="dxa"/>
          </w:tcPr>
          <w:p w14:paraId="283EF212" w14:textId="449188CE" w:rsidR="00CC432E" w:rsidRPr="00FB08AF" w:rsidRDefault="00443BEC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0500 - 0550</w:t>
            </w:r>
          </w:p>
        </w:tc>
        <w:tc>
          <w:tcPr>
            <w:tcW w:w="7624" w:type="dxa"/>
          </w:tcPr>
          <w:p w14:paraId="11D95EDB" w14:textId="1E3A12BE" w:rsidR="00CC432E" w:rsidRPr="00FB08AF" w:rsidRDefault="007C3317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Entrati fil-memorandum</w:t>
            </w:r>
          </w:p>
        </w:tc>
      </w:tr>
      <w:tr w:rsidR="00FB08AF" w:rsidRPr="00FB08AF" w14:paraId="0F211788" w14:textId="77777777" w:rsidTr="003D419A">
        <w:tc>
          <w:tcPr>
            <w:tcW w:w="1130" w:type="dxa"/>
          </w:tcPr>
          <w:p w14:paraId="57743B4C" w14:textId="1E81FE0B" w:rsidR="00437CF3" w:rsidRPr="00FB08AF" w:rsidDel="00437CF3" w:rsidRDefault="00443BEC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0500</w:t>
            </w:r>
          </w:p>
        </w:tc>
        <w:tc>
          <w:tcPr>
            <w:tcW w:w="7624" w:type="dxa"/>
          </w:tcPr>
          <w:p w14:paraId="3AECC7AA" w14:textId="24E34A7D" w:rsidR="00437CF3" w:rsidRPr="00FB08AF" w:rsidRDefault="00437CF3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Rekwiżit ta’ riżerva kombinat (%)</w:t>
            </w:r>
          </w:p>
          <w:p w14:paraId="6C2996F7" w14:textId="721860D8" w:rsidR="00437CF3" w:rsidRPr="00FB08AF" w:rsidRDefault="00437CF3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</w:rPr>
              <w:t>L-Artikolu 128</w:t>
            </w:r>
            <w:r>
              <w:rPr>
                <w:rStyle w:val="InstructionsTabelleberschrift"/>
                <w:b w:val="0"/>
                <w:u w:val="none"/>
              </w:rPr>
              <w:t>, l-ewwel subparagrafu, il-punt (6)</w:t>
            </w:r>
            <w:r>
              <w:rPr>
                <w:rStyle w:val="FormatvorlageInstructionsTabelleText"/>
              </w:rPr>
              <w:t xml:space="preserve"> tad-</w:t>
            </w:r>
            <w:r>
              <w:t xml:space="preserve">Direttiva 2013/36/UE </w:t>
            </w:r>
          </w:p>
          <w:p w14:paraId="2113C95F" w14:textId="74DBE512" w:rsidR="00437CF3" w:rsidRPr="00FB08AF" w:rsidRDefault="00437CF3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Ir-rekwiżit ta’ riżerva kombinata għandu jiġi espress bħala perċentwal tal-ammont totali ta’ skopertura għar-riskju.</w:t>
            </w:r>
          </w:p>
        </w:tc>
      </w:tr>
      <w:tr w:rsidR="00FB08AF" w:rsidRPr="00FB08AF" w:rsidDel="000A3889" w14:paraId="09231B65" w14:textId="77777777" w:rsidTr="003D419A">
        <w:tc>
          <w:tcPr>
            <w:tcW w:w="1130" w:type="dxa"/>
            <w:vAlign w:val="center"/>
          </w:tcPr>
          <w:p w14:paraId="3A18AE1F" w14:textId="1174A4A5" w:rsidR="008C1E88" w:rsidRPr="00FB08AF" w:rsidRDefault="00443BEC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0510</w:t>
            </w:r>
          </w:p>
        </w:tc>
        <w:tc>
          <w:tcPr>
            <w:tcW w:w="7624" w:type="dxa"/>
            <w:vAlign w:val="center"/>
          </w:tcPr>
          <w:p w14:paraId="5FDCA6A3" w14:textId="77777777" w:rsidR="008C1E88" w:rsidRPr="00FB08AF" w:rsidRDefault="008C1E88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 xml:space="preserve">li minnhom: ir-rekwiżit ta’ riżerva ta’ konservazzjoni ta’ kapital </w:t>
            </w:r>
          </w:p>
          <w:p w14:paraId="2EF1B114" w14:textId="1AE53AED" w:rsidR="008C1E88" w:rsidRPr="00FB08AF" w:rsidRDefault="008C1E88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t xml:space="preserve">L-ammont tar-riżerva kombinata speċifika għall-istituzzjoni (espress bħala perċentwal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tal-ammont totali tal-iskopertura għar-riskju</w:t>
            </w:r>
            <w:r>
              <w:t>) li tirrigwarda r-rekwiżit ta’ riżerva ta’ konservazzjoni tal-kapital.</w:t>
            </w:r>
          </w:p>
        </w:tc>
      </w:tr>
      <w:tr w:rsidR="00FB08AF" w:rsidRPr="00FB08AF" w:rsidDel="000A3889" w14:paraId="5F62F9F9" w14:textId="77777777" w:rsidTr="003D419A">
        <w:tc>
          <w:tcPr>
            <w:tcW w:w="1130" w:type="dxa"/>
            <w:vAlign w:val="center"/>
          </w:tcPr>
          <w:p w14:paraId="22DE9DFA" w14:textId="352D04CB" w:rsidR="008C1E88" w:rsidRPr="00FB08AF" w:rsidRDefault="00443BEC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0520</w:t>
            </w:r>
          </w:p>
        </w:tc>
        <w:tc>
          <w:tcPr>
            <w:tcW w:w="7624" w:type="dxa"/>
          </w:tcPr>
          <w:p w14:paraId="515F40B5" w14:textId="77777777" w:rsidR="008C1E88" w:rsidRPr="00FB08AF" w:rsidRDefault="008C1E88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 xml:space="preserve">li minnhom: ir-rekwiżit ta’ riżerva kontroċiklika </w:t>
            </w:r>
          </w:p>
          <w:p w14:paraId="4E424522" w14:textId="1A5077C0" w:rsidR="008C1E88" w:rsidRPr="00FB08AF" w:rsidRDefault="008C1E88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t xml:space="preserve">L-ammont tar-riżerva kombinata speċifika għall-istituzzjoni (espress bħala perċentwal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tal-ammont totali tal-iskopertura għar-riskju</w:t>
            </w:r>
            <w:r>
              <w:t>) li tirrigwarda r-rekwiżit ta’ riżerva kontroċiklika.</w:t>
            </w:r>
          </w:p>
        </w:tc>
      </w:tr>
      <w:tr w:rsidR="00FB08AF" w:rsidRPr="00FB08AF" w:rsidDel="000A3889" w14:paraId="3DD0E60F" w14:textId="77777777" w:rsidTr="003D419A">
        <w:tc>
          <w:tcPr>
            <w:tcW w:w="1130" w:type="dxa"/>
            <w:vAlign w:val="center"/>
          </w:tcPr>
          <w:p w14:paraId="731CB060" w14:textId="4E4E808F" w:rsidR="008C1E88" w:rsidRPr="00FB08AF" w:rsidRDefault="00443BEC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0530</w:t>
            </w:r>
          </w:p>
        </w:tc>
        <w:tc>
          <w:tcPr>
            <w:tcW w:w="7624" w:type="dxa"/>
          </w:tcPr>
          <w:p w14:paraId="2EA75ACC" w14:textId="77777777" w:rsidR="008C1E88" w:rsidRPr="00FB08AF" w:rsidRDefault="008C1E88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 xml:space="preserve">li minnhom: ir-rekwiżit tar-riżerva għar-riskju sistemiku </w:t>
            </w:r>
          </w:p>
          <w:p w14:paraId="65530AC4" w14:textId="655A20A0" w:rsidR="008C1E88" w:rsidRPr="00FB08AF" w:rsidRDefault="008C1E88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>
              <w:t xml:space="preserve">L-ammont tar-riżerva kombinata speċifika għall-istituzzjoni (espress bħala perċentwal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tal-ammont totali tal-iskopertura għar-riskju</w:t>
            </w:r>
            <w:r>
              <w:t>) li tirrigwarda r-rekwiżit ta’ riżerva għar-riskju sistemiku.</w:t>
            </w:r>
          </w:p>
        </w:tc>
      </w:tr>
      <w:tr w:rsidR="00FB08AF" w:rsidRPr="00FB08AF" w:rsidDel="000A3889" w14:paraId="5D343AEB" w14:textId="77777777" w:rsidTr="003D419A">
        <w:tc>
          <w:tcPr>
            <w:tcW w:w="1130" w:type="dxa"/>
            <w:vAlign w:val="center"/>
          </w:tcPr>
          <w:p w14:paraId="121693A9" w14:textId="7BE6F216" w:rsidR="008C1E88" w:rsidRPr="00FB08AF" w:rsidRDefault="00443BEC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0540</w:t>
            </w:r>
          </w:p>
        </w:tc>
        <w:tc>
          <w:tcPr>
            <w:tcW w:w="7624" w:type="dxa"/>
          </w:tcPr>
          <w:p w14:paraId="072B7571" w14:textId="3758ED59" w:rsidR="008C1E88" w:rsidRPr="00FB08AF" w:rsidRDefault="008C1E88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Riżerva għal Istituzzjoni Globali Sistematikament Importanti (G-SII) jew Istituzzjoni Oħra Sistematikament Importanti (O-SII)</w:t>
            </w:r>
          </w:p>
          <w:p w14:paraId="294528A0" w14:textId="78EBD6C0" w:rsidR="008C1E88" w:rsidRPr="00FB08AF" w:rsidRDefault="008C1E88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>
              <w:t>L-ammont tar-riżerva kombinata speċifika għall-istituzzjoni (espress bħala perċentwal tal-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ammont totali tal-iskopertura għar-riskju</w:t>
            </w:r>
            <w:r>
              <w:t>) li tirrigwarda r-rekwiżit ta’ riżerva G-SII jew O-SII.</w:t>
            </w:r>
          </w:p>
        </w:tc>
      </w:tr>
      <w:tr w:rsidR="00FB08AF" w:rsidRPr="00FB08AF" w14:paraId="0BE86C45" w14:textId="77777777" w:rsidTr="004912BF">
        <w:tc>
          <w:tcPr>
            <w:tcW w:w="1130" w:type="dxa"/>
          </w:tcPr>
          <w:p w14:paraId="121F7357" w14:textId="54E1542B" w:rsidR="003D419A" w:rsidRPr="00FB08AF" w:rsidRDefault="003D419A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0550-0600</w:t>
            </w:r>
          </w:p>
        </w:tc>
        <w:tc>
          <w:tcPr>
            <w:tcW w:w="7624" w:type="dxa"/>
          </w:tcPr>
          <w:p w14:paraId="5B988009" w14:textId="77777777" w:rsidR="003D419A" w:rsidRPr="00FB08AF" w:rsidRDefault="003D419A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Obbligazzjonijiet oħrajn ta’ kapaċità ta’ rikapitalizzazzjoni interna</w:t>
            </w:r>
          </w:p>
          <w:p w14:paraId="119B8728" w14:textId="77777777" w:rsidR="003D419A" w:rsidRPr="00FB08AF" w:rsidRDefault="00093411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Entitajiet li, fid-</w:t>
            </w:r>
            <w:r>
              <w:rPr>
                <w:rStyle w:val="InstructionsTabelleberschrift"/>
                <w:rFonts w:ascii="Times New Roman" w:hAnsi="Times New Roman"/>
                <w:b w:val="0"/>
                <w:i/>
                <w:iCs/>
                <w:sz w:val="24"/>
                <w:u w:val="none"/>
              </w:rPr>
              <w:t>data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tar-rapportar ta’ dik l-informazzjoni, iżommu ammonti ta’ fondi proprji u obbligazzjonijiet eliġibbli ta’ mill-inqas 150 % tar-rekwiżit stipulat fl-Artikolu 45(1) tad-Direttiva 2014/59/UE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għandhom jiġu eżentati mir-rapportar tal-informazzjoni fir-ringieli 0550 sa 0600.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 Tali entitajiet jistgħu jagħżlu li jirrapportaw dik l-informazzjoni f’dan il-mudell fuq bażi volontarja.</w:t>
            </w:r>
          </w:p>
          <w:p w14:paraId="7F1DE3D2" w14:textId="77777777" w:rsidR="00D95EC1" w:rsidRPr="00FB08AF" w:rsidRDefault="002F47FA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L-ammonti ta’ permessi minn qabel mhux użati, sal-punt li l-permess ikopri strument ta’ obbligazzjonijiet eliġibbli, għandhom jitqiesu bħala obbligazzjonijiet oħrajn b’kapaċità ta’ rikapitalizzazzjoni interna għall-finijiet ta’ dawn ir-ringieli.</w:t>
            </w:r>
          </w:p>
          <w:p w14:paraId="0474B24A" w14:textId="0F044F02" w:rsidR="002F47FA" w:rsidRPr="00FB08AF" w:rsidRDefault="002F47FA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</w:p>
        </w:tc>
      </w:tr>
      <w:tr w:rsidR="00FB08AF" w:rsidRPr="00FB08AF" w14:paraId="6EAD6E2C" w14:textId="77777777" w:rsidTr="004912BF">
        <w:tc>
          <w:tcPr>
            <w:tcW w:w="1130" w:type="dxa"/>
          </w:tcPr>
          <w:p w14:paraId="6E8E4D0F" w14:textId="685E80A8" w:rsidR="003D419A" w:rsidRPr="00FB08AF" w:rsidRDefault="003D419A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0550</w:t>
            </w:r>
          </w:p>
        </w:tc>
        <w:tc>
          <w:tcPr>
            <w:tcW w:w="7624" w:type="dxa"/>
          </w:tcPr>
          <w:p w14:paraId="642F28EA" w14:textId="77777777" w:rsidR="003D419A" w:rsidRPr="00FB08AF" w:rsidRDefault="003D419A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Obbligazzjonijiet oħrajn ta’ kapaċità ta’ rikapitalizzazzjoni interna</w:t>
            </w:r>
          </w:p>
          <w:p w14:paraId="6D9455D3" w14:textId="6A0F2470" w:rsidR="003D419A" w:rsidRPr="00FB08AF" w:rsidRDefault="003D419A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L-ammont ta’ obbligazzjonijiet ta’ kapaċità ta’ rikapitalizzazzjoni interna, kif definit fil-punt (1) tal-Artikolu 2(71)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tad-Direttiva 2014/59/UE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, li mhumiex eliġibbli biex jissodisfaw ir-rekwiżiti tal-Artikolu 45 u 45f ta’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dik id-Direttiva.</w:t>
            </w:r>
          </w:p>
        </w:tc>
      </w:tr>
      <w:tr w:rsidR="00FB08AF" w:rsidRPr="00FB08AF" w14:paraId="09D32370" w14:textId="77777777" w:rsidTr="004912BF">
        <w:tc>
          <w:tcPr>
            <w:tcW w:w="1130" w:type="dxa"/>
          </w:tcPr>
          <w:p w14:paraId="0E687337" w14:textId="4D51B3C2" w:rsidR="003D419A" w:rsidRPr="00FB08AF" w:rsidRDefault="003D419A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0560</w:t>
            </w:r>
          </w:p>
        </w:tc>
        <w:tc>
          <w:tcPr>
            <w:tcW w:w="7624" w:type="dxa"/>
          </w:tcPr>
          <w:p w14:paraId="5818C7BE" w14:textId="4EA3C64A" w:rsidR="003D419A" w:rsidRPr="00FB08AF" w:rsidRDefault="003D419A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huma regolati mil-liġi ta’ pajjiż terz</w:t>
            </w:r>
          </w:p>
          <w:p w14:paraId="49B397CB" w14:textId="77777777" w:rsidR="003D419A" w:rsidRPr="00FB08AF" w:rsidRDefault="003D419A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L-ammont ta’ obbligazzjonijiet oħrajn ta’ kapaċità ta’ rikapitalizzazzjoni interna li huma rregolati mil-liġi ta’ pajjiż terz kif imsemmi fl-Artikolu 55 </w:t>
            </w:r>
            <w:r>
              <w:t>tad-Direttiva 2014/59/UE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.</w:t>
            </w:r>
          </w:p>
        </w:tc>
      </w:tr>
      <w:tr w:rsidR="00FB08AF" w:rsidRPr="00FB08AF" w14:paraId="016E3B2F" w14:textId="77777777" w:rsidTr="004912BF">
        <w:tc>
          <w:tcPr>
            <w:tcW w:w="1130" w:type="dxa"/>
          </w:tcPr>
          <w:p w14:paraId="04032741" w14:textId="20410858" w:rsidR="003D419A" w:rsidRPr="00FB08AF" w:rsidRDefault="003D419A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0570</w:t>
            </w:r>
          </w:p>
        </w:tc>
        <w:tc>
          <w:tcPr>
            <w:tcW w:w="7624" w:type="dxa"/>
          </w:tcPr>
          <w:p w14:paraId="0805987F" w14:textId="46360A96" w:rsidR="003D419A" w:rsidRPr="00FB08AF" w:rsidRDefault="003D419A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fihom klawżola ta’ tniżżil fil-valur u ta’ konverżjoni kif imsemmi fl-Artikolu 55 tad-Direttiva 2014/59/UE</w:t>
            </w:r>
          </w:p>
          <w:p w14:paraId="59B7F63C" w14:textId="77777777" w:rsidR="003D419A" w:rsidRPr="00FB08AF" w:rsidRDefault="003D419A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L-ammont ta’ obbligazzjonijiet oħrajn ta’ kapaċità ta’ rikapitalizzazzjoni interna li huma rregolati mil-liġi ta’ pajjiż terz u li fihom klawżola ta’ tniżżil fil-valur u ta’ konverżjoni kif imsemmi fl-Artikolu 55 tad-Direttiva 2014/59/UE.</w:t>
            </w:r>
          </w:p>
        </w:tc>
      </w:tr>
      <w:tr w:rsidR="00FB08AF" w:rsidRPr="00FB08AF" w14:paraId="44A3DA67" w14:textId="77777777" w:rsidTr="004912BF">
        <w:tc>
          <w:tcPr>
            <w:tcW w:w="1130" w:type="dxa"/>
          </w:tcPr>
          <w:p w14:paraId="7CE13650" w14:textId="796C2343" w:rsidR="003D419A" w:rsidRPr="00FB08AF" w:rsidRDefault="003D419A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0580 - 0600</w:t>
            </w:r>
          </w:p>
        </w:tc>
        <w:tc>
          <w:tcPr>
            <w:tcW w:w="7624" w:type="dxa"/>
          </w:tcPr>
          <w:p w14:paraId="66ED9CC3" w14:textId="77777777" w:rsidR="003D419A" w:rsidRPr="00FB08AF" w:rsidRDefault="003D419A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Diżaggregazzjoni ta’ obbligazzjonijiet oħrajn ta’ kapaċità ta’ rikapitalizzazzjoni interna skont il-maturità residwa</w:t>
            </w:r>
          </w:p>
        </w:tc>
      </w:tr>
      <w:tr w:rsidR="00FB08AF" w:rsidRPr="00FB08AF" w14:paraId="300DD006" w14:textId="77777777" w:rsidTr="004912BF">
        <w:tc>
          <w:tcPr>
            <w:tcW w:w="1130" w:type="dxa"/>
          </w:tcPr>
          <w:p w14:paraId="5CFE7B08" w14:textId="085E597A" w:rsidR="003D419A" w:rsidRPr="00FB08AF" w:rsidRDefault="003D419A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0580</w:t>
            </w:r>
          </w:p>
        </w:tc>
        <w:tc>
          <w:tcPr>
            <w:tcW w:w="7624" w:type="dxa"/>
          </w:tcPr>
          <w:p w14:paraId="29C2C50A" w14:textId="77777777" w:rsidR="003D419A" w:rsidRPr="00FB08AF" w:rsidRDefault="003D419A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>
              <w:t>Maturità residwa ta’ &lt; sena</w:t>
            </w:r>
          </w:p>
        </w:tc>
      </w:tr>
      <w:tr w:rsidR="00FB08AF" w:rsidRPr="00FB08AF" w14:paraId="0721C064" w14:textId="77777777" w:rsidTr="004912BF">
        <w:tc>
          <w:tcPr>
            <w:tcW w:w="1130" w:type="dxa"/>
          </w:tcPr>
          <w:p w14:paraId="1CF24349" w14:textId="7201FBB8" w:rsidR="003D419A" w:rsidRPr="00FB08AF" w:rsidRDefault="003D419A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0590</w:t>
            </w:r>
          </w:p>
        </w:tc>
        <w:tc>
          <w:tcPr>
            <w:tcW w:w="7624" w:type="dxa"/>
          </w:tcPr>
          <w:p w14:paraId="150BF77A" w14:textId="77777777" w:rsidR="003D419A" w:rsidRPr="00FB08AF" w:rsidRDefault="003D419A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>
              <w:t>Maturità residwa ta’ &gt;= sena u &lt; sentejn</w:t>
            </w:r>
          </w:p>
        </w:tc>
      </w:tr>
      <w:tr w:rsidR="00FB08AF" w:rsidRPr="00FB08AF" w14:paraId="30F1478A" w14:textId="77777777" w:rsidTr="004912BF">
        <w:tc>
          <w:tcPr>
            <w:tcW w:w="1130" w:type="dxa"/>
          </w:tcPr>
          <w:p w14:paraId="34DE713A" w14:textId="3C7DD6BD" w:rsidR="003D419A" w:rsidRPr="00FB08AF" w:rsidRDefault="003D419A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0600</w:t>
            </w:r>
          </w:p>
        </w:tc>
        <w:tc>
          <w:tcPr>
            <w:tcW w:w="7624" w:type="dxa"/>
          </w:tcPr>
          <w:p w14:paraId="54AAA10D" w14:textId="77777777" w:rsidR="003D419A" w:rsidRPr="00FB08AF" w:rsidRDefault="003D419A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</w:rPr>
            </w:pPr>
            <w:r>
              <w:t>Maturità residwa ta’ &gt;= sentejn</w:t>
            </w:r>
          </w:p>
        </w:tc>
      </w:tr>
      <w:tr w:rsidR="00FB08AF" w:rsidRPr="00FB08AF" w:rsidDel="000A3889" w14:paraId="1A70910A" w14:textId="77777777" w:rsidTr="003D419A">
        <w:tc>
          <w:tcPr>
            <w:tcW w:w="1130" w:type="dxa"/>
            <w:vAlign w:val="center"/>
          </w:tcPr>
          <w:p w14:paraId="38CB7734" w14:textId="5A2BE7DA" w:rsidR="00DC4984" w:rsidRPr="00FB08AF" w:rsidRDefault="007D143F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0610</w:t>
            </w:r>
          </w:p>
        </w:tc>
        <w:tc>
          <w:tcPr>
            <w:tcW w:w="7624" w:type="dxa"/>
          </w:tcPr>
          <w:p w14:paraId="16FA0669" w14:textId="77777777" w:rsidR="00DC4984" w:rsidRPr="00FB08AF" w:rsidRDefault="00DC4984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Obbligazzjonijiet esklużi</w:t>
            </w:r>
          </w:p>
          <w:p w14:paraId="70A8E546" w14:textId="429FC290" w:rsidR="00DC4984" w:rsidRPr="00FB08AF" w:rsidRDefault="00DC4984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L-Artikolu 72a(2)</w:t>
            </w:r>
            <w:r>
              <w:t xml:space="preserve"> tar-Regolament (UE) Nru 575/2013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.</w:t>
            </w:r>
          </w:p>
        </w:tc>
      </w:tr>
      <w:tr w:rsidR="00FB08AF" w:rsidRPr="00FB08AF" w:rsidDel="000A3889" w14:paraId="306FD558" w14:textId="77777777" w:rsidTr="00FB08AF">
        <w:tc>
          <w:tcPr>
            <w:tcW w:w="1130" w:type="dxa"/>
            <w:shd w:val="clear" w:color="auto" w:fill="auto"/>
            <w:vAlign w:val="center"/>
          </w:tcPr>
          <w:p w14:paraId="022C6D2E" w14:textId="07BF0D9F" w:rsidR="00B73E12" w:rsidRPr="00FB08AF" w:rsidRDefault="00B73E12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0620</w:t>
            </w:r>
          </w:p>
        </w:tc>
        <w:tc>
          <w:tcPr>
            <w:tcW w:w="7624" w:type="dxa"/>
            <w:shd w:val="clear" w:color="auto" w:fill="auto"/>
          </w:tcPr>
          <w:p w14:paraId="477A31ED" w14:textId="77777777" w:rsidR="00B73E12" w:rsidRPr="00FB08AF" w:rsidRDefault="00B73E12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Strumenti ta’ fondi proprji maħruġa minn entitajiet mhux ta’ riżoluzzjoni tal-istess grupp ta’ riżoluzzjoni</w:t>
            </w:r>
          </w:p>
          <w:p w14:paraId="35DA2E89" w14:textId="0741A503" w:rsidR="00B73E12" w:rsidRPr="00FB08AF" w:rsidRDefault="00B73E12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Parteċipazzjonijiet ta’ strumenti ta’ fondi proprji maħruġa minn entitajiet mhux ta’ riżoluzzjoni li huma entitajiet ta’ likwidazzjoni, parti mill-istess grupp ta’ riżoluzzjoni, u li għalihom l-awtorità ta’ riżoluzzjoni ma ddeterminatx rekwiżit minimu għal fondi proprji u obbligazzjonijiet eliġibbli f’konformità mal-Artikolu 45 tad-Direttiva 2014/59/UE.</w:t>
            </w:r>
          </w:p>
          <w:p w14:paraId="7D6540B2" w14:textId="0E3804A8" w:rsidR="00B73E12" w:rsidRPr="00FB08AF" w:rsidRDefault="00B73E12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Dan l-ammont għandu jiġi rrapportat f’din ir-ringiela irrispettivament minn jekk il-kundizzjonijiet stipulati fl-Artikolu 45c (2a), il-ħames subparagrafu, tad-Direttiva 2014/59/UE jkunux issodisfati.</w:t>
            </w:r>
          </w:p>
        </w:tc>
      </w:tr>
      <w:tr w:rsidR="00FB08AF" w:rsidRPr="00FB08AF" w:rsidDel="000A3889" w14:paraId="7F2D9F08" w14:textId="77777777" w:rsidTr="00FB08AF">
        <w:tc>
          <w:tcPr>
            <w:tcW w:w="1130" w:type="dxa"/>
            <w:shd w:val="clear" w:color="auto" w:fill="auto"/>
            <w:vAlign w:val="center"/>
          </w:tcPr>
          <w:p w14:paraId="2F0F4BF3" w14:textId="16174E11" w:rsidR="00B73E12" w:rsidRPr="00FB08AF" w:rsidRDefault="00B73E12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0630</w:t>
            </w:r>
          </w:p>
        </w:tc>
        <w:tc>
          <w:tcPr>
            <w:tcW w:w="7624" w:type="dxa"/>
            <w:shd w:val="clear" w:color="auto" w:fill="auto"/>
          </w:tcPr>
          <w:p w14:paraId="171A9C06" w14:textId="77777777" w:rsidR="00B73E12" w:rsidRPr="00FB08AF" w:rsidRDefault="00B73E12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Proporzjon ta’ parteċipazzjonijiet ta’ strumenti ta’ fondi proprji maħruġa minn entitajiet ta’ likwidazzjoni fuq fondi proprji eliġibbli u obbligazzjonijiet eliġibbli</w:t>
            </w:r>
          </w:p>
          <w:p w14:paraId="72E04E58" w14:textId="77777777" w:rsidR="00B73E12" w:rsidRPr="00FB08AF" w:rsidRDefault="00B73E12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L-Artikolu 45c(2a) tad-Direttiva 2014/59/UE. </w:t>
            </w:r>
          </w:p>
          <w:p w14:paraId="222A80B4" w14:textId="77777777" w:rsidR="00B73E12" w:rsidRPr="00FB08AF" w:rsidRDefault="00B73E12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Il-proporzjon għandu jiġi kkalkulat biss għad-data ta’ rimessa tal-31 ta’ Diċembru. Għad-dati ta’ referenza l-oħra, għandu jiġi rrapportat il-proporzjon ikkalkulat mill-31 ta’ Diċembru tas-sena preċedenti.</w:t>
            </w:r>
          </w:p>
          <w:p w14:paraId="5398413F" w14:textId="77777777" w:rsidR="00B73E12" w:rsidRPr="00FB08AF" w:rsidRDefault="00B73E12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Il-proporzjon għandu jiġi rrapportat kif ġej:</w:t>
            </w:r>
          </w:p>
          <w:p w14:paraId="130BEF26" w14:textId="12CD6EAE" w:rsidR="00B73E12" w:rsidRPr="00FB08AF" w:rsidRDefault="00B73E12" w:rsidP="00A41ECA">
            <w:pPr>
              <w:pStyle w:val="InstructionsText"/>
              <w:numPr>
                <w:ilvl w:val="0"/>
                <w:numId w:val="76"/>
              </w:numPr>
              <w:rPr>
                <w:rStyle w:val="InstructionsTabelleberschrift"/>
                <w:rFonts w:ascii="Times New Roman" w:hAnsi="Times New Roman"/>
                <w:b w:val="0"/>
                <w:bCs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Numeratur: Medja tal-valur ta’ 12-il xahar tas-sena kalendarja rilevanti tal-parteċipazzjonijiet ta’ strumenti ta’ fondi proprji maħruġa minn entitajiet mhux ta’ riżoluzzjoni li huma entitajiet ta’ likwidazzjoni, parti mill-istess grupp ta’ riżoluzzjoni, u li għalihom l-awtorità ta’ riżoluzzjoni ma ddeterminatx rekwiżit minimu għal fondi proprji u obbligazzjonijiet eliġibbli f’konformità mal-Artikolu 45 tad-Direttiva 2014/59/UE.</w:t>
            </w:r>
          </w:p>
          <w:p w14:paraId="78E1880F" w14:textId="05939301" w:rsidR="00B73E12" w:rsidRPr="00FB08AF" w:rsidRDefault="00B73E12" w:rsidP="00A41ECA">
            <w:pPr>
              <w:pStyle w:val="InstructionsText"/>
              <w:numPr>
                <w:ilvl w:val="0"/>
                <w:numId w:val="76"/>
              </w:numPr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Denominatur: Il-medja tal-valuri ta’ kull 12-il xahar tas-sena kalendarja rilevanti tal-fondi proprji u l-obbligazzjonijiet eliġibbli tal-entità relatriċi, ikkalkulata mingħajr ma jitqies it-tnaqqis tal-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lastRenderedPageBreak/>
              <w:t>parteċipazzjonijiet ta’ strumenti ta’ fondi proprji skont il-ħames subparagrafu tal-Artikolu 45c (2a) tad-Direttiva 2014/59/UE.</w:t>
            </w:r>
          </w:p>
        </w:tc>
      </w:tr>
    </w:tbl>
    <w:p w14:paraId="18144D67" w14:textId="61C583E0" w:rsidR="00762AE8" w:rsidRPr="00FB08AF" w:rsidRDefault="00762AE8" w:rsidP="00873459">
      <w:pPr>
        <w:pStyle w:val="Numberedtilelevel1"/>
        <w:numPr>
          <w:ilvl w:val="1"/>
          <w:numId w:val="30"/>
        </w:numPr>
      </w:pPr>
      <w:bookmarkStart w:id="54" w:name="_Toc45558490"/>
      <w:r>
        <w:lastRenderedPageBreak/>
        <w:t>M 04.00 – Struttura ta’ finanzjament tal-obbligazzjonijiet eliġibbli (LIAB-MREL)</w:t>
      </w:r>
      <w:bookmarkEnd w:id="54"/>
    </w:p>
    <w:p w14:paraId="7A39E67B" w14:textId="35F32692" w:rsidR="00762AE8" w:rsidRPr="00FB08AF" w:rsidRDefault="00762AE8" w:rsidP="00873459">
      <w:pPr>
        <w:pStyle w:val="Numberedtilelevel1"/>
        <w:numPr>
          <w:ilvl w:val="2"/>
          <w:numId w:val="30"/>
        </w:numPr>
      </w:pPr>
      <w:bookmarkStart w:id="55" w:name="_Toc16868641"/>
      <w:bookmarkStart w:id="56" w:name="_Toc20316754"/>
      <w:bookmarkStart w:id="57" w:name="_Toc45558491"/>
      <w:r>
        <w:t>Kummenti ġenerali</w:t>
      </w:r>
      <w:bookmarkEnd w:id="55"/>
      <w:bookmarkEnd w:id="56"/>
      <w:bookmarkEnd w:id="57"/>
    </w:p>
    <w:p w14:paraId="3591A4DC" w14:textId="13176F8B" w:rsidR="00AD2DA9" w:rsidRPr="00FB08AF" w:rsidRDefault="00762AE8" w:rsidP="00A41ECA">
      <w:pPr>
        <w:pStyle w:val="InstructionsText2"/>
      </w:pPr>
      <w:r>
        <w:t>Dan il-mudell jeħtieġ informazzjoni dwar l-istruttura ta’ finanzjament tal-obbligazzjonijiet eliġibbli ta’ entitajiet soġġetti għall-MREL. L-obbligazzjonijiet eliġibbli jiġu diżaggregati skont it-tip ta’ obbligazzjoni u maturità.</w:t>
      </w:r>
    </w:p>
    <w:p w14:paraId="051EEF6E" w14:textId="11A35C94" w:rsidR="00E645F5" w:rsidRPr="00FB08AF" w:rsidRDefault="00E645F5" w:rsidP="00A41ECA">
      <w:pPr>
        <w:pStyle w:val="InstructionsText2"/>
      </w:pPr>
      <w:r>
        <w:t>L-entitajiet għandhom jirrapportaw biss l-obbligazzjonijiet eliġibbli biex jissodisfaw ir-rekwiżit Minimu għall-fondi proprji u l-obbligazzjonijiet eliġibbli stipulati fid-Direttiva 2014/59/UE (MREL / MREL intern) f’dan il-mudell.</w:t>
      </w:r>
    </w:p>
    <w:p w14:paraId="5A88828B" w14:textId="2C48351E" w:rsidR="00095D0D" w:rsidRPr="00FB08AF" w:rsidRDefault="00AD2DA9" w:rsidP="00A41ECA">
      <w:pPr>
        <w:pStyle w:val="InstructionsText2"/>
      </w:pPr>
      <w:r>
        <w:t>Meta l-entità relatriċi tkun entità ta’ riżoluzzjoni, l-obbligazzjonijiet eliġibbli kif definiti fl-Artikolu 2(1), il-punt (71a), tad-Direttiva 2014/59/UE għandhom jiġu rrapportati qabel ma jitnaqqsu l-ammonti ta’ permessi minn qabel mhux użati. Fil-każ ta’ obbligazzjonijiet eliġibbli rregolati mil-liġi ta’ pajjiż terz, għandhom jiġu inklużi biss dawk l-obbligazzjonijiet li jissodisfaw ir-rekwiżiti stabbiliti fl-Artikolu 55 ta’ dik id-Direttiva.</w:t>
      </w:r>
    </w:p>
    <w:p w14:paraId="1A4BEB0E" w14:textId="13462232" w:rsidR="00762AE8" w:rsidRPr="00FB08AF" w:rsidRDefault="00AD2DA9" w:rsidP="00A41ECA">
      <w:pPr>
        <w:pStyle w:val="InstructionsText2"/>
      </w:pPr>
      <w:r>
        <w:t xml:space="preserve">Meta l-entità li tirrapporta tkun entità għajr entità ta’ riżoluzzjoni, hija għandha tirrapporta l-obbligazzjonijiet eliġibbli kif imsemmi fl-Artikolu 45f(2), il-punt (a) tad-Direttiva 2014/59/UE f’dan il-mudell, filwaqt li tqis ukoll, fejn applikabbli, l-Artikolu 89(2), ir-raba’ subparagrafu tad-Direttiva qabel ma jitnaqqsu l-ammonti ta’ permessi minn qabel mhux użati. </w:t>
      </w:r>
      <w:r>
        <w:rPr>
          <w:rStyle w:val="InstructionsTabelleberschrift"/>
          <w:rFonts w:ascii="Times New Roman" w:hAnsi="Times New Roman"/>
          <w:b w:val="0"/>
          <w:sz w:val="24"/>
          <w:u w:val="none"/>
        </w:rPr>
        <w:t>Fil-każ ta’ strumenti rregolati mil-liġi ta’ pajjiż terz, l-istrument għandu jiġi inkluż biss f’din ir-ringiela jekk jissodisfa r-rekwiżiti stipulati fl-Artikolu 55 ta’ dik id-Direttiva.</w:t>
      </w:r>
    </w:p>
    <w:p w14:paraId="2C1B2000" w14:textId="677FC435" w:rsidR="00762AE8" w:rsidRPr="00FB08AF" w:rsidRDefault="00762AE8" w:rsidP="00A41ECA">
      <w:pPr>
        <w:pStyle w:val="InstructionsText2"/>
      </w:pPr>
      <w:r>
        <w:t xml:space="preserve">Id-diżaggregazzjoni skont it-tip ta’ obbligazzjoni hija bbażata fuq l-istess sett ta’ tipi ta’ obbligazzjoni użati fir-rapportar għall-finijiet tal-ippjanar ta’ riżoluzzjoni f’konformità mar-Regolament ta’ Implimentazzjoni (UE) 2018/1624. Ir-referenzi għal dak ir-Regolament ta’ Implimentazzjoni jingħataw biex jiddefinixxu t-tipi differenti ta’ obbligazzjonijiet. </w:t>
      </w:r>
    </w:p>
    <w:p w14:paraId="27A75DAB" w14:textId="209C08EF" w:rsidR="00762AE8" w:rsidRPr="00FB08AF" w:rsidRDefault="00762AE8" w:rsidP="00A41ECA">
      <w:pPr>
        <w:pStyle w:val="InstructionsText2"/>
      </w:pPr>
      <w:r>
        <w:t>Meta tkun meħtieġa diżaggregazzjoni tal-maturità, il-maturità residwa għandha tkun iż-żmien sal-maturità kuntrattwali jew, f’konformità mal-kundizzjonijiet tal-Artikoli 72c(2) jew (3) tar-Regolament (UE) Nru 575/2013, l-aktar data kmieni possibbli li fiha tista’ tiġi eżerċitata l-opzjoni. Fil-każ ta’ pagamenti interim tal-kapital, il-kapital għandu jinqasam u jiġi allokat fit-taqsimiet tal-maturità korrispondenti. Fejn applikabbli, il-maturità għandha titqies separatament kemm għall-ammont ta’ kapital kif ukoll għall-imgħax dovut.</w:t>
      </w:r>
    </w:p>
    <w:p w14:paraId="1BC1C890" w14:textId="213F7558" w:rsidR="00762AE8" w:rsidRPr="00FB08AF" w:rsidRDefault="00762AE8" w:rsidP="00873459">
      <w:pPr>
        <w:pStyle w:val="Numberedtilelevel1"/>
        <w:numPr>
          <w:ilvl w:val="2"/>
          <w:numId w:val="30"/>
        </w:numPr>
      </w:pPr>
      <w:bookmarkStart w:id="58" w:name="_Toc18593309"/>
      <w:bookmarkStart w:id="59" w:name="_Toc16868642"/>
      <w:bookmarkStart w:id="60" w:name="_Toc20316755"/>
      <w:bookmarkStart w:id="61" w:name="_Toc45558492"/>
      <w:bookmarkEnd w:id="58"/>
      <w:r>
        <w:t>Struzzjonijiet dwar pożizzjonijiet speċifiċi</w:t>
      </w:r>
      <w:bookmarkEnd w:id="59"/>
      <w:bookmarkEnd w:id="60"/>
      <w:bookmarkEnd w:id="61"/>
    </w:p>
    <w:tbl>
      <w:tblPr>
        <w:tblW w:w="8749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7620"/>
      </w:tblGrid>
      <w:tr w:rsidR="00FB08AF" w:rsidRPr="00FB08AF" w14:paraId="78656450" w14:textId="77777777" w:rsidTr="00762AE8">
        <w:tc>
          <w:tcPr>
            <w:tcW w:w="1129" w:type="dxa"/>
            <w:shd w:val="clear" w:color="auto" w:fill="D9D9D9"/>
          </w:tcPr>
          <w:p w14:paraId="7437F57B" w14:textId="77777777" w:rsidR="00762AE8" w:rsidRPr="00FB08AF" w:rsidRDefault="00762AE8" w:rsidP="00A41ECA">
            <w:pPr>
              <w:pStyle w:val="InstructionsText"/>
              <w:rPr>
                <w:rStyle w:val="InstructionsTabelleText"/>
                <w:rFonts w:ascii="Times New Roman" w:eastAsia="Arial" w:hAnsi="Times New Roman"/>
                <w:bCs/>
                <w:sz w:val="24"/>
              </w:rPr>
            </w:pPr>
            <w:r>
              <w:rPr>
                <w:rStyle w:val="InstructionsTabelleText"/>
                <w:rFonts w:ascii="Times New Roman" w:hAnsi="Times New Roman"/>
                <w:sz w:val="24"/>
              </w:rPr>
              <w:t>Ringiela</w:t>
            </w:r>
          </w:p>
        </w:tc>
        <w:tc>
          <w:tcPr>
            <w:tcW w:w="7620" w:type="dxa"/>
            <w:shd w:val="clear" w:color="auto" w:fill="D9D9D9"/>
          </w:tcPr>
          <w:p w14:paraId="21D1603A" w14:textId="77777777" w:rsidR="00762AE8" w:rsidRPr="00FB08AF" w:rsidRDefault="00762AE8" w:rsidP="00A41ECA">
            <w:pPr>
              <w:pStyle w:val="InstructionsText"/>
              <w:rPr>
                <w:rStyle w:val="InstructionsTabelleText"/>
                <w:rFonts w:ascii="Times New Roman" w:hAnsi="Times New Roman"/>
                <w:bCs/>
                <w:sz w:val="24"/>
              </w:rPr>
            </w:pPr>
            <w:r>
              <w:rPr>
                <w:rStyle w:val="InstructionsTabelleText"/>
                <w:rFonts w:ascii="Times New Roman" w:hAnsi="Times New Roman"/>
                <w:sz w:val="24"/>
              </w:rPr>
              <w:t>Referenzi u struzzjonijiet legali</w:t>
            </w:r>
          </w:p>
        </w:tc>
      </w:tr>
      <w:tr w:rsidR="00FB08AF" w:rsidRPr="00FB08AF" w14:paraId="5383880C" w14:textId="77777777" w:rsidTr="00762AE8">
        <w:tc>
          <w:tcPr>
            <w:tcW w:w="1129" w:type="dxa"/>
            <w:vAlign w:val="center"/>
          </w:tcPr>
          <w:p w14:paraId="64C649B2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0100</w:t>
            </w:r>
          </w:p>
        </w:tc>
        <w:tc>
          <w:tcPr>
            <w:tcW w:w="7620" w:type="dxa"/>
            <w:vAlign w:val="center"/>
          </w:tcPr>
          <w:p w14:paraId="26061C97" w14:textId="5585D273" w:rsidR="00F07E87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OBBLIGAZZJONIJIET ELIĠIBBLI</w:t>
            </w:r>
          </w:p>
        </w:tc>
      </w:tr>
      <w:tr w:rsidR="00FB08AF" w:rsidRPr="00FB08AF" w14:paraId="0F28EE1A" w14:textId="77777777" w:rsidTr="00762AE8">
        <w:tc>
          <w:tcPr>
            <w:tcW w:w="1129" w:type="dxa"/>
            <w:vAlign w:val="center"/>
          </w:tcPr>
          <w:p w14:paraId="7807213A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0200</w:t>
            </w:r>
          </w:p>
        </w:tc>
        <w:tc>
          <w:tcPr>
            <w:tcW w:w="7620" w:type="dxa"/>
            <w:vAlign w:val="center"/>
          </w:tcPr>
          <w:p w14:paraId="4492AB5A" w14:textId="77777777" w:rsidR="00762AE8" w:rsidRPr="00FB08AF" w:rsidRDefault="00762AE8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Depożiti, mhux koperti u mhux preferenzjali &gt;= sena</w:t>
            </w:r>
          </w:p>
          <w:p w14:paraId="49C46A25" w14:textId="3811070C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Depożiti, mhux koperti u mhux preferenzjali, kif definiti għall-finijiet tar-ringiela 0320 tal-mudell Z 02.00 tal-Anness I tar-</w:t>
            </w:r>
            <w:r>
              <w:t xml:space="preserve">Regolament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ta’ Implimentazzjoni (UE) 2018/1624, li huma eliġibbli għall-finijiet tal-Artikolu 45 tad-</w:t>
            </w:r>
            <w:r>
              <w:t>Direttiva 2014/59/UE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FB08AF" w:rsidRPr="00FB08AF" w14:paraId="43228275" w14:textId="77777777" w:rsidTr="00762AE8">
        <w:tc>
          <w:tcPr>
            <w:tcW w:w="1129" w:type="dxa"/>
            <w:vAlign w:val="center"/>
          </w:tcPr>
          <w:p w14:paraId="30431B10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0210</w:t>
            </w:r>
          </w:p>
        </w:tc>
        <w:tc>
          <w:tcPr>
            <w:tcW w:w="7620" w:type="dxa"/>
            <w:vAlign w:val="center"/>
          </w:tcPr>
          <w:p w14:paraId="1971F075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maturità residwa &gt;= sena u &lt; sentejn</w:t>
            </w:r>
          </w:p>
        </w:tc>
      </w:tr>
      <w:tr w:rsidR="00FB08AF" w:rsidRPr="00FB08AF" w14:paraId="2B846C55" w14:textId="77777777" w:rsidTr="00762AE8">
        <w:tc>
          <w:tcPr>
            <w:tcW w:w="1129" w:type="dxa"/>
            <w:vAlign w:val="center"/>
          </w:tcPr>
          <w:p w14:paraId="1DF3A70F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0220</w:t>
            </w:r>
          </w:p>
        </w:tc>
        <w:tc>
          <w:tcPr>
            <w:tcW w:w="7620" w:type="dxa"/>
            <w:vAlign w:val="center"/>
          </w:tcPr>
          <w:p w14:paraId="275CBB26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maturità residwa &gt;= sentejn</w:t>
            </w:r>
          </w:p>
        </w:tc>
      </w:tr>
      <w:tr w:rsidR="00FB08AF" w:rsidRPr="00FB08AF" w14:paraId="0BA3B219" w14:textId="77777777" w:rsidTr="00762AE8">
        <w:tc>
          <w:tcPr>
            <w:tcW w:w="1129" w:type="dxa"/>
            <w:vAlign w:val="center"/>
          </w:tcPr>
          <w:p w14:paraId="123CD651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0230</w:t>
            </w:r>
          </w:p>
        </w:tc>
        <w:tc>
          <w:tcPr>
            <w:tcW w:w="7620" w:type="dxa"/>
            <w:vAlign w:val="center"/>
          </w:tcPr>
          <w:p w14:paraId="42F6A84F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maħruġa minn sussidjarji</w:t>
            </w:r>
          </w:p>
        </w:tc>
      </w:tr>
      <w:tr w:rsidR="00FB08AF" w:rsidRPr="00FB08AF" w14:paraId="0C7523A2" w14:textId="77777777" w:rsidTr="00762AE8">
        <w:tc>
          <w:tcPr>
            <w:tcW w:w="1129" w:type="dxa"/>
            <w:vAlign w:val="center"/>
          </w:tcPr>
          <w:p w14:paraId="21F422EE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0300</w:t>
            </w:r>
          </w:p>
        </w:tc>
        <w:tc>
          <w:tcPr>
            <w:tcW w:w="7620" w:type="dxa"/>
            <w:vAlign w:val="center"/>
          </w:tcPr>
          <w:p w14:paraId="2DECC0A1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Cs w:val="0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 xml:space="preserve">Obbligazzjonijiet garantiti mhux kollateralizzati &gt;= sena </w:t>
            </w:r>
          </w:p>
          <w:p w14:paraId="6EA6B4DB" w14:textId="03EDC0BC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Obbligazzjonijiet garantiti mhux kollateralizzati, kif definiti għall-finijiet tar-ringiela 0340 tal-mudell Z 02.00 tal-Anness I</w:t>
            </w:r>
            <w:r>
              <w:t xml:space="preserve"> tar-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Regolament ta’ Implimentazzjoni (UE) 2018/1624, li huma eliġibbli għall-finijiet tal-Artikolu 45</w:t>
            </w:r>
            <w:r>
              <w:t xml:space="preserve"> tad-Direttiva 2014/59/UE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FB08AF" w:rsidRPr="00FB08AF" w14:paraId="6A53393A" w14:textId="77777777" w:rsidTr="00762AE8">
        <w:tc>
          <w:tcPr>
            <w:tcW w:w="1129" w:type="dxa"/>
            <w:vAlign w:val="center"/>
          </w:tcPr>
          <w:p w14:paraId="04E4AAE3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0310</w:t>
            </w:r>
          </w:p>
        </w:tc>
        <w:tc>
          <w:tcPr>
            <w:tcW w:w="7620" w:type="dxa"/>
            <w:vAlign w:val="center"/>
          </w:tcPr>
          <w:p w14:paraId="537C804F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maturità residwa &gt;= sena u &lt; sentejn</w:t>
            </w:r>
          </w:p>
        </w:tc>
      </w:tr>
      <w:tr w:rsidR="00FB08AF" w:rsidRPr="00FB08AF" w14:paraId="600B55D1" w14:textId="77777777" w:rsidTr="00762AE8">
        <w:tc>
          <w:tcPr>
            <w:tcW w:w="1129" w:type="dxa"/>
            <w:vAlign w:val="center"/>
          </w:tcPr>
          <w:p w14:paraId="15C760CE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0320</w:t>
            </w:r>
          </w:p>
        </w:tc>
        <w:tc>
          <w:tcPr>
            <w:tcW w:w="7620" w:type="dxa"/>
            <w:vAlign w:val="center"/>
          </w:tcPr>
          <w:p w14:paraId="1CD9868B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maturità residwa &gt;= sentejn</w:t>
            </w:r>
          </w:p>
        </w:tc>
      </w:tr>
      <w:tr w:rsidR="00FB08AF" w:rsidRPr="00FB08AF" w14:paraId="1A7BF7A4" w14:textId="77777777" w:rsidTr="00762AE8">
        <w:tc>
          <w:tcPr>
            <w:tcW w:w="1129" w:type="dxa"/>
            <w:vAlign w:val="center"/>
          </w:tcPr>
          <w:p w14:paraId="2DE80C2B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0330</w:t>
            </w:r>
          </w:p>
        </w:tc>
        <w:tc>
          <w:tcPr>
            <w:tcW w:w="7620" w:type="dxa"/>
            <w:vAlign w:val="center"/>
          </w:tcPr>
          <w:p w14:paraId="3A278DE9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maħruġa minn sussidjarji</w:t>
            </w:r>
          </w:p>
        </w:tc>
      </w:tr>
      <w:tr w:rsidR="00FB08AF" w:rsidRPr="00FB08AF" w14:paraId="2B098627" w14:textId="77777777" w:rsidTr="00762AE8">
        <w:tc>
          <w:tcPr>
            <w:tcW w:w="1129" w:type="dxa"/>
            <w:vAlign w:val="center"/>
          </w:tcPr>
          <w:p w14:paraId="20D819CF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0400</w:t>
            </w:r>
          </w:p>
        </w:tc>
        <w:tc>
          <w:tcPr>
            <w:tcW w:w="7620" w:type="dxa"/>
            <w:vAlign w:val="center"/>
          </w:tcPr>
          <w:p w14:paraId="1D62DBC4" w14:textId="77777777" w:rsidR="00762AE8" w:rsidRPr="00FB08AF" w:rsidRDefault="00762AE8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Noti strutturati &gt;= sena</w:t>
            </w:r>
          </w:p>
          <w:p w14:paraId="74959F34" w14:textId="50937CF0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Noti strutturati, kif definiti għall-finijiet tar-ringiela 0350 tal-mudell Z 02.00 tal-Anness I </w:t>
            </w:r>
            <w:r>
              <w:t>tar-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Regolament ta’ Implimentazzjoni (UE) 2018/1624, li huma eliġibbli għall-finijiet tal-Artikolu 45</w:t>
            </w:r>
            <w:r>
              <w:t xml:space="preserve"> tad-Direttiva 2014/59/UE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FB08AF" w:rsidRPr="00FB08AF" w14:paraId="72D4F677" w14:textId="77777777" w:rsidTr="00762AE8">
        <w:tc>
          <w:tcPr>
            <w:tcW w:w="1129" w:type="dxa"/>
            <w:vAlign w:val="center"/>
          </w:tcPr>
          <w:p w14:paraId="276C4E2D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0410</w:t>
            </w:r>
          </w:p>
        </w:tc>
        <w:tc>
          <w:tcPr>
            <w:tcW w:w="7620" w:type="dxa"/>
            <w:vAlign w:val="center"/>
          </w:tcPr>
          <w:p w14:paraId="00FFDD2F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maturità residwa &gt;= sena u &lt; sentejn</w:t>
            </w:r>
          </w:p>
        </w:tc>
      </w:tr>
      <w:tr w:rsidR="00FB08AF" w:rsidRPr="00FB08AF" w14:paraId="6936C748" w14:textId="77777777" w:rsidTr="00762AE8">
        <w:tc>
          <w:tcPr>
            <w:tcW w:w="1129" w:type="dxa"/>
            <w:vAlign w:val="center"/>
          </w:tcPr>
          <w:p w14:paraId="6F001B61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0420</w:t>
            </w:r>
          </w:p>
        </w:tc>
        <w:tc>
          <w:tcPr>
            <w:tcW w:w="7620" w:type="dxa"/>
            <w:vAlign w:val="center"/>
          </w:tcPr>
          <w:p w14:paraId="7227500C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maturità residwa &gt;= sentejn</w:t>
            </w:r>
          </w:p>
        </w:tc>
      </w:tr>
      <w:tr w:rsidR="00FB08AF" w:rsidRPr="00FB08AF" w14:paraId="10DD7ADF" w14:textId="77777777" w:rsidTr="00762AE8">
        <w:tc>
          <w:tcPr>
            <w:tcW w:w="1129" w:type="dxa"/>
            <w:vAlign w:val="center"/>
          </w:tcPr>
          <w:p w14:paraId="7587F6C9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0430</w:t>
            </w:r>
          </w:p>
        </w:tc>
        <w:tc>
          <w:tcPr>
            <w:tcW w:w="7620" w:type="dxa"/>
            <w:vAlign w:val="center"/>
          </w:tcPr>
          <w:p w14:paraId="7C1370DB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maħruġa minn sussidjarji</w:t>
            </w:r>
          </w:p>
        </w:tc>
      </w:tr>
      <w:tr w:rsidR="00FB08AF" w:rsidRPr="00FB08AF" w14:paraId="07BF9E28" w14:textId="77777777" w:rsidTr="00762AE8">
        <w:tc>
          <w:tcPr>
            <w:tcW w:w="1129" w:type="dxa"/>
            <w:vAlign w:val="center"/>
          </w:tcPr>
          <w:p w14:paraId="1BBF737D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0500</w:t>
            </w:r>
          </w:p>
        </w:tc>
        <w:tc>
          <w:tcPr>
            <w:tcW w:w="7620" w:type="dxa"/>
            <w:vAlign w:val="center"/>
          </w:tcPr>
          <w:p w14:paraId="1ABE37E9" w14:textId="77777777" w:rsidR="00762AE8" w:rsidRPr="00FB08AF" w:rsidRDefault="00762AE8" w:rsidP="00A41ECA">
            <w:pPr>
              <w:pStyle w:val="InstructionsText"/>
              <w:rPr>
                <w:rStyle w:val="InstructionsTabelleberschrift"/>
                <w:rFonts w:ascii="Times New Roman" w:eastAsia="Cambria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Obbligazzjonijiet superjuri mhux garantiti &gt;= sena</w:t>
            </w:r>
          </w:p>
          <w:p w14:paraId="0E73B3A6" w14:textId="66B8722E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Obbligazzjonijiet prijoritarji mhux garantiti, kif definiti għall-finijiet tar-ringiela 0360 tal-mudell Z 02.00 tal-Anness I</w:t>
            </w:r>
            <w:r>
              <w:t xml:space="preserve"> tar-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Regolament ta’ Implimentazzjoni (UE) 2018/1624, li huma eliġibbli għall-finijiet tal-Artikolu 45</w:t>
            </w:r>
            <w:r>
              <w:t xml:space="preserve"> tad-Direttiva 2014/59/UE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FB08AF" w:rsidRPr="00FB08AF" w14:paraId="35199AA2" w14:textId="77777777" w:rsidTr="00762AE8">
        <w:tc>
          <w:tcPr>
            <w:tcW w:w="1129" w:type="dxa"/>
            <w:vAlign w:val="center"/>
          </w:tcPr>
          <w:p w14:paraId="5D231682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0510</w:t>
            </w:r>
          </w:p>
        </w:tc>
        <w:tc>
          <w:tcPr>
            <w:tcW w:w="7620" w:type="dxa"/>
            <w:vAlign w:val="center"/>
          </w:tcPr>
          <w:p w14:paraId="262358FD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maturità residwa &gt;= sena u &lt; sentejn</w:t>
            </w:r>
          </w:p>
        </w:tc>
      </w:tr>
      <w:tr w:rsidR="00FB08AF" w:rsidRPr="00FB08AF" w14:paraId="07D96CBB" w14:textId="77777777" w:rsidTr="00762AE8">
        <w:tc>
          <w:tcPr>
            <w:tcW w:w="1129" w:type="dxa"/>
            <w:vAlign w:val="center"/>
          </w:tcPr>
          <w:p w14:paraId="324DFF96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0520</w:t>
            </w:r>
          </w:p>
        </w:tc>
        <w:tc>
          <w:tcPr>
            <w:tcW w:w="7620" w:type="dxa"/>
            <w:vAlign w:val="center"/>
          </w:tcPr>
          <w:p w14:paraId="7552E2F3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maturità residwa &gt;= sentejn</w:t>
            </w:r>
          </w:p>
        </w:tc>
      </w:tr>
      <w:tr w:rsidR="00FB08AF" w:rsidRPr="00FB08AF" w14:paraId="295B6D82" w14:textId="77777777" w:rsidTr="00762AE8">
        <w:tc>
          <w:tcPr>
            <w:tcW w:w="1129" w:type="dxa"/>
            <w:vAlign w:val="center"/>
          </w:tcPr>
          <w:p w14:paraId="3B2CFD81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0530 </w:t>
            </w:r>
          </w:p>
        </w:tc>
        <w:tc>
          <w:tcPr>
            <w:tcW w:w="7620" w:type="dxa"/>
            <w:vAlign w:val="center"/>
          </w:tcPr>
          <w:p w14:paraId="480600D9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maħruġa minn sussidjarji</w:t>
            </w:r>
          </w:p>
        </w:tc>
      </w:tr>
      <w:tr w:rsidR="00FB08AF" w:rsidRPr="00FB08AF" w14:paraId="12EA602F" w14:textId="77777777" w:rsidTr="00762AE8">
        <w:tc>
          <w:tcPr>
            <w:tcW w:w="1129" w:type="dxa"/>
            <w:vAlign w:val="center"/>
          </w:tcPr>
          <w:p w14:paraId="3384E48D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0600 </w:t>
            </w:r>
          </w:p>
        </w:tc>
        <w:tc>
          <w:tcPr>
            <w:tcW w:w="7620" w:type="dxa"/>
            <w:vAlign w:val="center"/>
          </w:tcPr>
          <w:p w14:paraId="0C40C447" w14:textId="77777777" w:rsidR="00762AE8" w:rsidRPr="00FB08AF" w:rsidRDefault="00762AE8" w:rsidP="00A41ECA">
            <w:pPr>
              <w:pStyle w:val="InstructionsText"/>
              <w:rPr>
                <w:rStyle w:val="InstructionsTabelleberschrift"/>
                <w:rFonts w:ascii="Times New Roman" w:eastAsia="Cambria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Obbligazzjonijiet superjuri mhux preferuti &gt;= sena</w:t>
            </w:r>
          </w:p>
          <w:p w14:paraId="2BB67D1C" w14:textId="651E9DC0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Obbligazzjonijiet privileġġjati mhux bi preferenza, kif definiti għall-finijiet tar-ringiela 0365 tal-mudell Z 02.00 tal-Anness I</w:t>
            </w:r>
            <w:r>
              <w:t xml:space="preserve"> tar-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Regolament ta’ Implimentazzjoni (UE) 2018/1624, li huma eliġibbli għall-finijiet tal-Artikolu 45</w:t>
            </w:r>
            <w:r>
              <w:t xml:space="preserve"> tad-Direttiva 2014/59/UE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FB08AF" w:rsidRPr="00FB08AF" w14:paraId="60C5C44A" w14:textId="77777777" w:rsidTr="00762AE8">
        <w:tc>
          <w:tcPr>
            <w:tcW w:w="1129" w:type="dxa"/>
            <w:vAlign w:val="center"/>
          </w:tcPr>
          <w:p w14:paraId="4478A9B7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0610</w:t>
            </w:r>
          </w:p>
        </w:tc>
        <w:tc>
          <w:tcPr>
            <w:tcW w:w="7620" w:type="dxa"/>
            <w:vAlign w:val="center"/>
          </w:tcPr>
          <w:p w14:paraId="6413A5A0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maturità residwa &gt;= sena u &lt; sentejn</w:t>
            </w:r>
          </w:p>
        </w:tc>
      </w:tr>
      <w:tr w:rsidR="00FB08AF" w:rsidRPr="00FB08AF" w14:paraId="09D13A9A" w14:textId="77777777" w:rsidTr="00762AE8">
        <w:tc>
          <w:tcPr>
            <w:tcW w:w="1129" w:type="dxa"/>
            <w:vAlign w:val="center"/>
          </w:tcPr>
          <w:p w14:paraId="1E082A92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0620</w:t>
            </w:r>
          </w:p>
        </w:tc>
        <w:tc>
          <w:tcPr>
            <w:tcW w:w="7620" w:type="dxa"/>
            <w:vAlign w:val="center"/>
          </w:tcPr>
          <w:p w14:paraId="3A55D4CB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maturità residwa &gt;= sentejn</w:t>
            </w:r>
          </w:p>
        </w:tc>
      </w:tr>
      <w:tr w:rsidR="00FB08AF" w:rsidRPr="00FB08AF" w14:paraId="23C432FB" w14:textId="77777777" w:rsidTr="00762AE8">
        <w:tc>
          <w:tcPr>
            <w:tcW w:w="1129" w:type="dxa"/>
            <w:vAlign w:val="center"/>
          </w:tcPr>
          <w:p w14:paraId="3AC1EB08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0630</w:t>
            </w:r>
          </w:p>
        </w:tc>
        <w:tc>
          <w:tcPr>
            <w:tcW w:w="7620" w:type="dxa"/>
            <w:vAlign w:val="center"/>
          </w:tcPr>
          <w:p w14:paraId="3C625784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maħruġa minn sussidjarji</w:t>
            </w:r>
          </w:p>
        </w:tc>
      </w:tr>
      <w:tr w:rsidR="00FB08AF" w:rsidRPr="00FB08AF" w14:paraId="6A916816" w14:textId="77777777" w:rsidTr="00762AE8">
        <w:tc>
          <w:tcPr>
            <w:tcW w:w="1129" w:type="dxa"/>
            <w:vAlign w:val="center"/>
          </w:tcPr>
          <w:p w14:paraId="38E47A5C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0700</w:t>
            </w:r>
          </w:p>
        </w:tc>
        <w:tc>
          <w:tcPr>
            <w:tcW w:w="7620" w:type="dxa"/>
            <w:vAlign w:val="center"/>
          </w:tcPr>
          <w:p w14:paraId="3036F796" w14:textId="77777777" w:rsidR="00762AE8" w:rsidRPr="00FB08AF" w:rsidRDefault="00762AE8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Obbligazzjonijiet subordinati (mhux rikonoxxuti bħala fondi proprji) &gt;= sena</w:t>
            </w:r>
          </w:p>
          <w:p w14:paraId="47C4F901" w14:textId="4780C2C4" w:rsidR="00762AE8" w:rsidRPr="00FB08AF" w:rsidRDefault="00F94369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Obbligazzjonijiet subordinati, kif definiti għall-finijiet tar-ringiela 0370 tal-mudell Z 02.00 tal-Anness I</w:t>
            </w:r>
            <w:r>
              <w:t xml:space="preserve"> tar-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Regolament ta’ Implimentazzjoni (UE) 2018/1624, li huma eliġibbli għall-finijiet tal-Artikolu 45</w:t>
            </w:r>
            <w:r>
              <w:t xml:space="preserve"> tad-Direttiva 2014/59/UE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FB08AF" w:rsidRPr="00FB08AF" w14:paraId="57465221" w14:textId="77777777" w:rsidTr="00762AE8">
        <w:tc>
          <w:tcPr>
            <w:tcW w:w="1129" w:type="dxa"/>
            <w:vAlign w:val="center"/>
          </w:tcPr>
          <w:p w14:paraId="67531431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0710</w:t>
            </w:r>
          </w:p>
        </w:tc>
        <w:tc>
          <w:tcPr>
            <w:tcW w:w="7620" w:type="dxa"/>
            <w:vAlign w:val="center"/>
          </w:tcPr>
          <w:p w14:paraId="793A93D5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maturità residwa &gt;= sena u &lt; sentejn</w:t>
            </w:r>
          </w:p>
        </w:tc>
      </w:tr>
      <w:tr w:rsidR="00FB08AF" w:rsidRPr="00FB08AF" w14:paraId="625CC92F" w14:textId="77777777" w:rsidTr="00762AE8">
        <w:tc>
          <w:tcPr>
            <w:tcW w:w="1129" w:type="dxa"/>
            <w:vAlign w:val="center"/>
          </w:tcPr>
          <w:p w14:paraId="3FC9B0A7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0720</w:t>
            </w:r>
          </w:p>
        </w:tc>
        <w:tc>
          <w:tcPr>
            <w:tcW w:w="7620" w:type="dxa"/>
            <w:vAlign w:val="center"/>
          </w:tcPr>
          <w:p w14:paraId="378AC964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maturità residwa &gt;= sentejn</w:t>
            </w:r>
          </w:p>
        </w:tc>
      </w:tr>
      <w:tr w:rsidR="00FB08AF" w:rsidRPr="00FB08AF" w14:paraId="5E1CEAC6" w14:textId="77777777" w:rsidTr="00762AE8">
        <w:tc>
          <w:tcPr>
            <w:tcW w:w="1129" w:type="dxa"/>
            <w:vAlign w:val="center"/>
          </w:tcPr>
          <w:p w14:paraId="1C9EF155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0730</w:t>
            </w:r>
          </w:p>
        </w:tc>
        <w:tc>
          <w:tcPr>
            <w:tcW w:w="7620" w:type="dxa"/>
            <w:vAlign w:val="center"/>
          </w:tcPr>
          <w:p w14:paraId="189D1AE1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eastAsiaTheme="minorHAnsi" w:hAnsi="Times New Roman"/>
                <w:sz w:val="24"/>
                <w:szCs w:val="22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 xml:space="preserve">li </w:t>
            </w:r>
            <w:r>
              <w:rPr>
                <w:rStyle w:val="FormatvorlageInstructionsTabelleText"/>
                <w:rFonts w:ascii="Times New Roman" w:hAnsi="Times New Roman"/>
                <w:b/>
                <w:sz w:val="24"/>
                <w:u w:val="single"/>
              </w:rPr>
              <w:t>minnhom</w:t>
            </w:r>
            <w:r>
              <w:rPr>
                <w:rStyle w:val="InstructionsTabelleberschrift"/>
                <w:rFonts w:ascii="Times New Roman" w:hAnsi="Times New Roman"/>
                <w:sz w:val="24"/>
              </w:rPr>
              <w:t>: maħruġa minn sussidjarji</w:t>
            </w:r>
          </w:p>
        </w:tc>
      </w:tr>
      <w:tr w:rsidR="00FB08AF" w:rsidRPr="00FB08AF" w14:paraId="2CFE4F64" w14:textId="77777777" w:rsidTr="00762AE8">
        <w:tc>
          <w:tcPr>
            <w:tcW w:w="1129" w:type="dxa"/>
            <w:vAlign w:val="center"/>
          </w:tcPr>
          <w:p w14:paraId="1667A13F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0800</w:t>
            </w:r>
          </w:p>
        </w:tc>
        <w:tc>
          <w:tcPr>
            <w:tcW w:w="7620" w:type="dxa"/>
            <w:vAlign w:val="center"/>
          </w:tcPr>
          <w:p w14:paraId="20A1B645" w14:textId="1172CBDD" w:rsidR="00762AE8" w:rsidRPr="00FB08AF" w:rsidRDefault="00762AE8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Obbligazzjonijiet eliġibbli oħrajn ta’ MREL &gt;= sena</w:t>
            </w:r>
          </w:p>
          <w:p w14:paraId="76DA3A5F" w14:textId="4DF75699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Kwalunkwe strument ieħor li huwa eliġibbli għall-finijiet tal-Artikolu 45</w:t>
            </w:r>
            <w:r>
              <w:t xml:space="preserve"> tad-Direttiva 2014/59/UE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</w:tc>
      </w:tr>
      <w:tr w:rsidR="00FB08AF" w:rsidRPr="00FB08AF" w14:paraId="77278EFF" w14:textId="77777777" w:rsidTr="00762AE8">
        <w:tc>
          <w:tcPr>
            <w:tcW w:w="1129" w:type="dxa"/>
            <w:vAlign w:val="center"/>
          </w:tcPr>
          <w:p w14:paraId="333872FD" w14:textId="5AB9C055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0810</w:t>
            </w:r>
          </w:p>
        </w:tc>
        <w:tc>
          <w:tcPr>
            <w:tcW w:w="7620" w:type="dxa"/>
            <w:vAlign w:val="center"/>
          </w:tcPr>
          <w:p w14:paraId="17A02E94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maturità residwa &gt;= sena u &lt; sentejn</w:t>
            </w:r>
          </w:p>
        </w:tc>
      </w:tr>
      <w:tr w:rsidR="00FB08AF" w:rsidRPr="00FB08AF" w14:paraId="3D6B2982" w14:textId="77777777" w:rsidTr="00762AE8">
        <w:tc>
          <w:tcPr>
            <w:tcW w:w="1129" w:type="dxa"/>
            <w:vAlign w:val="center"/>
          </w:tcPr>
          <w:p w14:paraId="43A5C56C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0820</w:t>
            </w:r>
          </w:p>
        </w:tc>
        <w:tc>
          <w:tcPr>
            <w:tcW w:w="7620" w:type="dxa"/>
            <w:vAlign w:val="center"/>
          </w:tcPr>
          <w:p w14:paraId="49939295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maturità residwa &gt;= sentejn</w:t>
            </w:r>
          </w:p>
        </w:tc>
      </w:tr>
      <w:tr w:rsidR="00762AE8" w:rsidRPr="00FB08AF" w14:paraId="11DE9C50" w14:textId="77777777" w:rsidTr="00762AE8">
        <w:tc>
          <w:tcPr>
            <w:tcW w:w="1129" w:type="dxa"/>
            <w:vAlign w:val="center"/>
          </w:tcPr>
          <w:p w14:paraId="53242FBA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0830</w:t>
            </w:r>
          </w:p>
        </w:tc>
        <w:tc>
          <w:tcPr>
            <w:tcW w:w="7620" w:type="dxa"/>
            <w:vAlign w:val="center"/>
          </w:tcPr>
          <w:p w14:paraId="2E47C1B2" w14:textId="77777777" w:rsidR="00762AE8" w:rsidRPr="00FB08AF" w:rsidRDefault="00762AE8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maħruġa minn sussidjarji</w:t>
            </w:r>
          </w:p>
        </w:tc>
      </w:tr>
    </w:tbl>
    <w:p w14:paraId="70AF81D2" w14:textId="77777777" w:rsidR="00762AE8" w:rsidRPr="00FB08AF" w:rsidRDefault="00762AE8" w:rsidP="00C15B90"/>
    <w:p w14:paraId="5D18E546" w14:textId="5B55411B" w:rsidR="00C91ACB" w:rsidRPr="00FB08AF" w:rsidRDefault="00C91ACB" w:rsidP="002A276F">
      <w:pPr>
        <w:pStyle w:val="Numberedtilelevel1"/>
      </w:pPr>
      <w:bookmarkStart w:id="62" w:name="_Toc45558493"/>
      <w:r>
        <w:t>Klassifikazzjoni tal-kredituri</w:t>
      </w:r>
      <w:bookmarkEnd w:id="62"/>
    </w:p>
    <w:p w14:paraId="2625F207" w14:textId="7E2342CE" w:rsidR="00C91ACB" w:rsidRPr="00FB08AF" w:rsidRDefault="00C91ACB" w:rsidP="00A41ECA">
      <w:pPr>
        <w:pStyle w:val="InstructionsText2"/>
      </w:pPr>
      <w:r>
        <w:t>Il-mudelli M 05.00 u M 06.00 ikopru l-klassifikazzjoni tal-obbligazzjonijiet eliġibbli fil-ġerarkija tal-kredituri. Iż-żewġ mudelli dejjem jiġu rrapportati fil-livell individwali.</w:t>
      </w:r>
    </w:p>
    <w:p w14:paraId="18C2B303" w14:textId="229D9162" w:rsidR="00C91ACB" w:rsidRPr="00FB08AF" w:rsidRDefault="00C91ACB" w:rsidP="00A41ECA">
      <w:pPr>
        <w:pStyle w:val="InstructionsText2"/>
      </w:pPr>
      <w:r>
        <w:t>Fil-każ ta’ entitajiet li huma stess ma jkunux entitajiet ta’ riżoluzzjoni, l-ammont attribwibbli għal kull grad jiġi diżaggregat aktar f’ammonti dovuti lill-entità ta’ riżoluzzjoni u ammonti oħrajn mhux dovuti lill-entità ta’ riżoluzzjoni, fejn applikabbli.</w:t>
      </w:r>
    </w:p>
    <w:p w14:paraId="21EE5EAE" w14:textId="77777777" w:rsidR="00C91ACB" w:rsidRPr="00FB08AF" w:rsidRDefault="00C91ACB" w:rsidP="00A41ECA">
      <w:pPr>
        <w:pStyle w:val="InstructionsText2"/>
      </w:pPr>
      <w:r>
        <w:t>Il-klassifikazzjoni tiġi ppreżentata mill-aktar subordinata sal-aktar superjuri. Ir-ringieli għall-gradi għandhom jiżdiedu sakemm ikunu ġew irrapportati l-aktar strument eliġibbli ta’ klassifikazzjoni superjuri u l-obbligazzjonijiet kollha li jikklassifikaw pari passu miegħu.</w:t>
      </w:r>
    </w:p>
    <w:p w14:paraId="50B30E08" w14:textId="117FE293" w:rsidR="00C91ACB" w:rsidRPr="00FB08AF" w:rsidRDefault="00C91ACB" w:rsidP="00873459">
      <w:pPr>
        <w:pStyle w:val="Numberedtilelevel1"/>
        <w:numPr>
          <w:ilvl w:val="1"/>
          <w:numId w:val="30"/>
        </w:numPr>
      </w:pPr>
      <w:bookmarkStart w:id="63" w:name="_Toc45558494"/>
      <w:r>
        <w:t>M 05.00 – Klassifikazzjoni tal-kredituri (entità li mhijiex entità ta’ riżoluzzjoni)</w:t>
      </w:r>
      <w:bookmarkEnd w:id="63"/>
    </w:p>
    <w:p w14:paraId="002E2273" w14:textId="2F56247E" w:rsidR="00C91ACB" w:rsidRPr="00FB08AF" w:rsidRDefault="00C91ACB" w:rsidP="00873459">
      <w:pPr>
        <w:pStyle w:val="Numberedtilelevel1"/>
        <w:numPr>
          <w:ilvl w:val="2"/>
          <w:numId w:val="30"/>
        </w:numPr>
      </w:pPr>
      <w:bookmarkStart w:id="64" w:name="_Toc16868645"/>
      <w:bookmarkStart w:id="65" w:name="_Toc20316758"/>
      <w:bookmarkStart w:id="66" w:name="_Toc45558495"/>
      <w:r>
        <w:t>Kummenti ġenerali</w:t>
      </w:r>
      <w:bookmarkEnd w:id="64"/>
      <w:bookmarkEnd w:id="65"/>
      <w:bookmarkEnd w:id="66"/>
    </w:p>
    <w:p w14:paraId="627C4E67" w14:textId="13CBE53A" w:rsidR="005B59C9" w:rsidRPr="00FB08AF" w:rsidRDefault="00BD1023" w:rsidP="00A41ECA">
      <w:pPr>
        <w:pStyle w:val="InstructionsText2"/>
      </w:pPr>
      <w:r>
        <w:t>L-entitajiet li huma soġġetti għall-obbligu li jikkonformaw mar-rekwiżit stabbilit fl-Artikolu 92b tar-Regolament (UE) Nru 575/2013 għandhom jirrapportaw f’dan il-mudell:</w:t>
      </w:r>
    </w:p>
    <w:p w14:paraId="1ED4982B" w14:textId="10259DA4" w:rsidR="005B59C9" w:rsidRPr="00FB08AF" w:rsidRDefault="005B59C9" w:rsidP="00A41ECA">
      <w:pPr>
        <w:pStyle w:val="InstructionsText2"/>
        <w:numPr>
          <w:ilvl w:val="1"/>
          <w:numId w:val="15"/>
        </w:numPr>
      </w:pPr>
      <w:r>
        <w:t>Entrati CET1 kif imsemmi fl-Artikolu 26 tar-Regolament (UE) Nru 575/2013;</w:t>
      </w:r>
    </w:p>
    <w:p w14:paraId="5BDB8BA9" w14:textId="0E1D5F91" w:rsidR="005B59C9" w:rsidRPr="00FB08AF" w:rsidRDefault="005B59C9" w:rsidP="00A41ECA">
      <w:pPr>
        <w:pStyle w:val="InstructionsText2"/>
        <w:numPr>
          <w:ilvl w:val="1"/>
          <w:numId w:val="15"/>
        </w:numPr>
      </w:pPr>
      <w:r>
        <w:t>Entrati AT1 kif imsemmi fl-Artikolu 51 tar-Regolament (UE) Nru 575/2013;</w:t>
      </w:r>
    </w:p>
    <w:p w14:paraId="2BC0BBDC" w14:textId="777D7399" w:rsidR="005B59C9" w:rsidRPr="00FB08AF" w:rsidRDefault="005B59C9" w:rsidP="00A41ECA">
      <w:pPr>
        <w:pStyle w:val="InstructionsText2"/>
        <w:numPr>
          <w:ilvl w:val="1"/>
          <w:numId w:val="15"/>
        </w:numPr>
      </w:pPr>
      <w:r>
        <w:lastRenderedPageBreak/>
        <w:t>Strumenti T2 u l-primjum azzjonarju assoċjat, kif imsemmi fl-Artikolu 62, il-punti (a) u (b), tar-Regolament (UE) Nru 575/2013, inkluża l-parti amortizzata tal-istrument mhux rikonoxxuta għall-finijiet ta’ konformità mar-rekwiżiti stabbiliti fl-Artikoli 92 jew 92b ta’ dak ir-Regolament (UE) jew l-Artikolu 45 tad-Direttiva 2014/59/UE; kif ukoll</w:t>
      </w:r>
    </w:p>
    <w:p w14:paraId="3C2101A2" w14:textId="4BF53639" w:rsidR="005B59C9" w:rsidRPr="00FB08AF" w:rsidRDefault="001D0B80" w:rsidP="00A41ECA">
      <w:pPr>
        <w:pStyle w:val="InstructionsText2"/>
        <w:numPr>
          <w:ilvl w:val="1"/>
          <w:numId w:val="15"/>
        </w:numPr>
      </w:pPr>
      <w:r>
        <w:t xml:space="preserve">strumenti tal-obbligazzjonijiet eliġibbli biex jissodisfaw l-MREL intern; </w:t>
      </w:r>
    </w:p>
    <w:p w14:paraId="3AB7FC53" w14:textId="1519070D" w:rsidR="00F07E87" w:rsidRPr="00FB08AF" w:rsidRDefault="002854B5" w:rsidP="00A41ECA">
      <w:pPr>
        <w:pStyle w:val="InstructionsText2"/>
        <w:numPr>
          <w:ilvl w:val="1"/>
          <w:numId w:val="15"/>
        </w:numPr>
      </w:pPr>
      <w:r>
        <w:t xml:space="preserve">obbligazzjonijiet oħrajn ta’ kapaċità ta’ rikapitalizzazzjoni interna; </w:t>
      </w:r>
    </w:p>
    <w:p w14:paraId="4B50C36D" w14:textId="1C6214FE" w:rsidR="00BD1023" w:rsidRPr="00FB08AF" w:rsidRDefault="00F07E87" w:rsidP="00A41ECA">
      <w:pPr>
        <w:pStyle w:val="InstructionsText2"/>
        <w:numPr>
          <w:ilvl w:val="1"/>
          <w:numId w:val="15"/>
        </w:numPr>
      </w:pPr>
      <w:r>
        <w:t xml:space="preserve">obbligazzjonijiet esklużi mir-rikapitalizzazzjoni interna; dawk l-obbligazzjonijiet esklużi mir-rikapitalizzazzjoni interna għandhom jiġu inklużi sal-punt li jikklassifikaw pari passu ma’ kwalunkwe strument inkluż fl-ammont ta’ obbligazzjonijiet eliġibbli għall-finijiet tal-MREL intern jew subordinati għalih. </w:t>
      </w:r>
    </w:p>
    <w:p w14:paraId="3B9B66AD" w14:textId="79CC074C" w:rsidR="00F07E87" w:rsidRPr="00FB08AF" w:rsidRDefault="004938DD" w:rsidP="00A41ECA">
      <w:pPr>
        <w:pStyle w:val="InstructionsText2"/>
      </w:pPr>
      <w:r>
        <w:t>L-ammonti ta’ strumenti li jikkwalifikaw għall-konformità mar-rekwiżiti stabbiliti fl-Artikoli 92 jew 92b tar-Regolament (UE) Nru 575/2013 jew l-Artikolu 45 tad-Direttiva 2014/59/UE f’konformità mad-dispożizzjonijiet tranżizzjonali applikabbli għandhom jitqiesu wkoll fil-kamp ta’ applikazzjoni tal-istrumenti u l-elementi elenkati fil-paragrafu 20.</w:t>
      </w:r>
    </w:p>
    <w:p w14:paraId="53BEC45A" w14:textId="0B58E749" w:rsidR="00F07E87" w:rsidRPr="00FB08AF" w:rsidRDefault="00F07E87" w:rsidP="00A41ECA">
      <w:pPr>
        <w:pStyle w:val="InstructionsText2"/>
      </w:pPr>
      <w:r>
        <w:t xml:space="preserve">L-ammonti tal-istrumenti msemmija fil-paragrafu 20, il-punti (a), (b) u (c), għandhom ikunu l-ammont wara li jitnaqqsu l-parteċipazzjonijiet tal-istrumenti proprji kif imsemmi fl-Artikolu 36(1), il-punt (f), l-Artikolu 56, il-punt (a), u l-Artikolu 66, il-punt (a), tar-Regolament (UE) Nru 575/2013. </w:t>
      </w:r>
    </w:p>
    <w:p w14:paraId="587F91CD" w14:textId="329A01DA" w:rsidR="00F07E87" w:rsidRPr="00FB08AF" w:rsidRDefault="00F07E87" w:rsidP="00A41ECA">
      <w:pPr>
        <w:pStyle w:val="InstructionsText2"/>
      </w:pPr>
      <w:r>
        <w:t>L-ammonti tal-istrumenti msemmija fil-paragrafu 20, il-punti (a) sa (d), għandhom ikunu l-ammont qabel ma jitnaqqsu l-ammonti ta’ permessi minn qabel mhux użati.</w:t>
      </w:r>
    </w:p>
    <w:p w14:paraId="275B2F72" w14:textId="5ED34F87" w:rsidR="00C91BDF" w:rsidRPr="00FB08AF" w:rsidRDefault="00F942C9" w:rsidP="00A41ECA">
      <w:pPr>
        <w:pStyle w:val="InstructionsText2"/>
      </w:pPr>
      <w:r>
        <w:t>L-entitajiet li mhumiex soġġetti għall-obbligu li jikkonformaw mar-rekwiżit stabbilit fl-Artikolu 92b tar-Regolament (UE) Nru 575/2013, iżda li huma soġġetti għall-obbligu li jikkonformaw mar-rekwiżit stabbilit fl-Artikolu 45 tad-Direttiva 2014/59/UE f’konformità mal-Artikolu 45f ta’ dik id-Direttiva, għandhom jirrapportaw f’din il-formola l-istrumenti u l-entrata speċifikati fil-paragrafu 20 ta’ din it-Taqsima, bl-eċċezzjoni tal-obbligazzjonijiet esklużi mir-rikapitalizzazzjoni interna msemmija fil-punt (f) ta’ dak il-paragrafu.</w:t>
      </w:r>
    </w:p>
    <w:p w14:paraId="3C363ACA" w14:textId="4AF65FDD" w:rsidR="00F942C9" w:rsidRPr="00FB08AF" w:rsidRDefault="00586927" w:rsidP="00A41ECA">
      <w:pPr>
        <w:pStyle w:val="InstructionsText2"/>
      </w:pPr>
      <w:r>
        <w:t>B’deroga mill-paragrafu 24, dawk l-entitajiet jistgħu jagħżlu li jirrapportaw l-istess firxa ta’ fondi u l-obbligazzjonijiet proprji kif speċifikat fil-paragrafu 20.</w:t>
      </w:r>
    </w:p>
    <w:p w14:paraId="2D11E02F" w14:textId="211DD7F3" w:rsidR="00453B42" w:rsidRPr="00FB08AF" w:rsidRDefault="00FC1379" w:rsidP="00A41ECA">
      <w:pPr>
        <w:pStyle w:val="InstructionsText2"/>
      </w:pPr>
      <w:r>
        <w:t>L-entitajiet li, fid-data tar-rapportar ta’ dik l-informazzjoni, iżommu ammonti ta’ fondi proprji u obbligazzjonijiet eliġibbli ta’ mill-inqas 150 % tar-rekwiżit imsemmi fl-Artikolu 45(1) tad-Direttiva 2014/59/UE, għandhom jiġu eżentati mir-rapportar ta’ informazzjoni dwar obbligazzjonijiet oħrajn ta’ kapaċità ta’ rikapitalizzazzjoni interna. Tali entitajiet jistgħu jagħżlu li jirrapportaw l-informazzjoni dwar obbligazzjonijiet oħrajn ta’ kapaċità ta’ rikapitalizzazzjoni interna f’dan il-mudell fuq bażi volontarja.</w:t>
      </w:r>
    </w:p>
    <w:p w14:paraId="04EC4B94" w14:textId="2CAEDC93" w:rsidR="00C91ACB" w:rsidRPr="00FB08AF" w:rsidRDefault="00C91ACB" w:rsidP="00A41ECA">
      <w:pPr>
        <w:pStyle w:val="InstructionsText2"/>
      </w:pPr>
      <w:r>
        <w:lastRenderedPageBreak/>
        <w:t>Il-kombinazzjoni tal-kolonni 0010 u 0020 hija identifikatur tar-ringiela li għandu jkun uniku għar-ringieli kollha fil-mudell.</w:t>
      </w:r>
    </w:p>
    <w:p w14:paraId="781C3046" w14:textId="3C797AB8" w:rsidR="00C91ACB" w:rsidRPr="00FB08AF" w:rsidRDefault="00C91ACB" w:rsidP="00873459">
      <w:pPr>
        <w:pStyle w:val="Numberedtilelevel1"/>
        <w:numPr>
          <w:ilvl w:val="2"/>
          <w:numId w:val="30"/>
        </w:numPr>
      </w:pPr>
      <w:bookmarkStart w:id="67" w:name="_Toc16868646"/>
      <w:bookmarkStart w:id="68" w:name="_Toc20316759"/>
      <w:bookmarkStart w:id="69" w:name="_Toc45558496"/>
      <w:r>
        <w:t>Struzzjonijiet dwar pożizzjonijiet speċifiċi</w:t>
      </w:r>
      <w:bookmarkEnd w:id="67"/>
      <w:bookmarkEnd w:id="68"/>
      <w:bookmarkEnd w:id="69"/>
    </w:p>
    <w:p w14:paraId="6C74EEE4" w14:textId="77777777" w:rsidR="00C91ACB" w:rsidRPr="00FB08AF" w:rsidRDefault="00C91ACB" w:rsidP="00A41ECA">
      <w:pPr>
        <w:pStyle w:val="InstructionsText"/>
      </w:pPr>
    </w:p>
    <w:tbl>
      <w:tblPr>
        <w:tblW w:w="8749" w:type="dxa"/>
        <w:tblInd w:w="539" w:type="dxa"/>
        <w:tblLayout w:type="fixed"/>
        <w:tblLook w:val="00A0" w:firstRow="1" w:lastRow="0" w:firstColumn="1" w:lastColumn="0" w:noHBand="0" w:noVBand="0"/>
      </w:tblPr>
      <w:tblGrid>
        <w:gridCol w:w="1129"/>
        <w:gridCol w:w="7620"/>
      </w:tblGrid>
      <w:tr w:rsidR="00FB08AF" w:rsidRPr="00FB08AF" w14:paraId="609D8C43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FD8575" w14:textId="77777777" w:rsidR="00C91ACB" w:rsidRPr="00FB08AF" w:rsidRDefault="00C91ACB" w:rsidP="00A41ECA">
            <w:pPr>
              <w:pStyle w:val="InstructionsText"/>
            </w:pPr>
            <w:r>
              <w:t>Kolonni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F5B140" w14:textId="77777777" w:rsidR="00C91ACB" w:rsidRPr="00FB08AF" w:rsidRDefault="00C91ACB" w:rsidP="00A41ECA">
            <w:pPr>
              <w:pStyle w:val="InstructionsText"/>
            </w:pPr>
            <w:r>
              <w:t>Referenzi u struzzjonijiet legali</w:t>
            </w:r>
          </w:p>
        </w:tc>
      </w:tr>
      <w:tr w:rsidR="00FB08AF" w:rsidRPr="00FB08AF" w14:paraId="1FFEE763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C008" w14:textId="77777777" w:rsidR="00C91ACB" w:rsidRPr="00FB08AF" w:rsidRDefault="00C91ACB" w:rsidP="00A41ECA">
            <w:pPr>
              <w:pStyle w:val="InstructionsText"/>
            </w:pPr>
            <w:r>
              <w:t>0010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B6A3" w14:textId="77777777" w:rsidR="00C91ACB" w:rsidRPr="00FB08AF" w:rsidRDefault="00C91ACB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 xml:space="preserve">Grad ta’ insolvenza </w:t>
            </w:r>
          </w:p>
          <w:p w14:paraId="257C9336" w14:textId="77777777" w:rsidR="00C91ACB" w:rsidRPr="00FB08AF" w:rsidRDefault="00C91A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Għandu jiġi rrapportat in-numru tal-grad ta’ insolvenza fil-ġerarkija tal-kredituri tal-entità li tirrapporta, li jibda bl-aktar grad subordinat.</w:t>
            </w:r>
          </w:p>
          <w:p w14:paraId="37284C2B" w14:textId="5590BC07" w:rsidR="00C91ACB" w:rsidRPr="00FB08AF" w:rsidRDefault="00C91A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Il-grad ta’ insolvenza għandu jkun wieħed mill-gradi inklużi fil-klassifikazzjonijiet tal-insolvenza ppubblikati mill-awtorità ta’ riżoluzzjoni ta’ dik il-ġuriżdizzjoni.</w:t>
            </w:r>
          </w:p>
        </w:tc>
      </w:tr>
      <w:tr w:rsidR="00FB08AF" w:rsidRPr="00FB08AF" w14:paraId="3500C29E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8BAC" w14:textId="77777777" w:rsidR="00C91ACB" w:rsidRPr="00FB08AF" w:rsidRDefault="00C91ACB" w:rsidP="00A41ECA">
            <w:pPr>
              <w:pStyle w:val="InstructionsText"/>
            </w:pPr>
            <w:r>
              <w:t>0020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FCA2" w14:textId="77777777" w:rsidR="00C91ACB" w:rsidRPr="00FB08AF" w:rsidRDefault="00C91ACB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 xml:space="preserve">Tip ta’ kreditur </w:t>
            </w:r>
          </w:p>
          <w:p w14:paraId="65F1A0B3" w14:textId="77777777" w:rsidR="00C91ACB" w:rsidRPr="00FB08AF" w:rsidRDefault="00C91A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It-tip ta’ kreditur għandu jkun waħda minn dawn li ġejjin:</w:t>
            </w:r>
          </w:p>
          <w:p w14:paraId="01AEE8AB" w14:textId="77777777" w:rsidR="00C91ACB" w:rsidRPr="00FB08AF" w:rsidRDefault="00C91ACB" w:rsidP="00A41ECA">
            <w:pPr>
              <w:pStyle w:val="InstructionsText"/>
              <w:numPr>
                <w:ilvl w:val="0"/>
                <w:numId w:val="25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“Entità ta’ riżoluzzjoni”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br/>
              <w:t>Din l-entrata għandha tintgħażel biex tirrapporta l-ammonti li huma direttament jew indirettament proprjetà tal-entità ta’ riżoluzzjoni permezz ta’ entitajiet tul il-katina ta’ sjieda, fejn applikabbli.</w:t>
            </w:r>
          </w:p>
          <w:p w14:paraId="2E20A258" w14:textId="77777777" w:rsidR="00C91ACB" w:rsidRPr="00FB08AF" w:rsidRDefault="00C91ACB" w:rsidP="00A41ECA">
            <w:pPr>
              <w:pStyle w:val="InstructionsText"/>
              <w:numPr>
                <w:ilvl w:val="0"/>
                <w:numId w:val="25"/>
              </w:numPr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“Entitajiet għajr l-entità ta’ riżoluzzjoni”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br/>
              <w:t>Din l-entrata għandha tintgħażel biex tirrapporta l-ammonti li huma proprjetà ta’ kredituri oħrajn, fejn applikabbli.</w:t>
            </w:r>
          </w:p>
        </w:tc>
      </w:tr>
      <w:tr w:rsidR="00FB08AF" w:rsidRPr="00FB08AF" w14:paraId="0748F15A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FE2A" w14:textId="77777777" w:rsidR="00C91ACB" w:rsidRPr="00FB08AF" w:rsidRDefault="00C91ACB" w:rsidP="00A41ECA">
            <w:pPr>
              <w:pStyle w:val="InstructionsText"/>
            </w:pPr>
            <w:r>
              <w:t>0030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7822" w14:textId="77777777" w:rsidR="00C91ACB" w:rsidRPr="00FB08AF" w:rsidRDefault="00C91ACB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Deskrizzjoni tal-grad ta’ insolvenza</w:t>
            </w:r>
          </w:p>
          <w:p w14:paraId="122A9954" w14:textId="50727B02" w:rsidR="00C91ACB" w:rsidRPr="00FB08AF" w:rsidRDefault="00C91A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Id-deskrizzjoni inkluża fil-klassifikazzjonijiet tal-insolvenza ppubblikati mill-awtorità ta’ riżoluzzjoni ta’ dik il-ġuriżdizzjoni, fejn tkun disponibbli lista standardizzata li tinkludi tali deskrizzjoni. Inkella, id-deskrizzjoni proprja tal-grad ta’ insolvenza mill-istituzzjoni, li ssemmi mill-inqas it-tip ewlieni ta’ strument fil-grad ta’ insolvenza rispettiv.</w:t>
            </w:r>
          </w:p>
        </w:tc>
      </w:tr>
      <w:tr w:rsidR="00FB08AF" w:rsidRPr="00FB08AF" w14:paraId="23F114F8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C843" w14:textId="77777777" w:rsidR="00C91ACB" w:rsidRPr="00FB08AF" w:rsidRDefault="00C91ACB" w:rsidP="00A41ECA">
            <w:pPr>
              <w:pStyle w:val="InstructionsText"/>
            </w:pPr>
            <w:r>
              <w:t>0040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7F84" w14:textId="0047A2EB" w:rsidR="00C91ACB" w:rsidRPr="00FB08AF" w:rsidRDefault="00C91ACB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Obbligazzjonijiet u fondi proprji</w:t>
            </w:r>
          </w:p>
          <w:p w14:paraId="03660D92" w14:textId="490D18A6" w:rsidR="00CA73FF" w:rsidRPr="00FB08AF" w:rsidRDefault="00C91A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Għandu jiġi rrapportat l-ammont ta’ fondi proprji, ta’ obbligazzjonijiet eliġibbli u, fejn applikabbli, ta’ obbligazzjonijiet oħrajn ta’ kapaċità ta’ rikapitalizzazzjoni interna li huwa allokat għall-grad ta’ insolvenza indikat fil-kolonna 0010.</w:t>
            </w:r>
          </w:p>
          <w:p w14:paraId="3EAF0BAC" w14:textId="7A1FF05A" w:rsidR="00C91ACB" w:rsidRPr="00FB08AF" w:rsidRDefault="00CA73FF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Fejn applikabbli, din il-kolonna għandha tinkludi wkoll obbligazzjonijiet esklużi mir-rikapitalizzazzjoni interna sal-punt li huma jikklassifikaw inqas minn jew pari passu mal-fondi proprji u l-obbligazzjonijiet eliġibbli. </w:t>
            </w:r>
          </w:p>
          <w:p w14:paraId="7816F63A" w14:textId="75FF0FBE" w:rsidR="00586927" w:rsidRPr="00FB08AF" w:rsidRDefault="00586927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t>Fil-każ tal-entitajiet imsemmija fil-paragrafu 24, din il-kolonna għandha titħalla vojta, sakemm dawk l-entitajiet ma jagħżlux li japplikaw id-deroga tal-paragrafu 25.</w:t>
            </w:r>
          </w:p>
        </w:tc>
      </w:tr>
      <w:tr w:rsidR="00FB08AF" w:rsidRPr="00FB08AF" w14:paraId="0C18F0D6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3858" w14:textId="77777777" w:rsidR="00C91ACB" w:rsidRPr="00FB08AF" w:rsidRDefault="00C91ACB" w:rsidP="00A41ECA">
            <w:pPr>
              <w:pStyle w:val="InstructionsText"/>
            </w:pPr>
            <w:r>
              <w:t>0050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8866" w14:textId="13FD12C2" w:rsidR="00C91ACB" w:rsidRPr="00FB08AF" w:rsidRDefault="00C91ACB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obbligazzjonijiet esklużi</w:t>
            </w:r>
          </w:p>
          <w:p w14:paraId="6FB0E40C" w14:textId="550BD034" w:rsidR="00C91ACB" w:rsidRPr="00FB08AF" w:rsidRDefault="00C91A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 ta’ obbligazzjonijiet esklużi f’konformità mal-Artikolu 72a(2) tar-Regolament (UE) Nru 575/2013 jew mal-Artikolu 44(2) tad-D</w:t>
            </w:r>
            <w:r>
              <w:t>irettiva 2014/59/UE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. Meta l-awtorità ta’ riżoluzzjoni tkun iddeċidiet li teskludi l-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obbligazzjonijiet f’konformità mal-Artikolu 44(3) ta’ dik id-Direttiva, dawk l-obbligazzjonijiet esklużi għandhom jiġu rrapportati f’din il-kolonna wkoll.</w:t>
            </w:r>
          </w:p>
          <w:p w14:paraId="2571716C" w14:textId="535D396F" w:rsidR="00586927" w:rsidRPr="00FB08AF" w:rsidRDefault="00586927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t>Fil-każ tal-entitajiet imsemmija fil-paragrafu 24, din il-kolonna għandha titħalla vojta, sakemm dawk l-entitajiet ma jagħżlux li japplikaw id-deroga tal-paragrafu 25.</w:t>
            </w:r>
          </w:p>
        </w:tc>
      </w:tr>
      <w:tr w:rsidR="00FB08AF" w:rsidRPr="00FB08AF" w14:paraId="4E4EDAD1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08DA" w14:textId="77777777" w:rsidR="00C91ACB" w:rsidRPr="00FB08AF" w:rsidRDefault="00C91ACB" w:rsidP="00A41ECA">
            <w:pPr>
              <w:pStyle w:val="InstructionsText"/>
            </w:pPr>
            <w:r>
              <w:lastRenderedPageBreak/>
              <w:t>0060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5523" w14:textId="3243342B" w:rsidR="00C91ACB" w:rsidRPr="00FB08AF" w:rsidRDefault="00C91ACB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Obbligazzjonijiet u fondi proprji wara li jitnaqqsu l-obbligazzjonijiet esklużi</w:t>
            </w:r>
          </w:p>
          <w:p w14:paraId="7EBBC66A" w14:textId="270A00CE" w:rsidR="00C91ACB" w:rsidRPr="00FB08AF" w:rsidRDefault="006B1D21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Fil-każ li l-entitajiet jimlew il-kolonna 0040, għandu jiġi rrapportat l-ammont ta’ obbligazzjonijiet u fondi proprji, kif irrapportat fil-kolonna 0040, imnaqqas bl-ammont ta’ obbligazzjonijiet esklużi rrapportat fil-kolonna 0050.</w:t>
            </w:r>
          </w:p>
          <w:p w14:paraId="5A6ACD32" w14:textId="010EC8FF" w:rsidR="006B1D21" w:rsidRPr="00FB08AF" w:rsidRDefault="00B77345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Meta l-entitajiet ma jimlewx il-kolonna 0040, huma għandhom jirrapportaw</w:t>
            </w:r>
            <w:r>
              <w:t xml:space="preserve"> il-fondi proprji u l-obbligazzjonijiet eliġibbli għall-finijiet tal-MREL intern f’din il-kolonna. Obbligazzjonijiet oħrajn b’kapaċità ta’ rikapitalizzazzjoni interna għandhom jiġu rrapportati f’din il-kolonna soġġetti għall-kundizzjonijiet speċifikati fil-paragrafu 26.</w:t>
            </w:r>
          </w:p>
        </w:tc>
      </w:tr>
      <w:tr w:rsidR="00FB08AF" w:rsidRPr="00FB08AF" w14:paraId="19D26BD4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7418" w14:textId="77777777" w:rsidR="00C91ACB" w:rsidRPr="00FB08AF" w:rsidRDefault="00C91ACB" w:rsidP="00A41ECA">
            <w:pPr>
              <w:pStyle w:val="InstructionsText"/>
            </w:pPr>
            <w:r>
              <w:t>0070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9355" w14:textId="77777777" w:rsidR="00C91ACB" w:rsidRPr="00FB08AF" w:rsidRDefault="00C91ACB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fondi proprji u obbligazzjonijiet eliġibbli għall-fini ta’ MREL intern</w:t>
            </w:r>
          </w:p>
          <w:p w14:paraId="61B28CDA" w14:textId="2F99546E" w:rsidR="00C91ACB" w:rsidRPr="00FB08AF" w:rsidRDefault="00C91A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 ta’ fondi proprji u obbligazzjonijiet eliġibbli li jgħoddu għall-MREL intern f’konformità mal-Artikolu 45f(2) tad-</w:t>
            </w:r>
            <w:r>
              <w:t xml:space="preserve">Direttiva 2014/59/UE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għandu jiġi rrapportat.</w:t>
            </w:r>
          </w:p>
        </w:tc>
      </w:tr>
      <w:tr w:rsidR="00FB08AF" w:rsidRPr="00FB08AF" w14:paraId="12394B2F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F5552" w14:textId="77777777" w:rsidR="00C91ACB" w:rsidRPr="00FB08AF" w:rsidRDefault="00C91ACB" w:rsidP="00A41ECA">
            <w:pPr>
              <w:pStyle w:val="InstructionsText"/>
            </w:pPr>
            <w:r>
              <w:t>0080 - 0110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8F233" w14:textId="77777777" w:rsidR="00C91ACB" w:rsidRPr="00FB08AF" w:rsidRDefault="00C91A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Style w:val="FormatvorlageInstructionsTabelleText"/>
                <w:rFonts w:ascii="Times New Roman" w:hAnsi="Times New Roman"/>
                <w:b/>
                <w:sz w:val="24"/>
                <w:u w:val="single"/>
              </w:rPr>
              <w:t>li minnhom: b’maturità residwa ta’</w:t>
            </w:r>
          </w:p>
          <w:p w14:paraId="747045F9" w14:textId="55F8A8A2" w:rsidR="00C91ACB" w:rsidRPr="00FB08AF" w:rsidRDefault="00C91A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 ta’ fondi proprji u obbligazzjonijiet eliġibbli li jgħoddu għall-MREL intern, kif irrapportat fil-kolonna 0070, għandu jiġi diżaggregat skont il-maturità residwa tal-istrumenti u l-entrati differenti. L-istrumenti u l-entrati ta’ natura perpetwa ma għandhomx jitqiesu f’din id-diżaggregazzjoni, iżda għandhom jiġu rrapportati separatament fil-kolonna 0120.</w:t>
            </w:r>
          </w:p>
        </w:tc>
      </w:tr>
      <w:tr w:rsidR="00FB08AF" w:rsidRPr="00FB08AF" w14:paraId="00BB98F7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08F1" w14:textId="77777777" w:rsidR="00C91ACB" w:rsidRPr="00FB08AF" w:rsidRDefault="00C91ACB" w:rsidP="00A41ECA">
            <w:pPr>
              <w:pStyle w:val="InstructionsText"/>
            </w:pPr>
            <w:r>
              <w:t>0080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C83C" w14:textId="77777777" w:rsidR="00C91ACB" w:rsidRPr="00FB08AF" w:rsidRDefault="00C91A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 xml:space="preserve">≥ sena &lt; sentejn </w:t>
            </w:r>
          </w:p>
        </w:tc>
      </w:tr>
      <w:tr w:rsidR="00FB08AF" w:rsidRPr="00FB08AF" w14:paraId="75EF6BAC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F640" w14:textId="77777777" w:rsidR="00C91ACB" w:rsidRPr="00FB08AF" w:rsidRDefault="00C91ACB" w:rsidP="00A41ECA">
            <w:pPr>
              <w:pStyle w:val="InstructionsText"/>
            </w:pPr>
            <w:r>
              <w:t>0090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EC9C5" w14:textId="77777777" w:rsidR="00C91ACB" w:rsidRPr="00FB08AF" w:rsidRDefault="00C91A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≥ sentejn &lt; 5 snin</w:t>
            </w:r>
          </w:p>
        </w:tc>
      </w:tr>
      <w:tr w:rsidR="00FB08AF" w:rsidRPr="00FB08AF" w14:paraId="0BF0B540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8EE8" w14:textId="77777777" w:rsidR="00C91ACB" w:rsidRPr="00FB08AF" w:rsidRDefault="00C91ACB" w:rsidP="00A41ECA">
            <w:pPr>
              <w:pStyle w:val="InstructionsText"/>
            </w:pPr>
            <w:r>
              <w:t>0100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49FF" w14:textId="77777777" w:rsidR="00C91ACB" w:rsidRPr="00FB08AF" w:rsidRDefault="00C91A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≥ 5 snin &lt; 10 snin</w:t>
            </w:r>
          </w:p>
        </w:tc>
      </w:tr>
      <w:tr w:rsidR="00FB08AF" w:rsidRPr="00FB08AF" w14:paraId="689A4CF4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0429" w14:textId="77777777" w:rsidR="00C91ACB" w:rsidRPr="00FB08AF" w:rsidRDefault="00C91ACB" w:rsidP="00A41ECA">
            <w:pPr>
              <w:pStyle w:val="InstructionsText"/>
            </w:pPr>
            <w:r>
              <w:t>0110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5D4D" w14:textId="77777777" w:rsidR="00C91ACB" w:rsidRPr="00FB08AF" w:rsidRDefault="00C91A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≥ 10 snin</w:t>
            </w:r>
          </w:p>
        </w:tc>
      </w:tr>
      <w:tr w:rsidR="00C91ACB" w:rsidRPr="00FB08AF" w14:paraId="0A8502A8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721C2" w14:textId="77777777" w:rsidR="00C91ACB" w:rsidRPr="00FB08AF" w:rsidRDefault="00C91ACB" w:rsidP="00A41ECA">
            <w:pPr>
              <w:pStyle w:val="InstructionsText"/>
            </w:pPr>
            <w:r>
              <w:t>0120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7B984" w14:textId="77777777" w:rsidR="00C91ACB" w:rsidRPr="00FB08AF" w:rsidRDefault="00C91ACB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titoli perpetwi</w:t>
            </w:r>
          </w:p>
          <w:p w14:paraId="1526BF49" w14:textId="314313E1" w:rsidR="004B37F2" w:rsidRPr="00FB08AF" w:rsidRDefault="00B45720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Titoli perpetwi u l-entrati CET1 kollha, kif ukoll il-primjum azzjonarju fuq strumenti AT1 u T2 inklużi fl-ambitu ta’ din il-formola, għandhom jiġu allokati għal din il-kolonna.</w:t>
            </w:r>
          </w:p>
        </w:tc>
      </w:tr>
    </w:tbl>
    <w:p w14:paraId="2BC394D0" w14:textId="77777777" w:rsidR="00C91ACB" w:rsidRPr="00FB08AF" w:rsidRDefault="00C91ACB" w:rsidP="00C91ACB">
      <w:pPr>
        <w:rPr>
          <w:rStyle w:val="InstructionsTabelleText"/>
          <w:rFonts w:ascii="Times New Roman" w:hAnsi="Times New Roman"/>
          <w:sz w:val="24"/>
        </w:rPr>
      </w:pPr>
    </w:p>
    <w:p w14:paraId="0930C8BB" w14:textId="6780E6AB" w:rsidR="00C91ACB" w:rsidRPr="00FB08AF" w:rsidRDefault="00C91ACB" w:rsidP="00873459">
      <w:pPr>
        <w:pStyle w:val="Numberedtilelevel1"/>
        <w:numPr>
          <w:ilvl w:val="1"/>
          <w:numId w:val="30"/>
        </w:numPr>
      </w:pPr>
      <w:bookmarkStart w:id="70" w:name="_Toc45558497"/>
      <w:r>
        <w:lastRenderedPageBreak/>
        <w:t>M 06.00 – Klassifikazzjoni tal-kredituri (awtorità ta’ riżoluzzjoni) (GRAD)</w:t>
      </w:r>
      <w:bookmarkEnd w:id="70"/>
    </w:p>
    <w:p w14:paraId="2F916741" w14:textId="5CF2CFE6" w:rsidR="00C91ACB" w:rsidRPr="00FB08AF" w:rsidRDefault="00C91ACB" w:rsidP="00873459">
      <w:pPr>
        <w:pStyle w:val="Numberedtilelevel1"/>
        <w:numPr>
          <w:ilvl w:val="2"/>
          <w:numId w:val="30"/>
        </w:numPr>
      </w:pPr>
      <w:bookmarkStart w:id="71" w:name="_Toc16868648"/>
      <w:bookmarkStart w:id="72" w:name="_Toc20316761"/>
      <w:bookmarkStart w:id="73" w:name="_Toc45558498"/>
      <w:r>
        <w:t>Kummenti ġenerali</w:t>
      </w:r>
      <w:bookmarkEnd w:id="71"/>
      <w:bookmarkEnd w:id="72"/>
      <w:bookmarkEnd w:id="73"/>
    </w:p>
    <w:p w14:paraId="5542EFDB" w14:textId="45CDB215" w:rsidR="00322A0F" w:rsidRPr="00FB08AF" w:rsidRDefault="00586927" w:rsidP="00A41ECA">
      <w:pPr>
        <w:pStyle w:val="InstructionsText2"/>
      </w:pPr>
      <w:r>
        <w:t xml:space="preserve">L-entitajiet li huma soġġetti għall-obbligu li jikkonformaw mar-rekwiżit stabbilit fl-Artikolu 92a tar-Regolament (UE) Nru 575/2013 għandhom jirrapportaw f’dan il-mudell </w:t>
      </w:r>
    </w:p>
    <w:p w14:paraId="6279EFD7" w14:textId="7F35A1E6" w:rsidR="00322A0F" w:rsidRPr="00FB08AF" w:rsidRDefault="00322A0F" w:rsidP="00A41ECA">
      <w:pPr>
        <w:pStyle w:val="InstructionsText2"/>
        <w:numPr>
          <w:ilvl w:val="1"/>
          <w:numId w:val="15"/>
        </w:numPr>
      </w:pPr>
      <w:r>
        <w:t>Entrati CET1 kif imsemmi fl-Artikolu 26 tar-Regolament (UE) Nru 575/2013;</w:t>
      </w:r>
    </w:p>
    <w:p w14:paraId="7AF30828" w14:textId="4790DF54" w:rsidR="00322A0F" w:rsidRPr="00FB08AF" w:rsidRDefault="00322A0F" w:rsidP="00A41ECA">
      <w:pPr>
        <w:pStyle w:val="InstructionsText2"/>
        <w:numPr>
          <w:ilvl w:val="1"/>
          <w:numId w:val="15"/>
        </w:numPr>
      </w:pPr>
      <w:r>
        <w:t>Entrati AT1 kif imsemmi fl-Artikolu 51 tar-Regolament (UE) Nru 575/2013;</w:t>
      </w:r>
    </w:p>
    <w:p w14:paraId="7BBA0777" w14:textId="77DA25EB" w:rsidR="001C4D81" w:rsidRPr="00FB08AF" w:rsidRDefault="00322A0F" w:rsidP="00A41ECA">
      <w:pPr>
        <w:pStyle w:val="InstructionsText2"/>
        <w:numPr>
          <w:ilvl w:val="1"/>
          <w:numId w:val="15"/>
        </w:numPr>
      </w:pPr>
      <w:r>
        <w:t xml:space="preserve">Strumenti T2 u l-primjum azzjonarju assoċjat, kif imsemmi fl-Artikolu 62, il-punti (a) u (b), tar-Regolament (UE) Nru 575/2013, inkluża l-parti amortizzata tal-istrument mhux rikonoxxuta għall-finijiet ta’ konformità mar-rekwiżiti stabbiliti fl-Artikoli 92 jew 92a tar-Regolament (UE) Nru 575/2013 jew l-Artikolu 45 tad-Direttiva 2014/59/UE; </w:t>
      </w:r>
    </w:p>
    <w:p w14:paraId="66755AB2" w14:textId="7027C9DC" w:rsidR="001C4D81" w:rsidRPr="00FB08AF" w:rsidRDefault="001C4D81" w:rsidP="00A41ECA">
      <w:pPr>
        <w:pStyle w:val="InstructionsText2"/>
        <w:numPr>
          <w:ilvl w:val="1"/>
          <w:numId w:val="15"/>
        </w:numPr>
      </w:pPr>
      <w:r>
        <w:t xml:space="preserve">strumenti tal-obbligazzjonijiet eliġibbli biex jissodisfaw l-MREL; </w:t>
      </w:r>
    </w:p>
    <w:p w14:paraId="3F253CA0" w14:textId="4177F2DC" w:rsidR="001C4D81" w:rsidRPr="00FB08AF" w:rsidRDefault="001C4D81" w:rsidP="00A41ECA">
      <w:pPr>
        <w:pStyle w:val="InstructionsText2"/>
        <w:numPr>
          <w:ilvl w:val="1"/>
          <w:numId w:val="15"/>
        </w:numPr>
      </w:pPr>
      <w:r>
        <w:t>obbligazzjonijiet oħrajn ta’ kapaċità ta’ rikapitalizzazzjoni interna,</w:t>
      </w:r>
    </w:p>
    <w:p w14:paraId="5A6C0462" w14:textId="4A21FFB8" w:rsidR="00586927" w:rsidRPr="00FB08AF" w:rsidRDefault="001C4D81" w:rsidP="00A41ECA">
      <w:pPr>
        <w:pStyle w:val="InstructionsText2"/>
        <w:numPr>
          <w:ilvl w:val="1"/>
          <w:numId w:val="15"/>
        </w:numPr>
      </w:pPr>
      <w:r>
        <w:t xml:space="preserve">obbligazzjonijiet esklużi mir-rikapitalizzazzjoni interna; dawk l-obbligazzjonijiet esklużi mir-rikapitalizzazzjoni interna għandhom jiġu inklużi sal-punt li jikklassifikaw pari passu ma’ kwalunkwe strument inkluż fl-ammont ta’ obbligazzjonijiet eliġibbli għall-finijiet tal-MREL jew subordinati għalih. </w:t>
      </w:r>
    </w:p>
    <w:p w14:paraId="00E6E45F" w14:textId="155C153B" w:rsidR="001C4D81" w:rsidRPr="00FB08AF" w:rsidRDefault="00B45720" w:rsidP="00A41ECA">
      <w:pPr>
        <w:pStyle w:val="InstructionsText2"/>
      </w:pPr>
      <w:r>
        <w:t>L-ammonti ta’ strumenti li jikkwalifikaw għall-konformità mar-rekwiżiti stabbiliti fl-Artikoli 92 jew 92a tar-Regolament (UE) Nru 575/2013 jew l-Artikolu 45 tad-Direttiva 2014/59/UE f’konformità mad-dispożizzjonijiet tranżizzjonali applikabbli għandhom jitqiesu wkoll fil-kamp ta’ applikazzjoni tal-istrumenti u l-elementi elenkati fil-paragrafu 28.</w:t>
      </w:r>
    </w:p>
    <w:p w14:paraId="13BF79C7" w14:textId="449C5518" w:rsidR="00322A0F" w:rsidRPr="00FB08AF" w:rsidRDefault="00586927" w:rsidP="00A41ECA">
      <w:pPr>
        <w:pStyle w:val="InstructionsText2"/>
      </w:pPr>
      <w:r>
        <w:t xml:space="preserve">L-entitajiet li mhumiex soġġetti għall-obbligu li jikkonformaw mar-rekwiżit stabbilit fl-Artikolu 92a tar-Regolament (UE) Nru 575/2013, iżda li huma soġġetti għall-obbligu li jikkonformaw mar-rekwiżit stabbilit fl-Artikolu 45 tad-Direttiva 2014/59/UE f’konformità mal-Artikolu 45e ta’ dik id-Direttiva, għandhom jirrapportaw f’din il-formola l-istrumenti u l-entrata speċifikati fil-paragrafu 28 ta’ din it-Taqsima, bl-eċċezzjoni tal-obbligazzjonijiet esklużi mir-rikapitalizzazzjoni interna msemmija fil-punt (f) ta’ dak il-paragrafu. </w:t>
      </w:r>
    </w:p>
    <w:p w14:paraId="7CF10E5F" w14:textId="23B22620" w:rsidR="00586927" w:rsidRPr="00FB08AF" w:rsidRDefault="00322A0F" w:rsidP="00A41ECA">
      <w:pPr>
        <w:pStyle w:val="InstructionsText2"/>
      </w:pPr>
      <w:r>
        <w:t>B’deroga mill-paragrafu 30, dawk l-entitajiet jistgħu jagħżlu li jirrapportaw l-istess firxa ta’ fondi u l-obbligazzjonijiet proprji kif speċifikat fil-paragrafu 28.</w:t>
      </w:r>
    </w:p>
    <w:p w14:paraId="42EA1386" w14:textId="70CEE922" w:rsidR="00904685" w:rsidRPr="00FB08AF" w:rsidRDefault="00904685" w:rsidP="00A41ECA">
      <w:pPr>
        <w:pStyle w:val="InstructionsText2"/>
      </w:pPr>
      <w:r>
        <w:t xml:space="preserve">L-ammonti tal-istrumenti msemmija fil-paragrafu 28, il-punti (a), (b) u (c), għandhom ikunu l-ammont wara li jitnaqqsu l-parteċipazzjonijiet tal-istrumenti proprji kif imsemmi fl-Artikolu 36(1), il-punt (f), l-Artikolu 56, il-punt (a), u l-Artikolu 66, il-punt (a), tar-Regolament (UE) Nru 575/2013. </w:t>
      </w:r>
    </w:p>
    <w:p w14:paraId="28FBE016" w14:textId="3E3D56AA" w:rsidR="00904685" w:rsidRPr="00FB08AF" w:rsidRDefault="00904685" w:rsidP="00A41ECA">
      <w:pPr>
        <w:pStyle w:val="InstructionsText2"/>
      </w:pPr>
      <w:r>
        <w:t>L-ammonti tal-istrumenti msemmija fil-paragrafu 28, il-punti (a) sa (d) għandhom ikunu l-ammont qabel ma jitnaqqsu l-ammonti ta’ permessi minn qabel mhux użati.</w:t>
      </w:r>
    </w:p>
    <w:p w14:paraId="56113AA6" w14:textId="51BD8668" w:rsidR="00453B42" w:rsidRPr="00FB08AF" w:rsidRDefault="00FC1379" w:rsidP="00A41ECA">
      <w:pPr>
        <w:pStyle w:val="InstructionsText2"/>
      </w:pPr>
      <w:r>
        <w:lastRenderedPageBreak/>
        <w:t>L-entitajiet li, fid-data tar-rapportar ta’ dik l-informazzjoni, iżommu ammonti ta’ fondi proprji u obbligazzjonijiet eliġibbli ta’ mill-inqas 150 % tar-rekwiżit imsemmi fl-Artikolu 45(1) tad-Direttiva 2014/59/UE, għandhom jiġu eżentati mir-rapportar ta’ informazzjoni dwar obbligazzjonijiet oħrajn ta’ kapaċità ta’ rikapitalizzazzjoni interna. Tali entitajiet jistgħu jagħżlu li jirrapportaw l-informazzjoni dwar obbligazzjonijiet oħrajn ta’ kapaċità ta’ rikapitalizzazzjoni interna f’dan il-mudell fuq bażi volontarja.</w:t>
      </w:r>
    </w:p>
    <w:p w14:paraId="57AFD0C9" w14:textId="6F5B7483" w:rsidR="00C91ACB" w:rsidRPr="00FB08AF" w:rsidRDefault="00C91ACB" w:rsidP="00873459">
      <w:pPr>
        <w:pStyle w:val="Numberedtilelevel1"/>
        <w:numPr>
          <w:ilvl w:val="2"/>
          <w:numId w:val="30"/>
        </w:numPr>
      </w:pPr>
      <w:bookmarkStart w:id="74" w:name="_Toc45558499"/>
      <w:bookmarkStart w:id="75" w:name="_Toc16868649"/>
      <w:bookmarkStart w:id="76" w:name="_Toc20316762"/>
      <w:bookmarkStart w:id="77" w:name="_Toc45558500"/>
      <w:bookmarkEnd w:id="74"/>
      <w:r>
        <w:t>Struzzjonijiet dwar pożizzjonijiet speċifiċi</w:t>
      </w:r>
      <w:bookmarkEnd w:id="75"/>
      <w:bookmarkEnd w:id="76"/>
      <w:bookmarkEnd w:id="77"/>
    </w:p>
    <w:tbl>
      <w:tblPr>
        <w:tblW w:w="8749" w:type="dxa"/>
        <w:tblInd w:w="539" w:type="dxa"/>
        <w:tblLayout w:type="fixed"/>
        <w:tblLook w:val="00A0" w:firstRow="1" w:lastRow="0" w:firstColumn="1" w:lastColumn="0" w:noHBand="0" w:noVBand="0"/>
      </w:tblPr>
      <w:tblGrid>
        <w:gridCol w:w="1129"/>
        <w:gridCol w:w="7620"/>
      </w:tblGrid>
      <w:tr w:rsidR="00FB08AF" w:rsidRPr="00FB08AF" w14:paraId="06490BCF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E99A8C" w14:textId="77777777" w:rsidR="00C91ACB" w:rsidRPr="00FB08AF" w:rsidRDefault="00C91ACB" w:rsidP="00A41ECA">
            <w:pPr>
              <w:pStyle w:val="InstructionsText"/>
            </w:pPr>
            <w:r>
              <w:t>Kolonni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DA9313" w14:textId="77777777" w:rsidR="00C91ACB" w:rsidRPr="00FB08AF" w:rsidRDefault="00C91ACB" w:rsidP="00A41ECA">
            <w:pPr>
              <w:pStyle w:val="InstructionsText"/>
            </w:pPr>
            <w:r>
              <w:t>Referenzi u struzzjonijiet legali</w:t>
            </w:r>
          </w:p>
        </w:tc>
      </w:tr>
      <w:tr w:rsidR="00FB08AF" w:rsidRPr="00FB08AF" w14:paraId="41414A2F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B7C0" w14:textId="77777777" w:rsidR="00C91ACB" w:rsidRPr="00FB08AF" w:rsidRDefault="00C91A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0010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1965" w14:textId="77777777" w:rsidR="00C91ACB" w:rsidRPr="00FB08AF" w:rsidRDefault="00C91ACB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Grad ta’ insolvenza</w:t>
            </w:r>
          </w:p>
          <w:p w14:paraId="7434ED16" w14:textId="77777777" w:rsidR="00C91ACB" w:rsidRPr="00FB08AF" w:rsidRDefault="00C91ACB" w:rsidP="00762AE8">
            <w:pPr>
              <w:pStyle w:val="Applicationdirecte"/>
              <w:spacing w:before="120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Ara l-istruzzjonijiet fil-kolonna 0010 tal-mudell M 05.00</w:t>
            </w:r>
          </w:p>
          <w:p w14:paraId="4BDEE699" w14:textId="2E13107A" w:rsidR="002D5E59" w:rsidRPr="00FB08AF" w:rsidRDefault="002D5E59" w:rsidP="00C271AC">
            <w:r>
              <w:rPr>
                <w:rStyle w:val="FormatvorlageInstructionsTabelleText"/>
                <w:rFonts w:ascii="Times New Roman" w:hAnsi="Times New Roman"/>
                <w:sz w:val="24"/>
              </w:rPr>
              <w:t>Din il-kolonna hija identifikatur tar-ringiela li għandu jkun uniku għar-ringieli kollha fil-mudell.</w:t>
            </w:r>
          </w:p>
        </w:tc>
      </w:tr>
      <w:tr w:rsidR="00FB08AF" w:rsidRPr="00FB08AF" w14:paraId="514B5A05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B54F" w14:textId="77777777" w:rsidR="00C91ACB" w:rsidRPr="00FB08AF" w:rsidRDefault="00C91A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0020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4F13" w14:textId="509ADC2D" w:rsidR="00C91ACB" w:rsidRPr="00FB08AF" w:rsidRDefault="00C91ACB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Deskrizzjoni tal-grad ta’ insolvenza</w:t>
            </w:r>
          </w:p>
          <w:p w14:paraId="307D484C" w14:textId="77777777" w:rsidR="00C91ACB" w:rsidRPr="00FB08AF" w:rsidRDefault="00C91A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Ara l-istruzzjonijiet fil-kolonna 0030 tal-mudell M 05.00</w:t>
            </w:r>
          </w:p>
        </w:tc>
      </w:tr>
      <w:tr w:rsidR="00FB08AF" w:rsidRPr="00FB08AF" w14:paraId="622F7D3C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622C" w14:textId="77777777" w:rsidR="00C91ACB" w:rsidRPr="00FB08AF" w:rsidRDefault="00C91A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0030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06CE" w14:textId="3EE7F02F" w:rsidR="00C91ACB" w:rsidRPr="00FB08AF" w:rsidRDefault="00C91ACB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 xml:space="preserve">Obbligazzjonijiet u fondi proprji </w:t>
            </w:r>
          </w:p>
          <w:p w14:paraId="1EB9D7FE" w14:textId="2BE7FDA6" w:rsidR="00C91ACB" w:rsidRPr="00FB08AF" w:rsidRDefault="00C91A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Għandu jiġi rrapportat l-ammont ta’ fondi proprji, ta’ obbligazzjonijiet eliġibbli u, fejn applikabbli, ta’ obbligazzjonijiet oħrajn ta’ kapaċità ta’ rikapitalizzazzjoni interna li huwa allokat għall-grad ta’ insolvenza indikat fil-kolonna 0010.</w:t>
            </w:r>
          </w:p>
          <w:p w14:paraId="0FCAB71E" w14:textId="124EF6C2" w:rsidR="00C91ACB" w:rsidRPr="00FB08AF" w:rsidRDefault="0036208E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Fejn applikabbli, din il-kolonna għandha tinkludi wkoll obbligazzjonijiet esklużi mir-rikapitalizzazzjoni interna sal-punt li jikklassifikaw inqas minn jew pari passu mal-obbligazzjonijiet eliġibbli.</w:t>
            </w:r>
          </w:p>
          <w:p w14:paraId="43425123" w14:textId="125BD30B" w:rsidR="00586927" w:rsidRPr="00FB08AF" w:rsidRDefault="00586927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t>Fil-każ tal-entitajiet imsemmija fil-paragrafu 30, din il-kolonna għandha titħalla vojta, sakemm dawk l-entitajiet ma jagħżlux li japplikaw id-deroga tal-paragrafu 31.</w:t>
            </w:r>
          </w:p>
        </w:tc>
      </w:tr>
      <w:tr w:rsidR="00FB08AF" w:rsidRPr="00FB08AF" w14:paraId="50DF17AB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589D" w14:textId="77777777" w:rsidR="00C91ACB" w:rsidRPr="00FB08AF" w:rsidRDefault="00C91A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0040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5581" w14:textId="3EBFCD24" w:rsidR="00C91ACB" w:rsidRPr="00FB08AF" w:rsidRDefault="00C91ACB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obbligazzjonijiet esklużi</w:t>
            </w:r>
          </w:p>
          <w:p w14:paraId="26F592C4" w14:textId="0CB68218" w:rsidR="00586927" w:rsidRPr="00FB08AF" w:rsidRDefault="00586927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 ta’ obbligazzjonijiet esklużi skont l-Artikolu 72a(2)</w:t>
            </w:r>
            <w:r>
              <w:t xml:space="preserve"> tar-Regolament (UE) Nru 575/2013 jew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mal-Artikolu 44(2)</w:t>
            </w:r>
            <w:r>
              <w:t xml:space="preserve"> tad-Direttiva 2014/59/UE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.</w:t>
            </w:r>
          </w:p>
          <w:p w14:paraId="2F6500DE" w14:textId="50FC43DE" w:rsidR="00586927" w:rsidRPr="00FB08AF" w:rsidRDefault="00586927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t>Fil-każ tal-entitajiet imsemmija fil-paragrafu 30, din il-kolonna għandha titħalla vojta, sakemm dawk l-entitajiet ma jagħżlux li japplikaw id-deroga tal-paragrafu 31.</w:t>
            </w:r>
          </w:p>
        </w:tc>
      </w:tr>
      <w:tr w:rsidR="00FB08AF" w:rsidRPr="00FB08AF" w14:paraId="56B3EF2B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BDEDA" w14:textId="77777777" w:rsidR="00C91ACB" w:rsidRPr="00FB08AF" w:rsidRDefault="00C91A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0050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121F9" w14:textId="05A308D7" w:rsidR="00C91ACB" w:rsidRPr="00FB08AF" w:rsidRDefault="00C91ACB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Obbligazzjonijiet u fondi proprji wara li jitnaqqsu l-obbligazzjonijiet esklużi</w:t>
            </w:r>
          </w:p>
          <w:p w14:paraId="45F28248" w14:textId="37AA2521" w:rsidR="00C91ACB" w:rsidRPr="00FB08AF" w:rsidRDefault="0000147E" w:rsidP="00CA73FF">
            <w:pPr>
              <w:pStyle w:val="Applicationdirecte"/>
              <w:spacing w:before="120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Fil-każ li l-entitajiet </w:t>
            </w:r>
            <w:r w:rsidR="00A22E31">
              <w:rPr>
                <w:rStyle w:val="FormatvorlageInstructionsTabelleText"/>
                <w:rFonts w:ascii="Times New Roman" w:hAnsi="Times New Roman"/>
                <w:sz w:val="24"/>
              </w:rPr>
              <w:t>jimlew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 il-kolonna 0030, għandu jiġi rrapportat l-ammont ta’ obbligazzjonijiet u fondi proprji, kif irrapportat fil-kolonna 0030, imnaqqas bl-ammont ta’ obbligazzjonijiet esklużi rrapportat fil-kolonna 0040.</w:t>
            </w:r>
          </w:p>
          <w:p w14:paraId="0B40F998" w14:textId="26D00C12" w:rsidR="0000147E" w:rsidRPr="00FB08AF" w:rsidRDefault="0000147E" w:rsidP="0000147E"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Meta l-entitajiet ma jimlewx il-kolonna 0030, huma għandhom jirrapportaw il-fondi proprji u l-obbligazzjonijiet eliġibbli għall-finijiet tal-MREL f’din il-kolonna. Obbligazzjonijiet oħrajn b’kapaċità ta’ rikapitalizzazzjoni interna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għandhom jiġu rrapportati f’din il-kolonna soġġetti għall-kundizzjonijiet speċifikati fil-paragrafu 34.</w:t>
            </w:r>
          </w:p>
        </w:tc>
      </w:tr>
      <w:tr w:rsidR="00FB08AF" w:rsidRPr="00FB08AF" w14:paraId="1F85B970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B323E" w14:textId="77777777" w:rsidR="00C91ACB" w:rsidRPr="00FB08AF" w:rsidRDefault="00C91A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0060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4467" w14:textId="3EB19352" w:rsidR="00C91ACB" w:rsidRPr="00FB08AF" w:rsidRDefault="00C91ACB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fondi proprji u obbligazzjonijiet potenzjalment eliġibbli biex jissodisfaw l-MREL</w:t>
            </w:r>
          </w:p>
          <w:p w14:paraId="6B93C8A8" w14:textId="166BDE57" w:rsidR="00C91ACB" w:rsidRPr="00FB08AF" w:rsidRDefault="00C91ACB" w:rsidP="00FC6662">
            <w:p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 ta’ fondi proprji u obbligazzjonijiet eliġibbli għall-fini tal-issodisfar tar-rekwiżiti stabbiliti fl-Artikolu 45 tad-Direttiva 2014/59/UE f’konformità mal-Artikolu 45e ta’ dik id-Direttiva.</w:t>
            </w:r>
          </w:p>
        </w:tc>
      </w:tr>
      <w:tr w:rsidR="00FB08AF" w:rsidRPr="00FB08AF" w14:paraId="7FCA6AC8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C072" w14:textId="77777777" w:rsidR="00C91ACB" w:rsidRPr="00FB08AF" w:rsidRDefault="00C91A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t>0070 - 0100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ECF8C" w14:textId="77777777" w:rsidR="00C91ACB" w:rsidRPr="00FB08AF" w:rsidRDefault="00C91A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Style w:val="FormatvorlageInstructionsTabelleText"/>
                <w:rFonts w:ascii="Times New Roman" w:hAnsi="Times New Roman"/>
                <w:b/>
                <w:sz w:val="24"/>
                <w:u w:val="single"/>
              </w:rPr>
              <w:t>li minnhom: b’maturità residwa ta’</w:t>
            </w:r>
          </w:p>
          <w:p w14:paraId="4B3D0A8C" w14:textId="433D743D" w:rsidR="00C91ACB" w:rsidRPr="00FB08AF" w:rsidDel="001B3CDA" w:rsidRDefault="00C91ACB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L-ammont ta’ fondi proprji u obbligazzjonijiet eliġibbli għall-fini tal-issodisfar tar-rekwiżit stabbiliti fl-Artikolu 45 tad-Direttiva 2014/59/UE f’konformità mal-Artikolu 45e ta’ dik id-Direttiva, kif irrapportat fil-kolonna 0060, għandu jiġi diżaggregat skont il-maturità residwa tal-istrumenti u l-entrati differenti. L-istrumenti u l-entrati ta’ natura perpetwa ma għandhomx jitqiesu f’din id-diżaggregazzjoni, iżda għandhom jiġu rrapportati separatament fil-kolonna 0110.</w:t>
            </w:r>
          </w:p>
        </w:tc>
      </w:tr>
      <w:tr w:rsidR="00FB08AF" w:rsidRPr="00FB08AF" w14:paraId="2F0374BA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7744" w14:textId="77777777" w:rsidR="00C91ACB" w:rsidRPr="00FB08AF" w:rsidRDefault="00C91A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0070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21E1" w14:textId="77777777" w:rsidR="00C91ACB" w:rsidRPr="00FB08AF" w:rsidRDefault="00C91A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 xml:space="preserve">≥ sena &lt; sentejn </w:t>
            </w:r>
          </w:p>
        </w:tc>
      </w:tr>
      <w:tr w:rsidR="00FB08AF" w:rsidRPr="00FB08AF" w14:paraId="0AC68E8A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E20E" w14:textId="77777777" w:rsidR="00C91ACB" w:rsidRPr="00FB08AF" w:rsidRDefault="00C91A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0080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0ECD" w14:textId="77777777" w:rsidR="00C91ACB" w:rsidRPr="00FB08AF" w:rsidRDefault="00C91ACB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≥ sentejn &lt; 5 snin</w:t>
            </w:r>
          </w:p>
        </w:tc>
      </w:tr>
      <w:tr w:rsidR="00FB08AF" w:rsidRPr="00FB08AF" w14:paraId="4AF13F7C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0338" w14:textId="77777777" w:rsidR="00C91ACB" w:rsidRPr="00FB08AF" w:rsidRDefault="00C91A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0090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794C" w14:textId="77777777" w:rsidR="00C91ACB" w:rsidRPr="00FB08AF" w:rsidRDefault="00C91ACB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≥ 5 snin &lt; 10 snin</w:t>
            </w:r>
          </w:p>
        </w:tc>
      </w:tr>
      <w:tr w:rsidR="00FB08AF" w:rsidRPr="00FB08AF" w14:paraId="613AFD04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6106" w14:textId="77777777" w:rsidR="00C91ACB" w:rsidRPr="00FB08AF" w:rsidRDefault="00C91A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0100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FE904" w14:textId="77777777" w:rsidR="00C91ACB" w:rsidRPr="00FB08AF" w:rsidRDefault="00C91ACB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≥ 10 snin</w:t>
            </w:r>
          </w:p>
        </w:tc>
      </w:tr>
      <w:tr w:rsidR="00C91ACB" w:rsidRPr="00FB08AF" w14:paraId="409E4342" w14:textId="77777777" w:rsidTr="00762AE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75FE" w14:textId="77777777" w:rsidR="00C91ACB" w:rsidRPr="00FB08AF" w:rsidRDefault="00C91ACB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0110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A19C" w14:textId="77777777" w:rsidR="00C91ACB" w:rsidRPr="00FB08AF" w:rsidRDefault="00C91ACB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Li minnhom: titoli perpetwi</w:t>
            </w:r>
          </w:p>
          <w:p w14:paraId="19006E90" w14:textId="474EA0B1" w:rsidR="00322A0F" w:rsidRPr="00FB08AF" w:rsidRDefault="007C224A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Titoli perpetwi u l-entrati CET1 kollha, kif ukoll il-primjum azzjonarju fuq strumenti AT1 u T2 inklużi fl-ambitu ta’ din il-formola, għandhom jiġu allokati għal din il-kolonna.</w:t>
            </w:r>
          </w:p>
        </w:tc>
      </w:tr>
    </w:tbl>
    <w:p w14:paraId="1287169E" w14:textId="77777777" w:rsidR="00C91ACB" w:rsidRPr="00FB08AF" w:rsidRDefault="00C91ACB" w:rsidP="00C91ACB">
      <w:pPr>
        <w:rPr>
          <w:rStyle w:val="InstructionsTabelleText"/>
          <w:rFonts w:ascii="Times New Roman" w:hAnsi="Times New Roman"/>
          <w:sz w:val="24"/>
        </w:rPr>
      </w:pPr>
    </w:p>
    <w:p w14:paraId="1D4F60E9" w14:textId="5ED8140A" w:rsidR="00043DC2" w:rsidRPr="00FB08AF" w:rsidRDefault="00043DC2" w:rsidP="00C15B90">
      <w:pPr>
        <w:pStyle w:val="Numberedtilelevel1"/>
      </w:pPr>
      <w:bookmarkStart w:id="78" w:name="_Toc16868650"/>
      <w:bookmarkStart w:id="79" w:name="_Toc18593318"/>
      <w:bookmarkStart w:id="80" w:name="_Toc45558501"/>
      <w:bookmarkEnd w:id="78"/>
      <w:bookmarkEnd w:id="79"/>
      <w:r>
        <w:t>M 07.00 – Strumenti rregolati mil-liġi ta’ pajjiż terz (MTCI)</w:t>
      </w:r>
      <w:bookmarkEnd w:id="80"/>
    </w:p>
    <w:p w14:paraId="09459534" w14:textId="30C1202C" w:rsidR="00043DC2" w:rsidRPr="00FB08AF" w:rsidRDefault="00043DC2" w:rsidP="00873459">
      <w:pPr>
        <w:pStyle w:val="Numberedtilelevel1"/>
        <w:numPr>
          <w:ilvl w:val="1"/>
          <w:numId w:val="30"/>
        </w:numPr>
      </w:pPr>
      <w:bookmarkStart w:id="81" w:name="_Toc16868653"/>
      <w:bookmarkStart w:id="82" w:name="_Toc45558502"/>
      <w:r>
        <w:t>Kummenti ġenerali</w:t>
      </w:r>
      <w:bookmarkEnd w:id="81"/>
      <w:bookmarkEnd w:id="82"/>
    </w:p>
    <w:p w14:paraId="38DE6937" w14:textId="1FE5439B" w:rsidR="00ED05AC" w:rsidRPr="00FB08AF" w:rsidRDefault="00962059" w:rsidP="00A41ECA">
      <w:pPr>
        <w:pStyle w:val="InstructionsText2"/>
      </w:pPr>
      <w:r>
        <w:t>Il-mudell M 07.00 jipprovdi diżaggregazzjoni kuntratt b’kuntratt tal-istrumenti li jikkwalifikaw bħala fondi proprji u obbligazzjonijiet eliġibbli għall-finijiet tal-MREL. Huma biss l-istrumenti li huma rregolati mil-liġi ta’ pajjiż terz li għandhom jiġu rrapportati fil-mudell.</w:t>
      </w:r>
    </w:p>
    <w:p w14:paraId="058C983F" w14:textId="395F6621" w:rsidR="00810663" w:rsidRPr="00FB08AF" w:rsidRDefault="003677E2" w:rsidP="00A41ECA">
      <w:pPr>
        <w:pStyle w:val="InstructionsText2"/>
      </w:pPr>
      <w:r>
        <w:t>B’rabta mal-obbligazzjonijiet eliġibbli li mhumiex subordinati għall-obbligazzjonijiet esklużi, l-entitajiet għandhom jirrapportaw biss titoli li huma strumenti finanzjarji funġibbli u negozjabbli, bl-esklużjoni ta’ self u depożiti.</w:t>
      </w:r>
    </w:p>
    <w:p w14:paraId="7F675B40" w14:textId="6125AF03" w:rsidR="00FC1379" w:rsidRPr="00FB08AF" w:rsidRDefault="00B40AC1" w:rsidP="00A41ECA">
      <w:pPr>
        <w:pStyle w:val="InstructionsText2"/>
      </w:pPr>
      <w:r>
        <w:t xml:space="preserve">Fil-każ ta’ strumenti li jikkwalifikaw parzjalment għal żewġ klassijiet differenti ta’ fondi proprji jew obbligazzjonijiet eliġibbli, l-istrument għandu jiġi rrapportat darbtejn biex ikun jirrifletti l-ammonti allokati għall-klassijiet differenti ta’ kapital separatament. </w:t>
      </w:r>
    </w:p>
    <w:p w14:paraId="4D79951A" w14:textId="26C7050A" w:rsidR="00043DC2" w:rsidRPr="00FB08AF" w:rsidRDefault="00ED05AC" w:rsidP="00A41ECA">
      <w:pPr>
        <w:pStyle w:val="InstructionsText2"/>
      </w:pPr>
      <w:r>
        <w:t xml:space="preserve">Il-kombinazzjoni tal-kolonni 0020 (Kodiċi tal-entità emittenti), 0040 (Identifikatur tal-kuntratt) u 0070 (Tip ta’ fondi proprji jew obbligazzjonijiet </w:t>
      </w:r>
      <w:r>
        <w:lastRenderedPageBreak/>
        <w:t>eliġibbli) tikkostitwixxi identifikatur tar-ringiela, li jrid ikun uniku għal kull ringiela rrapportata fil-mudell.</w:t>
      </w:r>
    </w:p>
    <w:p w14:paraId="4C59DC8A" w14:textId="17676F15" w:rsidR="00043DC2" w:rsidRPr="00FB08AF" w:rsidRDefault="00043DC2" w:rsidP="00873459">
      <w:pPr>
        <w:pStyle w:val="Numberedtilelevel1"/>
        <w:numPr>
          <w:ilvl w:val="1"/>
          <w:numId w:val="30"/>
        </w:numPr>
      </w:pPr>
      <w:bookmarkStart w:id="83" w:name="_Toc16868654"/>
      <w:bookmarkStart w:id="84" w:name="_Toc45558503"/>
      <w:r>
        <w:t>Struzzjonijiet dwar pożizzjonijiet speċifiċi</w:t>
      </w:r>
      <w:bookmarkEnd w:id="83"/>
      <w:bookmarkEnd w:id="84"/>
    </w:p>
    <w:tbl>
      <w:tblPr>
        <w:tblW w:w="8749" w:type="dxa"/>
        <w:tblInd w:w="539" w:type="dxa"/>
        <w:tblLayout w:type="fixed"/>
        <w:tblLook w:val="00A0" w:firstRow="1" w:lastRow="0" w:firstColumn="1" w:lastColumn="0" w:noHBand="0" w:noVBand="0"/>
      </w:tblPr>
      <w:tblGrid>
        <w:gridCol w:w="1129"/>
        <w:gridCol w:w="7620"/>
      </w:tblGrid>
      <w:tr w:rsidR="00FB08AF" w:rsidRPr="00FB08AF" w14:paraId="5927B8D8" w14:textId="77777777" w:rsidTr="00DA4A8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B1DCA8" w14:textId="77777777" w:rsidR="00043DC2" w:rsidRPr="00FB08AF" w:rsidRDefault="00043DC2" w:rsidP="00A41ECA">
            <w:pPr>
              <w:pStyle w:val="InstructionsText"/>
            </w:pPr>
            <w:r>
              <w:t>Kolonni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6AFAE4" w14:textId="77777777" w:rsidR="00043DC2" w:rsidRPr="00FB08AF" w:rsidRDefault="00043DC2" w:rsidP="00A41ECA">
            <w:pPr>
              <w:pStyle w:val="InstructionsText"/>
            </w:pPr>
            <w:r>
              <w:t>Referenzi u struzzjonijiet legali</w:t>
            </w:r>
          </w:p>
        </w:tc>
      </w:tr>
      <w:tr w:rsidR="00FB08AF" w:rsidRPr="00FB08AF" w14:paraId="560A8871" w14:textId="77777777" w:rsidTr="00DA4A8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2343" w14:textId="1ABD60CC" w:rsidR="00043DC2" w:rsidRPr="00FB08AF" w:rsidRDefault="00043DC2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0010-0030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4B7A7" w14:textId="00787806" w:rsidR="00043DC2" w:rsidRPr="00FB08AF" w:rsidRDefault="00DA4A88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Entità emittenti</w:t>
            </w:r>
          </w:p>
          <w:p w14:paraId="05F6543E" w14:textId="28A11EDA" w:rsidR="00043DC2" w:rsidRPr="00FB08AF" w:rsidRDefault="00DA4A88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Meta l-informazzjoni tiġi rrapportata b’referenza għal grupp ta’ riżoluzzjoni, għandha tiġi indikata l-entità tal-grupp li jkun ħareġ l-istrument rispettiv. Meta l-informazzjoni tiġi rrapportata, b’referenza għal entità ta’ riżoluzzjoni waħda, l-entità emittenti għandha tkun l-entità li tirrapporta nnifisha.</w:t>
            </w:r>
          </w:p>
        </w:tc>
      </w:tr>
      <w:tr w:rsidR="00FB08AF" w:rsidRPr="00FB08AF" w14:paraId="7B94B71C" w14:textId="77777777" w:rsidTr="00DA4A8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408C" w14:textId="5F43A538" w:rsidR="00ED05AC" w:rsidRPr="00FB08AF" w:rsidRDefault="00ED05AC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0010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4D59A" w14:textId="53F5257D" w:rsidR="00ED05AC" w:rsidRPr="00FB08AF" w:rsidRDefault="00ED05AC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Isem</w:t>
            </w:r>
          </w:p>
          <w:p w14:paraId="2FB63179" w14:textId="5B49BA2B" w:rsidR="00ED05AC" w:rsidRPr="00FB08AF" w:rsidRDefault="00ED05AC" w:rsidP="00A41ECA">
            <w:pPr>
              <w:pStyle w:val="InstructionsText"/>
              <w:rPr>
                <w:b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Isem l-entità li ħarġet l-istrument ta’ fondi proprji jew l-istrument ta’ obbligazzjoni eliġibbli</w:t>
            </w:r>
          </w:p>
        </w:tc>
      </w:tr>
      <w:tr w:rsidR="00FB08AF" w:rsidRPr="00FB08AF" w14:paraId="02C19F56" w14:textId="77777777" w:rsidTr="00DA4A8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D5505" w14:textId="071C625B" w:rsidR="00ED05AC" w:rsidRPr="00FB08AF" w:rsidRDefault="00ED05AC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0020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C07F" w14:textId="4279134F" w:rsidR="00ED05AC" w:rsidRPr="00FB08AF" w:rsidRDefault="00ED05AC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Kodiċi</w:t>
            </w:r>
          </w:p>
          <w:p w14:paraId="2EE9B378" w14:textId="77777777" w:rsidR="00ED05AC" w:rsidRPr="00FB08AF" w:rsidRDefault="00ED05AC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Kodiċi tal-entità li ħarġet l-istrument ta’ fondi proprji jew l-istrument ta’ obbligazzjonijiet eliġibbli.</w:t>
            </w:r>
          </w:p>
          <w:p w14:paraId="5C534D19" w14:textId="03170FCB" w:rsidR="00ED05AC" w:rsidRPr="00FB08AF" w:rsidRDefault="0047023B" w:rsidP="00A41ECA">
            <w:pPr>
              <w:pStyle w:val="InstructionsText"/>
            </w:pPr>
            <w:r>
              <w:t>Il-kodiċi bħala parti minn identifikatur tar-ringiela jrid ikun uniku għal kull entità rapportata. Għall-istituzzjonijiet, il-kodiċi għandu jkun il-kodiċi LEI. Għal entitajiet oħra l-kodiċi għandu jkun il-kodiċi LEI, jew jekk mhux disponibbli, kodiċi nazzjonali. Il-kodiċi għandu jkun uniku u użat b’mod konsistenti fil-formuli kollha u tul iż-żmien. Il-kodiċi għandu dejjem ikollu valur.</w:t>
            </w:r>
          </w:p>
        </w:tc>
      </w:tr>
      <w:tr w:rsidR="00FB08AF" w:rsidRPr="00FB08AF" w14:paraId="743E2813" w14:textId="77777777" w:rsidTr="00DA4A8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B0E0" w14:textId="7F6FBCB0" w:rsidR="00ED05AC" w:rsidRPr="00FB08AF" w:rsidRDefault="00ED05AC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0030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481B6" w14:textId="02A48FF3" w:rsidR="00ED05AC" w:rsidRPr="00FB08AF" w:rsidRDefault="00ED05AC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Tip ta' kodiċi</w:t>
            </w:r>
          </w:p>
          <w:p w14:paraId="435D7AD5" w14:textId="3FA7BE57" w:rsidR="00ED05AC" w:rsidRPr="00FB08AF" w:rsidRDefault="0047023B" w:rsidP="00A41ECA">
            <w:pPr>
              <w:pStyle w:val="InstructionsText"/>
            </w:pPr>
            <w:r>
              <w:t>L-istituzzjonijiet għandhom jidentifikaw it-tip ta’ kodiċi rrapportat fil-kolonna 0020 bħala “kodiċi LEI” jew “Kodiċi mhux LEI”. It-tip tal-kodiċi għandu jiġi rapportat dejjem.</w:t>
            </w:r>
          </w:p>
        </w:tc>
      </w:tr>
      <w:tr w:rsidR="00FB08AF" w:rsidRPr="00FB08AF" w14:paraId="77C64A55" w14:textId="77777777" w:rsidTr="00DA4A8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3DA85" w14:textId="7BA7757F" w:rsidR="00ED05AC" w:rsidRPr="00FB08AF" w:rsidRDefault="00ED05AC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0040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8977" w14:textId="3B9D8CD3" w:rsidR="00ED05AC" w:rsidRPr="00FB08AF" w:rsidRDefault="00537499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Identifikatur tal-kuntratt</w:t>
            </w:r>
          </w:p>
          <w:p w14:paraId="326C4E21" w14:textId="0DEE61DF" w:rsidR="00BA682D" w:rsidRPr="00FB08AF" w:rsidRDefault="009B0274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Għandu jiġi rrapportat l-identifikatur tal-kuntratt tal-istrument, bħall-identifikatur CUSIP, ISIN jew Bloomberg għal pjazzament privat.</w:t>
            </w:r>
          </w:p>
          <w:p w14:paraId="00632D1C" w14:textId="24ADD3E6" w:rsidR="00ED05AC" w:rsidRPr="00FB08AF" w:rsidRDefault="00ED05AC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Din l-entrata hija parti mill-identifikatur tar-ringiela.</w:t>
            </w:r>
          </w:p>
        </w:tc>
      </w:tr>
      <w:tr w:rsidR="00FB08AF" w:rsidRPr="00FB08AF" w14:paraId="75764429" w14:textId="77777777" w:rsidTr="00ED05A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01A7B" w14:textId="72E28233" w:rsidR="00ED05AC" w:rsidRPr="00FB08AF" w:rsidRDefault="00ED05AC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0050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C1DF" w14:textId="5B2F630D" w:rsidR="00ED05AC" w:rsidRPr="00FB08AF" w:rsidRDefault="00BA7DE2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Il-liġi regolatorja (pajjiż terz)</w:t>
            </w:r>
          </w:p>
          <w:p w14:paraId="163E775F" w14:textId="518162A9" w:rsidR="00ED05AC" w:rsidRPr="00FB08AF" w:rsidRDefault="007F0EF4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Għandu jiġi indikat il-pajjiż terz (pajjiżi għajr il-pajjiżi taż-ŻEE) li l-liġi tiegħu tirregola l-kuntratt, jew partijiet mill-kuntratt.</w:t>
            </w:r>
          </w:p>
        </w:tc>
      </w:tr>
      <w:tr w:rsidR="00FB08AF" w:rsidRPr="00FB08AF" w14:paraId="1EDC69DC" w14:textId="77777777" w:rsidTr="00ED05A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A938D" w14:textId="286052CB" w:rsidR="00ED05AC" w:rsidRPr="00FB08AF" w:rsidRDefault="00ED05AC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0060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400C" w14:textId="4492A66E" w:rsidR="00ED05AC" w:rsidRPr="00FB08AF" w:rsidRDefault="00BA7DE2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Ir-rikonoxximent kuntrattwali tas-setgħat ta’ tniżżil fil-valur u ta’ konverżjoni</w:t>
            </w:r>
          </w:p>
          <w:p w14:paraId="613A9113" w14:textId="6DD59252" w:rsidR="00ED05AC" w:rsidRPr="00FB08AF" w:rsidRDefault="00851D10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Għandu jiġi indikat jekk il-kuntratt fihx it-termini kuntrattwali msemmija fl-Artikolu 55(1) tad-Direttiva 2014/59/UE, fl-Artikolu 52(1), il-punti (p) u (q) u fl-Artikolu 63, il-punti (n) u (o), </w:t>
            </w:r>
            <w:r>
              <w:t>tar-Regolament (UE) Nru 575/2013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. </w:t>
            </w:r>
          </w:p>
        </w:tc>
      </w:tr>
      <w:tr w:rsidR="00FB08AF" w:rsidRPr="00FB08AF" w14:paraId="3CFB6F54" w14:textId="77777777" w:rsidTr="009B027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421AD" w14:textId="26FEB500" w:rsidR="00BA7DE2" w:rsidRPr="00FB08AF" w:rsidRDefault="00BA7DE2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0070-0080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52DC" w14:textId="2E76298C" w:rsidR="00BA7DE2" w:rsidRPr="00FB08AF" w:rsidRDefault="00BA7DE2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Trattament regolatorju</w:t>
            </w:r>
          </w:p>
        </w:tc>
      </w:tr>
      <w:tr w:rsidR="00FB08AF" w:rsidRPr="00FB08AF" w14:paraId="0AE4E91A" w14:textId="77777777" w:rsidTr="009B027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DBBD" w14:textId="14728C75" w:rsidR="00BA7DE2" w:rsidRPr="00FB08AF" w:rsidRDefault="00BA7DE2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0070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8E21E" w14:textId="77777777" w:rsidR="00BA7DE2" w:rsidRPr="00FB08AF" w:rsidRDefault="00BA7DE2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Tip ta’ fondi proprji jew obbligazzjonijiet eliġibbli</w:t>
            </w:r>
          </w:p>
          <w:p w14:paraId="779CE017" w14:textId="78E30545" w:rsidR="00D90C26" w:rsidRPr="00FB08AF" w:rsidRDefault="00D90C26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Tip ta’ fondi proprji jew obbligazzjonijiet eliġibbli, kif l-istrument jikkwalifika fid-data ta’ referenza. Għandhom jiġu kkunsidrati dispożizzjonijiet tranżizzjonali dwar l-eliġibbiltà tal-istrumenti. L-istrumenti li jikkwalifikaw għal klassijiet ta’ kapital multipli għandhom jiġu rrapportati darba għal kull klassi ta’ kapital applikabbli.</w:t>
            </w:r>
          </w:p>
          <w:p w14:paraId="4891BE29" w14:textId="77777777" w:rsidR="00C55DCC" w:rsidRPr="00FB08AF" w:rsidRDefault="00D90C26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It-tip ta’ fondi proprji jew obbligazzjonijiet eliġibbli għandu jkun wieħed minn dawn li ġejjin:</w:t>
            </w:r>
          </w:p>
          <w:p w14:paraId="1630B549" w14:textId="45078CC0" w:rsidR="00D90C26" w:rsidRPr="00FB08AF" w:rsidRDefault="00D90C26" w:rsidP="00A41ECA">
            <w:pPr>
              <w:pStyle w:val="InstructionsText"/>
              <w:numPr>
                <w:ilvl w:val="0"/>
                <w:numId w:val="25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CET1</w:t>
            </w:r>
          </w:p>
          <w:p w14:paraId="65A77421" w14:textId="4DAF7FA2" w:rsidR="00D90C26" w:rsidRPr="00FB08AF" w:rsidRDefault="00D90C26" w:rsidP="00A41ECA">
            <w:pPr>
              <w:pStyle w:val="InstructionsText"/>
              <w:numPr>
                <w:ilvl w:val="0"/>
                <w:numId w:val="25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Grad 1 Addizzjonali</w:t>
            </w:r>
          </w:p>
          <w:p w14:paraId="641F022F" w14:textId="60C05A8B" w:rsidR="00D90C26" w:rsidRPr="00FB08AF" w:rsidRDefault="00D90C26" w:rsidP="00A41ECA">
            <w:pPr>
              <w:pStyle w:val="InstructionsText"/>
              <w:numPr>
                <w:ilvl w:val="0"/>
                <w:numId w:val="25"/>
              </w:numPr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Grad 2</w:t>
            </w:r>
          </w:p>
          <w:p w14:paraId="362D821A" w14:textId="06BF6F83" w:rsidR="00E97A21" w:rsidRPr="00FB08AF" w:rsidRDefault="00D90C26" w:rsidP="00A41ECA">
            <w:pPr>
              <w:pStyle w:val="InstructionsText"/>
              <w:numPr>
                <w:ilvl w:val="0"/>
                <w:numId w:val="26"/>
              </w:numPr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Obbligazzjonijiet eliġibbli</w:t>
            </w:r>
          </w:p>
        </w:tc>
      </w:tr>
      <w:tr w:rsidR="00FB08AF" w:rsidRPr="00FB08AF" w14:paraId="4DE5928C" w14:textId="77777777" w:rsidTr="009B027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39A7" w14:textId="0983149D" w:rsidR="00BA7DE2" w:rsidRPr="00FB08AF" w:rsidRDefault="00BA7DE2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0080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6A6C" w14:textId="34336278" w:rsidR="00BA7DE2" w:rsidRPr="00FB08AF" w:rsidRDefault="00BA7DE2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Tip ta' strument</w:t>
            </w:r>
          </w:p>
          <w:p w14:paraId="4DDA8CAD" w14:textId="77777777" w:rsidR="00BA7DE2" w:rsidRPr="00FB08AF" w:rsidRDefault="000B7865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It-tip ta’ strument li għandu jiġi speċifikat jiddependi mil-liġi regolatorja li taħtha jinħareġ.</w:t>
            </w:r>
          </w:p>
          <w:p w14:paraId="24055387" w14:textId="305E1E7C" w:rsidR="00D90C26" w:rsidRPr="00FB08AF" w:rsidRDefault="000B7865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Fil-każ ta’ strumenti CET1, it-tip ta’ strument għandu jintgħażel mil-lista ta’ strumenti CET1 ippubblikata mill-EBA skont l-Artikolu 26(3)</w:t>
            </w:r>
            <w:r>
              <w:t xml:space="preserve"> tar-Regolament (UE) Nru 575/2013</w:t>
            </w: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. </w:t>
            </w:r>
          </w:p>
          <w:p w14:paraId="01B312D1" w14:textId="355B5172" w:rsidR="00E97A21" w:rsidRPr="00FB08AF" w:rsidRDefault="000B7865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>Fil-każ ta’ fondi proprji għajr CET1, u obbligazzjonijiet eliġibbli, it-tip ta’ strument għandu jintgħażel minn lista ta’ strumenti korrispondenti ppubblikati mill-EBA, mill-awtoritajiet kompetenti jew mill-awtoritajiet ta’ riżoluzzjoni, meta tali lista tkun disponibbli. Meta ma tkun disponibbli l-ebda lista, l-entità li tirrapporta għandha tispeċifika t-tip ta’ strumenti hija stess.</w:t>
            </w:r>
          </w:p>
        </w:tc>
      </w:tr>
      <w:tr w:rsidR="00FB08AF" w:rsidRPr="00FB08AF" w14:paraId="16D1DDAA" w14:textId="77777777" w:rsidTr="009B027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6794" w14:textId="63EFB260" w:rsidR="00BA7DE2" w:rsidRPr="00FB08AF" w:rsidRDefault="00BA7DE2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0090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89B6" w14:textId="68E8CD97" w:rsidR="00BA7DE2" w:rsidRPr="00FB08AF" w:rsidRDefault="00BA7DE2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Ammont</w:t>
            </w:r>
          </w:p>
          <w:p w14:paraId="157078AA" w14:textId="77810698" w:rsidR="00E97A21" w:rsidRPr="00FB08AF" w:rsidRDefault="00C55DCC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L-ammont rikonoxxut f’fondi proprji jew obbligazzjonijiet eliġibbli għandu jiġi rrapportat wara li jiġi kkunsidrat il-livell li għalih jirreferi r-rapport, fil-każ ta’ strumenti inklużi f’livelli multipli. L-ammont għandu jkun l-ammont rilevanti fid-data ta’ referenza, filwaqt li jitqies l-effett tad-dispożizzjonijiet tranżitorji. </w:t>
            </w:r>
          </w:p>
        </w:tc>
      </w:tr>
      <w:tr w:rsidR="00FB08AF" w:rsidRPr="00FB08AF" w14:paraId="6525546F" w14:textId="77777777" w:rsidTr="009B027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5482" w14:textId="01832B68" w:rsidR="00BA7DE2" w:rsidRPr="00FB08AF" w:rsidRDefault="00BA7DE2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0100 - 0110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2478C" w14:textId="2024E317" w:rsidR="00BA7DE2" w:rsidRPr="00FB08AF" w:rsidRDefault="00BA7DE2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Grad fi proċedimenti normali ta’ insolvenza</w:t>
            </w:r>
          </w:p>
          <w:p w14:paraId="00049CE6" w14:textId="77777777" w:rsidR="0015243E" w:rsidRPr="00FB08AF" w:rsidRDefault="0015243E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Il-klassifikazzjoni tal-istrument fi proċedimenti normali ta’ insolvenza għandha tiġi speċifikata. </w:t>
            </w:r>
          </w:p>
          <w:p w14:paraId="41FD6A13" w14:textId="77777777" w:rsidR="00722C11" w:rsidRPr="00FB08AF" w:rsidRDefault="0015243E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 xml:space="preserve">Din għandha tikkonsisti fil-kodiċi ISO b’żewġ ittri tal-pajjiż li l-liġi tiegħu tirregola l-klassifikazzjoni tal-kuntratt (il-kolonna 0100), li għandha tkun il-liġi ta’ Stat Membru, u n-numru tal-grad ta’ insolvenza rilevanti (il-kolonna 0110). </w:t>
            </w:r>
          </w:p>
          <w:p w14:paraId="1F24E301" w14:textId="06E1D9AE" w:rsidR="00C23169" w:rsidRPr="00FB08AF" w:rsidRDefault="0015243E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Il-grad ta’ insolvenza rilevanti għandu jiġi ddeterminat abbażi tal-klassifikazzjonijiet tal-insolvenza ppubblikati mill-awtorità ta’ riżoluzzjoni jew minn awtoritajiet oħrajn, fejn tali lista standardizzata tkun disponibbli.</w:t>
            </w:r>
          </w:p>
        </w:tc>
      </w:tr>
      <w:tr w:rsidR="00FB08AF" w:rsidRPr="00FB08AF" w14:paraId="2B6CC2DC" w14:textId="77777777" w:rsidTr="009B027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952C" w14:textId="2C8B23BE" w:rsidR="00C814BF" w:rsidRPr="00FB08AF" w:rsidRDefault="00C814BF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0120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4F44" w14:textId="691ECB95" w:rsidR="00C814BF" w:rsidRPr="00FB08AF" w:rsidRDefault="00C814BF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Maturità</w:t>
            </w:r>
          </w:p>
          <w:p w14:paraId="5BC18DE0" w14:textId="111D094F" w:rsidR="00C814BF" w:rsidRPr="00FB08AF" w:rsidRDefault="00C814BF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Il-maturità tal-istrument għandha tiġi rrapportata fil-format li ġej: jj/xx/ssss. Fil-każ ta’ strumenti perpetwi, iċ-ċellola għandha titħalla vojta.</w:t>
            </w:r>
          </w:p>
        </w:tc>
      </w:tr>
      <w:tr w:rsidR="00FB08AF" w:rsidRPr="00FB08AF" w14:paraId="2D3C1A56" w14:textId="77777777" w:rsidTr="009B027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BA34" w14:textId="70E6F302" w:rsidR="00C814BF" w:rsidRPr="00FB08AF" w:rsidRDefault="00C814BF" w:rsidP="00A41ECA">
            <w:pPr>
              <w:pStyle w:val="InstructionsText"/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lastRenderedPageBreak/>
              <w:t>0130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1D75" w14:textId="3E4DF5A2" w:rsidR="00C814BF" w:rsidRPr="00FB08AF" w:rsidRDefault="0090259E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(L-ewwel) Data eżerċitabbli</w:t>
            </w:r>
          </w:p>
          <w:p w14:paraId="6C93237B" w14:textId="044F8666" w:rsidR="00F65BB7" w:rsidRPr="00FB08AF" w:rsidRDefault="0090259E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Meta l-emittent ikollu opzjoni eżerċitabbli, għandha tiġi rrapportata l-ewwel data li fiha tista’ tiġi eżerċitata l-opzjoni call.</w:t>
            </w:r>
          </w:p>
          <w:p w14:paraId="1F0D3195" w14:textId="0EC677E5" w:rsidR="00F65BB7" w:rsidRPr="00FB08AF" w:rsidRDefault="00F65BB7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Jekk l-ewwel data eżerċitabbli tkun seħħet qabel id-data ta’ referenza, dik id-data għandha tiġi rrapportata jekk l-opzjoni call tkun għadha eżerċitabbli. Jekk ma tkunx eżerċitabbli aktar, għandha tiġi rrapportata d-data li jmiss li fiha tiġi eżerċitata l-opzjoni call.</w:t>
            </w:r>
          </w:p>
          <w:p w14:paraId="180F0F72" w14:textId="0990A68B" w:rsidR="00C814BF" w:rsidRPr="00FB08AF" w:rsidRDefault="0090259E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Fil-każ ta’ opzjonijiet eżerċitabbli tal-emittent b’data tal-eżerċizzju mhux speċifikata jew opzjonijiet eżerċitabbli skattati minn avvenimenti speċifiċi, għandha tiġi rrapportata d-data eżerċitabbli probabbli stmata b’mod konservattiv.</w:t>
            </w:r>
          </w:p>
          <w:p w14:paraId="171C2174" w14:textId="43DB211C" w:rsidR="00C23169" w:rsidRPr="00FB08AF" w:rsidRDefault="00FC7E0D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L-opzjonijiet eżerċitabbli regolatorji jew tat-taxxa ma għandhomx jiġu kkunsidrati għall-finijiet ta’ din il-kolonna.</w:t>
            </w:r>
          </w:p>
        </w:tc>
      </w:tr>
      <w:tr w:rsidR="005E573A" w:rsidRPr="00FB08AF" w14:paraId="00B4BF30" w14:textId="77777777" w:rsidTr="009B027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2367C" w14:textId="67057C66" w:rsidR="005E573A" w:rsidRPr="00FB08AF" w:rsidRDefault="005E573A" w:rsidP="00A41ECA">
            <w:pPr>
              <w:pStyle w:val="InstructionsText"/>
              <w:rPr>
                <w:rStyle w:val="FormatvorlageInstructionsTabelleText"/>
                <w:rFonts w:ascii="Times New Roman" w:hAnsi="Times New Roman"/>
                <w:sz w:val="24"/>
              </w:rPr>
            </w:pPr>
            <w:r>
              <w:rPr>
                <w:rStyle w:val="FormatvorlageInstructionsTabelleText"/>
                <w:rFonts w:ascii="Times New Roman" w:hAnsi="Times New Roman"/>
                <w:sz w:val="24"/>
              </w:rPr>
              <w:t>0140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5B27A" w14:textId="0A8E16B4" w:rsidR="005E573A" w:rsidRPr="00FB08AF" w:rsidRDefault="005E573A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sz w:val="24"/>
              </w:rPr>
            </w:pPr>
            <w:r>
              <w:rPr>
                <w:rStyle w:val="InstructionsTabelleberschrift"/>
                <w:rFonts w:ascii="Times New Roman" w:hAnsi="Times New Roman"/>
                <w:sz w:val="24"/>
              </w:rPr>
              <w:t>Opzjoni call regolatorja (Iva/Le)</w:t>
            </w:r>
          </w:p>
          <w:p w14:paraId="2DB12A69" w14:textId="0ACA0878" w:rsidR="00C23169" w:rsidRPr="00FB08AF" w:rsidRDefault="0087315C" w:rsidP="00A41ECA">
            <w:pPr>
              <w:pStyle w:val="InstructionsText"/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</w:pPr>
            <w:r>
              <w:rPr>
                <w:rStyle w:val="InstructionsTabelleberschrift"/>
                <w:rFonts w:ascii="Times New Roman" w:hAnsi="Times New Roman"/>
                <w:b w:val="0"/>
                <w:sz w:val="24"/>
                <w:u w:val="none"/>
              </w:rPr>
              <w:t xml:space="preserve">Għandu jiġi indikat jekk l-emittent għandux opzjoni </w:t>
            </w:r>
            <w:r>
              <w:rPr>
                <w:rStyle w:val="FormatvorlageInstructionsTabelleText"/>
                <w:rFonts w:ascii="Times New Roman" w:hAnsi="Times New Roman"/>
                <w:sz w:val="24"/>
              </w:rPr>
              <w:t>eżerċitabbli li tista’ tiġi eżerċitata malli jseħħ avveniment regolatorju li jaffettwa l-eliġibbiltà tal-kuntratt għall-MREL.</w:t>
            </w:r>
          </w:p>
        </w:tc>
      </w:tr>
    </w:tbl>
    <w:p w14:paraId="283DBBE4" w14:textId="71DC2E17" w:rsidR="007C10D9" w:rsidRPr="00FB08AF" w:rsidRDefault="00367B3A" w:rsidP="004A66E8">
      <w:pPr>
        <w:rPr>
          <w:rStyle w:val="InstructionsTabelleText"/>
          <w:rFonts w:ascii="Times New Roman" w:hAnsi="Times New Roman"/>
          <w:sz w:val="24"/>
        </w:rPr>
      </w:pPr>
      <w:r>
        <w:rPr>
          <w:rStyle w:val="InstructionsTabelleText"/>
          <w:rFonts w:ascii="Times New Roman" w:hAnsi="Times New Roman"/>
          <w:sz w:val="24"/>
        </w:rPr>
        <w:t>“</w:t>
      </w:r>
    </w:p>
    <w:sectPr w:rsidR="007C10D9" w:rsidRPr="00FB08AF" w:rsidSect="00B51F4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endnotePr>
        <w:numFmt w:val="decimal"/>
      </w:endnote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07C9F" w14:textId="77777777" w:rsidR="0026202B" w:rsidRDefault="0026202B" w:rsidP="00D946DB">
      <w:pPr>
        <w:spacing w:before="0" w:after="0"/>
      </w:pPr>
      <w:r>
        <w:separator/>
      </w:r>
    </w:p>
  </w:endnote>
  <w:endnote w:type="continuationSeparator" w:id="0">
    <w:p w14:paraId="134FDC7D" w14:textId="77777777" w:rsidR="0026202B" w:rsidRDefault="0026202B" w:rsidP="00D946DB">
      <w:pPr>
        <w:spacing w:before="0" w:after="0"/>
      </w:pPr>
      <w:r>
        <w:continuationSeparator/>
      </w:r>
    </w:p>
  </w:endnote>
  <w:endnote w:type="continuationNotice" w:id="1">
    <w:p w14:paraId="62D12ADA" w14:textId="77777777" w:rsidR="0026202B" w:rsidRDefault="0026202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6BB1F" w14:textId="77777777" w:rsidR="00EC5B2A" w:rsidRDefault="00EC5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834006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43F42CE0" w14:textId="0CA50634" w:rsidR="00551E8E" w:rsidRPr="00EC5B2A" w:rsidRDefault="00551E8E" w:rsidP="00684E72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EC5B2A">
          <w:rPr>
            <w:rFonts w:ascii="Times New Roman" w:hAnsi="Times New Roman"/>
            <w:sz w:val="20"/>
          </w:rPr>
          <w:fldChar w:fldCharType="begin"/>
        </w:r>
        <w:r w:rsidRPr="00EC5B2A">
          <w:rPr>
            <w:rFonts w:ascii="Times New Roman" w:hAnsi="Times New Roman"/>
            <w:sz w:val="20"/>
          </w:rPr>
          <w:instrText xml:space="preserve"> PAGE   \* MERGEFORMAT </w:instrText>
        </w:r>
        <w:r w:rsidRPr="00EC5B2A">
          <w:rPr>
            <w:rFonts w:ascii="Times New Roman" w:hAnsi="Times New Roman"/>
            <w:sz w:val="20"/>
          </w:rPr>
          <w:fldChar w:fldCharType="separate"/>
        </w:r>
        <w:r w:rsidR="00D5004A" w:rsidRPr="00EC5B2A">
          <w:rPr>
            <w:rFonts w:ascii="Times New Roman" w:hAnsi="Times New Roman"/>
            <w:sz w:val="20"/>
          </w:rPr>
          <w:t>1</w:t>
        </w:r>
        <w:r w:rsidRPr="00EC5B2A">
          <w:rPr>
            <w:rFonts w:ascii="Times New Roman" w:hAnsi="Times New Roman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A8FA" w14:textId="77777777" w:rsidR="00EC5B2A" w:rsidRDefault="00EC5B2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DC3A" w14:textId="77777777" w:rsidR="00551E8E" w:rsidRDefault="00551E8E">
    <w:pPr>
      <w:pStyle w:val="Footer"/>
      <w:framePr w:wrap="auto" w:vAnchor="text" w:hAnchor="margin" w:xAlign="right" w:y="1"/>
      <w:rPr>
        <w:rStyle w:val="PageNumber"/>
        <w:szCs w:val="2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183</w:t>
    </w:r>
    <w:r>
      <w:rPr>
        <w:rStyle w:val="PageNumber"/>
      </w:rPr>
      <w:fldChar w:fldCharType="end"/>
    </w:r>
  </w:p>
  <w:p w14:paraId="47A2770F" w14:textId="77777777" w:rsidR="00551E8E" w:rsidRDefault="00551E8E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C299" w14:textId="57535AAE" w:rsidR="00551E8E" w:rsidRPr="00ED1956" w:rsidRDefault="00551E8E" w:rsidP="00EC5B2A">
    <w:pPr>
      <w:pStyle w:val="Footer"/>
      <w:jc w:val="center"/>
      <w:rPr>
        <w:rFonts w:ascii="Times New Roman" w:hAnsi="Times New Roman"/>
        <w:sz w:val="20"/>
        <w:szCs w:val="20"/>
      </w:rPr>
    </w:pPr>
    <w:r w:rsidRPr="00ED1956">
      <w:rPr>
        <w:rFonts w:ascii="Times New Roman" w:hAnsi="Times New Roman"/>
        <w:sz w:val="20"/>
      </w:rPr>
      <w:fldChar w:fldCharType="begin"/>
    </w:r>
    <w:r w:rsidRPr="00ED1956">
      <w:rPr>
        <w:rFonts w:ascii="Times New Roman" w:hAnsi="Times New Roman"/>
        <w:sz w:val="20"/>
      </w:rPr>
      <w:instrText xml:space="preserve"> PAGE   \* MERGEFORMAT </w:instrText>
    </w:r>
    <w:r w:rsidRPr="00ED1956">
      <w:rPr>
        <w:rFonts w:ascii="Times New Roman" w:hAnsi="Times New Roman"/>
        <w:sz w:val="20"/>
      </w:rPr>
      <w:fldChar w:fldCharType="separate"/>
    </w:r>
    <w:r w:rsidR="00D5004A">
      <w:rPr>
        <w:rFonts w:ascii="Times New Roman" w:hAnsi="Times New Roman"/>
        <w:sz w:val="20"/>
      </w:rPr>
      <w:t>21</w:t>
    </w:r>
    <w:r w:rsidRPr="00ED1956">
      <w:rPr>
        <w:rFonts w:ascii="Times New Roman" w:hAnsi="Times New Roman"/>
        <w:sz w:val="20"/>
      </w:rPr>
      <w:fldChar w:fldCharType="end"/>
    </w:r>
  </w:p>
  <w:p w14:paraId="1DE3368F" w14:textId="77777777" w:rsidR="00551E8E" w:rsidRPr="00A772B4" w:rsidRDefault="00551E8E" w:rsidP="00A77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52A6F" w14:textId="77777777" w:rsidR="0026202B" w:rsidRDefault="0026202B" w:rsidP="00D946DB">
      <w:pPr>
        <w:spacing w:before="0" w:after="0"/>
      </w:pPr>
      <w:r>
        <w:separator/>
      </w:r>
    </w:p>
  </w:footnote>
  <w:footnote w:type="continuationSeparator" w:id="0">
    <w:p w14:paraId="4C627D1C" w14:textId="77777777" w:rsidR="0026202B" w:rsidRDefault="0026202B" w:rsidP="00D946DB">
      <w:pPr>
        <w:spacing w:before="0" w:after="0"/>
      </w:pPr>
      <w:r>
        <w:continuationSeparator/>
      </w:r>
    </w:p>
  </w:footnote>
  <w:footnote w:type="continuationNotice" w:id="1">
    <w:p w14:paraId="6B86DB8B" w14:textId="77777777" w:rsidR="0026202B" w:rsidRDefault="0026202B">
      <w:pPr>
        <w:spacing w:before="0" w:after="0"/>
      </w:pPr>
    </w:p>
  </w:footnote>
  <w:footnote w:id="2">
    <w:p w14:paraId="25A8BBAC" w14:textId="7663F503" w:rsidR="00295371" w:rsidRPr="00EC5B2A" w:rsidRDefault="00295371">
      <w:pPr>
        <w:pStyle w:val="FootnoteText"/>
        <w:rPr>
          <w:rFonts w:ascii="Times New Roman" w:hAnsi="Times New Roman"/>
          <w:sz w:val="20"/>
          <w:szCs w:val="20"/>
        </w:rPr>
      </w:pPr>
      <w:r>
        <w:rPr>
          <w:rStyle w:val="FootnoteReference"/>
          <w:rFonts w:ascii="Times New Roman" w:hAnsi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Ir-Regolament ta’ Delega tal-Kummissjoni (UE) Nru 241/2014 tas-7 ta’ Jannar 2014 li jissupplimenta r-Regolament (UE) Nru 575/2013 tal-Parlament Ewropew u tal-Kunsill fir-rigward ta’ standards tekniċi regolatorji għar-Rekwiżiti tal-Fondi Proprji għall-istituzzjonijiet (ĠU L 74, 14.3.2014, p. 8, ELI: </w:t>
      </w:r>
      <w:hyperlink r:id="rId1" w:history="1">
        <w:r>
          <w:rPr>
            <w:rStyle w:val="Hyperlink"/>
            <w:rFonts w:ascii="Times New Roman" w:hAnsi="Times New Roman"/>
            <w:sz w:val="20"/>
          </w:rPr>
          <w:t>http://data.europa.eu/eli/reg_del/2014/241/oj</w:t>
        </w:r>
      </w:hyperlink>
      <w:r>
        <w:rPr>
          <w:rFonts w:ascii="Times New Roman" w:hAnsi="Times New Roman"/>
          <w:sz w:val="20"/>
        </w:rPr>
        <w:t>).</w:t>
      </w:r>
    </w:p>
  </w:footnote>
  <w:footnote w:id="3">
    <w:p w14:paraId="692FB9C1" w14:textId="3603876F" w:rsidR="00551E8E" w:rsidRPr="00EC5B2A" w:rsidRDefault="00551E8E" w:rsidP="006876BA">
      <w:pPr>
        <w:pStyle w:val="FootnoteText"/>
        <w:rPr>
          <w:rFonts w:ascii="Times New Roman" w:hAnsi="Times New Roman"/>
          <w:sz w:val="20"/>
          <w:szCs w:val="20"/>
        </w:rPr>
      </w:pPr>
      <w:r>
        <w:rPr>
          <w:rStyle w:val="FootnoteReference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</w:rPr>
        <w:t xml:space="preserve"> Did-direttiva 2013/36/UE tal-Parlament Ewropew u tal-Kunsill tas-26 ta' Ġunju 2013 dwar l-aċċess għall-attività tal-istituzzjonijiet ta' kreditu u s-superviżjoni prudenzjali tal-istituzzjonijiet ta' kreditu u tad-ditti tal-investiment, li temenda d-Direttiva 2002/87/KE u li tħassar id-Direttivi 2006/48/KE u 2006/49/KE (ĠU L 176, 27.6.2013, p. 338, ELI: http://data.europa.eu/eli/dir/2013/36/oj).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3282C" w14:textId="02E5272D" w:rsidR="00551E8E" w:rsidRDefault="00551E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1CABF6" wp14:editId="3F5CDD2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4445"/>
              <wp:wrapSquare wrapText="bothSides"/>
              <wp:docPr id="2" name="Text Box 2" descr="Użu Regolari tal-EB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D3E4FA" w14:textId="6C0428EE" w:rsidR="00551E8E" w:rsidRPr="00A0123A" w:rsidRDefault="00551E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Użu Regolari tal-EBA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CAB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żu Regolari tal-EBA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0D3E4FA" w14:textId="6C0428EE" w:rsidR="00551E8E" w:rsidRPr="00A0123A" w:rsidRDefault="00551E8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Użu Regolari tal-EBA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4525" w14:textId="77777777" w:rsidR="00EC5B2A" w:rsidRDefault="00EC5B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92B7" w14:textId="036EDA41" w:rsidR="00551E8E" w:rsidRDefault="00551E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B79560" wp14:editId="5DA343C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4445"/>
              <wp:wrapSquare wrapText="bothSides"/>
              <wp:docPr id="1" name="Text Box 1" descr="Użu Regolari tal-EB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50E17" w14:textId="204A80B1" w:rsidR="00551E8E" w:rsidRPr="00A0123A" w:rsidRDefault="00551E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Użu Regolari tal-EBA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795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żu Regolari tal-EBA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7B950E17" w14:textId="204A80B1" w:rsidR="00551E8E" w:rsidRPr="00A0123A" w:rsidRDefault="00551E8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Użu Regolari tal-EBA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911E0" w14:textId="52ED7118" w:rsidR="00551E8E" w:rsidRDefault="00551E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A187909" wp14:editId="4A22D38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4445"/>
              <wp:wrapSquare wrapText="bothSides"/>
              <wp:docPr id="5" name="Text Box 5" descr="Użu Regolari tal-EB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00FA0" w14:textId="78A4343B" w:rsidR="00551E8E" w:rsidRPr="00A0123A" w:rsidRDefault="00551E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Użu Regolari tal-EBA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8790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żu Regolari tal-EBA" style="position:absolute;left:0;text-align:left;margin-left:0;margin-top:.05pt;width:34.95pt;height:34.95pt;z-index:25166233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14400FA0" w14:textId="78A4343B" w:rsidR="00551E8E" w:rsidRPr="00A0123A" w:rsidRDefault="00551E8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Użu Regolari tal-EBA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6F2EA" w14:textId="730AE660" w:rsidR="00551E8E" w:rsidRDefault="00551E8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1AC87" w14:textId="501B9E62" w:rsidR="00551E8E" w:rsidRDefault="00551E8E">
    <w:pPr>
      <w:rPr>
        <w:rFonts w:ascii="Arial" w:hAnsi="Arial" w:cs="Arial"/>
      </w:rPr>
    </w:pPr>
    <w:r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E97F775" wp14:editId="78922CD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4445"/>
              <wp:wrapSquare wrapText="bothSides"/>
              <wp:docPr id="4" name="Text Box 4" descr="Użu Regolari tal-EB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2FFC7" w14:textId="682B3475" w:rsidR="00551E8E" w:rsidRPr="00A0123A" w:rsidRDefault="00551E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4"/>
                            </w:rPr>
                            <w:t>Użu Regolari tal-EBA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7F77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Użu Regolari tal-EBA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dhbLpQ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0152FFC7" w14:textId="682B3475" w:rsidR="00551E8E" w:rsidRPr="00A0123A" w:rsidRDefault="00551E8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4"/>
                      </w:rPr>
                      <w:t>Użu Regolari tal-EBA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A99"/>
    <w:multiLevelType w:val="hybridMultilevel"/>
    <w:tmpl w:val="B9D49566"/>
    <w:lvl w:ilvl="0" w:tplc="D2024F70">
      <w:start w:val="1"/>
      <w:numFmt w:val="bullet"/>
      <w:pStyle w:val="Aufzhlungszeiche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  <w:lvl w:ilvl="1" w:tplc="FBC0B1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0AE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0AF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E445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46C1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B491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62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DCE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561B1"/>
    <w:multiLevelType w:val="hybridMultilevel"/>
    <w:tmpl w:val="72A4A26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35F1A"/>
    <w:multiLevelType w:val="hybridMultilevel"/>
    <w:tmpl w:val="42843F52"/>
    <w:lvl w:ilvl="0" w:tplc="FCDAE4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10F59"/>
    <w:multiLevelType w:val="multilevel"/>
    <w:tmpl w:val="6348284C"/>
    <w:lvl w:ilvl="0">
      <w:start w:val="1"/>
      <w:numFmt w:val="decimal"/>
      <w:pStyle w:val="Baseparagraphnumbered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 w:hint="default"/>
      </w:rPr>
    </w:lvl>
  </w:abstractNum>
  <w:abstractNum w:abstractNumId="4" w15:restartNumberingAfterBreak="0">
    <w:nsid w:val="149D056D"/>
    <w:multiLevelType w:val="hybridMultilevel"/>
    <w:tmpl w:val="40F6A5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F360C"/>
    <w:multiLevelType w:val="hybridMultilevel"/>
    <w:tmpl w:val="6674CBA0"/>
    <w:lvl w:ilvl="0" w:tplc="F946A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7287"/>
    <w:multiLevelType w:val="multilevel"/>
    <w:tmpl w:val="7DFA3C5C"/>
    <w:lvl w:ilvl="0">
      <w:start w:val="1"/>
      <w:numFmt w:val="decimal"/>
      <w:pStyle w:val="Numberedtileleve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CE55C8"/>
    <w:multiLevelType w:val="hybridMultilevel"/>
    <w:tmpl w:val="403A730A"/>
    <w:lvl w:ilvl="0" w:tplc="D334FF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F211A"/>
    <w:multiLevelType w:val="hybridMultilevel"/>
    <w:tmpl w:val="299CC482"/>
    <w:lvl w:ilvl="0" w:tplc="6BF2B3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45D18"/>
    <w:multiLevelType w:val="hybridMultilevel"/>
    <w:tmpl w:val="3BE2C7B8"/>
    <w:lvl w:ilvl="0" w:tplc="D47C1E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D6282"/>
    <w:multiLevelType w:val="multilevel"/>
    <w:tmpl w:val="5D8418C4"/>
    <w:lvl w:ilvl="0">
      <w:start w:val="1"/>
      <w:numFmt w:val="decimal"/>
      <w:pStyle w:val="GliederungmitNummerierung"/>
      <w:lvlText w:val="%1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098"/>
        </w:tabs>
        <w:ind w:left="2098" w:hanging="73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062"/>
        </w:tabs>
        <w:ind w:left="3062" w:hanging="96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F497260"/>
    <w:multiLevelType w:val="hybridMultilevel"/>
    <w:tmpl w:val="32068DBA"/>
    <w:lvl w:ilvl="0" w:tplc="77C667F8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830C7"/>
    <w:multiLevelType w:val="hybridMultilevel"/>
    <w:tmpl w:val="FDC653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6A77F6C"/>
    <w:multiLevelType w:val="hybridMultilevel"/>
    <w:tmpl w:val="5EDEBE54"/>
    <w:lvl w:ilvl="0" w:tplc="B40E26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E7C3B"/>
    <w:multiLevelType w:val="hybridMultilevel"/>
    <w:tmpl w:val="67465038"/>
    <w:lvl w:ilvl="0" w:tplc="6C6001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050D9"/>
    <w:multiLevelType w:val="hybridMultilevel"/>
    <w:tmpl w:val="F7E0F274"/>
    <w:lvl w:ilvl="0" w:tplc="9BAEF704">
      <w:start w:val="1"/>
      <w:numFmt w:val="lowerLetter"/>
      <w:pStyle w:val="Nummerierungsart4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C573FE3"/>
    <w:multiLevelType w:val="hybridMultilevel"/>
    <w:tmpl w:val="72A4A26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A3D6B"/>
    <w:multiLevelType w:val="hybridMultilevel"/>
    <w:tmpl w:val="AE94D732"/>
    <w:lvl w:ilvl="0" w:tplc="1B1AF91E">
      <w:start w:val="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E4B17"/>
    <w:multiLevelType w:val="hybridMultilevel"/>
    <w:tmpl w:val="42843F52"/>
    <w:lvl w:ilvl="0" w:tplc="FCDAE4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D7F02"/>
    <w:multiLevelType w:val="multilevel"/>
    <w:tmpl w:val="0407001D"/>
    <w:numStyleLink w:val="Formatvorlage3"/>
  </w:abstractNum>
  <w:abstractNum w:abstractNumId="20" w15:restartNumberingAfterBreak="0">
    <w:nsid w:val="327F7950"/>
    <w:multiLevelType w:val="hybridMultilevel"/>
    <w:tmpl w:val="403A730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57CB8"/>
    <w:multiLevelType w:val="hybridMultilevel"/>
    <w:tmpl w:val="B9904A52"/>
    <w:lvl w:ilvl="0" w:tplc="236EA62C">
      <w:start w:val="1"/>
      <w:numFmt w:val="decimal"/>
      <w:pStyle w:val="InstructionsText2"/>
      <w:lvlText w:val="%1."/>
      <w:lvlJc w:val="left"/>
      <w:pPr>
        <w:ind w:left="1353" w:hanging="360"/>
      </w:pPr>
      <w:rPr>
        <w:rFonts w:cs="Times New Roman"/>
      </w:rPr>
    </w:lvl>
    <w:lvl w:ilvl="1" w:tplc="5F56F3B6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</w:rPr>
    </w:lvl>
    <w:lvl w:ilvl="2" w:tplc="0407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B84BE16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7226525"/>
    <w:multiLevelType w:val="hybridMultilevel"/>
    <w:tmpl w:val="9872E646"/>
    <w:lvl w:ilvl="0" w:tplc="0C0A0001">
      <w:start w:val="1"/>
      <w:numFmt w:val="decimal"/>
      <w:pStyle w:val="Nummerierungsart2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8393379"/>
    <w:multiLevelType w:val="hybridMultilevel"/>
    <w:tmpl w:val="21E4A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57312"/>
    <w:multiLevelType w:val="multilevel"/>
    <w:tmpl w:val="1864F90A"/>
    <w:styleLink w:val="Formatvorlag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sz w:val="22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3F2C3E42"/>
    <w:multiLevelType w:val="hybridMultilevel"/>
    <w:tmpl w:val="6746503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1073F"/>
    <w:multiLevelType w:val="hybridMultilevel"/>
    <w:tmpl w:val="5EDEBE54"/>
    <w:lvl w:ilvl="0" w:tplc="B40E26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BF5198"/>
    <w:multiLevelType w:val="hybridMultilevel"/>
    <w:tmpl w:val="5EDEBE54"/>
    <w:lvl w:ilvl="0" w:tplc="B40E26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72236"/>
    <w:multiLevelType w:val="hybridMultilevel"/>
    <w:tmpl w:val="E974A63C"/>
    <w:lvl w:ilvl="0" w:tplc="91F28F2A">
      <w:start w:val="1"/>
      <w:numFmt w:val="bullet"/>
      <w:pStyle w:val="Aufzhlungszeichen4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8"/>
      </w:rPr>
    </w:lvl>
    <w:lvl w:ilvl="1" w:tplc="78D022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AF56F5"/>
    <w:multiLevelType w:val="hybridMultilevel"/>
    <w:tmpl w:val="72A4A260"/>
    <w:lvl w:ilvl="0" w:tplc="4202BE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13AEB"/>
    <w:multiLevelType w:val="hybridMultilevel"/>
    <w:tmpl w:val="F748321A"/>
    <w:lvl w:ilvl="0" w:tplc="1B1AF91E">
      <w:start w:val="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7C667F8">
      <w:start w:val="40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B95802"/>
    <w:multiLevelType w:val="multilevel"/>
    <w:tmpl w:val="0407001D"/>
    <w:styleLink w:val="Formatvorlage3"/>
    <w:lvl w:ilvl="0">
      <w:start w:val="1"/>
      <w:numFmt w:val="none"/>
      <w:pStyle w:val="Heading4"/>
      <w:lvlText w:val="%1"/>
      <w:lvlJc w:val="left"/>
      <w:pPr>
        <w:ind w:left="360" w:hanging="360"/>
      </w:pPr>
      <w:rPr>
        <w:rFonts w:ascii="Verdana" w:hAnsi="Verdana" w:cs="Times New Roman" w:hint="default"/>
        <w:b/>
        <w:color w:val="auto"/>
        <w:sz w:val="20"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4EF30DF1"/>
    <w:multiLevelType w:val="hybridMultilevel"/>
    <w:tmpl w:val="95BE37A4"/>
    <w:lvl w:ilvl="0" w:tplc="B2366634">
      <w:start w:val="1"/>
      <w:numFmt w:val="upperRoman"/>
      <w:pStyle w:val="Nummerierungsart3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0227369"/>
    <w:multiLevelType w:val="hybridMultilevel"/>
    <w:tmpl w:val="8E7A791A"/>
    <w:lvl w:ilvl="0" w:tplc="4A2A8390">
      <w:start w:val="1"/>
      <w:numFmt w:val="decimal"/>
      <w:pStyle w:val="numberedparagraph"/>
      <w:lvlText w:val="%1."/>
      <w:lvlJc w:val="left"/>
      <w:pPr>
        <w:tabs>
          <w:tab w:val="num" w:pos="710"/>
        </w:tabs>
        <w:ind w:left="710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20839E0"/>
    <w:multiLevelType w:val="hybridMultilevel"/>
    <w:tmpl w:val="EF1A48B0"/>
    <w:lvl w:ilvl="0" w:tplc="710EC2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BA29E0"/>
    <w:multiLevelType w:val="hybridMultilevel"/>
    <w:tmpl w:val="BCB28718"/>
    <w:lvl w:ilvl="0" w:tplc="ACA6EB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9A7FCC"/>
    <w:multiLevelType w:val="hybridMultilevel"/>
    <w:tmpl w:val="592C6906"/>
    <w:lvl w:ilvl="0" w:tplc="EC2E668A">
      <w:numFmt w:val="bullet"/>
      <w:lvlText w:val="-"/>
      <w:lvlJc w:val="left"/>
      <w:pPr>
        <w:ind w:left="720" w:hanging="360"/>
      </w:pPr>
      <w:rPr>
        <w:rFonts w:ascii="Verdana" w:eastAsia="Arial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A1738F"/>
    <w:multiLevelType w:val="hybridMultilevel"/>
    <w:tmpl w:val="2FE2799E"/>
    <w:lvl w:ilvl="0" w:tplc="04090003">
      <w:start w:val="1"/>
      <w:numFmt w:val="decimal"/>
      <w:pStyle w:val="Instructionsberschrift3"/>
      <w:lvlText w:val="%1.1.1"/>
      <w:lvlJc w:val="left"/>
      <w:pPr>
        <w:ind w:left="720" w:hanging="360"/>
      </w:pPr>
      <w:rPr>
        <w:rFonts w:cs="Times New Roman" w:hint="default"/>
      </w:rPr>
    </w:lvl>
    <w:lvl w:ilvl="1" w:tplc="04090005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C951B61"/>
    <w:multiLevelType w:val="hybridMultilevel"/>
    <w:tmpl w:val="121C0A42"/>
    <w:lvl w:ilvl="0" w:tplc="040A0017">
      <w:start w:val="1"/>
      <w:numFmt w:val="bullet"/>
      <w:pStyle w:val="Aufzhlungszeichen2"/>
      <w:lvlText w:val="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sz w:val="32"/>
      </w:rPr>
    </w:lvl>
    <w:lvl w:ilvl="1" w:tplc="040A0019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A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A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A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A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A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A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A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5D6A0277"/>
    <w:multiLevelType w:val="multilevel"/>
    <w:tmpl w:val="68784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626D4728"/>
    <w:multiLevelType w:val="hybridMultilevel"/>
    <w:tmpl w:val="03BEE07C"/>
    <w:lvl w:ilvl="0" w:tplc="77C667F8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7057A3"/>
    <w:multiLevelType w:val="hybridMultilevel"/>
    <w:tmpl w:val="13420D26"/>
    <w:lvl w:ilvl="0" w:tplc="91F28F2A">
      <w:start w:val="1"/>
      <w:numFmt w:val="decimal"/>
      <w:pStyle w:val="Nummerierungsart1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6CA2C8C"/>
    <w:multiLevelType w:val="hybridMultilevel"/>
    <w:tmpl w:val="5BF2CFE0"/>
    <w:lvl w:ilvl="0" w:tplc="4BB6D85C">
      <w:start w:val="1"/>
      <w:numFmt w:val="decimal"/>
      <w:pStyle w:val="Instructionsberschrift2"/>
      <w:lvlText w:val="%1.1"/>
      <w:lvlJc w:val="left"/>
      <w:pPr>
        <w:ind w:left="720" w:hanging="360"/>
      </w:pPr>
      <w:rPr>
        <w:rFonts w:cs="Times New Roman" w:hint="default"/>
      </w:rPr>
    </w:lvl>
    <w:lvl w:ilvl="1" w:tplc="E7565B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7A6A44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1C6EF3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C18575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A46F0F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4CCF45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FA238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3AE06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7BB4607"/>
    <w:multiLevelType w:val="hybridMultilevel"/>
    <w:tmpl w:val="8388598C"/>
    <w:lvl w:ilvl="0" w:tplc="7340D1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2F0EC0"/>
    <w:multiLevelType w:val="multilevel"/>
    <w:tmpl w:val="51EEA844"/>
    <w:styleLink w:val="Formatvorlag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sz w:val="28"/>
      </w:rPr>
    </w:lvl>
    <w:lvl w:ilvl="4">
      <w:start w:val="1"/>
      <w:numFmt w:val="bullet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sz w:val="28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69FA5EA3"/>
    <w:multiLevelType w:val="multilevel"/>
    <w:tmpl w:val="D29C4EFC"/>
    <w:styleLink w:val="Formatvorlage4"/>
    <w:lvl w:ilvl="0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  <w:u w:val="single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cs="Times New Roman" w:hint="default"/>
      </w:rPr>
    </w:lvl>
  </w:abstractNum>
  <w:abstractNum w:abstractNumId="46" w15:restartNumberingAfterBreak="0">
    <w:nsid w:val="6BCD57BB"/>
    <w:multiLevelType w:val="multilevel"/>
    <w:tmpl w:val="69AA11E8"/>
    <w:lvl w:ilvl="0">
      <w:start w:val="1"/>
      <w:numFmt w:val="decimal"/>
      <w:lvlText w:val="%1.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Numberedtitlelevel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titlelevel3"/>
      <w:lvlText w:val="%1.%2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7" w15:restartNumberingAfterBreak="0">
    <w:nsid w:val="72242E3E"/>
    <w:multiLevelType w:val="multilevel"/>
    <w:tmpl w:val="51EEA844"/>
    <w:lvl w:ilvl="0">
      <w:start w:val="1"/>
      <w:numFmt w:val="bullet"/>
      <w:pStyle w:val="GliederungmitAufzhl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sz w:val="18"/>
      </w:rPr>
    </w:lvl>
    <w:lvl w:ilvl="4">
      <w:start w:val="1"/>
      <w:numFmt w:val="bullet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sz w:val="16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8" w15:restartNumberingAfterBreak="0">
    <w:nsid w:val="72377034"/>
    <w:multiLevelType w:val="hybridMultilevel"/>
    <w:tmpl w:val="D348E89A"/>
    <w:lvl w:ilvl="0" w:tplc="F42CC6B2">
      <w:start w:val="1"/>
      <w:numFmt w:val="bullet"/>
      <w:pStyle w:val="Aufzhlungszeichen3"/>
      <w:lvlText w:val="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2"/>
      </w:rPr>
    </w:lvl>
    <w:lvl w:ilvl="1" w:tplc="3FFC2F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F4E1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05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1A1B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0AC6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D27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3A73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7ADA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6C2B70"/>
    <w:multiLevelType w:val="hybridMultilevel"/>
    <w:tmpl w:val="72A4A26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F734B1"/>
    <w:multiLevelType w:val="hybridMultilevel"/>
    <w:tmpl w:val="42843F52"/>
    <w:lvl w:ilvl="0" w:tplc="FCDAE4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F82664"/>
    <w:multiLevelType w:val="hybridMultilevel"/>
    <w:tmpl w:val="E69811B0"/>
    <w:lvl w:ilvl="0" w:tplc="CB0ABCB8">
      <w:start w:val="5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51639">
    <w:abstractNumId w:val="0"/>
  </w:num>
  <w:num w:numId="2" w16cid:durableId="215942944">
    <w:abstractNumId w:val="38"/>
  </w:num>
  <w:num w:numId="3" w16cid:durableId="250704334">
    <w:abstractNumId w:val="48"/>
  </w:num>
  <w:num w:numId="4" w16cid:durableId="1393386640">
    <w:abstractNumId w:val="28"/>
  </w:num>
  <w:num w:numId="5" w16cid:durableId="1840342573">
    <w:abstractNumId w:val="44"/>
  </w:num>
  <w:num w:numId="6" w16cid:durableId="572618477">
    <w:abstractNumId w:val="24"/>
  </w:num>
  <w:num w:numId="7" w16cid:durableId="1092701592">
    <w:abstractNumId w:val="47"/>
  </w:num>
  <w:num w:numId="8" w16cid:durableId="1761096816">
    <w:abstractNumId w:val="10"/>
  </w:num>
  <w:num w:numId="9" w16cid:durableId="1589654125">
    <w:abstractNumId w:val="41"/>
  </w:num>
  <w:num w:numId="10" w16cid:durableId="14773008">
    <w:abstractNumId w:val="22"/>
  </w:num>
  <w:num w:numId="11" w16cid:durableId="1601446782">
    <w:abstractNumId w:val="32"/>
  </w:num>
  <w:num w:numId="12" w16cid:durableId="655382628">
    <w:abstractNumId w:val="15"/>
  </w:num>
  <w:num w:numId="13" w16cid:durableId="22093217">
    <w:abstractNumId w:val="42"/>
  </w:num>
  <w:num w:numId="14" w16cid:durableId="970284668">
    <w:abstractNumId w:val="37"/>
  </w:num>
  <w:num w:numId="15" w16cid:durableId="712119518">
    <w:abstractNumId w:val="21"/>
  </w:num>
  <w:num w:numId="16" w16cid:durableId="321130615">
    <w:abstractNumId w:val="31"/>
  </w:num>
  <w:num w:numId="17" w16cid:durableId="269316234">
    <w:abstractNumId w:val="19"/>
  </w:num>
  <w:num w:numId="18" w16cid:durableId="1506676202">
    <w:abstractNumId w:val="45"/>
  </w:num>
  <w:num w:numId="19" w16cid:durableId="1320040099">
    <w:abstractNumId w:val="3"/>
  </w:num>
  <w:num w:numId="20" w16cid:durableId="991981158">
    <w:abstractNumId w:val="50"/>
  </w:num>
  <w:num w:numId="21" w16cid:durableId="1650087619">
    <w:abstractNumId w:val="46"/>
  </w:num>
  <w:num w:numId="22" w16cid:durableId="1671443880">
    <w:abstractNumId w:val="13"/>
  </w:num>
  <w:num w:numId="23" w16cid:durableId="2056929243">
    <w:abstractNumId w:val="8"/>
  </w:num>
  <w:num w:numId="24" w16cid:durableId="2068062580">
    <w:abstractNumId w:val="9"/>
  </w:num>
  <w:num w:numId="25" w16cid:durableId="1697078302">
    <w:abstractNumId w:val="40"/>
  </w:num>
  <w:num w:numId="26" w16cid:durableId="1226139225">
    <w:abstractNumId w:val="11"/>
  </w:num>
  <w:num w:numId="27" w16cid:durableId="1267806963">
    <w:abstractNumId w:val="27"/>
  </w:num>
  <w:num w:numId="28" w16cid:durableId="1911501126">
    <w:abstractNumId w:val="2"/>
  </w:num>
  <w:num w:numId="29" w16cid:durableId="886795705">
    <w:abstractNumId w:val="17"/>
  </w:num>
  <w:num w:numId="30" w16cid:durableId="48116474">
    <w:abstractNumId w:val="6"/>
  </w:num>
  <w:num w:numId="31" w16cid:durableId="20331434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40208219">
    <w:abstractNumId w:val="33"/>
  </w:num>
  <w:num w:numId="33" w16cid:durableId="1441140989">
    <w:abstractNumId w:val="18"/>
  </w:num>
  <w:num w:numId="34" w16cid:durableId="490878345">
    <w:abstractNumId w:val="26"/>
  </w:num>
  <w:num w:numId="35" w16cid:durableId="735278721">
    <w:abstractNumId w:val="30"/>
  </w:num>
  <w:num w:numId="36" w16cid:durableId="207498083">
    <w:abstractNumId w:val="39"/>
  </w:num>
  <w:num w:numId="37" w16cid:durableId="4660501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372160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91490879">
    <w:abstractNumId w:val="21"/>
  </w:num>
  <w:num w:numId="40" w16cid:durableId="2014263863">
    <w:abstractNumId w:val="21"/>
  </w:num>
  <w:num w:numId="41" w16cid:durableId="1643924564">
    <w:abstractNumId w:val="21"/>
  </w:num>
  <w:num w:numId="42" w16cid:durableId="1140726735">
    <w:abstractNumId w:val="36"/>
  </w:num>
  <w:num w:numId="43" w16cid:durableId="1972855914">
    <w:abstractNumId w:val="4"/>
  </w:num>
  <w:num w:numId="44" w16cid:durableId="1943416906">
    <w:abstractNumId w:val="23"/>
  </w:num>
  <w:num w:numId="45" w16cid:durableId="1259871850">
    <w:abstractNumId w:val="43"/>
  </w:num>
  <w:num w:numId="46" w16cid:durableId="1789816692">
    <w:abstractNumId w:val="6"/>
  </w:num>
  <w:num w:numId="47" w16cid:durableId="1832911175">
    <w:abstractNumId w:val="21"/>
  </w:num>
  <w:num w:numId="48" w16cid:durableId="316809264">
    <w:abstractNumId w:val="21"/>
  </w:num>
  <w:num w:numId="49" w16cid:durableId="1637643878">
    <w:abstractNumId w:val="12"/>
  </w:num>
  <w:num w:numId="50" w16cid:durableId="1155338883">
    <w:abstractNumId w:val="51"/>
  </w:num>
  <w:num w:numId="51" w16cid:durableId="1016233626">
    <w:abstractNumId w:val="14"/>
  </w:num>
  <w:num w:numId="52" w16cid:durableId="1317218939">
    <w:abstractNumId w:val="25"/>
  </w:num>
  <w:num w:numId="53" w16cid:durableId="170488796">
    <w:abstractNumId w:val="34"/>
  </w:num>
  <w:num w:numId="54" w16cid:durableId="1829397285">
    <w:abstractNumId w:val="21"/>
  </w:num>
  <w:num w:numId="55" w16cid:durableId="1321809290">
    <w:abstractNumId w:val="21"/>
  </w:num>
  <w:num w:numId="56" w16cid:durableId="1945764498">
    <w:abstractNumId w:val="21"/>
  </w:num>
  <w:num w:numId="57" w16cid:durableId="841623985">
    <w:abstractNumId w:val="21"/>
  </w:num>
  <w:num w:numId="58" w16cid:durableId="1498761348">
    <w:abstractNumId w:val="21"/>
  </w:num>
  <w:num w:numId="59" w16cid:durableId="461458130">
    <w:abstractNumId w:val="21"/>
  </w:num>
  <w:num w:numId="60" w16cid:durableId="1834564557">
    <w:abstractNumId w:val="21"/>
  </w:num>
  <w:num w:numId="61" w16cid:durableId="760957143">
    <w:abstractNumId w:val="21"/>
  </w:num>
  <w:num w:numId="62" w16cid:durableId="946741136">
    <w:abstractNumId w:val="21"/>
  </w:num>
  <w:num w:numId="63" w16cid:durableId="1781101996">
    <w:abstractNumId w:val="21"/>
  </w:num>
  <w:num w:numId="64" w16cid:durableId="654916619">
    <w:abstractNumId w:val="21"/>
  </w:num>
  <w:num w:numId="65" w16cid:durableId="889655873">
    <w:abstractNumId w:val="29"/>
  </w:num>
  <w:num w:numId="66" w16cid:durableId="492911919">
    <w:abstractNumId w:val="16"/>
  </w:num>
  <w:num w:numId="67" w16cid:durableId="163403816">
    <w:abstractNumId w:val="1"/>
  </w:num>
  <w:num w:numId="68" w16cid:durableId="514468051">
    <w:abstractNumId w:val="35"/>
  </w:num>
  <w:num w:numId="69" w16cid:durableId="1341851840">
    <w:abstractNumId w:val="7"/>
  </w:num>
  <w:num w:numId="70" w16cid:durableId="823399401">
    <w:abstractNumId w:val="20"/>
  </w:num>
  <w:num w:numId="71" w16cid:durableId="1304651332">
    <w:abstractNumId w:val="21"/>
  </w:num>
  <w:num w:numId="72" w16cid:durableId="9332050">
    <w:abstractNumId w:val="6"/>
  </w:num>
  <w:num w:numId="73" w16cid:durableId="1782069897">
    <w:abstractNumId w:val="21"/>
  </w:num>
  <w:num w:numId="74" w16cid:durableId="220555982">
    <w:abstractNumId w:val="21"/>
  </w:num>
  <w:num w:numId="75" w16cid:durableId="1337656134">
    <w:abstractNumId w:val="49"/>
  </w:num>
  <w:num w:numId="76" w16cid:durableId="574515657">
    <w:abstractNumId w:val="5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removeDateAndTime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autoHyphenation/>
  <w:hyphenationZone w:val="17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R_RefLast" w:val="0"/>
    <w:docVar w:name="FigNum" w:val="1"/>
    <w:docVar w:name="LW_DocType" w:val="NORMAL"/>
  </w:docVars>
  <w:rsids>
    <w:rsidRoot w:val="00884FEB"/>
    <w:rsid w:val="00000191"/>
    <w:rsid w:val="000001EC"/>
    <w:rsid w:val="00000255"/>
    <w:rsid w:val="00000F70"/>
    <w:rsid w:val="0000147E"/>
    <w:rsid w:val="000017F3"/>
    <w:rsid w:val="000020E5"/>
    <w:rsid w:val="00002933"/>
    <w:rsid w:val="00002E14"/>
    <w:rsid w:val="0000344B"/>
    <w:rsid w:val="000040E7"/>
    <w:rsid w:val="00004478"/>
    <w:rsid w:val="000044B7"/>
    <w:rsid w:val="00004978"/>
    <w:rsid w:val="00004FE8"/>
    <w:rsid w:val="00005078"/>
    <w:rsid w:val="00005765"/>
    <w:rsid w:val="00005FFC"/>
    <w:rsid w:val="00006114"/>
    <w:rsid w:val="00007605"/>
    <w:rsid w:val="00007D0D"/>
    <w:rsid w:val="00011BD0"/>
    <w:rsid w:val="000120EB"/>
    <w:rsid w:val="00014890"/>
    <w:rsid w:val="00014A29"/>
    <w:rsid w:val="00014DC3"/>
    <w:rsid w:val="00015AA5"/>
    <w:rsid w:val="0001693F"/>
    <w:rsid w:val="00017D49"/>
    <w:rsid w:val="00017D7A"/>
    <w:rsid w:val="00020200"/>
    <w:rsid w:val="00020516"/>
    <w:rsid w:val="00020857"/>
    <w:rsid w:val="00020AF9"/>
    <w:rsid w:val="0002157C"/>
    <w:rsid w:val="00023102"/>
    <w:rsid w:val="000232E2"/>
    <w:rsid w:val="00023383"/>
    <w:rsid w:val="000243CE"/>
    <w:rsid w:val="00025500"/>
    <w:rsid w:val="0002657F"/>
    <w:rsid w:val="00027235"/>
    <w:rsid w:val="0002765E"/>
    <w:rsid w:val="00031DC6"/>
    <w:rsid w:val="000326C1"/>
    <w:rsid w:val="00032E3E"/>
    <w:rsid w:val="00033B7C"/>
    <w:rsid w:val="00033C55"/>
    <w:rsid w:val="00034834"/>
    <w:rsid w:val="000359E1"/>
    <w:rsid w:val="000364CE"/>
    <w:rsid w:val="00037093"/>
    <w:rsid w:val="000377CC"/>
    <w:rsid w:val="00041480"/>
    <w:rsid w:val="00041848"/>
    <w:rsid w:val="000418B8"/>
    <w:rsid w:val="000433C4"/>
    <w:rsid w:val="00043DC2"/>
    <w:rsid w:val="0004432C"/>
    <w:rsid w:val="00044D06"/>
    <w:rsid w:val="00045036"/>
    <w:rsid w:val="0004590F"/>
    <w:rsid w:val="000466F4"/>
    <w:rsid w:val="00046805"/>
    <w:rsid w:val="00052CAE"/>
    <w:rsid w:val="000530BC"/>
    <w:rsid w:val="0005325E"/>
    <w:rsid w:val="0005400A"/>
    <w:rsid w:val="000548A2"/>
    <w:rsid w:val="00054949"/>
    <w:rsid w:val="0005609F"/>
    <w:rsid w:val="000565B6"/>
    <w:rsid w:val="00056816"/>
    <w:rsid w:val="00056906"/>
    <w:rsid w:val="00056C0F"/>
    <w:rsid w:val="00057154"/>
    <w:rsid w:val="00057362"/>
    <w:rsid w:val="0005746D"/>
    <w:rsid w:val="0005754F"/>
    <w:rsid w:val="00061E48"/>
    <w:rsid w:val="00063085"/>
    <w:rsid w:val="00063B28"/>
    <w:rsid w:val="00063B3F"/>
    <w:rsid w:val="000652BA"/>
    <w:rsid w:val="0006666B"/>
    <w:rsid w:val="00067DC1"/>
    <w:rsid w:val="00067EEA"/>
    <w:rsid w:val="00070AF9"/>
    <w:rsid w:val="00070E18"/>
    <w:rsid w:val="00071341"/>
    <w:rsid w:val="000713BD"/>
    <w:rsid w:val="000716F4"/>
    <w:rsid w:val="00072609"/>
    <w:rsid w:val="000735CC"/>
    <w:rsid w:val="0007412E"/>
    <w:rsid w:val="00074EC6"/>
    <w:rsid w:val="000758FE"/>
    <w:rsid w:val="00076091"/>
    <w:rsid w:val="00076342"/>
    <w:rsid w:val="00076880"/>
    <w:rsid w:val="00076ADC"/>
    <w:rsid w:val="00077C5F"/>
    <w:rsid w:val="00077DC8"/>
    <w:rsid w:val="0008111C"/>
    <w:rsid w:val="0008143C"/>
    <w:rsid w:val="00081898"/>
    <w:rsid w:val="00082265"/>
    <w:rsid w:val="0008234E"/>
    <w:rsid w:val="000828C6"/>
    <w:rsid w:val="000843B3"/>
    <w:rsid w:val="00084A4D"/>
    <w:rsid w:val="000858A9"/>
    <w:rsid w:val="00087700"/>
    <w:rsid w:val="00087E1A"/>
    <w:rsid w:val="000903FA"/>
    <w:rsid w:val="0009195D"/>
    <w:rsid w:val="00092139"/>
    <w:rsid w:val="00092F67"/>
    <w:rsid w:val="00093411"/>
    <w:rsid w:val="00093686"/>
    <w:rsid w:val="00093831"/>
    <w:rsid w:val="00094D25"/>
    <w:rsid w:val="00095191"/>
    <w:rsid w:val="00095D0D"/>
    <w:rsid w:val="00096566"/>
    <w:rsid w:val="00096942"/>
    <w:rsid w:val="0009761E"/>
    <w:rsid w:val="00097C81"/>
    <w:rsid w:val="00097E91"/>
    <w:rsid w:val="000A1955"/>
    <w:rsid w:val="000A1E70"/>
    <w:rsid w:val="000A3889"/>
    <w:rsid w:val="000A3B1A"/>
    <w:rsid w:val="000A3F45"/>
    <w:rsid w:val="000A4B61"/>
    <w:rsid w:val="000A4C10"/>
    <w:rsid w:val="000A5224"/>
    <w:rsid w:val="000A57BC"/>
    <w:rsid w:val="000A628F"/>
    <w:rsid w:val="000A7D27"/>
    <w:rsid w:val="000B0B09"/>
    <w:rsid w:val="000B0E46"/>
    <w:rsid w:val="000B0EBE"/>
    <w:rsid w:val="000B13A1"/>
    <w:rsid w:val="000B1772"/>
    <w:rsid w:val="000B2027"/>
    <w:rsid w:val="000B3C33"/>
    <w:rsid w:val="000B5B4D"/>
    <w:rsid w:val="000B5E2E"/>
    <w:rsid w:val="000B6A14"/>
    <w:rsid w:val="000B6D9D"/>
    <w:rsid w:val="000B6FC5"/>
    <w:rsid w:val="000B70E1"/>
    <w:rsid w:val="000B7865"/>
    <w:rsid w:val="000C0127"/>
    <w:rsid w:val="000C0A34"/>
    <w:rsid w:val="000C1AFD"/>
    <w:rsid w:val="000C24B5"/>
    <w:rsid w:val="000C30A6"/>
    <w:rsid w:val="000C4A6C"/>
    <w:rsid w:val="000C5A1A"/>
    <w:rsid w:val="000C5EA7"/>
    <w:rsid w:val="000C6C50"/>
    <w:rsid w:val="000C7632"/>
    <w:rsid w:val="000C7EAA"/>
    <w:rsid w:val="000D194E"/>
    <w:rsid w:val="000D1C6A"/>
    <w:rsid w:val="000D1DDF"/>
    <w:rsid w:val="000D220D"/>
    <w:rsid w:val="000D3CBC"/>
    <w:rsid w:val="000D4352"/>
    <w:rsid w:val="000D5110"/>
    <w:rsid w:val="000D5292"/>
    <w:rsid w:val="000D5958"/>
    <w:rsid w:val="000D5E51"/>
    <w:rsid w:val="000D6B9B"/>
    <w:rsid w:val="000D7F3B"/>
    <w:rsid w:val="000E093A"/>
    <w:rsid w:val="000E0C17"/>
    <w:rsid w:val="000E1572"/>
    <w:rsid w:val="000E29C9"/>
    <w:rsid w:val="000E3F99"/>
    <w:rsid w:val="000E6835"/>
    <w:rsid w:val="000E6B7E"/>
    <w:rsid w:val="000E7BA8"/>
    <w:rsid w:val="000E7F08"/>
    <w:rsid w:val="000F0F10"/>
    <w:rsid w:val="000F13F9"/>
    <w:rsid w:val="000F1CEA"/>
    <w:rsid w:val="000F211A"/>
    <w:rsid w:val="000F2EC8"/>
    <w:rsid w:val="000F2F09"/>
    <w:rsid w:val="000F33AF"/>
    <w:rsid w:val="000F46D5"/>
    <w:rsid w:val="000F4702"/>
    <w:rsid w:val="000F69D1"/>
    <w:rsid w:val="000F6A80"/>
    <w:rsid w:val="000F6B25"/>
    <w:rsid w:val="000F7045"/>
    <w:rsid w:val="000F70EC"/>
    <w:rsid w:val="000F7A4E"/>
    <w:rsid w:val="00100B94"/>
    <w:rsid w:val="0010177C"/>
    <w:rsid w:val="00101A46"/>
    <w:rsid w:val="00102048"/>
    <w:rsid w:val="00102C6F"/>
    <w:rsid w:val="00104370"/>
    <w:rsid w:val="0010455D"/>
    <w:rsid w:val="001048C4"/>
    <w:rsid w:val="00104A65"/>
    <w:rsid w:val="0010559F"/>
    <w:rsid w:val="0010605A"/>
    <w:rsid w:val="00106BFF"/>
    <w:rsid w:val="00106FC5"/>
    <w:rsid w:val="00110B0C"/>
    <w:rsid w:val="001119CD"/>
    <w:rsid w:val="00113E45"/>
    <w:rsid w:val="00113EA5"/>
    <w:rsid w:val="001151C1"/>
    <w:rsid w:val="0011539B"/>
    <w:rsid w:val="00115685"/>
    <w:rsid w:val="001156B4"/>
    <w:rsid w:val="0012049B"/>
    <w:rsid w:val="001219C2"/>
    <w:rsid w:val="00121B49"/>
    <w:rsid w:val="0012244E"/>
    <w:rsid w:val="00124A44"/>
    <w:rsid w:val="00124B85"/>
    <w:rsid w:val="001250CC"/>
    <w:rsid w:val="00125707"/>
    <w:rsid w:val="00125D44"/>
    <w:rsid w:val="00125D94"/>
    <w:rsid w:val="001273B5"/>
    <w:rsid w:val="00130EEF"/>
    <w:rsid w:val="001323BF"/>
    <w:rsid w:val="00132778"/>
    <w:rsid w:val="00133107"/>
    <w:rsid w:val="001331F5"/>
    <w:rsid w:val="001333E0"/>
    <w:rsid w:val="00133AC1"/>
    <w:rsid w:val="0013414F"/>
    <w:rsid w:val="00136316"/>
    <w:rsid w:val="00137AC5"/>
    <w:rsid w:val="001402DB"/>
    <w:rsid w:val="001404DC"/>
    <w:rsid w:val="001409D9"/>
    <w:rsid w:val="00140F6E"/>
    <w:rsid w:val="00141DD1"/>
    <w:rsid w:val="00142215"/>
    <w:rsid w:val="00142917"/>
    <w:rsid w:val="001432EE"/>
    <w:rsid w:val="00144F03"/>
    <w:rsid w:val="00146D50"/>
    <w:rsid w:val="001474E0"/>
    <w:rsid w:val="0015093D"/>
    <w:rsid w:val="00151071"/>
    <w:rsid w:val="00151160"/>
    <w:rsid w:val="00151B44"/>
    <w:rsid w:val="00151D8A"/>
    <w:rsid w:val="0015243E"/>
    <w:rsid w:val="0015288B"/>
    <w:rsid w:val="00152B33"/>
    <w:rsid w:val="00153BEC"/>
    <w:rsid w:val="00154859"/>
    <w:rsid w:val="00155114"/>
    <w:rsid w:val="00155C3C"/>
    <w:rsid w:val="00155C69"/>
    <w:rsid w:val="001562B3"/>
    <w:rsid w:val="00156555"/>
    <w:rsid w:val="001570C4"/>
    <w:rsid w:val="0015750B"/>
    <w:rsid w:val="00157B19"/>
    <w:rsid w:val="0016072E"/>
    <w:rsid w:val="00161EDF"/>
    <w:rsid w:val="001628F4"/>
    <w:rsid w:val="00162CCF"/>
    <w:rsid w:val="0016365A"/>
    <w:rsid w:val="00163DBA"/>
    <w:rsid w:val="00164970"/>
    <w:rsid w:val="00164B62"/>
    <w:rsid w:val="00165D53"/>
    <w:rsid w:val="00166C4B"/>
    <w:rsid w:val="00167A14"/>
    <w:rsid w:val="00167E59"/>
    <w:rsid w:val="001721BD"/>
    <w:rsid w:val="001734AB"/>
    <w:rsid w:val="0017396B"/>
    <w:rsid w:val="0017440D"/>
    <w:rsid w:val="00174CBB"/>
    <w:rsid w:val="00175957"/>
    <w:rsid w:val="00176F16"/>
    <w:rsid w:val="00181174"/>
    <w:rsid w:val="00181888"/>
    <w:rsid w:val="00181B53"/>
    <w:rsid w:val="001822DF"/>
    <w:rsid w:val="00182871"/>
    <w:rsid w:val="00183B7A"/>
    <w:rsid w:val="00183F97"/>
    <w:rsid w:val="00184B3F"/>
    <w:rsid w:val="00184E8A"/>
    <w:rsid w:val="0018533B"/>
    <w:rsid w:val="001854F6"/>
    <w:rsid w:val="00185877"/>
    <w:rsid w:val="0018613E"/>
    <w:rsid w:val="00187348"/>
    <w:rsid w:val="00187488"/>
    <w:rsid w:val="00187BE1"/>
    <w:rsid w:val="00190BAC"/>
    <w:rsid w:val="00190FA3"/>
    <w:rsid w:val="001919E9"/>
    <w:rsid w:val="001924F4"/>
    <w:rsid w:val="001926EF"/>
    <w:rsid w:val="00193AC4"/>
    <w:rsid w:val="001959EF"/>
    <w:rsid w:val="00196481"/>
    <w:rsid w:val="0019727D"/>
    <w:rsid w:val="001A032A"/>
    <w:rsid w:val="001A2115"/>
    <w:rsid w:val="001A3980"/>
    <w:rsid w:val="001A44B3"/>
    <w:rsid w:val="001A523B"/>
    <w:rsid w:val="001A531E"/>
    <w:rsid w:val="001A7742"/>
    <w:rsid w:val="001B140A"/>
    <w:rsid w:val="001B1531"/>
    <w:rsid w:val="001B1848"/>
    <w:rsid w:val="001B1864"/>
    <w:rsid w:val="001B21AE"/>
    <w:rsid w:val="001B39D0"/>
    <w:rsid w:val="001B3CDA"/>
    <w:rsid w:val="001B44EE"/>
    <w:rsid w:val="001B4EA5"/>
    <w:rsid w:val="001B51A1"/>
    <w:rsid w:val="001B5499"/>
    <w:rsid w:val="001B5725"/>
    <w:rsid w:val="001B6ABE"/>
    <w:rsid w:val="001B6D4D"/>
    <w:rsid w:val="001B7D0F"/>
    <w:rsid w:val="001B7F1A"/>
    <w:rsid w:val="001C1392"/>
    <w:rsid w:val="001C1DDA"/>
    <w:rsid w:val="001C2BA5"/>
    <w:rsid w:val="001C369A"/>
    <w:rsid w:val="001C3A19"/>
    <w:rsid w:val="001C3C19"/>
    <w:rsid w:val="001C3D30"/>
    <w:rsid w:val="001C4D81"/>
    <w:rsid w:val="001C5557"/>
    <w:rsid w:val="001C5CA8"/>
    <w:rsid w:val="001C6416"/>
    <w:rsid w:val="001C6D0D"/>
    <w:rsid w:val="001C74CC"/>
    <w:rsid w:val="001C775E"/>
    <w:rsid w:val="001C7897"/>
    <w:rsid w:val="001C79CB"/>
    <w:rsid w:val="001C7AB7"/>
    <w:rsid w:val="001C7F2A"/>
    <w:rsid w:val="001D04B3"/>
    <w:rsid w:val="001D0B80"/>
    <w:rsid w:val="001D10FC"/>
    <w:rsid w:val="001D1E29"/>
    <w:rsid w:val="001D1F64"/>
    <w:rsid w:val="001D28F3"/>
    <w:rsid w:val="001D2FE6"/>
    <w:rsid w:val="001D3409"/>
    <w:rsid w:val="001D4848"/>
    <w:rsid w:val="001D4B9D"/>
    <w:rsid w:val="001D5403"/>
    <w:rsid w:val="001D7382"/>
    <w:rsid w:val="001D769F"/>
    <w:rsid w:val="001E01BA"/>
    <w:rsid w:val="001E1CA1"/>
    <w:rsid w:val="001E332C"/>
    <w:rsid w:val="001E38FD"/>
    <w:rsid w:val="001E39E5"/>
    <w:rsid w:val="001E440D"/>
    <w:rsid w:val="001E468D"/>
    <w:rsid w:val="001E4B39"/>
    <w:rsid w:val="001E5A75"/>
    <w:rsid w:val="001E6014"/>
    <w:rsid w:val="001E6127"/>
    <w:rsid w:val="001E64DB"/>
    <w:rsid w:val="001E6B9D"/>
    <w:rsid w:val="001E7AE4"/>
    <w:rsid w:val="001E7EA7"/>
    <w:rsid w:val="001F005F"/>
    <w:rsid w:val="001F0111"/>
    <w:rsid w:val="001F0D60"/>
    <w:rsid w:val="001F2830"/>
    <w:rsid w:val="001F2920"/>
    <w:rsid w:val="001F3BBE"/>
    <w:rsid w:val="001F4225"/>
    <w:rsid w:val="001F5AC3"/>
    <w:rsid w:val="001F73EA"/>
    <w:rsid w:val="001F761F"/>
    <w:rsid w:val="00200D6E"/>
    <w:rsid w:val="00201704"/>
    <w:rsid w:val="00201B28"/>
    <w:rsid w:val="00201F3E"/>
    <w:rsid w:val="00202198"/>
    <w:rsid w:val="00202742"/>
    <w:rsid w:val="002027E7"/>
    <w:rsid w:val="0020282E"/>
    <w:rsid w:val="0020559A"/>
    <w:rsid w:val="00205E57"/>
    <w:rsid w:val="00206687"/>
    <w:rsid w:val="00206D7E"/>
    <w:rsid w:val="00211293"/>
    <w:rsid w:val="0021140B"/>
    <w:rsid w:val="002117C1"/>
    <w:rsid w:val="00212908"/>
    <w:rsid w:val="00213102"/>
    <w:rsid w:val="0021389C"/>
    <w:rsid w:val="00213DC3"/>
    <w:rsid w:val="00213E0E"/>
    <w:rsid w:val="00215548"/>
    <w:rsid w:val="00216D67"/>
    <w:rsid w:val="0021767A"/>
    <w:rsid w:val="00220265"/>
    <w:rsid w:val="00221103"/>
    <w:rsid w:val="00221C2F"/>
    <w:rsid w:val="00222596"/>
    <w:rsid w:val="002229FF"/>
    <w:rsid w:val="00222AC6"/>
    <w:rsid w:val="00222CD3"/>
    <w:rsid w:val="00223BC3"/>
    <w:rsid w:val="00223FB6"/>
    <w:rsid w:val="00224016"/>
    <w:rsid w:val="00224828"/>
    <w:rsid w:val="002248E8"/>
    <w:rsid w:val="002249DB"/>
    <w:rsid w:val="00224FE5"/>
    <w:rsid w:val="0022597E"/>
    <w:rsid w:val="00225D42"/>
    <w:rsid w:val="002301C6"/>
    <w:rsid w:val="002305D2"/>
    <w:rsid w:val="00230BCF"/>
    <w:rsid w:val="00231C4F"/>
    <w:rsid w:val="00232217"/>
    <w:rsid w:val="00232702"/>
    <w:rsid w:val="00233A38"/>
    <w:rsid w:val="0023488F"/>
    <w:rsid w:val="00234E7D"/>
    <w:rsid w:val="0023571F"/>
    <w:rsid w:val="002357EA"/>
    <w:rsid w:val="00235897"/>
    <w:rsid w:val="002367E6"/>
    <w:rsid w:val="00236B09"/>
    <w:rsid w:val="00236E33"/>
    <w:rsid w:val="0023700C"/>
    <w:rsid w:val="002370CD"/>
    <w:rsid w:val="00237276"/>
    <w:rsid w:val="0023738B"/>
    <w:rsid w:val="0023769E"/>
    <w:rsid w:val="002376B2"/>
    <w:rsid w:val="00241190"/>
    <w:rsid w:val="00241845"/>
    <w:rsid w:val="002423CA"/>
    <w:rsid w:val="002450B6"/>
    <w:rsid w:val="00245325"/>
    <w:rsid w:val="00245753"/>
    <w:rsid w:val="00245E37"/>
    <w:rsid w:val="00246BCA"/>
    <w:rsid w:val="00246D55"/>
    <w:rsid w:val="00247E0B"/>
    <w:rsid w:val="00250176"/>
    <w:rsid w:val="002506A3"/>
    <w:rsid w:val="00251CF4"/>
    <w:rsid w:val="00251F24"/>
    <w:rsid w:val="0025267A"/>
    <w:rsid w:val="002526C4"/>
    <w:rsid w:val="0025290C"/>
    <w:rsid w:val="00253022"/>
    <w:rsid w:val="002540B2"/>
    <w:rsid w:val="002547C1"/>
    <w:rsid w:val="00254DF6"/>
    <w:rsid w:val="00255BA9"/>
    <w:rsid w:val="0025607F"/>
    <w:rsid w:val="002562F9"/>
    <w:rsid w:val="00257AAC"/>
    <w:rsid w:val="00257FBC"/>
    <w:rsid w:val="002609D6"/>
    <w:rsid w:val="00260AA2"/>
    <w:rsid w:val="00260FB3"/>
    <w:rsid w:val="002618F4"/>
    <w:rsid w:val="00261B63"/>
    <w:rsid w:val="0026202B"/>
    <w:rsid w:val="002625C0"/>
    <w:rsid w:val="00262B48"/>
    <w:rsid w:val="00262C1B"/>
    <w:rsid w:val="00262D2E"/>
    <w:rsid w:val="002630FB"/>
    <w:rsid w:val="0026352F"/>
    <w:rsid w:val="002647D2"/>
    <w:rsid w:val="0026485D"/>
    <w:rsid w:val="002648B0"/>
    <w:rsid w:val="00264C8C"/>
    <w:rsid w:val="00265B83"/>
    <w:rsid w:val="002664C7"/>
    <w:rsid w:val="002678CE"/>
    <w:rsid w:val="00267A21"/>
    <w:rsid w:val="002701C8"/>
    <w:rsid w:val="00271A7B"/>
    <w:rsid w:val="00271C8B"/>
    <w:rsid w:val="00272F65"/>
    <w:rsid w:val="00273432"/>
    <w:rsid w:val="002735FE"/>
    <w:rsid w:val="00276720"/>
    <w:rsid w:val="00276B41"/>
    <w:rsid w:val="00277058"/>
    <w:rsid w:val="0027718F"/>
    <w:rsid w:val="002800B3"/>
    <w:rsid w:val="002805FD"/>
    <w:rsid w:val="0028072E"/>
    <w:rsid w:val="00280B99"/>
    <w:rsid w:val="00282BAF"/>
    <w:rsid w:val="00283B5F"/>
    <w:rsid w:val="0028511C"/>
    <w:rsid w:val="002854B5"/>
    <w:rsid w:val="00285E2F"/>
    <w:rsid w:val="0028628A"/>
    <w:rsid w:val="0028743B"/>
    <w:rsid w:val="002906F5"/>
    <w:rsid w:val="00290CAD"/>
    <w:rsid w:val="002917CA"/>
    <w:rsid w:val="002920FF"/>
    <w:rsid w:val="00292409"/>
    <w:rsid w:val="00292A20"/>
    <w:rsid w:val="0029472F"/>
    <w:rsid w:val="00295225"/>
    <w:rsid w:val="002952FA"/>
    <w:rsid w:val="00295371"/>
    <w:rsid w:val="00297074"/>
    <w:rsid w:val="002A04D3"/>
    <w:rsid w:val="002A1B49"/>
    <w:rsid w:val="002A2036"/>
    <w:rsid w:val="002A276F"/>
    <w:rsid w:val="002A35C9"/>
    <w:rsid w:val="002A4B85"/>
    <w:rsid w:val="002A4F17"/>
    <w:rsid w:val="002A528B"/>
    <w:rsid w:val="002A5969"/>
    <w:rsid w:val="002A6913"/>
    <w:rsid w:val="002A7C84"/>
    <w:rsid w:val="002B15B5"/>
    <w:rsid w:val="002B1600"/>
    <w:rsid w:val="002B2BA3"/>
    <w:rsid w:val="002B2D3A"/>
    <w:rsid w:val="002B3E36"/>
    <w:rsid w:val="002B5403"/>
    <w:rsid w:val="002B5492"/>
    <w:rsid w:val="002B5B50"/>
    <w:rsid w:val="002B5CD1"/>
    <w:rsid w:val="002B5F2D"/>
    <w:rsid w:val="002B66BD"/>
    <w:rsid w:val="002B6980"/>
    <w:rsid w:val="002B76A4"/>
    <w:rsid w:val="002C0206"/>
    <w:rsid w:val="002C053E"/>
    <w:rsid w:val="002C06FD"/>
    <w:rsid w:val="002C1251"/>
    <w:rsid w:val="002C37D9"/>
    <w:rsid w:val="002C41F1"/>
    <w:rsid w:val="002C4E14"/>
    <w:rsid w:val="002C5671"/>
    <w:rsid w:val="002C6076"/>
    <w:rsid w:val="002C6263"/>
    <w:rsid w:val="002C674A"/>
    <w:rsid w:val="002C6E63"/>
    <w:rsid w:val="002C7835"/>
    <w:rsid w:val="002C7993"/>
    <w:rsid w:val="002D1183"/>
    <w:rsid w:val="002D2C75"/>
    <w:rsid w:val="002D3982"/>
    <w:rsid w:val="002D4561"/>
    <w:rsid w:val="002D45F0"/>
    <w:rsid w:val="002D4E10"/>
    <w:rsid w:val="002D4F6A"/>
    <w:rsid w:val="002D549E"/>
    <w:rsid w:val="002D5E59"/>
    <w:rsid w:val="002D6B9E"/>
    <w:rsid w:val="002D75D1"/>
    <w:rsid w:val="002E053A"/>
    <w:rsid w:val="002E0DDB"/>
    <w:rsid w:val="002E136A"/>
    <w:rsid w:val="002E2061"/>
    <w:rsid w:val="002E2164"/>
    <w:rsid w:val="002E2564"/>
    <w:rsid w:val="002E3720"/>
    <w:rsid w:val="002E40E5"/>
    <w:rsid w:val="002E4923"/>
    <w:rsid w:val="002E4EB7"/>
    <w:rsid w:val="002E587F"/>
    <w:rsid w:val="002E65ED"/>
    <w:rsid w:val="002F07EA"/>
    <w:rsid w:val="002F0C15"/>
    <w:rsid w:val="002F1163"/>
    <w:rsid w:val="002F170E"/>
    <w:rsid w:val="002F1920"/>
    <w:rsid w:val="002F19BB"/>
    <w:rsid w:val="002F1E8D"/>
    <w:rsid w:val="002F2663"/>
    <w:rsid w:val="002F39A7"/>
    <w:rsid w:val="002F4769"/>
    <w:rsid w:val="002F47FA"/>
    <w:rsid w:val="002F4A67"/>
    <w:rsid w:val="002F4A87"/>
    <w:rsid w:val="002F5341"/>
    <w:rsid w:val="002F5571"/>
    <w:rsid w:val="002F7E28"/>
    <w:rsid w:val="00300224"/>
    <w:rsid w:val="00302D6F"/>
    <w:rsid w:val="00303127"/>
    <w:rsid w:val="0030442B"/>
    <w:rsid w:val="00304CA5"/>
    <w:rsid w:val="0030572F"/>
    <w:rsid w:val="00305E50"/>
    <w:rsid w:val="00306AD1"/>
    <w:rsid w:val="00306F71"/>
    <w:rsid w:val="00306F7F"/>
    <w:rsid w:val="00306F8E"/>
    <w:rsid w:val="00307CFC"/>
    <w:rsid w:val="00307F17"/>
    <w:rsid w:val="003105C6"/>
    <w:rsid w:val="00310F05"/>
    <w:rsid w:val="00310F96"/>
    <w:rsid w:val="00311119"/>
    <w:rsid w:val="00311B2D"/>
    <w:rsid w:val="00311E10"/>
    <w:rsid w:val="00312BA3"/>
    <w:rsid w:val="003132E6"/>
    <w:rsid w:val="003137B9"/>
    <w:rsid w:val="00313D20"/>
    <w:rsid w:val="003141F6"/>
    <w:rsid w:val="00314991"/>
    <w:rsid w:val="00320BB4"/>
    <w:rsid w:val="00321A3B"/>
    <w:rsid w:val="003220BD"/>
    <w:rsid w:val="00322A0F"/>
    <w:rsid w:val="003250B6"/>
    <w:rsid w:val="00325654"/>
    <w:rsid w:val="003256D0"/>
    <w:rsid w:val="003259DA"/>
    <w:rsid w:val="0032635E"/>
    <w:rsid w:val="00327CA4"/>
    <w:rsid w:val="003300FF"/>
    <w:rsid w:val="00330199"/>
    <w:rsid w:val="00330E4D"/>
    <w:rsid w:val="00330E8B"/>
    <w:rsid w:val="00331FE6"/>
    <w:rsid w:val="003325DB"/>
    <w:rsid w:val="00333A44"/>
    <w:rsid w:val="00334093"/>
    <w:rsid w:val="003374C1"/>
    <w:rsid w:val="00337849"/>
    <w:rsid w:val="00337BEA"/>
    <w:rsid w:val="00340094"/>
    <w:rsid w:val="003400BB"/>
    <w:rsid w:val="00341BC3"/>
    <w:rsid w:val="00342B6A"/>
    <w:rsid w:val="003438E8"/>
    <w:rsid w:val="003459F8"/>
    <w:rsid w:val="00345A82"/>
    <w:rsid w:val="00345E53"/>
    <w:rsid w:val="00346C65"/>
    <w:rsid w:val="0034786E"/>
    <w:rsid w:val="00347FF9"/>
    <w:rsid w:val="00350DDB"/>
    <w:rsid w:val="00352C6E"/>
    <w:rsid w:val="00352FB3"/>
    <w:rsid w:val="00353D40"/>
    <w:rsid w:val="003556A3"/>
    <w:rsid w:val="00355F10"/>
    <w:rsid w:val="00356773"/>
    <w:rsid w:val="00357CD1"/>
    <w:rsid w:val="00357F63"/>
    <w:rsid w:val="00361119"/>
    <w:rsid w:val="00361511"/>
    <w:rsid w:val="003616A1"/>
    <w:rsid w:val="0036191E"/>
    <w:rsid w:val="003619EE"/>
    <w:rsid w:val="00361D60"/>
    <w:rsid w:val="0036208E"/>
    <w:rsid w:val="00363969"/>
    <w:rsid w:val="0036415F"/>
    <w:rsid w:val="003663B7"/>
    <w:rsid w:val="00366794"/>
    <w:rsid w:val="003677E2"/>
    <w:rsid w:val="00367B3A"/>
    <w:rsid w:val="00370D79"/>
    <w:rsid w:val="00371593"/>
    <w:rsid w:val="00371653"/>
    <w:rsid w:val="00373E3E"/>
    <w:rsid w:val="00374B93"/>
    <w:rsid w:val="003751BB"/>
    <w:rsid w:val="00375C47"/>
    <w:rsid w:val="00380D47"/>
    <w:rsid w:val="003812AC"/>
    <w:rsid w:val="003813DF"/>
    <w:rsid w:val="0038147E"/>
    <w:rsid w:val="003826D9"/>
    <w:rsid w:val="00383D4B"/>
    <w:rsid w:val="00383FF2"/>
    <w:rsid w:val="00386492"/>
    <w:rsid w:val="00387544"/>
    <w:rsid w:val="003879CF"/>
    <w:rsid w:val="00387E40"/>
    <w:rsid w:val="003908C5"/>
    <w:rsid w:val="003909BE"/>
    <w:rsid w:val="00390DDA"/>
    <w:rsid w:val="00391ABA"/>
    <w:rsid w:val="003927BE"/>
    <w:rsid w:val="00392C11"/>
    <w:rsid w:val="00392FFD"/>
    <w:rsid w:val="0039346B"/>
    <w:rsid w:val="00393539"/>
    <w:rsid w:val="00394410"/>
    <w:rsid w:val="00394496"/>
    <w:rsid w:val="00394FF1"/>
    <w:rsid w:val="003953B9"/>
    <w:rsid w:val="003953E6"/>
    <w:rsid w:val="0039673F"/>
    <w:rsid w:val="00397314"/>
    <w:rsid w:val="00397A77"/>
    <w:rsid w:val="00397CAE"/>
    <w:rsid w:val="003A0717"/>
    <w:rsid w:val="003A0835"/>
    <w:rsid w:val="003A0C05"/>
    <w:rsid w:val="003A127C"/>
    <w:rsid w:val="003A1469"/>
    <w:rsid w:val="003A1B96"/>
    <w:rsid w:val="003A200A"/>
    <w:rsid w:val="003A282B"/>
    <w:rsid w:val="003A3877"/>
    <w:rsid w:val="003A449C"/>
    <w:rsid w:val="003A497B"/>
    <w:rsid w:val="003A4C8B"/>
    <w:rsid w:val="003A5743"/>
    <w:rsid w:val="003A5D8C"/>
    <w:rsid w:val="003A7214"/>
    <w:rsid w:val="003B00F4"/>
    <w:rsid w:val="003B06B9"/>
    <w:rsid w:val="003B0B90"/>
    <w:rsid w:val="003B20D7"/>
    <w:rsid w:val="003B25F0"/>
    <w:rsid w:val="003B3112"/>
    <w:rsid w:val="003B3DBB"/>
    <w:rsid w:val="003B45A4"/>
    <w:rsid w:val="003B4F5D"/>
    <w:rsid w:val="003B5D31"/>
    <w:rsid w:val="003B60E3"/>
    <w:rsid w:val="003B7060"/>
    <w:rsid w:val="003B72D9"/>
    <w:rsid w:val="003C050A"/>
    <w:rsid w:val="003C0FB5"/>
    <w:rsid w:val="003C1BB1"/>
    <w:rsid w:val="003C1F98"/>
    <w:rsid w:val="003C1FE5"/>
    <w:rsid w:val="003C2409"/>
    <w:rsid w:val="003C2566"/>
    <w:rsid w:val="003C2C06"/>
    <w:rsid w:val="003C3168"/>
    <w:rsid w:val="003C3AAB"/>
    <w:rsid w:val="003C3B79"/>
    <w:rsid w:val="003C3FD5"/>
    <w:rsid w:val="003C4307"/>
    <w:rsid w:val="003C60B9"/>
    <w:rsid w:val="003C67DF"/>
    <w:rsid w:val="003C7853"/>
    <w:rsid w:val="003D10E9"/>
    <w:rsid w:val="003D1657"/>
    <w:rsid w:val="003D17D0"/>
    <w:rsid w:val="003D199D"/>
    <w:rsid w:val="003D2230"/>
    <w:rsid w:val="003D293B"/>
    <w:rsid w:val="003D3CED"/>
    <w:rsid w:val="003D419A"/>
    <w:rsid w:val="003D431C"/>
    <w:rsid w:val="003D47F5"/>
    <w:rsid w:val="003D485B"/>
    <w:rsid w:val="003D56DE"/>
    <w:rsid w:val="003D7822"/>
    <w:rsid w:val="003D7F50"/>
    <w:rsid w:val="003E098F"/>
    <w:rsid w:val="003E0EFC"/>
    <w:rsid w:val="003E3102"/>
    <w:rsid w:val="003E4EF2"/>
    <w:rsid w:val="003E5145"/>
    <w:rsid w:val="003E52DA"/>
    <w:rsid w:val="003E7AB6"/>
    <w:rsid w:val="003F05A0"/>
    <w:rsid w:val="003F0C55"/>
    <w:rsid w:val="003F1103"/>
    <w:rsid w:val="003F15BB"/>
    <w:rsid w:val="003F17BB"/>
    <w:rsid w:val="003F221D"/>
    <w:rsid w:val="003F22AA"/>
    <w:rsid w:val="003F3523"/>
    <w:rsid w:val="003F4777"/>
    <w:rsid w:val="003F5CFF"/>
    <w:rsid w:val="003F6B24"/>
    <w:rsid w:val="003F7324"/>
    <w:rsid w:val="00401111"/>
    <w:rsid w:val="004038A0"/>
    <w:rsid w:val="0040521E"/>
    <w:rsid w:val="00405C0A"/>
    <w:rsid w:val="00406456"/>
    <w:rsid w:val="00407110"/>
    <w:rsid w:val="00407936"/>
    <w:rsid w:val="00410796"/>
    <w:rsid w:val="004120DF"/>
    <w:rsid w:val="004125A1"/>
    <w:rsid w:val="004129D0"/>
    <w:rsid w:val="00412D43"/>
    <w:rsid w:val="00412D44"/>
    <w:rsid w:val="004133D9"/>
    <w:rsid w:val="00415A1B"/>
    <w:rsid w:val="00417984"/>
    <w:rsid w:val="00421496"/>
    <w:rsid w:val="00421747"/>
    <w:rsid w:val="00422449"/>
    <w:rsid w:val="00423556"/>
    <w:rsid w:val="00423B7A"/>
    <w:rsid w:val="00423F7E"/>
    <w:rsid w:val="00425F4C"/>
    <w:rsid w:val="0042766A"/>
    <w:rsid w:val="0043001B"/>
    <w:rsid w:val="004304C0"/>
    <w:rsid w:val="00430F6F"/>
    <w:rsid w:val="0043116E"/>
    <w:rsid w:val="0043168D"/>
    <w:rsid w:val="004317F7"/>
    <w:rsid w:val="0043231D"/>
    <w:rsid w:val="004350F2"/>
    <w:rsid w:val="004357B9"/>
    <w:rsid w:val="00436204"/>
    <w:rsid w:val="00436490"/>
    <w:rsid w:val="00436A46"/>
    <w:rsid w:val="004372AB"/>
    <w:rsid w:val="004377DA"/>
    <w:rsid w:val="004377E2"/>
    <w:rsid w:val="00437CF3"/>
    <w:rsid w:val="004408E7"/>
    <w:rsid w:val="00441D4D"/>
    <w:rsid w:val="00442F6E"/>
    <w:rsid w:val="00443003"/>
    <w:rsid w:val="00443BEC"/>
    <w:rsid w:val="00443DD0"/>
    <w:rsid w:val="00444CF3"/>
    <w:rsid w:val="00444DAC"/>
    <w:rsid w:val="00445E06"/>
    <w:rsid w:val="004464A7"/>
    <w:rsid w:val="0045099E"/>
    <w:rsid w:val="00450A2E"/>
    <w:rsid w:val="00451220"/>
    <w:rsid w:val="00451B63"/>
    <w:rsid w:val="00452FEF"/>
    <w:rsid w:val="00453999"/>
    <w:rsid w:val="00453B42"/>
    <w:rsid w:val="00454082"/>
    <w:rsid w:val="00454139"/>
    <w:rsid w:val="00454476"/>
    <w:rsid w:val="00455364"/>
    <w:rsid w:val="00456622"/>
    <w:rsid w:val="004579E8"/>
    <w:rsid w:val="00457ABE"/>
    <w:rsid w:val="004600E4"/>
    <w:rsid w:val="004603C7"/>
    <w:rsid w:val="004608BE"/>
    <w:rsid w:val="00460A9C"/>
    <w:rsid w:val="00461A5A"/>
    <w:rsid w:val="004629A2"/>
    <w:rsid w:val="00462BAB"/>
    <w:rsid w:val="0046452F"/>
    <w:rsid w:val="00464DCB"/>
    <w:rsid w:val="00464F34"/>
    <w:rsid w:val="00465306"/>
    <w:rsid w:val="00467E41"/>
    <w:rsid w:val="00467F08"/>
    <w:rsid w:val="0047023B"/>
    <w:rsid w:val="00471A96"/>
    <w:rsid w:val="004738AB"/>
    <w:rsid w:val="00474B00"/>
    <w:rsid w:val="00474C49"/>
    <w:rsid w:val="0047503C"/>
    <w:rsid w:val="0047563E"/>
    <w:rsid w:val="00475B6A"/>
    <w:rsid w:val="0047602E"/>
    <w:rsid w:val="00476209"/>
    <w:rsid w:val="00476566"/>
    <w:rsid w:val="004766D4"/>
    <w:rsid w:val="0047693D"/>
    <w:rsid w:val="0047741E"/>
    <w:rsid w:val="00477B96"/>
    <w:rsid w:val="00477CB6"/>
    <w:rsid w:val="00480A69"/>
    <w:rsid w:val="0048116C"/>
    <w:rsid w:val="004812D2"/>
    <w:rsid w:val="0048143B"/>
    <w:rsid w:val="00481C25"/>
    <w:rsid w:val="00482729"/>
    <w:rsid w:val="004827E9"/>
    <w:rsid w:val="00483FC9"/>
    <w:rsid w:val="00484DDA"/>
    <w:rsid w:val="00486575"/>
    <w:rsid w:val="00486644"/>
    <w:rsid w:val="00486DA5"/>
    <w:rsid w:val="00487597"/>
    <w:rsid w:val="004901BE"/>
    <w:rsid w:val="004912BF"/>
    <w:rsid w:val="004913CE"/>
    <w:rsid w:val="00491E48"/>
    <w:rsid w:val="00491F4D"/>
    <w:rsid w:val="00492D77"/>
    <w:rsid w:val="004938DD"/>
    <w:rsid w:val="00493D5E"/>
    <w:rsid w:val="0049555B"/>
    <w:rsid w:val="00496C53"/>
    <w:rsid w:val="00496F3A"/>
    <w:rsid w:val="00496F5D"/>
    <w:rsid w:val="004970FA"/>
    <w:rsid w:val="00497D60"/>
    <w:rsid w:val="004A01BF"/>
    <w:rsid w:val="004A0447"/>
    <w:rsid w:val="004A0885"/>
    <w:rsid w:val="004A0D4A"/>
    <w:rsid w:val="004A11BD"/>
    <w:rsid w:val="004A3596"/>
    <w:rsid w:val="004A3A58"/>
    <w:rsid w:val="004A3B3D"/>
    <w:rsid w:val="004A4CA4"/>
    <w:rsid w:val="004A4EB9"/>
    <w:rsid w:val="004A5880"/>
    <w:rsid w:val="004A66E8"/>
    <w:rsid w:val="004A6C52"/>
    <w:rsid w:val="004A705D"/>
    <w:rsid w:val="004A70B3"/>
    <w:rsid w:val="004A7B60"/>
    <w:rsid w:val="004B031B"/>
    <w:rsid w:val="004B135C"/>
    <w:rsid w:val="004B26E4"/>
    <w:rsid w:val="004B2A17"/>
    <w:rsid w:val="004B37F2"/>
    <w:rsid w:val="004B38D3"/>
    <w:rsid w:val="004B38D7"/>
    <w:rsid w:val="004B3B58"/>
    <w:rsid w:val="004B4DF9"/>
    <w:rsid w:val="004B5870"/>
    <w:rsid w:val="004B67ED"/>
    <w:rsid w:val="004B7F4A"/>
    <w:rsid w:val="004C03BC"/>
    <w:rsid w:val="004C0508"/>
    <w:rsid w:val="004C15A0"/>
    <w:rsid w:val="004C1ACF"/>
    <w:rsid w:val="004C20E0"/>
    <w:rsid w:val="004C2312"/>
    <w:rsid w:val="004C4478"/>
    <w:rsid w:val="004C6E6F"/>
    <w:rsid w:val="004C74EC"/>
    <w:rsid w:val="004C7F82"/>
    <w:rsid w:val="004D057B"/>
    <w:rsid w:val="004D0C15"/>
    <w:rsid w:val="004D2031"/>
    <w:rsid w:val="004D2753"/>
    <w:rsid w:val="004D36B6"/>
    <w:rsid w:val="004D431D"/>
    <w:rsid w:val="004D4419"/>
    <w:rsid w:val="004D5161"/>
    <w:rsid w:val="004D63AE"/>
    <w:rsid w:val="004D6755"/>
    <w:rsid w:val="004D6C74"/>
    <w:rsid w:val="004D74CD"/>
    <w:rsid w:val="004D780C"/>
    <w:rsid w:val="004D78D3"/>
    <w:rsid w:val="004E0244"/>
    <w:rsid w:val="004E04BF"/>
    <w:rsid w:val="004E081B"/>
    <w:rsid w:val="004E0A91"/>
    <w:rsid w:val="004E28B1"/>
    <w:rsid w:val="004E2BE7"/>
    <w:rsid w:val="004E5001"/>
    <w:rsid w:val="004E5B02"/>
    <w:rsid w:val="004E6D5F"/>
    <w:rsid w:val="004E7936"/>
    <w:rsid w:val="004E7DF2"/>
    <w:rsid w:val="004F0D16"/>
    <w:rsid w:val="004F2B30"/>
    <w:rsid w:val="004F2E2A"/>
    <w:rsid w:val="004F3766"/>
    <w:rsid w:val="004F4289"/>
    <w:rsid w:val="004F458D"/>
    <w:rsid w:val="004F4775"/>
    <w:rsid w:val="004F4BB8"/>
    <w:rsid w:val="004F50AF"/>
    <w:rsid w:val="00500917"/>
    <w:rsid w:val="00502363"/>
    <w:rsid w:val="00502FC6"/>
    <w:rsid w:val="00503601"/>
    <w:rsid w:val="0050394C"/>
    <w:rsid w:val="0050399F"/>
    <w:rsid w:val="00503F93"/>
    <w:rsid w:val="00504020"/>
    <w:rsid w:val="00504A16"/>
    <w:rsid w:val="005050CE"/>
    <w:rsid w:val="00505B5C"/>
    <w:rsid w:val="00505FD3"/>
    <w:rsid w:val="005067A1"/>
    <w:rsid w:val="005130D9"/>
    <w:rsid w:val="005135D6"/>
    <w:rsid w:val="0051375E"/>
    <w:rsid w:val="00513822"/>
    <w:rsid w:val="00514158"/>
    <w:rsid w:val="00514783"/>
    <w:rsid w:val="0051480C"/>
    <w:rsid w:val="00514EEA"/>
    <w:rsid w:val="00516B4A"/>
    <w:rsid w:val="00521D56"/>
    <w:rsid w:val="00522067"/>
    <w:rsid w:val="00522C4A"/>
    <w:rsid w:val="00522F33"/>
    <w:rsid w:val="0052367C"/>
    <w:rsid w:val="00523DD6"/>
    <w:rsid w:val="0052529D"/>
    <w:rsid w:val="00527134"/>
    <w:rsid w:val="0053078D"/>
    <w:rsid w:val="00530BA1"/>
    <w:rsid w:val="00530FC7"/>
    <w:rsid w:val="00531FC9"/>
    <w:rsid w:val="0053327A"/>
    <w:rsid w:val="00533D6A"/>
    <w:rsid w:val="00533E20"/>
    <w:rsid w:val="00533E53"/>
    <w:rsid w:val="005342A5"/>
    <w:rsid w:val="00535350"/>
    <w:rsid w:val="00535A98"/>
    <w:rsid w:val="00536320"/>
    <w:rsid w:val="00536B6D"/>
    <w:rsid w:val="0053702D"/>
    <w:rsid w:val="00537499"/>
    <w:rsid w:val="005429A0"/>
    <w:rsid w:val="00542C33"/>
    <w:rsid w:val="00542EAE"/>
    <w:rsid w:val="00543DBD"/>
    <w:rsid w:val="00544DA4"/>
    <w:rsid w:val="00547047"/>
    <w:rsid w:val="00550113"/>
    <w:rsid w:val="005511AD"/>
    <w:rsid w:val="00551271"/>
    <w:rsid w:val="00551E8E"/>
    <w:rsid w:val="0055245C"/>
    <w:rsid w:val="005528C1"/>
    <w:rsid w:val="00552A83"/>
    <w:rsid w:val="00552E3E"/>
    <w:rsid w:val="00554886"/>
    <w:rsid w:val="00554A32"/>
    <w:rsid w:val="0055657F"/>
    <w:rsid w:val="0055791B"/>
    <w:rsid w:val="00557D09"/>
    <w:rsid w:val="00560A14"/>
    <w:rsid w:val="005617F7"/>
    <w:rsid w:val="00562181"/>
    <w:rsid w:val="00563313"/>
    <w:rsid w:val="005643EA"/>
    <w:rsid w:val="00564A89"/>
    <w:rsid w:val="00565031"/>
    <w:rsid w:val="00565904"/>
    <w:rsid w:val="005666F4"/>
    <w:rsid w:val="00571BB5"/>
    <w:rsid w:val="005723E9"/>
    <w:rsid w:val="00572C82"/>
    <w:rsid w:val="0057350E"/>
    <w:rsid w:val="00573DB4"/>
    <w:rsid w:val="005748DD"/>
    <w:rsid w:val="00576215"/>
    <w:rsid w:val="0057632A"/>
    <w:rsid w:val="005808DE"/>
    <w:rsid w:val="00581EAB"/>
    <w:rsid w:val="00581FA5"/>
    <w:rsid w:val="00582923"/>
    <w:rsid w:val="00584165"/>
    <w:rsid w:val="00584A30"/>
    <w:rsid w:val="00585408"/>
    <w:rsid w:val="00585466"/>
    <w:rsid w:val="0058617B"/>
    <w:rsid w:val="00586844"/>
    <w:rsid w:val="00586927"/>
    <w:rsid w:val="005911AC"/>
    <w:rsid w:val="00592C0C"/>
    <w:rsid w:val="00593C50"/>
    <w:rsid w:val="00593E1F"/>
    <w:rsid w:val="0059657D"/>
    <w:rsid w:val="00596FA9"/>
    <w:rsid w:val="00597698"/>
    <w:rsid w:val="00597BBC"/>
    <w:rsid w:val="005A020C"/>
    <w:rsid w:val="005A0227"/>
    <w:rsid w:val="005A18FB"/>
    <w:rsid w:val="005A2182"/>
    <w:rsid w:val="005A2363"/>
    <w:rsid w:val="005A2E2D"/>
    <w:rsid w:val="005A43B1"/>
    <w:rsid w:val="005A4C7A"/>
    <w:rsid w:val="005A6305"/>
    <w:rsid w:val="005A7CA9"/>
    <w:rsid w:val="005B02DE"/>
    <w:rsid w:val="005B0463"/>
    <w:rsid w:val="005B084D"/>
    <w:rsid w:val="005B09E4"/>
    <w:rsid w:val="005B0C8D"/>
    <w:rsid w:val="005B13A0"/>
    <w:rsid w:val="005B1D79"/>
    <w:rsid w:val="005B321D"/>
    <w:rsid w:val="005B3B7C"/>
    <w:rsid w:val="005B3F5D"/>
    <w:rsid w:val="005B4D65"/>
    <w:rsid w:val="005B54BB"/>
    <w:rsid w:val="005B59C9"/>
    <w:rsid w:val="005B5D85"/>
    <w:rsid w:val="005B6489"/>
    <w:rsid w:val="005C192C"/>
    <w:rsid w:val="005C1BC9"/>
    <w:rsid w:val="005C1F76"/>
    <w:rsid w:val="005C287F"/>
    <w:rsid w:val="005C2A1D"/>
    <w:rsid w:val="005C2A68"/>
    <w:rsid w:val="005C3BEA"/>
    <w:rsid w:val="005C3D80"/>
    <w:rsid w:val="005C517E"/>
    <w:rsid w:val="005C5625"/>
    <w:rsid w:val="005C6CF7"/>
    <w:rsid w:val="005C6DEB"/>
    <w:rsid w:val="005C73C9"/>
    <w:rsid w:val="005C7A91"/>
    <w:rsid w:val="005D12A7"/>
    <w:rsid w:val="005D1979"/>
    <w:rsid w:val="005D2F62"/>
    <w:rsid w:val="005D3318"/>
    <w:rsid w:val="005D35A0"/>
    <w:rsid w:val="005D3DC8"/>
    <w:rsid w:val="005D3E00"/>
    <w:rsid w:val="005D40D9"/>
    <w:rsid w:val="005D5914"/>
    <w:rsid w:val="005D678A"/>
    <w:rsid w:val="005D755D"/>
    <w:rsid w:val="005E0301"/>
    <w:rsid w:val="005E03B8"/>
    <w:rsid w:val="005E0917"/>
    <w:rsid w:val="005E3471"/>
    <w:rsid w:val="005E4BEC"/>
    <w:rsid w:val="005E4D01"/>
    <w:rsid w:val="005E573A"/>
    <w:rsid w:val="005E7DF2"/>
    <w:rsid w:val="005F05ED"/>
    <w:rsid w:val="005F1095"/>
    <w:rsid w:val="005F12F9"/>
    <w:rsid w:val="005F18D0"/>
    <w:rsid w:val="005F1957"/>
    <w:rsid w:val="005F3409"/>
    <w:rsid w:val="005F39A4"/>
    <w:rsid w:val="005F39D1"/>
    <w:rsid w:val="005F5B6B"/>
    <w:rsid w:val="005F5D42"/>
    <w:rsid w:val="005F5DF8"/>
    <w:rsid w:val="005F608F"/>
    <w:rsid w:val="005F6354"/>
    <w:rsid w:val="005F6603"/>
    <w:rsid w:val="005F6FDF"/>
    <w:rsid w:val="00600733"/>
    <w:rsid w:val="0060089D"/>
    <w:rsid w:val="00601450"/>
    <w:rsid w:val="006015FF"/>
    <w:rsid w:val="0060179C"/>
    <w:rsid w:val="00601C56"/>
    <w:rsid w:val="006022CB"/>
    <w:rsid w:val="00602FA5"/>
    <w:rsid w:val="0060396C"/>
    <w:rsid w:val="00604AF7"/>
    <w:rsid w:val="00605A9A"/>
    <w:rsid w:val="00605F23"/>
    <w:rsid w:val="0060673F"/>
    <w:rsid w:val="00606885"/>
    <w:rsid w:val="00606D8C"/>
    <w:rsid w:val="0060723F"/>
    <w:rsid w:val="00607523"/>
    <w:rsid w:val="006108B8"/>
    <w:rsid w:val="00610920"/>
    <w:rsid w:val="00610B56"/>
    <w:rsid w:val="00611073"/>
    <w:rsid w:val="0061165D"/>
    <w:rsid w:val="0061204C"/>
    <w:rsid w:val="0061222C"/>
    <w:rsid w:val="0061248F"/>
    <w:rsid w:val="00612780"/>
    <w:rsid w:val="006128D7"/>
    <w:rsid w:val="00612E23"/>
    <w:rsid w:val="0061482E"/>
    <w:rsid w:val="00614F6B"/>
    <w:rsid w:val="0061552A"/>
    <w:rsid w:val="00616264"/>
    <w:rsid w:val="00616690"/>
    <w:rsid w:val="00616C21"/>
    <w:rsid w:val="00616E90"/>
    <w:rsid w:val="006178CF"/>
    <w:rsid w:val="00620AB3"/>
    <w:rsid w:val="00622B37"/>
    <w:rsid w:val="00622DF8"/>
    <w:rsid w:val="00623BD2"/>
    <w:rsid w:val="0062558D"/>
    <w:rsid w:val="00625DF9"/>
    <w:rsid w:val="00626973"/>
    <w:rsid w:val="006269F7"/>
    <w:rsid w:val="00627027"/>
    <w:rsid w:val="00627143"/>
    <w:rsid w:val="00630711"/>
    <w:rsid w:val="006317A9"/>
    <w:rsid w:val="00631A23"/>
    <w:rsid w:val="0063337F"/>
    <w:rsid w:val="00633D3C"/>
    <w:rsid w:val="00633DEB"/>
    <w:rsid w:val="0063493E"/>
    <w:rsid w:val="006364E5"/>
    <w:rsid w:val="00640475"/>
    <w:rsid w:val="00641F79"/>
    <w:rsid w:val="00643011"/>
    <w:rsid w:val="00643362"/>
    <w:rsid w:val="0064497A"/>
    <w:rsid w:val="00644EEB"/>
    <w:rsid w:val="006452A4"/>
    <w:rsid w:val="00645573"/>
    <w:rsid w:val="006455B0"/>
    <w:rsid w:val="00646287"/>
    <w:rsid w:val="00646D1B"/>
    <w:rsid w:val="00647441"/>
    <w:rsid w:val="006477B8"/>
    <w:rsid w:val="00647F9C"/>
    <w:rsid w:val="00650358"/>
    <w:rsid w:val="00650A08"/>
    <w:rsid w:val="00650D5A"/>
    <w:rsid w:val="00650DB8"/>
    <w:rsid w:val="00651C18"/>
    <w:rsid w:val="006529BF"/>
    <w:rsid w:val="00652DF7"/>
    <w:rsid w:val="00652F11"/>
    <w:rsid w:val="00656BF0"/>
    <w:rsid w:val="00657B0C"/>
    <w:rsid w:val="00660913"/>
    <w:rsid w:val="0066173C"/>
    <w:rsid w:val="0066186C"/>
    <w:rsid w:val="00662545"/>
    <w:rsid w:val="0066272A"/>
    <w:rsid w:val="00663444"/>
    <w:rsid w:val="006646B6"/>
    <w:rsid w:val="0066595C"/>
    <w:rsid w:val="006660B9"/>
    <w:rsid w:val="00666996"/>
    <w:rsid w:val="00667FF5"/>
    <w:rsid w:val="0067016F"/>
    <w:rsid w:val="00672C9C"/>
    <w:rsid w:val="00672D2A"/>
    <w:rsid w:val="006741F4"/>
    <w:rsid w:val="006746DB"/>
    <w:rsid w:val="006750B8"/>
    <w:rsid w:val="00675D2F"/>
    <w:rsid w:val="00676B42"/>
    <w:rsid w:val="00676B98"/>
    <w:rsid w:val="006771CE"/>
    <w:rsid w:val="006778A2"/>
    <w:rsid w:val="00681382"/>
    <w:rsid w:val="0068160C"/>
    <w:rsid w:val="00684E72"/>
    <w:rsid w:val="00685080"/>
    <w:rsid w:val="00685182"/>
    <w:rsid w:val="006852D5"/>
    <w:rsid w:val="0068594D"/>
    <w:rsid w:val="00685956"/>
    <w:rsid w:val="00686521"/>
    <w:rsid w:val="006866E8"/>
    <w:rsid w:val="006876BA"/>
    <w:rsid w:val="006876CB"/>
    <w:rsid w:val="00687C18"/>
    <w:rsid w:val="00690D01"/>
    <w:rsid w:val="006916DC"/>
    <w:rsid w:val="00691F9C"/>
    <w:rsid w:val="006921A5"/>
    <w:rsid w:val="00692A55"/>
    <w:rsid w:val="00692B10"/>
    <w:rsid w:val="0069572F"/>
    <w:rsid w:val="00695924"/>
    <w:rsid w:val="006966FF"/>
    <w:rsid w:val="00696F12"/>
    <w:rsid w:val="006972E8"/>
    <w:rsid w:val="006979DA"/>
    <w:rsid w:val="006A01F5"/>
    <w:rsid w:val="006A14F6"/>
    <w:rsid w:val="006A20A0"/>
    <w:rsid w:val="006A228A"/>
    <w:rsid w:val="006A3201"/>
    <w:rsid w:val="006A357B"/>
    <w:rsid w:val="006A3A82"/>
    <w:rsid w:val="006A4119"/>
    <w:rsid w:val="006A42FC"/>
    <w:rsid w:val="006A4B1B"/>
    <w:rsid w:val="006A6CCF"/>
    <w:rsid w:val="006A70CB"/>
    <w:rsid w:val="006A7AEE"/>
    <w:rsid w:val="006B08A5"/>
    <w:rsid w:val="006B19A0"/>
    <w:rsid w:val="006B1A77"/>
    <w:rsid w:val="006B1D21"/>
    <w:rsid w:val="006B2A31"/>
    <w:rsid w:val="006B2EA2"/>
    <w:rsid w:val="006B339C"/>
    <w:rsid w:val="006B36C2"/>
    <w:rsid w:val="006B3EA8"/>
    <w:rsid w:val="006B3F3C"/>
    <w:rsid w:val="006B4AC8"/>
    <w:rsid w:val="006B55D6"/>
    <w:rsid w:val="006B5A2B"/>
    <w:rsid w:val="006B5BA8"/>
    <w:rsid w:val="006B5DEC"/>
    <w:rsid w:val="006B6F73"/>
    <w:rsid w:val="006B7228"/>
    <w:rsid w:val="006B72F3"/>
    <w:rsid w:val="006B796F"/>
    <w:rsid w:val="006C0691"/>
    <w:rsid w:val="006C0915"/>
    <w:rsid w:val="006C11BB"/>
    <w:rsid w:val="006C163A"/>
    <w:rsid w:val="006C1FB5"/>
    <w:rsid w:val="006C308D"/>
    <w:rsid w:val="006C3B88"/>
    <w:rsid w:val="006C3FF9"/>
    <w:rsid w:val="006C4136"/>
    <w:rsid w:val="006C4174"/>
    <w:rsid w:val="006C45C6"/>
    <w:rsid w:val="006C4D76"/>
    <w:rsid w:val="006C52E6"/>
    <w:rsid w:val="006C64A3"/>
    <w:rsid w:val="006C66DB"/>
    <w:rsid w:val="006C6D3F"/>
    <w:rsid w:val="006C6EE0"/>
    <w:rsid w:val="006C7201"/>
    <w:rsid w:val="006D09C9"/>
    <w:rsid w:val="006D0B3A"/>
    <w:rsid w:val="006D0C99"/>
    <w:rsid w:val="006D35FC"/>
    <w:rsid w:val="006D3B1A"/>
    <w:rsid w:val="006D3CCE"/>
    <w:rsid w:val="006D49F3"/>
    <w:rsid w:val="006D665A"/>
    <w:rsid w:val="006D6AE0"/>
    <w:rsid w:val="006E01DA"/>
    <w:rsid w:val="006E033E"/>
    <w:rsid w:val="006E0809"/>
    <w:rsid w:val="006E126B"/>
    <w:rsid w:val="006E33C8"/>
    <w:rsid w:val="006E3440"/>
    <w:rsid w:val="006E3D86"/>
    <w:rsid w:val="006E52E7"/>
    <w:rsid w:val="006E5D07"/>
    <w:rsid w:val="006E6778"/>
    <w:rsid w:val="006E6AEF"/>
    <w:rsid w:val="006F0E89"/>
    <w:rsid w:val="006F14A2"/>
    <w:rsid w:val="006F1AA3"/>
    <w:rsid w:val="006F2637"/>
    <w:rsid w:val="006F2989"/>
    <w:rsid w:val="006F3626"/>
    <w:rsid w:val="006F503D"/>
    <w:rsid w:val="006F53D7"/>
    <w:rsid w:val="007004FE"/>
    <w:rsid w:val="00700DE8"/>
    <w:rsid w:val="00700DFD"/>
    <w:rsid w:val="00703C87"/>
    <w:rsid w:val="007056F7"/>
    <w:rsid w:val="007065FE"/>
    <w:rsid w:val="00706D25"/>
    <w:rsid w:val="007106FB"/>
    <w:rsid w:val="007111B3"/>
    <w:rsid w:val="00711F3A"/>
    <w:rsid w:val="007121C9"/>
    <w:rsid w:val="00712B6C"/>
    <w:rsid w:val="0071377A"/>
    <w:rsid w:val="00713E91"/>
    <w:rsid w:val="00715C11"/>
    <w:rsid w:val="00716241"/>
    <w:rsid w:val="00716DF6"/>
    <w:rsid w:val="00720227"/>
    <w:rsid w:val="007205EC"/>
    <w:rsid w:val="00720ADC"/>
    <w:rsid w:val="00720E2E"/>
    <w:rsid w:val="00721A22"/>
    <w:rsid w:val="00721CEA"/>
    <w:rsid w:val="0072265E"/>
    <w:rsid w:val="00722A10"/>
    <w:rsid w:val="00722C11"/>
    <w:rsid w:val="00722D90"/>
    <w:rsid w:val="007233B1"/>
    <w:rsid w:val="007241D3"/>
    <w:rsid w:val="007247ED"/>
    <w:rsid w:val="007248BD"/>
    <w:rsid w:val="007260DA"/>
    <w:rsid w:val="00727756"/>
    <w:rsid w:val="00730040"/>
    <w:rsid w:val="007312D4"/>
    <w:rsid w:val="0073242B"/>
    <w:rsid w:val="00732881"/>
    <w:rsid w:val="00732D6D"/>
    <w:rsid w:val="00733B77"/>
    <w:rsid w:val="007345D3"/>
    <w:rsid w:val="0073473E"/>
    <w:rsid w:val="0073581C"/>
    <w:rsid w:val="00735D14"/>
    <w:rsid w:val="00736AD5"/>
    <w:rsid w:val="00736D07"/>
    <w:rsid w:val="00736D27"/>
    <w:rsid w:val="00736F34"/>
    <w:rsid w:val="007371FE"/>
    <w:rsid w:val="00740250"/>
    <w:rsid w:val="00741167"/>
    <w:rsid w:val="00741BA6"/>
    <w:rsid w:val="007420C6"/>
    <w:rsid w:val="007434D0"/>
    <w:rsid w:val="00744DAA"/>
    <w:rsid w:val="00744F64"/>
    <w:rsid w:val="00745142"/>
    <w:rsid w:val="00745369"/>
    <w:rsid w:val="007460C8"/>
    <w:rsid w:val="007463E2"/>
    <w:rsid w:val="007466A4"/>
    <w:rsid w:val="007475A3"/>
    <w:rsid w:val="007503D4"/>
    <w:rsid w:val="00750B54"/>
    <w:rsid w:val="0075112B"/>
    <w:rsid w:val="00751540"/>
    <w:rsid w:val="007520D8"/>
    <w:rsid w:val="00752B94"/>
    <w:rsid w:val="0075517F"/>
    <w:rsid w:val="007557A8"/>
    <w:rsid w:val="0075700F"/>
    <w:rsid w:val="00757707"/>
    <w:rsid w:val="00757C76"/>
    <w:rsid w:val="007608E4"/>
    <w:rsid w:val="007615A8"/>
    <w:rsid w:val="00761856"/>
    <w:rsid w:val="00761891"/>
    <w:rsid w:val="0076235F"/>
    <w:rsid w:val="0076257F"/>
    <w:rsid w:val="00762AE8"/>
    <w:rsid w:val="00763A4B"/>
    <w:rsid w:val="007647CC"/>
    <w:rsid w:val="00764E61"/>
    <w:rsid w:val="00765008"/>
    <w:rsid w:val="00766C0D"/>
    <w:rsid w:val="007670CE"/>
    <w:rsid w:val="007674DE"/>
    <w:rsid w:val="007676ED"/>
    <w:rsid w:val="007679BF"/>
    <w:rsid w:val="00767AB5"/>
    <w:rsid w:val="00767EA2"/>
    <w:rsid w:val="007705C1"/>
    <w:rsid w:val="007705FD"/>
    <w:rsid w:val="00770830"/>
    <w:rsid w:val="00770EAF"/>
    <w:rsid w:val="007711E7"/>
    <w:rsid w:val="00771E97"/>
    <w:rsid w:val="0077276E"/>
    <w:rsid w:val="00772EE7"/>
    <w:rsid w:val="0077559A"/>
    <w:rsid w:val="00775CD1"/>
    <w:rsid w:val="00776A1B"/>
    <w:rsid w:val="0078015D"/>
    <w:rsid w:val="00780B8F"/>
    <w:rsid w:val="00781160"/>
    <w:rsid w:val="00781AA0"/>
    <w:rsid w:val="007826D1"/>
    <w:rsid w:val="007827A3"/>
    <w:rsid w:val="00782EE3"/>
    <w:rsid w:val="00783881"/>
    <w:rsid w:val="00783DA7"/>
    <w:rsid w:val="00784477"/>
    <w:rsid w:val="0078506A"/>
    <w:rsid w:val="00785132"/>
    <w:rsid w:val="00785E60"/>
    <w:rsid w:val="00785F3E"/>
    <w:rsid w:val="007864CA"/>
    <w:rsid w:val="00787028"/>
    <w:rsid w:val="0078788E"/>
    <w:rsid w:val="00787CDE"/>
    <w:rsid w:val="00791DA9"/>
    <w:rsid w:val="007941D8"/>
    <w:rsid w:val="00795EC6"/>
    <w:rsid w:val="007969A4"/>
    <w:rsid w:val="00797715"/>
    <w:rsid w:val="00797C89"/>
    <w:rsid w:val="007A0406"/>
    <w:rsid w:val="007A1067"/>
    <w:rsid w:val="007A1D61"/>
    <w:rsid w:val="007A1E2E"/>
    <w:rsid w:val="007A212A"/>
    <w:rsid w:val="007A40CB"/>
    <w:rsid w:val="007A49AC"/>
    <w:rsid w:val="007A4CFD"/>
    <w:rsid w:val="007A5D3F"/>
    <w:rsid w:val="007A6537"/>
    <w:rsid w:val="007B0068"/>
    <w:rsid w:val="007B025E"/>
    <w:rsid w:val="007B0AC3"/>
    <w:rsid w:val="007B16A3"/>
    <w:rsid w:val="007B22C7"/>
    <w:rsid w:val="007B2300"/>
    <w:rsid w:val="007B4F0B"/>
    <w:rsid w:val="007B4FD3"/>
    <w:rsid w:val="007B5523"/>
    <w:rsid w:val="007B5E16"/>
    <w:rsid w:val="007C099C"/>
    <w:rsid w:val="007C10D9"/>
    <w:rsid w:val="007C224A"/>
    <w:rsid w:val="007C3317"/>
    <w:rsid w:val="007C3B71"/>
    <w:rsid w:val="007C4C33"/>
    <w:rsid w:val="007C5DF2"/>
    <w:rsid w:val="007C6071"/>
    <w:rsid w:val="007C6E66"/>
    <w:rsid w:val="007C795D"/>
    <w:rsid w:val="007D127B"/>
    <w:rsid w:val="007D143F"/>
    <w:rsid w:val="007D1696"/>
    <w:rsid w:val="007D183F"/>
    <w:rsid w:val="007D2AEF"/>
    <w:rsid w:val="007D2CE6"/>
    <w:rsid w:val="007D41F2"/>
    <w:rsid w:val="007D4FF8"/>
    <w:rsid w:val="007D63B3"/>
    <w:rsid w:val="007D6456"/>
    <w:rsid w:val="007D682C"/>
    <w:rsid w:val="007D7D73"/>
    <w:rsid w:val="007E16E5"/>
    <w:rsid w:val="007E18BB"/>
    <w:rsid w:val="007E2B33"/>
    <w:rsid w:val="007E33D4"/>
    <w:rsid w:val="007E39E6"/>
    <w:rsid w:val="007E3DCF"/>
    <w:rsid w:val="007E475F"/>
    <w:rsid w:val="007E6F35"/>
    <w:rsid w:val="007E7340"/>
    <w:rsid w:val="007F0442"/>
    <w:rsid w:val="007F0EF4"/>
    <w:rsid w:val="007F360A"/>
    <w:rsid w:val="007F3B25"/>
    <w:rsid w:val="007F514E"/>
    <w:rsid w:val="007F5225"/>
    <w:rsid w:val="007F5488"/>
    <w:rsid w:val="007F54C6"/>
    <w:rsid w:val="007F6D99"/>
    <w:rsid w:val="007F7831"/>
    <w:rsid w:val="007F7A60"/>
    <w:rsid w:val="007F7DC5"/>
    <w:rsid w:val="008004DF"/>
    <w:rsid w:val="008015A0"/>
    <w:rsid w:val="00802421"/>
    <w:rsid w:val="008024B2"/>
    <w:rsid w:val="00802FF0"/>
    <w:rsid w:val="00804F18"/>
    <w:rsid w:val="00805255"/>
    <w:rsid w:val="00806C14"/>
    <w:rsid w:val="00806F1D"/>
    <w:rsid w:val="00807F72"/>
    <w:rsid w:val="00810663"/>
    <w:rsid w:val="00810D53"/>
    <w:rsid w:val="00810F87"/>
    <w:rsid w:val="0081176B"/>
    <w:rsid w:val="00812582"/>
    <w:rsid w:val="008136B4"/>
    <w:rsid w:val="00816B32"/>
    <w:rsid w:val="00816F2D"/>
    <w:rsid w:val="00820E23"/>
    <w:rsid w:val="0082105B"/>
    <w:rsid w:val="008225A6"/>
    <w:rsid w:val="0082305C"/>
    <w:rsid w:val="008248E0"/>
    <w:rsid w:val="00830F86"/>
    <w:rsid w:val="00831053"/>
    <w:rsid w:val="00831A5A"/>
    <w:rsid w:val="0083278B"/>
    <w:rsid w:val="0083285E"/>
    <w:rsid w:val="00833ACC"/>
    <w:rsid w:val="00833F8E"/>
    <w:rsid w:val="008343BD"/>
    <w:rsid w:val="0083444D"/>
    <w:rsid w:val="0083554B"/>
    <w:rsid w:val="00835B6A"/>
    <w:rsid w:val="00836845"/>
    <w:rsid w:val="0083794B"/>
    <w:rsid w:val="00841322"/>
    <w:rsid w:val="008420D9"/>
    <w:rsid w:val="008427C5"/>
    <w:rsid w:val="00842A5C"/>
    <w:rsid w:val="00842D24"/>
    <w:rsid w:val="00844689"/>
    <w:rsid w:val="008449BB"/>
    <w:rsid w:val="00845545"/>
    <w:rsid w:val="008458AF"/>
    <w:rsid w:val="00846A7D"/>
    <w:rsid w:val="008501ED"/>
    <w:rsid w:val="008503E1"/>
    <w:rsid w:val="00850C75"/>
    <w:rsid w:val="00851D10"/>
    <w:rsid w:val="00853AB5"/>
    <w:rsid w:val="00854E5A"/>
    <w:rsid w:val="0085520E"/>
    <w:rsid w:val="00855A44"/>
    <w:rsid w:val="00855D5F"/>
    <w:rsid w:val="008561CE"/>
    <w:rsid w:val="00856854"/>
    <w:rsid w:val="0085692D"/>
    <w:rsid w:val="00856E42"/>
    <w:rsid w:val="0086119A"/>
    <w:rsid w:val="00866027"/>
    <w:rsid w:val="008661DA"/>
    <w:rsid w:val="0086634C"/>
    <w:rsid w:val="00867A16"/>
    <w:rsid w:val="00867C6A"/>
    <w:rsid w:val="00867EDC"/>
    <w:rsid w:val="00870531"/>
    <w:rsid w:val="008710CA"/>
    <w:rsid w:val="00871877"/>
    <w:rsid w:val="00871CAF"/>
    <w:rsid w:val="008726CA"/>
    <w:rsid w:val="0087315C"/>
    <w:rsid w:val="00873459"/>
    <w:rsid w:val="008737EA"/>
    <w:rsid w:val="00873855"/>
    <w:rsid w:val="00873BC6"/>
    <w:rsid w:val="0087411F"/>
    <w:rsid w:val="008744A5"/>
    <w:rsid w:val="008745D3"/>
    <w:rsid w:val="0087489F"/>
    <w:rsid w:val="00874F0C"/>
    <w:rsid w:val="00875044"/>
    <w:rsid w:val="008751EA"/>
    <w:rsid w:val="00875C7F"/>
    <w:rsid w:val="00880883"/>
    <w:rsid w:val="00880C00"/>
    <w:rsid w:val="008815DE"/>
    <w:rsid w:val="0088172D"/>
    <w:rsid w:val="008824B3"/>
    <w:rsid w:val="008824DB"/>
    <w:rsid w:val="00882B26"/>
    <w:rsid w:val="00883DBB"/>
    <w:rsid w:val="00884B2C"/>
    <w:rsid w:val="00884FEB"/>
    <w:rsid w:val="00885185"/>
    <w:rsid w:val="00885309"/>
    <w:rsid w:val="0088630E"/>
    <w:rsid w:val="00887637"/>
    <w:rsid w:val="00887A83"/>
    <w:rsid w:val="0089010B"/>
    <w:rsid w:val="00890589"/>
    <w:rsid w:val="00893133"/>
    <w:rsid w:val="008932B5"/>
    <w:rsid w:val="00894221"/>
    <w:rsid w:val="00894CE9"/>
    <w:rsid w:val="008968A4"/>
    <w:rsid w:val="00897034"/>
    <w:rsid w:val="00897812"/>
    <w:rsid w:val="008A0F2E"/>
    <w:rsid w:val="008A1195"/>
    <w:rsid w:val="008A13FD"/>
    <w:rsid w:val="008A1A1E"/>
    <w:rsid w:val="008A1C51"/>
    <w:rsid w:val="008A301C"/>
    <w:rsid w:val="008A3152"/>
    <w:rsid w:val="008A49E8"/>
    <w:rsid w:val="008A4E68"/>
    <w:rsid w:val="008A509C"/>
    <w:rsid w:val="008A5DBC"/>
    <w:rsid w:val="008A61B3"/>
    <w:rsid w:val="008A72E9"/>
    <w:rsid w:val="008A7A5D"/>
    <w:rsid w:val="008B0571"/>
    <w:rsid w:val="008B1A0F"/>
    <w:rsid w:val="008B2119"/>
    <w:rsid w:val="008B2F5E"/>
    <w:rsid w:val="008B37B1"/>
    <w:rsid w:val="008B6066"/>
    <w:rsid w:val="008B695F"/>
    <w:rsid w:val="008B7267"/>
    <w:rsid w:val="008B73EE"/>
    <w:rsid w:val="008C017D"/>
    <w:rsid w:val="008C09FE"/>
    <w:rsid w:val="008C0FD4"/>
    <w:rsid w:val="008C122C"/>
    <w:rsid w:val="008C19BD"/>
    <w:rsid w:val="008C1E88"/>
    <w:rsid w:val="008C2DC4"/>
    <w:rsid w:val="008C4736"/>
    <w:rsid w:val="008C5233"/>
    <w:rsid w:val="008C5F07"/>
    <w:rsid w:val="008C624D"/>
    <w:rsid w:val="008C6A9B"/>
    <w:rsid w:val="008C6E0B"/>
    <w:rsid w:val="008D2210"/>
    <w:rsid w:val="008D274F"/>
    <w:rsid w:val="008D30F0"/>
    <w:rsid w:val="008D4535"/>
    <w:rsid w:val="008D53B8"/>
    <w:rsid w:val="008D6256"/>
    <w:rsid w:val="008D6581"/>
    <w:rsid w:val="008D6A41"/>
    <w:rsid w:val="008D7D83"/>
    <w:rsid w:val="008E0E86"/>
    <w:rsid w:val="008E0F08"/>
    <w:rsid w:val="008E10EF"/>
    <w:rsid w:val="008E20BD"/>
    <w:rsid w:val="008E31D8"/>
    <w:rsid w:val="008E3CA9"/>
    <w:rsid w:val="008E420D"/>
    <w:rsid w:val="008E4344"/>
    <w:rsid w:val="008E47D2"/>
    <w:rsid w:val="008E4AE9"/>
    <w:rsid w:val="008E501F"/>
    <w:rsid w:val="008E5ADB"/>
    <w:rsid w:val="008E61F1"/>
    <w:rsid w:val="008E638A"/>
    <w:rsid w:val="008E662A"/>
    <w:rsid w:val="008E6E73"/>
    <w:rsid w:val="008F14C3"/>
    <w:rsid w:val="008F1D51"/>
    <w:rsid w:val="008F1F48"/>
    <w:rsid w:val="008F2D4E"/>
    <w:rsid w:val="008F2F4D"/>
    <w:rsid w:val="008F42E6"/>
    <w:rsid w:val="008F50DF"/>
    <w:rsid w:val="008F54B0"/>
    <w:rsid w:val="008F5BFE"/>
    <w:rsid w:val="00900C1D"/>
    <w:rsid w:val="009013D1"/>
    <w:rsid w:val="00901501"/>
    <w:rsid w:val="0090259E"/>
    <w:rsid w:val="00902941"/>
    <w:rsid w:val="00902E77"/>
    <w:rsid w:val="00902EFC"/>
    <w:rsid w:val="00904685"/>
    <w:rsid w:val="0090537F"/>
    <w:rsid w:val="00905EA9"/>
    <w:rsid w:val="009068C9"/>
    <w:rsid w:val="00907115"/>
    <w:rsid w:val="00907513"/>
    <w:rsid w:val="0090784E"/>
    <w:rsid w:val="00910210"/>
    <w:rsid w:val="009118EE"/>
    <w:rsid w:val="00912B8D"/>
    <w:rsid w:val="00912DF5"/>
    <w:rsid w:val="0091347F"/>
    <w:rsid w:val="00913681"/>
    <w:rsid w:val="00913BC8"/>
    <w:rsid w:val="00920491"/>
    <w:rsid w:val="0092291C"/>
    <w:rsid w:val="009237BC"/>
    <w:rsid w:val="009247A0"/>
    <w:rsid w:val="00924EEF"/>
    <w:rsid w:val="00924FE7"/>
    <w:rsid w:val="009270FE"/>
    <w:rsid w:val="00927A7A"/>
    <w:rsid w:val="00927A8B"/>
    <w:rsid w:val="0093055F"/>
    <w:rsid w:val="009308DB"/>
    <w:rsid w:val="00931528"/>
    <w:rsid w:val="009339C1"/>
    <w:rsid w:val="0093427F"/>
    <w:rsid w:val="00934BDB"/>
    <w:rsid w:val="00934F04"/>
    <w:rsid w:val="00936395"/>
    <w:rsid w:val="00936BB3"/>
    <w:rsid w:val="00936DD1"/>
    <w:rsid w:val="00937126"/>
    <w:rsid w:val="009371BA"/>
    <w:rsid w:val="0094162B"/>
    <w:rsid w:val="00941843"/>
    <w:rsid w:val="00942368"/>
    <w:rsid w:val="009433BC"/>
    <w:rsid w:val="00944530"/>
    <w:rsid w:val="0094667C"/>
    <w:rsid w:val="00947028"/>
    <w:rsid w:val="00947A01"/>
    <w:rsid w:val="00947AE8"/>
    <w:rsid w:val="00950950"/>
    <w:rsid w:val="00954485"/>
    <w:rsid w:val="009558C4"/>
    <w:rsid w:val="00955AA6"/>
    <w:rsid w:val="00955C81"/>
    <w:rsid w:val="00955F25"/>
    <w:rsid w:val="00956D80"/>
    <w:rsid w:val="00960886"/>
    <w:rsid w:val="00960B47"/>
    <w:rsid w:val="00960EBC"/>
    <w:rsid w:val="00961CBF"/>
    <w:rsid w:val="00962025"/>
    <w:rsid w:val="00962059"/>
    <w:rsid w:val="0096378F"/>
    <w:rsid w:val="00964E1D"/>
    <w:rsid w:val="00965272"/>
    <w:rsid w:val="00965D27"/>
    <w:rsid w:val="00966663"/>
    <w:rsid w:val="00967868"/>
    <w:rsid w:val="00967FAE"/>
    <w:rsid w:val="00971906"/>
    <w:rsid w:val="00971A2C"/>
    <w:rsid w:val="009720F9"/>
    <w:rsid w:val="00972A1C"/>
    <w:rsid w:val="00972CE2"/>
    <w:rsid w:val="00973707"/>
    <w:rsid w:val="00973B8E"/>
    <w:rsid w:val="00974150"/>
    <w:rsid w:val="009744C1"/>
    <w:rsid w:val="00974E3F"/>
    <w:rsid w:val="00975018"/>
    <w:rsid w:val="00975CA2"/>
    <w:rsid w:val="00975F7F"/>
    <w:rsid w:val="009769DE"/>
    <w:rsid w:val="00981540"/>
    <w:rsid w:val="0098182F"/>
    <w:rsid w:val="0098245F"/>
    <w:rsid w:val="00982A9F"/>
    <w:rsid w:val="00983FAC"/>
    <w:rsid w:val="00984522"/>
    <w:rsid w:val="00984A5C"/>
    <w:rsid w:val="00985397"/>
    <w:rsid w:val="00986CC0"/>
    <w:rsid w:val="00986FA9"/>
    <w:rsid w:val="0098778D"/>
    <w:rsid w:val="00987F68"/>
    <w:rsid w:val="00991C37"/>
    <w:rsid w:val="00991D59"/>
    <w:rsid w:val="009921F0"/>
    <w:rsid w:val="0099270E"/>
    <w:rsid w:val="00995A7F"/>
    <w:rsid w:val="00995B12"/>
    <w:rsid w:val="0099694B"/>
    <w:rsid w:val="0099697D"/>
    <w:rsid w:val="00997A59"/>
    <w:rsid w:val="00997D96"/>
    <w:rsid w:val="009A1317"/>
    <w:rsid w:val="009A1A9B"/>
    <w:rsid w:val="009A1D5B"/>
    <w:rsid w:val="009A208E"/>
    <w:rsid w:val="009A2864"/>
    <w:rsid w:val="009A2ACF"/>
    <w:rsid w:val="009A2E43"/>
    <w:rsid w:val="009A3874"/>
    <w:rsid w:val="009A39ED"/>
    <w:rsid w:val="009A455A"/>
    <w:rsid w:val="009A47E2"/>
    <w:rsid w:val="009A4B3E"/>
    <w:rsid w:val="009A4CD1"/>
    <w:rsid w:val="009A6E08"/>
    <w:rsid w:val="009A7A38"/>
    <w:rsid w:val="009B0274"/>
    <w:rsid w:val="009B0942"/>
    <w:rsid w:val="009B09F5"/>
    <w:rsid w:val="009B0E38"/>
    <w:rsid w:val="009B355E"/>
    <w:rsid w:val="009B511B"/>
    <w:rsid w:val="009B526D"/>
    <w:rsid w:val="009B591B"/>
    <w:rsid w:val="009B6CE4"/>
    <w:rsid w:val="009B72BC"/>
    <w:rsid w:val="009C001E"/>
    <w:rsid w:val="009C083D"/>
    <w:rsid w:val="009C0B11"/>
    <w:rsid w:val="009C1330"/>
    <w:rsid w:val="009C2A5E"/>
    <w:rsid w:val="009C2C58"/>
    <w:rsid w:val="009C33B1"/>
    <w:rsid w:val="009C3801"/>
    <w:rsid w:val="009C3D16"/>
    <w:rsid w:val="009C3DD6"/>
    <w:rsid w:val="009C4291"/>
    <w:rsid w:val="009C44E7"/>
    <w:rsid w:val="009C4702"/>
    <w:rsid w:val="009C5582"/>
    <w:rsid w:val="009C7899"/>
    <w:rsid w:val="009C7D6A"/>
    <w:rsid w:val="009D2B1C"/>
    <w:rsid w:val="009D3244"/>
    <w:rsid w:val="009D50E7"/>
    <w:rsid w:val="009D5501"/>
    <w:rsid w:val="009D5D1A"/>
    <w:rsid w:val="009D5D7B"/>
    <w:rsid w:val="009D5DA0"/>
    <w:rsid w:val="009D6EDB"/>
    <w:rsid w:val="009D6FD5"/>
    <w:rsid w:val="009D7A03"/>
    <w:rsid w:val="009D7A90"/>
    <w:rsid w:val="009E189F"/>
    <w:rsid w:val="009E283E"/>
    <w:rsid w:val="009E2BBD"/>
    <w:rsid w:val="009E439F"/>
    <w:rsid w:val="009E4FA0"/>
    <w:rsid w:val="009E5168"/>
    <w:rsid w:val="009E563E"/>
    <w:rsid w:val="009E567D"/>
    <w:rsid w:val="009E5DCC"/>
    <w:rsid w:val="009E655E"/>
    <w:rsid w:val="009E718A"/>
    <w:rsid w:val="009E7D4D"/>
    <w:rsid w:val="009F0569"/>
    <w:rsid w:val="009F1084"/>
    <w:rsid w:val="009F2B54"/>
    <w:rsid w:val="009F3AD0"/>
    <w:rsid w:val="009F43AC"/>
    <w:rsid w:val="009F5250"/>
    <w:rsid w:val="009F5262"/>
    <w:rsid w:val="009F5A0F"/>
    <w:rsid w:val="009F6790"/>
    <w:rsid w:val="009F78B4"/>
    <w:rsid w:val="009F7C08"/>
    <w:rsid w:val="009F7D90"/>
    <w:rsid w:val="00A01044"/>
    <w:rsid w:val="00A0108C"/>
    <w:rsid w:val="00A0123A"/>
    <w:rsid w:val="00A01653"/>
    <w:rsid w:val="00A01C72"/>
    <w:rsid w:val="00A01D02"/>
    <w:rsid w:val="00A02850"/>
    <w:rsid w:val="00A0358A"/>
    <w:rsid w:val="00A03C89"/>
    <w:rsid w:val="00A03DC9"/>
    <w:rsid w:val="00A045D1"/>
    <w:rsid w:val="00A0483F"/>
    <w:rsid w:val="00A04CFA"/>
    <w:rsid w:val="00A0527F"/>
    <w:rsid w:val="00A06840"/>
    <w:rsid w:val="00A07C7E"/>
    <w:rsid w:val="00A10395"/>
    <w:rsid w:val="00A10C90"/>
    <w:rsid w:val="00A11445"/>
    <w:rsid w:val="00A12B66"/>
    <w:rsid w:val="00A136CD"/>
    <w:rsid w:val="00A1438B"/>
    <w:rsid w:val="00A1449E"/>
    <w:rsid w:val="00A17C9B"/>
    <w:rsid w:val="00A20C64"/>
    <w:rsid w:val="00A22DB7"/>
    <w:rsid w:val="00A22E31"/>
    <w:rsid w:val="00A231C1"/>
    <w:rsid w:val="00A232F8"/>
    <w:rsid w:val="00A241AB"/>
    <w:rsid w:val="00A24751"/>
    <w:rsid w:val="00A248E2"/>
    <w:rsid w:val="00A26662"/>
    <w:rsid w:val="00A2674E"/>
    <w:rsid w:val="00A26E3F"/>
    <w:rsid w:val="00A27C27"/>
    <w:rsid w:val="00A31125"/>
    <w:rsid w:val="00A320B1"/>
    <w:rsid w:val="00A325F5"/>
    <w:rsid w:val="00A335B4"/>
    <w:rsid w:val="00A33695"/>
    <w:rsid w:val="00A33C55"/>
    <w:rsid w:val="00A34026"/>
    <w:rsid w:val="00A369B8"/>
    <w:rsid w:val="00A402A8"/>
    <w:rsid w:val="00A41ECA"/>
    <w:rsid w:val="00A4281F"/>
    <w:rsid w:val="00A4309F"/>
    <w:rsid w:val="00A4319E"/>
    <w:rsid w:val="00A452E1"/>
    <w:rsid w:val="00A45607"/>
    <w:rsid w:val="00A47334"/>
    <w:rsid w:val="00A50EB7"/>
    <w:rsid w:val="00A514FC"/>
    <w:rsid w:val="00A51AA9"/>
    <w:rsid w:val="00A5221E"/>
    <w:rsid w:val="00A52E52"/>
    <w:rsid w:val="00A53C11"/>
    <w:rsid w:val="00A56FEC"/>
    <w:rsid w:val="00A57558"/>
    <w:rsid w:val="00A60195"/>
    <w:rsid w:val="00A612E2"/>
    <w:rsid w:val="00A63011"/>
    <w:rsid w:val="00A6394C"/>
    <w:rsid w:val="00A64421"/>
    <w:rsid w:val="00A65357"/>
    <w:rsid w:val="00A6683C"/>
    <w:rsid w:val="00A66EC6"/>
    <w:rsid w:val="00A6706B"/>
    <w:rsid w:val="00A675D9"/>
    <w:rsid w:val="00A70159"/>
    <w:rsid w:val="00A70245"/>
    <w:rsid w:val="00A70C88"/>
    <w:rsid w:val="00A70DFB"/>
    <w:rsid w:val="00A72DF3"/>
    <w:rsid w:val="00A73282"/>
    <w:rsid w:val="00A7376F"/>
    <w:rsid w:val="00A74006"/>
    <w:rsid w:val="00A74B40"/>
    <w:rsid w:val="00A74D8D"/>
    <w:rsid w:val="00A76381"/>
    <w:rsid w:val="00A772B4"/>
    <w:rsid w:val="00A774C1"/>
    <w:rsid w:val="00A77540"/>
    <w:rsid w:val="00A801A9"/>
    <w:rsid w:val="00A80A02"/>
    <w:rsid w:val="00A80C2E"/>
    <w:rsid w:val="00A827D8"/>
    <w:rsid w:val="00A82A25"/>
    <w:rsid w:val="00A82B62"/>
    <w:rsid w:val="00A840BE"/>
    <w:rsid w:val="00A840D5"/>
    <w:rsid w:val="00A855F0"/>
    <w:rsid w:val="00A85CE0"/>
    <w:rsid w:val="00A85E91"/>
    <w:rsid w:val="00A86139"/>
    <w:rsid w:val="00A86EB4"/>
    <w:rsid w:val="00A90154"/>
    <w:rsid w:val="00A903BA"/>
    <w:rsid w:val="00A90BDF"/>
    <w:rsid w:val="00A92639"/>
    <w:rsid w:val="00A92A59"/>
    <w:rsid w:val="00A92CFF"/>
    <w:rsid w:val="00A94FBC"/>
    <w:rsid w:val="00A9559C"/>
    <w:rsid w:val="00A95FD0"/>
    <w:rsid w:val="00AA02BE"/>
    <w:rsid w:val="00AA0466"/>
    <w:rsid w:val="00AA1B66"/>
    <w:rsid w:val="00AA3189"/>
    <w:rsid w:val="00AA47CC"/>
    <w:rsid w:val="00AA629F"/>
    <w:rsid w:val="00AA6A66"/>
    <w:rsid w:val="00AA71A4"/>
    <w:rsid w:val="00AA7658"/>
    <w:rsid w:val="00AB01A1"/>
    <w:rsid w:val="00AB0412"/>
    <w:rsid w:val="00AB1C4B"/>
    <w:rsid w:val="00AB2C97"/>
    <w:rsid w:val="00AB2F46"/>
    <w:rsid w:val="00AB393F"/>
    <w:rsid w:val="00AB3FE1"/>
    <w:rsid w:val="00AB4E51"/>
    <w:rsid w:val="00AB63E5"/>
    <w:rsid w:val="00AB67AA"/>
    <w:rsid w:val="00AB6AB2"/>
    <w:rsid w:val="00AB7B8D"/>
    <w:rsid w:val="00AB7EF6"/>
    <w:rsid w:val="00AC06B8"/>
    <w:rsid w:val="00AC0C9F"/>
    <w:rsid w:val="00AC0F2C"/>
    <w:rsid w:val="00AC14E2"/>
    <w:rsid w:val="00AC3054"/>
    <w:rsid w:val="00AC4299"/>
    <w:rsid w:val="00AC4E3A"/>
    <w:rsid w:val="00AC5975"/>
    <w:rsid w:val="00AC5D72"/>
    <w:rsid w:val="00AC5F45"/>
    <w:rsid w:val="00AC6255"/>
    <w:rsid w:val="00AC62BD"/>
    <w:rsid w:val="00AC654C"/>
    <w:rsid w:val="00AC6570"/>
    <w:rsid w:val="00AC6EB9"/>
    <w:rsid w:val="00AC7107"/>
    <w:rsid w:val="00AC758B"/>
    <w:rsid w:val="00AD061B"/>
    <w:rsid w:val="00AD0C6F"/>
    <w:rsid w:val="00AD1A08"/>
    <w:rsid w:val="00AD1A17"/>
    <w:rsid w:val="00AD2DA9"/>
    <w:rsid w:val="00AD3F9D"/>
    <w:rsid w:val="00AD4571"/>
    <w:rsid w:val="00AD4B38"/>
    <w:rsid w:val="00AD4D15"/>
    <w:rsid w:val="00AD6FA4"/>
    <w:rsid w:val="00AD70F1"/>
    <w:rsid w:val="00AE0C1B"/>
    <w:rsid w:val="00AE1CD7"/>
    <w:rsid w:val="00AE3D79"/>
    <w:rsid w:val="00AE4EBA"/>
    <w:rsid w:val="00AE7CD3"/>
    <w:rsid w:val="00AF003B"/>
    <w:rsid w:val="00AF07E2"/>
    <w:rsid w:val="00AF0CC9"/>
    <w:rsid w:val="00AF1037"/>
    <w:rsid w:val="00AF17C8"/>
    <w:rsid w:val="00AF19A1"/>
    <w:rsid w:val="00AF1E50"/>
    <w:rsid w:val="00AF1F57"/>
    <w:rsid w:val="00AF2396"/>
    <w:rsid w:val="00AF3C10"/>
    <w:rsid w:val="00AF3D7A"/>
    <w:rsid w:val="00AF4ED2"/>
    <w:rsid w:val="00AF51F7"/>
    <w:rsid w:val="00AF62BC"/>
    <w:rsid w:val="00AF672F"/>
    <w:rsid w:val="00AF7902"/>
    <w:rsid w:val="00AF7FA5"/>
    <w:rsid w:val="00B006E9"/>
    <w:rsid w:val="00B01163"/>
    <w:rsid w:val="00B012C5"/>
    <w:rsid w:val="00B024AD"/>
    <w:rsid w:val="00B03D47"/>
    <w:rsid w:val="00B04161"/>
    <w:rsid w:val="00B048F1"/>
    <w:rsid w:val="00B049B4"/>
    <w:rsid w:val="00B04D23"/>
    <w:rsid w:val="00B057CA"/>
    <w:rsid w:val="00B06699"/>
    <w:rsid w:val="00B06D10"/>
    <w:rsid w:val="00B07414"/>
    <w:rsid w:val="00B11263"/>
    <w:rsid w:val="00B1149D"/>
    <w:rsid w:val="00B11505"/>
    <w:rsid w:val="00B11D0D"/>
    <w:rsid w:val="00B12EA6"/>
    <w:rsid w:val="00B14540"/>
    <w:rsid w:val="00B145A2"/>
    <w:rsid w:val="00B15280"/>
    <w:rsid w:val="00B15DB6"/>
    <w:rsid w:val="00B169DB"/>
    <w:rsid w:val="00B17100"/>
    <w:rsid w:val="00B171C0"/>
    <w:rsid w:val="00B17999"/>
    <w:rsid w:val="00B20E5D"/>
    <w:rsid w:val="00B21DE2"/>
    <w:rsid w:val="00B21E50"/>
    <w:rsid w:val="00B22110"/>
    <w:rsid w:val="00B221EC"/>
    <w:rsid w:val="00B22DA1"/>
    <w:rsid w:val="00B23005"/>
    <w:rsid w:val="00B24942"/>
    <w:rsid w:val="00B24B16"/>
    <w:rsid w:val="00B24D96"/>
    <w:rsid w:val="00B24EDD"/>
    <w:rsid w:val="00B253EA"/>
    <w:rsid w:val="00B26927"/>
    <w:rsid w:val="00B30046"/>
    <w:rsid w:val="00B31D8A"/>
    <w:rsid w:val="00B32366"/>
    <w:rsid w:val="00B32AFB"/>
    <w:rsid w:val="00B33C46"/>
    <w:rsid w:val="00B34605"/>
    <w:rsid w:val="00B34B0B"/>
    <w:rsid w:val="00B34B77"/>
    <w:rsid w:val="00B34DD6"/>
    <w:rsid w:val="00B35F80"/>
    <w:rsid w:val="00B36BA6"/>
    <w:rsid w:val="00B36EAA"/>
    <w:rsid w:val="00B37815"/>
    <w:rsid w:val="00B40AC1"/>
    <w:rsid w:val="00B4177D"/>
    <w:rsid w:val="00B431BD"/>
    <w:rsid w:val="00B439B1"/>
    <w:rsid w:val="00B43C2A"/>
    <w:rsid w:val="00B4423C"/>
    <w:rsid w:val="00B442BD"/>
    <w:rsid w:val="00B44EEC"/>
    <w:rsid w:val="00B4512A"/>
    <w:rsid w:val="00B45720"/>
    <w:rsid w:val="00B4591B"/>
    <w:rsid w:val="00B46B93"/>
    <w:rsid w:val="00B47F0C"/>
    <w:rsid w:val="00B50194"/>
    <w:rsid w:val="00B51127"/>
    <w:rsid w:val="00B51CC6"/>
    <w:rsid w:val="00B51EFF"/>
    <w:rsid w:val="00B51F42"/>
    <w:rsid w:val="00B522A4"/>
    <w:rsid w:val="00B52872"/>
    <w:rsid w:val="00B53030"/>
    <w:rsid w:val="00B53939"/>
    <w:rsid w:val="00B542AB"/>
    <w:rsid w:val="00B55EB1"/>
    <w:rsid w:val="00B62635"/>
    <w:rsid w:val="00B62F3B"/>
    <w:rsid w:val="00B70274"/>
    <w:rsid w:val="00B71DAC"/>
    <w:rsid w:val="00B7260A"/>
    <w:rsid w:val="00B72E87"/>
    <w:rsid w:val="00B730C7"/>
    <w:rsid w:val="00B7350E"/>
    <w:rsid w:val="00B73E12"/>
    <w:rsid w:val="00B74792"/>
    <w:rsid w:val="00B74827"/>
    <w:rsid w:val="00B759BA"/>
    <w:rsid w:val="00B77345"/>
    <w:rsid w:val="00B775C4"/>
    <w:rsid w:val="00B811B0"/>
    <w:rsid w:val="00B816A3"/>
    <w:rsid w:val="00B8194C"/>
    <w:rsid w:val="00B822A4"/>
    <w:rsid w:val="00B826B4"/>
    <w:rsid w:val="00B827DB"/>
    <w:rsid w:val="00B83833"/>
    <w:rsid w:val="00B83834"/>
    <w:rsid w:val="00B83F8E"/>
    <w:rsid w:val="00B846EC"/>
    <w:rsid w:val="00B8560C"/>
    <w:rsid w:val="00B8575F"/>
    <w:rsid w:val="00B86114"/>
    <w:rsid w:val="00B863DF"/>
    <w:rsid w:val="00B86CA9"/>
    <w:rsid w:val="00B86D4F"/>
    <w:rsid w:val="00B87C80"/>
    <w:rsid w:val="00B90E57"/>
    <w:rsid w:val="00B90F63"/>
    <w:rsid w:val="00B91440"/>
    <w:rsid w:val="00B920FD"/>
    <w:rsid w:val="00B92B5E"/>
    <w:rsid w:val="00B93FA1"/>
    <w:rsid w:val="00B94302"/>
    <w:rsid w:val="00B94993"/>
    <w:rsid w:val="00B95468"/>
    <w:rsid w:val="00B96FBD"/>
    <w:rsid w:val="00B976CF"/>
    <w:rsid w:val="00B97F1B"/>
    <w:rsid w:val="00BA0077"/>
    <w:rsid w:val="00BA1C6C"/>
    <w:rsid w:val="00BA2095"/>
    <w:rsid w:val="00BA24B5"/>
    <w:rsid w:val="00BA2863"/>
    <w:rsid w:val="00BA325A"/>
    <w:rsid w:val="00BA3D22"/>
    <w:rsid w:val="00BA4811"/>
    <w:rsid w:val="00BA58FE"/>
    <w:rsid w:val="00BA5C1F"/>
    <w:rsid w:val="00BA6384"/>
    <w:rsid w:val="00BA682D"/>
    <w:rsid w:val="00BA6E03"/>
    <w:rsid w:val="00BA7CE0"/>
    <w:rsid w:val="00BA7DE2"/>
    <w:rsid w:val="00BB169C"/>
    <w:rsid w:val="00BB3176"/>
    <w:rsid w:val="00BB3BE4"/>
    <w:rsid w:val="00BB3CBE"/>
    <w:rsid w:val="00BB50BB"/>
    <w:rsid w:val="00BB526F"/>
    <w:rsid w:val="00BB5B5D"/>
    <w:rsid w:val="00BB6397"/>
    <w:rsid w:val="00BB73C8"/>
    <w:rsid w:val="00BB7E19"/>
    <w:rsid w:val="00BC068F"/>
    <w:rsid w:val="00BC0A7F"/>
    <w:rsid w:val="00BC0D5A"/>
    <w:rsid w:val="00BC0F5B"/>
    <w:rsid w:val="00BC1121"/>
    <w:rsid w:val="00BC1220"/>
    <w:rsid w:val="00BC2C58"/>
    <w:rsid w:val="00BC39D0"/>
    <w:rsid w:val="00BC3F13"/>
    <w:rsid w:val="00BC3F58"/>
    <w:rsid w:val="00BC47BF"/>
    <w:rsid w:val="00BC4F1C"/>
    <w:rsid w:val="00BC61CD"/>
    <w:rsid w:val="00BC658A"/>
    <w:rsid w:val="00BC6F41"/>
    <w:rsid w:val="00BC793E"/>
    <w:rsid w:val="00BD1023"/>
    <w:rsid w:val="00BD1379"/>
    <w:rsid w:val="00BD191F"/>
    <w:rsid w:val="00BD2647"/>
    <w:rsid w:val="00BD36DE"/>
    <w:rsid w:val="00BD4614"/>
    <w:rsid w:val="00BD52C3"/>
    <w:rsid w:val="00BD5485"/>
    <w:rsid w:val="00BD661B"/>
    <w:rsid w:val="00BD687C"/>
    <w:rsid w:val="00BD75D1"/>
    <w:rsid w:val="00BE0183"/>
    <w:rsid w:val="00BE04C0"/>
    <w:rsid w:val="00BE0A45"/>
    <w:rsid w:val="00BE1233"/>
    <w:rsid w:val="00BE1311"/>
    <w:rsid w:val="00BE19C2"/>
    <w:rsid w:val="00BE2AE0"/>
    <w:rsid w:val="00BE358B"/>
    <w:rsid w:val="00BE3EAB"/>
    <w:rsid w:val="00BE4109"/>
    <w:rsid w:val="00BE447B"/>
    <w:rsid w:val="00BE4782"/>
    <w:rsid w:val="00BE47D8"/>
    <w:rsid w:val="00BE4FD9"/>
    <w:rsid w:val="00BE557E"/>
    <w:rsid w:val="00BE5CFB"/>
    <w:rsid w:val="00BE5D73"/>
    <w:rsid w:val="00BE6146"/>
    <w:rsid w:val="00BE64F7"/>
    <w:rsid w:val="00BE6DFE"/>
    <w:rsid w:val="00BE7A52"/>
    <w:rsid w:val="00BF124A"/>
    <w:rsid w:val="00BF2EEC"/>
    <w:rsid w:val="00BF4770"/>
    <w:rsid w:val="00BF4FD2"/>
    <w:rsid w:val="00BF540A"/>
    <w:rsid w:val="00BF62F9"/>
    <w:rsid w:val="00BF6EC1"/>
    <w:rsid w:val="00BF7257"/>
    <w:rsid w:val="00BF7EB4"/>
    <w:rsid w:val="00C017D1"/>
    <w:rsid w:val="00C018FD"/>
    <w:rsid w:val="00C029BC"/>
    <w:rsid w:val="00C02FF7"/>
    <w:rsid w:val="00C04D37"/>
    <w:rsid w:val="00C05556"/>
    <w:rsid w:val="00C056AC"/>
    <w:rsid w:val="00C05941"/>
    <w:rsid w:val="00C05D2A"/>
    <w:rsid w:val="00C0657C"/>
    <w:rsid w:val="00C074C4"/>
    <w:rsid w:val="00C07658"/>
    <w:rsid w:val="00C10CD4"/>
    <w:rsid w:val="00C11B8D"/>
    <w:rsid w:val="00C11CA5"/>
    <w:rsid w:val="00C12AE0"/>
    <w:rsid w:val="00C12B35"/>
    <w:rsid w:val="00C12C29"/>
    <w:rsid w:val="00C12FEB"/>
    <w:rsid w:val="00C13D76"/>
    <w:rsid w:val="00C140C6"/>
    <w:rsid w:val="00C144EF"/>
    <w:rsid w:val="00C1534E"/>
    <w:rsid w:val="00C15B90"/>
    <w:rsid w:val="00C211DC"/>
    <w:rsid w:val="00C2135F"/>
    <w:rsid w:val="00C23169"/>
    <w:rsid w:val="00C233C6"/>
    <w:rsid w:val="00C23D4E"/>
    <w:rsid w:val="00C25670"/>
    <w:rsid w:val="00C2636B"/>
    <w:rsid w:val="00C27119"/>
    <w:rsid w:val="00C271AC"/>
    <w:rsid w:val="00C277FB"/>
    <w:rsid w:val="00C27CEA"/>
    <w:rsid w:val="00C30639"/>
    <w:rsid w:val="00C306B3"/>
    <w:rsid w:val="00C306F6"/>
    <w:rsid w:val="00C3194E"/>
    <w:rsid w:val="00C31BBB"/>
    <w:rsid w:val="00C32813"/>
    <w:rsid w:val="00C345ED"/>
    <w:rsid w:val="00C34837"/>
    <w:rsid w:val="00C348B3"/>
    <w:rsid w:val="00C356C8"/>
    <w:rsid w:val="00C367B4"/>
    <w:rsid w:val="00C36B2D"/>
    <w:rsid w:val="00C37581"/>
    <w:rsid w:val="00C375F3"/>
    <w:rsid w:val="00C37615"/>
    <w:rsid w:val="00C37B29"/>
    <w:rsid w:val="00C37D71"/>
    <w:rsid w:val="00C40D60"/>
    <w:rsid w:val="00C414C9"/>
    <w:rsid w:val="00C43A7D"/>
    <w:rsid w:val="00C4425F"/>
    <w:rsid w:val="00C46DB1"/>
    <w:rsid w:val="00C4706F"/>
    <w:rsid w:val="00C47BD3"/>
    <w:rsid w:val="00C47ED5"/>
    <w:rsid w:val="00C504D3"/>
    <w:rsid w:val="00C533EB"/>
    <w:rsid w:val="00C53B22"/>
    <w:rsid w:val="00C542A9"/>
    <w:rsid w:val="00C54763"/>
    <w:rsid w:val="00C55649"/>
    <w:rsid w:val="00C55DCC"/>
    <w:rsid w:val="00C563A1"/>
    <w:rsid w:val="00C576F8"/>
    <w:rsid w:val="00C57F07"/>
    <w:rsid w:val="00C60A1B"/>
    <w:rsid w:val="00C61FF5"/>
    <w:rsid w:val="00C62CD3"/>
    <w:rsid w:val="00C635CF"/>
    <w:rsid w:val="00C635FD"/>
    <w:rsid w:val="00C64027"/>
    <w:rsid w:val="00C66473"/>
    <w:rsid w:val="00C67004"/>
    <w:rsid w:val="00C707EE"/>
    <w:rsid w:val="00C717C8"/>
    <w:rsid w:val="00C7187C"/>
    <w:rsid w:val="00C71AF2"/>
    <w:rsid w:val="00C71B86"/>
    <w:rsid w:val="00C71D62"/>
    <w:rsid w:val="00C723EA"/>
    <w:rsid w:val="00C725CB"/>
    <w:rsid w:val="00C731CE"/>
    <w:rsid w:val="00C74C49"/>
    <w:rsid w:val="00C76E4A"/>
    <w:rsid w:val="00C80731"/>
    <w:rsid w:val="00C80811"/>
    <w:rsid w:val="00C80C5A"/>
    <w:rsid w:val="00C814BF"/>
    <w:rsid w:val="00C82529"/>
    <w:rsid w:val="00C8279E"/>
    <w:rsid w:val="00C84BAF"/>
    <w:rsid w:val="00C84C64"/>
    <w:rsid w:val="00C8571F"/>
    <w:rsid w:val="00C8643E"/>
    <w:rsid w:val="00C86E5A"/>
    <w:rsid w:val="00C87CEE"/>
    <w:rsid w:val="00C9009E"/>
    <w:rsid w:val="00C90338"/>
    <w:rsid w:val="00C904F7"/>
    <w:rsid w:val="00C917B0"/>
    <w:rsid w:val="00C91ACB"/>
    <w:rsid w:val="00C91BDF"/>
    <w:rsid w:val="00C91DC9"/>
    <w:rsid w:val="00C9299D"/>
    <w:rsid w:val="00C93697"/>
    <w:rsid w:val="00C93FC2"/>
    <w:rsid w:val="00C941FF"/>
    <w:rsid w:val="00C94AFD"/>
    <w:rsid w:val="00C95414"/>
    <w:rsid w:val="00C95E48"/>
    <w:rsid w:val="00C960CE"/>
    <w:rsid w:val="00C96468"/>
    <w:rsid w:val="00C9673B"/>
    <w:rsid w:val="00C973FB"/>
    <w:rsid w:val="00CA024E"/>
    <w:rsid w:val="00CA04FD"/>
    <w:rsid w:val="00CA0C40"/>
    <w:rsid w:val="00CA126C"/>
    <w:rsid w:val="00CA13B9"/>
    <w:rsid w:val="00CA270D"/>
    <w:rsid w:val="00CA2E80"/>
    <w:rsid w:val="00CA2E92"/>
    <w:rsid w:val="00CA5793"/>
    <w:rsid w:val="00CA61EE"/>
    <w:rsid w:val="00CA6F54"/>
    <w:rsid w:val="00CA73FF"/>
    <w:rsid w:val="00CB1F27"/>
    <w:rsid w:val="00CB256D"/>
    <w:rsid w:val="00CB285B"/>
    <w:rsid w:val="00CB484B"/>
    <w:rsid w:val="00CB4E0C"/>
    <w:rsid w:val="00CB5059"/>
    <w:rsid w:val="00CB6C8D"/>
    <w:rsid w:val="00CB71A7"/>
    <w:rsid w:val="00CB7F46"/>
    <w:rsid w:val="00CC0D44"/>
    <w:rsid w:val="00CC2508"/>
    <w:rsid w:val="00CC26A6"/>
    <w:rsid w:val="00CC2F2F"/>
    <w:rsid w:val="00CC301F"/>
    <w:rsid w:val="00CC432E"/>
    <w:rsid w:val="00CC47A1"/>
    <w:rsid w:val="00CC4F4F"/>
    <w:rsid w:val="00CC4F94"/>
    <w:rsid w:val="00CC6811"/>
    <w:rsid w:val="00CC6FEE"/>
    <w:rsid w:val="00CC7195"/>
    <w:rsid w:val="00CC7A43"/>
    <w:rsid w:val="00CD1420"/>
    <w:rsid w:val="00CD1B30"/>
    <w:rsid w:val="00CD385E"/>
    <w:rsid w:val="00CD386D"/>
    <w:rsid w:val="00CD3F0E"/>
    <w:rsid w:val="00CD5154"/>
    <w:rsid w:val="00CD51BC"/>
    <w:rsid w:val="00CD58AA"/>
    <w:rsid w:val="00CD6306"/>
    <w:rsid w:val="00CD7887"/>
    <w:rsid w:val="00CD7AB6"/>
    <w:rsid w:val="00CD7D5B"/>
    <w:rsid w:val="00CD7ED8"/>
    <w:rsid w:val="00CE1093"/>
    <w:rsid w:val="00CE17EF"/>
    <w:rsid w:val="00CE2B78"/>
    <w:rsid w:val="00CE31F7"/>
    <w:rsid w:val="00CE44FE"/>
    <w:rsid w:val="00CE47AF"/>
    <w:rsid w:val="00CE4C49"/>
    <w:rsid w:val="00CE56D5"/>
    <w:rsid w:val="00CE5ACF"/>
    <w:rsid w:val="00CE68B9"/>
    <w:rsid w:val="00CE7347"/>
    <w:rsid w:val="00CE7F91"/>
    <w:rsid w:val="00CF0568"/>
    <w:rsid w:val="00CF28B3"/>
    <w:rsid w:val="00CF2D64"/>
    <w:rsid w:val="00CF40EE"/>
    <w:rsid w:val="00CF5466"/>
    <w:rsid w:val="00CF6C51"/>
    <w:rsid w:val="00CF6D85"/>
    <w:rsid w:val="00CF7060"/>
    <w:rsid w:val="00D0066E"/>
    <w:rsid w:val="00D024BD"/>
    <w:rsid w:val="00D02770"/>
    <w:rsid w:val="00D02E89"/>
    <w:rsid w:val="00D054C0"/>
    <w:rsid w:val="00D05A24"/>
    <w:rsid w:val="00D05A94"/>
    <w:rsid w:val="00D06F70"/>
    <w:rsid w:val="00D10700"/>
    <w:rsid w:val="00D11D41"/>
    <w:rsid w:val="00D1223C"/>
    <w:rsid w:val="00D1229B"/>
    <w:rsid w:val="00D1373E"/>
    <w:rsid w:val="00D14A32"/>
    <w:rsid w:val="00D14B4A"/>
    <w:rsid w:val="00D14EE0"/>
    <w:rsid w:val="00D15808"/>
    <w:rsid w:val="00D16489"/>
    <w:rsid w:val="00D1690D"/>
    <w:rsid w:val="00D16B89"/>
    <w:rsid w:val="00D16FBF"/>
    <w:rsid w:val="00D1786A"/>
    <w:rsid w:val="00D2018B"/>
    <w:rsid w:val="00D20799"/>
    <w:rsid w:val="00D209AF"/>
    <w:rsid w:val="00D20C67"/>
    <w:rsid w:val="00D212FE"/>
    <w:rsid w:val="00D226E9"/>
    <w:rsid w:val="00D2428D"/>
    <w:rsid w:val="00D2506C"/>
    <w:rsid w:val="00D27C0D"/>
    <w:rsid w:val="00D27F99"/>
    <w:rsid w:val="00D300D9"/>
    <w:rsid w:val="00D301E1"/>
    <w:rsid w:val="00D30A68"/>
    <w:rsid w:val="00D30BE6"/>
    <w:rsid w:val="00D30C04"/>
    <w:rsid w:val="00D30F76"/>
    <w:rsid w:val="00D314D5"/>
    <w:rsid w:val="00D31C7A"/>
    <w:rsid w:val="00D32447"/>
    <w:rsid w:val="00D33AA1"/>
    <w:rsid w:val="00D34F75"/>
    <w:rsid w:val="00D35BD5"/>
    <w:rsid w:val="00D35C30"/>
    <w:rsid w:val="00D36501"/>
    <w:rsid w:val="00D3686E"/>
    <w:rsid w:val="00D37718"/>
    <w:rsid w:val="00D37AA2"/>
    <w:rsid w:val="00D37B2B"/>
    <w:rsid w:val="00D412C0"/>
    <w:rsid w:val="00D4194D"/>
    <w:rsid w:val="00D41CA6"/>
    <w:rsid w:val="00D427D5"/>
    <w:rsid w:val="00D42AB8"/>
    <w:rsid w:val="00D4457C"/>
    <w:rsid w:val="00D459F5"/>
    <w:rsid w:val="00D45B15"/>
    <w:rsid w:val="00D47551"/>
    <w:rsid w:val="00D47D10"/>
    <w:rsid w:val="00D5004A"/>
    <w:rsid w:val="00D51A17"/>
    <w:rsid w:val="00D52387"/>
    <w:rsid w:val="00D5285D"/>
    <w:rsid w:val="00D5286B"/>
    <w:rsid w:val="00D52A13"/>
    <w:rsid w:val="00D52FC3"/>
    <w:rsid w:val="00D52FEA"/>
    <w:rsid w:val="00D53104"/>
    <w:rsid w:val="00D533DD"/>
    <w:rsid w:val="00D5433B"/>
    <w:rsid w:val="00D544E6"/>
    <w:rsid w:val="00D54975"/>
    <w:rsid w:val="00D54C42"/>
    <w:rsid w:val="00D55E69"/>
    <w:rsid w:val="00D56AF5"/>
    <w:rsid w:val="00D60795"/>
    <w:rsid w:val="00D60F96"/>
    <w:rsid w:val="00D61651"/>
    <w:rsid w:val="00D61796"/>
    <w:rsid w:val="00D62E86"/>
    <w:rsid w:val="00D63399"/>
    <w:rsid w:val="00D634CB"/>
    <w:rsid w:val="00D643B4"/>
    <w:rsid w:val="00D6494A"/>
    <w:rsid w:val="00D64ADE"/>
    <w:rsid w:val="00D64B66"/>
    <w:rsid w:val="00D6532A"/>
    <w:rsid w:val="00D6607A"/>
    <w:rsid w:val="00D66CAA"/>
    <w:rsid w:val="00D66F32"/>
    <w:rsid w:val="00D66F87"/>
    <w:rsid w:val="00D67483"/>
    <w:rsid w:val="00D70AD1"/>
    <w:rsid w:val="00D70F07"/>
    <w:rsid w:val="00D7242F"/>
    <w:rsid w:val="00D742A8"/>
    <w:rsid w:val="00D74308"/>
    <w:rsid w:val="00D75438"/>
    <w:rsid w:val="00D765BC"/>
    <w:rsid w:val="00D77799"/>
    <w:rsid w:val="00D77DB0"/>
    <w:rsid w:val="00D8068D"/>
    <w:rsid w:val="00D8096D"/>
    <w:rsid w:val="00D81422"/>
    <w:rsid w:val="00D81B67"/>
    <w:rsid w:val="00D81C35"/>
    <w:rsid w:val="00D8254C"/>
    <w:rsid w:val="00D825FB"/>
    <w:rsid w:val="00D826AC"/>
    <w:rsid w:val="00D82913"/>
    <w:rsid w:val="00D82A56"/>
    <w:rsid w:val="00D82B60"/>
    <w:rsid w:val="00D8316B"/>
    <w:rsid w:val="00D8369E"/>
    <w:rsid w:val="00D83C2E"/>
    <w:rsid w:val="00D8416E"/>
    <w:rsid w:val="00D8485E"/>
    <w:rsid w:val="00D84EB7"/>
    <w:rsid w:val="00D8545A"/>
    <w:rsid w:val="00D85AC7"/>
    <w:rsid w:val="00D87BAB"/>
    <w:rsid w:val="00D90BFF"/>
    <w:rsid w:val="00D90C26"/>
    <w:rsid w:val="00D92396"/>
    <w:rsid w:val="00D93057"/>
    <w:rsid w:val="00D935F5"/>
    <w:rsid w:val="00D946DB"/>
    <w:rsid w:val="00D94B63"/>
    <w:rsid w:val="00D94DDD"/>
    <w:rsid w:val="00D95045"/>
    <w:rsid w:val="00D9516E"/>
    <w:rsid w:val="00D95EC1"/>
    <w:rsid w:val="00D96E61"/>
    <w:rsid w:val="00DA03B9"/>
    <w:rsid w:val="00DA040A"/>
    <w:rsid w:val="00DA0B84"/>
    <w:rsid w:val="00DA0DB4"/>
    <w:rsid w:val="00DA1253"/>
    <w:rsid w:val="00DA1525"/>
    <w:rsid w:val="00DA2649"/>
    <w:rsid w:val="00DA3B36"/>
    <w:rsid w:val="00DA4727"/>
    <w:rsid w:val="00DA4A2F"/>
    <w:rsid w:val="00DA4A88"/>
    <w:rsid w:val="00DA4AAA"/>
    <w:rsid w:val="00DA5CBD"/>
    <w:rsid w:val="00DA652C"/>
    <w:rsid w:val="00DA6CB8"/>
    <w:rsid w:val="00DA77E1"/>
    <w:rsid w:val="00DB0274"/>
    <w:rsid w:val="00DB091C"/>
    <w:rsid w:val="00DB0F07"/>
    <w:rsid w:val="00DB12E7"/>
    <w:rsid w:val="00DB2266"/>
    <w:rsid w:val="00DB2DD0"/>
    <w:rsid w:val="00DB3B68"/>
    <w:rsid w:val="00DB3EEA"/>
    <w:rsid w:val="00DB40CA"/>
    <w:rsid w:val="00DB422E"/>
    <w:rsid w:val="00DB5503"/>
    <w:rsid w:val="00DB6D12"/>
    <w:rsid w:val="00DC03E0"/>
    <w:rsid w:val="00DC0817"/>
    <w:rsid w:val="00DC09EA"/>
    <w:rsid w:val="00DC1FD1"/>
    <w:rsid w:val="00DC2D05"/>
    <w:rsid w:val="00DC3A83"/>
    <w:rsid w:val="00DC3B38"/>
    <w:rsid w:val="00DC3F43"/>
    <w:rsid w:val="00DC40DA"/>
    <w:rsid w:val="00DC4984"/>
    <w:rsid w:val="00DC4CE4"/>
    <w:rsid w:val="00DC5558"/>
    <w:rsid w:val="00DC5721"/>
    <w:rsid w:val="00DD0332"/>
    <w:rsid w:val="00DD07FF"/>
    <w:rsid w:val="00DD092D"/>
    <w:rsid w:val="00DD156E"/>
    <w:rsid w:val="00DD1906"/>
    <w:rsid w:val="00DD2C1E"/>
    <w:rsid w:val="00DD41BE"/>
    <w:rsid w:val="00DD4CFC"/>
    <w:rsid w:val="00DD4DA2"/>
    <w:rsid w:val="00DD50DC"/>
    <w:rsid w:val="00DD5F87"/>
    <w:rsid w:val="00DD60DF"/>
    <w:rsid w:val="00DD6D54"/>
    <w:rsid w:val="00DD6F35"/>
    <w:rsid w:val="00DD72AA"/>
    <w:rsid w:val="00DE0157"/>
    <w:rsid w:val="00DE0962"/>
    <w:rsid w:val="00DE163F"/>
    <w:rsid w:val="00DE1B16"/>
    <w:rsid w:val="00DE21B5"/>
    <w:rsid w:val="00DE230A"/>
    <w:rsid w:val="00DE26F2"/>
    <w:rsid w:val="00DE3106"/>
    <w:rsid w:val="00DE3389"/>
    <w:rsid w:val="00DE3B73"/>
    <w:rsid w:val="00DE4001"/>
    <w:rsid w:val="00DE489B"/>
    <w:rsid w:val="00DE48EF"/>
    <w:rsid w:val="00DE4EF2"/>
    <w:rsid w:val="00DE5052"/>
    <w:rsid w:val="00DE5A31"/>
    <w:rsid w:val="00DE644D"/>
    <w:rsid w:val="00DF30EB"/>
    <w:rsid w:val="00DF4739"/>
    <w:rsid w:val="00DF65DF"/>
    <w:rsid w:val="00DF6F5A"/>
    <w:rsid w:val="00DF70AE"/>
    <w:rsid w:val="00E00268"/>
    <w:rsid w:val="00E007DC"/>
    <w:rsid w:val="00E0175F"/>
    <w:rsid w:val="00E01D5F"/>
    <w:rsid w:val="00E01F9D"/>
    <w:rsid w:val="00E02652"/>
    <w:rsid w:val="00E02F76"/>
    <w:rsid w:val="00E03A7D"/>
    <w:rsid w:val="00E050F3"/>
    <w:rsid w:val="00E052A9"/>
    <w:rsid w:val="00E05895"/>
    <w:rsid w:val="00E0639C"/>
    <w:rsid w:val="00E06628"/>
    <w:rsid w:val="00E06E19"/>
    <w:rsid w:val="00E07C8E"/>
    <w:rsid w:val="00E10726"/>
    <w:rsid w:val="00E11996"/>
    <w:rsid w:val="00E11F7B"/>
    <w:rsid w:val="00E13A0F"/>
    <w:rsid w:val="00E143FD"/>
    <w:rsid w:val="00E14C4D"/>
    <w:rsid w:val="00E1696D"/>
    <w:rsid w:val="00E170AA"/>
    <w:rsid w:val="00E1750A"/>
    <w:rsid w:val="00E2178E"/>
    <w:rsid w:val="00E230A0"/>
    <w:rsid w:val="00E2347D"/>
    <w:rsid w:val="00E2447E"/>
    <w:rsid w:val="00E249EF"/>
    <w:rsid w:val="00E25862"/>
    <w:rsid w:val="00E26954"/>
    <w:rsid w:val="00E26CB6"/>
    <w:rsid w:val="00E274D8"/>
    <w:rsid w:val="00E27969"/>
    <w:rsid w:val="00E32046"/>
    <w:rsid w:val="00E32DA2"/>
    <w:rsid w:val="00E32F4D"/>
    <w:rsid w:val="00E33BF7"/>
    <w:rsid w:val="00E340D7"/>
    <w:rsid w:val="00E35DE1"/>
    <w:rsid w:val="00E35F88"/>
    <w:rsid w:val="00E36728"/>
    <w:rsid w:val="00E37B58"/>
    <w:rsid w:val="00E37FEA"/>
    <w:rsid w:val="00E4095F"/>
    <w:rsid w:val="00E4198D"/>
    <w:rsid w:val="00E41A58"/>
    <w:rsid w:val="00E41E4F"/>
    <w:rsid w:val="00E42A4D"/>
    <w:rsid w:val="00E43CD2"/>
    <w:rsid w:val="00E440D2"/>
    <w:rsid w:val="00E45961"/>
    <w:rsid w:val="00E45B9B"/>
    <w:rsid w:val="00E45F52"/>
    <w:rsid w:val="00E46936"/>
    <w:rsid w:val="00E47B54"/>
    <w:rsid w:val="00E47CCD"/>
    <w:rsid w:val="00E509EA"/>
    <w:rsid w:val="00E50E79"/>
    <w:rsid w:val="00E53E55"/>
    <w:rsid w:val="00E543B2"/>
    <w:rsid w:val="00E54B05"/>
    <w:rsid w:val="00E55589"/>
    <w:rsid w:val="00E60B53"/>
    <w:rsid w:val="00E60C82"/>
    <w:rsid w:val="00E61840"/>
    <w:rsid w:val="00E62525"/>
    <w:rsid w:val="00E62B7E"/>
    <w:rsid w:val="00E6335C"/>
    <w:rsid w:val="00E6373B"/>
    <w:rsid w:val="00E63DC8"/>
    <w:rsid w:val="00E645F5"/>
    <w:rsid w:val="00E64ADB"/>
    <w:rsid w:val="00E66040"/>
    <w:rsid w:val="00E6616A"/>
    <w:rsid w:val="00E661B2"/>
    <w:rsid w:val="00E67F16"/>
    <w:rsid w:val="00E70AB0"/>
    <w:rsid w:val="00E70D08"/>
    <w:rsid w:val="00E721D9"/>
    <w:rsid w:val="00E72618"/>
    <w:rsid w:val="00E73F4B"/>
    <w:rsid w:val="00E74C2C"/>
    <w:rsid w:val="00E75993"/>
    <w:rsid w:val="00E80172"/>
    <w:rsid w:val="00E80304"/>
    <w:rsid w:val="00E804CC"/>
    <w:rsid w:val="00E81DB9"/>
    <w:rsid w:val="00E81F69"/>
    <w:rsid w:val="00E822F7"/>
    <w:rsid w:val="00E8231C"/>
    <w:rsid w:val="00E8262F"/>
    <w:rsid w:val="00E84C8E"/>
    <w:rsid w:val="00E85358"/>
    <w:rsid w:val="00E863C1"/>
    <w:rsid w:val="00E86518"/>
    <w:rsid w:val="00E86638"/>
    <w:rsid w:val="00E871FE"/>
    <w:rsid w:val="00E87B6C"/>
    <w:rsid w:val="00E909DE"/>
    <w:rsid w:val="00E90A45"/>
    <w:rsid w:val="00E92C04"/>
    <w:rsid w:val="00E93AB5"/>
    <w:rsid w:val="00E956CE"/>
    <w:rsid w:val="00E96A85"/>
    <w:rsid w:val="00E9758A"/>
    <w:rsid w:val="00E9791D"/>
    <w:rsid w:val="00E979E9"/>
    <w:rsid w:val="00E97A21"/>
    <w:rsid w:val="00E97CD2"/>
    <w:rsid w:val="00EA050A"/>
    <w:rsid w:val="00EA0BAB"/>
    <w:rsid w:val="00EA0FDF"/>
    <w:rsid w:val="00EA11F0"/>
    <w:rsid w:val="00EA1973"/>
    <w:rsid w:val="00EA28E5"/>
    <w:rsid w:val="00EA3FEF"/>
    <w:rsid w:val="00EA4108"/>
    <w:rsid w:val="00EA419C"/>
    <w:rsid w:val="00EA56D1"/>
    <w:rsid w:val="00EB154B"/>
    <w:rsid w:val="00EB1DBE"/>
    <w:rsid w:val="00EB22CD"/>
    <w:rsid w:val="00EB5013"/>
    <w:rsid w:val="00EB52AC"/>
    <w:rsid w:val="00EB5804"/>
    <w:rsid w:val="00EB5C9A"/>
    <w:rsid w:val="00EB6224"/>
    <w:rsid w:val="00EB62C2"/>
    <w:rsid w:val="00EB663A"/>
    <w:rsid w:val="00EB6DEA"/>
    <w:rsid w:val="00EB6E04"/>
    <w:rsid w:val="00EB7528"/>
    <w:rsid w:val="00EB7CE1"/>
    <w:rsid w:val="00EC036E"/>
    <w:rsid w:val="00EC0513"/>
    <w:rsid w:val="00EC0B74"/>
    <w:rsid w:val="00EC19AE"/>
    <w:rsid w:val="00EC3749"/>
    <w:rsid w:val="00EC5046"/>
    <w:rsid w:val="00EC5080"/>
    <w:rsid w:val="00EC53E0"/>
    <w:rsid w:val="00EC57C6"/>
    <w:rsid w:val="00EC5B2A"/>
    <w:rsid w:val="00EC5FA2"/>
    <w:rsid w:val="00EC7A10"/>
    <w:rsid w:val="00ED05AC"/>
    <w:rsid w:val="00ED1956"/>
    <w:rsid w:val="00ED436E"/>
    <w:rsid w:val="00ED4629"/>
    <w:rsid w:val="00ED52BC"/>
    <w:rsid w:val="00ED55F7"/>
    <w:rsid w:val="00ED66A4"/>
    <w:rsid w:val="00ED78AD"/>
    <w:rsid w:val="00ED7C8E"/>
    <w:rsid w:val="00EE0B9D"/>
    <w:rsid w:val="00EE2205"/>
    <w:rsid w:val="00EE2BDA"/>
    <w:rsid w:val="00EE34F2"/>
    <w:rsid w:val="00EE51BC"/>
    <w:rsid w:val="00EE5691"/>
    <w:rsid w:val="00EE5E64"/>
    <w:rsid w:val="00EE63B4"/>
    <w:rsid w:val="00EE7A06"/>
    <w:rsid w:val="00EF0C0C"/>
    <w:rsid w:val="00EF0DA4"/>
    <w:rsid w:val="00EF134E"/>
    <w:rsid w:val="00EF1BBD"/>
    <w:rsid w:val="00EF36D2"/>
    <w:rsid w:val="00EF3B99"/>
    <w:rsid w:val="00EF3F40"/>
    <w:rsid w:val="00EF4251"/>
    <w:rsid w:val="00EF7218"/>
    <w:rsid w:val="00F006CF"/>
    <w:rsid w:val="00F00A38"/>
    <w:rsid w:val="00F015E6"/>
    <w:rsid w:val="00F02411"/>
    <w:rsid w:val="00F0322C"/>
    <w:rsid w:val="00F0398B"/>
    <w:rsid w:val="00F052D1"/>
    <w:rsid w:val="00F07E87"/>
    <w:rsid w:val="00F1041F"/>
    <w:rsid w:val="00F1062E"/>
    <w:rsid w:val="00F11185"/>
    <w:rsid w:val="00F117D1"/>
    <w:rsid w:val="00F12D77"/>
    <w:rsid w:val="00F12EA3"/>
    <w:rsid w:val="00F1398C"/>
    <w:rsid w:val="00F14306"/>
    <w:rsid w:val="00F1455C"/>
    <w:rsid w:val="00F14B07"/>
    <w:rsid w:val="00F14E33"/>
    <w:rsid w:val="00F177C6"/>
    <w:rsid w:val="00F20F1C"/>
    <w:rsid w:val="00F215C7"/>
    <w:rsid w:val="00F21687"/>
    <w:rsid w:val="00F2228C"/>
    <w:rsid w:val="00F22648"/>
    <w:rsid w:val="00F22876"/>
    <w:rsid w:val="00F249CD"/>
    <w:rsid w:val="00F26B14"/>
    <w:rsid w:val="00F271B3"/>
    <w:rsid w:val="00F27D65"/>
    <w:rsid w:val="00F30076"/>
    <w:rsid w:val="00F315FD"/>
    <w:rsid w:val="00F325B9"/>
    <w:rsid w:val="00F32D09"/>
    <w:rsid w:val="00F3521D"/>
    <w:rsid w:val="00F356CE"/>
    <w:rsid w:val="00F358AF"/>
    <w:rsid w:val="00F36308"/>
    <w:rsid w:val="00F367EC"/>
    <w:rsid w:val="00F36F98"/>
    <w:rsid w:val="00F423F0"/>
    <w:rsid w:val="00F4393C"/>
    <w:rsid w:val="00F44299"/>
    <w:rsid w:val="00F45359"/>
    <w:rsid w:val="00F46113"/>
    <w:rsid w:val="00F463F5"/>
    <w:rsid w:val="00F47628"/>
    <w:rsid w:val="00F47A9F"/>
    <w:rsid w:val="00F50709"/>
    <w:rsid w:val="00F513FD"/>
    <w:rsid w:val="00F525AD"/>
    <w:rsid w:val="00F52DF6"/>
    <w:rsid w:val="00F52FC6"/>
    <w:rsid w:val="00F535E7"/>
    <w:rsid w:val="00F5381F"/>
    <w:rsid w:val="00F5524C"/>
    <w:rsid w:val="00F5604A"/>
    <w:rsid w:val="00F56546"/>
    <w:rsid w:val="00F56641"/>
    <w:rsid w:val="00F56956"/>
    <w:rsid w:val="00F57636"/>
    <w:rsid w:val="00F57838"/>
    <w:rsid w:val="00F57ED1"/>
    <w:rsid w:val="00F60315"/>
    <w:rsid w:val="00F60F37"/>
    <w:rsid w:val="00F61095"/>
    <w:rsid w:val="00F61378"/>
    <w:rsid w:val="00F61E1E"/>
    <w:rsid w:val="00F620A2"/>
    <w:rsid w:val="00F63080"/>
    <w:rsid w:val="00F63BA7"/>
    <w:rsid w:val="00F65282"/>
    <w:rsid w:val="00F65304"/>
    <w:rsid w:val="00F65BB7"/>
    <w:rsid w:val="00F66294"/>
    <w:rsid w:val="00F66830"/>
    <w:rsid w:val="00F67634"/>
    <w:rsid w:val="00F70643"/>
    <w:rsid w:val="00F713CE"/>
    <w:rsid w:val="00F71DF2"/>
    <w:rsid w:val="00F72178"/>
    <w:rsid w:val="00F72CE7"/>
    <w:rsid w:val="00F73BBA"/>
    <w:rsid w:val="00F753F4"/>
    <w:rsid w:val="00F75FD2"/>
    <w:rsid w:val="00F777C7"/>
    <w:rsid w:val="00F800B6"/>
    <w:rsid w:val="00F8071F"/>
    <w:rsid w:val="00F80886"/>
    <w:rsid w:val="00F81089"/>
    <w:rsid w:val="00F811F8"/>
    <w:rsid w:val="00F823AE"/>
    <w:rsid w:val="00F84B2D"/>
    <w:rsid w:val="00F85D06"/>
    <w:rsid w:val="00F85F2F"/>
    <w:rsid w:val="00F85FAF"/>
    <w:rsid w:val="00F86360"/>
    <w:rsid w:val="00F87E46"/>
    <w:rsid w:val="00F913DC"/>
    <w:rsid w:val="00F9145F"/>
    <w:rsid w:val="00F91E30"/>
    <w:rsid w:val="00F93400"/>
    <w:rsid w:val="00F93B5F"/>
    <w:rsid w:val="00F942C9"/>
    <w:rsid w:val="00F94369"/>
    <w:rsid w:val="00F9591C"/>
    <w:rsid w:val="00FA3858"/>
    <w:rsid w:val="00FA3865"/>
    <w:rsid w:val="00FA46C8"/>
    <w:rsid w:val="00FA4E19"/>
    <w:rsid w:val="00FA610E"/>
    <w:rsid w:val="00FA6E69"/>
    <w:rsid w:val="00FA77E4"/>
    <w:rsid w:val="00FA7DAE"/>
    <w:rsid w:val="00FB08AF"/>
    <w:rsid w:val="00FB1578"/>
    <w:rsid w:val="00FB199D"/>
    <w:rsid w:val="00FB1C26"/>
    <w:rsid w:val="00FB1D44"/>
    <w:rsid w:val="00FB25EE"/>
    <w:rsid w:val="00FB2B1A"/>
    <w:rsid w:val="00FB2CD7"/>
    <w:rsid w:val="00FB2E7B"/>
    <w:rsid w:val="00FB4490"/>
    <w:rsid w:val="00FB4960"/>
    <w:rsid w:val="00FB523F"/>
    <w:rsid w:val="00FB5258"/>
    <w:rsid w:val="00FB5522"/>
    <w:rsid w:val="00FB5985"/>
    <w:rsid w:val="00FB6A25"/>
    <w:rsid w:val="00FC019F"/>
    <w:rsid w:val="00FC0624"/>
    <w:rsid w:val="00FC063F"/>
    <w:rsid w:val="00FC0B81"/>
    <w:rsid w:val="00FC1030"/>
    <w:rsid w:val="00FC11E0"/>
    <w:rsid w:val="00FC1379"/>
    <w:rsid w:val="00FC1715"/>
    <w:rsid w:val="00FC20DD"/>
    <w:rsid w:val="00FC371D"/>
    <w:rsid w:val="00FC41EC"/>
    <w:rsid w:val="00FC4D06"/>
    <w:rsid w:val="00FC6662"/>
    <w:rsid w:val="00FC6D7A"/>
    <w:rsid w:val="00FC7D64"/>
    <w:rsid w:val="00FC7E0D"/>
    <w:rsid w:val="00FD0043"/>
    <w:rsid w:val="00FD0193"/>
    <w:rsid w:val="00FD0FAA"/>
    <w:rsid w:val="00FD16F5"/>
    <w:rsid w:val="00FD239F"/>
    <w:rsid w:val="00FD35F5"/>
    <w:rsid w:val="00FD37B7"/>
    <w:rsid w:val="00FD380B"/>
    <w:rsid w:val="00FD3883"/>
    <w:rsid w:val="00FD43BF"/>
    <w:rsid w:val="00FD457C"/>
    <w:rsid w:val="00FD54FC"/>
    <w:rsid w:val="00FD5ABD"/>
    <w:rsid w:val="00FD6257"/>
    <w:rsid w:val="00FD6CCB"/>
    <w:rsid w:val="00FD6D27"/>
    <w:rsid w:val="00FD7524"/>
    <w:rsid w:val="00FD7960"/>
    <w:rsid w:val="00FD7E66"/>
    <w:rsid w:val="00FD7FB3"/>
    <w:rsid w:val="00FE052A"/>
    <w:rsid w:val="00FE219F"/>
    <w:rsid w:val="00FE21F5"/>
    <w:rsid w:val="00FE30C1"/>
    <w:rsid w:val="00FE3BD8"/>
    <w:rsid w:val="00FE43D5"/>
    <w:rsid w:val="00FE4AE0"/>
    <w:rsid w:val="00FE4D22"/>
    <w:rsid w:val="00FE54F4"/>
    <w:rsid w:val="00FE656D"/>
    <w:rsid w:val="00FE6995"/>
    <w:rsid w:val="00FE69AC"/>
    <w:rsid w:val="00FE6CFB"/>
    <w:rsid w:val="00FE74A3"/>
    <w:rsid w:val="00FF0040"/>
    <w:rsid w:val="00FF0E1F"/>
    <w:rsid w:val="00FF1422"/>
    <w:rsid w:val="00FF208F"/>
    <w:rsid w:val="00FF2658"/>
    <w:rsid w:val="00FF2D0E"/>
    <w:rsid w:val="00FF36A5"/>
    <w:rsid w:val="00FF3B3B"/>
    <w:rsid w:val="00FF655D"/>
    <w:rsid w:val="00FF75CC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129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mt-MT" w:eastAsia="en-GB" w:bidi="ne-NP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1" w:unhideWhenUsed="1"/>
    <w:lsdException w:name="endnote text" w:locked="1" w:semiHidden="1" w:uiPriority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E8E"/>
    <w:pPr>
      <w:spacing w:before="120" w:after="120"/>
      <w:jc w:val="both"/>
    </w:pPr>
    <w:rPr>
      <w:rFonts w:ascii="Verdana" w:eastAsia="Times New Roman" w:hAnsi="Verdana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autoRedefine/>
    <w:qFormat/>
    <w:rsid w:val="005A6305"/>
    <w:pPr>
      <w:keepNext/>
      <w:autoSpaceDE w:val="0"/>
      <w:autoSpaceDN w:val="0"/>
      <w:adjustRightInd w:val="0"/>
      <w:spacing w:before="0" w:after="0"/>
      <w:jc w:val="left"/>
      <w:outlineLvl w:val="0"/>
    </w:pPr>
    <w:rPr>
      <w:rFonts w:eastAsia="Arial"/>
      <w:b/>
      <w:szCs w:val="20"/>
      <w:u w:val="single"/>
      <w:lang w:eastAsia="x-none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1E5A75"/>
    <w:pPr>
      <w:keepNext/>
      <w:spacing w:before="240"/>
      <w:outlineLvl w:val="1"/>
    </w:pPr>
    <w:rPr>
      <w:rFonts w:eastAsia="Arial"/>
      <w:b/>
      <w:sz w:val="24"/>
      <w:u w:val="single"/>
      <w:lang w:eastAsia="x-none"/>
    </w:rPr>
  </w:style>
  <w:style w:type="paragraph" w:styleId="Heading3">
    <w:name w:val="heading 3"/>
    <w:basedOn w:val="Normal"/>
    <w:next w:val="Normal"/>
    <w:link w:val="Heading3Char1"/>
    <w:autoRedefine/>
    <w:uiPriority w:val="99"/>
    <w:qFormat/>
    <w:rsid w:val="001E5A75"/>
    <w:pPr>
      <w:keepNext/>
      <w:spacing w:before="180"/>
      <w:outlineLvl w:val="2"/>
    </w:pPr>
    <w:rPr>
      <w:rFonts w:ascii="Arial" w:eastAsia="Arial" w:hAnsi="Arial"/>
      <w:b/>
      <w:szCs w:val="20"/>
      <w:lang w:eastAsia="de-DE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DE0962"/>
    <w:pPr>
      <w:keepNext/>
      <w:numPr>
        <w:numId w:val="17"/>
      </w:numPr>
      <w:spacing w:before="160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autoRedefine/>
    <w:uiPriority w:val="1"/>
    <w:qFormat/>
    <w:rsid w:val="001E5A75"/>
    <w:pPr>
      <w:keepNext/>
      <w:spacing w:before="140"/>
      <w:outlineLvl w:val="4"/>
    </w:pPr>
    <w:rPr>
      <w:rFonts w:ascii="Arial" w:eastAsia="Arial" w:hAnsi="Arial"/>
      <w:b/>
      <w:i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1E5A75"/>
    <w:pPr>
      <w:spacing w:before="240" w:after="60"/>
      <w:outlineLvl w:val="5"/>
    </w:pPr>
    <w:rPr>
      <w:rFonts w:ascii="Times New Roman" w:eastAsia="Arial" w:hAnsi="Times New Roman"/>
      <w:b/>
      <w:bCs/>
      <w:szCs w:val="20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1E5A75"/>
    <w:pPr>
      <w:spacing w:before="240" w:after="60"/>
      <w:outlineLvl w:val="6"/>
    </w:pPr>
    <w:rPr>
      <w:rFonts w:ascii="Times New Roman" w:eastAsia="Arial" w:hAnsi="Times New Roman"/>
      <w:szCs w:val="20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1E5A75"/>
    <w:pPr>
      <w:spacing w:before="240" w:after="60"/>
      <w:outlineLvl w:val="7"/>
    </w:pPr>
    <w:rPr>
      <w:rFonts w:ascii="Times New Roman" w:eastAsia="Arial" w:hAnsi="Times New Roman"/>
      <w:i/>
      <w:iCs/>
      <w:szCs w:val="20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1E5A75"/>
    <w:pPr>
      <w:spacing w:before="240" w:after="60"/>
      <w:outlineLvl w:val="8"/>
    </w:pPr>
    <w:rPr>
      <w:rFonts w:ascii="Arial" w:eastAsia="Arial" w:hAnsi="Arial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A6305"/>
    <w:rPr>
      <w:rFonts w:ascii="Verdana" w:hAnsi="Verdana" w:cs="Times New Roman"/>
      <w:b/>
      <w:sz w:val="20"/>
      <w:szCs w:val="20"/>
      <w:u w:val="single"/>
      <w:lang w:val="mt-MT"/>
    </w:rPr>
  </w:style>
  <w:style w:type="character" w:customStyle="1" w:styleId="Heading2Char">
    <w:name w:val="Heading 2 Char"/>
    <w:link w:val="Heading2"/>
    <w:uiPriority w:val="99"/>
    <w:locked/>
    <w:rsid w:val="00EC5046"/>
    <w:rPr>
      <w:rFonts w:ascii="Verdana" w:hAnsi="Verdana" w:cs="Times New Roman"/>
      <w:b/>
      <w:sz w:val="24"/>
      <w:szCs w:val="24"/>
      <w:u w:val="single"/>
      <w:lang w:val="mt-MT"/>
    </w:rPr>
  </w:style>
  <w:style w:type="character" w:customStyle="1" w:styleId="Heading3Char">
    <w:name w:val="Heading 3 Char"/>
    <w:uiPriority w:val="99"/>
    <w:locked/>
    <w:rsid w:val="00884FEB"/>
    <w:rPr>
      <w:rFonts w:cs="Times New Roman"/>
      <w:sz w:val="24"/>
      <w:szCs w:val="24"/>
      <w:lang w:val="mt-MT" w:eastAsia="en-US"/>
    </w:rPr>
  </w:style>
  <w:style w:type="character" w:customStyle="1" w:styleId="Heading4Char">
    <w:name w:val="Heading 4 Char"/>
    <w:link w:val="Heading4"/>
    <w:uiPriority w:val="99"/>
    <w:locked/>
    <w:rsid w:val="00DE0962"/>
    <w:rPr>
      <w:rFonts w:ascii="Verdana" w:eastAsia="Times New Roman" w:hAnsi="Verdana"/>
      <w:b/>
      <w:szCs w:val="24"/>
      <w:u w:val="single"/>
      <w:lang w:eastAsia="en-US" w:bidi="ar-SA"/>
    </w:rPr>
  </w:style>
  <w:style w:type="character" w:customStyle="1" w:styleId="Heading5Char">
    <w:name w:val="Heading 5 Char"/>
    <w:link w:val="Heading5"/>
    <w:uiPriority w:val="1"/>
    <w:locked/>
    <w:rsid w:val="001E5A75"/>
    <w:rPr>
      <w:rFonts w:ascii="Arial" w:hAnsi="Arial" w:cs="Times New Roman"/>
      <w:b/>
      <w:i/>
      <w:sz w:val="20"/>
      <w:szCs w:val="20"/>
      <w:lang w:eastAsia="de-DE"/>
    </w:rPr>
  </w:style>
  <w:style w:type="character" w:customStyle="1" w:styleId="Heading6Char">
    <w:name w:val="Heading 6 Char"/>
    <w:link w:val="Heading6"/>
    <w:semiHidden/>
    <w:locked/>
    <w:rsid w:val="001E5A75"/>
    <w:rPr>
      <w:rFonts w:ascii="Times New Roman" w:hAnsi="Times New Roman" w:cs="Times New Roman"/>
      <w:b/>
      <w:bCs/>
      <w:lang w:eastAsia="de-DE"/>
    </w:rPr>
  </w:style>
  <w:style w:type="character" w:customStyle="1" w:styleId="Heading7Char">
    <w:name w:val="Heading 7 Char"/>
    <w:link w:val="Heading7"/>
    <w:semiHidden/>
    <w:locked/>
    <w:rsid w:val="001E5A75"/>
    <w:rPr>
      <w:rFonts w:ascii="Times New Roman" w:hAnsi="Times New Roman" w:cs="Times New Roman"/>
      <w:sz w:val="20"/>
      <w:szCs w:val="20"/>
      <w:lang w:eastAsia="de-DE"/>
    </w:rPr>
  </w:style>
  <w:style w:type="character" w:customStyle="1" w:styleId="Heading8Char">
    <w:name w:val="Heading 8 Char"/>
    <w:link w:val="Heading8"/>
    <w:semiHidden/>
    <w:locked/>
    <w:rsid w:val="001E5A75"/>
    <w:rPr>
      <w:rFonts w:ascii="Times New Roman" w:hAnsi="Times New Roman" w:cs="Times New Roman"/>
      <w:i/>
      <w:iCs/>
      <w:sz w:val="20"/>
      <w:szCs w:val="20"/>
      <w:lang w:eastAsia="de-DE"/>
    </w:rPr>
  </w:style>
  <w:style w:type="character" w:customStyle="1" w:styleId="Heading9Char">
    <w:name w:val="Heading 9 Char"/>
    <w:link w:val="Heading9"/>
    <w:semiHidden/>
    <w:locked/>
    <w:rsid w:val="001E5A75"/>
    <w:rPr>
      <w:rFonts w:ascii="Arial" w:hAnsi="Arial" w:cs="Arial"/>
      <w:lang w:eastAsia="de-DE"/>
    </w:rPr>
  </w:style>
  <w:style w:type="paragraph" w:styleId="TableofFigures">
    <w:name w:val="table of figures"/>
    <w:basedOn w:val="Normal"/>
    <w:next w:val="Normal"/>
    <w:semiHidden/>
    <w:rsid w:val="001E5A75"/>
    <w:pPr>
      <w:ind w:left="440" w:hanging="440"/>
    </w:pPr>
  </w:style>
  <w:style w:type="paragraph" w:customStyle="1" w:styleId="Aufzhlungszeichen1">
    <w:name w:val="Aufzählungszeichen1"/>
    <w:basedOn w:val="Normal"/>
    <w:uiPriority w:val="1"/>
    <w:qFormat/>
    <w:rsid w:val="001E5A75"/>
    <w:pPr>
      <w:numPr>
        <w:numId w:val="1"/>
      </w:numPr>
      <w:spacing w:line="240" w:lineRule="exact"/>
    </w:pPr>
  </w:style>
  <w:style w:type="paragraph" w:customStyle="1" w:styleId="Aufzhlungszeichen2">
    <w:name w:val="Aufzählungszeichen2"/>
    <w:basedOn w:val="Normal"/>
    <w:uiPriority w:val="1"/>
    <w:qFormat/>
    <w:rsid w:val="001E5A75"/>
    <w:pPr>
      <w:numPr>
        <w:numId w:val="2"/>
      </w:numPr>
      <w:spacing w:line="240" w:lineRule="exact"/>
    </w:pPr>
  </w:style>
  <w:style w:type="paragraph" w:customStyle="1" w:styleId="Aufzhlungszeichen3">
    <w:name w:val="Aufzählungszeichen3"/>
    <w:basedOn w:val="Normal"/>
    <w:uiPriority w:val="1"/>
    <w:qFormat/>
    <w:rsid w:val="001E5A75"/>
    <w:pPr>
      <w:numPr>
        <w:numId w:val="3"/>
      </w:numPr>
      <w:spacing w:line="240" w:lineRule="exact"/>
    </w:pPr>
  </w:style>
  <w:style w:type="paragraph" w:customStyle="1" w:styleId="Aufzhlungszeichen4">
    <w:name w:val="Aufzählungszeichen4"/>
    <w:basedOn w:val="Normal"/>
    <w:uiPriority w:val="1"/>
    <w:qFormat/>
    <w:rsid w:val="001E5A75"/>
    <w:pPr>
      <w:numPr>
        <w:numId w:val="4"/>
      </w:numPr>
      <w:spacing w:line="240" w:lineRule="exact"/>
    </w:pPr>
  </w:style>
  <w:style w:type="paragraph" w:styleId="FootnoteText">
    <w:name w:val="footnote text"/>
    <w:basedOn w:val="Normal"/>
    <w:link w:val="FootnoteTextChar"/>
    <w:rsid w:val="00C2636B"/>
    <w:pPr>
      <w:spacing w:line="180" w:lineRule="exact"/>
      <w:ind w:left="142" w:hanging="142"/>
    </w:pPr>
    <w:rPr>
      <w:rFonts w:ascii="Arial" w:eastAsia="Arial" w:hAnsi="Arial"/>
      <w:sz w:val="16"/>
      <w:szCs w:val="16"/>
      <w:lang w:eastAsia="de-DE"/>
    </w:rPr>
  </w:style>
  <w:style w:type="character" w:customStyle="1" w:styleId="FootnoteTextChar">
    <w:name w:val="Footnote Text Char"/>
    <w:link w:val="FootnoteText"/>
    <w:locked/>
    <w:rsid w:val="00C2636B"/>
    <w:rPr>
      <w:rFonts w:ascii="Arial" w:hAnsi="Arial" w:cs="Times New Roman"/>
      <w:sz w:val="16"/>
      <w:szCs w:val="16"/>
      <w:lang w:eastAsia="de-DE"/>
    </w:rPr>
  </w:style>
  <w:style w:type="character" w:styleId="FootnoteReference">
    <w:name w:val="footnote reference"/>
    <w:rsid w:val="001E5A75"/>
    <w:rPr>
      <w:rFonts w:ascii="Arial" w:hAnsi="Arial" w:cs="Times New Roman"/>
      <w:kern w:val="0"/>
      <w:position w:val="4"/>
      <w:sz w:val="12"/>
      <w:szCs w:val="12"/>
      <w:vertAlign w:val="baseline"/>
    </w:rPr>
  </w:style>
  <w:style w:type="paragraph" w:styleId="Footer">
    <w:name w:val="footer"/>
    <w:basedOn w:val="Normal"/>
    <w:link w:val="FooterChar"/>
    <w:uiPriority w:val="99"/>
    <w:rsid w:val="001E5A75"/>
    <w:pPr>
      <w:tabs>
        <w:tab w:val="center" w:pos="4536"/>
        <w:tab w:val="right" w:pos="9072"/>
      </w:tabs>
    </w:pPr>
    <w:rPr>
      <w:rFonts w:ascii="Arial" w:eastAsia="Arial" w:hAnsi="Arial"/>
      <w:sz w:val="14"/>
      <w:szCs w:val="14"/>
      <w:lang w:eastAsia="de-DE"/>
    </w:rPr>
  </w:style>
  <w:style w:type="character" w:customStyle="1" w:styleId="FooterChar">
    <w:name w:val="Footer Char"/>
    <w:link w:val="Footer"/>
    <w:uiPriority w:val="99"/>
    <w:locked/>
    <w:rsid w:val="001E5A75"/>
    <w:rPr>
      <w:rFonts w:ascii="Arial" w:hAnsi="Arial" w:cs="Times New Roman"/>
      <w:sz w:val="14"/>
      <w:szCs w:val="14"/>
      <w:lang w:eastAsia="de-DE"/>
    </w:rPr>
  </w:style>
  <w:style w:type="paragraph" w:customStyle="1" w:styleId="GliederungmitAufzhlung">
    <w:name w:val="Gliederung mit Aufzählung"/>
    <w:basedOn w:val="Normal"/>
    <w:uiPriority w:val="1"/>
    <w:qFormat/>
    <w:rsid w:val="001E5A75"/>
    <w:pPr>
      <w:numPr>
        <w:numId w:val="7"/>
      </w:numPr>
      <w:spacing w:line="312" w:lineRule="auto"/>
    </w:pPr>
  </w:style>
  <w:style w:type="paragraph" w:customStyle="1" w:styleId="GliederungmitNummerierung">
    <w:name w:val="Gliederung mit Nummerierung"/>
    <w:basedOn w:val="Normal"/>
    <w:uiPriority w:val="1"/>
    <w:qFormat/>
    <w:rsid w:val="001E5A75"/>
    <w:pPr>
      <w:numPr>
        <w:numId w:val="8"/>
      </w:numPr>
      <w:spacing w:line="312" w:lineRule="auto"/>
    </w:pPr>
  </w:style>
  <w:style w:type="paragraph" w:customStyle="1" w:styleId="HngEinrckung1">
    <w:name w:val="Häng. Einrückung1"/>
    <w:basedOn w:val="Normal"/>
    <w:uiPriority w:val="1"/>
    <w:qFormat/>
    <w:rsid w:val="001E5A75"/>
    <w:pPr>
      <w:spacing w:line="312" w:lineRule="auto"/>
      <w:ind w:left="567" w:hanging="567"/>
    </w:pPr>
  </w:style>
  <w:style w:type="paragraph" w:customStyle="1" w:styleId="HngEinrckung2">
    <w:name w:val="Häng. Einrückung2"/>
    <w:basedOn w:val="Normal"/>
    <w:uiPriority w:val="1"/>
    <w:qFormat/>
    <w:rsid w:val="001E5A75"/>
    <w:pPr>
      <w:spacing w:line="312" w:lineRule="auto"/>
      <w:ind w:left="1134" w:hanging="567"/>
    </w:pPr>
  </w:style>
  <w:style w:type="paragraph" w:customStyle="1" w:styleId="HngEinrckung3">
    <w:name w:val="Häng. Einrückung3"/>
    <w:basedOn w:val="Normal"/>
    <w:uiPriority w:val="1"/>
    <w:qFormat/>
    <w:rsid w:val="001E5A75"/>
    <w:pPr>
      <w:spacing w:line="312" w:lineRule="auto"/>
      <w:ind w:left="1701" w:hanging="567"/>
    </w:pPr>
  </w:style>
  <w:style w:type="character" w:styleId="Hyperlink">
    <w:name w:val="Hyperlink"/>
    <w:uiPriority w:val="99"/>
    <w:rsid w:val="001E5A7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E5A75"/>
    <w:pPr>
      <w:tabs>
        <w:tab w:val="center" w:pos="4536"/>
        <w:tab w:val="right" w:pos="9072"/>
      </w:tabs>
    </w:pPr>
    <w:rPr>
      <w:rFonts w:ascii="Arial" w:eastAsia="Arial" w:hAnsi="Arial"/>
      <w:szCs w:val="20"/>
      <w:lang w:eastAsia="de-DE"/>
    </w:rPr>
  </w:style>
  <w:style w:type="character" w:customStyle="1" w:styleId="HeaderChar">
    <w:name w:val="Header Char"/>
    <w:link w:val="Header"/>
    <w:uiPriority w:val="99"/>
    <w:locked/>
    <w:rsid w:val="001E5A75"/>
    <w:rPr>
      <w:rFonts w:ascii="Arial" w:hAnsi="Arial" w:cs="Times New Roman"/>
      <w:sz w:val="20"/>
      <w:szCs w:val="20"/>
      <w:lang w:eastAsia="de-DE"/>
    </w:rPr>
  </w:style>
  <w:style w:type="paragraph" w:customStyle="1" w:styleId="Marginalspalte">
    <w:name w:val="Marginalspalte"/>
    <w:basedOn w:val="Normal"/>
    <w:uiPriority w:val="1"/>
    <w:qFormat/>
    <w:rsid w:val="001E5A75"/>
    <w:pPr>
      <w:framePr w:w="851" w:h="851" w:hSpace="284" w:wrap="around" w:vAnchor="text" w:hAnchor="page" w:y="1"/>
    </w:pPr>
    <w:rPr>
      <w:i/>
      <w:szCs w:val="22"/>
    </w:rPr>
  </w:style>
  <w:style w:type="paragraph" w:customStyle="1" w:styleId="Nummerierungsart1">
    <w:name w:val="Nummerierungsart1"/>
    <w:basedOn w:val="Normal"/>
    <w:uiPriority w:val="1"/>
    <w:qFormat/>
    <w:rsid w:val="001E5A75"/>
    <w:pPr>
      <w:numPr>
        <w:numId w:val="9"/>
      </w:numPr>
    </w:pPr>
  </w:style>
  <w:style w:type="paragraph" w:customStyle="1" w:styleId="Nummerierungsart2">
    <w:name w:val="Nummerierungsart2"/>
    <w:basedOn w:val="Normal"/>
    <w:uiPriority w:val="1"/>
    <w:qFormat/>
    <w:rsid w:val="001E5A75"/>
    <w:pPr>
      <w:numPr>
        <w:numId w:val="10"/>
      </w:numPr>
    </w:pPr>
  </w:style>
  <w:style w:type="paragraph" w:customStyle="1" w:styleId="Nummerierungsart3">
    <w:name w:val="Nummerierungsart3"/>
    <w:basedOn w:val="Normal"/>
    <w:uiPriority w:val="1"/>
    <w:qFormat/>
    <w:rsid w:val="001E5A75"/>
    <w:pPr>
      <w:numPr>
        <w:numId w:val="11"/>
      </w:numPr>
    </w:pPr>
  </w:style>
  <w:style w:type="paragraph" w:customStyle="1" w:styleId="Nummerierungsart4">
    <w:name w:val="Nummerierungsart4"/>
    <w:basedOn w:val="Normal"/>
    <w:uiPriority w:val="1"/>
    <w:qFormat/>
    <w:rsid w:val="001E5A75"/>
    <w:pPr>
      <w:numPr>
        <w:numId w:val="12"/>
      </w:numPr>
    </w:pPr>
  </w:style>
  <w:style w:type="character" w:styleId="PageNumber">
    <w:name w:val="page number"/>
    <w:uiPriority w:val="99"/>
    <w:rsid w:val="001E5A75"/>
    <w:rPr>
      <w:rFonts w:ascii="Arial" w:hAnsi="Arial" w:cs="Times New Roman"/>
      <w:sz w:val="22"/>
    </w:rPr>
  </w:style>
  <w:style w:type="character" w:customStyle="1" w:styleId="Heading3Char1">
    <w:name w:val="Heading 3 Char1"/>
    <w:link w:val="Heading3"/>
    <w:uiPriority w:val="99"/>
    <w:locked/>
    <w:rsid w:val="001E5A75"/>
    <w:rPr>
      <w:rFonts w:ascii="Arial" w:hAnsi="Arial" w:cs="Times New Roman"/>
      <w:b/>
      <w:sz w:val="20"/>
      <w:szCs w:val="20"/>
      <w:lang w:eastAsia="de-DE"/>
    </w:rPr>
  </w:style>
  <w:style w:type="paragraph" w:styleId="TOC1">
    <w:name w:val="toc 1"/>
    <w:basedOn w:val="Normal"/>
    <w:next w:val="Normal"/>
    <w:autoRedefine/>
    <w:uiPriority w:val="39"/>
    <w:qFormat/>
    <w:rsid w:val="001E5A75"/>
    <w:pPr>
      <w:tabs>
        <w:tab w:val="left" w:pos="794"/>
        <w:tab w:val="right" w:leader="dot" w:pos="9071"/>
      </w:tabs>
      <w:ind w:left="794" w:hanging="794"/>
    </w:pPr>
    <w:rPr>
      <w:b/>
      <w:smallCaps/>
      <w:noProof/>
      <w:sz w:val="24"/>
    </w:rPr>
  </w:style>
  <w:style w:type="paragraph" w:styleId="TOC2">
    <w:name w:val="toc 2"/>
    <w:basedOn w:val="Normal"/>
    <w:next w:val="Normal"/>
    <w:autoRedefine/>
    <w:uiPriority w:val="39"/>
    <w:qFormat/>
    <w:rsid w:val="006E126B"/>
    <w:pPr>
      <w:tabs>
        <w:tab w:val="left" w:pos="794"/>
        <w:tab w:val="right" w:leader="dot" w:pos="9071"/>
      </w:tabs>
      <w:spacing w:after="60"/>
      <w:ind w:left="794" w:hanging="794"/>
    </w:pPr>
    <w:rPr>
      <w:b/>
      <w:smallCaps/>
      <w:noProof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1E5A75"/>
    <w:pPr>
      <w:tabs>
        <w:tab w:val="left" w:pos="794"/>
        <w:tab w:val="right" w:leader="dot" w:pos="9072"/>
      </w:tabs>
      <w:spacing w:after="60"/>
      <w:ind w:left="794" w:hanging="794"/>
    </w:pPr>
    <w:rPr>
      <w:smallCaps/>
      <w:noProof/>
    </w:rPr>
  </w:style>
  <w:style w:type="paragraph" w:styleId="TOC4">
    <w:name w:val="toc 4"/>
    <w:basedOn w:val="Normal"/>
    <w:next w:val="Normal"/>
    <w:autoRedefine/>
    <w:uiPriority w:val="39"/>
    <w:rsid w:val="001E5A75"/>
    <w:pPr>
      <w:tabs>
        <w:tab w:val="left" w:pos="794"/>
        <w:tab w:val="right" w:leader="dot" w:pos="9071"/>
      </w:tabs>
      <w:spacing w:after="40"/>
      <w:ind w:left="794" w:hanging="794"/>
    </w:pPr>
    <w:rPr>
      <w:smallCaps/>
      <w:noProof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E5A75"/>
    <w:pPr>
      <w:tabs>
        <w:tab w:val="left" w:pos="794"/>
        <w:tab w:val="right" w:leader="dot" w:pos="9071"/>
      </w:tabs>
      <w:spacing w:after="40"/>
      <w:ind w:left="794" w:hanging="794"/>
    </w:pPr>
    <w:rPr>
      <w:smallCaps/>
      <w:noProof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E5A75"/>
    <w:pPr>
      <w:tabs>
        <w:tab w:val="left" w:pos="2058"/>
        <w:tab w:val="right" w:leader="dot" w:pos="9071"/>
      </w:tabs>
      <w:ind w:left="1134" w:hanging="1134"/>
    </w:pPr>
    <w:rPr>
      <w:noProof/>
      <w:sz w:val="16"/>
    </w:rPr>
  </w:style>
  <w:style w:type="paragraph" w:styleId="TOC7">
    <w:name w:val="toc 7"/>
    <w:basedOn w:val="Normal"/>
    <w:next w:val="Normal"/>
    <w:autoRedefine/>
    <w:uiPriority w:val="39"/>
    <w:rsid w:val="001E5A75"/>
    <w:pPr>
      <w:tabs>
        <w:tab w:val="right" w:leader="dot" w:pos="9071"/>
      </w:tabs>
      <w:ind w:left="1134" w:hanging="1134"/>
    </w:pPr>
    <w:rPr>
      <w:sz w:val="16"/>
    </w:rPr>
  </w:style>
  <w:style w:type="paragraph" w:styleId="TOC8">
    <w:name w:val="toc 8"/>
    <w:basedOn w:val="Normal"/>
    <w:next w:val="Normal"/>
    <w:autoRedefine/>
    <w:uiPriority w:val="39"/>
    <w:rsid w:val="001E5A75"/>
    <w:pPr>
      <w:tabs>
        <w:tab w:val="left" w:pos="2758"/>
        <w:tab w:val="right" w:leader="dot" w:pos="9071"/>
      </w:tabs>
      <w:ind w:left="1361" w:hanging="1361"/>
    </w:pPr>
    <w:rPr>
      <w:noProof/>
      <w:sz w:val="16"/>
    </w:rPr>
  </w:style>
  <w:style w:type="paragraph" w:styleId="TOC9">
    <w:name w:val="toc 9"/>
    <w:basedOn w:val="Normal"/>
    <w:next w:val="Normal"/>
    <w:autoRedefine/>
    <w:uiPriority w:val="39"/>
    <w:rsid w:val="001E5A75"/>
    <w:pPr>
      <w:tabs>
        <w:tab w:val="right" w:leader="dot" w:pos="9071"/>
      </w:tabs>
      <w:ind w:left="1361" w:hanging="1361"/>
    </w:pPr>
    <w:rPr>
      <w:sz w:val="16"/>
    </w:rPr>
  </w:style>
  <w:style w:type="paragraph" w:styleId="Quote">
    <w:name w:val="Quote"/>
    <w:basedOn w:val="Normal"/>
    <w:next w:val="Normal"/>
    <w:link w:val="QuoteChar"/>
    <w:uiPriority w:val="29"/>
    <w:qFormat/>
    <w:rsid w:val="001E5A75"/>
    <w:rPr>
      <w:rFonts w:ascii="Arial" w:eastAsia="Arial" w:hAnsi="Arial"/>
      <w:i/>
      <w:iCs/>
      <w:color w:val="000000"/>
      <w:szCs w:val="20"/>
      <w:lang w:eastAsia="de-DE"/>
    </w:rPr>
  </w:style>
  <w:style w:type="character" w:customStyle="1" w:styleId="QuoteChar">
    <w:name w:val="Quote Char"/>
    <w:link w:val="Quote"/>
    <w:uiPriority w:val="29"/>
    <w:semiHidden/>
    <w:locked/>
    <w:rsid w:val="001E5A75"/>
    <w:rPr>
      <w:rFonts w:ascii="Arial" w:hAnsi="Arial" w:cs="Times New Roman"/>
      <w:i/>
      <w:iCs/>
      <w:color w:val="000000"/>
      <w:sz w:val="20"/>
      <w:szCs w:val="20"/>
      <w:lang w:eastAsia="de-DE"/>
    </w:rPr>
  </w:style>
  <w:style w:type="paragraph" w:styleId="TOCHeading">
    <w:name w:val="TOC Heading"/>
    <w:basedOn w:val="Heading1"/>
    <w:next w:val="Normal"/>
    <w:uiPriority w:val="39"/>
    <w:qFormat/>
    <w:rsid w:val="001E5A75"/>
    <w:pPr>
      <w:keepLines/>
      <w:spacing w:before="480" w:line="311" w:lineRule="auto"/>
      <w:outlineLvl w:val="9"/>
    </w:pPr>
    <w:rPr>
      <w:rFonts w:ascii="Arial" w:hAnsi="Arial"/>
      <w:bCs/>
      <w:color w:val="4B67A3"/>
      <w:szCs w:val="28"/>
    </w:rPr>
  </w:style>
  <w:style w:type="paragraph" w:styleId="EndnoteText">
    <w:name w:val="endnote text"/>
    <w:basedOn w:val="Normal"/>
    <w:link w:val="EndnoteTextChar"/>
    <w:uiPriority w:val="1"/>
    <w:rsid w:val="001E5A75"/>
    <w:pPr>
      <w:spacing w:line="180" w:lineRule="exact"/>
      <w:ind w:left="142" w:hanging="142"/>
    </w:pPr>
    <w:rPr>
      <w:rFonts w:ascii="Arial" w:eastAsia="Arial" w:hAnsi="Arial"/>
      <w:szCs w:val="20"/>
      <w:lang w:eastAsia="de-DE"/>
    </w:rPr>
  </w:style>
  <w:style w:type="character" w:customStyle="1" w:styleId="EndnoteTextChar">
    <w:name w:val="Endnote Text Char"/>
    <w:link w:val="EndnoteText"/>
    <w:uiPriority w:val="1"/>
    <w:locked/>
    <w:rsid w:val="001E5A75"/>
    <w:rPr>
      <w:rFonts w:ascii="Arial" w:hAnsi="Arial" w:cs="Times New Roman"/>
      <w:sz w:val="20"/>
      <w:szCs w:val="20"/>
      <w:lang w:eastAsia="de-DE"/>
    </w:rPr>
  </w:style>
  <w:style w:type="character" w:styleId="EndnoteReference">
    <w:name w:val="endnote reference"/>
    <w:uiPriority w:val="1"/>
    <w:rsid w:val="001E5A75"/>
    <w:rPr>
      <w:rFonts w:ascii="Arial" w:hAnsi="Arial" w:cs="Times New Roman"/>
      <w:color w:val="auto"/>
      <w:position w:val="4"/>
      <w:sz w:val="12"/>
      <w:vertAlign w:val="baseline"/>
    </w:rPr>
  </w:style>
  <w:style w:type="paragraph" w:customStyle="1" w:styleId="Ballontekst">
    <w:name w:val="Ballontekst"/>
    <w:basedOn w:val="Normal"/>
    <w:uiPriority w:val="99"/>
    <w:semiHidden/>
    <w:rsid w:val="00884FE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884F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84FEB"/>
    <w:rPr>
      <w:rFonts w:eastAsia="Arial"/>
      <w:szCs w:val="20"/>
      <w:lang w:eastAsia="x-none"/>
    </w:rPr>
  </w:style>
  <w:style w:type="character" w:customStyle="1" w:styleId="CommentTextChar">
    <w:name w:val="Comment Text Char"/>
    <w:link w:val="CommentText"/>
    <w:locked/>
    <w:rsid w:val="00884FEB"/>
    <w:rPr>
      <w:rFonts w:ascii="Verdana" w:hAnsi="Verdana" w:cs="Times New Roman"/>
      <w:sz w:val="20"/>
      <w:szCs w:val="20"/>
      <w:lang w:val="mt-MT"/>
    </w:rPr>
  </w:style>
  <w:style w:type="paragraph" w:customStyle="1" w:styleId="Onderwerpvanopmerking">
    <w:name w:val="Onderwerp van opmerking"/>
    <w:basedOn w:val="CommentText"/>
    <w:next w:val="CommentText"/>
    <w:uiPriority w:val="99"/>
    <w:semiHidden/>
    <w:rsid w:val="00884FEB"/>
    <w:rPr>
      <w:b/>
      <w:bCs/>
    </w:rPr>
  </w:style>
  <w:style w:type="character" w:styleId="FollowedHyperlink">
    <w:name w:val="FollowedHyperlink"/>
    <w:uiPriority w:val="99"/>
    <w:rsid w:val="00884FEB"/>
    <w:rPr>
      <w:rFonts w:cs="Times New Roman"/>
      <w:color w:val="606420"/>
      <w:u w:val="single"/>
    </w:rPr>
  </w:style>
  <w:style w:type="paragraph" w:styleId="BalloonText">
    <w:name w:val="Balloon Text"/>
    <w:basedOn w:val="Normal"/>
    <w:link w:val="BalloonTextChar"/>
    <w:uiPriority w:val="99"/>
    <w:rsid w:val="00884FEB"/>
    <w:rPr>
      <w:rFonts w:ascii="Tahoma" w:eastAsia="Arial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locked/>
    <w:rsid w:val="00884FEB"/>
    <w:rPr>
      <w:rFonts w:ascii="Tahoma" w:hAnsi="Tahoma" w:cs="Tahoma"/>
      <w:sz w:val="16"/>
      <w:szCs w:val="16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84FEB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884FEB"/>
    <w:rPr>
      <w:rFonts w:ascii="Verdana" w:hAnsi="Verdana" w:cs="Times New Roman"/>
      <w:b/>
      <w:bCs/>
      <w:sz w:val="20"/>
      <w:szCs w:val="20"/>
      <w:lang w:val="mt-MT"/>
    </w:rPr>
  </w:style>
  <w:style w:type="table" w:styleId="TableGrid">
    <w:name w:val="Table Grid"/>
    <w:aliases w:val="Tabla CUADROS"/>
    <w:basedOn w:val="TableNormal"/>
    <w:uiPriority w:val="59"/>
    <w:rsid w:val="00884FE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berschrift4">
    <w:name w:val="Formatvorlage Überschrift 4"/>
    <w:basedOn w:val="Heading4"/>
    <w:link w:val="Formatvorlageberschrift4Char"/>
    <w:uiPriority w:val="99"/>
    <w:rsid w:val="00884FEB"/>
    <w:pPr>
      <w:spacing w:before="240" w:after="60"/>
    </w:pPr>
    <w:rPr>
      <w:iCs/>
      <w:szCs w:val="28"/>
    </w:rPr>
  </w:style>
  <w:style w:type="character" w:customStyle="1" w:styleId="Formatvorlageberschrift4Char">
    <w:name w:val="Formatvorlage Überschrift 4 Char"/>
    <w:link w:val="Formatvorlageberschrift4"/>
    <w:uiPriority w:val="99"/>
    <w:locked/>
    <w:rsid w:val="00884FEB"/>
    <w:rPr>
      <w:rFonts w:ascii="Verdana" w:eastAsia="Times New Roman" w:hAnsi="Verdana"/>
      <w:b/>
      <w:iCs/>
      <w:szCs w:val="28"/>
      <w:u w:val="single"/>
      <w:lang w:eastAsia="en-US" w:bidi="ar-SA"/>
    </w:rPr>
  </w:style>
  <w:style w:type="paragraph" w:customStyle="1" w:styleId="Instructionsberschrift1">
    <w:name w:val="Instructions Überschrift 1"/>
    <w:basedOn w:val="Heading1"/>
    <w:rsid w:val="00884FEB"/>
    <w:pPr>
      <w:tabs>
        <w:tab w:val="num" w:pos="540"/>
      </w:tabs>
      <w:spacing w:before="240"/>
      <w:ind w:left="540" w:hanging="540"/>
    </w:pPr>
    <w:rPr>
      <w:b w:val="0"/>
      <w:kern w:val="32"/>
    </w:rPr>
  </w:style>
  <w:style w:type="paragraph" w:customStyle="1" w:styleId="Instructionsberschrift2">
    <w:name w:val="Instructions Überschrift 2"/>
    <w:basedOn w:val="Heading2"/>
    <w:rsid w:val="008C122C"/>
    <w:pPr>
      <w:numPr>
        <w:numId w:val="13"/>
      </w:numPr>
      <w:spacing w:after="240"/>
    </w:pPr>
    <w:rPr>
      <w:rFonts w:cs="Arial"/>
      <w:b w:val="0"/>
      <w:sz w:val="20"/>
    </w:rPr>
  </w:style>
  <w:style w:type="paragraph" w:customStyle="1" w:styleId="Instructionsberschrift3">
    <w:name w:val="Instructions Überschrift 3"/>
    <w:basedOn w:val="Heading3"/>
    <w:link w:val="Instructionsberschrift3Zchn"/>
    <w:rsid w:val="006746DB"/>
    <w:pPr>
      <w:numPr>
        <w:numId w:val="14"/>
      </w:numPr>
      <w:spacing w:before="240" w:after="60" w:line="360" w:lineRule="auto"/>
    </w:pPr>
    <w:rPr>
      <w:rFonts w:ascii="Verdana" w:eastAsia="Times New Roman" w:hAnsi="Verdana"/>
      <w:szCs w:val="26"/>
      <w:u w:val="single"/>
      <w:lang w:eastAsia="en-US"/>
    </w:rPr>
  </w:style>
  <w:style w:type="character" w:customStyle="1" w:styleId="Instructionsberschrift3Zchn">
    <w:name w:val="Instructions Überschrift 3 Zchn"/>
    <w:link w:val="Instructionsberschrift3"/>
    <w:locked/>
    <w:rsid w:val="006746DB"/>
    <w:rPr>
      <w:rFonts w:ascii="Verdana" w:eastAsia="Times New Roman" w:hAnsi="Verdana"/>
      <w:b/>
      <w:szCs w:val="26"/>
      <w:u w:val="single"/>
      <w:lang w:eastAsia="en-US" w:bidi="ar-SA"/>
    </w:rPr>
  </w:style>
  <w:style w:type="paragraph" w:customStyle="1" w:styleId="Instructionsberschrift4">
    <w:name w:val="Instructions Überschrift 4"/>
    <w:basedOn w:val="Heading4"/>
    <w:next w:val="InstructionsText"/>
    <w:link w:val="Instructionsberschrift4Char"/>
    <w:uiPriority w:val="99"/>
    <w:rsid w:val="00884FEB"/>
    <w:pPr>
      <w:tabs>
        <w:tab w:val="left" w:pos="1520"/>
      </w:tabs>
      <w:autoSpaceDE w:val="0"/>
      <w:autoSpaceDN w:val="0"/>
      <w:adjustRightInd w:val="0"/>
      <w:spacing w:before="240" w:after="240"/>
      <w:ind w:left="970" w:hanging="970"/>
    </w:pPr>
    <w:rPr>
      <w:bCs/>
    </w:rPr>
  </w:style>
  <w:style w:type="paragraph" w:customStyle="1" w:styleId="InstructionsText">
    <w:name w:val="Instructions Text"/>
    <w:basedOn w:val="Normal"/>
    <w:link w:val="InstructionsTextChar"/>
    <w:autoRedefine/>
    <w:rsid w:val="00A41ECA"/>
    <w:pPr>
      <w:spacing w:before="0"/>
      <w:jc w:val="left"/>
    </w:pPr>
    <w:rPr>
      <w:rFonts w:ascii="Times New Roman" w:hAnsi="Times New Roman"/>
      <w:sz w:val="24"/>
      <w:lang w:eastAsia="de-DE"/>
    </w:rPr>
  </w:style>
  <w:style w:type="character" w:customStyle="1" w:styleId="Instructionsberschrift4Char">
    <w:name w:val="Instructions Überschrift 4 Char"/>
    <w:link w:val="Instructionsberschrift4"/>
    <w:uiPriority w:val="99"/>
    <w:locked/>
    <w:rsid w:val="00884FEB"/>
    <w:rPr>
      <w:rFonts w:ascii="Verdana" w:eastAsia="Times New Roman" w:hAnsi="Verdana"/>
      <w:b/>
      <w:bCs/>
      <w:szCs w:val="24"/>
      <w:u w:val="single"/>
      <w:lang w:eastAsia="en-US" w:bidi="ar-SA"/>
    </w:rPr>
  </w:style>
  <w:style w:type="character" w:customStyle="1" w:styleId="InstructionsTabelleberschrift">
    <w:name w:val="Instructions Tabelle Überschrift"/>
    <w:qFormat/>
    <w:rsid w:val="00884FEB"/>
    <w:rPr>
      <w:rFonts w:ascii="Verdana" w:hAnsi="Verdana" w:cs="Times New Roman"/>
      <w:b/>
      <w:bCs/>
      <w:sz w:val="20"/>
      <w:u w:val="single"/>
    </w:rPr>
  </w:style>
  <w:style w:type="character" w:customStyle="1" w:styleId="InstructionsTabelleText">
    <w:name w:val="Instructions Tabelle Text"/>
    <w:rsid w:val="00884FEB"/>
    <w:rPr>
      <w:rFonts w:ascii="Verdana" w:hAnsi="Verdana" w:cs="Times New Roman"/>
      <w:sz w:val="20"/>
    </w:rPr>
  </w:style>
  <w:style w:type="character" w:customStyle="1" w:styleId="FormatvorlageInstructionsTabelleText">
    <w:name w:val="Formatvorlage Instructions Tabelle Text"/>
    <w:uiPriority w:val="99"/>
    <w:qFormat/>
    <w:rsid w:val="00412D44"/>
    <w:rPr>
      <w:rFonts w:ascii="Verdana" w:hAnsi="Verdana" w:cs="Times New Roman"/>
      <w:bCs/>
      <w:sz w:val="20"/>
      <w:u w:val="none"/>
    </w:rPr>
  </w:style>
  <w:style w:type="paragraph" w:customStyle="1" w:styleId="FormatvorlageInstructionsberschrift3Links0cmErsteZeile0cm">
    <w:name w:val="Formatvorlage Instructions Überschrift 3 + Links:  0 cm Erste Zeile:  0 cm"/>
    <w:basedOn w:val="Instructionsberschrift3"/>
    <w:next w:val="Instructionsberschrift3"/>
    <w:uiPriority w:val="99"/>
    <w:rsid w:val="00884FEB"/>
    <w:pPr>
      <w:ind w:left="0" w:firstLine="0"/>
    </w:pPr>
    <w:rPr>
      <w:szCs w:val="20"/>
    </w:rPr>
  </w:style>
  <w:style w:type="paragraph" w:customStyle="1" w:styleId="Texte2">
    <w:name w:val="Texte 2"/>
    <w:basedOn w:val="Normal"/>
    <w:uiPriority w:val="99"/>
    <w:rsid w:val="00884FEB"/>
    <w:pPr>
      <w:spacing w:after="0"/>
      <w:ind w:left="567"/>
    </w:pPr>
    <w:rPr>
      <w:sz w:val="22"/>
      <w:szCs w:val="20"/>
      <w:lang w:eastAsia="fr-FR"/>
    </w:rPr>
  </w:style>
  <w:style w:type="paragraph" w:customStyle="1" w:styleId="Prrafodelista1">
    <w:name w:val="Párrafo de lista1"/>
    <w:basedOn w:val="Normal"/>
    <w:uiPriority w:val="99"/>
    <w:rsid w:val="00884FEB"/>
    <w:pPr>
      <w:ind w:left="720"/>
    </w:pPr>
  </w:style>
  <w:style w:type="paragraph" w:customStyle="1" w:styleId="Prrafodelista2">
    <w:name w:val="Párrafo de lista2"/>
    <w:basedOn w:val="Normal"/>
    <w:uiPriority w:val="99"/>
    <w:rsid w:val="00884FEB"/>
    <w:pPr>
      <w:ind w:left="708"/>
    </w:pPr>
  </w:style>
  <w:style w:type="paragraph" w:styleId="PlainText">
    <w:name w:val="Plain Text"/>
    <w:basedOn w:val="Normal"/>
    <w:link w:val="PlainTextChar"/>
    <w:uiPriority w:val="99"/>
    <w:rsid w:val="00884FEB"/>
    <w:pPr>
      <w:spacing w:before="0" w:after="0"/>
      <w:jc w:val="left"/>
    </w:pPr>
    <w:rPr>
      <w:rFonts w:eastAsia="Arial"/>
      <w:szCs w:val="20"/>
      <w:lang w:eastAsia="es-ES_tradnl"/>
    </w:rPr>
  </w:style>
  <w:style w:type="character" w:customStyle="1" w:styleId="PlainTextChar">
    <w:name w:val="Plain Text Char"/>
    <w:link w:val="PlainText"/>
    <w:uiPriority w:val="99"/>
    <w:locked/>
    <w:rsid w:val="00884FEB"/>
    <w:rPr>
      <w:rFonts w:ascii="Verdana" w:hAnsi="Verdana" w:cs="Times New Roman"/>
      <w:sz w:val="20"/>
      <w:szCs w:val="20"/>
      <w:lang w:val="mt-MT" w:eastAsia="es-ES_tradnl"/>
    </w:rPr>
  </w:style>
  <w:style w:type="paragraph" w:customStyle="1" w:styleId="Listenabsatz1">
    <w:name w:val="Listenabsatz1"/>
    <w:basedOn w:val="Normal"/>
    <w:uiPriority w:val="99"/>
    <w:rsid w:val="00884FEB"/>
    <w:pPr>
      <w:ind w:left="708"/>
    </w:pPr>
  </w:style>
  <w:style w:type="character" w:customStyle="1" w:styleId="InstructionsTextChar">
    <w:name w:val="Instructions Text Char"/>
    <w:link w:val="InstructionsText"/>
    <w:locked/>
    <w:rsid w:val="00A41ECA"/>
    <w:rPr>
      <w:rFonts w:ascii="Times New Roman" w:eastAsia="Times New Roman" w:hAnsi="Times New Roman"/>
      <w:sz w:val="24"/>
      <w:szCs w:val="24"/>
      <w:lang w:eastAsia="de-DE" w:bidi="ar-SA"/>
    </w:rPr>
  </w:style>
  <w:style w:type="paragraph" w:styleId="Revision">
    <w:name w:val="Revision"/>
    <w:hidden/>
    <w:uiPriority w:val="99"/>
    <w:semiHidden/>
    <w:rsid w:val="00884FEB"/>
    <w:rPr>
      <w:rFonts w:ascii="Verdana" w:eastAsia="Times New Roman" w:hAnsi="Verdana"/>
      <w:szCs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884FEB"/>
    <w:pPr>
      <w:ind w:left="708"/>
    </w:pPr>
  </w:style>
  <w:style w:type="character" w:styleId="PlaceholderText">
    <w:name w:val="Placeholder Text"/>
    <w:uiPriority w:val="99"/>
    <w:semiHidden/>
    <w:rsid w:val="00D946DB"/>
    <w:rPr>
      <w:rFonts w:cs="Times New Roman"/>
      <w:color w:val="808080"/>
    </w:rPr>
  </w:style>
  <w:style w:type="paragraph" w:customStyle="1" w:styleId="InstructionsText2">
    <w:name w:val="Instructions Text 2"/>
    <w:basedOn w:val="InstructionsText"/>
    <w:qFormat/>
    <w:rsid w:val="0046452F"/>
    <w:pPr>
      <w:numPr>
        <w:numId w:val="15"/>
      </w:numPr>
      <w:spacing w:after="240"/>
    </w:pPr>
  </w:style>
  <w:style w:type="character" w:customStyle="1" w:styleId="Instructionsberschrift3Char">
    <w:name w:val="Instructions Überschrift 3 Char"/>
    <w:locked/>
    <w:rsid w:val="003B3DBB"/>
    <w:rPr>
      <w:rFonts w:ascii="Verdana" w:hAnsi="Verdana" w:cs="Arial"/>
      <w:b/>
      <w:bCs/>
      <w:sz w:val="26"/>
      <w:szCs w:val="26"/>
      <w:u w:val="single"/>
      <w:lang w:val="mt-MT" w:eastAsia="en-US" w:bidi="ar-SA"/>
    </w:rPr>
  </w:style>
  <w:style w:type="paragraph" w:customStyle="1" w:styleId="CM4">
    <w:name w:val="CM4"/>
    <w:basedOn w:val="Normal"/>
    <w:next w:val="Normal"/>
    <w:uiPriority w:val="99"/>
    <w:rsid w:val="008815DE"/>
    <w:pPr>
      <w:autoSpaceDE w:val="0"/>
      <w:autoSpaceDN w:val="0"/>
      <w:adjustRightInd w:val="0"/>
      <w:spacing w:before="0" w:after="0"/>
      <w:jc w:val="left"/>
    </w:pPr>
    <w:rPr>
      <w:rFonts w:ascii="Times New Roman" w:eastAsia="Arial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88630E"/>
    <w:pPr>
      <w:spacing w:before="0" w:after="0"/>
    </w:pPr>
    <w:rPr>
      <w:rFonts w:ascii="Tahoma" w:eastAsia="Arial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uiPriority w:val="99"/>
    <w:semiHidden/>
    <w:locked/>
    <w:rsid w:val="0088630E"/>
    <w:rPr>
      <w:rFonts w:ascii="Tahoma" w:hAnsi="Tahoma" w:cs="Tahoma"/>
      <w:sz w:val="16"/>
      <w:szCs w:val="16"/>
      <w:lang w:val="mt-MT"/>
    </w:rPr>
  </w:style>
  <w:style w:type="paragraph" w:customStyle="1" w:styleId="Titrearticle">
    <w:name w:val="Titre article"/>
    <w:basedOn w:val="Normal"/>
    <w:next w:val="Normal"/>
    <w:rsid w:val="00C87CEE"/>
    <w:pPr>
      <w:keepNext/>
      <w:spacing w:before="360"/>
      <w:jc w:val="center"/>
    </w:pPr>
    <w:rPr>
      <w:rFonts w:ascii="Times New Roman" w:hAnsi="Times New Roman"/>
      <w:i/>
      <w:sz w:val="24"/>
      <w:lang w:eastAsia="de-DE"/>
    </w:rPr>
  </w:style>
  <w:style w:type="paragraph" w:customStyle="1" w:styleId="Baseparagraphnumbered">
    <w:name w:val="Base paragraph numbered"/>
    <w:basedOn w:val="Normal"/>
    <w:link w:val="BaseparagraphnumberedChar"/>
    <w:qFormat/>
    <w:rsid w:val="00C87CEE"/>
    <w:pPr>
      <w:numPr>
        <w:numId w:val="19"/>
      </w:numPr>
      <w:spacing w:before="0" w:after="240"/>
    </w:pPr>
    <w:rPr>
      <w:rFonts w:ascii="Times New Roman" w:eastAsia="Arial" w:hAnsi="Times New Roman"/>
      <w:sz w:val="24"/>
      <w:szCs w:val="20"/>
      <w:lang w:eastAsia="en-GB"/>
    </w:rPr>
  </w:style>
  <w:style w:type="character" w:customStyle="1" w:styleId="BaseparagraphnumberedChar">
    <w:name w:val="Base paragraph numbered Char"/>
    <w:link w:val="Baseparagraphnumbered"/>
    <w:locked/>
    <w:rsid w:val="00C87CEE"/>
    <w:rPr>
      <w:rFonts w:ascii="Times New Roman" w:hAnsi="Times New Roman"/>
      <w:sz w:val="24"/>
      <w:lang w:bidi="ar-SA"/>
    </w:rPr>
  </w:style>
  <w:style w:type="character" w:customStyle="1" w:styleId="NumPar1Char">
    <w:name w:val="NumPar 1 Char"/>
    <w:link w:val="NumPar1"/>
    <w:uiPriority w:val="99"/>
    <w:locked/>
    <w:rsid w:val="00D34F75"/>
    <w:rPr>
      <w:rFonts w:cs="Times New Roman"/>
      <w:sz w:val="24"/>
      <w:szCs w:val="24"/>
      <w:lang w:val="mt-MT" w:eastAsia="de-DE"/>
    </w:rPr>
  </w:style>
  <w:style w:type="paragraph" w:customStyle="1" w:styleId="NumPar1">
    <w:name w:val="NumPar 1"/>
    <w:basedOn w:val="Normal"/>
    <w:next w:val="Normal"/>
    <w:link w:val="NumPar1Char"/>
    <w:uiPriority w:val="99"/>
    <w:rsid w:val="00D34F75"/>
    <w:pPr>
      <w:tabs>
        <w:tab w:val="num" w:pos="850"/>
      </w:tabs>
      <w:ind w:left="850" w:hanging="850"/>
    </w:pPr>
    <w:rPr>
      <w:rFonts w:ascii="Arial" w:eastAsia="Arial" w:hAnsi="Arial"/>
      <w:sz w:val="24"/>
      <w:lang w:eastAsia="de-DE"/>
    </w:rPr>
  </w:style>
  <w:style w:type="character" w:customStyle="1" w:styleId="Point1letterChar">
    <w:name w:val="Point 1 (letter) Char"/>
    <w:link w:val="Point1letter"/>
    <w:uiPriority w:val="99"/>
    <w:locked/>
    <w:rsid w:val="00D34F75"/>
    <w:rPr>
      <w:rFonts w:cs="Times New Roman"/>
      <w:sz w:val="24"/>
      <w:szCs w:val="24"/>
      <w:lang w:val="mt-MT" w:eastAsia="en-US"/>
    </w:rPr>
  </w:style>
  <w:style w:type="paragraph" w:customStyle="1" w:styleId="Point1letter">
    <w:name w:val="Point 1 (letter)"/>
    <w:basedOn w:val="Normal"/>
    <w:link w:val="Point1letterChar"/>
    <w:uiPriority w:val="99"/>
    <w:rsid w:val="00D34F75"/>
    <w:pPr>
      <w:tabs>
        <w:tab w:val="num" w:pos="360"/>
      </w:tabs>
      <w:ind w:left="1417" w:hanging="567"/>
    </w:pPr>
    <w:rPr>
      <w:rFonts w:ascii="Arial" w:eastAsia="Arial" w:hAnsi="Arial"/>
      <w:sz w:val="24"/>
    </w:rPr>
  </w:style>
  <w:style w:type="numbering" w:customStyle="1" w:styleId="Formatvorlage2">
    <w:name w:val="Formatvorlage2"/>
    <w:uiPriority w:val="99"/>
    <w:rsid w:val="00BF60F7"/>
    <w:pPr>
      <w:numPr>
        <w:numId w:val="6"/>
      </w:numPr>
    </w:pPr>
  </w:style>
  <w:style w:type="numbering" w:customStyle="1" w:styleId="Formatvorlage3">
    <w:name w:val="Formatvorlage3"/>
    <w:uiPriority w:val="99"/>
    <w:rsid w:val="00BF60F7"/>
    <w:pPr>
      <w:numPr>
        <w:numId w:val="16"/>
      </w:numPr>
    </w:pPr>
  </w:style>
  <w:style w:type="numbering" w:customStyle="1" w:styleId="Formatvorlage1">
    <w:name w:val="Formatvorlage1"/>
    <w:uiPriority w:val="99"/>
    <w:rsid w:val="00BF60F7"/>
    <w:pPr>
      <w:numPr>
        <w:numId w:val="5"/>
      </w:numPr>
    </w:pPr>
  </w:style>
  <w:style w:type="numbering" w:customStyle="1" w:styleId="Formatvorlage4">
    <w:name w:val="Formatvorlage4"/>
    <w:uiPriority w:val="99"/>
    <w:rsid w:val="00BF60F7"/>
    <w:pPr>
      <w:numPr>
        <w:numId w:val="18"/>
      </w:numPr>
    </w:pPr>
  </w:style>
  <w:style w:type="paragraph" w:customStyle="1" w:styleId="ListParagraph1">
    <w:name w:val="List Paragraph1"/>
    <w:basedOn w:val="Normal"/>
    <w:uiPriority w:val="99"/>
    <w:qFormat/>
    <w:rsid w:val="001C7AB7"/>
    <w:pPr>
      <w:ind w:left="708"/>
    </w:pPr>
  </w:style>
  <w:style w:type="paragraph" w:customStyle="1" w:styleId="Anfhrungszeichen1">
    <w:name w:val="Anführungszeichen1"/>
    <w:basedOn w:val="Normal"/>
    <w:next w:val="Normal"/>
    <w:link w:val="AnfhrungszeichenZchn"/>
    <w:uiPriority w:val="29"/>
    <w:semiHidden/>
    <w:rsid w:val="000B0B09"/>
    <w:rPr>
      <w:i/>
      <w:iCs/>
      <w:color w:val="000000"/>
    </w:rPr>
  </w:style>
  <w:style w:type="character" w:customStyle="1" w:styleId="AnfhrungszeichenZchn">
    <w:name w:val="Anführungszeichen Zchn"/>
    <w:link w:val="Anfhrungszeichen1"/>
    <w:uiPriority w:val="29"/>
    <w:semiHidden/>
    <w:rsid w:val="000B0B09"/>
    <w:rPr>
      <w:rFonts w:ascii="Verdana" w:eastAsia="Times New Roman" w:hAnsi="Verdana"/>
      <w:i/>
      <w:iCs/>
      <w:color w:val="000000"/>
      <w:sz w:val="20"/>
      <w:szCs w:val="24"/>
      <w:lang w:val="mt-MT" w:eastAsia="en-US"/>
    </w:rPr>
  </w:style>
  <w:style w:type="paragraph" w:customStyle="1" w:styleId="Inhaltsverzeichnisberschrift1">
    <w:name w:val="Inhaltsverzeichnisüberschrift1"/>
    <w:basedOn w:val="Heading1"/>
    <w:next w:val="Normal"/>
    <w:uiPriority w:val="39"/>
    <w:semiHidden/>
    <w:unhideWhenUsed/>
    <w:qFormat/>
    <w:rsid w:val="000B0B09"/>
    <w:pPr>
      <w:keepLines/>
      <w:spacing w:before="480" w:line="311" w:lineRule="auto"/>
      <w:outlineLvl w:val="9"/>
    </w:pPr>
    <w:rPr>
      <w:rFonts w:ascii="Arial" w:hAnsi="Arial"/>
      <w:bCs/>
      <w:color w:val="4B67A3"/>
      <w:szCs w:val="28"/>
    </w:rPr>
  </w:style>
  <w:style w:type="paragraph" w:customStyle="1" w:styleId="berarbeitung1">
    <w:name w:val="Überarbeitung1"/>
    <w:hidden/>
    <w:uiPriority w:val="99"/>
    <w:semiHidden/>
    <w:rsid w:val="000B0B09"/>
    <w:rPr>
      <w:rFonts w:ascii="Verdana" w:eastAsia="Times New Roman" w:hAnsi="Verdana"/>
      <w:szCs w:val="24"/>
      <w:lang w:eastAsia="en-US" w:bidi="ar-SA"/>
    </w:rPr>
  </w:style>
  <w:style w:type="paragraph" w:customStyle="1" w:styleId="Listenabsatz2">
    <w:name w:val="Listenabsatz2"/>
    <w:basedOn w:val="Normal"/>
    <w:uiPriority w:val="99"/>
    <w:qFormat/>
    <w:rsid w:val="000B0B09"/>
    <w:pPr>
      <w:ind w:left="708"/>
    </w:pPr>
  </w:style>
  <w:style w:type="character" w:customStyle="1" w:styleId="Platzhaltertext1">
    <w:name w:val="Platzhaltertext1"/>
    <w:uiPriority w:val="99"/>
    <w:semiHidden/>
    <w:rsid w:val="000B0B09"/>
    <w:rPr>
      <w:color w:val="808080"/>
    </w:rPr>
  </w:style>
  <w:style w:type="paragraph" w:customStyle="1" w:styleId="Default">
    <w:name w:val="Default"/>
    <w:rsid w:val="00283B5F"/>
    <w:pPr>
      <w:autoSpaceDE w:val="0"/>
      <w:autoSpaceDN w:val="0"/>
      <w:adjustRightInd w:val="0"/>
    </w:pPr>
    <w:rPr>
      <w:rFonts w:cs="Arial"/>
      <w:color w:val="000000"/>
      <w:sz w:val="24"/>
      <w:szCs w:val="24"/>
      <w:lang w:bidi="ar-SA"/>
    </w:rPr>
  </w:style>
  <w:style w:type="paragraph" w:customStyle="1" w:styleId="CM1">
    <w:name w:val="CM1"/>
    <w:basedOn w:val="Default"/>
    <w:next w:val="Default"/>
    <w:uiPriority w:val="99"/>
    <w:rsid w:val="003D7822"/>
    <w:rPr>
      <w:rFonts w:ascii="EU Albertina" w:hAnsi="EU 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D7822"/>
    <w:rPr>
      <w:rFonts w:ascii="EU Albertina" w:hAnsi="EU Albertina" w:cs="Times New Roman"/>
      <w:color w:val="auto"/>
    </w:rPr>
  </w:style>
  <w:style w:type="paragraph" w:customStyle="1" w:styleId="TableParagraph">
    <w:name w:val="Table Paragraph"/>
    <w:basedOn w:val="Normal"/>
    <w:uiPriority w:val="1"/>
    <w:qFormat/>
    <w:rsid w:val="007674DE"/>
    <w:pPr>
      <w:widowControl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pplicationdirecte">
    <w:name w:val="Application directe"/>
    <w:basedOn w:val="Normal"/>
    <w:next w:val="Normal"/>
    <w:rsid w:val="007520D8"/>
    <w:pPr>
      <w:spacing w:before="480"/>
    </w:pPr>
    <w:rPr>
      <w:rFonts w:ascii="Times New Roman" w:hAnsi="Times New Roman"/>
      <w:sz w:val="24"/>
    </w:rPr>
  </w:style>
  <w:style w:type="paragraph" w:customStyle="1" w:styleId="Numberedtilelevel1">
    <w:name w:val="Numbered tile level 1"/>
    <w:basedOn w:val="Instructionsberschrift2"/>
    <w:qFormat/>
    <w:rsid w:val="002A276F"/>
    <w:pPr>
      <w:numPr>
        <w:numId w:val="30"/>
      </w:numPr>
    </w:pPr>
    <w:rPr>
      <w:rFonts w:ascii="Times New Roman" w:hAnsi="Times New Roman" w:cs="Times New Roman"/>
      <w:sz w:val="24"/>
      <w:u w:val="none"/>
    </w:rPr>
  </w:style>
  <w:style w:type="paragraph" w:customStyle="1" w:styleId="Numberedtitlelevel2">
    <w:name w:val="Numbered title level 2"/>
    <w:basedOn w:val="Normal"/>
    <w:next w:val="Normal"/>
    <w:qFormat/>
    <w:rsid w:val="007520D8"/>
    <w:pPr>
      <w:numPr>
        <w:ilvl w:val="1"/>
        <w:numId w:val="21"/>
      </w:numPr>
      <w:spacing w:before="240" w:after="240"/>
      <w:jc w:val="left"/>
    </w:pPr>
    <w:rPr>
      <w:rFonts w:asciiTheme="majorHAnsi" w:eastAsiaTheme="majorEastAsia" w:hAnsiTheme="majorHAnsi" w:cstheme="majorBidi"/>
      <w:bCs/>
      <w:color w:val="1F497D" w:themeColor="text2"/>
      <w:sz w:val="32"/>
    </w:rPr>
  </w:style>
  <w:style w:type="paragraph" w:customStyle="1" w:styleId="Numberedtitlelevel3">
    <w:name w:val="Numbered title level 3"/>
    <w:basedOn w:val="Normal"/>
    <w:next w:val="Normal"/>
    <w:qFormat/>
    <w:rsid w:val="007520D8"/>
    <w:pPr>
      <w:numPr>
        <w:ilvl w:val="2"/>
        <w:numId w:val="21"/>
      </w:numPr>
      <w:spacing w:before="240" w:after="240"/>
      <w:jc w:val="left"/>
    </w:pPr>
    <w:rPr>
      <w:rFonts w:asciiTheme="minorHAnsi" w:eastAsiaTheme="minorEastAsia" w:hAnsiTheme="minorHAnsi" w:cstheme="minorBidi"/>
      <w:b/>
      <w:color w:val="1F497D" w:themeColor="text2"/>
      <w:sz w:val="24"/>
    </w:rPr>
  </w:style>
  <w:style w:type="paragraph" w:customStyle="1" w:styleId="Fait">
    <w:name w:val="Fait à"/>
    <w:basedOn w:val="Normal"/>
    <w:next w:val="Normal"/>
    <w:rsid w:val="007520D8"/>
    <w:pPr>
      <w:keepNext/>
      <w:spacing w:after="0"/>
    </w:pPr>
    <w:rPr>
      <w:rFonts w:ascii="Times New Roman" w:hAnsi="Times New Roman"/>
      <w:sz w:val="24"/>
    </w:rPr>
  </w:style>
  <w:style w:type="paragraph" w:customStyle="1" w:styleId="numberedparagraph">
    <w:name w:val="numbered paragraph"/>
    <w:basedOn w:val="Normal"/>
    <w:rsid w:val="00C07658"/>
    <w:pPr>
      <w:numPr>
        <w:numId w:val="32"/>
      </w:numPr>
      <w:spacing w:before="24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4D057B"/>
    <w:rPr>
      <w:b/>
      <w:bCs/>
      <w:smallCaps/>
    </w:rPr>
  </w:style>
  <w:style w:type="paragraph" w:customStyle="1" w:styleId="body">
    <w:name w:val="body"/>
    <w:qFormat/>
    <w:rsid w:val="004A4EB9"/>
    <w:pPr>
      <w:spacing w:before="240" w:after="120" w:line="276" w:lineRule="auto"/>
      <w:jc w:val="both"/>
    </w:pPr>
    <w:rPr>
      <w:rFonts w:asciiTheme="minorHAnsi" w:eastAsiaTheme="minorEastAsia" w:hAnsiTheme="minorHAnsi" w:cstheme="minorBidi"/>
      <w:sz w:val="22"/>
      <w:szCs w:val="24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67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ata.europa.eu/eli/reg_del/2014/241/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CC6DA-8D38-41D1-936D-311DF300A9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7eb9de-735b-4a68-8fe4-c9c62709b012}" enabled="1" method="Standard" siteId="{3bacb4ff-f1a2-4c92-b96c-e99fec826b68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11499</Words>
  <Characters>84408</Characters>
  <Application>Microsoft Office Word</Application>
  <DocSecurity>0</DocSecurity>
  <Lines>1834</Lines>
  <Paragraphs>931</Paragraphs>
  <ScaleCrop>false</ScaleCrop>
  <Company/>
  <LinksUpToDate>false</LinksUpToDate>
  <CharactersWithSpaces>94976</CharactersWithSpaces>
  <SharedDoc>false</SharedDoc>
  <HLinks>
    <vt:vector size="606" baseType="variant">
      <vt:variant>
        <vt:i4>1441854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_Toc429746721</vt:lpwstr>
      </vt:variant>
      <vt:variant>
        <vt:i4>1441854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_Toc429746720</vt:lpwstr>
      </vt:variant>
      <vt:variant>
        <vt:i4>1376318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_Toc429746719</vt:lpwstr>
      </vt:variant>
      <vt:variant>
        <vt:i4>1376318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_Toc429746718</vt:lpwstr>
      </vt:variant>
      <vt:variant>
        <vt:i4>1376318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_Toc429746717</vt:lpwstr>
      </vt:variant>
      <vt:variant>
        <vt:i4>1376318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_Toc429746716</vt:lpwstr>
      </vt:variant>
      <vt:variant>
        <vt:i4>1376318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_Toc429746715</vt:lpwstr>
      </vt:variant>
      <vt:variant>
        <vt:i4>1376318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_Toc429746714</vt:lpwstr>
      </vt:variant>
      <vt:variant>
        <vt:i4>1376318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_Toc429746713</vt:lpwstr>
      </vt:variant>
      <vt:variant>
        <vt:i4>1376318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_Toc429746712</vt:lpwstr>
      </vt:variant>
      <vt:variant>
        <vt:i4>1376318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_Toc429746711</vt:lpwstr>
      </vt:variant>
      <vt:variant>
        <vt:i4>1376318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_Toc429746710</vt:lpwstr>
      </vt:variant>
      <vt:variant>
        <vt:i4>1310782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_Toc429746709</vt:lpwstr>
      </vt:variant>
      <vt:variant>
        <vt:i4>1310782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_Toc429746708</vt:lpwstr>
      </vt:variant>
      <vt:variant>
        <vt:i4>1310782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_Toc429746707</vt:lpwstr>
      </vt:variant>
      <vt:variant>
        <vt:i4>1310782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_Toc429746706</vt:lpwstr>
      </vt:variant>
      <vt:variant>
        <vt:i4>1310782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_Toc429746705</vt:lpwstr>
      </vt:variant>
      <vt:variant>
        <vt:i4>1310782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_Toc429746704</vt:lpwstr>
      </vt:variant>
      <vt:variant>
        <vt:i4>1310782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_Toc429746703</vt:lpwstr>
      </vt:variant>
      <vt:variant>
        <vt:i4>1310782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_Toc429746702</vt:lpwstr>
      </vt:variant>
      <vt:variant>
        <vt:i4>1310782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_Toc429746701</vt:lpwstr>
      </vt:variant>
      <vt:variant>
        <vt:i4>1310782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_Toc429746700</vt:lpwstr>
      </vt:variant>
      <vt:variant>
        <vt:i4>1900607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_Toc429746699</vt:lpwstr>
      </vt:variant>
      <vt:variant>
        <vt:i4>1900607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_Toc429746698</vt:lpwstr>
      </vt:variant>
      <vt:variant>
        <vt:i4>1900607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_Toc429746697</vt:lpwstr>
      </vt:variant>
      <vt:variant>
        <vt:i4>1900607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_Toc429746696</vt:lpwstr>
      </vt:variant>
      <vt:variant>
        <vt:i4>1900607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_Toc429746695</vt:lpwstr>
      </vt:variant>
      <vt:variant>
        <vt:i4>1900607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_Toc429746694</vt:lpwstr>
      </vt:variant>
      <vt:variant>
        <vt:i4>1900607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_Toc429746693</vt:lpwstr>
      </vt:variant>
      <vt:variant>
        <vt:i4>1900607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_Toc429746692</vt:lpwstr>
      </vt:variant>
      <vt:variant>
        <vt:i4>1900607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_Toc429746691</vt:lpwstr>
      </vt:variant>
      <vt:variant>
        <vt:i4>1900607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_Toc429746690</vt:lpwstr>
      </vt:variant>
      <vt:variant>
        <vt:i4>1835071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_Toc429746689</vt:lpwstr>
      </vt:variant>
      <vt:variant>
        <vt:i4>1835071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_Toc429746688</vt:lpwstr>
      </vt:variant>
      <vt:variant>
        <vt:i4>1835071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_Toc429746687</vt:lpwstr>
      </vt:variant>
      <vt:variant>
        <vt:i4>1835071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_Toc429746686</vt:lpwstr>
      </vt:variant>
      <vt:variant>
        <vt:i4>1835071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_Toc429746685</vt:lpwstr>
      </vt:variant>
      <vt:variant>
        <vt:i4>1835071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_Toc429746684</vt:lpwstr>
      </vt:variant>
      <vt:variant>
        <vt:i4>1835071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_Toc429746683</vt:lpwstr>
      </vt:variant>
      <vt:variant>
        <vt:i4>1835071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_Toc429746682</vt:lpwstr>
      </vt:variant>
      <vt:variant>
        <vt:i4>1835071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_Toc429746681</vt:lpwstr>
      </vt:variant>
      <vt:variant>
        <vt:i4>1835071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_Toc429746680</vt:lpwstr>
      </vt:variant>
      <vt:variant>
        <vt:i4>1245247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_Toc429746679</vt:lpwstr>
      </vt:variant>
      <vt:variant>
        <vt:i4>1245247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_Toc429746678</vt:lpwstr>
      </vt:variant>
      <vt:variant>
        <vt:i4>1245247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_Toc429746677</vt:lpwstr>
      </vt:variant>
      <vt:variant>
        <vt:i4>1245247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_Toc429746676</vt:lpwstr>
      </vt:variant>
      <vt:variant>
        <vt:i4>1245247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_Toc429746675</vt:lpwstr>
      </vt:variant>
      <vt:variant>
        <vt:i4>1245247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_Toc429746674</vt:lpwstr>
      </vt:variant>
      <vt:variant>
        <vt:i4>1245247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_Toc429746673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_Toc429746672</vt:lpwstr>
      </vt:variant>
      <vt:variant>
        <vt:i4>1245247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_Toc429746671</vt:lpwstr>
      </vt:variant>
      <vt:variant>
        <vt:i4>1245247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_Toc429746670</vt:lpwstr>
      </vt:variant>
      <vt:variant>
        <vt:i4>1179711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_Toc429746669</vt:lpwstr>
      </vt:variant>
      <vt:variant>
        <vt:i4>1179711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_Toc429746668</vt:lpwstr>
      </vt:variant>
      <vt:variant>
        <vt:i4>1179711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_Toc429746667</vt:lpwstr>
      </vt:variant>
      <vt:variant>
        <vt:i4>1179711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_Toc429746666</vt:lpwstr>
      </vt:variant>
      <vt:variant>
        <vt:i4>1179711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_Toc429746665</vt:lpwstr>
      </vt:variant>
      <vt:variant>
        <vt:i4>1179711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_Toc429746664</vt:lpwstr>
      </vt:variant>
      <vt:variant>
        <vt:i4>1179711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_Toc429746663</vt:lpwstr>
      </vt:variant>
      <vt:variant>
        <vt:i4>1179711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_Toc429746662</vt:lpwstr>
      </vt:variant>
      <vt:variant>
        <vt:i4>1179711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_Toc429746661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_Toc429746660</vt:lpwstr>
      </vt:variant>
      <vt:variant>
        <vt:i4>1114175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_Toc429746659</vt:lpwstr>
      </vt:variant>
      <vt:variant>
        <vt:i4>1114175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_Toc429746658</vt:lpwstr>
      </vt:variant>
      <vt:variant>
        <vt:i4>1114175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_Toc429746657</vt:lpwstr>
      </vt:variant>
      <vt:variant>
        <vt:i4>1114175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_Toc429746656</vt:lpwstr>
      </vt:variant>
      <vt:variant>
        <vt:i4>1114175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_Toc429746655</vt:lpwstr>
      </vt:variant>
      <vt:variant>
        <vt:i4>1114175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_Toc429746654</vt:lpwstr>
      </vt:variant>
      <vt:variant>
        <vt:i4>1114175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_Toc429746653</vt:lpwstr>
      </vt:variant>
      <vt:variant>
        <vt:i4>1114175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_Toc429746652</vt:lpwstr>
      </vt:variant>
      <vt:variant>
        <vt:i4>1114175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_Toc429746651</vt:lpwstr>
      </vt:variant>
      <vt:variant>
        <vt:i4>1114175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_Toc429746650</vt:lpwstr>
      </vt:variant>
      <vt:variant>
        <vt:i4>1048639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_Toc429746649</vt:lpwstr>
      </vt:variant>
      <vt:variant>
        <vt:i4>1048639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_Toc429746648</vt:lpwstr>
      </vt:variant>
      <vt:variant>
        <vt:i4>1048639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_Toc429746647</vt:lpwstr>
      </vt:variant>
      <vt:variant>
        <vt:i4>1048639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_Toc429746646</vt:lpwstr>
      </vt:variant>
      <vt:variant>
        <vt:i4>1048639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_Toc429746645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_Toc429746644</vt:lpwstr>
      </vt:variant>
      <vt:variant>
        <vt:i4>1048639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_Toc429746643</vt:lpwstr>
      </vt:variant>
      <vt:variant>
        <vt:i4>1048639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_Toc429746642</vt:lpwstr>
      </vt:variant>
      <vt:variant>
        <vt:i4>1048639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_Toc429746641</vt:lpwstr>
      </vt:variant>
      <vt:variant>
        <vt:i4>1048639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_Toc429746640</vt:lpwstr>
      </vt:variant>
      <vt:variant>
        <vt:i4>1507391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_Toc429746639</vt:lpwstr>
      </vt:variant>
      <vt:variant>
        <vt:i4>1507391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_Toc429746638</vt:lpwstr>
      </vt:variant>
      <vt:variant>
        <vt:i4>1507391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_Toc429746637</vt:lpwstr>
      </vt:variant>
      <vt:variant>
        <vt:i4>1507391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_Toc429746636</vt:lpwstr>
      </vt:variant>
      <vt:variant>
        <vt:i4>1507391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_Toc429746635</vt:lpwstr>
      </vt:variant>
      <vt:variant>
        <vt:i4>1507391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_Toc429746634</vt:lpwstr>
      </vt:variant>
      <vt:variant>
        <vt:i4>1507391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_Toc429746633</vt:lpwstr>
      </vt:variant>
      <vt:variant>
        <vt:i4>1507391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_Toc429746632</vt:lpwstr>
      </vt:variant>
      <vt:variant>
        <vt:i4>1507391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_Toc429746631</vt:lpwstr>
      </vt:variant>
      <vt:variant>
        <vt:i4>1507391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_Toc429746630</vt:lpwstr>
      </vt:variant>
      <vt:variant>
        <vt:i4>1441855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_Toc429746629</vt:lpwstr>
      </vt:variant>
      <vt:variant>
        <vt:i4>1441855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_Toc429746628</vt:lpwstr>
      </vt:variant>
      <vt:variant>
        <vt:i4>1441855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_Toc429746627</vt:lpwstr>
      </vt:variant>
      <vt:variant>
        <vt:i4>1441855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_Toc429746626</vt:lpwstr>
      </vt:variant>
      <vt:variant>
        <vt:i4>1441855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_Toc429746625</vt:lpwstr>
      </vt:variant>
      <vt:variant>
        <vt:i4>1441855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_Toc429746624</vt:lpwstr>
      </vt:variant>
      <vt:variant>
        <vt:i4>1441855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_Toc429746623</vt:lpwstr>
      </vt:variant>
      <vt:variant>
        <vt:i4>1441855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_Toc429746622</vt:lpwstr>
      </vt:variant>
      <vt:variant>
        <vt:i4>1441855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_Toc429746621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2024-04-03T13:39:00Z</dcterms:created>
  <dcterms:modified xsi:type="dcterms:W3CDTF">2024-05-08T13:23:00Z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2024-03-04T17:52:57Z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8002f3b7-877d-4032-81ea-67473fc4099a</vt:lpwstr>
  </property>
  <property fmtid="{D5CDD505-2E9C-101B-9397-08002B2CF9AE}" pid="8" name="MSIP_Label_6bd9ddd1-4d20-43f6-abfa-fc3c07406f94_ContentBits">
    <vt:lpwstr>0</vt:lpwstr>
  </property>
</Properties>
</file>