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8CFC5" w14:textId="3E8DA443" w:rsidR="00367B3A" w:rsidRDefault="00367B3A" w:rsidP="00295371">
      <w:pPr>
        <w:suppressAutoHyphens/>
        <w:jc w:val="center"/>
        <w:rPr>
          <w:b/>
          <w:sz w:val="24"/>
          <w:u w:val="single"/>
          <w:rFonts w:ascii="Times New Roman" w:hAnsi="Times New Roman"/>
        </w:rPr>
      </w:pPr>
      <w:bookmarkStart w:id="0" w:name="_Toc262568021"/>
      <w:bookmarkStart w:id="1" w:name="_Toc295829847"/>
      <w:r>
        <w:rPr>
          <w:b/>
          <w:sz w:val="24"/>
          <w:u w:val="single"/>
          <w:rFonts w:ascii="Times New Roman" w:hAnsi="Times New Roman"/>
        </w:rPr>
        <w:t xml:space="preserve">LV</w:t>
      </w:r>
    </w:p>
    <w:p w14:paraId="3A6A5996" w14:textId="6AD676CF" w:rsidR="007312D4" w:rsidRDefault="007312D4" w:rsidP="00295371">
      <w:pPr>
        <w:suppressAutoHyphens/>
        <w:jc w:val="center"/>
        <w:rPr>
          <w:b/>
          <w:sz w:val="24"/>
          <w:u w:val="single"/>
          <w:rFonts w:ascii="Times New Roman" w:hAnsi="Times New Roman"/>
        </w:rPr>
      </w:pPr>
      <w:r>
        <w:rPr>
          <w:b/>
          <w:sz w:val="24"/>
          <w:u w:val="single"/>
          <w:rFonts w:ascii="Times New Roman" w:hAnsi="Times New Roman"/>
        </w:rPr>
        <w:t xml:space="preserve">II PIELIKUMS</w:t>
      </w:r>
    </w:p>
    <w:p w14:paraId="53C03FF3" w14:textId="77777777" w:rsidR="007312D4" w:rsidRDefault="007312D4" w:rsidP="00295371">
      <w:pPr>
        <w:suppressAutoHyphens/>
        <w:jc w:val="center"/>
        <w:rPr>
          <w:rFonts w:ascii="Times New Roman" w:hAnsi="Times New Roman"/>
          <w:b/>
          <w:sz w:val="24"/>
          <w:u w:val="single"/>
        </w:rPr>
      </w:pPr>
    </w:p>
    <w:p w14:paraId="72B7353D" w14:textId="015A3DEE" w:rsidR="002D5E59" w:rsidRPr="00FB08AF" w:rsidRDefault="002648B0" w:rsidP="00C271AC">
      <w:pPr>
        <w:jc w:val="center"/>
        <w:rPr>
          <w:b/>
          <w:sz w:val="24"/>
          <w:rFonts w:ascii="Times New Roman" w:hAnsi="Times New Roman"/>
        </w:rPr>
      </w:pPr>
      <w:r>
        <w:rPr>
          <w:b/>
          <w:sz w:val="24"/>
          <w:rFonts w:ascii="Times New Roman" w:hAnsi="Times New Roman"/>
        </w:rPr>
        <w:t xml:space="preserve">PĀRSKATU SNIEGŠANA PAR MINIMUMA PRASĪBU PAŠU KAPITĀLAM UN ATBILSTĪGAJĀM SAISTĪBĀM – NORĀDĪJUMI</w:t>
      </w:r>
      <w:bookmarkStart w:id="2" w:name="_Toc264038394"/>
      <w:bookmarkStart w:id="3" w:name="_Toc360188317"/>
      <w:bookmarkStart w:id="4" w:name="_Toc473560865"/>
      <w:bookmarkStart w:id="5" w:name="_Toc45558472"/>
    </w:p>
    <w:p w14:paraId="1E3EA219" w14:textId="498D9ACB" w:rsidR="00937126" w:rsidRPr="00FB08AF" w:rsidRDefault="00937126" w:rsidP="00C271AC">
      <w:pPr>
        <w:jc w:val="center"/>
        <w:rPr>
          <w:rFonts w:ascii="Times New Roman" w:hAnsi="Times New Roman"/>
        </w:rPr>
      </w:pPr>
    </w:p>
    <w:p w14:paraId="59F3C90B" w14:textId="2D215499" w:rsidR="002648B0" w:rsidRPr="00FB08AF" w:rsidRDefault="002648B0" w:rsidP="002D5E59">
      <w:pPr>
        <w:pStyle w:val="Heading2"/>
        <w:rPr>
          <w:rFonts w:ascii="Times New Roman" w:hAnsi="Times New Roman"/>
        </w:rPr>
      </w:pPr>
      <w:r>
        <w:rPr>
          <w:rFonts w:ascii="Times New Roman" w:hAnsi="Times New Roman"/>
        </w:rPr>
        <w:t xml:space="preserve">I DAĻA.</w:t>
      </w:r>
      <w:bookmarkEnd w:id="2"/>
      <w:r>
        <w:rPr>
          <w:rFonts w:ascii="Times New Roman" w:hAnsi="Times New Roman"/>
        </w:rPr>
        <w:t xml:space="preserve"> </w:t>
      </w:r>
      <w:r>
        <w:rPr>
          <w:rFonts w:ascii="Times New Roman" w:hAnsi="Times New Roman"/>
        </w:rPr>
        <w:t xml:space="preserve">VISPĀRĪGAS NORĀDES</w:t>
      </w:r>
      <w:bookmarkEnd w:id="3"/>
      <w:bookmarkEnd w:id="4"/>
      <w:bookmarkEnd w:id="5"/>
    </w:p>
    <w:p w14:paraId="787498EA" w14:textId="5C2F927E" w:rsidR="002648B0" w:rsidRPr="00FB08AF" w:rsidRDefault="002648B0" w:rsidP="00962025">
      <w:pPr>
        <w:pStyle w:val="Numberedtilelevel1"/>
      </w:pPr>
      <w:bookmarkStart w:id="6" w:name="_Toc360188318"/>
      <w:bookmarkStart w:id="7" w:name="_Toc473560866"/>
      <w:bookmarkStart w:id="8" w:name="_Toc45558473"/>
      <w:r>
        <w:t xml:space="preserve">Struktūra un pieņemtā prakse</w:t>
      </w:r>
      <w:bookmarkEnd w:id="6"/>
      <w:bookmarkEnd w:id="7"/>
      <w:bookmarkEnd w:id="8"/>
    </w:p>
    <w:p w14:paraId="2C1B34C2" w14:textId="170A170D" w:rsidR="002648B0" w:rsidRPr="00FB08AF" w:rsidRDefault="002648B0" w:rsidP="00BA4811">
      <w:pPr>
        <w:pStyle w:val="Numberedtilelevel1"/>
        <w:numPr>
          <w:ilvl w:val="1"/>
          <w:numId w:val="30"/>
        </w:numPr>
      </w:pPr>
      <w:bookmarkStart w:id="9" w:name="_Toc360188319"/>
      <w:bookmarkStart w:id="10" w:name="_Toc473560867"/>
      <w:bookmarkStart w:id="11" w:name="_Toc16868626"/>
      <w:bookmarkStart w:id="12" w:name="_Toc45558474"/>
      <w:bookmarkStart w:id="13" w:name="_Toc264038399"/>
      <w:bookmarkStart w:id="14" w:name="_Toc294018834"/>
      <w:r>
        <w:t xml:space="preserve">Struktūra</w:t>
      </w:r>
      <w:bookmarkEnd w:id="9"/>
      <w:bookmarkEnd w:id="10"/>
      <w:bookmarkEnd w:id="11"/>
      <w:bookmarkEnd w:id="12"/>
    </w:p>
    <w:p w14:paraId="2AC3B1BF" w14:textId="310ACCAB" w:rsidR="002648B0" w:rsidRPr="00FB08AF" w:rsidRDefault="00102048" w:rsidP="00E36728">
      <w:pPr>
        <w:pStyle w:val="InstructionsText2"/>
      </w:pPr>
      <w:r>
        <w:t xml:space="preserve">Šo satvaru ziņošanai par </w:t>
      </w:r>
      <w:r>
        <w:rPr>
          <w:i/>
          <w:iCs/>
        </w:rPr>
        <w:t xml:space="preserve">MREL</w:t>
      </w:r>
      <w:r>
        <w:t xml:space="preserve"> un </w:t>
      </w:r>
      <w:r>
        <w:rPr>
          <w:i/>
          <w:iCs/>
        </w:rPr>
        <w:t xml:space="preserve">TLAC</w:t>
      </w:r>
      <w:r>
        <w:t xml:space="preserve"> veido četras veidņu grupas:</w:t>
      </w:r>
    </w:p>
    <w:p w14:paraId="3086B9DD" w14:textId="5E78D7ED" w:rsidR="002648B0" w:rsidRPr="00FB08AF" w:rsidRDefault="00142215" w:rsidP="00E36728">
      <w:pPr>
        <w:pStyle w:val="InstructionsText2"/>
        <w:numPr>
          <w:ilvl w:val="1"/>
          <w:numId w:val="15"/>
        </w:numPr>
      </w:pPr>
      <w:r>
        <w:t xml:space="preserve">summas:</w:t>
      </w:r>
      <w:r>
        <w:t xml:space="preserve"> </w:t>
      </w:r>
      <w:r>
        <w:rPr>
          <w:i/>
          <w:iCs/>
        </w:rPr>
        <w:t xml:space="preserve">MREL</w:t>
      </w:r>
      <w:r>
        <w:t xml:space="preserve"> un </w:t>
      </w:r>
      <w:r>
        <w:rPr>
          <w:i/>
          <w:iCs/>
        </w:rPr>
        <w:t xml:space="preserve">TLAC</w:t>
      </w:r>
      <w:r>
        <w:t xml:space="preserve"> galvenie rādītāji;</w:t>
      </w:r>
    </w:p>
    <w:p w14:paraId="3B952615" w14:textId="5D008287" w:rsidR="00436204" w:rsidRPr="00FB08AF" w:rsidRDefault="00142215" w:rsidP="00E36728">
      <w:pPr>
        <w:pStyle w:val="InstructionsText2"/>
        <w:numPr>
          <w:ilvl w:val="1"/>
          <w:numId w:val="15"/>
        </w:numPr>
      </w:pPr>
      <w:r>
        <w:t xml:space="preserve">sastāvs un termiņš;</w:t>
      </w:r>
    </w:p>
    <w:p w14:paraId="63E2C274" w14:textId="67BC4149" w:rsidR="002648B0" w:rsidRPr="00FB08AF" w:rsidRDefault="00102048" w:rsidP="00E36728">
      <w:pPr>
        <w:pStyle w:val="InstructionsText2"/>
        <w:numPr>
          <w:ilvl w:val="1"/>
          <w:numId w:val="15"/>
        </w:numPr>
      </w:pPr>
      <w:r>
        <w:t xml:space="preserve">kreditoru prioritātes;</w:t>
      </w:r>
    </w:p>
    <w:p w14:paraId="0D4AB948" w14:textId="42C1A351" w:rsidR="002648B0" w:rsidRPr="00FB08AF" w:rsidRDefault="00142215" w:rsidP="00E36728">
      <w:pPr>
        <w:pStyle w:val="InstructionsText2"/>
        <w:numPr>
          <w:ilvl w:val="1"/>
          <w:numId w:val="15"/>
        </w:numPr>
      </w:pPr>
      <w:r>
        <w:t xml:space="preserve">līgumam raksturīga informācija.</w:t>
      </w:r>
    </w:p>
    <w:p w14:paraId="0F36F124" w14:textId="757CCD2C" w:rsidR="002648B0" w:rsidRPr="00FB08AF" w:rsidRDefault="002648B0" w:rsidP="00E36728">
      <w:pPr>
        <w:pStyle w:val="InstructionsText2"/>
      </w:pPr>
      <w:r>
        <w:t xml:space="preserve">Attiecībā uz katru veidni ir sniegtas atsauces uz tiesību aktiem.</w:t>
      </w:r>
      <w:r>
        <w:t xml:space="preserve"> </w:t>
      </w:r>
      <w:r>
        <w:t xml:space="preserve">Šajā daļā ir iekļauta sīkāka informācija par vispārīgākiem pārskatu sniegšanas aspektiem attiecībā uz katru veidņu kopu un norādes par konkrētām pozīcijām.</w:t>
      </w:r>
    </w:p>
    <w:p w14:paraId="720FE1D9" w14:textId="22384390" w:rsidR="002648B0" w:rsidRPr="00FB08AF" w:rsidRDefault="002648B0" w:rsidP="00BA4811">
      <w:pPr>
        <w:pStyle w:val="Numberedtilelevel1"/>
        <w:numPr>
          <w:ilvl w:val="1"/>
          <w:numId w:val="30"/>
        </w:numPr>
      </w:pPr>
      <w:bookmarkStart w:id="15" w:name="_Toc360188320"/>
      <w:bookmarkStart w:id="16" w:name="_Toc473560868"/>
      <w:bookmarkStart w:id="17" w:name="_Toc16868627"/>
      <w:bookmarkStart w:id="18" w:name="_Toc45558475"/>
      <w:r>
        <w:t xml:space="preserve">Pieņemtā prakse attiecībā uz numerāciju</w:t>
      </w:r>
      <w:bookmarkEnd w:id="15"/>
      <w:bookmarkEnd w:id="16"/>
      <w:bookmarkEnd w:id="17"/>
      <w:bookmarkEnd w:id="18"/>
    </w:p>
    <w:p w14:paraId="66584242" w14:textId="63AA7C63" w:rsidR="002648B0" w:rsidRPr="00FB08AF" w:rsidRDefault="002648B0" w:rsidP="00E36728">
      <w:pPr>
        <w:pStyle w:val="InstructionsText2"/>
      </w:pPr>
      <w:r>
        <w:t xml:space="preserve">Atsaucoties uz veidņu slejām, rindām un šūnām, dokumentā izmanto pieņemto praksi attiecībā uz apzīmējumiem, kas norādīta a)–d) punktā.</w:t>
      </w:r>
      <w:r>
        <w:t xml:space="preserve"> </w:t>
      </w:r>
      <w:r>
        <w:t xml:space="preserve">Minētos ciparu kodus plaši izmanto validācijas noteikumos, kas noteikti saskaņā ar III pielikumu:</w:t>
      </w:r>
    </w:p>
    <w:p w14:paraId="62F2C4B4" w14:textId="37DCE2FC" w:rsidR="005643EA" w:rsidRPr="00FB08AF" w:rsidRDefault="00142215" w:rsidP="00E36728">
      <w:pPr>
        <w:pStyle w:val="InstructionsText2"/>
        <w:numPr>
          <w:ilvl w:val="1"/>
          <w:numId w:val="15"/>
        </w:numPr>
      </w:pPr>
      <w:r>
        <w:t xml:space="preserve">tiek izmantots šāds vispārējs apzīmējums:</w:t>
      </w:r>
      <w:r>
        <w:t xml:space="preserve"> </w:t>
      </w:r>
      <w:r>
        <w:t xml:space="preserve">{Veidne;Rinda;Sleja};</w:t>
      </w:r>
    </w:p>
    <w:p w14:paraId="7FB9131E" w14:textId="0B707586" w:rsidR="007D41F2" w:rsidRPr="00FB08AF" w:rsidRDefault="00142215" w:rsidP="00E36728">
      <w:pPr>
        <w:pStyle w:val="InstructionsText2"/>
        <w:numPr>
          <w:ilvl w:val="1"/>
          <w:numId w:val="15"/>
        </w:numPr>
      </w:pPr>
      <w:r>
        <w:t xml:space="preserve">veidnē norādītajās atsaucēs nav ietverta konkrētās veidnes norāde:</w:t>
      </w:r>
      <w:r>
        <w:t xml:space="preserve"> </w:t>
      </w:r>
      <w:r>
        <w:t xml:space="preserve">{Rinda; Sleja};</w:t>
      </w:r>
    </w:p>
    <w:p w14:paraId="07D8D5F5" w14:textId="74593C91" w:rsidR="007D41F2" w:rsidRPr="00FB08AF" w:rsidRDefault="00142215" w:rsidP="00E36728">
      <w:pPr>
        <w:pStyle w:val="InstructionsText2"/>
        <w:numPr>
          <w:ilvl w:val="1"/>
          <w:numId w:val="15"/>
        </w:numPr>
      </w:pPr>
      <w:r>
        <w:t xml:space="preserve">ja veidnē ir tikai viena sleja, atsaucas vienīgi uz rindām:</w:t>
      </w:r>
      <w:r>
        <w:t xml:space="preserve"> </w:t>
      </w:r>
      <w:r>
        <w:t xml:space="preserve">{Veidne;Rinda};</w:t>
      </w:r>
    </w:p>
    <w:p w14:paraId="690EFD8E" w14:textId="1E756AEF" w:rsidR="002648B0" w:rsidRPr="00FB08AF" w:rsidRDefault="00BD4614" w:rsidP="00E36728">
      <w:pPr>
        <w:pStyle w:val="InstructionsText2"/>
        <w:numPr>
          <w:ilvl w:val="1"/>
          <w:numId w:val="15"/>
        </w:numPr>
      </w:pPr>
      <w:r>
        <w:t xml:space="preserve">zvaigznītes zīmi izmanto, lai norādītu, ka atsauce ietver iepriekš norādītās rindas vai slejas.</w:t>
      </w:r>
    </w:p>
    <w:p w14:paraId="7F222ACA" w14:textId="4175B580" w:rsidR="002648B0" w:rsidRPr="00FB08AF" w:rsidRDefault="002648B0" w:rsidP="00BA4811">
      <w:pPr>
        <w:pStyle w:val="Numberedtilelevel1"/>
        <w:numPr>
          <w:ilvl w:val="1"/>
          <w:numId w:val="30"/>
        </w:numPr>
      </w:pPr>
      <w:bookmarkStart w:id="19" w:name="_Toc360188321"/>
      <w:bookmarkStart w:id="20" w:name="_Toc473560869"/>
      <w:bookmarkStart w:id="21" w:name="_Toc16868628"/>
      <w:bookmarkStart w:id="22" w:name="_Toc45558476"/>
      <w:r>
        <w:t xml:space="preserve">Pieņemtā prakse attiecībā uz zīmēm</w:t>
      </w:r>
      <w:bookmarkEnd w:id="13"/>
      <w:bookmarkEnd w:id="14"/>
      <w:bookmarkEnd w:id="19"/>
      <w:bookmarkEnd w:id="20"/>
      <w:bookmarkEnd w:id="21"/>
      <w:bookmarkEnd w:id="22"/>
    </w:p>
    <w:p w14:paraId="5CD09166" w14:textId="3D59906B" w:rsidR="002648B0" w:rsidRPr="00FB08AF" w:rsidRDefault="002648B0" w:rsidP="00E36728">
      <w:pPr>
        <w:pStyle w:val="InstructionsText2"/>
      </w:pPr>
      <w:r>
        <w:t xml:space="preserve">Jebkuru summu, kas palielina pašu kapitālu un atbilstīgās saistības, riska darījumu riska svērtās vērtības, sviras rādītāja riska darījumu vērtības mēru vai prasības, uzrāda kā pozitīvu skaitli.</w:t>
      </w:r>
      <w:r>
        <w:t xml:space="preserve"> </w:t>
      </w:r>
      <w:r>
        <w:t xml:space="preserve">Turpretī jebkuru summu, kas samazina pašu kapitālu un atbilstīgās saistības, riska darījumu riska svērtās vērtības, sviras rādītāja riska darījumu mēru vai prasības, uzrāda kā negatīvu skaitli.</w:t>
      </w:r>
      <w:r>
        <w:t xml:space="preserve"> </w:t>
      </w:r>
      <w:r>
        <w:t xml:space="preserve">Ja pirms posteņa apzīmējuma ir mīnus zīme (–), attiecībā uz šo posteni nav sagaidāma pozitīva vērtība.</w:t>
      </w:r>
    </w:p>
    <w:p w14:paraId="4866E65F" w14:textId="7E31C83B" w:rsidR="00304CA5" w:rsidRPr="00FB08AF" w:rsidRDefault="001F2830" w:rsidP="00BA4811">
      <w:pPr>
        <w:pStyle w:val="Numberedtilelevel1"/>
        <w:numPr>
          <w:ilvl w:val="1"/>
          <w:numId w:val="30"/>
        </w:numPr>
      </w:pPr>
      <w:bookmarkStart w:id="23" w:name="_Toc16868629"/>
      <w:bookmarkStart w:id="24" w:name="_Toc45558477"/>
      <w:bookmarkEnd w:id="23"/>
      <w:bookmarkEnd w:id="24"/>
      <w:r>
        <w:t xml:space="preserve">Saīsinājumi un definīcijas</w:t>
      </w:r>
    </w:p>
    <w:p w14:paraId="246BFF93" w14:textId="656D592B" w:rsidR="007D41F2" w:rsidRPr="00FB08AF" w:rsidRDefault="007D41F2" w:rsidP="00E36728">
      <w:pPr>
        <w:pStyle w:val="InstructionsText2"/>
      </w:pPr>
      <w:r>
        <w:t xml:space="preserve">Šīs regulas pielikumos piemēro šādus saīsinājumus un definīcijas:</w:t>
      </w:r>
    </w:p>
    <w:p w14:paraId="570D1886" w14:textId="129F471C" w:rsidR="007A0406" w:rsidRPr="00FB08AF" w:rsidRDefault="006876BA" w:rsidP="00E36728">
      <w:pPr>
        <w:pStyle w:val="InstructionsText2"/>
        <w:numPr>
          <w:ilvl w:val="1"/>
          <w:numId w:val="15"/>
        </w:numPr>
      </w:pPr>
      <w:r>
        <w:t xml:space="preserve"> </w:t>
      </w:r>
      <w:r>
        <w:t xml:space="preserve">“</w:t>
      </w:r>
      <w:r>
        <w:rPr>
          <w:i/>
          <w:iCs/>
        </w:rPr>
        <w:t xml:space="preserve">MREL</w:t>
      </w:r>
      <w:r>
        <w:t xml:space="preserve">” ir minimuma prasība pašu kapitālam un atbilstīgajām saistībām, kas definēta Direktīvas 2014/59/ES 45. pantā;</w:t>
      </w:r>
    </w:p>
    <w:p w14:paraId="57536738" w14:textId="0377AEDA" w:rsidR="007A0406" w:rsidRPr="00FB08AF" w:rsidRDefault="007A0406" w:rsidP="00E36728">
      <w:pPr>
        <w:pStyle w:val="InstructionsText2"/>
        <w:numPr>
          <w:ilvl w:val="1"/>
          <w:numId w:val="15"/>
        </w:numPr>
      </w:pPr>
      <w:r>
        <w:t xml:space="preserve">“</w:t>
      </w:r>
      <w:r>
        <w:rPr>
          <w:i/>
          <w:iCs/>
        </w:rPr>
        <w:t xml:space="preserve">TLAC</w:t>
      </w:r>
      <w:r>
        <w:t xml:space="preserve">” ir prasība pašu kapitālam un atbilstīgajām saistībām, kas noteikta globāli sistēmiski nozīmīgām iestādēm (G-SNI) saskaņā ar Regulas (ES) Nr. 575/2013 92.a pantu;</w:t>
      </w:r>
    </w:p>
    <w:p w14:paraId="2F8292A9" w14:textId="510A8DF1" w:rsidR="005C73C9" w:rsidRPr="00FB08AF" w:rsidRDefault="005C73C9" w:rsidP="00E36728">
      <w:pPr>
        <w:pStyle w:val="InstructionsText2"/>
        <w:numPr>
          <w:ilvl w:val="1"/>
          <w:numId w:val="15"/>
        </w:numPr>
      </w:pPr>
      <w:r>
        <w:t xml:space="preserve">“iekšējā </w:t>
      </w:r>
      <w:r>
        <w:rPr>
          <w:i/>
          <w:iCs/>
        </w:rPr>
        <w:t xml:space="preserve">TLAC</w:t>
      </w:r>
      <w:r>
        <w:t xml:space="preserve">” ir prasība pašu kapitālam un atbilstīgajām saistībām, kas noteikta ārpussavienības G-SNI saskaņā ar Regulas (ES) Nr. 575/2013 92.b pantu;</w:t>
      </w:r>
    </w:p>
    <w:p w14:paraId="20FFA708" w14:textId="217BA515" w:rsidR="008E638A" w:rsidRPr="00FB08AF" w:rsidRDefault="008E638A" w:rsidP="00E36728">
      <w:pPr>
        <w:pStyle w:val="InstructionsText2"/>
        <w:numPr>
          <w:ilvl w:val="1"/>
          <w:numId w:val="15"/>
        </w:numPr>
      </w:pPr>
      <w:r>
        <w:t xml:space="preserve">“iekšējā </w:t>
      </w:r>
      <w:r>
        <w:rPr>
          <w:i/>
          <w:iCs/>
        </w:rPr>
        <w:t xml:space="preserve">MREL</w:t>
      </w:r>
      <w:r>
        <w:t xml:space="preserve">” attiecas uz </w:t>
      </w:r>
      <w:r>
        <w:rPr>
          <w:i/>
          <w:iCs/>
        </w:rPr>
        <w:t xml:space="preserve">MREL</w:t>
      </w:r>
      <w:r>
        <w:t xml:space="preserve">, ko piemēro vienībām, kas pašas nav noregulējuma vienības saskaņā ar Direktīvas 2014/59/ES 45.f pantu;</w:t>
      </w:r>
    </w:p>
    <w:p w14:paraId="549385E1" w14:textId="142F130E" w:rsidR="00A335B4" w:rsidRPr="00FB08AF" w:rsidRDefault="00A335B4" w:rsidP="00E36728">
      <w:pPr>
        <w:pStyle w:val="InstructionsText2"/>
        <w:numPr>
          <w:ilvl w:val="1"/>
          <w:numId w:val="15"/>
        </w:numPr>
      </w:pPr>
      <w:r>
        <w:t xml:space="preserve">“neizmantota iepriekšējas atļaujas summa” ir summa, uz kuru attiecas iepriekšēja atļauja atsaukt, dzēst, atmaksāt vai atpirkt pašu kapitāla instrumentus saskaņā ar Regulas (ES) Nr. 575/2013 78. pantu vai atbilstīgo saistību instrumentus saskaņā ar minētās regulas 78.a pantu, ciktāl pārskatu sniedzošā sabiedrība minēto summu vēl nav izmantojusi, lai atsauktu, dzēstu, atmaksātu vai atpirktu instrumentus.</w:t>
      </w:r>
      <w:r>
        <w:t xml:space="preserve"> </w:t>
      </w:r>
      <w:r>
        <w:t xml:space="preserve">Ja atļauja ir </w:t>
      </w:r>
      <w:r>
        <w:rPr>
          <w:i/>
          <w:iCs/>
        </w:rPr>
        <w:t xml:space="preserve">ad hoc</w:t>
      </w:r>
      <w:r>
        <w:t xml:space="preserve"> atļauja un attiecas uz atpērkamiem instrumentiem, par kuriem nav pietiekamas noteiktības, ka pirkšanas iespēja tiks izpildīta, neizmantotā iepriekšējās atļaujas summa izslēdz šādus instrumentus;</w:t>
      </w:r>
    </w:p>
    <w:p w14:paraId="228F5767" w14:textId="2A472080" w:rsidR="00A335B4" w:rsidRPr="00FB08AF" w:rsidRDefault="00A335B4" w:rsidP="00E36728">
      <w:pPr>
        <w:pStyle w:val="InstructionsText2"/>
        <w:numPr>
          <w:ilvl w:val="1"/>
          <w:numId w:val="15"/>
        </w:numPr>
      </w:pPr>
      <w:r>
        <w:t xml:space="preserve">“neizmantota </w:t>
      </w:r>
      <w:r>
        <w:rPr>
          <w:i/>
          <w:iCs/>
        </w:rPr>
        <w:t xml:space="preserve">ad hoc</w:t>
      </w:r>
      <w:r>
        <w:t xml:space="preserve"> atļaujas summa” ir summa, uz kuru attiecas </w:t>
      </w:r>
      <w:r>
        <w:rPr>
          <w:i/>
          <w:iCs/>
        </w:rPr>
        <w:t xml:space="preserve">ad hoc</w:t>
      </w:r>
      <w:r>
        <w:t xml:space="preserve"> iepriekšēja atļauja atsaukt, dzēst, atmaksāt vai atpirkt konkrētus pašu kapitāla instrumentus saskaņā ar Regulas (ES) Nr. 575/2013 78. panta 1. punkta pirmo daļu saistībā ar </w:t>
      </w:r>
      <w:r>
        <w:t xml:space="preserve">Komisijas Deleģētās regulas (ES) Nr. 241/2014</w:t>
      </w:r>
      <w:r w:rsidR="00295371" w:rsidRPr="00FB08AF">
        <w:rPr>
          <w:rStyle w:val="FootnoteReference"/>
          <w:bCs/>
        </w:rPr>
        <w:footnoteReference w:id="2"/>
      </w:r>
      <w:r>
        <w:t xml:space="preserve"> 28. panta 5. punktu, vai īpašus atbilstīgo saistību instrumentus saskaņā ar Regulas (ES) Nr. 575/2013 78.a pantu </w:t>
      </w:r>
      <w:r>
        <w:t xml:space="preserve">saistībā ar Deleģētās regulas (ES) Nr. 241/2014 32.b panta 2. punktu, ciktāl pārskatu sniedzošā sabiedrība minēto summu vēl nav izmantojusi, lai atsauktu, dzēstu, atmaksātu vai atpirktu minētos instrumentus.</w:t>
      </w:r>
      <w:r>
        <w:t xml:space="preserve"> </w:t>
      </w:r>
      <w:r>
        <w:t xml:space="preserve">Ja atļauja attiecas uz atpērkamiem instrumentiem, par kuriem nav pietiekamas noteiktības, ka pirkšanas iespēja tiks izpildīta, neizmantotā iepriekšējās atļaujas summa neietver šādus instrumentus;</w:t>
      </w:r>
    </w:p>
    <w:p w14:paraId="2817175F" w14:textId="48A4A2F6" w:rsidR="001B1864" w:rsidRPr="00FB08AF" w:rsidRDefault="001B1864" w:rsidP="00E36728">
      <w:pPr>
        <w:pStyle w:val="InstructionsText2"/>
        <w:numPr>
          <w:ilvl w:val="1"/>
          <w:numId w:val="15"/>
        </w:numPr>
      </w:pPr>
      <w:r>
        <w:t xml:space="preserve">“neizmantota vispārējās atļaujas summa” jeb “neizmantotā ZPI summa” ir summa, uz kuru attiecas iepriekšēja atļauja atsaukt, dzēst, atmaksāt vai atpirkt pašu kapitāla instrumentus saskaņā ar Regulas (ES) Nr. 575/2013 78. panta 1. punkta otro daļu saistībā ar </w:t>
      </w:r>
      <w:r>
        <w:t xml:space="preserve">Deleģētās regulas (ES) Nr. 241/2014 28. panta 3. punktu, vai atbilstīgo saistību instrumentus saskaņā ar Regulas (ES) Nr. 575/2013</w:t>
      </w:r>
      <w:r>
        <w:t xml:space="preserve"> 78.a pantu saistībā ar Deleģētās regulas (ES) Nr. 241/2014 32.b panta 3. un 5. punktu, ciktāl pārskatu sniedzošā sabiedrība minēto summu vēl nav izmantojusi, lai atsauktu, dzēstu, atmaksātu vai atpirktu minētos instrumentus.</w:t>
      </w:r>
      <w:r>
        <w:t xml:space="preserve"> </w:t>
      </w:r>
    </w:p>
    <w:p w14:paraId="6568EFDF" w14:textId="77777777" w:rsidR="00304CA5" w:rsidRPr="00FB08AF" w:rsidRDefault="00304CA5" w:rsidP="004125A1">
      <w:pPr>
        <w:rPr>
          <w:rFonts w:ascii="Times New Roman" w:hAnsi="Times New Roman"/>
        </w:rPr>
      </w:pPr>
    </w:p>
    <w:p w14:paraId="31426CA0" w14:textId="02347391" w:rsidR="004A4EB9" w:rsidRPr="00FB08AF" w:rsidRDefault="004A4EB9" w:rsidP="007B2300">
      <w:pPr>
        <w:pStyle w:val="body"/>
      </w:pPr>
      <w:bookmarkStart w:id="25" w:name="_Toc264033192"/>
      <w:bookmarkEnd w:id="25"/>
    </w:p>
    <w:p w14:paraId="314229FD" w14:textId="77777777" w:rsidR="00AD3F9D" w:rsidRPr="00FB08AF" w:rsidRDefault="00AD3F9D" w:rsidP="00E36728">
      <w:pPr>
        <w:pStyle w:val="InstructionsText2"/>
        <w:sectPr w:rsidR="00AD3F9D" w:rsidRPr="00FB08AF" w:rsidSect="00A801A9">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417" w:right="1417" w:bottom="1134" w:left="1417" w:header="708" w:footer="708" w:gutter="0"/>
          <w:cols w:space="708"/>
          <w:rtlGutter/>
          <w:docGrid w:linePitch="360"/>
        </w:sectPr>
      </w:pPr>
    </w:p>
    <w:p w14:paraId="2FB2FFF1" w14:textId="001A0A83" w:rsidR="002648B0" w:rsidRPr="00FB08AF" w:rsidRDefault="002648B0" w:rsidP="00D64B66">
      <w:pPr>
        <w:pStyle w:val="Heading2"/>
        <w:rPr>
          <w:rFonts w:ascii="Times New Roman" w:hAnsi="Times New Roman"/>
        </w:rPr>
      </w:pPr>
      <w:bookmarkStart w:id="26" w:name="_Toc360188322"/>
      <w:bookmarkStart w:id="27" w:name="_Toc473560870"/>
      <w:bookmarkStart w:id="28" w:name="_Toc45558478"/>
      <w:r>
        <w:rPr>
          <w:rFonts w:ascii="Times New Roman" w:hAnsi="Times New Roman"/>
        </w:rPr>
        <w:t xml:space="preserve">II DAĻA.</w:t>
      </w:r>
      <w:r>
        <w:rPr>
          <w:rFonts w:ascii="Times New Roman" w:hAnsi="Times New Roman"/>
        </w:rPr>
        <w:t xml:space="preserve"> </w:t>
      </w:r>
      <w:r>
        <w:rPr>
          <w:rFonts w:ascii="Times New Roman" w:hAnsi="Times New Roman"/>
        </w:rPr>
        <w:t xml:space="preserve">NORĀDĪJUMI SAISTĪBĀ AR VEIDNI</w:t>
      </w:r>
      <w:bookmarkEnd w:id="26"/>
      <w:bookmarkEnd w:id="27"/>
      <w:bookmarkEnd w:id="28"/>
    </w:p>
    <w:p w14:paraId="011193F3" w14:textId="255CE50E" w:rsidR="002648B0" w:rsidRPr="00FB08AF" w:rsidRDefault="00F753F4" w:rsidP="00873459">
      <w:pPr>
        <w:pStyle w:val="Numberedtilelevel1"/>
        <w:numPr>
          <w:ilvl w:val="0"/>
          <w:numId w:val="31"/>
        </w:numPr>
      </w:pPr>
      <w:bookmarkStart w:id="29" w:name="_Toc45558479"/>
      <w:r>
        <w:t xml:space="preserve">Summas:</w:t>
      </w:r>
      <w:r>
        <w:t xml:space="preserve"> </w:t>
      </w:r>
      <w:r>
        <w:t xml:space="preserve">M 01.00 –</w:t>
      </w:r>
      <w:r>
        <w:rPr>
          <w:i/>
          <w:iCs/>
        </w:rPr>
        <w:t xml:space="preserve">MREL</w:t>
      </w:r>
      <w:r>
        <w:t xml:space="preserve"> un </w:t>
      </w:r>
      <w:r>
        <w:rPr>
          <w:i/>
          <w:iCs/>
        </w:rPr>
        <w:t xml:space="preserve">TLAC</w:t>
      </w:r>
      <w:r>
        <w:t xml:space="preserve"> galvenie rādītāji (</w:t>
      </w:r>
      <w:r>
        <w:rPr>
          <w:i/>
          <w:iCs/>
        </w:rPr>
        <w:t xml:space="preserve">KM2</w:t>
      </w:r>
      <w:r>
        <w:t xml:space="preserve">)</w:t>
      </w:r>
      <w:bookmarkEnd w:id="29"/>
    </w:p>
    <w:p w14:paraId="33F01D1B" w14:textId="77777777" w:rsidR="00443BEC" w:rsidRPr="00FB08AF" w:rsidRDefault="00443BEC" w:rsidP="00C271AC">
      <w:pPr>
        <w:pStyle w:val="Numberedtilelevel1"/>
        <w:numPr>
          <w:ilvl w:val="1"/>
          <w:numId w:val="30"/>
        </w:numPr>
      </w:pPr>
      <w:bookmarkStart w:id="30" w:name="_Toc45558480"/>
      <w:r>
        <w:t xml:space="preserve">Vispārīgas piezīmes</w:t>
      </w:r>
      <w:bookmarkEnd w:id="30"/>
    </w:p>
    <w:p w14:paraId="6B3CD7BF" w14:textId="035C8958" w:rsidR="00902E77" w:rsidRPr="00FB08AF" w:rsidRDefault="002701C8" w:rsidP="00E36728">
      <w:pPr>
        <w:pStyle w:val="InstructionsText2"/>
      </w:pPr>
      <w:r>
        <w:t xml:space="preserve">Sleju, kas attiecas uz minimuma prasību pašu kapitālam un atbilstīgajām saistībām (</w:t>
      </w:r>
      <w:r>
        <w:rPr>
          <w:i/>
          <w:iCs/>
        </w:rPr>
        <w:t xml:space="preserve">MREL</w:t>
      </w:r>
      <w:r>
        <w:t xml:space="preserve">), aizpilda vienības, kurām piemēro minimuma prasību pašu kapitālam un atbilstīgajām saistībām saskaņā ar Direktīvas 2014/59/ES 45.e pantu.</w:t>
      </w:r>
      <w:r>
        <w:t xml:space="preserve"> </w:t>
      </w:r>
      <w:r>
        <w:t xml:space="preserve">Tikai tās vienības, kurām ir pienākums izpildīt Regulas (ES) Nr. 575/2013 92.a pantā noteikto prasību, uzrāda posteņus, kas attiecas uz G-SNI prasību pašu kapitālam un atbilstīgajām saistībām (</w:t>
      </w:r>
      <w:r>
        <w:rPr>
          <w:i/>
          <w:iCs/>
        </w:rPr>
        <w:t xml:space="preserve">TLAC</w:t>
      </w:r>
      <w:r>
        <w:t xml:space="preserve">).</w:t>
      </w:r>
    </w:p>
    <w:p w14:paraId="507A7131" w14:textId="63A7BD8F" w:rsidR="00443BEC" w:rsidRPr="00FB08AF" w:rsidRDefault="00443BEC" w:rsidP="00443BEC">
      <w:pPr>
        <w:pStyle w:val="Numberedtilelevel1"/>
        <w:numPr>
          <w:ilvl w:val="1"/>
          <w:numId w:val="30"/>
        </w:numPr>
      </w:pPr>
      <w:bookmarkStart w:id="31" w:name="_Toc45558481"/>
      <w:r>
        <w:t xml:space="preserve">Norādījumi par konkrētām pozīcijām</w:t>
      </w:r>
      <w:bookmarkEnd w:id="31"/>
    </w:p>
    <w:tbl>
      <w:tblPr>
        <w:tblW w:w="8749" w:type="dxa"/>
        <w:tblInd w:w="539" w:type="dxa"/>
        <w:tblLayout w:type="fixed"/>
        <w:tblLook w:val="00A0" w:firstRow="1" w:lastRow="0" w:firstColumn="1" w:lastColumn="0" w:noHBand="0" w:noVBand="0"/>
      </w:tblPr>
      <w:tblGrid>
        <w:gridCol w:w="1129"/>
        <w:gridCol w:w="7620"/>
      </w:tblGrid>
      <w:tr w:rsidR="00FB08AF" w:rsidRPr="00FB08AF" w14:paraId="76045A07"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D9D9D9"/>
          </w:tcPr>
          <w:p w14:paraId="491DC8DF" w14:textId="77777777" w:rsidR="00FF0E1F" w:rsidRPr="00FB08AF" w:rsidRDefault="00FF0E1F" w:rsidP="00E36728">
            <w:pPr>
              <w:pStyle w:val="InstructionsText"/>
            </w:pPr>
            <w:r>
              <w:t xml:space="preserve">Slejas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16AFEC2E" w14:textId="77777777" w:rsidR="00FF0E1F" w:rsidRPr="00FB08AF" w:rsidRDefault="00FF0E1F" w:rsidP="00E36728">
            <w:pPr>
              <w:pStyle w:val="InstructionsText"/>
            </w:pPr>
            <w:r>
              <w:t xml:space="preserve">Atsauces uz tiesību aktu noteikumiem un norādījumi</w:t>
            </w:r>
          </w:p>
        </w:tc>
      </w:tr>
      <w:tr w:rsidR="00FB08AF" w:rsidRPr="00FB08AF" w14:paraId="5ABDF8AA"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1FFEBD06" w14:textId="48A203E7" w:rsidR="00B24942" w:rsidRPr="00FB08AF" w:rsidRDefault="00B24942"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3375FF9" w14:textId="77777777"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Minimuma prasība pašu kapitālam un atbilstīgajām saistībām (</w:t>
            </w:r>
            <w:r>
              <w:rPr>
                <w:rStyle w:val="InstructionsTabelleberschrift"/>
                <w:sz w:val="24"/>
                <w:i/>
                <w:iCs/>
                <w:rFonts w:ascii="Times New Roman" w:hAnsi="Times New Roman"/>
              </w:rPr>
              <w:t xml:space="preserve">MREL</w:t>
            </w:r>
            <w:r>
              <w:rPr>
                <w:rStyle w:val="InstructionsTabelleberschrift"/>
                <w:sz w:val="24"/>
                <w:rFonts w:ascii="Times New Roman" w:hAnsi="Times New Roman"/>
              </w:rPr>
              <w:t xml:space="preserve">)</w:t>
            </w:r>
          </w:p>
          <w:p w14:paraId="2AD8D05B" w14:textId="3CD8A827" w:rsidR="00B24942" w:rsidRPr="00FB08AF" w:rsidRDefault="00B24942" w:rsidP="00E36728">
            <w:pPr>
              <w:pStyle w:val="InstructionsText"/>
            </w:pPr>
            <w:r>
              <w:t xml:space="preserve">Direktīvas 2014/59/ES 45. un 45.e pants</w:t>
            </w:r>
          </w:p>
        </w:tc>
      </w:tr>
      <w:tr w:rsidR="00B24942" w:rsidRPr="00FB08AF" w14:paraId="0E066ADC" w14:textId="77777777" w:rsidTr="00FF0E1F">
        <w:tc>
          <w:tcPr>
            <w:tcW w:w="1129" w:type="dxa"/>
            <w:tcBorders>
              <w:top w:val="single" w:sz="4" w:space="0" w:color="auto"/>
              <w:left w:val="single" w:sz="4" w:space="0" w:color="auto"/>
              <w:bottom w:val="single" w:sz="4" w:space="0" w:color="auto"/>
              <w:right w:val="single" w:sz="4" w:space="0" w:color="auto"/>
            </w:tcBorders>
            <w:shd w:val="clear" w:color="auto" w:fill="auto"/>
          </w:tcPr>
          <w:p w14:paraId="45327B7F" w14:textId="17F5FFCB" w:rsidR="00B24942" w:rsidRPr="00FB08AF" w:rsidRDefault="00B24942"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31B21F8" w14:textId="642A69C0" w:rsidR="00B24942" w:rsidRPr="00FB08AF" w:rsidRDefault="00B2494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kapitāla un atbilstīgo saistību prasība G-SNI (</w:t>
            </w:r>
            <w:r>
              <w:rPr>
                <w:rStyle w:val="InstructionsTabelleberschrift"/>
                <w:sz w:val="24"/>
                <w:i/>
                <w:iCs/>
                <w:rFonts w:ascii="Times New Roman" w:hAnsi="Times New Roman"/>
              </w:rPr>
              <w:t xml:space="preserve">TLAC</w:t>
            </w:r>
            <w:r>
              <w:rPr>
                <w:rStyle w:val="InstructionsTabelleberschrift"/>
                <w:sz w:val="24"/>
                <w:rFonts w:ascii="Times New Roman" w:hAnsi="Times New Roman"/>
              </w:rPr>
              <w:t xml:space="preserve">)</w:t>
            </w:r>
          </w:p>
          <w:p w14:paraId="3CB88656" w14:textId="5EB7C7A4" w:rsidR="00B24942" w:rsidRPr="00FB08AF" w:rsidRDefault="00B24942" w:rsidP="00E36728">
            <w:pPr>
              <w:pStyle w:val="InstructionsText"/>
              <w:rPr>
                <w:rStyle w:val="InstructionsTabelleberschrift"/>
                <w:sz w:val="24"/>
                <w:rFonts w:ascii="Times New Roman" w:hAnsi="Times New Roman"/>
              </w:rPr>
            </w:pPr>
            <w:r>
              <w:t xml:space="preserve">Regulas (ES) Nr. 575/2013 92.a pants</w:t>
            </w:r>
          </w:p>
        </w:tc>
      </w:tr>
    </w:tbl>
    <w:p w14:paraId="131E3F94" w14:textId="2091667C" w:rsidR="00FF0E1F" w:rsidRPr="00FB08AF" w:rsidRDefault="00FF0E1F"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3CA212D1" w14:textId="77777777" w:rsidTr="00482729">
        <w:tc>
          <w:tcPr>
            <w:tcW w:w="1129" w:type="dxa"/>
            <w:shd w:val="clear" w:color="auto" w:fill="D9D9D9"/>
          </w:tcPr>
          <w:p w14:paraId="3C2709B8"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Rinda</w:t>
            </w:r>
          </w:p>
        </w:tc>
        <w:tc>
          <w:tcPr>
            <w:tcW w:w="7620" w:type="dxa"/>
            <w:shd w:val="clear" w:color="auto" w:fill="D9D9D9"/>
          </w:tcPr>
          <w:p w14:paraId="40ACB4D4"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Atsauces uz tiesību aktu noteikumiem un norādījumi</w:t>
            </w:r>
          </w:p>
        </w:tc>
      </w:tr>
      <w:tr w:rsidR="00FB08AF" w:rsidRPr="00FB08AF" w14:paraId="10EE241B" w14:textId="77777777" w:rsidTr="00482729">
        <w:tc>
          <w:tcPr>
            <w:tcW w:w="1129" w:type="dxa"/>
          </w:tcPr>
          <w:p w14:paraId="02D860CF" w14:textId="09C9E02C"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0100 - 0120</w:t>
            </w:r>
          </w:p>
        </w:tc>
        <w:tc>
          <w:tcPr>
            <w:tcW w:w="7620" w:type="dxa"/>
          </w:tcPr>
          <w:p w14:paraId="420690CF" w14:textId="4B72D8DC" w:rsidR="00482729" w:rsidRPr="00FB08AF" w:rsidRDefault="00D61796"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Kopējā riska darījumu vērtība un kopējās riska darījumu vērtības mērs</w:t>
            </w:r>
            <w:r>
              <w:rPr>
                <w:rStyle w:val="InstructionsTabelleberschrift"/>
                <w:sz w:val="24"/>
                <w:rFonts w:ascii="Times New Roman" w:hAnsi="Times New Roman"/>
              </w:rPr>
              <w:t xml:space="preserve"> </w:t>
            </w:r>
          </w:p>
        </w:tc>
      </w:tr>
      <w:tr w:rsidR="00FB08AF" w:rsidRPr="00FB08AF" w14:paraId="4ABF163D" w14:textId="77777777" w:rsidTr="00482729">
        <w:tc>
          <w:tcPr>
            <w:tcW w:w="1129" w:type="dxa"/>
          </w:tcPr>
          <w:p w14:paraId="1AEBCE31"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Pr>
          <w:p w14:paraId="6351F1FC" w14:textId="14541FAF"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Kopējā riska darījumu vērtība (</w:t>
            </w:r>
            <w:r>
              <w:rPr>
                <w:rStyle w:val="InstructionsTabelleberschrift"/>
                <w:sz w:val="24"/>
                <w:i/>
                <w:iCs/>
                <w:rFonts w:ascii="Times New Roman" w:hAnsi="Times New Roman"/>
              </w:rPr>
              <w:t xml:space="preserve">TREA</w:t>
            </w:r>
            <w:r>
              <w:rPr>
                <w:rStyle w:val="InstructionsTabelleberschrift"/>
                <w:sz w:val="24"/>
                <w:rFonts w:ascii="Times New Roman" w:hAnsi="Times New Roman"/>
              </w:rPr>
              <w:t xml:space="preserve">)</w:t>
            </w:r>
          </w:p>
          <w:p w14:paraId="2DCC2520" w14:textId="7A3D9C76" w:rsidR="00EB663A"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Direktīvas 2014/59/ES 45. panta 2. punkta a) apakšpunkts un Regulas (ES) Nr. 575/2013 92. panta 3. punkts.</w:t>
            </w:r>
          </w:p>
          <w:p w14:paraId="59BD35A0" w14:textId="68EBF60A" w:rsidR="00482729"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uzrādītā kopējā riska darījumu vērtība ir kopējā riska darījumu vērtība, kas ir pamatā, lai nodrošinātu atbilstību attiecīgi Direktīvas 2014/59/ES 45. pantā vai Regulas (ES) Nr. 575/2013 92.a pantā noteiktajām prasībām.</w:t>
            </w:r>
          </w:p>
        </w:tc>
      </w:tr>
      <w:tr w:rsidR="00FB08AF" w:rsidRPr="00FB08AF" w14:paraId="3AD21AA0" w14:textId="77777777" w:rsidTr="00482729">
        <w:tc>
          <w:tcPr>
            <w:tcW w:w="1129" w:type="dxa"/>
          </w:tcPr>
          <w:p w14:paraId="1FC4F735"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Pr>
          <w:p w14:paraId="624C65F2" w14:textId="5BF3693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Kopējās riska darījumu vērtības mērs (</w:t>
            </w:r>
            <w:r>
              <w:rPr>
                <w:rStyle w:val="InstructionsTabelleberschrift"/>
                <w:sz w:val="24"/>
                <w:i/>
                <w:iCs/>
                <w:rFonts w:ascii="Times New Roman" w:hAnsi="Times New Roman"/>
              </w:rPr>
              <w:t xml:space="preserve">TEM</w:t>
            </w:r>
            <w:r>
              <w:rPr>
                <w:rStyle w:val="InstructionsTabelleberschrift"/>
                <w:sz w:val="24"/>
                <w:rFonts w:ascii="Times New Roman" w:hAnsi="Times New Roman"/>
              </w:rPr>
              <w:t xml:space="preserve">)</w:t>
            </w:r>
          </w:p>
          <w:p w14:paraId="1A7F5C6F" w14:textId="31F45D0B" w:rsidR="00482729" w:rsidRPr="00FB08AF" w:rsidRDefault="00833ACC" w:rsidP="00740250">
            <w:pPr>
              <w:rPr>
                <w:rStyle w:val="FormatvorlageInstructionsTabelleText"/>
                <w:sz w:val="24"/>
                <w:rFonts w:ascii="Times New Roman" w:hAnsi="Times New Roman"/>
              </w:rPr>
            </w:pPr>
            <w:r>
              <w:rPr>
                <w:rStyle w:val="FormatvorlageInstructionsTabelleText"/>
                <w:sz w:val="24"/>
                <w:rFonts w:ascii="Times New Roman" w:hAnsi="Times New Roman"/>
              </w:rPr>
              <w:t xml:space="preserve">Direktīvas 2014/59/ES 45. panta 2. punkta b) apakšpunkts un Regulas (ES) Nr. 575/2013 429. panta 4. punkts un 429.a pants.</w:t>
            </w:r>
          </w:p>
          <w:p w14:paraId="27EFEFE0" w14:textId="06A23103" w:rsidR="00EB663A" w:rsidRPr="00FB08AF" w:rsidRDefault="00EB663A" w:rsidP="00454476">
            <w:pPr>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uzrādītais kopējās riska darījumu vērtības mērs ir kopējās riska darījumu vērtības mērs, kas ir pamats, lai nodrošinātu atbilstību attiecīgi Direktīvas 2014/59/ES 45. pantā vai Regulas (ES) Nr. 575/2013 92.a pantā noteiktajām prasībām.</w:t>
            </w:r>
          </w:p>
        </w:tc>
      </w:tr>
      <w:tr w:rsidR="00FB08AF" w:rsidRPr="00FB08AF" w14:paraId="5ACF39FB" w14:textId="77777777" w:rsidTr="00482729">
        <w:tc>
          <w:tcPr>
            <w:tcW w:w="1129" w:type="dxa"/>
          </w:tcPr>
          <w:p w14:paraId="1A555FC6" w14:textId="6E8FDEAE"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0200 - 0230</w:t>
            </w:r>
          </w:p>
        </w:tc>
        <w:tc>
          <w:tcPr>
            <w:tcW w:w="7620" w:type="dxa"/>
          </w:tcPr>
          <w:p w14:paraId="5847F001" w14:textId="7DB76AE6"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w:t>
            </w:r>
          </w:p>
        </w:tc>
      </w:tr>
      <w:tr w:rsidR="00FB08AF" w:rsidRPr="00FB08AF" w14:paraId="56610C42" w14:textId="77777777" w:rsidTr="00482729">
        <w:tc>
          <w:tcPr>
            <w:tcW w:w="1129" w:type="dxa"/>
          </w:tcPr>
          <w:p w14:paraId="20C9006A" w14:textId="4D78796C" w:rsidR="00833ACC" w:rsidRPr="00FB08AF" w:rsidRDefault="00833AC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tcPr>
          <w:p w14:paraId="69CC3F9F" w14:textId="44BAB6DC" w:rsidR="00833ACC" w:rsidRPr="00FB08AF" w:rsidRDefault="00833AC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w:t>
            </w:r>
          </w:p>
          <w:p w14:paraId="23602173" w14:textId="13A6C1A6" w:rsidR="00014A29" w:rsidRPr="00FB08AF" w:rsidRDefault="00014A29" w:rsidP="00833ACC">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BB19EC3" w14:textId="6EEA08CA" w:rsidR="00833ACC" w:rsidRPr="00FB08AF" w:rsidRDefault="00833ACC" w:rsidP="00833ACC">
            <w:p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subordinēto atbilstīgo saistību summu, kas ieskaitīta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uzrāda kā summu, ko veido:</w:t>
            </w:r>
          </w:p>
          <w:p w14:paraId="48247D2D" w14:textId="593F7FE6" w:rsidR="00833ACC" w:rsidRPr="00FB08AF" w:rsidRDefault="00833ACC" w:rsidP="00454476">
            <w:pPr>
              <w:pStyle w:val="ListParagraph"/>
              <w:numPr>
                <w:ilvl w:val="0"/>
                <w:numId w:val="20"/>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kapitāls, kā definēts Regulas (EK) Nr. 575/2013 4. panta 1. punkta 118) apakšpunktā un 72. pantā;</w:t>
            </w:r>
            <w:r>
              <w:rPr>
                <w:rStyle w:val="FormatvorlageInstructionsTabelleText"/>
                <w:sz w:val="24"/>
                <w:rFonts w:ascii="Times New Roman" w:hAnsi="Times New Roman"/>
              </w:rPr>
              <w:t xml:space="preserve"> </w:t>
            </w:r>
          </w:p>
          <w:p w14:paraId="4562E31B" w14:textId="37D6374D" w:rsidR="00833ACC" w:rsidRPr="00FB08AF" w:rsidRDefault="00031DC6" w:rsidP="00454476">
            <w:pPr>
              <w:pStyle w:val="ListParagraph"/>
              <w:numPr>
                <w:ilvl w:val="0"/>
                <w:numId w:val="20"/>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atbilstīgās saistības, kā definēts Direktīvas 2014/59/ES 2. panta 1. punkta 71.a) apakšpunktā.</w:t>
            </w:r>
          </w:p>
          <w:p w14:paraId="08E53EB1" w14:textId="30145812" w:rsidR="00014A29" w:rsidRPr="00FB08AF" w:rsidRDefault="00014A29" w:rsidP="00CC7A43">
            <w:p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Direktīvas 2014/59/ES 55. pantā noteiktajām prasībām.</w:t>
            </w:r>
          </w:p>
          <w:p w14:paraId="3802483D" w14:textId="72951D63" w:rsidR="00014A29" w:rsidRPr="00FB08AF" w:rsidRDefault="00014A29" w:rsidP="007B2300">
            <w:pPr>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172C64BD" w14:textId="5B59747A" w:rsidR="00C74C49" w:rsidRPr="00FB08AF" w:rsidRDefault="00C74C49" w:rsidP="00CC7A43">
            <w:p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atbilstīgo saistību summa, ko ieskaita G-SNI prasībā pašu kapitālam un atbilstīgajām saistībām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ir summa, kas minēta Regulas (ES) Nr. 575/2013 72.l pantā un ko veido:</w:t>
            </w:r>
          </w:p>
          <w:p w14:paraId="2C797F81" w14:textId="05226138" w:rsidR="00C74C49" w:rsidRPr="00FB08AF" w:rsidRDefault="00C74C49" w:rsidP="00FC7D64">
            <w:pPr>
              <w:pStyle w:val="ListParagraph"/>
              <w:numPr>
                <w:ilvl w:val="0"/>
                <w:numId w:val="2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pašu kapitāls, kā definēts Regulas (EK) Nr. 575/2013 4. panta 1. punkta 118) apakšpunktā un 72. pantā;</w:t>
            </w:r>
          </w:p>
          <w:p w14:paraId="5A219BC0" w14:textId="42171A65" w:rsidR="00C60A1B" w:rsidRPr="00FB08AF" w:rsidRDefault="00C74C49" w:rsidP="00FC7D64">
            <w:pPr>
              <w:pStyle w:val="ListParagraph"/>
              <w:numPr>
                <w:ilvl w:val="0"/>
                <w:numId w:val="22"/>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atbilstīgās saistības saskaņā ar Regulas (ES) Nr. 575/2013 72.k pantu.</w:t>
            </w:r>
          </w:p>
        </w:tc>
      </w:tr>
      <w:tr w:rsidR="00FB08AF" w:rsidRPr="00FB08AF" w14:paraId="0580BAE0" w14:textId="77777777" w:rsidTr="00482729">
        <w:tc>
          <w:tcPr>
            <w:tcW w:w="1129" w:type="dxa"/>
          </w:tcPr>
          <w:p w14:paraId="7F1FCE61" w14:textId="5708257A"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tcPr>
          <w:p w14:paraId="4DC5951E" w14:textId="77777777"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kapitāls un subordinētās saistības</w:t>
            </w:r>
          </w:p>
          <w:p w14:paraId="2FF67EC2" w14:textId="46DA0283" w:rsidR="00CC7A43" w:rsidRPr="00FB08AF" w:rsidRDefault="00CC7A43"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Pašu kapitāla un subordinēto atbilstīgo saistību summu, kas ieskaitīta </w:t>
            </w:r>
            <w:r>
              <w:rPr>
                <w:rStyle w:val="InstructionsTabelleberschrift"/>
                <w:b w:val="0"/>
                <w:sz w:val="24"/>
                <w:u w:val="none"/>
                <w:i/>
                <w:iCs/>
                <w:rFonts w:ascii="Times New Roman" w:hAnsi="Times New Roman"/>
              </w:rPr>
              <w:t xml:space="preserve">MREL</w:t>
            </w:r>
            <w:r>
              <w:rPr>
                <w:rStyle w:val="InstructionsTabelleberschrift"/>
                <w:b w:val="0"/>
                <w:sz w:val="24"/>
                <w:u w:val="none"/>
                <w:rFonts w:ascii="Times New Roman" w:hAnsi="Times New Roman"/>
              </w:rPr>
              <w:t xml:space="preserve">, uzrāda kā summu, ko veido:</w:t>
            </w:r>
          </w:p>
          <w:p w14:paraId="1E69B0AB" w14:textId="728EBA78" w:rsidR="00CC7A43" w:rsidRPr="00FB08AF" w:rsidRDefault="00CC7A43" w:rsidP="007B2300">
            <w:pPr>
              <w:pStyle w:val="ListParagraph"/>
              <w:numPr>
                <w:ilvl w:val="0"/>
                <w:numId w:val="45"/>
              </w:numPr>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pašu </w:t>
            </w:r>
            <w:r>
              <w:rPr>
                <w:sz w:val="24"/>
                <w:rStyle w:val="FormatvorlageInstructionsTabelleText"/>
                <w:rFonts w:ascii="Times New Roman" w:hAnsi="Times New Roman"/>
              </w:rPr>
              <w:t xml:space="preserve">kapitāls</w:t>
            </w:r>
            <w:r>
              <w:rPr>
                <w:sz w:val="24"/>
                <w:rStyle w:val="InstructionsTabelleberschrift"/>
                <w:b w:val="0"/>
                <w:u w:val="none"/>
                <w:rFonts w:ascii="Times New Roman" w:hAnsi="Times New Roman"/>
              </w:rPr>
              <w:t xml:space="preserve">, kā definēts Regulas (EK) Nr. 575/2013 </w:t>
            </w:r>
            <w:r>
              <w:rPr>
                <w:sz w:val="24"/>
                <w:rStyle w:val="FormatvorlageInstructionsTabelleText"/>
                <w:rFonts w:ascii="Times New Roman" w:hAnsi="Times New Roman"/>
              </w:rPr>
              <w:t xml:space="preserve">4. panta 1. punkta 118) apakšpunktā un 72. pantā</w:t>
            </w:r>
            <w:r>
              <w:rPr>
                <w:sz w:val="24"/>
                <w:rStyle w:val="InstructionsTabelleberschrift"/>
                <w:b w:val="0"/>
                <w:u w:val="none"/>
                <w:rFonts w:ascii="Times New Roman" w:hAnsi="Times New Roman"/>
              </w:rPr>
              <w:t xml:space="preserve">;</w:t>
            </w:r>
          </w:p>
          <w:p w14:paraId="2CA01563" w14:textId="21173DD8" w:rsidR="00DE3106" w:rsidRPr="00FB08AF" w:rsidRDefault="00031DC6" w:rsidP="00E55589">
            <w:pPr>
              <w:pStyle w:val="ListParagraph"/>
              <w:numPr>
                <w:ilvl w:val="0"/>
                <w:numId w:val="45"/>
              </w:numPr>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atbilstīgās saistības, kas iekļautas </w:t>
            </w:r>
            <w:r>
              <w:rPr>
                <w:sz w:val="24"/>
                <w:rStyle w:val="FormatvorlageInstructionsTabelleText"/>
                <w:rFonts w:ascii="Times New Roman" w:hAnsi="Times New Roman"/>
              </w:rPr>
              <w:t xml:space="preserve">pašu kapitāla un atbilstīgo saistību summā saskaņā ar Direktīvas 2014/59/ES 45.b pantu un kas ir subordinēti atbilstīgi instrumenti, kā definēts minētās direktīvas 2. panta 1. punkta 71.b) apakšpunktā;</w:t>
            </w:r>
          </w:p>
          <w:p w14:paraId="013BC1DB" w14:textId="4C025BAC" w:rsidR="007B2300" w:rsidRPr="00FB08AF" w:rsidRDefault="00DE3106" w:rsidP="007B2300">
            <w:pPr>
              <w:pStyle w:val="ListParagraph"/>
              <w:numPr>
                <w:ilvl w:val="0"/>
                <w:numId w:val="45"/>
              </w:numPr>
              <w:rPr>
                <w:rStyle w:val="FormatvorlageInstructionsTabelleText"/>
                <w:sz w:val="24"/>
                <w:u w:val="single"/>
                <w:rFonts w:ascii="Times New Roman" w:hAnsi="Times New Roman"/>
              </w:rPr>
            </w:pPr>
            <w:r>
              <w:rPr>
                <w:sz w:val="24"/>
                <w:rStyle w:val="FormatvorlageInstructionsTabelleText"/>
                <w:rFonts w:ascii="Times New Roman" w:hAnsi="Times New Roman"/>
              </w:rPr>
              <w:t xml:space="preserve">saistības, kas iekļautas pašu kapitāla un atbilstīgo saistību summā saskaņā ar Direktīvas 2014/59/ES 45.b panta 3. punktu.</w:t>
            </w:r>
          </w:p>
          <w:p w14:paraId="6E9E5E3C" w14:textId="13AC4EF4" w:rsidR="00CC7A43" w:rsidRPr="00FB08AF" w:rsidRDefault="0036191E"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Gadījumā, ja instrumentus reglamentē trešās valsts tiesību akti, tos iekļauj šajā rindā tikai tad, ja tie atbilst Direktīvas 2014/59/ES 55. pantā noteiktajām prasībām.</w:t>
            </w:r>
          </w:p>
          <w:p w14:paraId="015C2F95" w14:textId="689BF0B6" w:rsidR="00581EAB" w:rsidRPr="00FB08AF" w:rsidRDefault="00947AE8" w:rsidP="00E55589">
            <w:pPr>
              <w:rPr>
                <w:rStyle w:val="FormatvorlageInstructionsTabelleText"/>
                <w:sz w:val="24"/>
                <w:rFonts w:ascii="Times New Roman" w:hAnsi="Times New Roman"/>
              </w:rPr>
            </w:pPr>
            <w:r>
              <w:rPr>
                <w:rStyle w:val="FormatvorlageInstructionsTabelleText"/>
                <w:sz w:val="24"/>
                <w:rFonts w:ascii="Times New Roman" w:hAnsi="Times New Roman"/>
              </w:rPr>
              <w:t xml:space="preserve">Attiecībā uz subordinētajām atbilstīgajām saistībām minētās summas ir summas, no kurām atskaitītas:</w:t>
            </w:r>
            <w:r>
              <w:rPr>
                <w:rStyle w:val="FormatvorlageInstructionsTabelleText"/>
                <w:sz w:val="24"/>
                <w:rFonts w:ascii="Times New Roman" w:hAnsi="Times New Roman"/>
              </w:rPr>
              <w:t xml:space="preserve"> </w:t>
            </w:r>
          </w:p>
          <w:p w14:paraId="47ABA882" w14:textId="6BD49519" w:rsidR="00581EAB" w:rsidRPr="00FB08AF" w:rsidRDefault="008C19BD" w:rsidP="00581EAB">
            <w:pPr>
              <w:pStyle w:val="ListParagraph"/>
              <w:numPr>
                <w:ilvl w:val="0"/>
                <w:numId w:val="65"/>
              </w:numPr>
              <w:rPr>
                <w:rStyle w:val="FormatvorlageInstructionsTabelleText"/>
                <w:sz w:val="24"/>
                <w:rFonts w:ascii="Times New Roman" w:hAnsi="Times New Roman"/>
              </w:rPr>
            </w:pPr>
            <w:r>
              <w:rPr>
                <w:sz w:val="24"/>
                <w:rFonts w:ascii="Times New Roman" w:hAnsi="Times New Roman"/>
              </w:rPr>
              <w:t xml:space="preserve">attiecīgā gadījumā līdzdalības pašu </w:t>
            </w:r>
            <w:r>
              <w:rPr>
                <w:sz w:val="24"/>
                <w:rStyle w:val="FormatvorlageInstructionsTabelleText"/>
                <w:rFonts w:ascii="Times New Roman" w:hAnsi="Times New Roman"/>
              </w:rPr>
              <w:t xml:space="preserve">subordinēto atbilstīgo saistību instrumentos, kā minēts Regulas (ES) Nr. 575/2013 72.e panta 1. punkta a) apakšpunktā, un</w:t>
            </w:r>
          </w:p>
          <w:p w14:paraId="023D5208" w14:textId="3A69C0C3" w:rsidR="00581EAB" w:rsidRPr="00FB08AF" w:rsidRDefault="00A335B4" w:rsidP="009E5168">
            <w:pPr>
              <w:pStyle w:val="ListParagraph"/>
              <w:numPr>
                <w:ilvl w:val="0"/>
                <w:numId w:val="65"/>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neizmantotas iepriekšējas atļaujas summas, ciktāl iepriekšējā atļauja attiecas uz subordinēto saistību instrumentiem kopumā vai konkrētu subordinēto saistību instrumentu.</w:t>
            </w:r>
          </w:p>
        </w:tc>
      </w:tr>
      <w:tr w:rsidR="00FB08AF" w:rsidRPr="00FB08AF" w14:paraId="4FA2C35D" w14:textId="77777777" w:rsidTr="000D5110">
        <w:tc>
          <w:tcPr>
            <w:tcW w:w="1129" w:type="dxa"/>
          </w:tcPr>
          <w:p w14:paraId="260B136D" w14:textId="21AE5F32"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tcPr>
          <w:p w14:paraId="11F50189" w14:textId="503D08CC"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ko reglamentē trešo valstu tiesību akti</w:t>
            </w:r>
          </w:p>
          <w:p w14:paraId="7B75DAA1" w14:textId="77777777" w:rsidR="000D5110" w:rsidRPr="00FB08AF" w:rsidRDefault="000D5110"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Pašu kapitāla un atbilstīgo saistību summa, ko reglamentē ar trešās valsts tiesību aktiem, kā minēts Direktīvas 2014/59/ES 55. pantā.</w:t>
            </w:r>
          </w:p>
          <w:p w14:paraId="6536DCBA" w14:textId="04E8BB0B" w:rsidR="00D544E6" w:rsidRPr="00FB08AF" w:rsidRDefault="00947AE8"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no kurām atskaitītas:</w:t>
            </w:r>
            <w:r>
              <w:rPr>
                <w:rStyle w:val="FormatvorlageInstructionsTabelleText"/>
                <w:sz w:val="24"/>
                <w:rFonts w:ascii="Times New Roman" w:hAnsi="Times New Roman"/>
              </w:rPr>
              <w:t xml:space="preserve"> </w:t>
            </w:r>
          </w:p>
          <w:p w14:paraId="04BEB273" w14:textId="2791EFB1" w:rsidR="00D544E6" w:rsidRPr="00FB08AF" w:rsidRDefault="008C19BD" w:rsidP="00D544E6">
            <w:pPr>
              <w:pStyle w:val="ListParagraph"/>
              <w:numPr>
                <w:ilvl w:val="0"/>
                <w:numId w:val="66"/>
              </w:numPr>
              <w:rPr>
                <w:rStyle w:val="FormatvorlageInstructionsTabelleText"/>
                <w:sz w:val="24"/>
                <w:rFonts w:ascii="Times New Roman" w:hAnsi="Times New Roman"/>
              </w:rPr>
            </w:pPr>
            <w:r>
              <w:rPr>
                <w:sz w:val="24"/>
                <w:rFonts w:ascii="Times New Roman" w:hAnsi="Times New Roman"/>
              </w:rPr>
              <w:t xml:space="preserve">attiecīgā gadījumā </w:t>
            </w:r>
            <w:r>
              <w:rPr>
                <w:sz w:val="24"/>
                <w:rStyle w:val="FormatvorlageInstructionsTabelleText"/>
                <w:rFonts w:ascii="Times New Roman" w:hAnsi="Times New Roman"/>
              </w:rPr>
              <w:t xml:space="preserve">līdzdalība pašu atbilstīgo saistību instrumentos, kā minēts Regulas (ES) Nr. 575/2013 72.e panta 1. punkta a) apakšpunktā, un līdzdalība pašu kapitāla instrumentos, kā minēts Regulas (ES) Nr. 575/2013 36. panta 1. punkta f) apakšpunktā, 56. panta a) punktā un 66. panta a) punktā, kurus reglamentē trešās valsts tiesību akti;</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kā arī</w:t>
            </w:r>
          </w:p>
          <w:p w14:paraId="1FA67352" w14:textId="170D3681" w:rsidR="00D544E6" w:rsidRPr="00FB08AF" w:rsidRDefault="001C3C19" w:rsidP="009E5168">
            <w:pPr>
              <w:pStyle w:val="ListParagraph"/>
              <w:numPr>
                <w:ilvl w:val="0"/>
                <w:numId w:val="66"/>
              </w:numPr>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neizmantotas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atļaujas summas, ciktāl iepriekšējā atļauja attiecas uz pašu kapitāla instrumentu vai konkrētu atbilstīgo saistību instrumentu, ko reglamentē trešās valsts tiesību akti.</w:t>
            </w:r>
          </w:p>
        </w:tc>
      </w:tr>
      <w:tr w:rsidR="00FB08AF" w:rsidRPr="00FB08AF" w14:paraId="5C23CDC9" w14:textId="77777777" w:rsidTr="000D5110">
        <w:tc>
          <w:tcPr>
            <w:tcW w:w="1129" w:type="dxa"/>
          </w:tcPr>
          <w:p w14:paraId="322DB7EE" w14:textId="42E1D608" w:rsidR="000D5110" w:rsidRPr="00FB08AF" w:rsidRDefault="000D511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tcPr>
          <w:p w14:paraId="1EF5E394" w14:textId="4735FB67" w:rsidR="000D5110" w:rsidRPr="00FB08AF" w:rsidRDefault="000D511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kas satur Direktīvas 2014/59/ES 55. pantā minēto norakstīšanas un konvertācijas klauzulu</w:t>
            </w:r>
          </w:p>
          <w:p w14:paraId="441346A2" w14:textId="77777777" w:rsidR="000D5110" w:rsidRPr="00FB08AF" w:rsidRDefault="000D5110"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Pašu kapitāla un atbilstīgo saistību summa, kuras reglamentē trešās valsts tiesību akti un kas ietver norakstīšanas un konvertācijas klauzulu</w:t>
            </w:r>
            <w:r>
              <w:rPr>
                <w:sz w:val="24"/>
                <w:rStyle w:val="FormatvorlageInstructionsTabelleText"/>
                <w:rFonts w:ascii="Times New Roman" w:hAnsi="Times New Roman"/>
              </w:rPr>
              <w:t xml:space="preserve">, kas minēta Direktīvas 2014/59/ES 55. pantā</w:t>
            </w:r>
            <w:r>
              <w:rPr>
                <w:sz w:val="24"/>
                <w:rStyle w:val="InstructionsTabelleberschrift"/>
                <w:b w:val="0"/>
                <w:u w:val="none"/>
                <w:rFonts w:ascii="Times New Roman" w:hAnsi="Times New Roman"/>
              </w:rPr>
              <w:t xml:space="preserve">.</w:t>
            </w:r>
          </w:p>
          <w:p w14:paraId="51482315" w14:textId="77777777" w:rsidR="00D544E6" w:rsidRPr="00FB08AF" w:rsidRDefault="00D544E6" w:rsidP="00D544E6">
            <w:pPr>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no kurām atskaitītas:</w:t>
            </w:r>
            <w:r>
              <w:rPr>
                <w:rStyle w:val="FormatvorlageInstructionsTabelleText"/>
                <w:sz w:val="24"/>
                <w:rFonts w:ascii="Times New Roman" w:hAnsi="Times New Roman"/>
              </w:rPr>
              <w:t xml:space="preserve"> </w:t>
            </w:r>
          </w:p>
          <w:p w14:paraId="5776B6EB" w14:textId="6CA86BCA" w:rsidR="00D544E6" w:rsidRPr="00FB08AF" w:rsidRDefault="008C19BD" w:rsidP="00D544E6">
            <w:pPr>
              <w:pStyle w:val="ListParagraph"/>
              <w:numPr>
                <w:ilvl w:val="0"/>
                <w:numId w:val="67"/>
              </w:numPr>
              <w:rPr>
                <w:rStyle w:val="FormatvorlageInstructionsTabelleText"/>
                <w:sz w:val="24"/>
                <w:rFonts w:ascii="Times New Roman" w:hAnsi="Times New Roman"/>
              </w:rPr>
            </w:pPr>
            <w:r>
              <w:rPr>
                <w:sz w:val="24"/>
                <w:rFonts w:ascii="Times New Roman" w:hAnsi="Times New Roman"/>
              </w:rPr>
              <w:t xml:space="preserve">attiecīgā gadījumā </w:t>
            </w:r>
            <w:r>
              <w:rPr>
                <w:sz w:val="24"/>
                <w:rStyle w:val="FormatvorlageInstructionsTabelleText"/>
                <w:rFonts w:ascii="Times New Roman" w:hAnsi="Times New Roman"/>
              </w:rPr>
              <w:t xml:space="preserve">līdzdalība pašu atbilstīgo saistību instrumentos, kā minēts Regulas (ES) Nr. 575/2013 72.e panta 1. punkta a) apakšpunktā, un līdzdalība pašu kapitāla instrumentos, kā minēts Regulas (ES) Nr. 575/2013 36. panta 1. punkta f) apakšpunktā, 56. panta a) punktā un 66. panta a) punktā, kurus reglamentē trešās valsts tiesību akti un kuri ietver Direktīvas 2014/59/ES 55. pantā minēto norakstīšanas un konvertācijas klauzulu, un</w:t>
            </w:r>
          </w:p>
          <w:p w14:paraId="5A286E7E" w14:textId="27B31AB3" w:rsidR="00D544E6" w:rsidRPr="00FB08AF" w:rsidRDefault="001C3C19" w:rsidP="009E5168">
            <w:pPr>
              <w:pStyle w:val="ListParagraph"/>
              <w:numPr>
                <w:ilvl w:val="0"/>
                <w:numId w:val="67"/>
              </w:numPr>
              <w:rPr>
                <w:rStyle w:val="InstructionsTabelleberschrift"/>
                <w:b w:val="0"/>
                <w:bCs w:val="0"/>
                <w:sz w:val="24"/>
                <w:rFonts w:ascii="Times New Roman" w:hAnsi="Times New Roman"/>
              </w:rPr>
            </w:pPr>
            <w:r>
              <w:rPr>
                <w:rStyle w:val="InstructionsTabelleberschrift"/>
                <w:b w:val="0"/>
                <w:sz w:val="24"/>
                <w:u w:val="none"/>
                <w:rFonts w:ascii="Times New Roman" w:hAnsi="Times New Roman"/>
              </w:rPr>
              <w:t xml:space="preserve">neizmantotas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atļaujas summas, ciktāl minētā atļauja attiecas uz pašu kapitāla instrumentu vai konkrētu atbilstīgo saistību instrumentu, ko reglamentē trešās valsts tiesību akti un kas ietver norakstīšanas un konvertācijas klauzulu, kas minēta Direktīvas 2014/59/ES 55. pantā.</w:t>
            </w:r>
          </w:p>
        </w:tc>
      </w:tr>
      <w:tr w:rsidR="00FB08AF" w:rsidRPr="00FB08AF" w14:paraId="520E2C77" w14:textId="77777777" w:rsidTr="00482729">
        <w:tc>
          <w:tcPr>
            <w:tcW w:w="1129" w:type="dxa"/>
          </w:tcPr>
          <w:p w14:paraId="6194C92E" w14:textId="711D1B3F" w:rsidR="00C725CB" w:rsidRPr="00FB08AF" w:rsidRDefault="00C725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0250 - 0290</w:t>
            </w:r>
          </w:p>
        </w:tc>
        <w:tc>
          <w:tcPr>
            <w:tcW w:w="7620" w:type="dxa"/>
          </w:tcPr>
          <w:p w14:paraId="1E3DF83A" w14:textId="77777777" w:rsidR="00C725CB"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Citas iekšēji rekapitalizējamas saistības</w:t>
            </w:r>
          </w:p>
          <w:p w14:paraId="4B51FD1B" w14:textId="77777777" w:rsidR="00303127" w:rsidRPr="00FB08AF" w:rsidRDefault="0009341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Vienības, kurām minētās informācijas sniegšanas dienā pašu kapitāla un atbilstīgo saistību summas ir vismaz 150 % no Direktīvas 2014/59/ES 45. panta 1. punktā</w:t>
            </w:r>
            <w:r>
              <w:rPr>
                <w:sz w:val="24"/>
                <w:rFonts w:ascii="Times New Roman" w:hAnsi="Times New Roman"/>
              </w:rPr>
              <w:t xml:space="preserve"> </w:t>
            </w:r>
            <w:r>
              <w:rPr>
                <w:sz w:val="24"/>
                <w:rFonts w:ascii="Times New Roman" w:hAnsi="Times New Roman"/>
              </w:rPr>
              <w:t xml:space="preserve">noteiktās prasības, ir atbrīvotas no pienākuma sniegt informāciju</w:t>
            </w:r>
            <w:r>
              <w:rPr>
                <w:sz w:val="24"/>
                <w:rFonts w:ascii="Times New Roman" w:hAnsi="Times New Roman"/>
              </w:rPr>
              <w:t xml:space="preserve"> 0250.–0290. rindā.</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Šādas vienības var izvēlēties brīvprātīgi sniegt šo informāciju šajā veidnē.</w:t>
            </w:r>
          </w:p>
          <w:p w14:paraId="23F6E725" w14:textId="074096E2" w:rsidR="00CA024E" w:rsidRPr="00FB08AF" w:rsidRDefault="00CA024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Neizmantotās iepriekšējās atļaujas summas, ciktāl atļauja attiecas uz atbilstīgo saistību instrumentu, šajās rindās uzskata par citām iekšēji rekapitalizējamām saistībām.</w:t>
            </w:r>
            <w:r>
              <w:rPr>
                <w:rStyle w:val="InstructionsTabelleberschrift"/>
                <w:b w:val="0"/>
                <w:sz w:val="24"/>
                <w:u w:val="none"/>
                <w:rFonts w:ascii="Times New Roman" w:hAnsi="Times New Roman"/>
              </w:rPr>
              <w:t xml:space="preserve"> </w:t>
            </w:r>
          </w:p>
        </w:tc>
      </w:tr>
      <w:tr w:rsidR="00FB08AF" w:rsidRPr="00FB08AF" w14:paraId="42F97DBF" w14:textId="77777777" w:rsidTr="00482729">
        <w:tc>
          <w:tcPr>
            <w:tcW w:w="1129" w:type="dxa"/>
          </w:tcPr>
          <w:p w14:paraId="3162371B" w14:textId="2087A44F"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0" w:type="dxa"/>
          </w:tcPr>
          <w:p w14:paraId="5DF67F30" w14:textId="4A1B3CDE" w:rsidR="00975018" w:rsidRPr="00FB08AF" w:rsidRDefault="0097501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Citas iekšēji rekapitalizējamas saistības</w:t>
            </w:r>
          </w:p>
          <w:p w14:paraId="13517B1C" w14:textId="143C0711" w:rsidR="007705FD" w:rsidRPr="00FB08AF" w:rsidRDefault="00810D53"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Iekšēji rekapitalizējamu saistību summa, kas definētas </w:t>
            </w:r>
            <w:r>
              <w:rPr>
                <w:sz w:val="24"/>
                <w:rFonts w:ascii="Times New Roman" w:hAnsi="Times New Roman"/>
              </w:rPr>
              <w:t xml:space="preserve">Direktīvas 2014/59/ES 2. panta 1. punkta 71) apakšpunktā</w:t>
            </w:r>
            <w:r>
              <w:rPr>
                <w:sz w:val="24"/>
                <w:rFonts w:ascii="Times New Roman" w:hAnsi="Times New Roman"/>
              </w:rPr>
              <w:t xml:space="preserve">, kuras nav ietvertas pašu kapitālā un atbilstīgajās saistībās saskaņā ar minētās direktīvas 45.b pantu.</w:t>
            </w:r>
          </w:p>
          <w:p w14:paraId="1FE8D9D5" w14:textId="092D6931" w:rsidR="000B5B4D" w:rsidRPr="00FB08AF" w:rsidRDefault="000B5B4D" w:rsidP="00E36728">
            <w:pPr>
              <w:pStyle w:val="InstructionsText"/>
              <w:rPr>
                <w:rStyle w:val="InstructionsTabelleberschrift"/>
                <w:rFonts w:ascii="Times New Roman" w:hAnsi="Times New Roman"/>
                <w:b w:val="0"/>
                <w:sz w:val="24"/>
                <w:u w:val="none"/>
                <w:lang w:eastAsia="en-US"/>
              </w:rPr>
            </w:pPr>
          </w:p>
        </w:tc>
      </w:tr>
      <w:tr w:rsidR="00FB08AF" w:rsidRPr="00FB08AF" w14:paraId="5A270F57" w14:textId="77777777" w:rsidTr="00482729">
        <w:tc>
          <w:tcPr>
            <w:tcW w:w="1129" w:type="dxa"/>
          </w:tcPr>
          <w:p w14:paraId="4AC52576" w14:textId="6D98DAFD"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0" w:type="dxa"/>
          </w:tcPr>
          <w:p w14:paraId="7CF081FC" w14:textId="7743924C"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ko reglamentē trešo valstu tiesību akti</w:t>
            </w:r>
          </w:p>
          <w:p w14:paraId="083AFDCB" w14:textId="463FBABB" w:rsidR="000B5B4D" w:rsidRPr="00FB08AF" w:rsidRDefault="000B5B4D" w:rsidP="00E36728">
            <w:pPr>
              <w:pStyle w:val="InstructionsText"/>
              <w:rPr>
                <w:rStyle w:val="InstructionsTabelleberschrift"/>
                <w:b w:val="0"/>
                <w:sz w:val="24"/>
                <w:u w:val="none"/>
                <w:rFonts w:ascii="Times New Roman" w:hAnsi="Times New Roman"/>
              </w:rPr>
            </w:pPr>
            <w:r>
              <w:t xml:space="preserve">Citu iekšēji rekapitalizējamu saistību summa, ko reglamentē trešās valsts tiesību akti, kā minēts Direktīvas 2014/59/ES 55. pantā</w:t>
            </w:r>
            <w:r>
              <w:t xml:space="preserve">.</w:t>
            </w:r>
          </w:p>
        </w:tc>
      </w:tr>
      <w:tr w:rsidR="00FB08AF" w:rsidRPr="00FB08AF" w14:paraId="5EAA89AD" w14:textId="77777777" w:rsidTr="00482729">
        <w:tc>
          <w:tcPr>
            <w:tcW w:w="1129" w:type="dxa"/>
          </w:tcPr>
          <w:p w14:paraId="509F7041" w14:textId="18983768" w:rsidR="00975018" w:rsidRPr="00FB08AF" w:rsidRDefault="0097501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0" w:type="dxa"/>
          </w:tcPr>
          <w:p w14:paraId="6C3DE5F1" w14:textId="31C6CA86" w:rsidR="00975018" w:rsidRPr="00FB08AF" w:rsidRDefault="000B5B4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kas satur Direktīvas 2014/59/ES 55. pantā minēto norakstīšanas un konvertācijas klauzulu</w:t>
            </w:r>
          </w:p>
          <w:p w14:paraId="0FA24129" w14:textId="7C351D54" w:rsidR="000B5B4D" w:rsidRPr="00FB08AF" w:rsidRDefault="002A4F17"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Tādu citu iekšēji rekapitalizējamu saistību summa, kuras reglamentē trešās valsts tiesību akti un kuras ietver norakstīšanas un konvertācijas klauzulu, kā minēts Direktīvas 2014/59/ES 55. pantā.</w:t>
            </w:r>
          </w:p>
        </w:tc>
      </w:tr>
      <w:tr w:rsidR="00FB08AF" w:rsidRPr="00FB08AF" w14:paraId="73B1588C" w14:textId="77777777" w:rsidTr="00482729">
        <w:tc>
          <w:tcPr>
            <w:tcW w:w="1129" w:type="dxa"/>
          </w:tcPr>
          <w:p w14:paraId="7ADCB31C" w14:textId="569C6F29"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0280 - 0290</w:t>
            </w:r>
          </w:p>
        </w:tc>
        <w:tc>
          <w:tcPr>
            <w:tcW w:w="7620" w:type="dxa"/>
          </w:tcPr>
          <w:p w14:paraId="7FD04343" w14:textId="76053762" w:rsidR="00EC3749" w:rsidRPr="00FB08AF" w:rsidRDefault="00EC374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Citu iekšēji rekapitalizējamo saistību sadalījums pa atlikušajiem termiņiem</w:t>
            </w:r>
          </w:p>
        </w:tc>
      </w:tr>
      <w:tr w:rsidR="00FB08AF" w:rsidRPr="00FB08AF" w14:paraId="67A079B9" w14:textId="77777777" w:rsidTr="00482729">
        <w:tc>
          <w:tcPr>
            <w:tcW w:w="1129" w:type="dxa"/>
          </w:tcPr>
          <w:p w14:paraId="5EEE6C29" w14:textId="2CD6E6B3"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0" w:type="dxa"/>
          </w:tcPr>
          <w:p w14:paraId="7BB8479E" w14:textId="1277B407" w:rsidR="00EC3749" w:rsidRPr="00FB08AF" w:rsidRDefault="00EC3749" w:rsidP="00E36728">
            <w:pPr>
              <w:pStyle w:val="InstructionsText"/>
              <w:rPr>
                <w:rStyle w:val="InstructionsTabelleberschrift"/>
                <w:b w:val="0"/>
                <w:sz w:val="24"/>
                <w:rFonts w:ascii="Times New Roman" w:hAnsi="Times New Roman"/>
              </w:rPr>
            </w:pPr>
            <w:r>
              <w:t xml:space="preserve">Atlikušais termiņš &lt; 1 gads</w:t>
            </w:r>
          </w:p>
        </w:tc>
      </w:tr>
      <w:tr w:rsidR="00FB08AF" w:rsidRPr="00FB08AF" w14:paraId="525A1AA1" w14:textId="77777777" w:rsidTr="00482729">
        <w:tc>
          <w:tcPr>
            <w:tcW w:w="1129" w:type="dxa"/>
          </w:tcPr>
          <w:p w14:paraId="4FAE69C0" w14:textId="1CECBCB2"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0285</w:t>
            </w:r>
          </w:p>
        </w:tc>
        <w:tc>
          <w:tcPr>
            <w:tcW w:w="7620" w:type="dxa"/>
          </w:tcPr>
          <w:p w14:paraId="711BCB7B" w14:textId="7195CB9C" w:rsidR="00EC3749" w:rsidRPr="00FB08AF" w:rsidRDefault="00EC3749" w:rsidP="00E36728">
            <w:pPr>
              <w:pStyle w:val="InstructionsText"/>
              <w:rPr>
                <w:rStyle w:val="InstructionsTabelleberschrift"/>
                <w:b w:val="0"/>
                <w:sz w:val="24"/>
                <w:rFonts w:ascii="Times New Roman" w:hAnsi="Times New Roman"/>
              </w:rPr>
            </w:pPr>
            <w:r>
              <w:t xml:space="preserve">Atlikušais termiņš &gt;= 1 gads un &lt; 2 gadi</w:t>
            </w:r>
          </w:p>
        </w:tc>
      </w:tr>
      <w:tr w:rsidR="00FB08AF" w:rsidRPr="00FB08AF" w14:paraId="2321B833" w14:textId="77777777" w:rsidTr="00482729">
        <w:tc>
          <w:tcPr>
            <w:tcW w:w="1129" w:type="dxa"/>
          </w:tcPr>
          <w:p w14:paraId="23750752" w14:textId="4414C85A" w:rsidR="00EC3749" w:rsidRPr="00FB08AF" w:rsidRDefault="00EC374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0" w:type="dxa"/>
          </w:tcPr>
          <w:p w14:paraId="5BA6A556" w14:textId="4CC49FD3" w:rsidR="00EC3749" w:rsidRPr="00FB08AF" w:rsidRDefault="00EC3749" w:rsidP="00E36728">
            <w:pPr>
              <w:pStyle w:val="InstructionsText"/>
              <w:rPr>
                <w:rStyle w:val="InstructionsTabelleberschrift"/>
                <w:b w:val="0"/>
                <w:sz w:val="24"/>
                <w:rFonts w:ascii="Times New Roman" w:hAnsi="Times New Roman"/>
              </w:rPr>
            </w:pPr>
            <w:r>
              <w:t xml:space="preserve">Atlikušais termiņš &gt;= 2 gadi</w:t>
            </w:r>
          </w:p>
        </w:tc>
      </w:tr>
      <w:tr w:rsidR="00FB08AF" w:rsidRPr="00FB08AF" w14:paraId="5FBFB25C" w14:textId="77777777" w:rsidTr="00482729">
        <w:tc>
          <w:tcPr>
            <w:tcW w:w="1129" w:type="dxa"/>
          </w:tcPr>
          <w:p w14:paraId="0BAE42F4" w14:textId="274A17ED" w:rsidR="00CC7A43" w:rsidRPr="00FB08AF" w:rsidRDefault="00CC7A4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0300 - 0360</w:t>
            </w:r>
          </w:p>
        </w:tc>
        <w:tc>
          <w:tcPr>
            <w:tcW w:w="7620" w:type="dxa"/>
          </w:tcPr>
          <w:p w14:paraId="374B5319" w14:textId="4410DC5B" w:rsidR="00CC7A43" w:rsidRPr="00FB08AF" w:rsidRDefault="00CC7A4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Rādītāji un subordinācijas atbrīvojumi</w:t>
            </w:r>
          </w:p>
        </w:tc>
      </w:tr>
      <w:tr w:rsidR="00FB08AF" w:rsidRPr="00FB08AF" w14:paraId="05DC925B" w14:textId="77777777" w:rsidTr="00482729">
        <w:tc>
          <w:tcPr>
            <w:tcW w:w="1129" w:type="dxa"/>
          </w:tcPr>
          <w:p w14:paraId="3A493DAB" w14:textId="387626B0"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tcPr>
          <w:p w14:paraId="63757942" w14:textId="1ACF8B54" w:rsidR="00A0358A" w:rsidRPr="00FB08AF" w:rsidRDefault="00A0358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 kā procentuālā daļa no </w:t>
            </w:r>
            <w:r>
              <w:rPr>
                <w:rStyle w:val="InstructionsTabelleberschrift"/>
                <w:sz w:val="24"/>
                <w:i/>
                <w:iCs/>
                <w:rFonts w:ascii="Times New Roman" w:hAnsi="Times New Roman"/>
              </w:rPr>
              <w:t xml:space="preserve">TREA</w:t>
            </w:r>
          </w:p>
          <w:p w14:paraId="26CF9D91" w14:textId="3FD820A0" w:rsidR="00A0358A" w:rsidRPr="00FB08AF" w:rsidRDefault="00A0358A" w:rsidP="00E36728">
            <w:pPr>
              <w:pStyle w:val="InstructionsText"/>
              <w:rPr>
                <w:rStyle w:val="InstructionsTabelleberschrift"/>
                <w:sz w:val="24"/>
                <w:u w:val="none"/>
                <w:rFonts w:ascii="Times New Roman" w:hAnsi="Times New Roman"/>
              </w:rPr>
            </w:pPr>
            <w:r>
              <w:rPr>
                <w:rStyle w:val="InstructionsTabelleberschrift"/>
                <w:b w:val="0"/>
                <w:sz w:val="24"/>
                <w:u w:val="none"/>
                <w:rFonts w:ascii="Times New Roman" w:hAnsi="Times New Roman"/>
              </w:rPr>
              <w:t xml:space="preserve">Šīs rindas vajadzībām pašu kapitāla un atbilstīgo saistību summu, kas uzrādīta 0200. rindā, izsaka kā procentuālo daļu no kopējās riska darījumu vērtības, kas aprēķināta saskaņā ar Regulas (ES) Nr. 575/2013 92. panta 3. punktu.</w:t>
            </w:r>
          </w:p>
        </w:tc>
      </w:tr>
      <w:tr w:rsidR="00FB08AF" w:rsidRPr="00FB08AF" w14:paraId="3B43F132" w14:textId="77777777" w:rsidTr="00482729">
        <w:tc>
          <w:tcPr>
            <w:tcW w:w="1129" w:type="dxa"/>
          </w:tcPr>
          <w:p w14:paraId="6C4C71A0" w14:textId="30311B7C" w:rsidR="00A0358A"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tcPr>
          <w:p w14:paraId="19FBD071" w14:textId="77777777" w:rsidR="00A0358A"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kapitāls un subordinētās saistības</w:t>
            </w:r>
          </w:p>
          <w:p w14:paraId="4BB00887" w14:textId="054D6A44" w:rsidR="002B6980" w:rsidRPr="00FB08AF" w:rsidRDefault="002B6980" w:rsidP="00E36728">
            <w:pPr>
              <w:pStyle w:val="InstructionsText"/>
              <w:rPr>
                <w:rStyle w:val="InstructionsTabelleberschrift"/>
                <w:sz w:val="24"/>
                <w:u w:val="none"/>
                <w:rFonts w:ascii="Times New Roman" w:hAnsi="Times New Roman"/>
              </w:rPr>
            </w:pPr>
            <w:r>
              <w:rPr>
                <w:sz w:val="24"/>
                <w:rFonts w:ascii="Times New Roman" w:hAnsi="Times New Roman"/>
              </w:rPr>
              <w:t xml:space="preserve">Šīs rindas vajadzībām pašu kapitāla un subordinēto atbilstīgo saistību summu, kas uzrādīta 0210. rindā</w:t>
            </w:r>
            <w:r>
              <w:rPr>
                <w:sz w:val="24"/>
                <w:rFonts w:ascii="Times New Roman" w:hAnsi="Times New Roman"/>
              </w:rPr>
              <w:t xml:space="preserve">, izsaka kā procentuālo daļu no kopējās riska darījumu vērtības, kas aprēķināta saskaņā ar Regulas (ES) Nr. 575/2013 92. panta 3. punktu</w:t>
            </w:r>
            <w:r>
              <w:rPr>
                <w:sz w:val="24"/>
                <w:rFonts w:ascii="Times New Roman" w:hAnsi="Times New Roman"/>
              </w:rPr>
              <w:t xml:space="preserve">.</w:t>
            </w:r>
          </w:p>
        </w:tc>
      </w:tr>
      <w:tr w:rsidR="00FB08AF" w:rsidRPr="00FB08AF" w14:paraId="7D1F0DD3" w14:textId="77777777" w:rsidTr="00482729">
        <w:tc>
          <w:tcPr>
            <w:tcW w:w="1129" w:type="dxa"/>
          </w:tcPr>
          <w:p w14:paraId="5FAADABD" w14:textId="4C7009D5" w:rsidR="00A0358A" w:rsidRPr="00FB08AF" w:rsidRDefault="00A0358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tcPr>
          <w:p w14:paraId="3AA50C32" w14:textId="102EF905"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 kā procentuālā daļa no </w:t>
            </w:r>
            <w:r>
              <w:rPr>
                <w:rStyle w:val="InstructionsTabelleberschrift"/>
                <w:sz w:val="24"/>
                <w:i/>
                <w:iCs/>
                <w:rFonts w:ascii="Times New Roman" w:hAnsi="Times New Roman"/>
              </w:rPr>
              <w:t xml:space="preserve">TEM</w:t>
            </w:r>
          </w:p>
          <w:p w14:paraId="389667F6" w14:textId="3967E8FF" w:rsidR="00A0358A" w:rsidRPr="00FB08AF" w:rsidRDefault="00A0358A"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Šīs rindas vajadzībām pašu kapitāla un atbilstīgo saistību summu, kas uzrādīta 0200. rindā, izsaka kā procentuālo daļu no kopējās riska darījumu vērtības mēra, kas aprēķināts saskaņā ar Regulas (ES) Nr. 575/2013 429. panta</w:t>
            </w:r>
            <w:r>
              <w:rPr>
                <w:sz w:val="24"/>
                <w:rStyle w:val="FormatvorlageInstructionsTabelleText"/>
                <w:rFonts w:ascii="Times New Roman" w:hAnsi="Times New Roman"/>
              </w:rPr>
              <w:t xml:space="preserve">4. punktu un 429.a pantu</w:t>
            </w:r>
            <w:r>
              <w:rPr>
                <w:sz w:val="24"/>
                <w:rStyle w:val="InstructionsTabelleberschrift"/>
                <w:b w:val="0"/>
                <w:u w:val="none"/>
                <w:rFonts w:ascii="Times New Roman" w:hAnsi="Times New Roman"/>
              </w:rPr>
              <w:t xml:space="preserve">.</w:t>
            </w:r>
          </w:p>
        </w:tc>
      </w:tr>
      <w:tr w:rsidR="00FB08AF" w:rsidRPr="00FB08AF" w14:paraId="2603BE6A" w14:textId="77777777" w:rsidTr="00C90338">
        <w:tc>
          <w:tcPr>
            <w:tcW w:w="1129" w:type="dxa"/>
          </w:tcPr>
          <w:p w14:paraId="70C4E830" w14:textId="2D563F10"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tcPr>
          <w:p w14:paraId="4D0C5A18" w14:textId="77777777" w:rsidR="002B6980" w:rsidRPr="00FB08AF" w:rsidRDefault="002B698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kapitāls un subordinētās saistības</w:t>
            </w:r>
          </w:p>
          <w:p w14:paraId="6DE930D8" w14:textId="1386471E" w:rsidR="002B6980" w:rsidRPr="00FB08AF" w:rsidRDefault="002B6980" w:rsidP="00E36728">
            <w:pPr>
              <w:pStyle w:val="InstructionsText"/>
              <w:rPr>
                <w:rStyle w:val="InstructionsTabelleberschrift"/>
                <w:sz w:val="24"/>
                <w:u w:val="none"/>
                <w:rFonts w:ascii="Times New Roman" w:hAnsi="Times New Roman"/>
              </w:rPr>
            </w:pPr>
            <w:r>
              <w:rPr>
                <w:sz w:val="24"/>
                <w:rStyle w:val="InstructionsTabelleberschrift"/>
                <w:b w:val="0"/>
                <w:u w:val="none"/>
                <w:rFonts w:ascii="Times New Roman" w:hAnsi="Times New Roman"/>
              </w:rPr>
              <w:t xml:space="preserve">Šīs rindas vajadzībām pašu kapitāla un subordinēto atbilstīgo saistību summu, kas uzrādīta 0210. rindā, izsaka kā procentuālo daļu no kopējās riska darījumu vērtības mēra, kas aprēķināts saskaņā ar Regulas (ES) Nr. 575/2013 429. panta</w:t>
            </w:r>
            <w:r>
              <w:rPr>
                <w:sz w:val="24"/>
                <w:rStyle w:val="FormatvorlageInstructionsTabelleText"/>
                <w:rFonts w:ascii="Times New Roman" w:hAnsi="Times New Roman"/>
              </w:rPr>
              <w:t xml:space="preserve">4. punktu un 429.a pantu</w:t>
            </w:r>
            <w:r>
              <w:rPr>
                <w:sz w:val="24"/>
                <w:rStyle w:val="InstructionsTabelleberschrift"/>
                <w:b w:val="0"/>
                <w:u w:val="none"/>
                <w:rFonts w:ascii="Times New Roman" w:hAnsi="Times New Roman"/>
              </w:rPr>
              <w:t xml:space="preserve">.</w:t>
            </w:r>
          </w:p>
        </w:tc>
      </w:tr>
      <w:tr w:rsidR="00FB08AF" w:rsidRPr="00FB08AF" w14:paraId="318821F0" w14:textId="77777777" w:rsidTr="00341BC3">
        <w:tc>
          <w:tcPr>
            <w:tcW w:w="1129" w:type="dxa"/>
          </w:tcPr>
          <w:p w14:paraId="62E1CCA0" w14:textId="4A8C2BD4"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0340</w:t>
            </w:r>
          </w:p>
        </w:tc>
        <w:tc>
          <w:tcPr>
            <w:tcW w:w="7620" w:type="dxa"/>
          </w:tcPr>
          <w:p w14:paraId="0B740E04" w14:textId="56DB18DD"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Vai ir piemērojams Regulas (ES) Nr. 575/2013 72.b panta 4. punktā paredzētais subordinācijas atbrīvojums?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(5 % atbrīvojums)</w:t>
            </w:r>
          </w:p>
          <w:p w14:paraId="7E4A548A" w14:textId="0F07A0A9"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Šo rindu uzrāda tikai vienības, uz kurām attiecas G-SNI prasība pašu kapitālam un atbilstīgajām saistībām (</w:t>
            </w:r>
            <w:r>
              <w:rPr>
                <w:rStyle w:val="InstructionsTabelleberschrift"/>
                <w:b w:val="0"/>
                <w:sz w:val="24"/>
                <w:u w:val="none"/>
                <w:i/>
                <w:iCs/>
                <w:rFonts w:ascii="Times New Roman" w:hAnsi="Times New Roman"/>
              </w:rPr>
              <w:t xml:space="preserve">TLAC</w:t>
            </w:r>
            <w:r>
              <w:rPr>
                <w:rStyle w:val="InstructionsTabelleberschrift"/>
                <w:b w:val="0"/>
                <w:sz w:val="24"/>
                <w:u w:val="none"/>
                <w:rFonts w:ascii="Times New Roman" w:hAnsi="Times New Roman"/>
              </w:rPr>
              <w:t xml:space="preserve"> prasība).</w:t>
            </w:r>
          </w:p>
          <w:p w14:paraId="049A2EF8" w14:textId="27BA3427" w:rsidR="004C2312" w:rsidRPr="00FB08AF" w:rsidRDefault="001C369A"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Ja noregulējuma iestāde atļauj saistības uzskatīt par atbilstīgo saistību instrumentiem saskaņā ar Regulas (ES) Nr. 575/2013 72.b panta 4. punktu, pārskatu sniedzošā vienība 0020. slejā norāda “jā”.</w:t>
            </w:r>
          </w:p>
          <w:p w14:paraId="2A0884E3" w14:textId="22D96245" w:rsidR="004C2312" w:rsidRPr="00FB08AF" w:rsidRDefault="00441D4D" w:rsidP="00341BC3">
            <w:pPr>
              <w:rPr>
                <w:rStyle w:val="FormatvorlageInstructionsTabelleText"/>
                <w:sz w:val="24"/>
                <w:rFonts w:ascii="Times New Roman" w:hAnsi="Times New Roman"/>
              </w:rPr>
            </w:pPr>
            <w:r>
              <w:rPr>
                <w:rStyle w:val="FormatvorlageInstructionsTabelleText"/>
                <w:sz w:val="24"/>
                <w:rFonts w:ascii="Times New Roman" w:hAnsi="Times New Roman"/>
              </w:rPr>
              <w:t xml:space="preserve">Ja noregulējuma iestāde neļauj saistības uzskatīt par atbilstīgo saistību instrumentiem saskaņā ar Regulas (ES) Nr. 575/2013 72.b panta 4. punktu, pārskatu sniedzošā vienība 0020. slejā norāda “nē”.</w:t>
            </w:r>
          </w:p>
          <w:p w14:paraId="23DEB310" w14:textId="089BA898" w:rsidR="004C2312" w:rsidRPr="00FB08AF" w:rsidRDefault="004C2312" w:rsidP="00441D4D">
            <w:pPr>
              <w:rPr>
                <w:rStyle w:val="FormatvorlageInstructionsTabelleText"/>
                <w:sz w:val="24"/>
                <w:rFonts w:ascii="Times New Roman" w:hAnsi="Times New Roman"/>
              </w:rPr>
            </w:pPr>
            <w:r>
              <w:rPr>
                <w:rStyle w:val="FormatvorlageInstructionsTabelleText"/>
                <w:sz w:val="24"/>
                <w:rFonts w:ascii="Times New Roman" w:hAnsi="Times New Roman"/>
              </w:rPr>
              <w:t xml:space="preserve">Tā kā Regulas (ES) Nr. 575/2013 72.b panta 3. un 4. punktā noteiktie atbrīvojumi ir savstarpēji izslēdzoši, šo rindu neaizpilda, ja pārskatu sniedzošā sabiedrība ir aizpildījusi {r0350}.</w:t>
            </w:r>
          </w:p>
        </w:tc>
      </w:tr>
      <w:tr w:rsidR="00FB08AF" w:rsidRPr="00FB08AF" w14:paraId="16166491" w14:textId="77777777" w:rsidTr="00C90338">
        <w:tc>
          <w:tcPr>
            <w:tcW w:w="1129" w:type="dxa"/>
          </w:tcPr>
          <w:p w14:paraId="1FA1A80C" w14:textId="15BD6414" w:rsidR="002B6980" w:rsidRPr="00FB08AF" w:rsidRDefault="002B69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0350</w:t>
            </w:r>
          </w:p>
        </w:tc>
        <w:tc>
          <w:tcPr>
            <w:tcW w:w="7620" w:type="dxa"/>
          </w:tcPr>
          <w:p w14:paraId="3509C99D" w14:textId="456757DC" w:rsidR="000418B8" w:rsidRPr="00FB08AF" w:rsidRDefault="000418B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Atļauto nesubordinēto atbilstīgo saistību instrumentu kopsumma, ja tiek piemērota Regulas (ES) Nr. 575/2013 72.b panta 3. punktā noteiktā subordinācijas rīcības brīvība (ne vairāk kā 3,5 % atbrīvojums)</w:t>
            </w:r>
          </w:p>
          <w:p w14:paraId="1FC3A371" w14:textId="5AFA5120" w:rsidR="002B6980" w:rsidRPr="00FB08AF" w:rsidRDefault="008C0FD4" w:rsidP="008C0FD4">
            <w:pPr>
              <w:rPr>
                <w:rStyle w:val="FormatvorlageInstructionsTabelleText"/>
                <w:sz w:val="24"/>
                <w:rFonts w:ascii="Times New Roman" w:hAnsi="Times New Roman"/>
              </w:rPr>
            </w:pPr>
            <w:r>
              <w:rPr>
                <w:rStyle w:val="FormatvorlageInstructionsTabelleText"/>
                <w:sz w:val="24"/>
                <w:rFonts w:ascii="Times New Roman" w:hAnsi="Times New Roman"/>
              </w:rPr>
              <w:t xml:space="preserve">Tādu nesubordinēto saistību kopsumma, kuras noregulējuma iestāde ir atļāvusi uzskatīt par atbilstīgo saistību instrumentiem G-SNI prasības pašu kapitālam un atbilstīgajām saistībām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nolūkā saskaņā ar Regulas (ES) Nr. 575/2013 72.b panta 3. punktu vai kuras atbilst saskaņā ar minētās regulas 494. panta 3. punktu.</w:t>
            </w:r>
          </w:p>
          <w:p w14:paraId="5A2D4755" w14:textId="6058CE93" w:rsidR="002B6980" w:rsidRPr="00FB08AF" w:rsidRDefault="002B6980" w:rsidP="000D1C6A">
            <w:pPr>
              <w:rPr>
                <w:rStyle w:val="FormatvorlageInstructionsTabelleText"/>
                <w:sz w:val="24"/>
                <w:rFonts w:ascii="Times New Roman" w:hAnsi="Times New Roman"/>
              </w:rPr>
            </w:pPr>
            <w:r>
              <w:rPr>
                <w:rStyle w:val="FormatvorlageInstructionsTabelleText"/>
                <w:sz w:val="24"/>
                <w:rFonts w:ascii="Times New Roman" w:hAnsi="Times New Roman"/>
              </w:rPr>
              <w:t xml:space="preserve">Tā kā Regulas (ES) Nr. 575/2013 72.b panta 3. un 4. punktā noteiktie atbrīvojumi ir savstarpēji izslēdzoši, šo rindu neaizpilda, ja pārskatu sniedzošā sabiedrība norāda “jā” {r0340,s0020}.</w:t>
            </w:r>
          </w:p>
        </w:tc>
      </w:tr>
      <w:tr w:rsidR="004C2312" w:rsidRPr="00FB08AF" w14:paraId="182951D6" w14:textId="77777777" w:rsidTr="00341BC3">
        <w:tc>
          <w:tcPr>
            <w:tcW w:w="1129" w:type="dxa"/>
          </w:tcPr>
          <w:p w14:paraId="15B70DD8" w14:textId="77777777" w:rsidR="004C2312" w:rsidRPr="00FB08AF" w:rsidRDefault="004C23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0360</w:t>
            </w:r>
          </w:p>
        </w:tc>
        <w:tc>
          <w:tcPr>
            <w:tcW w:w="7620" w:type="dxa"/>
          </w:tcPr>
          <w:p w14:paraId="2A9ACE51" w14:textId="77777777" w:rsidR="004C2312" w:rsidRPr="00FB08AF" w:rsidRDefault="004C23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 kopējo nesubordinēto saistību īpatsvars, kas ir iekļautas pašu kapitālā un atbilstīgajās saistībās</w:t>
            </w:r>
          </w:p>
          <w:p w14:paraId="0FE9D1C5" w14:textId="188F5A41"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Šo rindu uzrāda tikai vienības, uz kurām attiecas G-SNI prasība pašu kapitālam un atbilstīgajām saistībām (</w:t>
            </w:r>
            <w:r>
              <w:rPr>
                <w:rStyle w:val="InstructionsTabelleberschrift"/>
                <w:b w:val="0"/>
                <w:sz w:val="24"/>
                <w:u w:val="none"/>
                <w:i/>
                <w:iCs/>
                <w:rFonts w:ascii="Times New Roman" w:hAnsi="Times New Roman"/>
              </w:rPr>
              <w:t xml:space="preserve">TLAC</w:t>
            </w:r>
            <w:r>
              <w:rPr>
                <w:rStyle w:val="InstructionsTabelleberschrift"/>
                <w:b w:val="0"/>
                <w:sz w:val="24"/>
                <w:u w:val="none"/>
                <w:rFonts w:ascii="Times New Roman" w:hAnsi="Times New Roman"/>
              </w:rPr>
              <w:t xml:space="preserve"> prasība).</w:t>
            </w:r>
          </w:p>
          <w:p w14:paraId="18212BF7" w14:textId="5569B4EC" w:rsidR="004C2312" w:rsidRPr="00FB08AF" w:rsidRDefault="004C2312"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Ja piemēro ierobežotu subordinācijas atbrīvojumu, kas noteikts Regulas (ES) Nr. 575/2013 72.b panta 3. punktā, vienības uzrāda:</w:t>
            </w:r>
          </w:p>
          <w:p w14:paraId="4BA05B73" w14:textId="527E2F2D" w:rsidR="004C2312" w:rsidRPr="00FB08AF" w:rsidRDefault="004C2312" w:rsidP="00E274D8">
            <w:pPr>
              <w:pStyle w:val="ListParagraph"/>
              <w:numPr>
                <w:ilvl w:val="0"/>
                <w:numId w:val="24"/>
              </w:num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emitēto saistību summu, kas ir līdzvērtīga izslēgtajām saistībām, kā minēts Regulas (ES) Nr. 575/2013 72.a panta 2. punktā, un ir iekļauta 0200. rindā uzrādītajā summā (pēc maksimālās robežvērtības piemērošanas),</w:t>
            </w:r>
          </w:p>
          <w:p w14:paraId="61E137DF" w14:textId="5AC9E81D" w:rsidR="004C2312" w:rsidRPr="00FB08AF" w:rsidRDefault="004C2312" w:rsidP="000B6FC5">
            <w:pPr>
              <w:pStyle w:val="ListParagraph"/>
              <w:numPr>
                <w:ilvl w:val="0"/>
                <w:numId w:val="24"/>
              </w:numPr>
              <w:rPr>
                <w:rStyle w:val="InstructionsTabelleberschrift"/>
                <w:b w:val="0"/>
                <w:sz w:val="24"/>
                <w:rFonts w:ascii="Times New Roman" w:hAnsi="Times New Roman"/>
              </w:rPr>
            </w:pPr>
            <w:r>
              <w:rPr>
                <w:rStyle w:val="InstructionsTabelleberschrift"/>
                <w:b w:val="0"/>
                <w:sz w:val="24"/>
                <w:u w:val="none"/>
                <w:rFonts w:ascii="Times New Roman" w:hAnsi="Times New Roman"/>
              </w:rPr>
              <w:t xml:space="preserve">dalīta ar emitēto saistību summu, kas ir līdzvērtīga izslēgtajām saistībām, kā minēts Regulas (ES) Nr. 575/2013 72.a panta 2. punktā, un kuras tiktu atzītas 0200. rindā, ja netiktu piemērota maksimālā robežvērtība.</w:t>
            </w:r>
          </w:p>
        </w:tc>
      </w:tr>
    </w:tbl>
    <w:p w14:paraId="12B066B2" w14:textId="77777777" w:rsidR="005643EA" w:rsidRPr="00FB08AF" w:rsidRDefault="005643EA" w:rsidP="00E36728">
      <w:pPr>
        <w:pStyle w:val="InstructionsText"/>
      </w:pPr>
    </w:p>
    <w:p w14:paraId="55DB744D" w14:textId="77777777" w:rsidR="0015093D" w:rsidRPr="00FB08AF" w:rsidRDefault="002A276F" w:rsidP="0015093D">
      <w:pPr>
        <w:pStyle w:val="Numberedtilelevel1"/>
      </w:pPr>
      <w:bookmarkStart w:id="32" w:name="_Toc45558482"/>
      <w:bookmarkStart w:id="33" w:name="_Toc473560875"/>
      <w:bookmarkStart w:id="34" w:name="_Toc308175823"/>
      <w:bookmarkStart w:id="35" w:name="_Toc360188327"/>
      <w:r>
        <w:t xml:space="preserve">Sastāvs un termiņš</w:t>
      </w:r>
      <w:bookmarkEnd w:id="32"/>
    </w:p>
    <w:p w14:paraId="3F7E1AB0" w14:textId="1D53E41C" w:rsidR="0015093D" w:rsidRPr="00FB08AF" w:rsidRDefault="00F72178" w:rsidP="00873459">
      <w:pPr>
        <w:pStyle w:val="Numberedtilelevel1"/>
        <w:numPr>
          <w:ilvl w:val="1"/>
          <w:numId w:val="30"/>
        </w:numPr>
      </w:pPr>
      <w:bookmarkStart w:id="36" w:name="_Toc45558483"/>
      <w:bookmarkEnd w:id="0"/>
      <w:bookmarkEnd w:id="1"/>
      <w:bookmarkEnd w:id="33"/>
      <w:bookmarkEnd w:id="34"/>
      <w:bookmarkEnd w:id="35"/>
      <w:r>
        <w:t xml:space="preserve">M 02.00 - </w:t>
      </w:r>
      <w:r>
        <w:rPr>
          <w:i/>
          <w:iCs/>
        </w:rPr>
        <w:t xml:space="preserve">MREL</w:t>
      </w:r>
      <w:r>
        <w:t xml:space="preserve"> un </w:t>
      </w:r>
      <w:r>
        <w:rPr>
          <w:i/>
          <w:iCs/>
        </w:rPr>
        <w:t xml:space="preserve">TLAC</w:t>
      </w:r>
      <w:r>
        <w:t xml:space="preserve"> spējas un sastāvs (noregulējuma grupas un vienības) (TLAC1)</w:t>
      </w:r>
      <w:bookmarkEnd w:id="36"/>
    </w:p>
    <w:p w14:paraId="2DC79833" w14:textId="1965E9D9" w:rsidR="00F72178" w:rsidRPr="00FB08AF" w:rsidRDefault="00F72178" w:rsidP="00873459">
      <w:pPr>
        <w:pStyle w:val="Numberedtilelevel1"/>
        <w:numPr>
          <w:ilvl w:val="2"/>
          <w:numId w:val="30"/>
        </w:numPr>
      </w:pPr>
      <w:bookmarkStart w:id="37" w:name="_Toc16865801"/>
      <w:bookmarkStart w:id="38" w:name="_Toc16868635"/>
      <w:bookmarkStart w:id="39" w:name="_Toc20316748"/>
      <w:bookmarkStart w:id="40" w:name="_Toc45558484"/>
      <w:bookmarkEnd w:id="37"/>
      <w:r>
        <w:t xml:space="preserve">Vispārīgas piezīmes</w:t>
      </w:r>
      <w:bookmarkEnd w:id="38"/>
      <w:bookmarkEnd w:id="39"/>
      <w:bookmarkEnd w:id="40"/>
    </w:p>
    <w:p w14:paraId="7532242D" w14:textId="4019739D" w:rsidR="002701C8" w:rsidRPr="00FB08AF" w:rsidRDefault="002701C8" w:rsidP="00E36728">
      <w:pPr>
        <w:pStyle w:val="InstructionsText2"/>
      </w:pPr>
      <w:r>
        <w:t xml:space="preserve">Veidnē M 02.00 – </w:t>
      </w:r>
      <w:r>
        <w:rPr>
          <w:i/>
          <w:iCs/>
        </w:rPr>
        <w:t xml:space="preserve">MREL</w:t>
      </w:r>
      <w:r>
        <w:t xml:space="preserve"> un </w:t>
      </w:r>
      <w:r>
        <w:rPr>
          <w:i/>
          <w:iCs/>
        </w:rPr>
        <w:t xml:space="preserve">TLAC</w:t>
      </w:r>
      <w:r>
        <w:t xml:space="preserve"> spējas un sastāvs (noregulējuma grupas un vienības) (TLAC1) sniegta sīkāka informācija par pašu kapitāla un atbilstīgo saistību sastāvu.</w:t>
      </w:r>
    </w:p>
    <w:p w14:paraId="2B751F8F" w14:textId="6316E792" w:rsidR="00095D0D" w:rsidRPr="00FB08AF" w:rsidRDefault="00095D0D" w:rsidP="00E36728">
      <w:pPr>
        <w:pStyle w:val="InstructionsText2"/>
      </w:pPr>
      <w:r>
        <w:t xml:space="preserve">Sleju, kas attiecas uz minimuma prasību pašu kapitālam un atbilstīgajām saistībām (</w:t>
      </w:r>
      <w:r>
        <w:rPr>
          <w:i/>
          <w:iCs/>
        </w:rPr>
        <w:t xml:space="preserve">MREL</w:t>
      </w:r>
      <w:r>
        <w:t xml:space="preserve">), aizpilda vienības, kurām piemēro minimuma prasību pašu kapitālam un atbilstīgajām saistībām saskaņā ar Direktīvas 2014/59/ES 45.e pantu.</w:t>
      </w:r>
      <w:r>
        <w:t xml:space="preserve"> </w:t>
      </w:r>
      <w:r>
        <w:t xml:space="preserve">Tikai tās vienības, kurām ir pienākums izpildīt Regulas (ES) Nr. 575/2013 92.a pantā noteikto prasību, uzrāda posteņus, kas attiecas uz G-SNI prasību pašu kapitālam un atbilstīgajām saistībām (</w:t>
      </w:r>
      <w:r>
        <w:rPr>
          <w:i/>
          <w:iCs/>
        </w:rPr>
        <w:t xml:space="preserve">TLAC</w:t>
      </w:r>
      <w:r>
        <w:t xml:space="preserve">) .</w:t>
      </w:r>
    </w:p>
    <w:p w14:paraId="5AAB8790" w14:textId="3BE410D3" w:rsidR="00F72178" w:rsidRPr="00FB08AF" w:rsidRDefault="00F72178" w:rsidP="00873459">
      <w:pPr>
        <w:pStyle w:val="Numberedtilelevel1"/>
        <w:numPr>
          <w:ilvl w:val="2"/>
          <w:numId w:val="30"/>
        </w:numPr>
      </w:pPr>
      <w:bookmarkStart w:id="41" w:name="_Toc18593301"/>
      <w:bookmarkStart w:id="42" w:name="_Toc16868636"/>
      <w:bookmarkStart w:id="43" w:name="_Toc20316749"/>
      <w:bookmarkStart w:id="44" w:name="_Toc45558485"/>
      <w:bookmarkEnd w:id="41"/>
      <w:r>
        <w:t xml:space="preserve">Norādījumi par konkrētām pozīcijām</w:t>
      </w:r>
      <w:bookmarkEnd w:id="42"/>
      <w:bookmarkEnd w:id="43"/>
      <w:bookmarkEnd w:id="44"/>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44909951" w14:textId="77777777" w:rsidTr="001D28F3">
        <w:tc>
          <w:tcPr>
            <w:tcW w:w="1129" w:type="dxa"/>
            <w:shd w:val="clear" w:color="auto" w:fill="D9D9D9"/>
          </w:tcPr>
          <w:p w14:paraId="3799FB3B" w14:textId="2B0D5FB1" w:rsidR="00913681" w:rsidRPr="00FB08AF" w:rsidRDefault="00913681"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Sleja</w:t>
            </w:r>
          </w:p>
        </w:tc>
        <w:tc>
          <w:tcPr>
            <w:tcW w:w="7620" w:type="dxa"/>
            <w:shd w:val="clear" w:color="auto" w:fill="D9D9D9"/>
          </w:tcPr>
          <w:p w14:paraId="2947DA5B" w14:textId="77777777" w:rsidR="00913681" w:rsidRPr="00FB08AF" w:rsidRDefault="00913681"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Atsauces uz tiesību aktu noteikumiem un norādījumi</w:t>
            </w:r>
          </w:p>
        </w:tc>
      </w:tr>
      <w:tr w:rsidR="00FB08AF" w:rsidRPr="00FB08AF" w14:paraId="594DECC5" w14:textId="77777777" w:rsidTr="001D28F3">
        <w:tc>
          <w:tcPr>
            <w:tcW w:w="1129" w:type="dxa"/>
          </w:tcPr>
          <w:p w14:paraId="7A56A478"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Pr>
          <w:p w14:paraId="29E99259" w14:textId="77777777"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Minimuma prasība pašu kapitālam un atbilstīgajām saistībām (</w:t>
            </w:r>
            <w:r>
              <w:rPr>
                <w:rStyle w:val="InstructionsTabelleberschrift"/>
                <w:sz w:val="24"/>
                <w:i/>
                <w:iCs/>
                <w:rFonts w:ascii="Times New Roman" w:hAnsi="Times New Roman"/>
              </w:rPr>
              <w:t xml:space="preserve">MREL</w:t>
            </w:r>
            <w:r>
              <w:rPr>
                <w:rStyle w:val="InstructionsTabelleberschrift"/>
                <w:sz w:val="24"/>
                <w:rFonts w:ascii="Times New Roman" w:hAnsi="Times New Roman"/>
              </w:rPr>
              <w:t xml:space="preserve">)</w:t>
            </w:r>
          </w:p>
          <w:p w14:paraId="3BA23812" w14:textId="78160C50" w:rsidR="00A47334" w:rsidRPr="00FB08AF" w:rsidRDefault="00A4733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Direktīvas 2014/59/ES 45. un 45.e pants.</w:t>
            </w:r>
          </w:p>
        </w:tc>
      </w:tr>
      <w:tr w:rsidR="00FB08AF" w:rsidRPr="00FB08AF" w14:paraId="1ACD0238" w14:textId="77777777" w:rsidTr="001D28F3">
        <w:tc>
          <w:tcPr>
            <w:tcW w:w="1129" w:type="dxa"/>
          </w:tcPr>
          <w:p w14:paraId="1D81206E"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3B4D8FB6" w14:textId="205BC47D"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kapitāla un atbilstīgo saistību prasība G-SNI (</w:t>
            </w:r>
            <w:r>
              <w:rPr>
                <w:rStyle w:val="InstructionsTabelleberschrift"/>
                <w:sz w:val="24"/>
                <w:i/>
                <w:iCs/>
                <w:rFonts w:ascii="Times New Roman" w:hAnsi="Times New Roman"/>
              </w:rPr>
              <w:t xml:space="preserve">TLAC</w:t>
            </w:r>
            <w:r>
              <w:rPr>
                <w:rStyle w:val="InstructionsTabelleberschrift"/>
                <w:sz w:val="24"/>
                <w:rFonts w:ascii="Times New Roman" w:hAnsi="Times New Roman"/>
              </w:rPr>
              <w:t xml:space="preserve">)</w:t>
            </w:r>
          </w:p>
          <w:p w14:paraId="28749035" w14:textId="00E359CB" w:rsidR="00913681" w:rsidRPr="00FB08AF" w:rsidRDefault="00913681" w:rsidP="00E36728">
            <w:pPr>
              <w:pStyle w:val="InstructionsText"/>
              <w:rPr>
                <w:rStyle w:val="InstructionsTabelleberschrift"/>
                <w:sz w:val="24"/>
                <w:rFonts w:ascii="Times New Roman" w:hAnsi="Times New Roman"/>
              </w:rPr>
            </w:pPr>
            <w:r>
              <w:t xml:space="preserve">Regulas (ES) Nr. 575/2013 92.a pants</w:t>
            </w:r>
            <w:r>
              <w:rPr>
                <w:rStyle w:val="FormatvorlageInstructionsTabelleText"/>
                <w:sz w:val="24"/>
                <w:rFonts w:ascii="Times New Roman" w:hAnsi="Times New Roman"/>
              </w:rPr>
              <w:t xml:space="preserve">.</w:t>
            </w:r>
          </w:p>
        </w:tc>
      </w:tr>
      <w:tr w:rsidR="00913681" w:rsidRPr="00FB08AF" w14:paraId="1E16C6CA" w14:textId="77777777" w:rsidTr="001D28F3">
        <w:tc>
          <w:tcPr>
            <w:tcW w:w="1129" w:type="dxa"/>
          </w:tcPr>
          <w:p w14:paraId="45DAE454" w14:textId="77777777" w:rsidR="00913681" w:rsidRPr="00FB08AF" w:rsidRDefault="0091368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vAlign w:val="center"/>
          </w:tcPr>
          <w:p w14:paraId="4332BAEC" w14:textId="0F53D802" w:rsidR="00913681" w:rsidRPr="00FB08AF" w:rsidRDefault="0091368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Izziņas postenis: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Summas, kas ir atbilstīgas </w:t>
            </w:r>
            <w:r>
              <w:rPr>
                <w:rStyle w:val="InstructionsTabelleberschrift"/>
                <w:sz w:val="24"/>
                <w:i/>
                <w:iCs/>
                <w:rFonts w:ascii="Times New Roman" w:hAnsi="Times New Roman"/>
              </w:rPr>
              <w:t xml:space="preserve">MREL</w:t>
            </w:r>
            <w:r>
              <w:rPr>
                <w:rStyle w:val="InstructionsTabelleberschrift"/>
                <w:sz w:val="24"/>
                <w:rFonts w:ascii="Times New Roman" w:hAnsi="Times New Roman"/>
              </w:rPr>
              <w:t xml:space="preserve">, bet ne </w:t>
            </w:r>
            <w:r>
              <w:rPr>
                <w:rStyle w:val="InstructionsTabelleberschrift"/>
                <w:sz w:val="24"/>
                <w:i/>
                <w:iCs/>
                <w:rFonts w:ascii="Times New Roman" w:hAnsi="Times New Roman"/>
              </w:rPr>
              <w:t xml:space="preserve">TLAC</w:t>
            </w:r>
            <w:r>
              <w:rPr>
                <w:rStyle w:val="InstructionsTabelleberschrift"/>
                <w:sz w:val="24"/>
                <w:rFonts w:ascii="Times New Roman" w:hAnsi="Times New Roman"/>
              </w:rPr>
              <w:t xml:space="preserve"> vajadzībām</w:t>
            </w:r>
          </w:p>
          <w:p w14:paraId="45D0BB3D" w14:textId="173F3B31" w:rsidR="00913681" w:rsidRPr="00FB08AF" w:rsidRDefault="00913681" w:rsidP="00E36728">
            <w:pPr>
              <w:pStyle w:val="InstructionsText"/>
              <w:rPr>
                <w:noProof/>
              </w:rPr>
            </w:pPr>
            <w:r>
              <w:rPr>
                <w:rStyle w:val="FormatvorlageInstructionsTabelleText"/>
                <w:sz w:val="24"/>
                <w:rFonts w:ascii="Times New Roman" w:hAnsi="Times New Roman"/>
              </w:rPr>
              <w:t xml:space="preserve">Šo sleju aizpilda tikai vienības, kurām piemēro prasību pašu kapitālam un atbilstīgajām saistībām attiecībā uz G-SNI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w:t>
            </w:r>
            <w:r>
              <w:t xml:space="preserve"> </w:t>
            </w:r>
          </w:p>
          <w:p w14:paraId="47297FC0" w14:textId="3CE2FA32" w:rsidR="00913681" w:rsidRPr="00FB08AF" w:rsidRDefault="00913681" w:rsidP="00E36728">
            <w:pPr>
              <w:pStyle w:val="InstructionsText"/>
              <w:rPr>
                <w:rStyle w:val="InstructionsTabelleberschrift"/>
                <w:sz w:val="24"/>
                <w:rFonts w:ascii="Times New Roman" w:hAnsi="Times New Roman"/>
              </w:rPr>
            </w:pPr>
            <w:r>
              <w:t xml:space="preserve">Šī sleja atspoguļo starpību starp pašu kapitāla un saistību summām, kas ir atbilstīgas, lai izpildītu </w:t>
            </w:r>
            <w:r>
              <w:t xml:space="preserve">Direktīvas 2014/59/ES 45. pantā noteikto prasību </w:t>
            </w:r>
            <w:r>
              <w:t xml:space="preserve">saskaņā ar minētās direktīvas 45.e pantu, un pašu kapitāla un saistību summu, kas ir atbilstīgas, lai izpildītu Regulas (ES) Nr. 575/2013 92.a pantā noteikto prasību.</w:t>
            </w:r>
            <w:r>
              <w:rPr>
                <w:rStyle w:val="FormatvorlageInstructionsTabelleText"/>
                <w:sz w:val="24"/>
                <w:rFonts w:ascii="Times New Roman" w:hAnsi="Times New Roman"/>
              </w:rPr>
              <w:t xml:space="preserve">.</w:t>
            </w:r>
          </w:p>
        </w:tc>
      </w:tr>
    </w:tbl>
    <w:p w14:paraId="29964C1D" w14:textId="77777777" w:rsidR="00913681" w:rsidRPr="00FB08AF" w:rsidRDefault="00913681" w:rsidP="00E36728">
      <w:pPr>
        <w:pStyle w:val="InstructionsText"/>
      </w:pPr>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163FE27" w14:textId="77777777" w:rsidTr="007674DE">
        <w:tc>
          <w:tcPr>
            <w:tcW w:w="1129" w:type="dxa"/>
            <w:shd w:val="clear" w:color="auto" w:fill="D9D9D9"/>
          </w:tcPr>
          <w:p w14:paraId="22DE3533" w14:textId="77777777" w:rsidR="00F72178" w:rsidRPr="00FB08AF" w:rsidRDefault="00F72178" w:rsidP="00E36728">
            <w:pPr>
              <w:pStyle w:val="InstructionsText"/>
              <w:rPr>
                <w:rStyle w:val="InstructionsTabelleText"/>
                <w:bCs/>
                <w:sz w:val="24"/>
                <w:rFonts w:ascii="Times New Roman" w:hAnsi="Times New Roman"/>
              </w:rPr>
            </w:pPr>
            <w:r>
              <w:rPr>
                <w:rStyle w:val="FormatvorlageInstructionsTabelleText"/>
                <w:sz w:val="24"/>
                <w:rFonts w:ascii="Times New Roman" w:hAnsi="Times New Roman"/>
              </w:rPr>
              <w:t xml:space="preserve">Rinda</w:t>
            </w:r>
          </w:p>
        </w:tc>
        <w:tc>
          <w:tcPr>
            <w:tcW w:w="7620" w:type="dxa"/>
            <w:shd w:val="clear" w:color="auto" w:fill="D9D9D9"/>
          </w:tcPr>
          <w:p w14:paraId="41ABA84A" w14:textId="77777777" w:rsidR="00F72178" w:rsidRPr="00FB08AF" w:rsidRDefault="00F7217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Atsauces uz tiesību aktu noteikumiem un norādījumi</w:t>
            </w:r>
          </w:p>
        </w:tc>
      </w:tr>
      <w:tr w:rsidR="00FB08AF" w:rsidRPr="00FB08AF" w14:paraId="47BD65D4" w14:textId="77777777" w:rsidTr="001D28F3">
        <w:tc>
          <w:tcPr>
            <w:tcW w:w="1129" w:type="dxa"/>
            <w:vAlign w:val="center"/>
          </w:tcPr>
          <w:p w14:paraId="3AEE63B0" w14:textId="6FCE879C" w:rsidR="000A3889" w:rsidRPr="00FB08AF" w:rsidRDefault="000A3889" w:rsidP="00E36728">
            <w:pPr>
              <w:pStyle w:val="InstructionsText"/>
            </w:pPr>
            <w:r>
              <w:rPr>
                <w:rStyle w:val="FormatvorlageInstructionsTabelleText"/>
                <w:sz w:val="24"/>
                <w:rFonts w:ascii="Times New Roman" w:hAnsi="Times New Roman"/>
              </w:rPr>
              <w:t xml:space="preserve">0010</w:t>
            </w:r>
          </w:p>
        </w:tc>
        <w:tc>
          <w:tcPr>
            <w:tcW w:w="7620" w:type="dxa"/>
            <w:vAlign w:val="center"/>
          </w:tcPr>
          <w:p w14:paraId="3E6078FF" w14:textId="61357071" w:rsidR="00014A29" w:rsidRPr="00FB08AF" w:rsidRDefault="000A388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PAŠU KAPITĀLS UN ATBILSTĪGĀS SAISTĪBAS</w:t>
            </w:r>
          </w:p>
          <w:p w14:paraId="158DD0F6" w14:textId="42467472" w:rsidR="00BE3EAB" w:rsidRPr="00FB08AF" w:rsidRDefault="000A3889" w:rsidP="00E36728">
            <w:pPr>
              <w:pStyle w:val="InstructionsText"/>
              <w:rPr>
                <w:rStyle w:val="FormatvorlageInstructionsTabelleText"/>
                <w:sz w:val="24"/>
                <w:rFonts w:ascii="Times New Roman" w:hAnsi="Times New Roman"/>
              </w:rPr>
            </w:pPr>
            <w:r>
              <w:rPr>
                <w:sz w:val="24"/>
                <w:rStyle w:val="FormatvorlageInstructionsTabelleText"/>
                <w:rFonts w:ascii="Times New Roman" w:hAnsi="Times New Roman"/>
              </w:rPr>
              <w:t xml:space="preserve">Pašu kapitāls un atbilstīgās saistības Direktīvas 2014/59/ES </w:t>
            </w:r>
            <w:r>
              <w:rPr>
                <w:sz w:val="24"/>
                <w:rStyle w:val="InstructionsTabelleberschrift"/>
                <w:b w:val="0"/>
                <w:u w:val="none"/>
                <w:rFonts w:ascii="Times New Roman" w:hAnsi="Times New Roman"/>
              </w:rPr>
              <w:t xml:space="preserve">Direktīvas 2014/59/ES</w:t>
            </w:r>
            <w:r>
              <w:rPr>
                <w:sz w:val="24"/>
                <w:rStyle w:val="FormatvorlageInstructionsTabelleText"/>
                <w:rFonts w:ascii="Times New Roman" w:hAnsi="Times New Roman"/>
              </w:rPr>
              <w:t xml:space="preserve">45.e panta un </w:t>
            </w:r>
            <w:r>
              <w:t xml:space="preserve">Regulas (ES) Nr. 575/2013 92.a panta vajadzībām</w:t>
            </w:r>
          </w:p>
          <w:p w14:paraId="47315A58" w14:textId="3A637A51" w:rsidR="00014A29" w:rsidRPr="00FB08AF" w:rsidRDefault="00014A29"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3E6FE74F" w14:textId="77777777"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subordinēto atbilstīgo saistību summu, kas ieskaitīta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uzrāda kā summu, ko veido:</w:t>
            </w:r>
          </w:p>
          <w:p w14:paraId="66099F0F" w14:textId="00BEC1C1" w:rsidR="00BE3EAB" w:rsidRPr="00FB08AF" w:rsidRDefault="00BE3EAB" w:rsidP="00FE656D">
            <w:pPr>
              <w:pStyle w:val="ListParagraph"/>
              <w:numPr>
                <w:ilvl w:val="0"/>
                <w:numId w:val="28"/>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kapitāls, kā definēts Regulas (EK) Nr. 575/2013 4. panta 1. punkta 118) apakšpunktā un 72. pantā;</w:t>
            </w:r>
            <w:r>
              <w:rPr>
                <w:rStyle w:val="FormatvorlageInstructionsTabelleText"/>
                <w:sz w:val="24"/>
                <w:rFonts w:ascii="Times New Roman" w:hAnsi="Times New Roman"/>
              </w:rPr>
              <w:t xml:space="preserve"> </w:t>
            </w:r>
          </w:p>
          <w:p w14:paraId="1A27E8BB" w14:textId="311BCA4D" w:rsidR="00BE3EAB" w:rsidRPr="00FB08AF" w:rsidRDefault="00BE3EAB" w:rsidP="00FE656D">
            <w:pPr>
              <w:pStyle w:val="ListParagraph"/>
              <w:numPr>
                <w:ilvl w:val="0"/>
                <w:numId w:val="28"/>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atbilstīgās saistības, kā definēts Direktīvas 2014/59/ES 2. panta 1. punkta 71.a) apakšpunktā.</w:t>
            </w:r>
          </w:p>
          <w:p w14:paraId="21D33D83" w14:textId="122CC6DD" w:rsidR="00014A29" w:rsidRPr="00FB08AF" w:rsidRDefault="00014A29" w:rsidP="00BE3EAB">
            <w:pPr>
              <w:rPr>
                <w:rStyle w:val="FormatvorlageInstructionsTabelleText"/>
                <w:i/>
                <w:sz w:val="24"/>
                <w:rFonts w:ascii="Times New Roman" w:hAnsi="Times New Roman"/>
              </w:rPr>
            </w:pP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Direktīvas 2014/59/ES 55. pantā noteiktajām prasībām.</w:t>
            </w:r>
            <w:r>
              <w:rPr>
                <w:rStyle w:val="FormatvorlageInstructionsTabelleText"/>
                <w:sz w:val="24"/>
                <w:i/>
                <w:rFonts w:ascii="Times New Roman" w:hAnsi="Times New Roman"/>
              </w:rPr>
              <w:t xml:space="preserve">TLAC</w:t>
            </w:r>
          </w:p>
          <w:p w14:paraId="0817FF17" w14:textId="147DF078" w:rsidR="00BE3EAB" w:rsidRPr="00FB08AF" w:rsidRDefault="00BE3EAB" w:rsidP="00BE3EAB">
            <w:p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atbilstīgo saistību summa, ko ieskaita G-SNI prasībā pašu kapitālam un atbilstīgajām saistībām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ir summa, kas minēta Regulas (ES) Nr. 575/2013 72.l pantā un ko veido:</w:t>
            </w:r>
          </w:p>
          <w:p w14:paraId="23B4F5AB" w14:textId="3387CBBD" w:rsidR="00D83C2E" w:rsidRPr="00FB08AF" w:rsidRDefault="00BE3EAB" w:rsidP="00A65357">
            <w:pPr>
              <w:pStyle w:val="ListParagraph"/>
              <w:numPr>
                <w:ilvl w:val="0"/>
                <w:numId w:val="27"/>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pašu </w:t>
            </w:r>
            <w:r>
              <w:rPr>
                <w:rStyle w:val="FormatvorlageInstructionsTabelleText"/>
                <w:sz w:val="24"/>
                <w:rFonts w:ascii="Times New Roman" w:hAnsi="Times New Roman"/>
              </w:rPr>
              <w:t xml:space="preserve">kapitāls</w:t>
            </w:r>
            <w:r>
              <w:rPr>
                <w:rStyle w:val="FormatvorlageInstructionsTabelleText"/>
                <w:sz w:val="24"/>
                <w:rFonts w:ascii="Times New Roman" w:hAnsi="Times New Roman"/>
              </w:rPr>
              <w:t xml:space="preserve">, kā definēts Regulas (EK) Nr. 575/2013 </w:t>
            </w:r>
            <w:r>
              <w:rPr>
                <w:rStyle w:val="FormatvorlageInstructionsTabelleText"/>
                <w:sz w:val="24"/>
                <w:rFonts w:ascii="Times New Roman" w:hAnsi="Times New Roman"/>
              </w:rPr>
              <w:t xml:space="preserve">4. panta 1. punkta 118) apakšpunktā un 72. pantā</w:t>
            </w:r>
            <w:r>
              <w:rPr>
                <w:rStyle w:val="FormatvorlageInstructionsTabelleText"/>
                <w:sz w:val="24"/>
                <w:rFonts w:ascii="Times New Roman" w:hAnsi="Times New Roman"/>
              </w:rPr>
              <w:t xml:space="preserve">;</w:t>
            </w:r>
          </w:p>
          <w:p w14:paraId="6DCF60B1" w14:textId="36852AD7" w:rsidR="00AF19A1" w:rsidRPr="00FB08AF" w:rsidRDefault="00BE3EAB" w:rsidP="00BC0F5B">
            <w:pPr>
              <w:pStyle w:val="ListParagraph"/>
              <w:numPr>
                <w:ilvl w:val="0"/>
                <w:numId w:val="27"/>
              </w:numPr>
              <w:rPr>
                <w:rStyle w:val="InstructionsTabelleberschrift"/>
                <w:b w:val="0"/>
                <w:sz w:val="24"/>
                <w:rFonts w:ascii="Times New Roman" w:hAnsi="Times New Roman"/>
              </w:rPr>
            </w:pPr>
            <w:r>
              <w:rPr>
                <w:rStyle w:val="FormatvorlageInstructionsTabelleText"/>
                <w:sz w:val="24"/>
                <w:rFonts w:ascii="Times New Roman" w:hAnsi="Times New Roman"/>
              </w:rPr>
              <w:t xml:space="preserve">atbilstīgās saistības saskaņā ar Regulas (ES) Nr. 575/2013 72.k pantu.</w:t>
            </w:r>
          </w:p>
        </w:tc>
      </w:tr>
      <w:tr w:rsidR="00FB08AF" w:rsidRPr="00FB08AF" w14:paraId="45F49B4E" w14:textId="77777777" w:rsidTr="007674DE">
        <w:tc>
          <w:tcPr>
            <w:tcW w:w="1129" w:type="dxa"/>
          </w:tcPr>
          <w:p w14:paraId="241A0978" w14:textId="00F1C803"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Pr>
          <w:p w14:paraId="15E9F845" w14:textId="5692C9FF" w:rsidR="00F72178"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pašu kapitāls</w:t>
            </w:r>
          </w:p>
          <w:p w14:paraId="090BDA8C" w14:textId="539B6E6D" w:rsidR="00F72178" w:rsidRPr="00FB08AF" w:rsidRDefault="006C308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Regulas (ES) Nr. 575/2013 4. panta 1. punkta 118) apakšpunkts un 72. pants.</w:t>
            </w:r>
          </w:p>
          <w:p w14:paraId="568BA2E2" w14:textId="2B97F467" w:rsidR="00631A23" w:rsidRPr="00FB08AF" w:rsidRDefault="00DD50DC" w:rsidP="00E36728">
            <w:pPr>
              <w:pStyle w:val="InstructionsText"/>
              <w:rPr>
                <w:rStyle w:val="InstructionsTabelleberschrift"/>
                <w:b w:val="0"/>
                <w:sz w:val="24"/>
                <w:u w:val="none"/>
                <w:rFonts w:ascii="Times New Roman" w:hAnsi="Times New Roman"/>
              </w:rPr>
            </w:pPr>
            <w:r>
              <w:rPr>
                <w:sz w:val="24"/>
                <w:i/>
                <w:iCs/>
                <w:rFonts w:ascii="Times New Roman" w:hAnsi="Times New Roman"/>
              </w:rPr>
              <w:t xml:space="preserve">MREL</w:t>
            </w:r>
            <w:r>
              <w:rPr>
                <w:sz w:val="24"/>
                <w:rFonts w:ascii="Times New Roman" w:hAnsi="Times New Roman"/>
              </w:rPr>
              <w:t xml:space="preserve"> gadījumā instrumentus, ko reglamentē trešās valsts tiesību akti, </w:t>
            </w:r>
            <w:r>
              <w:rPr>
                <w:sz w:val="24"/>
                <w:rFonts w:ascii="Times New Roman" w:hAnsi="Times New Roman"/>
              </w:rPr>
              <w:t xml:space="preserve">šajā rindā un 0040. un 0050. rindā iekļauj tikai tad, </w:t>
            </w:r>
            <w:r>
              <w:rPr>
                <w:sz w:val="24"/>
                <w:rFonts w:ascii="Times New Roman" w:hAnsi="Times New Roman"/>
              </w:rPr>
              <w:t xml:space="preserve">ja tie atbilst Direktīvas 2014/59/ES 55. pantā noteiktajām prasībām.</w:t>
            </w:r>
          </w:p>
        </w:tc>
      </w:tr>
      <w:tr w:rsidR="00FB08AF" w:rsidRPr="00FB08AF" w14:paraId="78B0B86B" w14:textId="77777777" w:rsidTr="007674DE">
        <w:tc>
          <w:tcPr>
            <w:tcW w:w="1129" w:type="dxa"/>
          </w:tcPr>
          <w:p w14:paraId="53F6EC0E" w14:textId="3294AFB1" w:rsidR="00F72178" w:rsidRPr="00FB08AF" w:rsidRDefault="00F7217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Pr>
          <w:p w14:paraId="42CAC46E" w14:textId="697F38BE" w:rsidR="00F72178" w:rsidRPr="00FB08AF" w:rsidRDefault="00F7217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Pirmā līmeņa pamata kapitāls</w:t>
            </w:r>
          </w:p>
          <w:p w14:paraId="2EE09494" w14:textId="7F87E430" w:rsidR="00F72178" w:rsidRPr="00FB08AF" w:rsidRDefault="00F72178"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Regulas (ES) Nr. 575/2013 50. pants.</w:t>
            </w:r>
          </w:p>
        </w:tc>
      </w:tr>
      <w:tr w:rsidR="00FB08AF" w:rsidRPr="00FB08AF" w14:paraId="4DB72D04" w14:textId="77777777" w:rsidTr="007674DE">
        <w:tc>
          <w:tcPr>
            <w:tcW w:w="1129" w:type="dxa"/>
          </w:tcPr>
          <w:p w14:paraId="4665A63A" w14:textId="0D24E4AF"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vAlign w:val="center"/>
          </w:tcPr>
          <w:p w14:paraId="376A736F" w14:textId="1C5D040D"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pirmā līmeņa papildu kapitāls</w:t>
            </w:r>
          </w:p>
          <w:p w14:paraId="44A6CA99" w14:textId="1B49FE4D" w:rsidR="00A63011" w:rsidRPr="00FB08AF" w:rsidRDefault="00A6301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Regulas (ES) Nr. 575/2013 61. pants.</w:t>
            </w:r>
            <w:r>
              <w:t xml:space="preserve"> </w:t>
            </w:r>
          </w:p>
        </w:tc>
      </w:tr>
      <w:tr w:rsidR="00FB08AF" w:rsidRPr="00FB08AF" w14:paraId="732204C7" w14:textId="77777777" w:rsidTr="007674DE">
        <w:tc>
          <w:tcPr>
            <w:tcW w:w="1129" w:type="dxa"/>
          </w:tcPr>
          <w:p w14:paraId="7547F104" w14:textId="5B65B6B5" w:rsidR="00A63011" w:rsidRPr="00FB08AF" w:rsidRDefault="00A6301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vAlign w:val="center"/>
          </w:tcPr>
          <w:p w14:paraId="3ADA9D5F" w14:textId="2739B118" w:rsidR="00A63011" w:rsidRPr="00FB08AF" w:rsidRDefault="00880C0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otrā līmeņa kapitāls</w:t>
            </w:r>
          </w:p>
          <w:p w14:paraId="63F618CB" w14:textId="00AD8301" w:rsidR="00A63011" w:rsidRPr="00FB08AF" w:rsidRDefault="006C308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Regulas (ES) Nr. 575/2013 71. pants.</w:t>
            </w:r>
          </w:p>
        </w:tc>
      </w:tr>
      <w:tr w:rsidR="00FB08AF" w:rsidRPr="00FB08AF" w14:paraId="5F8952C8" w14:textId="77777777" w:rsidTr="007674DE">
        <w:tc>
          <w:tcPr>
            <w:tcW w:w="1129" w:type="dxa"/>
            <w:vAlign w:val="center"/>
          </w:tcPr>
          <w:p w14:paraId="6363A10E" w14:textId="681F333D" w:rsidR="00A63011" w:rsidRPr="00FB08AF" w:rsidRDefault="0016365A" w:rsidP="00E36728">
            <w:pPr>
              <w:pStyle w:val="InstructionsText"/>
            </w:pPr>
            <w:r>
              <w:rPr>
                <w:rStyle w:val="FormatvorlageInstructionsTabelleText"/>
                <w:sz w:val="24"/>
                <w:rFonts w:ascii="Times New Roman" w:hAnsi="Times New Roman"/>
              </w:rPr>
              <w:t xml:space="preserve">0060</w:t>
            </w:r>
          </w:p>
        </w:tc>
        <w:tc>
          <w:tcPr>
            <w:tcW w:w="7620" w:type="dxa"/>
            <w:vAlign w:val="center"/>
          </w:tcPr>
          <w:p w14:paraId="4FEFDC5E" w14:textId="25C1A41E"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w:t>
            </w:r>
          </w:p>
          <w:p w14:paraId="76BC8267" w14:textId="51AF0C24"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4A43196B" w14:textId="0CE82DD5" w:rsidR="0016365A"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kā definēts Direktīvas 2014/59/ES 2. panta 1. punkta 71.a) apakšpunktā;</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minētās direktīvas 55. pantā noteiktajām prasībām.</w:t>
            </w:r>
          </w:p>
          <w:p w14:paraId="1997E756" w14:textId="7BE311EA"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0267CAB" w14:textId="6284073F" w:rsidR="00A63011" w:rsidRPr="00FB08AF" w:rsidRDefault="00685080" w:rsidP="00E36728">
            <w:pPr>
              <w:pStyle w:val="InstructionsText"/>
              <w:rPr>
                <w:b/>
                <w:szCs w:val="22"/>
              </w:rPr>
            </w:pPr>
            <w:r>
              <w:rPr>
                <w:rStyle w:val="FormatvorlageInstructionsTabelleText"/>
                <w:sz w:val="24"/>
                <w:rFonts w:ascii="Times New Roman" w:hAnsi="Times New Roman"/>
              </w:rPr>
              <w:t xml:space="preserve">Atbilstīgās saistības saskaņā ar Regulas (ES) Nr. 575/2013 72.k pantu.</w:t>
            </w:r>
          </w:p>
        </w:tc>
      </w:tr>
      <w:tr w:rsidR="00FB08AF" w:rsidRPr="00FB08AF" w14:paraId="1C6ED724" w14:textId="77777777" w:rsidTr="007674DE">
        <w:tc>
          <w:tcPr>
            <w:tcW w:w="1129" w:type="dxa"/>
            <w:vAlign w:val="center"/>
          </w:tcPr>
          <w:p w14:paraId="05D6280C" w14:textId="142EDD34" w:rsidR="00A63011" w:rsidRPr="00FB08AF" w:rsidRDefault="00A63011" w:rsidP="00E36728">
            <w:pPr>
              <w:pStyle w:val="InstructionsText"/>
            </w:pPr>
            <w:r>
              <w:rPr>
                <w:rStyle w:val="FormatvorlageInstructionsTabelleText"/>
                <w:sz w:val="24"/>
                <w:rFonts w:ascii="Times New Roman" w:hAnsi="Times New Roman"/>
              </w:rPr>
              <w:t xml:space="preserve">0070</w:t>
            </w:r>
          </w:p>
        </w:tc>
        <w:tc>
          <w:tcPr>
            <w:tcW w:w="7620" w:type="dxa"/>
            <w:vAlign w:val="center"/>
          </w:tcPr>
          <w:p w14:paraId="3CACADFF" w14:textId="65107B6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Atbilstīgo saistību posteņi pirms korekcijām</w:t>
            </w:r>
            <w:r>
              <w:rPr>
                <w:rStyle w:val="InstructionsTabelleberschrift"/>
                <w:sz w:val="24"/>
                <w:rFonts w:ascii="Times New Roman" w:hAnsi="Times New Roman"/>
              </w:rPr>
              <w:t xml:space="preserve"> </w:t>
            </w:r>
          </w:p>
          <w:p w14:paraId="383F53A3" w14:textId="77777777"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09BA6C55" w14:textId="4232FCE0" w:rsidR="008E420D" w:rsidRPr="00FB08AF" w:rsidRDefault="0068508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kā definēts Direktīvas 2014/59/ES 2. panta 1. punkta 71.a) apakšpunktā;</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minētās direktīvas 55. pantā noteiktajām prasībām.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no kurām atskaitītas neizmantotās iepriekšējās atļaujas summas, ciktāl atļauja attiecas uz atbilstīgo saistību instrumentiem.</w:t>
            </w:r>
          </w:p>
          <w:p w14:paraId="69F02168" w14:textId="455490F6" w:rsidR="00685080" w:rsidRPr="00FB08AF" w:rsidRDefault="00685080"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03CAF6E8" w14:textId="133579FB" w:rsidR="00181B53" w:rsidRPr="00FB08AF" w:rsidRDefault="00685080" w:rsidP="00E36728">
            <w:pPr>
              <w:pStyle w:val="InstructionsText"/>
            </w:pPr>
            <w:r>
              <w:rPr>
                <w:rStyle w:val="FormatvorlageInstructionsTabelleText"/>
                <w:sz w:val="24"/>
                <w:rFonts w:ascii="Times New Roman" w:hAnsi="Times New Roman"/>
              </w:rPr>
              <w:t xml:space="preserve">Atbilstīgās saistības, kas atbilst visām prasībām, kuras noteiktas Regulas (ES) Nr. 575/2013 72.a līdz 72.d pantā.</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no kurām atskaitīta līdzdalība pašu atbilstīgo saistību instrumentos un neizmantotās iepriekšējās atļaujas summas, ciktāl atļauja attiecas uz atbilstīgo saistību instrumentiem.</w:t>
            </w:r>
          </w:p>
        </w:tc>
      </w:tr>
      <w:tr w:rsidR="00FB08AF" w:rsidRPr="00FB08AF" w14:paraId="03BE5FC7" w14:textId="77777777" w:rsidTr="00EF1BBD">
        <w:tc>
          <w:tcPr>
            <w:tcW w:w="1129" w:type="dxa"/>
            <w:vAlign w:val="center"/>
          </w:tcPr>
          <w:p w14:paraId="6BFA1E2F" w14:textId="3832115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vAlign w:val="center"/>
          </w:tcPr>
          <w:p w14:paraId="7564EC67" w14:textId="77777777" w:rsidR="00EF1BBD" w:rsidRPr="00FB08AF" w:rsidRDefault="00EF1BB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atbilstīgās saistības, ko uzskata par strukturāli subordinētām</w:t>
            </w:r>
            <w:r>
              <w:rPr>
                <w:rStyle w:val="InstructionsTabelleberschrift"/>
                <w:sz w:val="24"/>
                <w:rFonts w:ascii="Times New Roman" w:hAnsi="Times New Roman"/>
              </w:rPr>
              <w:t xml:space="preserve"> </w:t>
            </w:r>
          </w:p>
          <w:p w14:paraId="3BCE2B05" w14:textId="77777777" w:rsidR="00EF1BBD" w:rsidRPr="00FB08AF" w:rsidRDefault="00EF1BBD"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6F55458A" w14:textId="04AC4CB9" w:rsidR="00EF1BBD" w:rsidRPr="00FB08AF" w:rsidRDefault="00EF1BBD" w:rsidP="00E36728">
            <w:pPr>
              <w:pStyle w:val="InstructionsText"/>
              <w:rPr>
                <w:rStyle w:val="InstructionsTabelleberschrift"/>
                <w:sz w:val="24"/>
                <w:u w:val="none"/>
                <w:rFonts w:ascii="Times New Roman" w:hAnsi="Times New Roman"/>
              </w:rPr>
            </w:pPr>
            <w:r>
              <w:rPr>
                <w:sz w:val="24"/>
                <w:rFonts w:ascii="Times New Roman" w:hAnsi="Times New Roman"/>
              </w:rPr>
              <w:t xml:space="preserve">Saistības, kas atbilst </w:t>
            </w:r>
            <w:r>
              <w:rPr>
                <w:sz w:val="24"/>
                <w:rFonts w:ascii="Times New Roman" w:hAnsi="Times New Roman"/>
              </w:rPr>
              <w:t xml:space="preserve">Direktīvas 2014/59/ES 45.b panta nosacījumiem,jo tās emitē noregulējuma vienība, kas ir pārvaldītājsabiedrība, un </w:t>
            </w:r>
            <w:r>
              <w:rPr>
                <w:sz w:val="24"/>
                <w:rFonts w:ascii="Times New Roman" w:hAnsi="Times New Roman"/>
              </w:rPr>
              <w:t xml:space="preserve">tāpēc, ka nav Regulas (ES) Nr. 575/2013 72.a panta 2. punktā minēto izslēgto saistību, kas ir līdzvērtīgas atbilstīgo saistību instrumentiem vai kurām ir zemāka prioritāte par tām.</w:t>
            </w:r>
          </w:p>
          <w:p w14:paraId="1A629DBA" w14:textId="0DE8803D" w:rsidR="00014A29"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Direktīvas 2014/59/ES 55. pantā noteiktajām prasībām.</w:t>
            </w:r>
          </w:p>
          <w:p w14:paraId="57F8A551" w14:textId="371D79D0"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iekļauj arī atbilstīgās saistības, kas kvalificējamas, piemērojot tiesības saglabāt iepriekš spēkā esošos nosacījumus saskaņā ar Regulas (ES) Nr. 575/2013 494.b panta 3. punktu.</w:t>
            </w:r>
          </w:p>
          <w:p w14:paraId="796DDC04" w14:textId="391BF591" w:rsidR="006A42FC" w:rsidRPr="00FB08AF" w:rsidRDefault="006A42F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Uzrādītās summas ir summas, no kurām atskaitītas neizmantotās iepriekšējās </w:t>
            </w:r>
            <w:r>
              <w:rPr>
                <w:sz w:val="24"/>
                <w:rFonts w:ascii="Times New Roman" w:hAnsi="Times New Roman"/>
              </w:rPr>
              <w:t xml:space="preserve">atļaujas summas, </w:t>
            </w:r>
            <w:r>
              <w:rPr>
                <w:sz w:val="24"/>
                <w:rFonts w:ascii="Times New Roman" w:hAnsi="Times New Roman"/>
              </w:rPr>
              <w:t xml:space="preserve">ciktāl iepriekšējā atļauja attiecas uz atbilstīgo saistību instrumentiem, kas atbilst šā punkta pirmajā, otrajā un trešajā daļā noteiktajiem kritērijiem.</w:t>
            </w:r>
          </w:p>
          <w:p w14:paraId="4F393620" w14:textId="77777777" w:rsidR="00EF1BBD" w:rsidRPr="00FB08AF" w:rsidRDefault="00EF1BBD"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60DE397F" w14:textId="6AEF8E6E"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Saistības, kuras:</w:t>
            </w:r>
          </w:p>
          <w:p w14:paraId="4850AF1A" w14:textId="5D492876" w:rsidR="00EF1BBD" w:rsidRPr="00FB08AF" w:rsidRDefault="006921A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atbilst prasībām, kas noteiktas Regulas (ES) Nr. 575/2013 72.a līdz 72.d pantā, un jo īpaši prasībām, kas noteiktas minētās regulas 72.b panta 2. punkta d) apakšpunkta iii) punktā, bet ne prasībām, kas noteiktas minētā punkta d) apakšpunkta i) vai ii) punktā, vai</w:t>
            </w:r>
          </w:p>
          <w:p w14:paraId="5A5A5CD9" w14:textId="0D1C4333" w:rsidR="00EF1BBD" w:rsidRPr="00FB08AF" w:rsidRDefault="006921A5" w:rsidP="00E36728">
            <w:pPr>
              <w:pStyle w:val="InstructionsText"/>
              <w:rPr>
                <w:rStyle w:val="FormatvorlageInstructionsTabelleText"/>
                <w:b/>
                <w:sz w:val="24"/>
                <w:u w:val="single"/>
                <w:rFonts w:ascii="Times New Roman" w:hAnsi="Times New Roman"/>
              </w:rPr>
            </w:pPr>
            <w:r>
              <w:t xml:space="preserve"> b) atbilst prasībām, kas noteiktas </w:t>
            </w:r>
            <w:r>
              <w:t xml:space="preserve">Regulas (ES) Nr. 575/2013 72.a līdz 72.d pantā, izņemot minētās regulas 72.b panta 2. punkta d) apakšpunktu, un kuras noregulējuma iestādes ir atļāvušas kvalificēt kā atbilstīgo saistību instrumentus saskaņā ar minētās regulas 72.b panta 4. punktu.</w:t>
            </w:r>
            <w:r>
              <w:rPr>
                <w:rStyle w:val="FormatvorlageInstructionsTabelleText"/>
                <w:sz w:val="24"/>
                <w:rFonts w:ascii="Times New Roman" w:hAnsi="Times New Roman"/>
              </w:rPr>
              <w:t xml:space="preserve"> </w:t>
            </w:r>
          </w:p>
          <w:p w14:paraId="5835FC6E" w14:textId="77777777" w:rsidR="00EF1BBD" w:rsidRPr="00FB08AF" w:rsidRDefault="00EF1B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iekļauj arī atbilstīgās saistības, kas kvalificējamas, piemērojot tiesības saglabāt iepriekš spēkā esošos nosacījumus saskaņā ar Regulas (ES) Nr. 575/2013 494.b panta 3. punktu.</w:t>
            </w:r>
          </w:p>
          <w:p w14:paraId="57A8D9F5" w14:textId="1A4880A3" w:rsidR="006A42FC" w:rsidRPr="00FB08AF" w:rsidRDefault="006A42FC" w:rsidP="00672C9C">
            <w:pPr>
              <w:rPr>
                <w:rStyle w:val="InstructionsTabelleberschrift"/>
                <w:b w:val="0"/>
                <w:sz w:val="24"/>
                <w:u w:val="none"/>
                <w:rFonts w:ascii="Times New Roman" w:hAnsi="Times New Roman"/>
              </w:rPr>
            </w:pPr>
            <w:r>
              <w:rPr>
                <w:sz w:val="24"/>
                <w:rFonts w:ascii="Times New Roman" w:hAnsi="Times New Roman"/>
              </w:rPr>
              <w:t xml:space="preserve">Uzrādītās summas ir summas, no kurām atskaitītas neizmantotās iepriekšējās </w:t>
            </w:r>
            <w:r>
              <w:rPr>
                <w:sz w:val="24"/>
                <w:rFonts w:ascii="Times New Roman" w:hAnsi="Times New Roman"/>
              </w:rPr>
              <w:t xml:space="preserve">atļaujas summas, </w:t>
            </w:r>
            <w:r>
              <w:rPr>
                <w:sz w:val="24"/>
                <w:rFonts w:ascii="Times New Roman" w:hAnsi="Times New Roman"/>
              </w:rPr>
              <w:t xml:space="preserve">ciktāl iepriekšējā atļauja attiecas uz atbilstīgo saistību instrumentiem, kas atbilst šā punkta pirmajā un otrajā daļā noteiktajiem kritērijiem.</w:t>
            </w:r>
          </w:p>
        </w:tc>
      </w:tr>
      <w:tr w:rsidR="00FB08AF" w:rsidRPr="00FB08AF" w14:paraId="6A23855C" w14:textId="77777777" w:rsidTr="007674DE">
        <w:tc>
          <w:tcPr>
            <w:tcW w:w="1129" w:type="dxa"/>
            <w:vAlign w:val="center"/>
          </w:tcPr>
          <w:p w14:paraId="05433C19" w14:textId="400C8B72" w:rsidR="003C1F98" w:rsidRPr="00FB08AF" w:rsidRDefault="003C1F98" w:rsidP="00E36728">
            <w:pPr>
              <w:pStyle w:val="InstructionsText"/>
            </w:pPr>
            <w:r>
              <w:rPr>
                <w:rStyle w:val="FormatvorlageInstructionsTabelleText"/>
                <w:sz w:val="24"/>
                <w:rFonts w:ascii="Times New Roman" w:hAnsi="Times New Roman"/>
              </w:rPr>
              <w:t xml:space="preserve">0090</w:t>
            </w:r>
          </w:p>
        </w:tc>
        <w:tc>
          <w:tcPr>
            <w:tcW w:w="7620" w:type="dxa"/>
            <w:vAlign w:val="center"/>
          </w:tcPr>
          <w:p w14:paraId="21FA960A" w14:textId="77777777"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 kas ir subordinētas izslēgtajām saistībām</w:t>
            </w:r>
          </w:p>
          <w:p w14:paraId="7423CFA6" w14:textId="5A9BD8DB" w:rsidR="00C80C5A" w:rsidRPr="00FB08AF" w:rsidRDefault="00D83C2E" w:rsidP="00E36728">
            <w:pPr>
              <w:pStyle w:val="InstructionsText"/>
              <w:rPr>
                <w:rStyle w:val="InstructionsTabelleberschrift"/>
                <w:sz w:val="24"/>
                <w:rFonts w:ascii="Times New Roman" w:hAnsi="Times New Roman"/>
              </w:rPr>
            </w:pPr>
            <w:r>
              <w:rPr>
                <w:sz w:val="24"/>
                <w:rStyle w:val="FormatvorlageInstructionsTabelleText"/>
                <w:i/>
                <w:rFonts w:ascii="Times New Roman" w:hAnsi="Times New Roman"/>
              </w:rPr>
              <w:t xml:space="preserve">MREL</w:t>
            </w:r>
            <w:r>
              <w:rPr>
                <w:sz w:val="24"/>
                <w:rStyle w:val="InstructionsTabelleberschrift"/>
                <w:rFonts w:ascii="Times New Roman" w:hAnsi="Times New Roman"/>
              </w:rPr>
              <w:t xml:space="preserve"> </w:t>
            </w:r>
          </w:p>
          <w:p w14:paraId="1C189CD3" w14:textId="6A7B9DEA" w:rsidR="00D83C2E" w:rsidRPr="00FB08AF" w:rsidRDefault="00C80C5A" w:rsidP="00E36728">
            <w:pPr>
              <w:pStyle w:val="InstructionsText"/>
              <w:rPr>
                <w:rStyle w:val="FormatvorlageInstructionsTabelleText"/>
                <w:sz w:val="24"/>
                <w:rFonts w:ascii="Times New Roman" w:hAnsi="Times New Roman"/>
              </w:rPr>
            </w:pPr>
            <w:r>
              <w:rPr>
                <w:sz w:val="24"/>
                <w:rFonts w:ascii="Times New Roman" w:hAnsi="Times New Roman"/>
              </w:rPr>
              <w:t xml:space="preserve">Atbilstīgās saistības, kas iekļautas pašu kapitāla un atbilstīgo saistību summā saskaņā ar Direktīvas 2014/59/ES 45.b pantu un kas ir subordinēti atbilstīgi instrumenti, kā definēts minētās direktīvas 2. panta 1. punkta 71.b apakšpunktā, un saistības, kas ir iekļautas pašu kapitāla un atbilstīgo saistību summā saskaņā ar minētās direktīvas 45.b panta 3. punktu.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Attiecībā uz instrumentiem, ko reglamentē trešās valsts tiesību akti, instrumentu šajā rindā iekļauj tikai tad, ja tas atbilst minētās direktīvas 55. pantā noteiktajām prasībām.</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Uzrādītās summas ir summas, no kurām atskaitītas neizmantotās iepriekšējās atļaujas summas, ciktāl atļauja attiecas uz atbilstīgo saistību instrumentiem, kas subordinēti izslēgtajām saistībām.</w:t>
            </w:r>
          </w:p>
          <w:p w14:paraId="5C3837FC" w14:textId="25D3B279" w:rsidR="00C80C5A" w:rsidRPr="00FB08AF" w:rsidRDefault="00D83C2E" w:rsidP="00E36728">
            <w:pPr>
              <w:pStyle w:val="InstructionsText"/>
            </w:pPr>
            <w:r>
              <w:rPr>
                <w:rStyle w:val="FormatvorlageInstructionsTabelleText"/>
                <w:i/>
                <w:sz w:val="24"/>
                <w:rFonts w:ascii="Times New Roman" w:hAnsi="Times New Roman"/>
              </w:rPr>
              <w:t xml:space="preserve">TLAC</w:t>
            </w:r>
          </w:p>
          <w:p w14:paraId="7F653EB4" w14:textId="23661CC2" w:rsidR="00D83C2E" w:rsidRPr="00FB08AF" w:rsidRDefault="00C80C5A" w:rsidP="00E36728">
            <w:pPr>
              <w:pStyle w:val="InstructionsText"/>
            </w:pPr>
            <w:r>
              <w:t xml:space="preserve">Atbilstīgās saistības, kas atbilst visām prasībām, kuras noteiktas </w:t>
            </w:r>
            <w:r>
              <w:t xml:space="preserve">Regulas (ES) Nr. 575/2013 72.a līdz 72.d pantā, izņemot saistības, kuras atļauts kvalificēt kā atbilstīgo saistību instrumentus saskaņā ar minētās regulas 72.b panta 3. vai 4. punktu.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no kurām atskaitīta līdzdalība pašu atbilstīgo saistību instrumentos un neizmantotās iepriekšējās atļaujas summas, ciktāl iepriekšējā atļauja attiecas uz atbilstīgo saistību instrumentiem, kuri subordinēti izslēgtajām saistībām.</w:t>
            </w:r>
          </w:p>
        </w:tc>
      </w:tr>
      <w:tr w:rsidR="00FB08AF" w:rsidRPr="00FB08AF" w14:paraId="65D7B875" w14:textId="77777777" w:rsidTr="007674DE">
        <w:tc>
          <w:tcPr>
            <w:tcW w:w="1129" w:type="dxa"/>
            <w:vAlign w:val="center"/>
          </w:tcPr>
          <w:p w14:paraId="2E78853D" w14:textId="4BB5EBB8" w:rsidR="00A63011" w:rsidRPr="00FB08AF" w:rsidRDefault="00A63011" w:rsidP="00E36728">
            <w:pPr>
              <w:pStyle w:val="InstructionsText"/>
            </w:pPr>
            <w:r>
              <w:rPr>
                <w:rStyle w:val="FormatvorlageInstructionsTabelleText"/>
                <w:sz w:val="24"/>
                <w:rFonts w:ascii="Times New Roman" w:hAnsi="Times New Roman"/>
              </w:rPr>
              <w:t xml:space="preserve">0100</w:t>
            </w:r>
          </w:p>
        </w:tc>
        <w:tc>
          <w:tcPr>
            <w:tcW w:w="7620" w:type="dxa"/>
            <w:vAlign w:val="center"/>
          </w:tcPr>
          <w:p w14:paraId="32ABAB10" w14:textId="5A2436B8" w:rsidR="00A63011" w:rsidRPr="00FB08AF" w:rsidRDefault="00A63011" w:rsidP="00E36728">
            <w:pPr>
              <w:pStyle w:val="InstructionsText"/>
              <w:rPr>
                <w:rStyle w:val="InstructionsTabelleberschrift"/>
                <w:i/>
                <w:sz w:val="24"/>
                <w:rFonts w:ascii="Times New Roman" w:hAnsi="Times New Roman"/>
              </w:rPr>
            </w:pPr>
            <w:r>
              <w:rPr>
                <w:rStyle w:val="InstructionsTabelleberschrift"/>
                <w:sz w:val="24"/>
                <w:rFonts w:ascii="Times New Roman" w:hAnsi="Times New Roman"/>
              </w:rPr>
              <w:t xml:space="preserve">Atbilstīgo saistību instrumenti, ko tieši emitējusi noregulējuma vienība (nav tiesību saglabāt iepriekš spēkā esošos nosacījumus)</w:t>
            </w:r>
          </w:p>
          <w:p w14:paraId="4DBAA034" w14:textId="489D258B" w:rsidR="00C80C5A" w:rsidRPr="00FB08AF" w:rsidRDefault="00D83C2E"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MREL</w:t>
            </w:r>
          </w:p>
          <w:p w14:paraId="698153B3" w14:textId="1F6A16E5" w:rsidR="006B3F3C" w:rsidRPr="00FB08AF" w:rsidRDefault="00C80C5A" w:rsidP="00E36728">
            <w:pPr>
              <w:pStyle w:val="InstructionsText"/>
              <w:rPr>
                <w:rStyle w:val="FormatvorlageInstructionsTabelleText"/>
                <w:sz w:val="24"/>
                <w:rFonts w:ascii="Times New Roman" w:hAnsi="Times New Roman"/>
              </w:rPr>
            </w:pPr>
            <w:r>
              <w:rPr>
                <w:sz w:val="24"/>
                <w:rFonts w:ascii="Times New Roman" w:hAnsi="Times New Roman"/>
              </w:rPr>
              <w:t xml:space="preserve">Atbilstīgās saistības, kas iekļautas pašu kapitāla un atbilstīgo saistību summā saskaņā ar </w:t>
            </w:r>
            <w:r>
              <w:rPr>
                <w:sz w:val="24"/>
                <w:rFonts w:ascii="Times New Roman" w:hAnsi="Times New Roman"/>
              </w:rPr>
              <w:t xml:space="preserve">Direktīvas 2014/59/ES 45.b pantu un kas ir subordinēti atbilstīgi instrumenti, kā definēts minētās direktīvas 2. panta 1. punkta 71.b apakšpunktā, un kurus tieši emitē noregulējuma vienība.</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Attiecībā uz instrumentiem, ko reglamentē trešās valsts tiesību akti, instrumentu šajā rindā iekļauj tikai tad, ja tas atbilst minētās direktīvas 55. pantā noteiktajām prasībām.</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Uzrādītās summas ir summas, pirms atskaitītas neizmantotās iepriekšējās atļaujas summas, ciktāl atļauja attiecas uz atbilstīgo saistību instrumentiem, kurus tieši emitējusi noregulējuma vienība, attiecībā uz kuriem nav tiesību saglabāt iepriekš spēkā esošos nosacījumus.</w:t>
            </w:r>
          </w:p>
          <w:p w14:paraId="7ECE538F" w14:textId="2174F849" w:rsidR="00A63011" w:rsidRPr="00FB08AF" w:rsidRDefault="00A63011" w:rsidP="00E36728">
            <w:pPr>
              <w:pStyle w:val="InstructionsText"/>
              <w:rPr>
                <w:rStyle w:val="FormatvorlageInstructionsTabelleText"/>
                <w:rFonts w:ascii="Times New Roman" w:hAnsi="Times New Roman"/>
                <w:sz w:val="24"/>
              </w:rPr>
            </w:pPr>
          </w:p>
          <w:p w14:paraId="055ECE85" w14:textId="77777777" w:rsidR="00C80C5A" w:rsidRPr="00FB08AF" w:rsidRDefault="00D83C2E"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TLAC</w:t>
            </w:r>
          </w:p>
          <w:p w14:paraId="51F95D97" w14:textId="43FD0F8E" w:rsidR="00D83C2E" w:rsidRPr="00FB08AF" w:rsidRDefault="00C80C5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visām prasībām, kuras noteiktas Regulas (ES) Nr. 575/2013 72.a līdz 72.d pantā, izņemot saistības, kuras atļauts kvalificēt kā atbilstīgo saistību instrumentus saskaņā ar minētās regulas 72.b panta 3. vai 4. punktu, un kuras emitē tieši noregulējuma vienība.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kurus tieši emitējusi noregulējuma vienība, attiecībā uz kuriem nav tiesību saglabāt iepriekš spēkā esošos nosacījumus.</w:t>
            </w:r>
          </w:p>
          <w:p w14:paraId="538B9AEC" w14:textId="6E580954" w:rsidR="00A63011"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neiekļauj nedz amortizēto otrā līmeņa kapitāla instrumentu daļu, ja atlikušais termiņš ir ilgāks par vienu gadu (Regulas (ES) Nr. 575/2013 72.a panta 1. punkta b) apakšpunkts), nedz atbilstīgās saistības, kurām piemēro tiesības saglabāt iepriekš spēkā esošos nosacījumus saskaņā ar minētās regulas 494.b pantu.</w:t>
            </w:r>
          </w:p>
          <w:p w14:paraId="609C4389" w14:textId="7A7AC95B" w:rsidR="006B3F3C" w:rsidRPr="00FB08AF" w:rsidRDefault="006B3F3C" w:rsidP="00E36728">
            <w:pPr>
              <w:pStyle w:val="InstructionsText"/>
            </w:pPr>
          </w:p>
        </w:tc>
      </w:tr>
      <w:tr w:rsidR="00FB08AF" w:rsidRPr="00FB08AF" w14:paraId="41FBFCDC" w14:textId="77777777" w:rsidTr="007674DE">
        <w:tc>
          <w:tcPr>
            <w:tcW w:w="1129" w:type="dxa"/>
            <w:vAlign w:val="center"/>
          </w:tcPr>
          <w:p w14:paraId="11EA5A62" w14:textId="26C75E8E" w:rsidR="00A63011" w:rsidRPr="00FB08AF" w:rsidRDefault="00A63011" w:rsidP="00E36728">
            <w:pPr>
              <w:pStyle w:val="InstructionsText"/>
            </w:pPr>
            <w:r>
              <w:rPr>
                <w:rStyle w:val="FormatvorlageInstructionsTabelleText"/>
                <w:sz w:val="24"/>
                <w:rFonts w:ascii="Times New Roman" w:hAnsi="Times New Roman"/>
              </w:rPr>
              <w:t xml:space="preserve">0110</w:t>
            </w:r>
          </w:p>
        </w:tc>
        <w:tc>
          <w:tcPr>
            <w:tcW w:w="7620" w:type="dxa"/>
            <w:vAlign w:val="center"/>
          </w:tcPr>
          <w:p w14:paraId="79B3EE97" w14:textId="7FDAAA39"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Atbilstīgo saistību instrumenti, ko emitējušas citas vienības noregulējuma grupā (nav tiesību saglabāt iepriekš spēkā esošos nosacījumus)</w:t>
            </w:r>
          </w:p>
          <w:p w14:paraId="6D1C85D0" w14:textId="02C1463F" w:rsidR="00C80C5A" w:rsidRPr="00FB08AF" w:rsidRDefault="00B775C4"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50B462B4" w14:textId="69301D76" w:rsidR="00B775C4" w:rsidRPr="00FB08AF" w:rsidRDefault="00C80C5A" w:rsidP="00E36728">
            <w:pPr>
              <w:pStyle w:val="InstructionsText"/>
              <w:rPr>
                <w:rStyle w:val="FormatvorlageInstructionsTabelleText"/>
                <w:b/>
                <w:sz w:val="24"/>
                <w:rFonts w:ascii="Times New Roman" w:hAnsi="Times New Roman"/>
              </w:rPr>
            </w:pPr>
            <w:r>
              <w:rPr>
                <w:sz w:val="24"/>
                <w:rStyle w:val="FormatvorlageInstructionsTabelleText"/>
                <w:rFonts w:ascii="Times New Roman" w:hAnsi="Times New Roman"/>
              </w:rPr>
              <w:t xml:space="preserve">Atbilstīgās saistības, kas iekļautas pašu kapitāla un atbilstīgo saistību summā saskaņā ar Direktīvas 2014/59/ES 45.b pantu un ko emitējuši meitasuzņēmumi un kas iekļautas </w:t>
            </w:r>
            <w:r>
              <w:rPr>
                <w:sz w:val="24"/>
                <w:rStyle w:val="FormatvorlageInstructionsTabelleText"/>
                <w:i/>
                <w:iCs/>
                <w:rFonts w:ascii="Times New Roman" w:hAnsi="Times New Roman"/>
              </w:rPr>
              <w:t xml:space="preserve">MREL</w:t>
            </w:r>
            <w:r>
              <w:rPr>
                <w:sz w:val="24"/>
                <w:rStyle w:val="FormatvorlageInstructionsTabelleText"/>
                <w:rFonts w:ascii="Times New Roman" w:hAnsi="Times New Roman"/>
              </w:rPr>
              <w:t xml:space="preserve"> saskaņā ar minētās direktīvas 45.b panta 3. punktu.</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Attiecībā uz instrumentiem, ko reglamentē trešās valsts tiesību akti, instrumentu šajā rindā iekļauj tikai tad, ja tas atbilst minētās direktīvas 55. pantā noteiktajām prasībām.</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Uzrādītās summas ir summas, pirms atskaitītas neizmantotās iepriekšējās atļaujas summas, ciktāl atļauja attiecas uz atbilstīgo saistību instrumentiem, ko emitējušas citas vienības noregulējuma grupā, attiecībā uz kuriem nav tiesību saglabāt iepriekš spēkā esošos nosacījumus.</w:t>
            </w:r>
          </w:p>
          <w:p w14:paraId="5240CE7F" w14:textId="4DC3E44A" w:rsidR="00CD51BC" w:rsidRPr="00FB08AF" w:rsidRDefault="00CD58AA"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371D0855" w14:textId="426AC3D1" w:rsidR="00B775C4" w:rsidRPr="00FB08AF" w:rsidRDefault="00CD51BC"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Atbilstīgās saistības, kas atbilst visām prasībām, kuras noteiktas Regulas (ES) Nr. 575/2013 72.a līdz 72.d pantā, izņemot saistības, kuras atļauts kvalificēt kā atbilstīgo saistību instrumentus saskaņā ar minētās regulas 72.b panta 3. vai 4. punktu, kuras emitējuši meitasuzņēmumi un kuras atbilst iekļaušanai vienības konsolidētajos atbilstīgo saistību instrumentos saskaņā ar minētās regulas 88.a pantu.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ko emitējušas citas vienības noregulējuma grupā, attiecībā uz kuriem nav tiesību saglabāt iepriekš spēkā esošos nosacījumus.</w:t>
            </w:r>
          </w:p>
          <w:p w14:paraId="669A214A" w14:textId="7C7BF538" w:rsidR="003C1F98" w:rsidRPr="00FB08AF" w:rsidRDefault="003C1F98" w:rsidP="00E36728">
            <w:pPr>
              <w:pStyle w:val="InstructionsText"/>
            </w:pPr>
            <w:r>
              <w:rPr>
                <w:rStyle w:val="FormatvorlageInstructionsTabelleText"/>
                <w:sz w:val="24"/>
                <w:rFonts w:ascii="Times New Roman" w:hAnsi="Times New Roman"/>
              </w:rPr>
              <w:t xml:space="preserve">Šajā rindā neiekļauj nedz amortizēto otrā līmeņa kapitāla instrumentu daļu, ja atlikušais termiņš ir ilgāks par vienu gadu (Regulas (ES) Nr. 575/2013 72.a panta 1. punkta b) apakšpunkts), nedz atbilstīgās saistības, kurām piemēro tiesības saglabāt iepriekš spēkā esošos nosacījumus saskaņā ar minētās regulas 494.b pantu.</w:t>
            </w:r>
          </w:p>
        </w:tc>
      </w:tr>
      <w:tr w:rsidR="00FB08AF" w:rsidRPr="00FB08AF" w14:paraId="51864A69" w14:textId="77777777" w:rsidTr="007674DE">
        <w:tc>
          <w:tcPr>
            <w:tcW w:w="1129" w:type="dxa"/>
            <w:vAlign w:val="center"/>
          </w:tcPr>
          <w:p w14:paraId="47D16EC4" w14:textId="66D820CD" w:rsidR="003C1F98" w:rsidRPr="00FB08AF" w:rsidRDefault="003C1F98" w:rsidP="00E36728">
            <w:pPr>
              <w:pStyle w:val="InstructionsText"/>
            </w:pPr>
            <w:r>
              <w:rPr>
                <w:rStyle w:val="FormatvorlageInstructionsTabelleText"/>
                <w:sz w:val="24"/>
                <w:rFonts w:ascii="Times New Roman" w:hAnsi="Times New Roman"/>
              </w:rPr>
              <w:t xml:space="preserve">0120</w:t>
            </w:r>
          </w:p>
        </w:tc>
        <w:tc>
          <w:tcPr>
            <w:tcW w:w="7620" w:type="dxa"/>
            <w:vAlign w:val="center"/>
          </w:tcPr>
          <w:p w14:paraId="6C0E7472" w14:textId="6E4EAD48"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Atbilstīgo saistību posteņi, kas emitēti pirms 2019. gada 27. jūnija</w:t>
            </w:r>
            <w:r>
              <w:rPr>
                <w:rStyle w:val="InstructionsTabelleberschrift"/>
                <w:sz w:val="24"/>
                <w:rFonts w:ascii="Times New Roman" w:hAnsi="Times New Roman"/>
              </w:rPr>
              <w:t xml:space="preserve"> </w:t>
            </w:r>
          </w:p>
          <w:p w14:paraId="45E921ED" w14:textId="5B5AA12F" w:rsidR="00CD51BC" w:rsidRPr="00FB08AF" w:rsidRDefault="003A0717"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MREL</w:t>
            </w:r>
          </w:p>
          <w:p w14:paraId="77573479" w14:textId="4DEADB3A" w:rsidR="003A0717" w:rsidRPr="00FB08AF" w:rsidRDefault="003A0717"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Atbilstīgās saistības, kas atbilst šādiem nosacījumiem:</w:t>
            </w:r>
          </w:p>
          <w:p w14:paraId="27B0933B" w14:textId="12AD7DA6" w:rsidR="003A0717" w:rsidRPr="00FB08AF" w:rsidRDefault="00C904F7"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 tās ir emitētas pirms 2019. gada 27. jūnija;</w:t>
            </w:r>
          </w:p>
          <w:p w14:paraId="784DD851" w14:textId="288C5949" w:rsidR="00CD51BC" w:rsidRPr="00FB08AF" w:rsidRDefault="00C904F7" w:rsidP="00E36728">
            <w:pPr>
              <w:pStyle w:val="InstructionsText"/>
              <w:rPr>
                <w:rStyle w:val="FormatvorlageInstructionsTabelleText"/>
                <w:sz w:val="24"/>
                <w:rFonts w:ascii="Times New Roman" w:hAnsi="Times New Roman"/>
              </w:rPr>
            </w:pPr>
            <w:r>
              <w:rPr>
                <w:sz w:val="24"/>
                <w:rFonts w:ascii="Times New Roman" w:hAnsi="Times New Roman"/>
              </w:rPr>
              <w:t xml:space="preserve">b) </w:t>
            </w:r>
            <w:r>
              <w:rPr>
                <w:sz w:val="24"/>
                <w:rStyle w:val="InstructionsTabelleberschrift"/>
                <w:b w:val="0"/>
                <w:u w:val="none"/>
                <w:rFonts w:ascii="Times New Roman" w:hAnsi="Times New Roman"/>
              </w:rPr>
              <w:t xml:space="preserve">tās ir</w:t>
            </w:r>
            <w:r>
              <w:rPr>
                <w:sz w:val="24"/>
                <w:rStyle w:val="FormatvorlageInstructionsTabelleText"/>
                <w:rFonts w:ascii="Times New Roman" w:hAnsi="Times New Roman"/>
              </w:rPr>
              <w:t xml:space="preserve"> subordinēti atbilstīgie instrumenti, kā definēts Direktīvas 2014/59/ES 2. panta 1. punkta 71.b) apakšpunktā;</w:t>
            </w:r>
            <w:r>
              <w:rPr>
                <w:sz w:val="24"/>
                <w:rStyle w:val="FormatvorlageInstructionsTabelleText"/>
                <w:rFonts w:ascii="Times New Roman" w:hAnsi="Times New Roman"/>
              </w:rPr>
              <w:t xml:space="preserve"> </w:t>
            </w:r>
          </w:p>
          <w:p w14:paraId="1A9E4169" w14:textId="4C0E47C2" w:rsidR="003A0717" w:rsidRPr="00FB08AF" w:rsidRDefault="00C904F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tās ir iekļautas pašu kapitālā un atbilstīgajās saistībās saskaņā ar Regulas (ES) Nr. 575/2013 494.b panta 3. punktu;</w:t>
            </w:r>
          </w:p>
          <w:p w14:paraId="729FD97D" w14:textId="2B49FF11" w:rsidR="00612E23" w:rsidRPr="00FB08AF" w:rsidRDefault="00B5112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d) attiecībā uz instrumentiem, ko reglamentē trešās valsts tiesību akti, tās atbilst Direktīvas 2014/59/ES 55. pantā noteiktajām prasībām.</w:t>
            </w:r>
          </w:p>
          <w:p w14:paraId="23DB3E90" w14:textId="7AAD14FB" w:rsidR="006B3F3C"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kas emitēti pirms 2019. gada 27. jūnija.</w:t>
            </w:r>
          </w:p>
          <w:p w14:paraId="101AB6AC" w14:textId="4E538F15" w:rsidR="00CD51BC" w:rsidRPr="00FB08AF" w:rsidRDefault="00CD51BC"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2C4CA631" w14:textId="53206BFA" w:rsidR="003A0717" w:rsidRPr="00FB08AF" w:rsidRDefault="0090294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šādiem nosacījumiem:</w:t>
            </w:r>
          </w:p>
          <w:p w14:paraId="06CB52C8" w14:textId="1DDB2DB7"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a) tās ir emitētas pirms 2019. gada 27. jūnija;</w:t>
            </w:r>
          </w:p>
          <w:p w14:paraId="7D19D1F7" w14:textId="50CAF5D5" w:rsidR="003A0717" w:rsidRPr="00FB08AF" w:rsidRDefault="00A01D02" w:rsidP="00E36728">
            <w:pPr>
              <w:pStyle w:val="InstructionsText"/>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b) tās atbilst Regulas (ES) Nr. 575/2013 72.b panta 2. punkta d) apakšpunktam;</w:t>
            </w:r>
          </w:p>
          <w:p w14:paraId="1483928C" w14:textId="77777777" w:rsidR="003C1F98" w:rsidRPr="00FB08AF" w:rsidRDefault="00A01D02" w:rsidP="00E36728">
            <w:pPr>
              <w:pStyle w:val="InstructionsText"/>
              <w:rPr>
                <w:rStyle w:val="FormatvorlageInstructionsTabelleText"/>
                <w:sz w:val="24"/>
                <w:rFonts w:ascii="Times New Roman" w:hAnsi="Times New Roman"/>
              </w:rPr>
            </w:pPr>
            <w:r>
              <w:t xml:space="preserve">c) </w:t>
            </w:r>
            <w:r>
              <w:t xml:space="preserve">tās uzskata par atbilstīgām saistībām, kas izriet no tiesībām saglabāt iepriekš spēkā esošos nosacījumus saskaņā ar </w:t>
            </w:r>
            <w:r>
              <w:t xml:space="preserve">Regulas (ES) Nr. 575/2013 494.b panta 3. punktu.</w:t>
            </w:r>
          </w:p>
          <w:p w14:paraId="48932F31" w14:textId="7F06E6C5" w:rsidR="00A827D8"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kas emitēti pirms 2019. gada 27. jūnija.</w:t>
            </w:r>
          </w:p>
        </w:tc>
      </w:tr>
      <w:tr w:rsidR="00FB08AF" w:rsidRPr="00FB08AF" w14:paraId="6F3C5EAB" w14:textId="77777777" w:rsidTr="007674DE">
        <w:tc>
          <w:tcPr>
            <w:tcW w:w="1129" w:type="dxa"/>
            <w:vAlign w:val="center"/>
          </w:tcPr>
          <w:p w14:paraId="696B1E7F" w14:textId="030293FD" w:rsidR="003C1F98" w:rsidRPr="00FB08AF" w:rsidRDefault="003C1F98" w:rsidP="00E36728">
            <w:pPr>
              <w:pStyle w:val="InstructionsText"/>
            </w:pPr>
            <w:r>
              <w:rPr>
                <w:rStyle w:val="FormatvorlageInstructionsTabelleText"/>
                <w:sz w:val="24"/>
                <w:rFonts w:ascii="Times New Roman" w:hAnsi="Times New Roman"/>
              </w:rPr>
              <w:t xml:space="preserve">0130</w:t>
            </w:r>
          </w:p>
        </w:tc>
        <w:tc>
          <w:tcPr>
            <w:tcW w:w="7620" w:type="dxa"/>
            <w:vAlign w:val="center"/>
          </w:tcPr>
          <w:p w14:paraId="46569A0F" w14:textId="1545D13C" w:rsidR="003C1F98" w:rsidRPr="00FB08AF" w:rsidRDefault="003C1F9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Otrā līmeņa kapitāla instrumenti, kuru atlikušais termiņš ir vismaz viens gads, ciktāl tie nav kvalificējami kā otrā līmeņa kapitāla posteņi</w:t>
            </w:r>
          </w:p>
          <w:p w14:paraId="7E53D3C8" w14:textId="5B2B54C5"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Regulas (ES) Nr. 575/2013 72.a panta 1. punkta b) apakšpunkts.</w:t>
            </w:r>
          </w:p>
          <w:p w14:paraId="34EB2C71" w14:textId="026755AA" w:rsidR="003C1F98" w:rsidRPr="00FB08AF" w:rsidRDefault="003C1F9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ietver otrā līmeņa kapitāla instrumentu amortizēto daļu, ja atlikušais termiņš ir ilgāks par vienu gadu.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Šajā rindā uzrāda tikai summu, kas nav atzīta pašu kapitālā, bet atbilst visiem Regulas (ES) Nr. 575/2013 72.b pantā noteiktajiem atbilstības kritērijiem.</w:t>
            </w:r>
          </w:p>
          <w:p w14:paraId="4D7DD40A" w14:textId="14F7E4FF" w:rsidR="00612E23" w:rsidRPr="00FB08AF" w:rsidRDefault="00DD50DC" w:rsidP="00E36728">
            <w:pPr>
              <w:pStyle w:val="InstructionsText"/>
              <w:rPr>
                <w:rStyle w:val="InstructionsTabelleberschrift"/>
                <w:sz w:val="24"/>
                <w:rFonts w:ascii="Times New Roman" w:hAnsi="Times New Roman"/>
              </w:rPr>
            </w:pP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gadījumā instrumentus, ko reglamentē trešās valsts tiesību akti, šajā rindā iekļauj tikai tad, ja tie atbilst Direktīvas 2014/59/ES 55. pantā noteiktajām prasībām.</w:t>
            </w:r>
          </w:p>
        </w:tc>
      </w:tr>
      <w:tr w:rsidR="00FB08AF" w:rsidRPr="00FB08AF" w14:paraId="2B25B5F1" w14:textId="77777777" w:rsidTr="007674DE">
        <w:tc>
          <w:tcPr>
            <w:tcW w:w="1129" w:type="dxa"/>
            <w:vAlign w:val="center"/>
          </w:tcPr>
          <w:p w14:paraId="75C89F47" w14:textId="1C159A4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0132</w:t>
            </w:r>
          </w:p>
        </w:tc>
        <w:tc>
          <w:tcPr>
            <w:tcW w:w="7620" w:type="dxa"/>
            <w:vAlign w:val="center"/>
          </w:tcPr>
          <w:p w14:paraId="3C34006F" w14:textId="77777777"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Pašu atbilstīgo saistību instrumenti, kas subordinēti izslēgtajām saistībām</w:t>
            </w:r>
          </w:p>
          <w:p w14:paraId="16DB4BC1" w14:textId="77777777" w:rsidR="00017D7A" w:rsidRPr="00FB08AF" w:rsidRDefault="00017D7A"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32907F3" w14:textId="0FACFBE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Regulas (ES) Nr. 575/2013 78.a pants, Deleģētās regulas (ES) Nr. 241/2014 32.b panta 2., 3. un 5. punkts</w:t>
            </w:r>
          </w:p>
          <w:p w14:paraId="657C9FF4" w14:textId="261FA598" w:rsidR="00017D7A" w:rsidRPr="00FB08AF" w:rsidRDefault="00017D7A"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Šajā rindā iekļauj neizmantotās iepriekšējās atļaujas summas, ciktāl atļauja attiecas uz atbilstīgo saistību instrumentiem, kas subordinēti izslēgtajām saistībām.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Summa šajā rindā ir vienāda ar summu 0135. rindā attiecībā uz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w:t>
            </w:r>
          </w:p>
          <w:p w14:paraId="290575AE" w14:textId="36721F56" w:rsidR="001D1E29" w:rsidRPr="00FB08AF" w:rsidRDefault="001D1E29"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3C7CBDF9" w14:textId="514E0218" w:rsidR="00017D7A" w:rsidRPr="00FB08AF" w:rsidRDefault="001D1E29"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Regulas (ES) Nr. 575/2013 72.e panta 1. punkta a) apakšpunkts un 78.a pants, Deleģētās regulas (ES) Nr. 241/2014 32.b panta 2., 3. un 5. punkts</w:t>
            </w:r>
          </w:p>
          <w:p w14:paraId="696343EA" w14:textId="5EA84709" w:rsidR="00017D7A" w:rsidRPr="00FB08AF" w:rsidRDefault="00017D7A"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Šajā rindā iekļauj:</w:t>
            </w:r>
          </w:p>
          <w:p w14:paraId="601685A6" w14:textId="78227CDD" w:rsidR="00017D7A" w:rsidRPr="00FB08AF" w:rsidRDefault="008C19BD" w:rsidP="00017D7A">
            <w:pPr>
              <w:pStyle w:val="ListParagraph"/>
              <w:numPr>
                <w:ilvl w:val="0"/>
                <w:numId w:val="69"/>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līdzdalības pašu </w:t>
            </w:r>
            <w:r>
              <w:rPr>
                <w:rStyle w:val="FormatvorlageInstructionsTabelleText"/>
                <w:sz w:val="24"/>
                <w:rFonts w:ascii="Times New Roman" w:hAnsi="Times New Roman"/>
              </w:rPr>
              <w:t xml:space="preserve">subordinēto atbilstīgo saistību instrumentos, kas jāatskaita saskaņā ar Regulas (ES) Nr. 575/2013 72.e panta 1. punkta a) apakšpunktu;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kā arī</w:t>
            </w:r>
          </w:p>
          <w:p w14:paraId="2C9354B7" w14:textId="38B33A6C" w:rsidR="001D1E29" w:rsidRPr="00FB08AF" w:rsidRDefault="008C19BD" w:rsidP="009E5168">
            <w:pPr>
              <w:pStyle w:val="ListParagraph"/>
              <w:numPr>
                <w:ilvl w:val="0"/>
                <w:numId w:val="69"/>
              </w:numPr>
              <w:rPr>
                <w:rStyle w:val="InstructionsTabelleberschrift"/>
                <w:b w:val="0"/>
                <w:bCs w:val="0"/>
                <w:sz w:val="24"/>
                <w:u w:val="none"/>
                <w:rFonts w:ascii="Times New Roman" w:hAnsi="Times New Roman"/>
              </w:rPr>
            </w:pPr>
            <w:r>
              <w:rPr>
                <w:rStyle w:val="FormatvorlageInstructionsTabelleText"/>
                <w:sz w:val="24"/>
                <w:rFonts w:ascii="Times New Roman" w:hAnsi="Times New Roman"/>
              </w:rPr>
              <w:t xml:space="preserve">neizmantotās iepriekšējās atļaujas summas, ciktāl atļauja attiecas uz atbilstīgo saistību instrumentiem, kas subordinēti izslēgtajām saistībām.</w:t>
            </w:r>
          </w:p>
        </w:tc>
      </w:tr>
      <w:tr w:rsidR="00FB08AF" w:rsidRPr="00FB08AF" w14:paraId="11C86C93" w14:textId="77777777" w:rsidTr="004464A7">
        <w:tc>
          <w:tcPr>
            <w:tcW w:w="1129" w:type="dxa"/>
            <w:vAlign w:val="center"/>
          </w:tcPr>
          <w:p w14:paraId="06CEFE60" w14:textId="0DCE1B7F" w:rsidR="001D1E29" w:rsidRPr="00FB08AF" w:rsidRDefault="001D1E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0135</w:t>
            </w:r>
          </w:p>
        </w:tc>
        <w:tc>
          <w:tcPr>
            <w:tcW w:w="7620" w:type="dxa"/>
            <w:vAlign w:val="center"/>
          </w:tcPr>
          <w:p w14:paraId="4E01627F" w14:textId="69824B14" w:rsidR="001D1E29" w:rsidRPr="00FB08AF" w:rsidRDefault="001D1E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neizmantotas iepriekšējas atļaujas summas</w:t>
            </w:r>
          </w:p>
          <w:p w14:paraId="67B041F0" w14:textId="77777777" w:rsidR="001D1E29" w:rsidRPr="00FB08AF" w:rsidRDefault="001D1E29" w:rsidP="00E36728">
            <w:pPr>
              <w:pStyle w:val="InstructionsText"/>
              <w:rPr>
                <w:rStyle w:val="FormatvorlageInstructionsTabelleText"/>
                <w:i/>
                <w:sz w:val="24"/>
                <w:rFonts w:ascii="Times New Roman" w:hAnsi="Times New Roman"/>
              </w:rPr>
            </w:pPr>
            <w:r>
              <w:rPr>
                <w:rStyle w:val="FormatvorlageInstructionsTabelleText"/>
                <w:i/>
                <w:sz w:val="24"/>
                <w:i/>
                <w:iCs/>
                <w:i w:val="false"/>
                <w:iCs w:val="false"/>
                <w:rFonts w:ascii="Times New Roman" w:hAnsi="Times New Roman"/>
              </w:rPr>
              <w:t xml:space="preserve">MREL</w:t>
            </w:r>
            <w:r>
              <w:rPr>
                <w:rStyle w:val="FormatvorlageInstructionsTabelleText"/>
                <w:i/>
                <w:sz w:val="24"/>
                <w:rFonts w:ascii="Times New Roman" w:hAnsi="Times New Roman"/>
              </w:rPr>
              <w:t xml:space="preserve"> un </w:t>
            </w:r>
            <w:r>
              <w:rPr>
                <w:rStyle w:val="FormatvorlageInstructionsTabelleText"/>
                <w:i/>
                <w:sz w:val="24"/>
                <w:i w:val="false"/>
                <w:iCs w:val="false"/>
                <w:rFonts w:ascii="Times New Roman" w:hAnsi="Times New Roman"/>
              </w:rPr>
              <w:t xml:space="preserve">TLAC</w:t>
            </w:r>
            <w:r>
              <w:rPr>
                <w:rStyle w:val="FormatvorlageInstructionsTabelleText"/>
                <w:i/>
                <w:sz w:val="24"/>
                <w:rFonts w:ascii="Times New Roman" w:hAnsi="Times New Roman"/>
              </w:rPr>
              <w:t xml:space="preserve"> veidnes</w:t>
            </w:r>
          </w:p>
          <w:p w14:paraId="7E150AA3" w14:textId="77777777" w:rsidR="001C3C19" w:rsidRPr="00FB08AF" w:rsidRDefault="001C3C1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uzrāda šādas summas:</w:t>
            </w:r>
            <w:r>
              <w:rPr>
                <w:rStyle w:val="FormatvorlageInstructionsTabelleText"/>
                <w:sz w:val="24"/>
                <w:rFonts w:ascii="Times New Roman" w:hAnsi="Times New Roman"/>
              </w:rPr>
              <w:t xml:space="preserve"> </w:t>
            </w:r>
          </w:p>
          <w:p w14:paraId="2838CD0F" w14:textId="4C01DA00" w:rsidR="001D1E29" w:rsidRPr="00FB08AF" w:rsidRDefault="001C3C19" w:rsidP="001C3C19">
            <w:pPr>
              <w:pStyle w:val="ListParagraph"/>
              <w:numPr>
                <w:ilvl w:val="0"/>
                <w:numId w:val="51"/>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neizmantotās</w:t>
            </w:r>
            <w:r>
              <w:rPr>
                <w:rStyle w:val="FormatvorlageInstructionsTabelleText"/>
                <w:sz w:val="24"/>
                <w:i/>
                <w:iCs/>
                <w:rFonts w:ascii="Times New Roman" w:hAnsi="Times New Roman"/>
              </w:rPr>
              <w:t xml:space="preserve"> ad hoc</w:t>
            </w:r>
            <w:r>
              <w:rPr>
                <w:rStyle w:val="FormatvorlageInstructionsTabelleText"/>
                <w:sz w:val="24"/>
                <w:rFonts w:ascii="Times New Roman" w:hAnsi="Times New Roman"/>
              </w:rPr>
              <w:t xml:space="preserve"> atļaujas summas, ciktāl atļauja attiecas uz atbilstīgo saistību instrumentiem, kas subordinēti izslēgtajām saistībām;</w:t>
            </w:r>
          </w:p>
          <w:p w14:paraId="2AE5E3F7" w14:textId="2881DA46" w:rsidR="001D1E29" w:rsidRPr="00FB08AF" w:rsidRDefault="001C3C19" w:rsidP="00766C0D">
            <w:pPr>
              <w:pStyle w:val="ListParagraph"/>
              <w:numPr>
                <w:ilvl w:val="0"/>
                <w:numId w:val="51"/>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neizmantotās ZPI summas, ciktāl atļauja attiecas uz atbilstīgo saistību instrumentiem, kas subordinēti izslēgtajām saistībām.</w:t>
            </w:r>
          </w:p>
          <w:p w14:paraId="262C6FC4" w14:textId="01A909F6" w:rsidR="008B0571" w:rsidRPr="00A0527F" w:rsidRDefault="00766C0D" w:rsidP="008B0571">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Ja ii) apakšpunktā minētajā vispārējā iepriekšējā atļaujā nav norādīta to instrumentu prioritāte, kurus var atsaukt, dzēst, atmaksāt vai atpirkt, šajā rindā uzrāda visu neizmantoto ZPI summu.</w:t>
            </w:r>
          </w:p>
        </w:tc>
      </w:tr>
      <w:tr w:rsidR="00FB08AF" w:rsidRPr="00FB08AF" w14:paraId="2A030C78" w14:textId="77777777" w:rsidTr="007674DE">
        <w:tc>
          <w:tcPr>
            <w:tcW w:w="1129" w:type="dxa"/>
            <w:vAlign w:val="center"/>
          </w:tcPr>
          <w:p w14:paraId="3F26CCDA" w14:textId="6FFA3FE7" w:rsidR="00305E50" w:rsidRPr="00FB08AF" w:rsidRDefault="00305E50" w:rsidP="00E36728">
            <w:pPr>
              <w:pStyle w:val="InstructionsText"/>
            </w:pPr>
            <w:r>
              <w:rPr>
                <w:rStyle w:val="FormatvorlageInstructionsTabelleText"/>
                <w:sz w:val="24"/>
                <w:rFonts w:ascii="Times New Roman" w:hAnsi="Times New Roman"/>
              </w:rPr>
              <w:t xml:space="preserve">0140</w:t>
            </w:r>
          </w:p>
        </w:tc>
        <w:tc>
          <w:tcPr>
            <w:tcW w:w="7620" w:type="dxa"/>
            <w:vAlign w:val="center"/>
          </w:tcPr>
          <w:p w14:paraId="7E0332CD" w14:textId="77777777" w:rsidR="00305E50" w:rsidRPr="00FB08AF" w:rsidRDefault="00305E5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 kas nav subordinētas izslēgtajām saistībām</w:t>
            </w:r>
          </w:p>
          <w:p w14:paraId="4CA285A7" w14:textId="77777777" w:rsidR="00982A9F" w:rsidRPr="00FB08AF" w:rsidRDefault="001E1CA1" w:rsidP="00E36728">
            <w:pPr>
              <w:pStyle w:val="InstructionsText"/>
              <w:rPr>
                <w:rStyle w:val="InstructionsTabelleberschrift"/>
                <w:b w:val="0"/>
                <w:sz w:val="24"/>
                <w:u w:val="none"/>
                <w:rFonts w:ascii="Times New Roman" w:hAnsi="Times New Roman"/>
              </w:rPr>
            </w:pPr>
            <w:r>
              <w:rPr>
                <w:rStyle w:val="InstructionsTabelleberschrift"/>
                <w:b w:val="0"/>
                <w:i/>
                <w:sz w:val="24"/>
                <w:u w:val="none"/>
                <w:rFonts w:ascii="Times New Roman" w:hAnsi="Times New Roman"/>
              </w:rPr>
              <w:t xml:space="preserve">MREL</w:t>
            </w:r>
          </w:p>
          <w:p w14:paraId="1E4FE37F" w14:textId="20A59CB2" w:rsidR="001E1CA1" w:rsidRPr="00FB08AF" w:rsidRDefault="001E1CA1" w:rsidP="00E36728">
            <w:pPr>
              <w:pStyle w:val="InstructionsText"/>
              <w:rPr>
                <w:rStyle w:val="InstructionsTabelleberschrift"/>
                <w:b w:val="0"/>
                <w:sz w:val="24"/>
                <w:u w:val="none"/>
                <w:rFonts w:ascii="Times New Roman" w:hAnsi="Times New Roman"/>
              </w:rPr>
            </w:pPr>
            <w:r>
              <w:rPr>
                <w:sz w:val="24"/>
                <w:rStyle w:val="InstructionsTabelleberschrift"/>
                <w:b w:val="0"/>
                <w:u w:val="none"/>
                <w:rFonts w:ascii="Times New Roman" w:hAnsi="Times New Roman"/>
              </w:rPr>
              <w:t xml:space="preserve">Saistības, kas atbilst Direktīvas 2014/59/ES 45.b panta nosacījumiem un kas nav pilnībā subordinētas prasījumiem, kuri izriet no izslēgtajām saistībām, kas minētas Regulas (ES) Nr. 575/2013 72.a panta 2. punktā.</w:t>
            </w:r>
            <w:r>
              <w:rPr>
                <w:sz w:val="24"/>
                <w:rStyle w:val="InstructionsTabelleberschrift"/>
                <w:b w:val="0"/>
                <w:u w:val="none"/>
                <w:rFonts w:ascii="Times New Roman" w:hAnsi="Times New Roman"/>
              </w:rPr>
              <w:t xml:space="preserve"> </w:t>
            </w:r>
            <w:r>
              <w:rPr>
                <w:sz w:val="24"/>
                <w:rStyle w:val="FormatvorlageInstructionsTabelleText"/>
                <w:rFonts w:ascii="Times New Roman" w:hAnsi="Times New Roman"/>
              </w:rPr>
              <w:t xml:space="preserve">Attiecībā uz instrumentiem, ko reglamentē trešās valsts tiesību akti, instrumentu šajā rindā iekļauj tikai tad, ja tas atbilst Direktīvas 2014/59/ES 55. pantā noteiktajām prasībām.</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Uzrādītās summas ir summas, no kurām atskaitītas neizmantotās iepriekšējās atļaujas summas, ciktāl atļauja attiecas uz atbilstīgajām saistībām, kuras nav subordinētas izslēgtajām saistībām.</w:t>
            </w:r>
          </w:p>
          <w:p w14:paraId="0B2AC759" w14:textId="604E0A4C" w:rsidR="00982A9F" w:rsidRPr="00FB08AF" w:rsidRDefault="001E1CA1" w:rsidP="00E36728">
            <w:pPr>
              <w:pStyle w:val="InstructionsText"/>
              <w:rPr>
                <w:rStyle w:val="InstructionsTabelleberschrift"/>
                <w:sz w:val="24"/>
                <w:u w:val="none"/>
                <w:rFonts w:ascii="Times New Roman" w:hAnsi="Times New Roman"/>
              </w:rPr>
            </w:pPr>
            <w:r>
              <w:rPr>
                <w:rStyle w:val="InstructionsTabelleberschrift"/>
                <w:b w:val="0"/>
                <w:i/>
                <w:sz w:val="24"/>
                <w:u w:val="none"/>
                <w:rFonts w:ascii="Times New Roman" w:hAnsi="Times New Roman"/>
              </w:rPr>
              <w:t xml:space="preserve">TLAC</w:t>
            </w:r>
          </w:p>
          <w:p w14:paraId="4E8D9E69" w14:textId="28758AF0" w:rsidR="00305E50" w:rsidRPr="00FB08AF" w:rsidRDefault="00982A9F" w:rsidP="00E36728">
            <w:pPr>
              <w:pStyle w:val="InstructionsText"/>
              <w:rPr>
                <w:rStyle w:val="InstructionsTabelleberschrift"/>
                <w:b w:val="0"/>
                <w:sz w:val="24"/>
                <w:rFonts w:ascii="Times New Roman" w:hAnsi="Times New Roman"/>
              </w:rPr>
            </w:pPr>
            <w:r>
              <w:rPr>
                <w:sz w:val="24"/>
                <w:rStyle w:val="FormatvorlageInstructionsTabelleText"/>
                <w:rFonts w:ascii="Times New Roman" w:hAnsi="Times New Roman"/>
              </w:rPr>
              <w:t xml:space="preserve">Atbilstīgās saistības, kas atbilst prasībām, kuras noteiktas Regulas (ES) Nr. 575/2013 72.a līdz 72.d pantā, izņemot minētās regulas 72.b panta 2. punkta d) apakšpunktu, un kuras atzīst par atbilstīgām saistībām saskaņā ar minētās regulas 72.b panta 3. vai 4. punktu.</w:t>
            </w:r>
            <w:r>
              <w:rPr>
                <w:sz w:val="24"/>
                <w:rStyle w:val="FormatvorlageInstructionsTabelleText"/>
                <w:rFonts w:ascii="Times New Roman" w:hAnsi="Times New Roman"/>
              </w:rPr>
              <w:t xml:space="preserve"> </w:t>
            </w:r>
            <w:r>
              <w:rPr>
                <w:sz w:val="24"/>
                <w:rFonts w:ascii="Times New Roman" w:hAnsi="Times New Roman"/>
              </w:rPr>
              <w:t xml:space="preserve">Ja piemēro Regulas (ES) Nr. 575/2013 72.b panta 3. punktu</w:t>
            </w:r>
            <w:r>
              <w:rPr>
                <w:sz w:val="24"/>
                <w:rFonts w:ascii="Times New Roman" w:hAnsi="Times New Roman"/>
              </w:rPr>
              <w:t xml:space="preserve">, uzrādītā summa ir summa pēc minētajā pantā noteiktās maksimālās robežvērtības piemērošanas</w:t>
            </w:r>
            <w:r>
              <w:rPr>
                <w:sz w:val="24"/>
                <w:rFonts w:ascii="Times New Roman" w:hAnsi="Times New Roman"/>
              </w:rPr>
              <w:t xml:space="preserve">.</w:t>
            </w:r>
            <w:r>
              <w:rPr>
                <w:sz w:val="24"/>
                <w:rStyle w:val="FormatvorlageInstructionsTabelleText"/>
                <w:rFonts w:ascii="Times New Roman" w:hAnsi="Times New Roman"/>
              </w:rPr>
              <w:t xml:space="preserve"> </w:t>
            </w:r>
            <w:r>
              <w:rPr>
                <w:sz w:val="24"/>
                <w:rStyle w:val="FormatvorlageInstructionsTabelleText"/>
                <w:rFonts w:ascii="Times New Roman" w:hAnsi="Times New Roman"/>
              </w:rPr>
              <w:t xml:space="preserve">Uzrādītās summas ir summas, no kurām atskaitīta līdzdalība pašu atbilstīgo saistību instrumentos un neizmantotās iepriekšējās atļaujas summas, ciktāl minētā atļauja attiecas uz atbilstīgo saistību instrumentiem, kuri nav subordinēti izslēgtajām saistībām.</w:t>
            </w:r>
          </w:p>
        </w:tc>
      </w:tr>
      <w:tr w:rsidR="00FB08AF" w:rsidRPr="00FB08AF" w14:paraId="47FEB869" w14:textId="77777777" w:rsidTr="007674DE">
        <w:tc>
          <w:tcPr>
            <w:tcW w:w="1129" w:type="dxa"/>
            <w:vAlign w:val="center"/>
          </w:tcPr>
          <w:p w14:paraId="6C338E15" w14:textId="266651BF" w:rsidR="00A63011" w:rsidRPr="00FB08AF" w:rsidRDefault="00A63011" w:rsidP="00E36728">
            <w:pPr>
              <w:pStyle w:val="InstructionsText"/>
            </w:pPr>
            <w:r>
              <w:rPr>
                <w:rStyle w:val="FormatvorlageInstructionsTabelleText"/>
                <w:sz w:val="24"/>
                <w:rFonts w:ascii="Times New Roman" w:hAnsi="Times New Roman"/>
              </w:rPr>
              <w:t xml:space="preserve">0150</w:t>
            </w:r>
          </w:p>
        </w:tc>
        <w:tc>
          <w:tcPr>
            <w:tcW w:w="7620" w:type="dxa"/>
            <w:vAlign w:val="center"/>
          </w:tcPr>
          <w:p w14:paraId="2B3CCCA3" w14:textId="49C67F64"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 kas nav subordinētas izslēgtajām saistībām (nav tiesību saglabāt iepriekš spēkā esošos nosacījumus, pirms maksimālās vērtības piemērošanas)</w:t>
            </w:r>
          </w:p>
          <w:p w14:paraId="394955FE" w14:textId="77777777" w:rsidR="00982A9F" w:rsidRPr="00FB08AF" w:rsidRDefault="00604AF7"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7E6B0179" w14:textId="36FBFEC4" w:rsidR="00A827D8" w:rsidRPr="00FB08AF" w:rsidRDefault="003A071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Saistības, kas atbilst Direktīvas 2014/59/ES 45.b panta 1., 2. un 3. punkta nosacījumiem un kas nav pilnībā subordinētas prasījumiem, kuri izriet no izslēgtajām saistībām, kas minētas Regulas (ES) Nr. 575/2013 72.a panta 2. punktā.</w:t>
            </w:r>
            <w:r>
              <w:rPr>
                <w:rStyle w:val="FormatvorlageInstructionsTabelleText"/>
                <w:sz w:val="24"/>
                <w:b/>
                <w:rFonts w:ascii="Times New Roman" w:hAnsi="Times New Roman"/>
              </w:rPr>
              <w:t xml:space="preserve"> </w:t>
            </w: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Direktīvas 2014/59/ES 55. pantā noteiktajām prasībām.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kuri nav subordinēti izslēgtajām saistībām un attiecībā uz kuriem nav tiesību saglabāt iepriekš spēkā esošos nosacījumus.</w:t>
            </w:r>
          </w:p>
          <w:p w14:paraId="032F7301" w14:textId="77777777" w:rsidR="00A827D8" w:rsidRPr="00FB08AF" w:rsidRDefault="00A827D8" w:rsidP="00E36728">
            <w:pPr>
              <w:pStyle w:val="InstructionsText"/>
              <w:rPr>
                <w:rStyle w:val="FormatvorlageInstructionsTabelleText"/>
                <w:rFonts w:ascii="Times New Roman" w:hAnsi="Times New Roman"/>
                <w:b/>
                <w:sz w:val="24"/>
              </w:rPr>
            </w:pPr>
          </w:p>
          <w:p w14:paraId="388C46BA" w14:textId="3360303E" w:rsidR="00982A9F" w:rsidRPr="00FB08AF" w:rsidRDefault="00604AF7"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0B4467BB" w14:textId="75080881" w:rsidR="00D37718" w:rsidRPr="00FB08AF" w:rsidRDefault="00982A9F" w:rsidP="00E36728">
            <w:pPr>
              <w:pStyle w:val="InstructionsText"/>
              <w:rPr>
                <w:rStyle w:val="FormatvorlageInstructionsTabelleText"/>
                <w:sz w:val="24"/>
                <w:rFonts w:ascii="Times New Roman" w:hAnsi="Times New Roman"/>
              </w:rPr>
            </w:pPr>
            <w:r>
              <w:t xml:space="preserve">Atbilstīgās saistības, kas atbilst prasībām, kuras noteiktas Regulas (ES) Nr. 575/2013 72.a līdz 72.d pantā, izņemot minētās regulas 72.b panta 2. punkta d) apakšpunktu, un kuras varētu tikt atzītas par </w:t>
            </w:r>
            <w:r>
              <w:t xml:space="preserve">atbilstīgo saistību instrumentiem saskaņā ar minētās regulas 72.b panta 3. punktu vai kuras ir atļauts kvalificēt kā atbilstīgo saistību instrumentus saskaņā ar minētās regulas 72.b panta 4. punktu.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kuri nav subordinēti izslēgtajām saistībām un attiecībā uz kuriem nav tiesību saglabāt iepriekš spēkā esošos nosacījumus.</w:t>
            </w:r>
          </w:p>
          <w:p w14:paraId="0909459E" w14:textId="187AE3BC" w:rsidR="00EA28E5" w:rsidRPr="00FB08AF" w:rsidRDefault="00855A4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Ja piemēro Regulas (ES) Nr. 575/2013 72.b panta 3. punktu vai 494. panta 2. punktu, šajā rindā uzrāda pilno summu, nepiemērojot attiecīgi 3,5 % un 2,5 % maksimālo robežvērtību.</w:t>
            </w:r>
          </w:p>
          <w:p w14:paraId="10DEA222" w14:textId="0F79DC02" w:rsidR="00A63011" w:rsidRPr="00FB08AF" w:rsidRDefault="00EA28E5"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Šajā rindā neiekļauj summas, kas ir atzīstamas pārejas posmā saskaņā ar Regulas (ES) Nr. 575/2013 494.b panta 3. punktu.</w:t>
            </w:r>
          </w:p>
        </w:tc>
      </w:tr>
      <w:tr w:rsidR="00FB08AF" w:rsidRPr="00FB08AF" w14:paraId="10AF45A5" w14:textId="77777777" w:rsidTr="007674DE">
        <w:tc>
          <w:tcPr>
            <w:tcW w:w="1129" w:type="dxa"/>
            <w:vAlign w:val="center"/>
          </w:tcPr>
          <w:p w14:paraId="7372F449" w14:textId="2D516431" w:rsidR="00A63011" w:rsidRPr="00FB08AF" w:rsidRDefault="00A63011" w:rsidP="00E36728">
            <w:pPr>
              <w:pStyle w:val="InstructionsText"/>
            </w:pPr>
            <w:r>
              <w:rPr>
                <w:rStyle w:val="FormatvorlageInstructionsTabelleText"/>
                <w:sz w:val="24"/>
                <w:rFonts w:ascii="Times New Roman" w:hAnsi="Times New Roman"/>
              </w:rPr>
              <w:t xml:space="preserve">0160</w:t>
            </w:r>
          </w:p>
        </w:tc>
        <w:tc>
          <w:tcPr>
            <w:tcW w:w="7620" w:type="dxa"/>
            <w:vAlign w:val="center"/>
          </w:tcPr>
          <w:p w14:paraId="5F838AA0" w14:textId="3D7F71E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 kas nav subordinētas izslēgtajām saistībām un kas emitētas pirms 2019. gada 27. jūnija (pirms maksimālās vērtības piemērošanas)</w:t>
            </w:r>
          </w:p>
          <w:p w14:paraId="2510BB3A" w14:textId="1AF410B0" w:rsidR="00982A9F" w:rsidRPr="00FB08AF" w:rsidRDefault="00C11CA5" w:rsidP="00E36728">
            <w:pPr>
              <w:pStyle w:val="InstructionsText"/>
              <w:rPr>
                <w:rStyle w:val="FormatvorlageInstructionsTabelleText"/>
                <w:b/>
                <w:sz w:val="24"/>
                <w:rFonts w:ascii="Times New Roman" w:hAnsi="Times New Roman"/>
              </w:rPr>
            </w:pPr>
            <w:r>
              <w:rPr>
                <w:rStyle w:val="FormatvorlageInstructionsTabelleText"/>
                <w:i/>
                <w:sz w:val="24"/>
                <w:rFonts w:ascii="Times New Roman" w:hAnsi="Times New Roman"/>
              </w:rPr>
              <w:t xml:space="preserve">MREL</w:t>
            </w:r>
          </w:p>
          <w:p w14:paraId="18163CEC" w14:textId="2030FFF7" w:rsidR="001C6D0D" w:rsidRPr="00FB08AF" w:rsidRDefault="00982A9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šādiem nosacījumiem:</w:t>
            </w:r>
          </w:p>
          <w:p w14:paraId="5FFD2677" w14:textId="50F9F4F8"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tās ir emitētas pirms 2019. gada 27. jūnija;</w:t>
            </w:r>
          </w:p>
          <w:p w14:paraId="07403C05" w14:textId="503B2949" w:rsidR="009B0942"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tās atbilst Direktīvas 2014/59/ES 45.b panta 1., 2. un 3. punkta nosacījumiem un nav pilnībā subordinētas prasījumiem, kuri izriet no izslēgtajām saistībām, kas minētas Regulas (ES) Nr. 575/2013 72.a panta 2. punktā;</w:t>
            </w:r>
          </w:p>
          <w:p w14:paraId="71564EA2" w14:textId="74C6BCA7" w:rsidR="001C6D0D"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w:t>
            </w:r>
            <w:r>
              <w:rPr>
                <w:rStyle w:val="FormatvorlageInstructionsTabelleText"/>
                <w:sz w:val="24"/>
                <w:rFonts w:ascii="Times New Roman" w:hAnsi="Times New Roman"/>
              </w:rPr>
              <w:t xml:space="preserve">tās uzskata par atbilstīgām saistībām, kas izriet no tiesībām saglabāt iepriekš spēkā esošos nosacījumus saskaņā ar </w:t>
            </w:r>
            <w:r>
              <w:rPr>
                <w:rStyle w:val="FormatvorlageInstructionsTabelleText"/>
                <w:sz w:val="24"/>
                <w:rFonts w:ascii="Times New Roman" w:hAnsi="Times New Roman"/>
              </w:rPr>
              <w:t xml:space="preserve">Regulas (ES) Nr. 575/2013 494.b panta 3. punktu.</w:t>
            </w:r>
          </w:p>
          <w:p w14:paraId="7503510D" w14:textId="08ABA911" w:rsidR="00B1149D" w:rsidRPr="00FB08AF" w:rsidRDefault="00014A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Attiecībā uz instrumentiem, ko reglamentē trešās valsts tiesību akti, instrumentu šajā rindā iekļauj tikai tad, ja tas atbilst Direktīvas 2014/59/ES 55. pantā noteiktajām prasībām.</w:t>
            </w:r>
          </w:p>
          <w:p w14:paraId="32F37C9F" w14:textId="14155D73"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kuri nav subordinēti izslēgtajām saistībām un tika emitēti pirms 2019. gada 27. jūnija.</w:t>
            </w:r>
          </w:p>
          <w:p w14:paraId="7EAB8752" w14:textId="12D859E9" w:rsidR="00982A9F" w:rsidRPr="00FB08AF" w:rsidRDefault="00C11CA5"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F8A7696" w14:textId="38C1B326" w:rsidR="000A5224" w:rsidRPr="00FB08AF" w:rsidRDefault="002055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šādiem nosacījumiem:</w:t>
            </w:r>
          </w:p>
          <w:p w14:paraId="2927D076" w14:textId="4B7CFD54"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tās ir emitētas pirms 2019. gada 27. jūnija;</w:t>
            </w:r>
          </w:p>
          <w:p w14:paraId="25193AE0" w14:textId="3C81B8F5" w:rsidR="000A5224"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tās atbilst prasībām, kuras noteiktas Regulas (ES) Nr. 575/2013 72.a līdz 72.d pantā, izņemot minētās regulas 72.b panta 2. punkta d) apakšpunktu, un kuras varētu tikt atzītas par </w:t>
            </w:r>
            <w:r>
              <w:rPr>
                <w:rStyle w:val="FormatvorlageInstructionsTabelleText"/>
                <w:sz w:val="24"/>
                <w:rFonts w:ascii="Times New Roman" w:hAnsi="Times New Roman"/>
              </w:rPr>
              <w:t xml:space="preserve">atbilstīgo saistību instrumentiem saskaņā ar minētās regulas 72.b panta 3. punktu vai kuras ir atļauts kvalificēt kā atbilstīgo saistību instrumentus saskaņā ar minētās regulas 72.b panta 4. punktu;</w:t>
            </w:r>
          </w:p>
          <w:p w14:paraId="406887A9" w14:textId="60E275A3" w:rsidR="00C11CA5" w:rsidRPr="00FB08AF" w:rsidRDefault="00D164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c) tās uzskata par atbilstīgām saistībām, kas izriet no tiesībām saglabāt iepriekš spēkā esošos nosacījumus saskaņā ar Regulas (ES) Nr. 575/2013 494.b panta 3. punktu.</w:t>
            </w:r>
          </w:p>
          <w:p w14:paraId="1C129A1F" w14:textId="57A1694B" w:rsidR="00A63011" w:rsidRPr="00FB08AF" w:rsidRDefault="00A827D8"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 kuri nav subordinēti izslēgtajām saistībām un tika emitēti pirms 2019. gada 27. jūnija. Ja piemēro Regulas (ES) Nr. 575/2013 72.b panta 3. punktu vai 494. panta 2. punktu, šajā rindā uzrāda visu summu, nepiemērojot attiecīgi 3,5 % un 2,5 % maksimālo robežvērtību.</w:t>
            </w:r>
          </w:p>
        </w:tc>
      </w:tr>
      <w:tr w:rsidR="00FB08AF" w:rsidRPr="00FB08AF" w14:paraId="63A9F93C" w14:textId="77777777" w:rsidTr="004464A7">
        <w:tc>
          <w:tcPr>
            <w:tcW w:w="1129" w:type="dxa"/>
            <w:vAlign w:val="center"/>
          </w:tcPr>
          <w:p w14:paraId="128930AB" w14:textId="7D151456"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0162</w:t>
            </w:r>
          </w:p>
        </w:tc>
        <w:tc>
          <w:tcPr>
            <w:tcW w:w="7620" w:type="dxa"/>
            <w:vAlign w:val="center"/>
          </w:tcPr>
          <w:p w14:paraId="341CD98D" w14:textId="7BF644C3"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Pašu atbilstīgo saistību instrumenti, kas nav subordinēti izslēgtajām saistībām</w:t>
            </w:r>
          </w:p>
          <w:p w14:paraId="7CFF60FF" w14:textId="77777777" w:rsidR="00766C0D" w:rsidRPr="00FB08AF" w:rsidRDefault="00766C0D"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MREL</w:t>
            </w:r>
          </w:p>
          <w:p w14:paraId="5FDB3A76" w14:textId="21AD9479" w:rsidR="00766C0D" w:rsidRPr="00FB08AF" w:rsidRDefault="00766C0D"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Regulas (ES) Nr. 575/2013 78.a pants, Deleģētās regulas (ES) Nr. 241/2014 32.b panta 2., 3. un 5. punkts</w:t>
            </w:r>
          </w:p>
          <w:p w14:paraId="07A5D05B" w14:textId="26693921" w:rsidR="008B0571" w:rsidRPr="00FB08AF" w:rsidRDefault="008B0571" w:rsidP="00E36728">
            <w:pPr>
              <w:pStyle w:val="InstructionsText"/>
              <w:rPr>
                <w:rStyle w:val="InstructionsTabelleberschrift"/>
                <w:b w:val="0"/>
                <w:bCs w:val="0"/>
                <w:i/>
                <w:sz w:val="24"/>
                <w:u w:val="none"/>
                <w:rFonts w:ascii="Times New Roman" w:hAnsi="Times New Roman"/>
              </w:rPr>
            </w:pPr>
            <w:r>
              <w:rPr>
                <w:rStyle w:val="FormatvorlageInstructionsTabelleText"/>
                <w:sz w:val="24"/>
                <w:rFonts w:ascii="Times New Roman" w:hAnsi="Times New Roman"/>
              </w:rPr>
              <w:t xml:space="preserve">Šajā rindā iekļauj neizmantotās iepriekšējās atļaujas summas, ciktāl atļauja attiecas uz atbilstīgo saistību instrumentiem, kas nav subordinēti izslēgtajām saistībām.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Summa šajā rindā ir vienāda ar summu 0165. rindā attiecībā uz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w:t>
            </w:r>
          </w:p>
          <w:p w14:paraId="267D0224" w14:textId="77777777" w:rsidR="008B0571" w:rsidRPr="00FB08AF" w:rsidRDefault="008B0571" w:rsidP="00E36728">
            <w:pPr>
              <w:pStyle w:val="InstructionsText"/>
              <w:rPr>
                <w:rStyle w:val="InstructionsTabelleberschrift"/>
                <w:b w:val="0"/>
                <w:bCs w:val="0"/>
                <w:i/>
                <w:sz w:val="24"/>
                <w:u w:val="none"/>
                <w:rFonts w:ascii="Times New Roman" w:hAnsi="Times New Roman"/>
              </w:rPr>
            </w:pPr>
            <w:r>
              <w:rPr>
                <w:rStyle w:val="InstructionsTabelleberschrift"/>
                <w:b w:val="0"/>
                <w:i/>
                <w:sz w:val="24"/>
                <w:u w:val="none"/>
                <w:rFonts w:ascii="Times New Roman" w:hAnsi="Times New Roman"/>
              </w:rPr>
              <w:t xml:space="preserve">TLAC</w:t>
            </w:r>
          </w:p>
          <w:p w14:paraId="24C7F64C" w14:textId="6651375D"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Regulas (ES) Nr. 575/2013 72.e panta 1. punkta a) apakšpunkts un 78.a pants, Deleģētās regulas (ES) Nr. 241/2014 32.b panta 2., 3. un 5. punkts</w:t>
            </w:r>
          </w:p>
          <w:p w14:paraId="5453E8FB" w14:textId="28C75257" w:rsidR="008B0571" w:rsidRPr="00FB08AF" w:rsidRDefault="008B0571" w:rsidP="00E36728">
            <w:pPr>
              <w:pStyle w:val="InstructionsText"/>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Šajā rindā iekļauj:</w:t>
            </w:r>
          </w:p>
          <w:p w14:paraId="321DC970" w14:textId="180EDF4D" w:rsidR="008B0571" w:rsidRPr="00FB08AF" w:rsidRDefault="008C19BD" w:rsidP="008B0571">
            <w:pPr>
              <w:pStyle w:val="ListParagraph"/>
              <w:numPr>
                <w:ilvl w:val="0"/>
                <w:numId w:val="70"/>
              </w:numPr>
              <w:rPr>
                <w:rStyle w:val="FormatvorlageInstructionsTabelleText"/>
                <w:bCs w:val="0"/>
                <w:sz w:val="24"/>
                <w:rFonts w:ascii="Times New Roman" w:hAnsi="Times New Roman"/>
              </w:rPr>
            </w:pPr>
            <w:r>
              <w:rPr>
                <w:rStyle w:val="FormatvorlageInstructionsTabelleText"/>
                <w:sz w:val="24"/>
                <w:rFonts w:ascii="Times New Roman" w:hAnsi="Times New Roman"/>
              </w:rPr>
              <w:t xml:space="preserve">līdzdalības pašu nesubordinēto atbilstīgo saistību instrumentos, kas jāatskaita saskaņā ar Regulas (ES) Nr. 575/2013 72.e panta 1. punkta a) apakšpunktu;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kā arī</w:t>
            </w:r>
          </w:p>
          <w:p w14:paraId="6C390CB9" w14:textId="54C5D1D0" w:rsidR="008B0571" w:rsidRPr="00FB08AF" w:rsidRDefault="00D37B2B" w:rsidP="009E5168">
            <w:pPr>
              <w:pStyle w:val="ListParagraph"/>
              <w:numPr>
                <w:ilvl w:val="0"/>
                <w:numId w:val="70"/>
              </w:numPr>
              <w:rPr>
                <w:rStyle w:val="InstructionsTabelleberschrift"/>
                <w:b w:val="0"/>
                <w:bCs w:val="0"/>
                <w:sz w:val="24"/>
                <w:rFonts w:ascii="Times New Roman" w:hAnsi="Times New Roman"/>
              </w:rPr>
            </w:pPr>
            <w:r>
              <w:rPr>
                <w:rStyle w:val="FormatvorlageInstructionsTabelleText"/>
                <w:sz w:val="24"/>
                <w:rFonts w:ascii="Times New Roman" w:hAnsi="Times New Roman"/>
              </w:rPr>
              <w:t xml:space="preserve">neizmantotās iepriekšējās atļaujas summas, ciktāl atļauja attiecas uz atbilstīgo saistību instrumentiem, kas nav subordinēti izslēgtajām saistībām.</w:t>
            </w:r>
          </w:p>
        </w:tc>
      </w:tr>
      <w:tr w:rsidR="00FB08AF" w:rsidRPr="00FB08AF" w14:paraId="377B4629" w14:textId="77777777" w:rsidTr="004464A7">
        <w:tc>
          <w:tcPr>
            <w:tcW w:w="1129" w:type="dxa"/>
            <w:vAlign w:val="center"/>
          </w:tcPr>
          <w:p w14:paraId="0ACB5F85" w14:textId="0CEF3E7C" w:rsidR="00766C0D" w:rsidRPr="00FB08AF" w:rsidRDefault="00766C0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0165</w:t>
            </w:r>
          </w:p>
        </w:tc>
        <w:tc>
          <w:tcPr>
            <w:tcW w:w="7620" w:type="dxa"/>
            <w:vAlign w:val="center"/>
          </w:tcPr>
          <w:p w14:paraId="371C3A4C" w14:textId="440EE909" w:rsidR="00766C0D" w:rsidRPr="00FB08AF" w:rsidRDefault="00766C0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 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neizmantotas iepriekšējas atļaujas summas</w:t>
            </w:r>
          </w:p>
          <w:p w14:paraId="50F54C4D" w14:textId="77777777" w:rsidR="00766C0D" w:rsidRPr="00FB08AF" w:rsidRDefault="00766C0D" w:rsidP="00E36728">
            <w:pPr>
              <w:pStyle w:val="InstructionsText"/>
              <w:rPr>
                <w:rStyle w:val="FormatvorlageInstructionsTabelleText"/>
                <w:i/>
                <w:sz w:val="24"/>
                <w:rFonts w:ascii="Times New Roman" w:hAnsi="Times New Roman"/>
              </w:rPr>
            </w:pPr>
            <w:r>
              <w:rPr>
                <w:rStyle w:val="FormatvorlageInstructionsTabelleText"/>
                <w:i/>
                <w:sz w:val="24"/>
                <w:i/>
                <w:iCs/>
                <w:i w:val="false"/>
                <w:iCs w:val="false"/>
                <w:rFonts w:ascii="Times New Roman" w:hAnsi="Times New Roman"/>
              </w:rPr>
              <w:t xml:space="preserve">MREL</w:t>
            </w:r>
            <w:r>
              <w:rPr>
                <w:rStyle w:val="FormatvorlageInstructionsTabelleText"/>
                <w:i/>
                <w:sz w:val="24"/>
                <w:rFonts w:ascii="Times New Roman" w:hAnsi="Times New Roman"/>
              </w:rPr>
              <w:t xml:space="preserve"> un </w:t>
            </w:r>
            <w:r>
              <w:rPr>
                <w:rStyle w:val="FormatvorlageInstructionsTabelleText"/>
                <w:i/>
                <w:sz w:val="24"/>
                <w:i w:val="false"/>
                <w:iCs w:val="false"/>
                <w:rFonts w:ascii="Times New Roman" w:hAnsi="Times New Roman"/>
              </w:rPr>
              <w:t xml:space="preserve">TLAC</w:t>
            </w:r>
            <w:r>
              <w:rPr>
                <w:rStyle w:val="FormatvorlageInstructionsTabelleText"/>
                <w:i/>
                <w:sz w:val="24"/>
                <w:rFonts w:ascii="Times New Roman" w:hAnsi="Times New Roman"/>
              </w:rPr>
              <w:t xml:space="preserve"> veidnes</w:t>
            </w:r>
          </w:p>
          <w:p w14:paraId="0DC13AF4" w14:textId="77777777" w:rsidR="00F81089" w:rsidRPr="00FB08AF" w:rsidRDefault="00F8108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uzrāda šādas summas:</w:t>
            </w:r>
            <w:r>
              <w:rPr>
                <w:rStyle w:val="FormatvorlageInstructionsTabelleText"/>
                <w:sz w:val="24"/>
                <w:rFonts w:ascii="Times New Roman" w:hAnsi="Times New Roman"/>
              </w:rPr>
              <w:t xml:space="preserve"> </w:t>
            </w:r>
          </w:p>
          <w:p w14:paraId="705775C2" w14:textId="0B0EDB42" w:rsidR="00766C0D" w:rsidRPr="00FB08AF" w:rsidRDefault="00D37B2B" w:rsidP="00766C0D">
            <w:pPr>
              <w:pStyle w:val="ListParagraph"/>
              <w:numPr>
                <w:ilvl w:val="0"/>
                <w:numId w:val="52"/>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neizmantotās </w:t>
            </w:r>
            <w:r>
              <w:rPr>
                <w:rStyle w:val="FormatvorlageInstructionsTabelleText"/>
                <w:sz w:val="24"/>
                <w:i/>
                <w:iCs/>
                <w:rFonts w:ascii="Times New Roman" w:hAnsi="Times New Roman"/>
              </w:rPr>
              <w:t xml:space="preserve">ad hoc</w:t>
            </w:r>
            <w:r>
              <w:rPr>
                <w:rStyle w:val="FormatvorlageInstructionsTabelleText"/>
                <w:sz w:val="24"/>
                <w:rFonts w:ascii="Times New Roman" w:hAnsi="Times New Roman"/>
              </w:rPr>
              <w:t xml:space="preserve"> atļaujas summas, ciktāl atļauja attiecas uz atbilstīgo saistību instrumentu, kas nav subordinēts izslēgtajām saistībām;</w:t>
            </w:r>
          </w:p>
          <w:p w14:paraId="664D7867" w14:textId="5A7A4644" w:rsidR="00766C0D" w:rsidRPr="00FB08AF" w:rsidRDefault="00D37B2B" w:rsidP="00766C0D">
            <w:pPr>
              <w:pStyle w:val="ListParagraph"/>
              <w:numPr>
                <w:ilvl w:val="0"/>
                <w:numId w:val="52"/>
              </w:numPr>
              <w:rPr>
                <w:rStyle w:val="FormatvorlageInstructionsTabelleText"/>
                <w:sz w:val="24"/>
                <w:u w:val="single"/>
                <w:rFonts w:ascii="Times New Roman" w:hAnsi="Times New Roman"/>
              </w:rPr>
            </w:pPr>
            <w:r>
              <w:rPr>
                <w:rStyle w:val="FormatvorlageInstructionsTabelleText"/>
                <w:sz w:val="24"/>
                <w:rFonts w:ascii="Times New Roman" w:hAnsi="Times New Roman"/>
              </w:rPr>
              <w:t xml:space="preserve">neizmantotās ZPI summas, ciktāl atļauja attiecas uz </w:t>
            </w:r>
            <w:r>
              <w:rPr>
                <w:rStyle w:val="FormatvorlageInstructionsTabelleText"/>
                <w:sz w:val="24"/>
                <w:u w:val="single"/>
                <w:rFonts w:ascii="Times New Roman" w:hAnsi="Times New Roman"/>
              </w:rPr>
              <w:t xml:space="preserve">atbilstīgo</w:t>
            </w:r>
            <w:r>
              <w:rPr>
                <w:rStyle w:val="FormatvorlageInstructionsTabelleText"/>
                <w:sz w:val="24"/>
                <w:rFonts w:ascii="Times New Roman" w:hAnsi="Times New Roman"/>
              </w:rPr>
              <w:t xml:space="preserve"> saistību instrumentiem, kas nav subordinēti izslēgtajām saistībām.</w:t>
            </w:r>
          </w:p>
          <w:p w14:paraId="4510FB08" w14:textId="6849570E" w:rsidR="00766C0D" w:rsidRPr="00FB08AF" w:rsidRDefault="00766C0D" w:rsidP="004464A7">
            <w:pPr>
              <w:rPr>
                <w:rStyle w:val="InstructionsTabelleberschrift"/>
                <w:b w:val="0"/>
                <w:sz w:val="24"/>
                <w:rFonts w:ascii="Times New Roman" w:hAnsi="Times New Roman"/>
              </w:rPr>
            </w:pPr>
            <w:r>
              <w:rPr>
                <w:rStyle w:val="InstructionsTabelleberschrift"/>
                <w:b w:val="0"/>
                <w:sz w:val="24"/>
                <w:rFonts w:ascii="Times New Roman" w:hAnsi="Times New Roman"/>
              </w:rPr>
              <w:t xml:space="preserve">Ja ii) apakšpunktā minētajā vispārējā iepriekšējā atļaujā nav norādīta to instrumentu prioritāte, kurus var atsaukt, dzēst, atmaksāt vai atpirkt, visu neizmantoto ZPI summu uzrāda 0135. rindā, nevis šajā rindā.</w:t>
            </w:r>
          </w:p>
        </w:tc>
      </w:tr>
      <w:tr w:rsidR="00FB08AF" w:rsidRPr="00FB08AF" w14:paraId="11F3B154" w14:textId="77777777" w:rsidTr="007674DE">
        <w:tc>
          <w:tcPr>
            <w:tcW w:w="1129" w:type="dxa"/>
            <w:vAlign w:val="center"/>
          </w:tcPr>
          <w:p w14:paraId="0A3863D3" w14:textId="12D058F9" w:rsidR="00EA28E5" w:rsidRPr="00FB08AF" w:rsidRDefault="00EA28E5" w:rsidP="00E36728">
            <w:pPr>
              <w:pStyle w:val="InstructionsText"/>
            </w:pPr>
            <w:r>
              <w:rPr>
                <w:rStyle w:val="FormatvorlageInstructionsTabelleText"/>
                <w:sz w:val="24"/>
                <w:rFonts w:ascii="Times New Roman" w:hAnsi="Times New Roman"/>
              </w:rPr>
              <w:t xml:space="preserve">0170</w:t>
            </w:r>
          </w:p>
        </w:tc>
        <w:tc>
          <w:tcPr>
            <w:tcW w:w="7620" w:type="dxa"/>
            <w:vAlign w:val="center"/>
          </w:tcPr>
          <w:p w14:paraId="616148D5" w14:textId="5B73B67F"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summas pēc Regulas (ES) Nr. 575/2013 72.b panta 3. punktā noteiktās maksimālās robežvērtības piemērošanas (nav tiesību saglabāt iepriekš spēkā esošos nosacījumus)</w:t>
            </w:r>
          </w:p>
          <w:p w14:paraId="13F2D135" w14:textId="77777777" w:rsidR="00FC063F" w:rsidRPr="00FB08AF" w:rsidRDefault="00F36F98"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6B93C9D6" w14:textId="3FE91C94" w:rsidR="00EA28E5"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prasībām, kuras noteiktas Regulas (ES) Nr. 575/2013 72.a līdz 72.d pantā, izņemot minētās regulas 72.b panta 2. punkta d) apakšpunktu, pēc tam, kad ir piemērots minētās regulas 72.b panta 3.–5. punkts, izslēdzot saistības, kas atzītas, ievērojot tiesības saglabāt iepriekš spēkā esošos nosacījumus, kā izklāstīts minētās regulas 494.b panta 3. punktā.</w:t>
            </w:r>
          </w:p>
          <w:p w14:paraId="305A441C" w14:textId="5D103CC3" w:rsidR="00E45961" w:rsidRPr="00FB08AF" w:rsidRDefault="00D301E1" w:rsidP="00E36728">
            <w:pPr>
              <w:pStyle w:val="InstructionsText"/>
              <w:rPr>
                <w:rStyle w:val="InstructionsTabelleberschrift"/>
                <w:b w:val="0"/>
                <w:sz w:val="24"/>
                <w:rFonts w:ascii="Times New Roman" w:hAnsi="Times New Roman"/>
              </w:rPr>
            </w:pPr>
            <w:r>
              <w:t xml:space="preserve">Ja piemēro Regulas (ES) Nr. 575/2013</w:t>
            </w:r>
            <w:r>
              <w:t xml:space="preserve"> 72.b panta 3. punktu, un līdz 2021. gada 31. decembrim šajā rindā uzrādītā summa ir summa pēc minētās regulas 494. panta 2. punkta piemērošanas (maksimālā robežvērtība 2,5 % apmērā).</w:t>
            </w:r>
          </w:p>
        </w:tc>
      </w:tr>
      <w:tr w:rsidR="00FB08AF" w:rsidRPr="00FB08AF" w14:paraId="4BB935B5" w14:textId="77777777" w:rsidTr="007674DE">
        <w:tc>
          <w:tcPr>
            <w:tcW w:w="1129" w:type="dxa"/>
            <w:vAlign w:val="center"/>
          </w:tcPr>
          <w:p w14:paraId="61DA2F84" w14:textId="4BFF468A" w:rsidR="00EA28E5" w:rsidRPr="00FB08AF" w:rsidRDefault="00EA28E5" w:rsidP="00E36728">
            <w:pPr>
              <w:pStyle w:val="InstructionsText"/>
            </w:pPr>
            <w:r>
              <w:rPr>
                <w:rStyle w:val="FormatvorlageInstructionsTabelleText"/>
                <w:sz w:val="24"/>
                <w:rFonts w:ascii="Times New Roman" w:hAnsi="Times New Roman"/>
              </w:rPr>
              <w:t xml:space="preserve">0180</w:t>
            </w:r>
          </w:p>
        </w:tc>
        <w:tc>
          <w:tcPr>
            <w:tcW w:w="7620" w:type="dxa"/>
            <w:vAlign w:val="center"/>
          </w:tcPr>
          <w:p w14:paraId="17E7C796" w14:textId="1A628FF6" w:rsidR="00EA28E5"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Summas, kas ir atbilstīgas pēc Regulas (ES) Nr. 575/2013 72.b panta 3. punktā noteiktās maksimālās robežvērtības piemērošanas un kas sastāv no posteņiem, kuri emitēti pirms 2019. gada 27. jūnija</w:t>
            </w:r>
            <w:r>
              <w:rPr>
                <w:rStyle w:val="InstructionsTabelleberschrift"/>
                <w:sz w:val="24"/>
                <w:rFonts w:ascii="Times New Roman" w:hAnsi="Times New Roman"/>
              </w:rPr>
              <w:t xml:space="preserve"> </w:t>
            </w:r>
          </w:p>
          <w:p w14:paraId="53A05F4F" w14:textId="77777777" w:rsidR="00FC063F" w:rsidRPr="00FB08AF" w:rsidRDefault="000B1772"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TLAC</w:t>
            </w:r>
          </w:p>
          <w:p w14:paraId="406D6DBE" w14:textId="7F7CC175" w:rsidR="000B1772" w:rsidRPr="00FB08AF" w:rsidRDefault="00FC06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kas atbilst šādiem nosacījumiem:</w:t>
            </w:r>
          </w:p>
          <w:p w14:paraId="3AE4F260" w14:textId="31F4952D"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 tās ir emitētas pirms 2019. gada 27. jūnija;</w:t>
            </w:r>
          </w:p>
          <w:p w14:paraId="59FE9F26" w14:textId="4E7CB3E4" w:rsidR="000B1772" w:rsidRPr="00FB08AF" w:rsidRDefault="00D301E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b) tās pēc Regulas (ES) Nr. 575/2013 72.b panta 3. līdz 5. punkta piemērošanas atbilst prasībām, kas noteiktas minētās regulas 72.a līdz 72.d pantā, izņemot minētās regulas 72.b panta 2. punkta d) apakšpunktu;</w:t>
            </w:r>
          </w:p>
          <w:p w14:paraId="114EE1F8" w14:textId="260F9651" w:rsidR="000B1772" w:rsidRPr="00FB08AF" w:rsidRDefault="00D301E1" w:rsidP="00E36728">
            <w:pPr>
              <w:pStyle w:val="InstructionsText"/>
              <w:rPr>
                <w:rStyle w:val="FormatvorlageInstructionsTabelleText"/>
                <w:sz w:val="24"/>
                <w:rFonts w:ascii="Times New Roman" w:hAnsi="Times New Roman"/>
              </w:rPr>
            </w:pPr>
            <w:r>
              <w:t xml:space="preserve">c) </w:t>
            </w:r>
            <w:r>
              <w:t xml:space="preserve">tās uzskata par atbilstīgām saistībām, kas izriet no tiesībām saglabāt iepriekš spēkā esošos nosacījumus saskaņā ar </w:t>
            </w:r>
            <w:r>
              <w:t xml:space="preserve">Regulas (ES) Nr. 575/2013 494.b panta 3. punktu.</w:t>
            </w:r>
          </w:p>
          <w:p w14:paraId="0A5DCE1F" w14:textId="40193B08" w:rsidR="00E45961" w:rsidRPr="00FB08AF" w:rsidRDefault="00D301E1" w:rsidP="00E36728">
            <w:pPr>
              <w:pStyle w:val="InstructionsText"/>
              <w:rPr>
                <w:rStyle w:val="InstructionsTabelleberschrift"/>
                <w:b w:val="0"/>
                <w:sz w:val="24"/>
                <w:u w:val="none"/>
                <w:rFonts w:ascii="Times New Roman" w:hAnsi="Times New Roman"/>
              </w:rPr>
            </w:pPr>
            <w:r>
              <w:t xml:space="preserve">Ja piemēro Regulas (ES) Nr. 575/2013</w:t>
            </w:r>
            <w:r>
              <w:t xml:space="preserve"> 72.b panta 3. punktu, un līdz 2021. gada 31. decembrim šajā rindā uzrādītā summa ir summa pēc minētās regulas 494. panta 2. punkta piemērošanas (maksimālā robežvērtība 2,5 % apmērā).</w:t>
            </w:r>
          </w:p>
        </w:tc>
      </w:tr>
      <w:tr w:rsidR="00FB08AF" w:rsidRPr="00FB08AF" w14:paraId="692AEFC6" w14:textId="77777777" w:rsidTr="007674DE">
        <w:tc>
          <w:tcPr>
            <w:tcW w:w="1129" w:type="dxa"/>
            <w:vAlign w:val="center"/>
          </w:tcPr>
          <w:p w14:paraId="3D783C0C" w14:textId="6DDA4312" w:rsidR="00A63011" w:rsidRPr="00FB08AF" w:rsidRDefault="00A63011" w:rsidP="00E36728">
            <w:pPr>
              <w:pStyle w:val="InstructionsText"/>
            </w:pPr>
            <w:r>
              <w:rPr>
                <w:rStyle w:val="FormatvorlageInstructionsTabelleText"/>
                <w:sz w:val="24"/>
                <w:rFonts w:ascii="Times New Roman" w:hAnsi="Times New Roman"/>
              </w:rPr>
              <w:t xml:space="preserve">0190</w:t>
            </w:r>
          </w:p>
        </w:tc>
        <w:tc>
          <w:tcPr>
            <w:tcW w:w="7620" w:type="dxa"/>
            <w:vAlign w:val="center"/>
          </w:tcPr>
          <w:p w14:paraId="48A47BB7" w14:textId="58C2F8F9"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Atskaitījumi</w:t>
            </w:r>
          </w:p>
        </w:tc>
      </w:tr>
      <w:tr w:rsidR="00FB08AF" w:rsidRPr="00FB08AF" w14:paraId="5F32D0E3" w14:textId="77777777" w:rsidTr="007674DE">
        <w:tc>
          <w:tcPr>
            <w:tcW w:w="1129" w:type="dxa"/>
            <w:vAlign w:val="center"/>
          </w:tcPr>
          <w:p w14:paraId="3E47080A" w14:textId="2297CCF2" w:rsidR="00A63011" w:rsidRPr="00FB08AF" w:rsidRDefault="00A63011" w:rsidP="00E36728">
            <w:pPr>
              <w:pStyle w:val="InstructionsText"/>
            </w:pPr>
            <w:r>
              <w:rPr>
                <w:rStyle w:val="FormatvorlageInstructionsTabelleText"/>
                <w:sz w:val="24"/>
                <w:rFonts w:ascii="Times New Roman" w:hAnsi="Times New Roman"/>
              </w:rPr>
              <w:t xml:space="preserve">0200</w:t>
            </w:r>
          </w:p>
        </w:tc>
        <w:tc>
          <w:tcPr>
            <w:tcW w:w="7620" w:type="dxa"/>
            <w:vAlign w:val="center"/>
          </w:tcPr>
          <w:p w14:paraId="5A2E902B" w14:textId="2920CF5C"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Riska darījumi starp </w:t>
            </w:r>
            <w:r>
              <w:rPr>
                <w:rStyle w:val="InstructionsTabelleberschrift"/>
                <w:sz w:val="24"/>
                <w:i/>
                <w:iCs/>
                <w:rFonts w:ascii="Times New Roman" w:hAnsi="Times New Roman"/>
              </w:rPr>
              <w:t xml:space="preserve">MPE</w:t>
            </w:r>
            <w:r>
              <w:rPr>
                <w:rStyle w:val="InstructionsTabelleberschrift"/>
                <w:sz w:val="24"/>
                <w:rFonts w:ascii="Times New Roman" w:hAnsi="Times New Roman"/>
              </w:rPr>
              <w:t xml:space="preserve"> noregulējuma grupām</w:t>
            </w:r>
            <w:r>
              <w:rPr>
                <w:rStyle w:val="InstructionsTabelleberschrift"/>
                <w:sz w:val="24"/>
                <w:rFonts w:ascii="Times New Roman" w:hAnsi="Times New Roman"/>
              </w:rPr>
              <w:t xml:space="preserve"> </w:t>
            </w:r>
          </w:p>
          <w:p w14:paraId="750816D8" w14:textId="45220EA8" w:rsidR="0052529D"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460C4152" w14:textId="210E085F" w:rsidR="00A63011" w:rsidRPr="00FB08AF" w:rsidRDefault="0052529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Šī rinda atspoguļo atskaitījumus riska darījumiem starp </w:t>
            </w:r>
            <w:r>
              <w:rPr>
                <w:rStyle w:val="FormatvorlageInstructionsTabelleText"/>
                <w:sz w:val="24"/>
                <w:i/>
                <w:iCs/>
                <w:rFonts w:ascii="Times New Roman" w:hAnsi="Times New Roman"/>
              </w:rPr>
              <w:t xml:space="preserve">MPE</w:t>
            </w:r>
            <w:r>
              <w:rPr>
                <w:rStyle w:val="FormatvorlageInstructionsTabelleText"/>
                <w:sz w:val="24"/>
                <w:rFonts w:ascii="Times New Roman" w:hAnsi="Times New Roman"/>
              </w:rPr>
              <w:t xml:space="preserve"> G-SNI noregulējuma grupām, kas atbilst tiešai, netiešai vai sintētiskai līdzdalībai viena vai vairāku meitasuzņēmumu pašu kapitāla instrumentos vai atbilstīgo saistību instrumentos, kuri nepieder tai pašai noregulējuma grupai, pie kuras pieder noregulējuma vienība, saskaņā ar Regulas (ES) Nr. 575/2013 72.e panta 4. punktu.</w:t>
            </w:r>
          </w:p>
        </w:tc>
      </w:tr>
      <w:tr w:rsidR="00FB08AF" w:rsidRPr="00FB08AF" w14:paraId="5835F98E" w14:textId="77777777" w:rsidTr="007674DE">
        <w:tc>
          <w:tcPr>
            <w:tcW w:w="1129" w:type="dxa"/>
            <w:vAlign w:val="center"/>
          </w:tcPr>
          <w:p w14:paraId="32F5C825" w14:textId="3263F67C" w:rsidR="00A63011" w:rsidRPr="00FB08AF" w:rsidRDefault="00327CA4" w:rsidP="00E36728">
            <w:pPr>
              <w:pStyle w:val="InstructionsText"/>
            </w:pPr>
            <w:r>
              <w:rPr>
                <w:rStyle w:val="FormatvorlageInstructionsTabelleText"/>
                <w:sz w:val="24"/>
                <w:rFonts w:ascii="Times New Roman" w:hAnsi="Times New Roman"/>
              </w:rPr>
              <w:t xml:space="preserve">0211</w:t>
            </w:r>
          </w:p>
        </w:tc>
        <w:tc>
          <w:tcPr>
            <w:tcW w:w="7620" w:type="dxa"/>
            <w:vAlign w:val="center"/>
          </w:tcPr>
          <w:p w14:paraId="70CDC53F" w14:textId="6AA8C423" w:rsidR="00A63011" w:rsidRPr="00FB08AF" w:rsidRDefault="00EA28E5"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Ieguldījumi citos atbilstīgo saistību instrumentos</w:t>
            </w:r>
          </w:p>
          <w:p w14:paraId="6D6E0AE5" w14:textId="7C627841" w:rsidR="00FC063F" w:rsidRPr="00FB08AF" w:rsidRDefault="00FC063F" w:rsidP="00E36728">
            <w:pPr>
              <w:pStyle w:val="InstructionsText"/>
              <w:rPr>
                <w:rStyle w:val="FormatvorlageInstructionsTabelleText"/>
                <w:sz w:val="24"/>
                <w:rFonts w:ascii="Times New Roman" w:hAnsi="Times New Roman"/>
              </w:rPr>
            </w:pPr>
            <w:r>
              <w:rPr>
                <w:rStyle w:val="FormatvorlageInstructionsTabelleText"/>
                <w:i/>
                <w:sz w:val="24"/>
                <w:rFonts w:ascii="Times New Roman" w:hAnsi="Times New Roman"/>
              </w:rPr>
              <w:t xml:space="preserve">TLAC</w:t>
            </w:r>
          </w:p>
          <w:p w14:paraId="1A0BF801" w14:textId="01C0B7CC" w:rsidR="002C7835" w:rsidRPr="00FB08AF" w:rsidRDefault="00E645F5" w:rsidP="00E36728">
            <w:pPr>
              <w:pStyle w:val="InstructionsText"/>
              <w:rPr>
                <w:rStyle w:val="InstructionsTabelleberschrift"/>
                <w:b w:val="0"/>
                <w:sz w:val="24"/>
                <w:u w:val="none"/>
                <w:rFonts w:ascii="Times New Roman" w:hAnsi="Times New Roman"/>
              </w:rPr>
            </w:pPr>
            <w:r>
              <w:t xml:space="preserve">Vienības uzrāda atskaitījumu par ieguldījumiem citos atbilstīgo saistību instrumentos, kā minēts Regulas (ES) Nr. 575/2013</w:t>
            </w:r>
            <w:r>
              <w:t xml:space="preserve"> 72.e panta 1. punkta b),c) un d) apakšpunktā, 72.e panta 2. un 3. punktā un 72.g līdz 72.j pantā, turklāt summu, kas jāatskaita no atbilstīgo saistību posteņiem, nosaka saskaņā ar minētās regulas Otrās daļas I sadaļas 5.a nodaļas 2. iedaļu.</w:t>
            </w:r>
          </w:p>
        </w:tc>
      </w:tr>
      <w:tr w:rsidR="00FB08AF" w:rsidRPr="00FB08AF" w14:paraId="1E39D578" w14:textId="77777777" w:rsidTr="007674DE">
        <w:tc>
          <w:tcPr>
            <w:tcW w:w="1129" w:type="dxa"/>
            <w:vAlign w:val="center"/>
          </w:tcPr>
          <w:p w14:paraId="33758206" w14:textId="3E9120C1" w:rsidR="00A63011" w:rsidRPr="00FB08AF" w:rsidRDefault="00327CA4" w:rsidP="00E36728">
            <w:pPr>
              <w:pStyle w:val="InstructionsText"/>
            </w:pPr>
            <w:r>
              <w:rPr>
                <w:rStyle w:val="FormatvorlageInstructionsTabelleText"/>
                <w:sz w:val="24"/>
                <w:rFonts w:ascii="Times New Roman" w:hAnsi="Times New Roman"/>
              </w:rPr>
              <w:t xml:space="preserve">0220</w:t>
            </w:r>
          </w:p>
        </w:tc>
        <w:tc>
          <w:tcPr>
            <w:tcW w:w="7620" w:type="dxa"/>
            <w:vAlign w:val="center"/>
          </w:tcPr>
          <w:p w14:paraId="3D31E736" w14:textId="4E1C375C" w:rsidR="00A63011" w:rsidRPr="00FB08AF" w:rsidRDefault="00A6301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Summa, par kādu atskaitījumi no atbilstošām saistībām pārsniedz atbilstīgās saistības</w:t>
            </w:r>
          </w:p>
          <w:p w14:paraId="7BA038D3" w14:textId="50DBC754" w:rsidR="00913681" w:rsidRPr="00FB08AF" w:rsidRDefault="00EA28E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nevar būt negatīvas, bet ir iespējams, ka atskaitījumu summa no atbilstīgo saistību posteņiem ir lielāka nekā atbilstīgo saistību posteņu summa.</w:t>
            </w:r>
            <w:r>
              <w:rPr>
                <w:rStyle w:val="FormatvorlageInstructionsTabelleText"/>
                <w:sz w:val="24"/>
                <w:rFonts w:ascii="Times New Roman" w:hAnsi="Times New Roman"/>
              </w:rPr>
              <w:t xml:space="preserve"> </w:t>
            </w:r>
            <w:r>
              <w:t xml:space="preserve">Šādā gadījumā atbilstīgajām saistībām jābūt vienādām ar nulli, un atskaitījumu pārsniegums ir jāatskaita no otrā līmeņa kapitāla saskaņā ar Regulas (ES) Nr. 575/2013 66. panta e) punktu</w:t>
            </w:r>
            <w:r>
              <w:rPr>
                <w:rStyle w:val="FormatvorlageInstructionsTabelleText"/>
                <w:sz w:val="24"/>
                <w:rFonts w:ascii="Times New Roman" w:hAnsi="Times New Roman"/>
              </w:rPr>
              <w:t xml:space="preserve">.</w:t>
            </w:r>
          </w:p>
          <w:p w14:paraId="3E09EF9B" w14:textId="2F11A2BE" w:rsidR="00A63011" w:rsidRPr="00FB08AF" w:rsidRDefault="00913681" w:rsidP="00E36728">
            <w:pPr>
              <w:pStyle w:val="InstructionsText"/>
              <w:rPr>
                <w:rStyle w:val="FormatvorlageInstructionsTabelleText"/>
                <w:b/>
                <w:sz w:val="24"/>
                <w:rFonts w:ascii="Times New Roman" w:hAnsi="Times New Roman"/>
              </w:rPr>
            </w:pPr>
            <w:r>
              <w:rPr>
                <w:rStyle w:val="FormatvorlageInstructionsTabelleText"/>
                <w:sz w:val="24"/>
                <w:rFonts w:ascii="Times New Roman" w:hAnsi="Times New Roman"/>
              </w:rPr>
              <w:t xml:space="preserve">Ar šo posteni tiek panākts, ka 0060. rindā uzrādītās atbilstīgās saistības nekad nav mazākas par nulli.</w:t>
            </w:r>
            <w:r>
              <w:rPr>
                <w:rStyle w:val="FormatvorlageInstructionsTabelleText"/>
                <w:sz w:val="24"/>
                <w:rFonts w:ascii="Times New Roman" w:hAnsi="Times New Roman"/>
              </w:rPr>
              <w:t xml:space="preserve"> </w:t>
            </w:r>
          </w:p>
        </w:tc>
      </w:tr>
      <w:tr w:rsidR="00FB08AF" w:rsidRPr="00FB08AF" w:rsidDel="000A3889" w14:paraId="55A5288B" w14:textId="77777777" w:rsidTr="00EF1BBD">
        <w:tc>
          <w:tcPr>
            <w:tcW w:w="1129" w:type="dxa"/>
            <w:vAlign w:val="center"/>
          </w:tcPr>
          <w:p w14:paraId="0469F718" w14:textId="77777777"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0400 - 0500</w:t>
            </w:r>
          </w:p>
        </w:tc>
        <w:tc>
          <w:tcPr>
            <w:tcW w:w="7620" w:type="dxa"/>
            <w:vAlign w:val="center"/>
          </w:tcPr>
          <w:p w14:paraId="7038FF40"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Izziņas posteņi</w:t>
            </w:r>
          </w:p>
        </w:tc>
      </w:tr>
      <w:tr w:rsidR="00FB08AF" w:rsidRPr="00FB08AF" w:rsidDel="000A3889" w14:paraId="1F7040BA" w14:textId="77777777" w:rsidTr="007674DE">
        <w:tc>
          <w:tcPr>
            <w:tcW w:w="1129" w:type="dxa"/>
            <w:vAlign w:val="center"/>
          </w:tcPr>
          <w:p w14:paraId="335E3648" w14:textId="0E055C41" w:rsidR="004B26E4" w:rsidRPr="00FB08AF" w:rsidRDefault="004B26E4" w:rsidP="00E36728">
            <w:pPr>
              <w:pStyle w:val="InstructionsText"/>
            </w:pPr>
            <w:r>
              <w:rPr>
                <w:rStyle w:val="FormatvorlageInstructionsTabelleText"/>
                <w:sz w:val="24"/>
                <w:rFonts w:ascii="Times New Roman" w:hAnsi="Times New Roman"/>
              </w:rPr>
              <w:t xml:space="preserve">0400</w:t>
            </w:r>
          </w:p>
        </w:tc>
        <w:tc>
          <w:tcPr>
            <w:tcW w:w="7620" w:type="dxa"/>
            <w:vAlign w:val="center"/>
          </w:tcPr>
          <w:p w14:paraId="0120BDD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Pirmā līmeņa pamata kapitāls (</w:t>
            </w:r>
            <w:r>
              <w:rPr>
                <w:rStyle w:val="InstructionsTabelleberschrift"/>
                <w:sz w:val="24"/>
                <w:i/>
                <w:iCs/>
                <w:rFonts w:ascii="Times New Roman" w:hAnsi="Times New Roman"/>
              </w:rPr>
              <w:t xml:space="preserve">CET1</w:t>
            </w:r>
            <w:r>
              <w:rPr>
                <w:rStyle w:val="InstructionsTabelleberschrift"/>
                <w:sz w:val="24"/>
                <w:rFonts w:ascii="Times New Roman" w:hAnsi="Times New Roman"/>
              </w:rPr>
              <w:t xml:space="preserve">) (%), kas pieejams pēc vienības prasību izpildes</w:t>
            </w:r>
            <w:r>
              <w:rPr>
                <w:rStyle w:val="InstructionsTabelleberschrift"/>
                <w:sz w:val="24"/>
                <w:rFonts w:ascii="Times New Roman" w:hAnsi="Times New Roman"/>
              </w:rPr>
              <w:t xml:space="preserve"> </w:t>
            </w:r>
          </w:p>
          <w:p w14:paraId="536CE450" w14:textId="1A7AB164"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i/>
                <w:iCs/>
                <w:rFonts w:ascii="Times New Roman" w:hAnsi="Times New Roman"/>
              </w:rPr>
              <w:t xml:space="preserve">CET1</w:t>
            </w:r>
            <w:r>
              <w:rPr>
                <w:rStyle w:val="FormatvorlageInstructionsTabelleText"/>
                <w:sz w:val="24"/>
                <w:rFonts w:ascii="Times New Roman" w:hAnsi="Times New Roman"/>
              </w:rPr>
              <w:t xml:space="preserve"> summa, kas vienāda ar nulli vai ir pozitīva, pieejama pēc tam, kad ir izpildītas visas Direktīvas 2013/36/ES</w:t>
            </w:r>
            <w:r w:rsidR="006876BA" w:rsidRPr="00FB08AF">
              <w:rPr>
                <w:rStyle w:val="FootnoteReference"/>
              </w:rPr>
              <w:footnoteReference w:id="3"/>
            </w:r>
            <w:r>
              <w:rPr>
                <w:rStyle w:val="FormatvorlageInstructionsTabelleText"/>
                <w:sz w:val="24"/>
                <w:rFonts w:ascii="Times New Roman" w:hAnsi="Times New Roman"/>
              </w:rPr>
              <w:t xml:space="preserve"> 141.a panta 1. punkta a), b) un c) apakšpunktā minētās prasības, un augstākā no šādām vērtībām:</w:t>
            </w:r>
          </w:p>
          <w:p w14:paraId="1016D212" w14:textId="01D3D2DE" w:rsidR="004B26E4" w:rsidRPr="00FB08AF" w:rsidRDefault="004B26E4" w:rsidP="00E36728">
            <w:pPr>
              <w:pStyle w:val="InstructionsText"/>
              <w:rPr>
                <w:rStyle w:val="FormatvorlageInstructionsTabelleText"/>
                <w:sz w:val="24"/>
                <w:rFonts w:ascii="Times New Roman" w:hAnsi="Times New Roman"/>
              </w:rPr>
            </w:pPr>
            <w:r>
              <w:t xml:space="preserve">a) attiecīgā gadījumā Regulas (ES) Nr. 575/2013 92.a pantā noteiktā G-SNI prasība pašu kapitālam un atbilstīgajām saistībām </w:t>
            </w:r>
            <w:r>
              <w:t xml:space="preserve">(</w:t>
            </w:r>
            <w:r>
              <w:rPr>
                <w:i/>
                <w:iCs/>
              </w:rPr>
              <w:t xml:space="preserve">TLAC</w:t>
            </w:r>
            <w:r>
              <w:t xml:space="preserve"> prasība), ja tā aprēķināta saskaņā ar minētā panta 1. punkta a) apakšpunktu;</w:t>
            </w:r>
            <w:r>
              <w:rPr>
                <w:rStyle w:val="FormatvorlageInstructionsTabelleText"/>
                <w:sz w:val="24"/>
                <w:rFonts w:ascii="Times New Roman" w:hAnsi="Times New Roman"/>
              </w:rPr>
              <w:t xml:space="preserve"> </w:t>
            </w:r>
          </w:p>
          <w:p w14:paraId="78E1074D" w14:textId="364D5169" w:rsidR="004B26E4" w:rsidRPr="00FB08AF" w:rsidRDefault="004B26E4" w:rsidP="00E36728">
            <w:pPr>
              <w:pStyle w:val="InstructionsText"/>
              <w:rPr>
                <w:rStyle w:val="FormatvorlageInstructionsTabelleText"/>
                <w:sz w:val="24"/>
                <w:rFonts w:ascii="Times New Roman" w:hAnsi="Times New Roman"/>
              </w:rPr>
            </w:pPr>
            <w:r>
              <w:t xml:space="preserve">b) minimuma prasība pašu kapitālam un atbilstīgajām saistībām saskaņā ar Direktīvas 2014/59/ES</w:t>
            </w:r>
            <w:r>
              <w:t xml:space="preserve"> 45. pantu, ja to aprēķina saskaņā ar minētās direktīvas 45. panta 2. punkta a) apakšpunktu.</w:t>
            </w:r>
          </w:p>
          <w:p w14:paraId="4922B454" w14:textId="09574DDE"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Pieejamo pirmā līmeņa pamata kapitālu izsaka kā procentuālo daļu no kopējās riska darījumu vērtības, kas uzrādīta veidnes M 01.00 rindā 0100.</w:t>
            </w:r>
          </w:p>
          <w:p w14:paraId="584E56EB" w14:textId="63B909F8"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Uzrādītais skaitlis ir identisks gan </w:t>
            </w:r>
            <w:r>
              <w:rPr>
                <w:rStyle w:val="InstructionsTabelleberschrift"/>
                <w:b w:val="0"/>
                <w:sz w:val="24"/>
                <w:u w:val="none"/>
                <w:i/>
                <w:iCs/>
                <w:rFonts w:ascii="Times New Roman" w:hAnsi="Times New Roman"/>
              </w:rPr>
              <w:t xml:space="preserve">MREL</w:t>
            </w:r>
            <w:r>
              <w:rPr>
                <w:rStyle w:val="InstructionsTabelleberschrift"/>
                <w:b w:val="0"/>
                <w:sz w:val="24"/>
                <w:u w:val="none"/>
                <w:rFonts w:ascii="Times New Roman" w:hAnsi="Times New Roman"/>
              </w:rPr>
              <w:t xml:space="preserve">, gan </w:t>
            </w:r>
            <w:r>
              <w:rPr>
                <w:rStyle w:val="InstructionsTabelleberschrift"/>
                <w:b w:val="0"/>
                <w:sz w:val="24"/>
                <w:u w:val="none"/>
                <w:i/>
                <w:iCs/>
                <w:rFonts w:ascii="Times New Roman" w:hAnsi="Times New Roman"/>
              </w:rPr>
              <w:t xml:space="preserve">TLAC</w:t>
            </w:r>
            <w:r>
              <w:rPr>
                <w:rStyle w:val="InstructionsTabelleberschrift"/>
                <w:b w:val="0"/>
                <w:sz w:val="24"/>
                <w:u w:val="none"/>
                <w:rFonts w:ascii="Times New Roman" w:hAnsi="Times New Roman"/>
              </w:rPr>
              <w:t xml:space="preserve"> slejām.</w:t>
            </w:r>
          </w:p>
          <w:p w14:paraId="4055321C" w14:textId="584B90B2" w:rsidR="005D755D"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Tajā ņem vērā pārejas noteikumu ietekmi uz pašu kapitālu un atbilstīgajām saistībām, kopējo riska darījumu vērtību un pašām prasībām.</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Neņem vērā ne norādes par papildu pašu kapitālu, kā minēts Direktīvas 2013/36/ES 104.b pantā, ne minētās direktīvas 128. panta pirmās daļas 6) punktā noteikto apvienoto rezervju prasību.</w:t>
            </w:r>
          </w:p>
        </w:tc>
      </w:tr>
      <w:tr w:rsidR="00FB08AF" w:rsidRPr="00FB08AF" w:rsidDel="000A3889" w14:paraId="4009374D" w14:textId="77777777" w:rsidTr="007674DE">
        <w:tc>
          <w:tcPr>
            <w:tcW w:w="1129" w:type="dxa"/>
            <w:vAlign w:val="center"/>
          </w:tcPr>
          <w:p w14:paraId="45843D1F" w14:textId="0AF81A10" w:rsidR="004B26E4" w:rsidRPr="00FB08AF" w:rsidRDefault="004B26E4" w:rsidP="00E36728">
            <w:pPr>
              <w:pStyle w:val="InstructionsText"/>
            </w:pPr>
            <w:r>
              <w:rPr>
                <w:rStyle w:val="FormatvorlageInstructionsTabelleText"/>
                <w:sz w:val="24"/>
                <w:rFonts w:ascii="Times New Roman" w:hAnsi="Times New Roman"/>
              </w:rPr>
              <w:t xml:space="preserve">0410</w:t>
            </w:r>
          </w:p>
        </w:tc>
        <w:tc>
          <w:tcPr>
            <w:tcW w:w="7620" w:type="dxa"/>
            <w:vAlign w:val="center"/>
          </w:tcPr>
          <w:p w14:paraId="07181A26" w14:textId="13872A80"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Apvienoto rezervju prasība (%)</w:t>
            </w:r>
          </w:p>
          <w:p w14:paraId="287F6D1A" w14:textId="65FAE7E2" w:rsidR="004B26E4" w:rsidRPr="00FB08AF" w:rsidRDefault="004B26E4" w:rsidP="00E36728">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Direktīvas 2013/36/ES </w:t>
            </w:r>
            <w:r>
              <w:t xml:space="preserve">128. panta pirmās daļas 6. punkts</w:t>
            </w:r>
            <w:r>
              <w:t xml:space="preserve"> </w:t>
            </w:r>
          </w:p>
          <w:p w14:paraId="7D299A16" w14:textId="40FF678D" w:rsidR="004B26E4" w:rsidRPr="00FB08AF" w:rsidRDefault="004B26E4" w:rsidP="00E36728">
            <w:pPr>
              <w:pStyle w:val="InstructionsText"/>
              <w:rPr>
                <w:rStyle w:val="InstructionsTabelleberschrift"/>
                <w:sz w:val="24"/>
                <w:rFonts w:ascii="Times New Roman" w:hAnsi="Times New Roman"/>
              </w:rPr>
            </w:pPr>
            <w:r>
              <w:rPr>
                <w:sz w:val="24"/>
                <w:rStyle w:val="InstructionsTabelleberschrift"/>
                <w:b w:val="0"/>
                <w:u w:val="none"/>
                <w:rFonts w:ascii="Times New Roman" w:hAnsi="Times New Roman"/>
              </w:rPr>
              <w:t xml:space="preserve">Apvienoto rezervju prasību izsaka kā procentuālo daļu no kopējās riska darījumu vērtības </w:t>
            </w:r>
            <w:r>
              <w:rPr>
                <w:sz w:val="24"/>
                <w:rStyle w:val="FormatvorlageInstructionsTabelleText"/>
                <w:rFonts w:ascii="Times New Roman" w:hAnsi="Times New Roman"/>
              </w:rPr>
              <w:t xml:space="preserve">.</w:t>
            </w:r>
          </w:p>
        </w:tc>
      </w:tr>
      <w:tr w:rsidR="00FB08AF" w:rsidRPr="00FB08AF" w:rsidDel="000A3889" w14:paraId="69621A66" w14:textId="77777777" w:rsidTr="007674DE">
        <w:tc>
          <w:tcPr>
            <w:tcW w:w="1129" w:type="dxa"/>
            <w:vAlign w:val="center"/>
          </w:tcPr>
          <w:p w14:paraId="206B49C7" w14:textId="6928727F"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06E9467D"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kapitāla saglabāšanas rezervju prasība</w:t>
            </w:r>
            <w:r>
              <w:rPr>
                <w:rStyle w:val="InstructionsTabelleberschrift"/>
                <w:sz w:val="24"/>
                <w:rFonts w:ascii="Times New Roman" w:hAnsi="Times New Roman"/>
              </w:rPr>
              <w:t xml:space="preserve"> </w:t>
            </w:r>
          </w:p>
          <w:p w14:paraId="4EFA0A18" w14:textId="5AE605AD" w:rsidR="004B26E4" w:rsidRPr="00FB08AF" w:rsidRDefault="004B26E4" w:rsidP="00E36728">
            <w:pPr>
              <w:pStyle w:val="InstructionsText"/>
              <w:rPr>
                <w:rStyle w:val="InstructionsTabelleberschrift"/>
                <w:sz w:val="24"/>
                <w:rFonts w:ascii="Times New Roman" w:hAnsi="Times New Roman"/>
              </w:rPr>
            </w:pPr>
            <w:r>
              <w:t xml:space="preserve">Iestādei specifisko apvienoto rezervju summa (izteikta kā procentuālā daļa no </w:t>
            </w:r>
            <w:r>
              <w:t xml:space="preserve">kopējās riska </w:t>
            </w:r>
            <w:r>
              <w:rPr>
                <w:sz w:val="24"/>
                <w:rStyle w:val="InstructionsTabelleberschrift"/>
                <w:b w:val="0"/>
                <w:u w:val="none"/>
                <w:rFonts w:ascii="Times New Roman" w:hAnsi="Times New Roman"/>
              </w:rPr>
              <w:t xml:space="preserve">darījumu vērtības</w:t>
            </w:r>
            <w:r>
              <w:t xml:space="preserve">), kas attiecas uz kapitāla saglabāšanas rezervju prasību.</w:t>
            </w:r>
          </w:p>
        </w:tc>
      </w:tr>
      <w:tr w:rsidR="00FB08AF" w:rsidRPr="00FB08AF" w:rsidDel="000A3889" w14:paraId="39E2CDFC" w14:textId="77777777" w:rsidTr="00C15B90">
        <w:tc>
          <w:tcPr>
            <w:tcW w:w="1129" w:type="dxa"/>
            <w:vAlign w:val="center"/>
          </w:tcPr>
          <w:p w14:paraId="2C44CA49" w14:textId="2C472C8B"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tcPr>
          <w:p w14:paraId="2C432667"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pretciklisko kapitāla rezervju prasība</w:t>
            </w:r>
            <w:r>
              <w:rPr>
                <w:rStyle w:val="InstructionsTabelleberschrift"/>
                <w:sz w:val="24"/>
                <w:rFonts w:ascii="Times New Roman" w:hAnsi="Times New Roman"/>
              </w:rPr>
              <w:t xml:space="preserve"> </w:t>
            </w:r>
          </w:p>
          <w:p w14:paraId="66111F18" w14:textId="6AC08DF1" w:rsidR="004B26E4" w:rsidRPr="00FB08AF" w:rsidRDefault="004B26E4" w:rsidP="00E36728">
            <w:pPr>
              <w:pStyle w:val="InstructionsText"/>
              <w:rPr>
                <w:rStyle w:val="InstructionsTabelleberschrift"/>
                <w:sz w:val="24"/>
                <w:rFonts w:ascii="Times New Roman" w:hAnsi="Times New Roman"/>
              </w:rPr>
            </w:pPr>
            <w:r>
              <w:t xml:space="preserve">Iestādei specifisko apvienoto rezervju summa (izteikta kā procentuālā daļa no </w:t>
            </w:r>
            <w:r>
              <w:t xml:space="preserve">kopējās riska </w:t>
            </w:r>
            <w:r>
              <w:t xml:space="preserve">darījumu vērtības), kas attiecas uz pretciklisko rezervju prasību.</w:t>
            </w:r>
          </w:p>
        </w:tc>
      </w:tr>
      <w:tr w:rsidR="00FB08AF" w:rsidRPr="00FB08AF" w:rsidDel="000A3889" w14:paraId="59FE41E4" w14:textId="77777777" w:rsidTr="00C15B90">
        <w:tc>
          <w:tcPr>
            <w:tcW w:w="1129" w:type="dxa"/>
            <w:vAlign w:val="center"/>
          </w:tcPr>
          <w:p w14:paraId="217DA17F" w14:textId="3479E33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0" w:type="dxa"/>
          </w:tcPr>
          <w:p w14:paraId="519E9751"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sistēmiskā riska rezervju prasība</w:t>
            </w:r>
            <w:r>
              <w:rPr>
                <w:rStyle w:val="InstructionsTabelleberschrift"/>
                <w:sz w:val="24"/>
                <w:rFonts w:ascii="Times New Roman" w:hAnsi="Times New Roman"/>
              </w:rPr>
              <w:t xml:space="preserve"> </w:t>
            </w:r>
          </w:p>
          <w:p w14:paraId="6BA953BC" w14:textId="3A467DC0" w:rsidR="004B26E4" w:rsidRPr="00FB08AF" w:rsidRDefault="004B26E4" w:rsidP="00E36728">
            <w:pPr>
              <w:pStyle w:val="InstructionsText"/>
              <w:rPr>
                <w:rStyle w:val="InstructionsTabelleberschrift"/>
                <w:b w:val="0"/>
                <w:sz w:val="24"/>
                <w:rFonts w:ascii="Times New Roman" w:hAnsi="Times New Roman"/>
              </w:rPr>
            </w:pPr>
            <w:r>
              <w:t xml:space="preserve">Iestādei specifisko apvienoto rezervju summa (izteikta kā procentuālā daļa no </w:t>
            </w:r>
            <w:r>
              <w:t xml:space="preserve">kopējās riska </w:t>
            </w:r>
            <w:r>
              <w:t xml:space="preserve">darījumu vērtības), kas attiecas uz sistēmiskā riska rezervju prasību.</w:t>
            </w:r>
          </w:p>
        </w:tc>
      </w:tr>
      <w:tr w:rsidR="00FB08AF" w:rsidRPr="00FB08AF" w:rsidDel="000A3889" w14:paraId="3DCE6243" w14:textId="77777777" w:rsidTr="00C15B90">
        <w:tc>
          <w:tcPr>
            <w:tcW w:w="1129" w:type="dxa"/>
            <w:vAlign w:val="center"/>
          </w:tcPr>
          <w:p w14:paraId="5A22262F" w14:textId="5C0B7ADC"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0450</w:t>
            </w:r>
          </w:p>
        </w:tc>
        <w:tc>
          <w:tcPr>
            <w:tcW w:w="7620" w:type="dxa"/>
          </w:tcPr>
          <w:p w14:paraId="609E7EEE"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Globālo sistēmiski nozīmīgo iestāžu (G-SNI) vai citu sistēmiski nozīmīgo iestāžu (C-SNI) rezerves</w:t>
            </w:r>
          </w:p>
          <w:p w14:paraId="6B1FCB7D" w14:textId="7282D718" w:rsidR="004B26E4" w:rsidRPr="00FB08AF" w:rsidRDefault="004B26E4" w:rsidP="00E36728">
            <w:pPr>
              <w:pStyle w:val="InstructionsText"/>
              <w:rPr>
                <w:rStyle w:val="InstructionsTabelleberschrift"/>
                <w:b w:val="0"/>
                <w:sz w:val="24"/>
                <w:rFonts w:ascii="Times New Roman" w:hAnsi="Times New Roman"/>
              </w:rPr>
            </w:pPr>
            <w:r>
              <w:t xml:space="preserve">Iestādei specifisko apvienoto rezervju summa (izteikta kā procentuālā daļa no kopējās riska darījumu vērtības), kas attiecas uz G-SNI vai C-SNI rezervju prasību.</w:t>
            </w:r>
          </w:p>
        </w:tc>
      </w:tr>
      <w:tr w:rsidR="00FB08AF" w:rsidRPr="00FB08AF" w:rsidDel="000A3889" w14:paraId="30EDA47C" w14:textId="77777777" w:rsidTr="005F608F">
        <w:tc>
          <w:tcPr>
            <w:tcW w:w="1129" w:type="dxa"/>
            <w:vAlign w:val="center"/>
          </w:tcPr>
          <w:p w14:paraId="7D952F17" w14:textId="19B8B06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0460</w:t>
            </w:r>
          </w:p>
        </w:tc>
        <w:tc>
          <w:tcPr>
            <w:tcW w:w="7620" w:type="dxa"/>
          </w:tcPr>
          <w:p w14:paraId="253143B2"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Ieguldījumi citu iestāžu subordinētajās atbilstīgajās saistībās</w:t>
            </w:r>
          </w:p>
          <w:p w14:paraId="5F3C8CAD" w14:textId="17332BCC" w:rsidR="004B26E4" w:rsidRPr="00FB08AF" w:rsidRDefault="004B26E4" w:rsidP="00E36728">
            <w:pPr>
              <w:pStyle w:val="InstructionsText"/>
            </w:pPr>
            <w:r>
              <w:t xml:space="preserve">Šajā rindā un 0470. līdz 0490. rindā uzrādītās pozīcijas nosaka, ņemot vērā Regulas (ES) Nr. 575/2013 72.h pantā izklāstītos principus (neto garās pozīcijas, caurskatīšanas pieeja).</w:t>
            </w:r>
          </w:p>
        </w:tc>
      </w:tr>
      <w:tr w:rsidR="00FB08AF" w:rsidRPr="00FB08AF" w:rsidDel="000A3889" w14:paraId="429E36A7" w14:textId="77777777" w:rsidTr="005F608F">
        <w:tc>
          <w:tcPr>
            <w:tcW w:w="1129" w:type="dxa"/>
            <w:vAlign w:val="center"/>
          </w:tcPr>
          <w:p w14:paraId="05FC840F" w14:textId="60FA98C2"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0470</w:t>
            </w:r>
          </w:p>
        </w:tc>
        <w:tc>
          <w:tcPr>
            <w:tcW w:w="7620" w:type="dxa"/>
          </w:tcPr>
          <w:p w14:paraId="642E47E4" w14:textId="20D0C8BD"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Ieguldījumi G-SNI subordinētajās atbilstīgajās saistībās</w:t>
            </w:r>
          </w:p>
          <w:p w14:paraId="4362DBFC" w14:textId="36173A4D" w:rsidR="004B26E4" w:rsidRPr="00FB08AF" w:rsidRDefault="004B26E4"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Regulas (ES) Nr. 575/2013 72.b panta 2. punktā minēto atbilstīgo saistību instrumentu līdzdalības summa, izslēdzot instrumentus saskaņā ar minētās regulas 72.bpanta 3.–5. punktu, kurus emitējušas G-SNI.</w:t>
            </w:r>
          </w:p>
        </w:tc>
      </w:tr>
      <w:tr w:rsidR="00FB08AF" w:rsidRPr="00FB08AF" w:rsidDel="000A3889" w14:paraId="7650C255" w14:textId="77777777" w:rsidTr="008E6E73">
        <w:trPr>
          <w:trHeight w:val="996"/>
        </w:trPr>
        <w:tc>
          <w:tcPr>
            <w:tcW w:w="1129" w:type="dxa"/>
            <w:vAlign w:val="center"/>
          </w:tcPr>
          <w:p w14:paraId="6A96DF1D" w14:textId="132F91C1"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0480</w:t>
            </w:r>
          </w:p>
        </w:tc>
        <w:tc>
          <w:tcPr>
            <w:tcW w:w="7620" w:type="dxa"/>
          </w:tcPr>
          <w:p w14:paraId="70DB94C0" w14:textId="33495A29"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Ieguldījumi C-SNI subordinētajās atbilstīgajās saistībās</w:t>
            </w:r>
          </w:p>
          <w:p w14:paraId="7CD464ED" w14:textId="141E401F" w:rsidR="004B26E4" w:rsidRPr="00FB08AF" w:rsidRDefault="004B26E4" w:rsidP="00E36728">
            <w:pPr>
              <w:pStyle w:val="InstructionsText"/>
              <w:rPr>
                <w:rStyle w:val="InstructionsTabelleberschrift"/>
                <w:b w:val="0"/>
                <w:sz w:val="24"/>
                <w:u w:val="none"/>
                <w:rFonts w:ascii="Times New Roman" w:hAnsi="Times New Roman"/>
              </w:rPr>
            </w:pPr>
            <w:r>
              <w:t xml:space="preserve">To Regulas (ES) Nr. 575/2013 72.b panta 2. punktā minēto atbilstīgo saistību instrumentu līdzdalības summa, kurus emitējušas</w:t>
            </w:r>
            <w:r>
              <w:t xml:space="preserve"> C-SNI.</w:t>
            </w:r>
          </w:p>
          <w:p w14:paraId="38FA530C" w14:textId="678EB475" w:rsidR="004B26E4" w:rsidRPr="00FB08AF" w:rsidRDefault="004B26E4"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Ieguldījumus C-SNI subordinētajās atbilstīgajās saistībās, kas vienlaikus ir G-SNI, neuzrāda šajā rindā, bet tikai 0470. rindā.</w:t>
            </w:r>
          </w:p>
        </w:tc>
      </w:tr>
      <w:tr w:rsidR="00FB08AF" w:rsidRPr="00FB08AF" w:rsidDel="000A3889" w14:paraId="4DE21622" w14:textId="77777777" w:rsidTr="005F608F">
        <w:tc>
          <w:tcPr>
            <w:tcW w:w="1129" w:type="dxa"/>
            <w:vAlign w:val="center"/>
          </w:tcPr>
          <w:p w14:paraId="24857184" w14:textId="1A8E3AB8"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0490</w:t>
            </w:r>
          </w:p>
        </w:tc>
        <w:tc>
          <w:tcPr>
            <w:tcW w:w="7620" w:type="dxa"/>
          </w:tcPr>
          <w:p w14:paraId="7A6FD579"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Ieguldījumi citu iestāžu subordinētajās atbilstīgajās saistībās</w:t>
            </w:r>
          </w:p>
          <w:p w14:paraId="2E60AD38" w14:textId="475CCA51" w:rsidR="004B26E4" w:rsidRPr="00FB08AF" w:rsidRDefault="004B26E4" w:rsidP="00E36728">
            <w:pPr>
              <w:pStyle w:val="InstructionsText"/>
              <w:rPr>
                <w:rStyle w:val="InstructionsTabelleberschrift"/>
                <w:b w:val="0"/>
                <w:sz w:val="24"/>
                <w:u w:val="none"/>
                <w:rFonts w:ascii="Times New Roman" w:hAnsi="Times New Roman"/>
              </w:rPr>
            </w:pPr>
            <w:r>
              <w:t xml:space="preserve">Līdzdalības apmērs atbilstīgo saistību instrumentos, kā minēts Regulas (ES) Nr. 575/2013</w:t>
            </w:r>
            <w:r>
              <w:t xml:space="preserve"> 72.b panta 2. punktā, kurus emitējušas iestādes, kas nav ne G-SNI, ne C-SNI.</w:t>
            </w:r>
          </w:p>
        </w:tc>
      </w:tr>
      <w:tr w:rsidR="00FB08AF" w:rsidRPr="00FB08AF" w:rsidDel="000A3889" w14:paraId="64D619AB" w14:textId="77777777" w:rsidTr="005F608F">
        <w:tc>
          <w:tcPr>
            <w:tcW w:w="1129" w:type="dxa"/>
            <w:vAlign w:val="center"/>
          </w:tcPr>
          <w:p w14:paraId="6ACE68D1" w14:textId="6650FAE0" w:rsidR="004B26E4" w:rsidRPr="00FB08AF" w:rsidRDefault="004B26E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tcPr>
          <w:p w14:paraId="63ABFEFC" w14:textId="77777777" w:rsidR="004B26E4" w:rsidRPr="00FB08AF" w:rsidRDefault="004B26E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Izslēgtās saistības</w:t>
            </w:r>
          </w:p>
          <w:p w14:paraId="0B9817CF" w14:textId="78CE829E" w:rsidR="004B26E4" w:rsidRPr="00FB08AF" w:rsidRDefault="004B26E4" w:rsidP="00E36728">
            <w:pPr>
              <w:pStyle w:val="InstructionsText"/>
              <w:rPr>
                <w:rStyle w:val="InstructionsTabelleberschrift"/>
                <w:sz w:val="24"/>
                <w:rFonts w:ascii="Times New Roman" w:hAnsi="Times New Roman"/>
              </w:rPr>
            </w:pPr>
            <w:r>
              <w:t xml:space="preserve">Regulas (ES) Nr. 575/2013 72.a panta 2. punkts.</w:t>
            </w:r>
          </w:p>
        </w:tc>
      </w:tr>
      <w:tr w:rsidR="00FB08AF" w:rsidRPr="00FB08AF" w:rsidDel="000A3889" w14:paraId="4A3BDA43" w14:textId="77777777" w:rsidTr="005F608F">
        <w:tc>
          <w:tcPr>
            <w:tcW w:w="1129" w:type="dxa"/>
            <w:vAlign w:val="center"/>
          </w:tcPr>
          <w:p w14:paraId="04C72904" w14:textId="141E4AA5" w:rsidR="006C3B88" w:rsidRPr="00FB08AF" w:rsidRDefault="006C3B8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0" w:type="dxa"/>
          </w:tcPr>
          <w:p w14:paraId="50A50FDB" w14:textId="14E23443" w:rsidR="006C3B88" w:rsidRPr="00FB08AF" w:rsidRDefault="006C3B88" w:rsidP="00E36728">
            <w:pPr>
              <w:pStyle w:val="InstructionsText"/>
              <w:rPr>
                <w:rStyle w:val="InstructionsTabelleberschrift"/>
                <w:sz w:val="24"/>
                <w:rFonts w:ascii="Times New Roman" w:hAnsi="Times New Roman"/>
              </w:rPr>
            </w:pPr>
            <w:r>
              <w:rPr>
                <w:rStyle w:val="InstructionsTabelleberschrift"/>
                <w:sz w:val="24"/>
                <w:i/>
                <w:iCs/>
                <w:rFonts w:ascii="Times New Roman" w:hAnsi="Times New Roman"/>
              </w:rPr>
              <w:t xml:space="preserve">Ad hoc</w:t>
            </w:r>
            <w:r>
              <w:rPr>
                <w:rStyle w:val="InstructionsTabelleberschrift"/>
                <w:sz w:val="24"/>
                <w:rFonts w:ascii="Times New Roman" w:hAnsi="Times New Roman"/>
              </w:rPr>
              <w:t xml:space="preserve"> atļaujas atbilstīgo saistību posteņiem:</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iepriekš noteikta summa</w:t>
            </w:r>
          </w:p>
          <w:p w14:paraId="677D3A8B" w14:textId="376DEED4" w:rsidR="00D62E86" w:rsidRPr="00FB08AF" w:rsidRDefault="000713BD"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Šajā rindā uzrāda summas, uz kurām attiecas iepriekšēja </w:t>
            </w:r>
            <w:r>
              <w:rPr>
                <w:rStyle w:val="InstructionsTabelleberschrift"/>
                <w:b w:val="0"/>
                <w:sz w:val="24"/>
                <w:u w:val="none"/>
                <w:i/>
                <w:iCs/>
                <w:rFonts w:ascii="Times New Roman" w:hAnsi="Times New Roman"/>
              </w:rPr>
              <w:t xml:space="preserve">ad hoc</w:t>
            </w:r>
            <w:r>
              <w:rPr>
                <w:rStyle w:val="InstructionsTabelleberschrift"/>
                <w:b w:val="0"/>
                <w:sz w:val="24"/>
                <w:u w:val="none"/>
                <w:rFonts w:ascii="Times New Roman" w:hAnsi="Times New Roman"/>
              </w:rPr>
              <w:t xml:space="preserve"> atļauja atsaukt, dzēst, atmaksāt vai atpirkt konkrētus atbilstīgo saistību instrumentus saskaņā ar Regulas (ES) Nr. 575/2013 78.a panta 1. punkta pirmo daļu saistībā ar Deleģētās regulas (ES) Nr. 241/2014 32.b panta 2. punktu.</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Tajā iekļauj gan izlietotās, gan neizmantotās summas.</w:t>
            </w:r>
          </w:p>
        </w:tc>
      </w:tr>
      <w:tr w:rsidR="00FB08AF" w:rsidRPr="00FB08AF" w:rsidDel="000A3889" w14:paraId="20D6D7BB" w14:textId="77777777" w:rsidTr="005F608F">
        <w:tc>
          <w:tcPr>
            <w:tcW w:w="1129" w:type="dxa"/>
            <w:vAlign w:val="center"/>
          </w:tcPr>
          <w:p w14:paraId="31555333" w14:textId="29A04155" w:rsidR="006C3B88" w:rsidRPr="00FB08AF" w:rsidRDefault="000713B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tcPr>
          <w:p w14:paraId="49FD9529" w14:textId="5D38E4B0" w:rsidR="000713BD" w:rsidRPr="00FB08AF" w:rsidRDefault="006C3B88" w:rsidP="00E36728">
            <w:pPr>
              <w:pStyle w:val="InstructionsText"/>
              <w:rPr>
                <w:rStyle w:val="InstructionsTabelleberschrift"/>
                <w:sz w:val="24"/>
                <w:rFonts w:ascii="Times New Roman" w:hAnsi="Times New Roman"/>
              </w:rPr>
            </w:pPr>
            <w:r>
              <w:rPr>
                <w:rStyle w:val="InstructionsTabelleberschrift"/>
                <w:sz w:val="24"/>
                <w:i/>
                <w:iCs/>
                <w:i w:val="false"/>
                <w:iCs w:val="false"/>
                <w:rFonts w:ascii="Times New Roman" w:hAnsi="Times New Roman"/>
              </w:rPr>
              <w:t xml:space="preserve">Vispārīgas iepriekšējas</w:t>
            </w:r>
            <w:r>
              <w:rPr>
                <w:rStyle w:val="InstructionsTabelleberschrift"/>
                <w:sz w:val="24"/>
                <w:rFonts w:ascii="Times New Roman" w:hAnsi="Times New Roman"/>
              </w:rPr>
              <w:t xml:space="preserve"> atļaujas atbilstīgo saistību posteņiem:</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iepriekš noteikta summa</w:t>
            </w:r>
          </w:p>
          <w:p w14:paraId="31659376" w14:textId="0F700AE4" w:rsidR="007371FE" w:rsidRPr="00FB08AF" w:rsidRDefault="000713BD"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Šajā rindā uzrāda summas, uz kurām attiecas vispārēja iepriekšēja atļauja atsaukt, dzēst, atmaksāt vai atpirkt atbilstīgo saistību instrumentus saskaņā ar Regulas (ES) Nr. 575/2013 78.a panta 1. punkta otro daļu saistībā ar Deleģētās regulas (ES) Nr. 241/2014 32.b panta 3. un 5. punktu.</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Tajā iekļauj gan izlietotās, gan neizmantotās summas.</w:t>
            </w:r>
          </w:p>
        </w:tc>
      </w:tr>
    </w:tbl>
    <w:p w14:paraId="56EB0CAA" w14:textId="633BECAD" w:rsidR="00A63011" w:rsidRPr="00FB08AF" w:rsidRDefault="00A63011"/>
    <w:p w14:paraId="155D68FA" w14:textId="13C73186" w:rsidR="00482729" w:rsidRPr="00FB08AF" w:rsidRDefault="00482729" w:rsidP="00873459">
      <w:pPr>
        <w:pStyle w:val="Numberedtilelevel1"/>
        <w:numPr>
          <w:ilvl w:val="1"/>
          <w:numId w:val="30"/>
        </w:numPr>
      </w:pPr>
      <w:bookmarkStart w:id="45" w:name="_Toc45558486"/>
      <w:r>
        <w:t xml:space="preserve">M 03.00 – Iekšējā </w:t>
      </w:r>
      <w:r>
        <w:rPr>
          <w:i/>
          <w:iCs/>
        </w:rPr>
        <w:t xml:space="preserve">MREL</w:t>
      </w:r>
      <w:r>
        <w:t xml:space="preserve"> un iekšējā </w:t>
      </w:r>
      <w:r>
        <w:rPr>
          <w:i/>
          <w:iCs/>
        </w:rPr>
        <w:t xml:space="preserve">TLAC</w:t>
      </w:r>
      <w:r>
        <w:t xml:space="preserve"> (ILAC)</w:t>
      </w:r>
      <w:bookmarkEnd w:id="45"/>
    </w:p>
    <w:p w14:paraId="3B90FFA9" w14:textId="51811D4F" w:rsidR="00482729" w:rsidRPr="00FB08AF" w:rsidRDefault="00482729" w:rsidP="00873459">
      <w:pPr>
        <w:pStyle w:val="Numberedtilelevel1"/>
        <w:numPr>
          <w:ilvl w:val="2"/>
          <w:numId w:val="30"/>
        </w:numPr>
      </w:pPr>
      <w:bookmarkStart w:id="46" w:name="_Toc16868638"/>
      <w:bookmarkStart w:id="47" w:name="_Toc20316751"/>
      <w:bookmarkStart w:id="48" w:name="_Toc45558487"/>
      <w:r>
        <w:t xml:space="preserve">Vispārīgas piezīmes</w:t>
      </w:r>
      <w:bookmarkEnd w:id="46"/>
      <w:bookmarkEnd w:id="47"/>
      <w:bookmarkEnd w:id="48"/>
    </w:p>
    <w:p w14:paraId="1C147C02" w14:textId="6DCE8FA1" w:rsidR="00B94302" w:rsidRPr="00FB08AF" w:rsidRDefault="000466F4" w:rsidP="00E36728">
      <w:pPr>
        <w:pStyle w:val="InstructionsText2"/>
      </w:pPr>
      <w:r>
        <w:t xml:space="preserve">Veidnē M 03.00 ir uzrādīts pašu kapitāls un atbilstīgās saistības, lai izpildītu:</w:t>
      </w:r>
      <w:r>
        <w:t xml:space="preserve"> </w:t>
      </w:r>
    </w:p>
    <w:p w14:paraId="12678ACA" w14:textId="5474E36B" w:rsidR="00B94302" w:rsidRPr="00FB08AF" w:rsidRDefault="00B94302" w:rsidP="00E36728">
      <w:pPr>
        <w:pStyle w:val="InstructionsText2"/>
        <w:numPr>
          <w:ilvl w:val="1"/>
          <w:numId w:val="15"/>
        </w:numPr>
      </w:pPr>
      <w:r>
        <w:t xml:space="preserve">vienību, kas pašas nav noregulējuma vienības, prasību pašu kapitālam un atbilstīgajām saistībām saskaņā ar Direktīvas 2014/59/ES 45.f pantu (iekšējā </w:t>
      </w:r>
      <w:r>
        <w:rPr>
          <w:i/>
          <w:iCs/>
        </w:rPr>
        <w:t xml:space="preserve">MREL</w:t>
      </w:r>
      <w:r>
        <w:t xml:space="preserve">);</w:t>
      </w:r>
      <w:r>
        <w:t xml:space="preserve"> </w:t>
      </w:r>
      <w:r>
        <w:t xml:space="preserve">kā arī</w:t>
      </w:r>
      <w:r>
        <w:t xml:space="preserve"> </w:t>
      </w:r>
    </w:p>
    <w:p w14:paraId="39FE2B42" w14:textId="23457429" w:rsidR="000466F4" w:rsidRPr="00FB08AF" w:rsidRDefault="00B94302" w:rsidP="00E36728">
      <w:pPr>
        <w:pStyle w:val="InstructionsText2"/>
        <w:numPr>
          <w:ilvl w:val="1"/>
          <w:numId w:val="15"/>
        </w:numPr>
      </w:pPr>
      <w:r>
        <w:t xml:space="preserve">prasību pašu kapitālam un atbilstīgajām saistībām attiecībā uz ārpussavienības G-SNI, ko piemēro trešo valstu G-SNI būtiskiem meitasuzņēmumiem saskaņā ar Regulas (ES) Nr. 575/2013 92.b pantu (iekšējā </w:t>
      </w:r>
      <w:r>
        <w:rPr>
          <w:i/>
          <w:iCs/>
        </w:rPr>
        <w:t xml:space="preserve">TLAC</w:t>
      </w:r>
      <w:r>
        <w:t xml:space="preserve">).</w:t>
      </w:r>
    </w:p>
    <w:p w14:paraId="30A80998" w14:textId="585E986E" w:rsidR="00095D0D" w:rsidRPr="00FB08AF" w:rsidRDefault="00095D0D" w:rsidP="00E36728">
      <w:pPr>
        <w:pStyle w:val="InstructionsText2"/>
      </w:pPr>
      <w:r>
        <w:t xml:space="preserve">Sleju, kas attiecas uz iekšējo </w:t>
      </w:r>
      <w:r>
        <w:rPr>
          <w:i/>
          <w:iCs/>
        </w:rPr>
        <w:t xml:space="preserve">MREL</w:t>
      </w:r>
      <w:r>
        <w:t xml:space="preserve">, aizpilda vienības, kurām piemēro minimuma prasību pašu kapitālam un atbilstīgajām saistībām saskaņā ar Direktīvas 2014/59/ES 45. un 45.f pantu.</w:t>
      </w:r>
      <w:r>
        <w:t xml:space="preserve"> </w:t>
      </w:r>
      <w:r>
        <w:t xml:space="preserve">Tikai tās vienības, kurām ir pienākums izpildīt Regulas (ES) Nr. 575/2013 92.a pantā noteikto prasību, uzrāda posteņus, kas attiecas uz G-SNI prasību pašu kapitālam un atbilstīgajām saistībām (</w:t>
      </w:r>
      <w:r>
        <w:rPr>
          <w:i/>
          <w:iCs/>
        </w:rPr>
        <w:t xml:space="preserve">TLAC</w:t>
      </w:r>
      <w:r>
        <w:t xml:space="preserve">).</w:t>
      </w:r>
    </w:p>
    <w:p w14:paraId="36894AC7" w14:textId="0E1DF87A" w:rsidR="00482729" w:rsidRPr="00FB08AF" w:rsidRDefault="00482729" w:rsidP="00873459">
      <w:pPr>
        <w:pStyle w:val="Numberedtilelevel1"/>
        <w:numPr>
          <w:ilvl w:val="2"/>
          <w:numId w:val="30"/>
        </w:numPr>
      </w:pPr>
      <w:bookmarkStart w:id="49" w:name="_Toc45558488"/>
      <w:bookmarkStart w:id="50" w:name="_Toc18593305"/>
      <w:bookmarkStart w:id="51" w:name="_Toc16868639"/>
      <w:bookmarkStart w:id="52" w:name="_Toc20316752"/>
      <w:bookmarkStart w:id="53" w:name="_Toc45558489"/>
      <w:bookmarkEnd w:id="49"/>
      <w:bookmarkEnd w:id="50"/>
      <w:r>
        <w:t xml:space="preserve">Norādījumi par konkrētām pozīcijām</w:t>
      </w:r>
      <w:bookmarkEnd w:id="51"/>
      <w:bookmarkEnd w:id="52"/>
      <w:bookmarkEnd w:id="53"/>
    </w:p>
    <w:tbl>
      <w:tblPr>
        <w:tblW w:w="8749" w:type="dxa"/>
        <w:tblInd w:w="539" w:type="dxa"/>
        <w:tblLayout w:type="fixed"/>
        <w:tblLook w:val="00A0" w:firstRow="1" w:lastRow="0" w:firstColumn="1" w:lastColumn="0" w:noHBand="0" w:noVBand="0"/>
      </w:tblPr>
      <w:tblGrid>
        <w:gridCol w:w="1129"/>
        <w:gridCol w:w="7620"/>
      </w:tblGrid>
      <w:tr w:rsidR="00FB08AF" w:rsidRPr="00FB08AF" w14:paraId="62525A48"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D9D9D9"/>
          </w:tcPr>
          <w:p w14:paraId="36A80631" w14:textId="77777777" w:rsidR="00D94B63" w:rsidRPr="00FB08AF" w:rsidRDefault="00D94B63" w:rsidP="00E36728">
            <w:pPr>
              <w:pStyle w:val="InstructionsText"/>
            </w:pPr>
            <w:r>
              <w:rPr>
                <w:rStyle w:val="FormatvorlageInstructionsTabelleText"/>
                <w:sz w:val="24"/>
                <w:rFonts w:ascii="Times New Roman" w:hAnsi="Times New Roman"/>
              </w:rPr>
              <w:t xml:space="preserve">Slejas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670267BB" w14:textId="77777777" w:rsidR="00D94B63" w:rsidRPr="00FB08AF" w:rsidRDefault="00D94B63" w:rsidP="00E36728">
            <w:pPr>
              <w:pStyle w:val="InstructionsText"/>
            </w:pPr>
            <w:r>
              <w:t xml:space="preserve">Atsauces uz tiesību aktu noteikumiem un norādījumi</w:t>
            </w:r>
          </w:p>
        </w:tc>
      </w:tr>
      <w:tr w:rsidR="00FB08AF" w:rsidRPr="00FB08AF" w14:paraId="296729BB"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0C5E64D6" w14:textId="07D5BA6C" w:rsidR="001B51A1" w:rsidRPr="00FB08AF" w:rsidRDefault="001B51A1"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2A526B3" w14:textId="49E67982" w:rsidR="001B51A1" w:rsidRPr="00FB08AF" w:rsidRDefault="001B51A1"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Iekšējā </w:t>
            </w:r>
            <w:r>
              <w:rPr>
                <w:rStyle w:val="InstructionsTabelleberschrift"/>
                <w:sz w:val="24"/>
                <w:i/>
                <w:iCs/>
                <w:rFonts w:ascii="Times New Roman" w:hAnsi="Times New Roman"/>
              </w:rPr>
              <w:t xml:space="preserve">MREL</w:t>
            </w:r>
          </w:p>
          <w:p w14:paraId="201A3B71" w14:textId="00D90FED" w:rsidR="001B51A1" w:rsidRPr="00FB08AF" w:rsidRDefault="001B51A1" w:rsidP="00E36728">
            <w:pPr>
              <w:pStyle w:val="InstructionsText"/>
            </w:pPr>
            <w:r>
              <w:t xml:space="preserve">Direktīvas 2014/59/ES 45. un 45.f pants</w:t>
            </w:r>
            <w:r>
              <w:rPr>
                <w:rStyle w:val="InstructionsTabelleberschrift"/>
                <w:b w:val="0"/>
                <w:sz w:val="24"/>
                <w:u w:val="none"/>
                <w:rFonts w:ascii="Times New Roman" w:hAnsi="Times New Roman"/>
              </w:rPr>
              <w:t xml:space="preserve">.</w:t>
            </w:r>
          </w:p>
        </w:tc>
      </w:tr>
      <w:tr w:rsidR="001B51A1" w:rsidRPr="00FB08AF" w14:paraId="45E2D445" w14:textId="77777777" w:rsidTr="00975018">
        <w:tc>
          <w:tcPr>
            <w:tcW w:w="1129" w:type="dxa"/>
            <w:tcBorders>
              <w:top w:val="single" w:sz="4" w:space="0" w:color="auto"/>
              <w:left w:val="single" w:sz="4" w:space="0" w:color="auto"/>
              <w:bottom w:val="single" w:sz="4" w:space="0" w:color="auto"/>
              <w:right w:val="single" w:sz="4" w:space="0" w:color="auto"/>
            </w:tcBorders>
            <w:shd w:val="clear" w:color="auto" w:fill="auto"/>
          </w:tcPr>
          <w:p w14:paraId="7D3748B5" w14:textId="706D15B3" w:rsidR="001B51A1" w:rsidRPr="00FB08AF" w:rsidRDefault="001B51A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F52706" w14:textId="75D40260" w:rsidR="001B51A1" w:rsidRPr="00FB08AF" w:rsidRDefault="005B3F5D"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Iekšējā </w:t>
            </w:r>
            <w:r>
              <w:rPr>
                <w:rStyle w:val="InstructionsTabelleberschrift"/>
                <w:sz w:val="24"/>
                <w:i/>
                <w:iCs/>
                <w:rFonts w:ascii="Times New Roman" w:hAnsi="Times New Roman"/>
              </w:rPr>
              <w:t xml:space="preserve">TLAC</w:t>
            </w:r>
          </w:p>
          <w:p w14:paraId="4CED47A8" w14:textId="3FFFF330" w:rsidR="001B51A1" w:rsidRPr="00FB08AF" w:rsidRDefault="001B51A1"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Regulas (ES) Nr. 575/2013 92.b pants.</w:t>
            </w:r>
          </w:p>
        </w:tc>
      </w:tr>
    </w:tbl>
    <w:p w14:paraId="6B5C3257" w14:textId="77777777" w:rsidR="00D94B63" w:rsidRPr="00FB08AF" w:rsidRDefault="00D94B63" w:rsidP="00C814BF"/>
    <w:tbl>
      <w:tblPr>
        <w:tblW w:w="8754"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0"/>
        <w:gridCol w:w="7624"/>
      </w:tblGrid>
      <w:tr w:rsidR="00FB08AF" w:rsidRPr="00FB08AF" w14:paraId="4C57F7FD" w14:textId="77777777" w:rsidTr="003D419A">
        <w:tc>
          <w:tcPr>
            <w:tcW w:w="1130" w:type="dxa"/>
            <w:shd w:val="clear" w:color="auto" w:fill="D9D9D9"/>
          </w:tcPr>
          <w:p w14:paraId="04790BF0" w14:textId="77777777" w:rsidR="00482729" w:rsidRPr="00FB08AF" w:rsidRDefault="00482729"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Rinda</w:t>
            </w:r>
          </w:p>
        </w:tc>
        <w:tc>
          <w:tcPr>
            <w:tcW w:w="7624" w:type="dxa"/>
            <w:shd w:val="clear" w:color="auto" w:fill="D9D9D9"/>
          </w:tcPr>
          <w:p w14:paraId="32CBB7D3" w14:textId="77777777" w:rsidR="00482729" w:rsidRPr="00FB08AF" w:rsidRDefault="00482729"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Atsauces uz tiesību aktu noteikumiem un norādījumi</w:t>
            </w:r>
          </w:p>
        </w:tc>
      </w:tr>
      <w:tr w:rsidR="00FB08AF" w:rsidRPr="00FB08AF" w14:paraId="41AF0D4A" w14:textId="77777777" w:rsidTr="003D419A">
        <w:tc>
          <w:tcPr>
            <w:tcW w:w="1130" w:type="dxa"/>
          </w:tcPr>
          <w:p w14:paraId="1DB3C03E" w14:textId="7AE25700"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4" w:type="dxa"/>
          </w:tcPr>
          <w:p w14:paraId="13E2D408" w14:textId="6AAA9F68" w:rsidR="00482729" w:rsidRPr="00FB08AF" w:rsidRDefault="00B827D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Piemērošanas līmenis</w:t>
            </w:r>
          </w:p>
          <w:p w14:paraId="7FECF1A5" w14:textId="60A40903" w:rsidR="00482729" w:rsidRPr="00FB08AF" w:rsidRDefault="00482729" w:rsidP="00482729">
            <w:pPr>
              <w:rPr>
                <w:rStyle w:val="FormatvorlageInstructionsTabelleText"/>
                <w:sz w:val="24"/>
                <w:rFonts w:ascii="Times New Roman" w:hAnsi="Times New Roman"/>
              </w:rPr>
            </w:pPr>
            <w:r>
              <w:rPr>
                <w:rStyle w:val="FormatvorlageInstructionsTabelleText"/>
                <w:sz w:val="24"/>
                <w:rFonts w:ascii="Times New Roman" w:hAnsi="Times New Roman"/>
              </w:rPr>
              <w:t xml:space="preserve">Ja vienībai individuāli piemēro iekšējo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un attiecīgā gadījumā iekšējo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tā norāda “individuāli”.</w:t>
            </w:r>
          </w:p>
          <w:p w14:paraId="3FFF56BB" w14:textId="1F40B525"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Ja vienībai piemēro iekšējo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un attiecīgā gadījumā iekšējo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konsolidēti, tā norāda “konsolidēti”.</w:t>
            </w:r>
          </w:p>
        </w:tc>
      </w:tr>
      <w:tr w:rsidR="00FB08AF" w:rsidRPr="00FB08AF" w14:paraId="6A7893EE" w14:textId="77777777" w:rsidTr="003D419A">
        <w:tc>
          <w:tcPr>
            <w:tcW w:w="1130" w:type="dxa"/>
          </w:tcPr>
          <w:p w14:paraId="739DA30D"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0100 - 0110</w:t>
            </w:r>
          </w:p>
        </w:tc>
        <w:tc>
          <w:tcPr>
            <w:tcW w:w="7624" w:type="dxa"/>
          </w:tcPr>
          <w:p w14:paraId="01851B65" w14:textId="77777777" w:rsidR="00482729" w:rsidRPr="00FB08AF" w:rsidRDefault="00482729"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Kopējā riska darījumu vērtība un kopējās riska darījumu vērtības mērs</w:t>
            </w:r>
          </w:p>
        </w:tc>
      </w:tr>
      <w:tr w:rsidR="00FB08AF" w:rsidRPr="00FB08AF" w14:paraId="4DBB3E48" w14:textId="77777777" w:rsidTr="003D419A">
        <w:tc>
          <w:tcPr>
            <w:tcW w:w="1130" w:type="dxa"/>
          </w:tcPr>
          <w:p w14:paraId="2ED0120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4" w:type="dxa"/>
          </w:tcPr>
          <w:p w14:paraId="7F50E33E" w14:textId="141734F5"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Kopējā riska darījumu vērtība (</w:t>
            </w:r>
            <w:r>
              <w:rPr>
                <w:rStyle w:val="InstructionsTabelleberschrift"/>
                <w:sz w:val="24"/>
                <w:i/>
                <w:iCs/>
                <w:rFonts w:ascii="Times New Roman" w:hAnsi="Times New Roman"/>
              </w:rPr>
              <w:t xml:space="preserve">TREA</w:t>
            </w:r>
            <w:r>
              <w:rPr>
                <w:rStyle w:val="InstructionsTabelleberschrift"/>
                <w:sz w:val="24"/>
                <w:rFonts w:ascii="Times New Roman" w:hAnsi="Times New Roman"/>
              </w:rPr>
              <w:t xml:space="preserve">)</w:t>
            </w:r>
          </w:p>
          <w:p w14:paraId="4199D149" w14:textId="400A985D" w:rsidR="00482729" w:rsidRPr="00FB08AF" w:rsidRDefault="00EB663A" w:rsidP="00E36728">
            <w:pPr>
              <w:pStyle w:val="InstructionsText"/>
              <w:rPr>
                <w:rStyle w:val="FormatvorlageInstructionsTabelleText"/>
                <w:sz w:val="24"/>
                <w:rFonts w:ascii="Times New Roman" w:hAnsi="Times New Roman"/>
              </w:rPr>
            </w:pPr>
            <w:r>
              <w:t xml:space="preserve">Direktīvas 2014/59/ES 45. panta 2. punkta a) apakšpunkts</w:t>
            </w:r>
            <w:r>
              <w:t xml:space="preserve"> un Regulas (ES) Nr. 575/2013 92. panta 3. punkts.</w:t>
            </w:r>
          </w:p>
          <w:p w14:paraId="5D2ACB04" w14:textId="718410E8" w:rsidR="00EB663A" w:rsidRPr="00FB08AF" w:rsidRDefault="00EB663A" w:rsidP="00E36728">
            <w:pPr>
              <w:pStyle w:val="InstructionsText"/>
              <w:rPr>
                <w:rStyle w:val="FormatvorlageInstructionsTabelleText"/>
                <w:sz w:val="24"/>
                <w:rFonts w:ascii="Times New Roman" w:hAnsi="Times New Roman"/>
              </w:rPr>
            </w:pPr>
            <w:r>
              <w:t xml:space="preserve">Šajā rindā uzrādītā kopējā riska darījumu vērtība ir kopējā riska darījumu vērtība, kas ir pamatā, lai nodrošinātu atbilstību attiecīgi Direktīvas 2014/59/ES</w:t>
            </w:r>
            <w:r>
              <w:t xml:space="preserve"> 45. pantā vai Regulas (ES) Nr. 575/2013 92.b pantā noteiktajām prasībām.</w:t>
            </w:r>
          </w:p>
        </w:tc>
      </w:tr>
      <w:tr w:rsidR="00FB08AF" w:rsidRPr="00FB08AF" w14:paraId="02CB25F9" w14:textId="77777777" w:rsidTr="003D419A">
        <w:tc>
          <w:tcPr>
            <w:tcW w:w="1130" w:type="dxa"/>
          </w:tcPr>
          <w:p w14:paraId="2351243A" w14:textId="77777777" w:rsidR="00482729" w:rsidRPr="00FB08AF" w:rsidRDefault="00482729"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4" w:type="dxa"/>
          </w:tcPr>
          <w:p w14:paraId="7AE79743" w14:textId="7017BA08" w:rsidR="00482729" w:rsidRPr="00FB08AF" w:rsidRDefault="0048272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Kopējās riska darījumu vērtības mērs (</w:t>
            </w:r>
            <w:r>
              <w:rPr>
                <w:rStyle w:val="InstructionsTabelleberschrift"/>
                <w:sz w:val="24"/>
                <w:i/>
                <w:iCs/>
                <w:rFonts w:ascii="Times New Roman" w:hAnsi="Times New Roman"/>
              </w:rPr>
              <w:t xml:space="preserve">TEM</w:t>
            </w:r>
            <w:r>
              <w:rPr>
                <w:rStyle w:val="InstructionsTabelleberschrift"/>
                <w:sz w:val="24"/>
                <w:rFonts w:ascii="Times New Roman" w:hAnsi="Times New Roman"/>
              </w:rPr>
              <w:t xml:space="preserve">)</w:t>
            </w:r>
          </w:p>
          <w:p w14:paraId="2E2DFC02" w14:textId="22295559" w:rsidR="00482729" w:rsidRPr="00FB08AF" w:rsidRDefault="00EB663A" w:rsidP="00E36728">
            <w:pPr>
              <w:pStyle w:val="InstructionsText"/>
              <w:rPr>
                <w:rStyle w:val="FormatvorlageInstructionsTabelleText"/>
                <w:sz w:val="24"/>
                <w:rFonts w:ascii="Times New Roman" w:hAnsi="Times New Roman"/>
              </w:rPr>
            </w:pPr>
            <w:r>
              <w:t xml:space="preserve">Direktīvas 2014/59/ES 45. panta 2. punkta b) apakšpunkts</w:t>
            </w:r>
            <w:r>
              <w:t xml:space="preserve"> un Regulas (ES) Nr. 575/2013 429. panta 4. punkts un 429.a pants.</w:t>
            </w:r>
          </w:p>
          <w:p w14:paraId="21A2EF83" w14:textId="26BBECE8" w:rsidR="00EB663A" w:rsidRPr="00FB08AF" w:rsidRDefault="00EB663A" w:rsidP="00E36728">
            <w:pPr>
              <w:pStyle w:val="InstructionsText"/>
              <w:rPr>
                <w:rStyle w:val="FormatvorlageInstructionsTabelleText"/>
                <w:sz w:val="24"/>
                <w:rFonts w:ascii="Times New Roman" w:hAnsi="Times New Roman"/>
              </w:rPr>
            </w:pPr>
            <w:r>
              <w:t xml:space="preserve">Šajā rindā uzrādītais kopējās riska darījumu vērtības mērs ir kopējās riska darījumu vērtības mērs, kas ir pamats, lai nodrošinātu atbilstību attiecīgi</w:t>
            </w:r>
            <w:r>
              <w:t xml:space="preserve"> Direktīvas 2014/59/ES 45. pantā vai Regulas (ES) Nr. 575/2013 92.b pantā noteiktajām prasībām.</w:t>
            </w:r>
          </w:p>
        </w:tc>
      </w:tr>
      <w:tr w:rsidR="00FB08AF" w:rsidRPr="00FB08AF" w14:paraId="4F1A3591" w14:textId="77777777" w:rsidTr="003D419A">
        <w:tc>
          <w:tcPr>
            <w:tcW w:w="1130" w:type="dxa"/>
          </w:tcPr>
          <w:p w14:paraId="785AFE92" w14:textId="127C5541"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0200 - 0295</w:t>
            </w:r>
          </w:p>
        </w:tc>
        <w:tc>
          <w:tcPr>
            <w:tcW w:w="7624" w:type="dxa"/>
          </w:tcPr>
          <w:p w14:paraId="55E50C6B" w14:textId="10895EF1"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pašu kapitāls un atbilstīgās saistības</w:t>
            </w:r>
          </w:p>
        </w:tc>
      </w:tr>
      <w:tr w:rsidR="00FB08AF" w:rsidRPr="00FB08AF" w14:paraId="34A1EF6D" w14:textId="77777777" w:rsidTr="003D419A">
        <w:tc>
          <w:tcPr>
            <w:tcW w:w="1130" w:type="dxa"/>
          </w:tcPr>
          <w:p w14:paraId="5ACE189C" w14:textId="3066F1E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4" w:type="dxa"/>
          </w:tcPr>
          <w:p w14:paraId="5C1CA237" w14:textId="3B324586"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pašu kapitāls un atbilstīgās saistības</w:t>
            </w:r>
          </w:p>
          <w:p w14:paraId="534DA971" w14:textId="4929E71C"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Iekšējā </w:t>
            </w:r>
            <w:r>
              <w:rPr>
                <w:rStyle w:val="FormatvorlageInstructionsTabelleText"/>
                <w:i/>
                <w:sz w:val="24"/>
                <w:i/>
                <w:iCs/>
                <w:rFonts w:ascii="Times New Roman" w:hAnsi="Times New Roman"/>
              </w:rPr>
              <w:t xml:space="preserve">MREL</w:t>
            </w:r>
          </w:p>
          <w:p w14:paraId="3311F538" w14:textId="46DF5157" w:rsidR="003E7AB6" w:rsidRPr="00FB08AF" w:rsidRDefault="005F18D0" w:rsidP="00E36728">
            <w:pPr>
              <w:pStyle w:val="InstructionsText"/>
              <w:rPr>
                <w:rStyle w:val="InstructionsTabelleberschrift"/>
                <w:b w:val="0"/>
                <w:sz w:val="24"/>
                <w:u w:val="none"/>
                <w:rFonts w:ascii="Times New Roman" w:hAnsi="Times New Roman"/>
              </w:rPr>
            </w:pPr>
            <w:r>
              <w:t xml:space="preserve">Atbilstīgā pašu kapitāla, atbilstīgo saistību un garantiju summa, ko atļauts ieskaitīt iekšējā</w:t>
            </w:r>
            <w:r>
              <w:t xml:space="preserve"> </w:t>
            </w:r>
            <w:r>
              <w:rPr>
                <w:i/>
                <w:iCs/>
              </w:rPr>
              <w:t xml:space="preserve">MREL</w:t>
            </w:r>
            <w:r>
              <w:t xml:space="preserve"> saskaņā ar Direktīvas 2014/59/ES 45.f panta 2. punktu, attiecīgā gadījumā ņemot vērā arī minētās direktīvas</w:t>
            </w:r>
            <w:r>
              <w:t xml:space="preserve"> 89. panta 2. punkta ceturto daļu.</w:t>
            </w:r>
          </w:p>
          <w:p w14:paraId="1E457A5C" w14:textId="00404F53" w:rsidR="00184B3F" w:rsidRPr="00FB08AF" w:rsidRDefault="00184B3F" w:rsidP="00E36728">
            <w:pPr>
              <w:pStyle w:val="InstructionsText"/>
              <w:rPr>
                <w:rStyle w:val="InstructionsTabelleberschrift"/>
                <w:b w:val="0"/>
                <w:sz w:val="24"/>
                <w:u w:val="none"/>
                <w:rFonts w:ascii="Times New Roman" w:hAnsi="Times New Roman"/>
              </w:rPr>
            </w:pPr>
            <w:r>
              <w:t xml:space="preserve">Attiecībā uz instrumentiem, ko reglamentē trešās valsts tiesību akti, instrumentu šajā rindā iekļauj tikai tad, ja tas atbilst Direktīvas 2014/59/ES 55. pantā noteiktajām prasībām</w:t>
            </w:r>
            <w:r>
              <w:rPr>
                <w:rStyle w:val="InstructionsTabelleberschrift"/>
                <w:b w:val="0"/>
                <w:sz w:val="24"/>
                <w:u w:val="none"/>
                <w:rFonts w:ascii="Times New Roman" w:hAnsi="Times New Roman"/>
              </w:rPr>
              <w:t xml:space="preserve">.</w:t>
            </w:r>
          </w:p>
          <w:p w14:paraId="186388A3" w14:textId="45C059C2" w:rsidR="009237BC" w:rsidRPr="00FB08AF" w:rsidRDefault="009237BC" w:rsidP="00E36728">
            <w:pPr>
              <w:pStyle w:val="InstructionsText"/>
              <w:rPr>
                <w:rStyle w:val="InstructionsTabelleberschrift"/>
                <w:b w:val="0"/>
                <w:sz w:val="24"/>
                <w:u w:val="none"/>
                <w:rFonts w:ascii="Times New Roman" w:hAnsi="Times New Roman"/>
              </w:rPr>
            </w:pPr>
            <w:r>
              <w:t xml:space="preserve">Šajā rindā uzrādītā summa ir summa pēc atskaitījumu veikšanas saskaņā</w:t>
            </w:r>
            <w:r>
              <w:t xml:space="preserve"> ar Regulas (ES) Nr. 575/2013 72.e panta 5. punktu.</w:t>
            </w:r>
          </w:p>
          <w:p w14:paraId="6BB8F2AA" w14:textId="196F3E1F" w:rsidR="003E7AB6" w:rsidRPr="00FB08AF" w:rsidRDefault="003E7AB6" w:rsidP="00E36728">
            <w:pPr>
              <w:pStyle w:val="InstructionsText"/>
              <w:rPr>
                <w:rStyle w:val="InstructionsTabelleberschrift"/>
                <w:b w:val="0"/>
                <w:i/>
                <w:sz w:val="24"/>
                <w:u w:val="none"/>
                <w:rFonts w:ascii="Times New Roman" w:hAnsi="Times New Roman"/>
              </w:rPr>
            </w:pPr>
            <w:r>
              <w:rPr>
                <w:rStyle w:val="InstructionsTabelleberschrift"/>
                <w:b w:val="0"/>
                <w:i/>
                <w:sz w:val="24"/>
                <w:u w:val="none"/>
                <w:rFonts w:ascii="Times New Roman" w:hAnsi="Times New Roman"/>
              </w:rPr>
              <w:t xml:space="preserve">Iekšējā </w:t>
            </w:r>
            <w:r>
              <w:rPr>
                <w:rStyle w:val="InstructionsTabelleberschrift"/>
                <w:b w:val="0"/>
                <w:i/>
                <w:sz w:val="24"/>
                <w:u w:val="none"/>
                <w:i/>
                <w:iCs/>
                <w:rFonts w:ascii="Times New Roman" w:hAnsi="Times New Roman"/>
              </w:rPr>
              <w:t xml:space="preserve">TLAC</w:t>
            </w:r>
          </w:p>
          <w:p w14:paraId="2F92FA88" w14:textId="7F40432F" w:rsidR="007056F7" w:rsidRPr="00FB08AF" w:rsidRDefault="003E7AB6" w:rsidP="00E36728">
            <w:pPr>
              <w:pStyle w:val="InstructionsText"/>
              <w:rPr>
                <w:rStyle w:val="InstructionsTabelleberschrift"/>
                <w:b w:val="0"/>
                <w:sz w:val="24"/>
                <w:rFonts w:ascii="Times New Roman" w:hAnsi="Times New Roman"/>
              </w:rPr>
            </w:pPr>
            <w:r>
              <w:rPr>
                <w:sz w:val="24"/>
                <w:rFonts w:ascii="Times New Roman" w:hAnsi="Times New Roman"/>
              </w:rPr>
              <w:t xml:space="preserve">Atbilstīgais pašu kapitāls un atbilstīgās saistības, ko</w:t>
            </w:r>
            <w:r>
              <w:rPr>
                <w:sz w:val="24"/>
                <w:rFonts w:ascii="Times New Roman" w:hAnsi="Times New Roman"/>
              </w:rPr>
              <w:t xml:space="preserve"> atļauts ieskaitīt iekšējā </w:t>
            </w:r>
            <w:r>
              <w:rPr>
                <w:sz w:val="24"/>
                <w:i/>
                <w:iCs/>
                <w:rFonts w:ascii="Times New Roman" w:hAnsi="Times New Roman"/>
              </w:rPr>
              <w:t xml:space="preserve">TLAC</w:t>
            </w:r>
            <w:r>
              <w:rPr>
                <w:sz w:val="24"/>
                <w:rFonts w:ascii="Times New Roman" w:hAnsi="Times New Roman"/>
              </w:rPr>
              <w:t xml:space="preserve"> saskaņā ar Regulas (ES) Nr. 575/2013 92.b panta 2. un 3. punktu.</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Šajā rindā uzrādītā summa ir summa pēc atskaitījumu veikšanas saskaņā ar Regulas (ES) Nr. 575/2013 72.e panta 5. punktu.</w:t>
            </w:r>
          </w:p>
        </w:tc>
      </w:tr>
      <w:tr w:rsidR="00FB08AF" w:rsidRPr="00FB08AF" w14:paraId="52695ECE" w14:textId="77777777" w:rsidTr="003D419A">
        <w:tc>
          <w:tcPr>
            <w:tcW w:w="1130" w:type="dxa"/>
          </w:tcPr>
          <w:p w14:paraId="00EDFF0E" w14:textId="0467C223"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4" w:type="dxa"/>
          </w:tcPr>
          <w:p w14:paraId="64674845"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Atbilstīgais pašu kapitāls</w:t>
            </w:r>
          </w:p>
          <w:p w14:paraId="5A61F12E" w14:textId="3EC25C34"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Pirmā līmeņa pamata kapitāla, atbilstošā pirmā līmeņa papildu kapitāla un atbilstošā otrā līmeņa kapitāla summa</w:t>
            </w:r>
          </w:p>
          <w:p w14:paraId="367CC087" w14:textId="44CFF9D0" w:rsidR="00E661B2" w:rsidRPr="00FB08AF" w:rsidRDefault="00DD50DC" w:rsidP="00E36728">
            <w:pPr>
              <w:pStyle w:val="InstructionsText"/>
              <w:rPr>
                <w:rStyle w:val="FormatvorlageInstructionsTabelleText"/>
                <w:sz w:val="24"/>
                <w:rFonts w:ascii="Times New Roman" w:hAnsi="Times New Roman"/>
              </w:rPr>
            </w:pPr>
            <w:r>
              <w:t xml:space="preserve">Iekšējās </w:t>
            </w:r>
            <w:r>
              <w:rPr>
                <w:i/>
                <w:iCs/>
              </w:rPr>
              <w:t xml:space="preserve">MREL </w:t>
            </w:r>
            <w:r>
              <w:t xml:space="preserve">gadījumā instrumentus, kas minēti Direktīvas 2014/59/ES</w:t>
            </w:r>
            <w:r>
              <w:t xml:space="preserve"> 89. panta 2. punkta ceturtajā daļā, iekļauj šajā rindā un 0230. un 0240. rindā, ja piemērojams.</w:t>
            </w:r>
            <w:r>
              <w:rPr>
                <w:rStyle w:val="FormatvorlageInstructionsTabelleText"/>
                <w:sz w:val="24"/>
                <w:rFonts w:ascii="Times New Roman" w:hAnsi="Times New Roman"/>
              </w:rPr>
              <w:t xml:space="preserve"> </w:t>
            </w:r>
          </w:p>
          <w:p w14:paraId="455E6C31" w14:textId="79AF7F1E" w:rsidR="00184B3F" w:rsidRPr="00FB08AF" w:rsidRDefault="00DD50D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Instrumentus, ko reglamentē trešās valsts tiesību akti, šajā rindā un 0230. un 0240. rindā iekļauj tikai tad, ja tie atbilst minētās direktīvas 55. pantā noteiktajām prasībām.</w:t>
            </w:r>
            <w:r>
              <w:rPr>
                <w:rStyle w:val="FormatvorlageInstructionsTabelleText"/>
                <w:sz w:val="24"/>
                <w:u w:val="single"/>
                <w:rFonts w:ascii="Times New Roman" w:hAnsi="Times New Roman"/>
              </w:rPr>
              <w:t xml:space="preserve"> </w:t>
            </w:r>
          </w:p>
        </w:tc>
      </w:tr>
      <w:tr w:rsidR="00FB08AF" w:rsidRPr="00FB08AF" w14:paraId="1239298E" w14:textId="77777777" w:rsidTr="003D419A">
        <w:tc>
          <w:tcPr>
            <w:tcW w:w="1130" w:type="dxa"/>
          </w:tcPr>
          <w:p w14:paraId="2F66E352" w14:textId="6706927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4" w:type="dxa"/>
          </w:tcPr>
          <w:p w14:paraId="192B9C81" w14:textId="77777777"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Pirmā līmeņa pamata kapitāls (</w:t>
            </w:r>
            <w:r>
              <w:rPr>
                <w:rStyle w:val="InstructionsTabelleberschrift"/>
                <w:sz w:val="24"/>
                <w:i/>
                <w:iCs/>
                <w:rFonts w:ascii="Times New Roman" w:hAnsi="Times New Roman"/>
              </w:rPr>
              <w:t xml:space="preserve">CET1</w:t>
            </w:r>
            <w:r>
              <w:rPr>
                <w:rStyle w:val="InstructionsTabelleberschrift"/>
                <w:sz w:val="24"/>
                <w:rFonts w:ascii="Times New Roman" w:hAnsi="Times New Roman"/>
              </w:rPr>
              <w:t xml:space="preserve">)</w:t>
            </w:r>
          </w:p>
          <w:p w14:paraId="391FC0ED" w14:textId="2504BD1E"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Regulas (ES) Nr. 575/2013 50. pants.</w:t>
            </w:r>
          </w:p>
        </w:tc>
      </w:tr>
      <w:tr w:rsidR="00FB08AF" w:rsidRPr="00FB08AF" w14:paraId="2EFA4CA0" w14:textId="77777777" w:rsidTr="003D419A">
        <w:tc>
          <w:tcPr>
            <w:tcW w:w="1130" w:type="dxa"/>
          </w:tcPr>
          <w:p w14:paraId="35FBDDD1" w14:textId="32E85087"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4" w:type="dxa"/>
          </w:tcPr>
          <w:p w14:paraId="1A795B5E" w14:textId="41D7EB09"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pirmā līmeņa papildu kapitāls</w:t>
            </w:r>
          </w:p>
          <w:p w14:paraId="3CB2E0B8" w14:textId="4021DC45"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Regulas (ES) Nr. 575/2013 61. pants.</w:t>
            </w:r>
          </w:p>
          <w:p w14:paraId="704BD2D0" w14:textId="77777777"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Iekšējā </w:t>
            </w:r>
            <w:r>
              <w:rPr>
                <w:rStyle w:val="FormatvorlageInstructionsTabelleText"/>
                <w:i/>
                <w:sz w:val="24"/>
                <w:i/>
                <w:iCs/>
                <w:rFonts w:ascii="Times New Roman" w:hAnsi="Times New Roman"/>
              </w:rPr>
              <w:t xml:space="preserve">MREL</w:t>
            </w:r>
          </w:p>
          <w:p w14:paraId="3563B5D5" w14:textId="54EAB442"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Instrumentus ņem vērā tikai tad, ja tie atbilst Direktīvas 2014/59/ES 45.f panta 2. punkta b) apakšpunkta ii) punktā minētajiem kritērijiem.</w:t>
            </w:r>
            <w:r>
              <w:rPr>
                <w:rStyle w:val="FormatvorlageInstructionsTabelleText"/>
                <w:sz w:val="24"/>
                <w:rFonts w:ascii="Times New Roman" w:hAnsi="Times New Roman"/>
              </w:rPr>
              <w:t xml:space="preserve"> </w:t>
            </w:r>
          </w:p>
          <w:p w14:paraId="4F571476" w14:textId="60A65E40"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Iekšējā </w:t>
            </w:r>
            <w:r>
              <w:rPr>
                <w:rStyle w:val="InstructionsTabelleberschrift"/>
                <w:b w:val="0"/>
                <w:i/>
                <w:sz w:val="24"/>
                <w:u w:val="none"/>
                <w:i/>
                <w:iCs/>
                <w:rFonts w:ascii="Times New Roman" w:hAnsi="Times New Roman"/>
              </w:rPr>
              <w:t xml:space="preserve">TLAC</w:t>
            </w:r>
          </w:p>
          <w:p w14:paraId="4D436EB1" w14:textId="46C00EC9" w:rsidR="005F18D0" w:rsidRPr="00FB08AF" w:rsidRDefault="003E7AB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Instrumentus ņem vērā tikai tad, ja tie atbilst Regulas (ES) Nr. 575/2013 92.b panta 2. punktā noteiktajiem kritērijiem.</w:t>
            </w:r>
          </w:p>
        </w:tc>
      </w:tr>
      <w:tr w:rsidR="00FB08AF" w:rsidRPr="00FB08AF" w14:paraId="09AB5E26" w14:textId="77777777" w:rsidTr="003D419A">
        <w:tc>
          <w:tcPr>
            <w:tcW w:w="1130" w:type="dxa"/>
          </w:tcPr>
          <w:p w14:paraId="535A652C" w14:textId="1871B789"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0240</w:t>
            </w:r>
          </w:p>
        </w:tc>
        <w:tc>
          <w:tcPr>
            <w:tcW w:w="7624" w:type="dxa"/>
          </w:tcPr>
          <w:p w14:paraId="4DE83B06" w14:textId="575598CE"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Atbilstīgs otrā līmeņa kapitāls</w:t>
            </w:r>
          </w:p>
          <w:p w14:paraId="612D408D" w14:textId="42DD45B8" w:rsidR="005F18D0" w:rsidRPr="00FB08AF" w:rsidRDefault="005F18D0"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Regulas (ES) Nr. 575/2013 71. pants.</w:t>
            </w:r>
          </w:p>
          <w:p w14:paraId="6229C6AA" w14:textId="15A67666"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Iekšējā </w:t>
            </w:r>
            <w:r>
              <w:rPr>
                <w:rStyle w:val="FormatvorlageInstructionsTabelleText"/>
                <w:i/>
                <w:sz w:val="24"/>
                <w:i/>
                <w:iCs/>
                <w:rFonts w:ascii="Times New Roman" w:hAnsi="Times New Roman"/>
              </w:rPr>
              <w:t xml:space="preserve">MREL</w:t>
            </w:r>
          </w:p>
          <w:p w14:paraId="2012463A" w14:textId="6FDCD1EA" w:rsidR="005F18D0" w:rsidRPr="00FB08AF" w:rsidRDefault="003E7AB6" w:rsidP="00437CF3">
            <w:pPr>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Instrumentus ņem vērā tikai tad, ja tie atbilst Direktīvas 2014/59/ES 45.f panta 2. punkta b) apakšpunkta ii) punktā minētajiem kritērijiem.</w:t>
            </w:r>
          </w:p>
          <w:p w14:paraId="15C285E6" w14:textId="7A34A784"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Iekšējā </w:t>
            </w:r>
            <w:r>
              <w:rPr>
                <w:rStyle w:val="InstructionsTabelleberschrift"/>
                <w:b w:val="0"/>
                <w:i/>
                <w:sz w:val="24"/>
                <w:u w:val="none"/>
                <w:i/>
                <w:iCs/>
                <w:rFonts w:ascii="Times New Roman" w:hAnsi="Times New Roman"/>
              </w:rPr>
              <w:t xml:space="preserve">TLAC</w:t>
            </w:r>
          </w:p>
          <w:p w14:paraId="781CF336" w14:textId="79259FEC" w:rsidR="005F18D0" w:rsidRPr="00FB08AF" w:rsidRDefault="003E7AB6" w:rsidP="00E36728">
            <w:pPr>
              <w:pStyle w:val="InstructionsText"/>
              <w:rPr>
                <w:rStyle w:val="FormatvorlageInstructionsTabelleText"/>
                <w:sz w:val="24"/>
                <w:rFonts w:ascii="Times New Roman" w:hAnsi="Times New Roman"/>
              </w:rPr>
            </w:pPr>
            <w:r>
              <w:t xml:space="preserve">Instrumentus ņem vērā tikai tad, ja tie atbilst Regulas (ES) Nr. 575/2013 92.b panta 2. punktā noteiktajiem kritērijiem</w:t>
            </w:r>
            <w:r>
              <w:rPr>
                <w:rStyle w:val="FormatvorlageInstructionsTabelleText"/>
                <w:sz w:val="24"/>
                <w:rFonts w:ascii="Times New Roman" w:hAnsi="Times New Roman"/>
              </w:rPr>
              <w:t xml:space="preserve">.</w:t>
            </w:r>
          </w:p>
        </w:tc>
      </w:tr>
      <w:tr w:rsidR="00FB08AF" w:rsidRPr="00FB08AF" w14:paraId="64DE2EC8" w14:textId="77777777" w:rsidTr="003D419A">
        <w:tc>
          <w:tcPr>
            <w:tcW w:w="1130" w:type="dxa"/>
          </w:tcPr>
          <w:p w14:paraId="710A49FF" w14:textId="327170DE" w:rsidR="005F18D0" w:rsidRPr="00FB08AF" w:rsidRDefault="00BE557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0250</w:t>
            </w:r>
          </w:p>
        </w:tc>
        <w:tc>
          <w:tcPr>
            <w:tcW w:w="7624" w:type="dxa"/>
          </w:tcPr>
          <w:p w14:paraId="32C5AF2D" w14:textId="5E936CC4" w:rsidR="00767EA2" w:rsidRPr="00FB08AF" w:rsidRDefault="005F18D0"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Atbilstīgās saistības un garantijas</w:t>
            </w:r>
          </w:p>
        </w:tc>
      </w:tr>
      <w:tr w:rsidR="00FB08AF" w:rsidRPr="00FB08AF" w14:paraId="048DBBF5" w14:textId="77777777" w:rsidTr="003D419A">
        <w:tc>
          <w:tcPr>
            <w:tcW w:w="1130" w:type="dxa"/>
          </w:tcPr>
          <w:p w14:paraId="3AB59BE7" w14:textId="615DE75D"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0260</w:t>
            </w:r>
          </w:p>
        </w:tc>
        <w:tc>
          <w:tcPr>
            <w:tcW w:w="7624" w:type="dxa"/>
          </w:tcPr>
          <w:p w14:paraId="642AC050" w14:textId="53D28D4F"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Atbilstīgās saistības (izņemot garantijas)</w:t>
            </w:r>
          </w:p>
          <w:p w14:paraId="7FFDA680" w14:textId="5DD968F5" w:rsidR="003E7AB6" w:rsidRPr="00FB08AF" w:rsidRDefault="003E7AB6" w:rsidP="00E36728">
            <w:pPr>
              <w:pStyle w:val="InstructionsText"/>
              <w:rPr>
                <w:rStyle w:val="FormatvorlageInstructionsTabelleText"/>
                <w:i/>
                <w:sz w:val="24"/>
                <w:rFonts w:ascii="Times New Roman" w:hAnsi="Times New Roman"/>
              </w:rPr>
            </w:pPr>
            <w:r>
              <w:rPr>
                <w:rStyle w:val="FormatvorlageInstructionsTabelleText"/>
                <w:i/>
                <w:sz w:val="24"/>
                <w:rFonts w:ascii="Times New Roman" w:hAnsi="Times New Roman"/>
              </w:rPr>
              <w:t xml:space="preserve">Iekšējā </w:t>
            </w:r>
            <w:r>
              <w:rPr>
                <w:rStyle w:val="FormatvorlageInstructionsTabelleText"/>
                <w:i/>
                <w:sz w:val="24"/>
                <w:i/>
                <w:iCs/>
                <w:rFonts w:ascii="Times New Roman" w:hAnsi="Times New Roman"/>
              </w:rPr>
              <w:t xml:space="preserve">MREL</w:t>
            </w:r>
          </w:p>
          <w:p w14:paraId="5366075E" w14:textId="664E3FEA" w:rsidR="00184B3F" w:rsidRPr="00FB08AF" w:rsidRDefault="003E7AB6" w:rsidP="00437CF3">
            <w:pPr>
              <w:rPr>
                <w:rStyle w:val="InstructionsTabelleberschrift"/>
                <w:b w:val="0"/>
                <w:sz w:val="24"/>
                <w:u w:val="none"/>
                <w:rFonts w:ascii="Times New Roman" w:hAnsi="Times New Roman"/>
              </w:rPr>
            </w:pPr>
            <w:r>
              <w:rPr>
                <w:sz w:val="24"/>
                <w:rFonts w:ascii="Times New Roman" w:hAnsi="Times New Roman"/>
              </w:rPr>
              <w:t xml:space="preserve">Atbilstīgās saistības, kas atbilst Direktīvas 2014/59/ES</w:t>
            </w:r>
            <w:r>
              <w:rPr>
                <w:sz w:val="24"/>
                <w:rFonts w:ascii="Times New Roman" w:hAnsi="Times New Roman"/>
              </w:rPr>
              <w:t xml:space="preserve"> 45.f panta 2. punkta a) apakšpunktā izklāstītajiem nosacījumiem, attiecīgā gadījumā ņemot vērā arī minētās direktīvas 89. panta 2. punkta ceturto daļu.</w:t>
            </w:r>
          </w:p>
          <w:p w14:paraId="57209D45" w14:textId="62F6F123" w:rsidR="005F18D0" w:rsidRPr="00FB08AF" w:rsidRDefault="00184B3F" w:rsidP="00437CF3">
            <w:pPr>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Attiecībā uz instrumentiem, ko reglamentē trešās valsts tiesību akti, instrumentu šajā rindā iekļauj tikai tad, ja tas atbilst Direktīvas 2014/59/ES 55. pantā noteiktajām prasībām.</w:t>
            </w:r>
          </w:p>
          <w:p w14:paraId="6243972D" w14:textId="5B30D454"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w:t>
            </w:r>
          </w:p>
          <w:p w14:paraId="7FC16AEF" w14:textId="6593B239" w:rsidR="003E7AB6" w:rsidRPr="00FB08AF" w:rsidRDefault="003E7AB6" w:rsidP="00437CF3">
            <w:pPr>
              <w:rPr>
                <w:rStyle w:val="FormatvorlageInstructionsTabelleText"/>
                <w:sz w:val="24"/>
                <w:rFonts w:ascii="Times New Roman" w:hAnsi="Times New Roman"/>
              </w:rPr>
            </w:pPr>
            <w:r>
              <w:rPr>
                <w:rStyle w:val="InstructionsTabelleberschrift"/>
                <w:b w:val="0"/>
                <w:i/>
                <w:sz w:val="24"/>
                <w:u w:val="none"/>
                <w:rFonts w:ascii="Times New Roman" w:hAnsi="Times New Roman"/>
              </w:rPr>
              <w:t xml:space="preserve">Iekšējā </w:t>
            </w:r>
            <w:r>
              <w:rPr>
                <w:rStyle w:val="InstructionsTabelleberschrift"/>
                <w:b w:val="0"/>
                <w:i/>
                <w:sz w:val="24"/>
                <w:u w:val="none"/>
                <w:i/>
                <w:iCs/>
                <w:rFonts w:ascii="Times New Roman" w:hAnsi="Times New Roman"/>
              </w:rPr>
              <w:t xml:space="preserve">TLAC</w:t>
            </w:r>
          </w:p>
          <w:p w14:paraId="510BD17E" w14:textId="77777777" w:rsidR="00BA24B5"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Atbilstīgo saistību summu aprēķina saskaņā ar Regulas (ES) Nr. 575/2013 72.k pantu, ja minētās saistības atbilst minētās regulas 92.b panta 3. punktā izklāstītajiem nosacījumiem.</w:t>
            </w:r>
          </w:p>
          <w:p w14:paraId="193E429A" w14:textId="37505F8E" w:rsidR="00A827D8" w:rsidRPr="00FB08AF" w:rsidRDefault="00A827D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Uzrādītās summas ir summas, pirms atskaitītas neizmantotās iepriekšējās atļaujas summas, ciktāl atļauja attiecas uz atbilstīgo saistību instrumentiem.</w:t>
            </w:r>
          </w:p>
        </w:tc>
      </w:tr>
      <w:tr w:rsidR="00FB08AF" w:rsidRPr="00FB08AF" w14:paraId="2C6CB8FF" w14:textId="77777777" w:rsidTr="003D419A">
        <w:tc>
          <w:tcPr>
            <w:tcW w:w="1130" w:type="dxa"/>
          </w:tcPr>
          <w:p w14:paraId="7DB1A4FA" w14:textId="349A2C07" w:rsidR="003909BE" w:rsidRPr="00FB08AF" w:rsidRDefault="003909B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0265</w:t>
            </w:r>
          </w:p>
        </w:tc>
        <w:tc>
          <w:tcPr>
            <w:tcW w:w="7624" w:type="dxa"/>
          </w:tcPr>
          <w:p w14:paraId="0D718B54" w14:textId="77777777" w:rsidR="003909BE" w:rsidRPr="00FB08AF" w:rsidRDefault="003909B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Pašu atbilstīgo saistību instrumenti:</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neizmantotas iepriekšējas atļaujas summas</w:t>
            </w:r>
          </w:p>
          <w:p w14:paraId="7D07C761" w14:textId="3DF9A7B6" w:rsidR="003909BE" w:rsidRPr="00FB08AF" w:rsidRDefault="002526C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uzrāda šādas summas:</w:t>
            </w:r>
          </w:p>
          <w:p w14:paraId="5C2A74CE" w14:textId="368DB298" w:rsidR="003909BE" w:rsidRPr="00FB08AF" w:rsidRDefault="007F3B25" w:rsidP="003909BE">
            <w:pPr>
              <w:pStyle w:val="ListParagraph"/>
              <w:numPr>
                <w:ilvl w:val="0"/>
                <w:numId w:val="53"/>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neizmantotās</w:t>
            </w:r>
            <w:r>
              <w:rPr>
                <w:rStyle w:val="FormatvorlageInstructionsTabelleText"/>
                <w:sz w:val="24"/>
                <w:i/>
                <w:iCs/>
                <w:rFonts w:ascii="Times New Roman" w:hAnsi="Times New Roman"/>
              </w:rPr>
              <w:t xml:space="preserve"> ad hoc</w:t>
            </w:r>
            <w:r>
              <w:rPr>
                <w:rStyle w:val="FormatvorlageInstructionsTabelleText"/>
                <w:sz w:val="24"/>
                <w:rFonts w:ascii="Times New Roman" w:hAnsi="Times New Roman"/>
              </w:rPr>
              <w:t xml:space="preserve"> atļaujas summas, ciktāl atļauja attiecas uz atbilstīgo saistību instrumentiem;</w:t>
            </w:r>
          </w:p>
          <w:p w14:paraId="5E9090A7" w14:textId="750933C1" w:rsidR="003909BE" w:rsidRPr="00FB08AF" w:rsidRDefault="007F3B25" w:rsidP="003909BE">
            <w:pPr>
              <w:pStyle w:val="ListParagraph"/>
              <w:numPr>
                <w:ilvl w:val="0"/>
                <w:numId w:val="53"/>
              </w:numPr>
              <w:rPr>
                <w:rStyle w:val="FormatvorlageInstructionsTabelleText"/>
                <w:b/>
                <w:sz w:val="24"/>
                <w:u w:val="single"/>
                <w:rFonts w:ascii="Times New Roman" w:hAnsi="Times New Roman"/>
              </w:rPr>
            </w:pPr>
            <w:r>
              <w:rPr>
                <w:rStyle w:val="FormatvorlageInstructionsTabelleText"/>
                <w:sz w:val="24"/>
                <w:rFonts w:ascii="Times New Roman" w:hAnsi="Times New Roman"/>
              </w:rPr>
              <w:t xml:space="preserve">neizmantotās ZPI summas, ciktāl atļauja attiecas uz atbilstīgo saistību instrumentiem.</w:t>
            </w:r>
          </w:p>
          <w:p w14:paraId="231309D3" w14:textId="20CB3C85" w:rsidR="00D62E86" w:rsidRPr="00FB08AF" w:rsidRDefault="00D62E86" w:rsidP="00971906">
            <w:pPr>
              <w:rPr>
                <w:rStyle w:val="InstructionsTabelleberschrift"/>
                <w:rFonts w:ascii="Times New Roman" w:hAnsi="Times New Roman"/>
                <w:sz w:val="24"/>
              </w:rPr>
            </w:pPr>
          </w:p>
        </w:tc>
      </w:tr>
      <w:tr w:rsidR="00FB08AF" w:rsidRPr="00FB08AF" w14:paraId="008441F0" w14:textId="77777777" w:rsidTr="003D419A">
        <w:tc>
          <w:tcPr>
            <w:tcW w:w="1130" w:type="dxa"/>
          </w:tcPr>
          <w:p w14:paraId="4C704759" w14:textId="3507A2B2" w:rsidR="005F18D0" w:rsidRPr="00FB08AF" w:rsidRDefault="005F18D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0270</w:t>
            </w:r>
          </w:p>
        </w:tc>
        <w:tc>
          <w:tcPr>
            <w:tcW w:w="7624" w:type="dxa"/>
          </w:tcPr>
          <w:p w14:paraId="0A6DF4A8" w14:textId="56570D04" w:rsidR="005F18D0" w:rsidRPr="00FB08AF" w:rsidRDefault="005F18D0"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Noregulējuma vienības sniegtās un noregulējuma iestādes atļautās garantijas</w:t>
            </w:r>
          </w:p>
          <w:p w14:paraId="374F83E9" w14:textId="0086AE55" w:rsidR="00B253EA" w:rsidRPr="00FB08AF" w:rsidRDefault="00BA3D22" w:rsidP="00E36728">
            <w:pPr>
              <w:pStyle w:val="InstructionsText"/>
              <w:rPr>
                <w:rStyle w:val="FormatvorlageInstructionsTabelleText"/>
                <w:sz w:val="24"/>
                <w:rFonts w:ascii="Times New Roman" w:hAnsi="Times New Roman"/>
              </w:rPr>
            </w:pPr>
            <w:r>
              <w:t xml:space="preserve">Ja meitasuzņēmuma noregulējuma iestāde atļauj pārskatu sniedzošajai vienībai izpildīt iekšējo </w:t>
            </w:r>
            <w:r>
              <w:rPr>
                <w:i/>
                <w:iCs/>
              </w:rPr>
              <w:t xml:space="preserve">MREL</w:t>
            </w:r>
            <w:r>
              <w:t xml:space="preserve"> prasību ar garantijām, uzrāda garantiju summu, ko sniedz noregulējuma vienība un kas atbilst visiem Direktīvas 2014/59/ES</w:t>
            </w:r>
            <w:r>
              <w:t xml:space="preserve"> 45.f panta 5. punkta nosacījumiem.</w:t>
            </w:r>
          </w:p>
        </w:tc>
      </w:tr>
      <w:tr w:rsidR="00FB08AF" w:rsidRPr="00FB08AF" w14:paraId="64B2DBBF" w14:textId="77777777" w:rsidTr="003D419A">
        <w:tc>
          <w:tcPr>
            <w:tcW w:w="1130" w:type="dxa"/>
          </w:tcPr>
          <w:p w14:paraId="30EE14F3" w14:textId="68466EFD"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0280</w:t>
            </w:r>
          </w:p>
        </w:tc>
        <w:tc>
          <w:tcPr>
            <w:tcW w:w="7624" w:type="dxa"/>
          </w:tcPr>
          <w:p w14:paraId="5CE64777" w14:textId="7777777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Ārpusbilances postenis:</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garantijas nodrošinātā daļa</w:t>
            </w:r>
          </w:p>
          <w:p w14:paraId="38A673BD" w14:textId="7D135857" w:rsidR="00585408" w:rsidRPr="00FB08AF" w:rsidRDefault="00585408" w:rsidP="00E36728">
            <w:pPr>
              <w:pStyle w:val="InstructionsText"/>
              <w:rPr>
                <w:rStyle w:val="InstructionsTabelleberschrift"/>
                <w:b w:val="0"/>
                <w:sz w:val="24"/>
                <w:rFonts w:ascii="Times New Roman" w:hAnsi="Times New Roman"/>
              </w:rPr>
            </w:pPr>
            <w:r>
              <w:t xml:space="preserve">0270. rindā uzrādītā garantijas daļa, kas nodrošināta, izmantojot finanšu nodrošinājuma līgumu, kā minēts Direktīvas 2014/59/ES 45.f panta 5. punkta c) apakšpunktā</w:t>
            </w:r>
            <w:r>
              <w:rPr>
                <w:rStyle w:val="FormatvorlageInstructionsTabelleText"/>
                <w:sz w:val="24"/>
                <w:rFonts w:ascii="Times New Roman" w:hAnsi="Times New Roman"/>
              </w:rPr>
              <w:t xml:space="preserve">.</w:t>
            </w:r>
          </w:p>
        </w:tc>
      </w:tr>
      <w:tr w:rsidR="00FB08AF" w:rsidRPr="00FB08AF" w14:paraId="212DD81A" w14:textId="77777777" w:rsidTr="003D419A">
        <w:tc>
          <w:tcPr>
            <w:tcW w:w="1130" w:type="dxa"/>
          </w:tcPr>
          <w:p w14:paraId="1CAAC26F" w14:textId="5E899B7F" w:rsidR="00585408" w:rsidRPr="00FB08AF" w:rsidRDefault="0058540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0290</w:t>
            </w:r>
          </w:p>
        </w:tc>
        <w:tc>
          <w:tcPr>
            <w:tcW w:w="7624" w:type="dxa"/>
          </w:tcPr>
          <w:p w14:paraId="303D6E75" w14:textId="71A9DBC7" w:rsidR="00585408" w:rsidRPr="00FB08AF" w:rsidRDefault="0058540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Pašu kapitāla instrumenti un atbilstīgo saistību instrumenti, ko emitējušas tās pašas noregulējuma grupas vienības, kas nav noregulējuma vienības</w:t>
            </w:r>
          </w:p>
          <w:p w14:paraId="61784284" w14:textId="5986961E" w:rsidR="00CA5793" w:rsidRPr="00FB08AF" w:rsidRDefault="00CA5793"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rindā uzrāda līdzdalību pašu kapitāla instrumentos un atbilstīgo saistību instrumentos, kas jāatskaita saskaņā ar Regulas (ES) Nr. 575/2013 72.e panta 5. punktu un Direktīvas 2014/59/ES 45.c panta 2.a punkta piekto daļu.</w:t>
            </w:r>
          </w:p>
          <w:p w14:paraId="5DF1D2B8" w14:textId="03C99A20" w:rsidR="0051480C" w:rsidRPr="00FB08AF" w:rsidRDefault="001C1DD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Lai aprēķinātu atskaitījumus saskaņā ar Direktīvas 2014/59/ES 45.c panta 2.a punktu, izmanto 0630. rindā uzrādīto rādītāju.</w:t>
            </w:r>
          </w:p>
        </w:tc>
      </w:tr>
      <w:tr w:rsidR="00FB08AF" w:rsidRPr="00FB08AF" w14:paraId="60615C31" w14:textId="77777777" w:rsidTr="004464A7">
        <w:tc>
          <w:tcPr>
            <w:tcW w:w="1130" w:type="dxa"/>
          </w:tcPr>
          <w:p w14:paraId="2CA35B53" w14:textId="1022F240" w:rsidR="004912BF" w:rsidRPr="00FB08AF" w:rsidRDefault="004912BF" w:rsidP="00E36728">
            <w:pPr>
              <w:pStyle w:val="InstructionsText"/>
              <w:rPr>
                <w:rStyle w:val="FormatvorlageInstructionsTabelleText"/>
                <w:strike/>
                <w:sz w:val="24"/>
                <w:rFonts w:ascii="Times New Roman" w:hAnsi="Times New Roman"/>
              </w:rPr>
            </w:pPr>
            <w:r>
              <w:rPr>
                <w:rStyle w:val="FormatvorlageInstructionsTabelleText"/>
                <w:sz w:val="24"/>
                <w:rFonts w:ascii="Times New Roman" w:hAnsi="Times New Roman"/>
              </w:rPr>
              <w:t xml:space="preserve">0293</w:t>
            </w:r>
          </w:p>
        </w:tc>
        <w:tc>
          <w:tcPr>
            <w:tcW w:w="7624" w:type="dxa"/>
          </w:tcPr>
          <w:p w14:paraId="11F35912" w14:textId="6640C3B7" w:rsidR="004912BF" w:rsidRPr="00FB08AF" w:rsidRDefault="004912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kapitāla instrumenti, ko emitējušas likvidācijas vienības</w:t>
            </w:r>
          </w:p>
          <w:p w14:paraId="383BADED" w14:textId="317127AA" w:rsidR="004912BF" w:rsidRPr="00FB08AF" w:rsidRDefault="004912B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Uzrāda ieguldījumus pašu kapitāla instrumentos, kurus emitējušas tās pašas noregulējuma grupas likvidācijas vienības un attiecībā uz kuriem noregulējuma iestāde nav noteikusi minimuma prasību pašu kapitālam un atbilstīgajām saistībām saskaņā ar Direktīvas 2014/59/ES 45. pantu, kas jāatskaita saskaņā ar Direktīvas 2014/59/ES 45.c panta 2.a punkta piekto daļu.</w:t>
            </w:r>
          </w:p>
          <w:p w14:paraId="3FACB9D1" w14:textId="4C3C03F6" w:rsidR="00D825FB" w:rsidRPr="00FB08AF" w:rsidRDefault="00D825FB"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Lai aprēķinātu atskaitījumus saskaņā ar Direktīvas 2014/59/ES 45.c panta 2.a punktu, izmanto 0630. rindā uzrādīto rādītāju.</w:t>
            </w:r>
          </w:p>
        </w:tc>
      </w:tr>
      <w:tr w:rsidR="00FB08AF" w:rsidRPr="00FB08AF" w14:paraId="57E1CA1A" w14:textId="77777777" w:rsidTr="003D419A">
        <w:tc>
          <w:tcPr>
            <w:tcW w:w="1130" w:type="dxa"/>
          </w:tcPr>
          <w:p w14:paraId="60241F09" w14:textId="0B97E6C7" w:rsidR="00EB22CD" w:rsidRPr="00FB08AF" w:rsidRDefault="00EB22CD"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0295</w:t>
            </w:r>
          </w:p>
        </w:tc>
        <w:tc>
          <w:tcPr>
            <w:tcW w:w="7624" w:type="dxa"/>
          </w:tcPr>
          <w:p w14:paraId="5E70B663" w14:textId="77777777" w:rsidR="002952FA" w:rsidRPr="00FB08AF" w:rsidRDefault="002952F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Summa, par kādu atskaitījumi no atbilstošām saistībām pārsniedz atbilstīgās saistības</w:t>
            </w:r>
          </w:p>
          <w:p w14:paraId="2511E64F" w14:textId="5D0B7587" w:rsidR="002952FA" w:rsidRPr="00FB08AF" w:rsidRDefault="002952F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Atbilstīgās saistības nevar būt negatīvas, bet ir iespējams, ka atskaitījumu summa no atbilstīgo saistību posteņiem ir lielāka nekā atbilstīgo saistību posteņu summa.</w:t>
            </w:r>
            <w:r>
              <w:rPr>
                <w:rStyle w:val="FormatvorlageInstructionsTabelleText"/>
                <w:sz w:val="24"/>
                <w:rFonts w:ascii="Times New Roman" w:hAnsi="Times New Roman"/>
              </w:rPr>
              <w:t xml:space="preserve"> </w:t>
            </w:r>
            <w:r>
              <w:t xml:space="preserve">Šādā gadījumā atbilstīgajām saistībām jābūt vienādām ar nulli, un atskaitījumu pārsniegums ir jāatskaita no otrā līmeņa kapitāla saskaņā ar Regulas (ES) Nr. 575/2013 66. panta e) punktu</w:t>
            </w:r>
            <w:r>
              <w:rPr>
                <w:rStyle w:val="FormatvorlageInstructionsTabelleText"/>
                <w:sz w:val="24"/>
                <w:rFonts w:ascii="Times New Roman" w:hAnsi="Times New Roman"/>
              </w:rPr>
              <w:t xml:space="preserve">.</w:t>
            </w:r>
          </w:p>
          <w:p w14:paraId="64C79667" w14:textId="29EA8140" w:rsidR="00EB22CD" w:rsidRPr="00FB08AF" w:rsidRDefault="002952F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Ar šo posteni tiek panākts, ka 0251. rindā uzrādītās atbilstīgās saistības nekad nav mazākas par nulli.</w:t>
            </w:r>
          </w:p>
        </w:tc>
      </w:tr>
      <w:tr w:rsidR="00FB08AF" w:rsidRPr="00FB08AF" w14:paraId="4C6B668C" w14:textId="77777777" w:rsidTr="003D419A">
        <w:tc>
          <w:tcPr>
            <w:tcW w:w="1130" w:type="dxa"/>
          </w:tcPr>
          <w:p w14:paraId="1443EEEE" w14:textId="56213E28" w:rsidR="00BE557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0400 - 0440</w:t>
            </w:r>
          </w:p>
        </w:tc>
        <w:tc>
          <w:tcPr>
            <w:tcW w:w="7624" w:type="dxa"/>
          </w:tcPr>
          <w:p w14:paraId="0D31D956" w14:textId="68870AD9" w:rsidR="00BE557E" w:rsidRPr="00FB08AF" w:rsidRDefault="00BE557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Atbilstīga pašu kapitāla un atbilstīgo saistību rādītāji</w:t>
            </w:r>
          </w:p>
        </w:tc>
      </w:tr>
      <w:tr w:rsidR="00FB08AF" w:rsidRPr="00FB08AF" w14:paraId="45BCEF11" w14:textId="77777777" w:rsidTr="003D419A">
        <w:tc>
          <w:tcPr>
            <w:tcW w:w="1130" w:type="dxa"/>
          </w:tcPr>
          <w:p w14:paraId="48372301" w14:textId="2ABACA7C"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4" w:type="dxa"/>
          </w:tcPr>
          <w:p w14:paraId="54F4D6AB" w14:textId="3BCDF32E"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 kā procentuālā daļa no </w:t>
            </w:r>
            <w:r>
              <w:rPr>
                <w:rStyle w:val="InstructionsTabelleberschrift"/>
                <w:sz w:val="24"/>
                <w:i/>
                <w:iCs/>
                <w:rFonts w:ascii="Times New Roman" w:hAnsi="Times New Roman"/>
              </w:rPr>
              <w:t xml:space="preserve">TREA</w:t>
            </w:r>
          </w:p>
          <w:p w14:paraId="638A2511" w14:textId="34438C98" w:rsidR="00CC432E" w:rsidRPr="00FB08AF" w:rsidRDefault="00CC432E" w:rsidP="00E36728">
            <w:pPr>
              <w:pStyle w:val="InstructionsText"/>
              <w:rPr>
                <w:rStyle w:val="FormatvorlageInstructionsTabelleText"/>
                <w:sz w:val="24"/>
                <w:rFonts w:ascii="Times New Roman" w:hAnsi="Times New Roman"/>
              </w:rPr>
            </w:pPr>
            <w:r>
              <w:t xml:space="preserve"> </w:t>
            </w:r>
            <w:r>
              <w:rPr>
                <w:rStyle w:val="FormatvorlageInstructionsTabelleText"/>
                <w:sz w:val="24"/>
                <w:rFonts w:ascii="Times New Roman" w:hAnsi="Times New Roman"/>
              </w:rPr>
              <w:t xml:space="preserve">Pārskatu sniedzošās vienības atbilstīgā pašu kapitāla, atbilstīgo saistību un atļauto garantiju summas, kas ieskaitītas attiecīgi iekšējai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un iekšējai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izteiktas kā procentuālā daļa no kopējās riska darījumu vērtības, kas aprēķināta saskaņā ar Regulas (ES) Nr. 575/2013 92. panta 3. punktu.</w:t>
            </w:r>
          </w:p>
        </w:tc>
      </w:tr>
      <w:tr w:rsidR="00FB08AF" w:rsidRPr="00FB08AF" w14:paraId="4FA4FC47" w14:textId="77777777" w:rsidTr="003D419A">
        <w:tc>
          <w:tcPr>
            <w:tcW w:w="1130" w:type="dxa"/>
          </w:tcPr>
          <w:p w14:paraId="72742DBD" w14:textId="0C90E56F"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4" w:type="dxa"/>
          </w:tcPr>
          <w:p w14:paraId="76B8F18F" w14:textId="34485D4A"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atļautās garantijas</w:t>
            </w:r>
          </w:p>
          <w:p w14:paraId="6E0BA424" w14:textId="75A3DA62" w:rsidR="00CC432E" w:rsidRPr="00FB08AF" w:rsidRDefault="00CC432E" w:rsidP="00E36728">
            <w:pPr>
              <w:pStyle w:val="InstructionsText"/>
              <w:rPr>
                <w:rStyle w:val="InstructionsTabelleberschrift"/>
                <w:sz w:val="24"/>
                <w:rFonts w:ascii="Times New Roman" w:hAnsi="Times New Roman"/>
              </w:rPr>
            </w:pPr>
            <w:r>
              <w:t xml:space="preserve">Pārskatu sniedzošās vienības atbilstīgā pašu kapitāla, atbilstīgo saistību un atļauto garantiju summa, kas ir noregulējuma vienības sniegtās garantijas un ko noregulējuma iestāde atzinusi saskaņā ar Direktīvas 2014/59/ES</w:t>
            </w:r>
            <w:r>
              <w:t xml:space="preserve"> 45.f panta 5. punktu un ko ieskaita iekšējā </w:t>
            </w:r>
            <w:r>
              <w:rPr>
                <w:i/>
                <w:iCs/>
              </w:rPr>
              <w:t xml:space="preserve">MREL</w:t>
            </w:r>
            <w:r>
              <w:t xml:space="preserve">, un kas izteikta kā procentuālā daļa no kopējās riska darījumu vērtības, kura aprēķināta saskaņā ar Regulas (ES) Nr. 575/2013 92. panta 3. punktu</w:t>
            </w:r>
            <w:r>
              <w:rPr>
                <w:rStyle w:val="FormatvorlageInstructionsTabelleText"/>
                <w:sz w:val="24"/>
                <w:rFonts w:ascii="Times New Roman" w:hAnsi="Times New Roman"/>
              </w:rPr>
              <w:t xml:space="preserve">.</w:t>
            </w:r>
          </w:p>
        </w:tc>
      </w:tr>
      <w:tr w:rsidR="00FB08AF" w:rsidRPr="00FB08AF" w14:paraId="111C9D43" w14:textId="77777777" w:rsidTr="003D419A">
        <w:tc>
          <w:tcPr>
            <w:tcW w:w="1130" w:type="dxa"/>
          </w:tcPr>
          <w:p w14:paraId="467C6978" w14:textId="2DBE9902"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4" w:type="dxa"/>
          </w:tcPr>
          <w:p w14:paraId="58A4D821" w14:textId="66F6ECF9"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kapitāls un atbilstīgās saistības kā procentuālā daļa no </w:t>
            </w:r>
            <w:r>
              <w:rPr>
                <w:rStyle w:val="InstructionsTabelleberschrift"/>
                <w:sz w:val="24"/>
                <w:i/>
                <w:iCs/>
                <w:rFonts w:ascii="Times New Roman" w:hAnsi="Times New Roman"/>
              </w:rPr>
              <w:t xml:space="preserve">TEM</w:t>
            </w:r>
          </w:p>
          <w:p w14:paraId="2DE6FA49" w14:textId="1BA8B4E8" w:rsidR="00CC432E" w:rsidRPr="00FB08AF" w:rsidRDefault="00CC432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Pārskatu sniedzošās vienības atbilstīgā pašu kapitāla un atbilstīgo saistību summas, kas ieskaitītas attiecīgi iekšējai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un iekšējai </w:t>
            </w:r>
            <w:r>
              <w:rPr>
                <w:rStyle w:val="FormatvorlageInstructionsTabelleText"/>
                <w:sz w:val="24"/>
                <w:i/>
                <w:iCs/>
                <w:rFonts w:ascii="Times New Roman" w:hAnsi="Times New Roman"/>
              </w:rPr>
              <w:t xml:space="preserve">TLAC</w:t>
            </w:r>
            <w:r>
              <w:rPr>
                <w:rStyle w:val="FormatvorlageInstructionsTabelleText"/>
                <w:sz w:val="24"/>
                <w:rFonts w:ascii="Times New Roman" w:hAnsi="Times New Roman"/>
              </w:rPr>
              <w:t xml:space="preserve">, kuras izteiktas kā procentuālā daļa no kopējās riska darījumu vērtības mēra, kas aprēķināta saskaņā ar minētās regulas 429. panta 4. punktu un 429.a pantu.</w:t>
            </w:r>
          </w:p>
        </w:tc>
      </w:tr>
      <w:tr w:rsidR="00FB08AF" w:rsidRPr="00FB08AF" w14:paraId="44A3123C" w14:textId="77777777" w:rsidTr="003D419A">
        <w:tc>
          <w:tcPr>
            <w:tcW w:w="1130" w:type="dxa"/>
          </w:tcPr>
          <w:p w14:paraId="11C9C58C" w14:textId="3E18775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4" w:type="dxa"/>
          </w:tcPr>
          <w:p w14:paraId="58EA40B5" w14:textId="34FD1BA0" w:rsidR="00CC432E"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atļautās garantijas</w:t>
            </w:r>
          </w:p>
          <w:p w14:paraId="5D4BEBD4" w14:textId="3230DB3C" w:rsidR="00CC432E" w:rsidRPr="00FB08AF" w:rsidRDefault="00CC432E" w:rsidP="00E36728">
            <w:pPr>
              <w:pStyle w:val="InstructionsText"/>
              <w:rPr>
                <w:rStyle w:val="FormatvorlageInstructionsTabelleText"/>
                <w:sz w:val="24"/>
                <w:rFonts w:ascii="Times New Roman" w:hAnsi="Times New Roman"/>
              </w:rPr>
            </w:pPr>
            <w:r>
              <w:t xml:space="preserve">Pārskatu sniedzošās vienības atbilstīgā pašu kapitāla un atbilstīgo saistību summa, kas ir noregulējuma vienības sniegtās garantijas un ko noregulējuma iestāde atzinusi saskaņā ar Direktīvas 2014/59/ES</w:t>
            </w:r>
            <w:r>
              <w:t xml:space="preserve"> 45.f panta 5. punktu, ko ieskaita iekšējā </w:t>
            </w:r>
            <w:r>
              <w:rPr>
                <w:i/>
                <w:iCs/>
              </w:rPr>
              <w:t xml:space="preserve">MREL</w:t>
            </w:r>
            <w:r>
              <w:t xml:space="preserve">, un kas izteikta kā procentuālā daļa no kopējās riska darījumu vērtības mēra, kas aprēķināts saskaņā ar Regulas (ES) Nr. 575/2013 429. panta 4. punktu un 429.a pantu</w:t>
            </w:r>
            <w:r>
              <w:rPr>
                <w:rStyle w:val="FormatvorlageInstructionsTabelleText"/>
                <w:sz w:val="24"/>
                <w:rFonts w:ascii="Times New Roman" w:hAnsi="Times New Roman"/>
              </w:rPr>
              <w:t xml:space="preserve">.</w:t>
            </w:r>
          </w:p>
        </w:tc>
      </w:tr>
      <w:tr w:rsidR="00FB08AF" w:rsidRPr="00FB08AF" w14:paraId="69D5BE89" w14:textId="77777777" w:rsidTr="003D419A">
        <w:tc>
          <w:tcPr>
            <w:tcW w:w="1130" w:type="dxa"/>
          </w:tcPr>
          <w:p w14:paraId="15398885" w14:textId="4BA644A1"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0440</w:t>
            </w:r>
          </w:p>
        </w:tc>
        <w:tc>
          <w:tcPr>
            <w:tcW w:w="7624" w:type="dxa"/>
          </w:tcPr>
          <w:p w14:paraId="7658B11D" w14:textId="05E4D2E9" w:rsidR="00A612E2" w:rsidRPr="00FB08AF" w:rsidRDefault="00CC432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Pirmā līmeņa pamata kapitāls (</w:t>
            </w:r>
            <w:r>
              <w:rPr>
                <w:rStyle w:val="InstructionsTabelleberschrift"/>
                <w:sz w:val="24"/>
                <w:i/>
                <w:iCs/>
                <w:rFonts w:ascii="Times New Roman" w:hAnsi="Times New Roman"/>
              </w:rPr>
              <w:t xml:space="preserve">CET1</w:t>
            </w:r>
            <w:r>
              <w:rPr>
                <w:rStyle w:val="InstructionsTabelleberschrift"/>
                <w:sz w:val="24"/>
                <w:rFonts w:ascii="Times New Roman" w:hAnsi="Times New Roman"/>
              </w:rPr>
              <w:t xml:space="preserve">) (%), kas pieejams pēc vienības prasību izpildes</w:t>
            </w:r>
          </w:p>
          <w:p w14:paraId="58C29D7C" w14:textId="1757540E" w:rsidR="008561CE" w:rsidRPr="00FB08AF" w:rsidRDefault="008561CE" w:rsidP="00E36728">
            <w:pPr>
              <w:pStyle w:val="InstructionsText"/>
              <w:rPr>
                <w:rStyle w:val="FormatvorlageInstructionsTabelleText"/>
                <w:sz w:val="24"/>
                <w:rFonts w:ascii="Times New Roman" w:hAnsi="Times New Roman"/>
              </w:rPr>
            </w:pPr>
            <w:r>
              <w:rPr>
                <w:i/>
                <w:iCs/>
              </w:rPr>
              <w:t xml:space="preserve">CET1</w:t>
            </w:r>
            <w:r>
              <w:t xml:space="preserve"> summa, kas vienāda ar nulli vai ir pozitīva, pieejama pēc tam, kad ir izpildītas visas Direktīvas 2013/36/ES 141.a panta 1. punkta a), b) un c) apakšpunktā minētās prasības, un augstākā no šādām </w:t>
            </w:r>
            <w:r>
              <w:t xml:space="preserve">vērtībām:</w:t>
            </w:r>
          </w:p>
          <w:p w14:paraId="57381FCD" w14:textId="1EA0E4F9" w:rsidR="008561CE" w:rsidRPr="00FB08AF" w:rsidRDefault="008561CE" w:rsidP="00E36728">
            <w:pPr>
              <w:pStyle w:val="InstructionsText"/>
              <w:rPr>
                <w:rStyle w:val="FormatvorlageInstructionsTabelleText"/>
                <w:sz w:val="24"/>
                <w:rFonts w:ascii="Times New Roman" w:hAnsi="Times New Roman"/>
              </w:rPr>
            </w:pPr>
            <w:r>
              <w:t xml:space="preserve">a) attiecīgā gadījumā – iekšējā </w:t>
            </w:r>
            <w:r>
              <w:rPr>
                <w:i/>
                <w:iCs/>
              </w:rPr>
              <w:t xml:space="preserve">TLAC</w:t>
            </w:r>
            <w:r>
              <w:t xml:space="preserve"> prasība saskaņā ar Regulas (ES) Nr. 575/2013</w:t>
            </w:r>
            <w:r>
              <w:t xml:space="preserve"> 92.b pantu, ja tā aprēķināta saskaņā ar minētās regulas 92.b panta 1. punktu kā 90 % no minētās regulas 92.a panta 1. punkta a) apakšpunktā noteiktās prasības;</w:t>
            </w:r>
          </w:p>
          <w:p w14:paraId="1F28DC82" w14:textId="1D7CE280" w:rsidR="008561CE" w:rsidRPr="00FB08AF" w:rsidRDefault="008561CE" w:rsidP="00E36728">
            <w:pPr>
              <w:pStyle w:val="InstructionsText"/>
              <w:rPr>
                <w:rStyle w:val="FormatvorlageInstructionsTabelleText"/>
                <w:sz w:val="24"/>
                <w:rFonts w:ascii="Times New Roman" w:hAnsi="Times New Roman"/>
              </w:rPr>
            </w:pPr>
            <w:r>
              <w:t xml:space="preserve">b) iekšējās </w:t>
            </w:r>
            <w:r>
              <w:rPr>
                <w:i/>
                <w:iCs/>
              </w:rPr>
              <w:t xml:space="preserve">MREL</w:t>
            </w:r>
            <w:r>
              <w:t xml:space="preserve"> prasība saskaņā ar Direktīvas 2014/59/ES</w:t>
            </w:r>
            <w:r>
              <w:t xml:space="preserve"> 45.f pantu, ja tā aprēķināta saskaņā ar minētās direktīvas 45. panta 2. punkta a) apakšpunktu.</w:t>
            </w:r>
          </w:p>
          <w:p w14:paraId="39B4A403" w14:textId="7A71894C" w:rsidR="00B012C5" w:rsidRPr="00FB08AF" w:rsidRDefault="00B012C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Pieejamo pirmā līmeņa pamata kapitālu izsaka kā procentuālo daļu no kopējās riska darījumu vērtības, kas uzrādīta 0100. rindā.</w:t>
            </w:r>
          </w:p>
          <w:p w14:paraId="64F956E6" w14:textId="77777777" w:rsidR="00B012C5" w:rsidRPr="00FB08AF" w:rsidRDefault="008561CE"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Uzrādītais skaitlis ir identisks gan iekšējās </w:t>
            </w:r>
            <w:r>
              <w:rPr>
                <w:rStyle w:val="InstructionsTabelleberschrift"/>
                <w:b w:val="0"/>
                <w:sz w:val="24"/>
                <w:u w:val="none"/>
                <w:i/>
                <w:iCs/>
                <w:rFonts w:ascii="Times New Roman" w:hAnsi="Times New Roman"/>
              </w:rPr>
              <w:t xml:space="preserve">MREL</w:t>
            </w:r>
            <w:r>
              <w:rPr>
                <w:rStyle w:val="InstructionsTabelleberschrift"/>
                <w:b w:val="0"/>
                <w:sz w:val="24"/>
                <w:u w:val="none"/>
                <w:rFonts w:ascii="Times New Roman" w:hAnsi="Times New Roman"/>
              </w:rPr>
              <w:t xml:space="preserve">, gan iekšējās </w:t>
            </w:r>
            <w:r>
              <w:rPr>
                <w:rStyle w:val="InstructionsTabelleberschrift"/>
                <w:b w:val="0"/>
                <w:sz w:val="24"/>
                <w:u w:val="none"/>
                <w:i/>
                <w:iCs/>
                <w:rFonts w:ascii="Times New Roman" w:hAnsi="Times New Roman"/>
              </w:rPr>
              <w:t xml:space="preserve">TLAC</w:t>
            </w:r>
            <w:r>
              <w:rPr>
                <w:rStyle w:val="InstructionsTabelleberschrift"/>
                <w:b w:val="0"/>
                <w:sz w:val="24"/>
                <w:u w:val="none"/>
                <w:rFonts w:ascii="Times New Roman" w:hAnsi="Times New Roman"/>
              </w:rPr>
              <w:t xml:space="preserve"> slejās.</w:t>
            </w:r>
            <w:r>
              <w:rPr>
                <w:rStyle w:val="InstructionsTabelleberschrift"/>
                <w:b w:val="0"/>
                <w:sz w:val="24"/>
                <w:u w:val="none"/>
                <w:rFonts w:ascii="Times New Roman" w:hAnsi="Times New Roman"/>
              </w:rPr>
              <w:t xml:space="preserve"> </w:t>
            </w:r>
          </w:p>
          <w:p w14:paraId="5B370C0A" w14:textId="715557DB" w:rsidR="00CC432E" w:rsidRPr="00FB08AF" w:rsidRDefault="008561CE"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Tajā ņem vērā pārejas noteikumu ietekmi uz pašu kapitālu un atbilstīgajām saistībām, kopējo riska darījumu vērtību un pašām prasībām.</w:t>
            </w:r>
            <w:r>
              <w:rPr>
                <w:rStyle w:val="InstructionsTabelleberschrift"/>
                <w:b w:val="0"/>
                <w:sz w:val="24"/>
                <w:u w:val="none"/>
                <w:rFonts w:ascii="Times New Roman" w:hAnsi="Times New Roman"/>
              </w:rPr>
              <w:t xml:space="preserve"> </w:t>
            </w:r>
            <w:r>
              <w:t xml:space="preserve">Neņem vērā ne norādes par papildu pašu kapitālu, kā minēts Direktīvas 2013/36/ES</w:t>
            </w:r>
            <w:r>
              <w:t xml:space="preserve"> 104.b pantā, ne minētās direktīvas 128. panta pirmās daļas 6) punktā noteikto apvienoto rezervju prasību.</w:t>
            </w:r>
          </w:p>
        </w:tc>
      </w:tr>
      <w:tr w:rsidR="00FB08AF" w:rsidRPr="00FB08AF" w14:paraId="5B18A184" w14:textId="77777777" w:rsidTr="003D419A">
        <w:tc>
          <w:tcPr>
            <w:tcW w:w="1130" w:type="dxa"/>
          </w:tcPr>
          <w:p w14:paraId="283EF212" w14:textId="449188CE" w:rsidR="00CC432E"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0500 - 0550</w:t>
            </w:r>
          </w:p>
        </w:tc>
        <w:tc>
          <w:tcPr>
            <w:tcW w:w="7624" w:type="dxa"/>
          </w:tcPr>
          <w:p w14:paraId="11D95EDB" w14:textId="1E3A12BE" w:rsidR="00CC432E" w:rsidRPr="00FB08AF" w:rsidRDefault="007C3317"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Izziņas posteņi</w:t>
            </w:r>
          </w:p>
        </w:tc>
      </w:tr>
      <w:tr w:rsidR="00FB08AF" w:rsidRPr="00FB08AF" w14:paraId="0F211788" w14:textId="77777777" w:rsidTr="003D419A">
        <w:tc>
          <w:tcPr>
            <w:tcW w:w="1130" w:type="dxa"/>
          </w:tcPr>
          <w:p w14:paraId="57743B4C" w14:textId="1E81FE0B" w:rsidR="00437CF3" w:rsidRPr="00FB08AF" w:rsidDel="00437CF3"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4" w:type="dxa"/>
          </w:tcPr>
          <w:p w14:paraId="3AECC7AA" w14:textId="24E34A7D" w:rsidR="00437CF3" w:rsidRPr="00FB08AF" w:rsidRDefault="00437CF3"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Apvienoto rezervju prasība (%)</w:t>
            </w:r>
          </w:p>
          <w:p w14:paraId="6C2996F7" w14:textId="721860D8" w:rsidR="00437CF3" w:rsidRPr="00FB08AF" w:rsidRDefault="00437CF3" w:rsidP="00E36728">
            <w:pPr>
              <w:pStyle w:val="InstructionsText"/>
              <w:rPr>
                <w:rStyle w:val="FormatvorlageInstructionsTabelleText"/>
                <w:sz w:val="24"/>
                <w:rFonts w:ascii="Times New Roman" w:hAnsi="Times New Roman"/>
              </w:rPr>
            </w:pPr>
            <w:r>
              <w:rPr>
                <w:sz w:val="24"/>
                <w:rStyle w:val="InstructionsTabelleberschrift"/>
                <w:b w:val="0"/>
                <w:u w:val="none"/>
                <w:rFonts w:ascii="Times New Roman" w:hAnsi="Times New Roman"/>
              </w:rPr>
              <w:t xml:space="preserve">Direktīvas 2013/36/ES </w:t>
            </w:r>
            <w:r>
              <w:t xml:space="preserve">128. panta pirmās daļas 6. punkts</w:t>
            </w:r>
            <w:r>
              <w:t xml:space="preserve"> </w:t>
            </w:r>
          </w:p>
          <w:p w14:paraId="2113C95F" w14:textId="74DBE512" w:rsidR="00437CF3" w:rsidRPr="00FB08AF" w:rsidRDefault="00437CF3"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Apvienoto rezervju prasību izsaka kā procentuālo daļu no kopējās riska darījumu vērtības.</w:t>
            </w:r>
          </w:p>
        </w:tc>
      </w:tr>
      <w:tr w:rsidR="00FB08AF" w:rsidRPr="00FB08AF" w:rsidDel="000A3889" w14:paraId="09231B65" w14:textId="77777777" w:rsidTr="003D419A">
        <w:tc>
          <w:tcPr>
            <w:tcW w:w="1130" w:type="dxa"/>
            <w:vAlign w:val="center"/>
          </w:tcPr>
          <w:p w14:paraId="3A18AE1F" w14:textId="1174A4A5"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4" w:type="dxa"/>
            <w:vAlign w:val="center"/>
          </w:tcPr>
          <w:p w14:paraId="5FDCA6A3"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kapitāla saglabāšanas rezervju prasība</w:t>
            </w:r>
            <w:r>
              <w:rPr>
                <w:rStyle w:val="InstructionsTabelleberschrift"/>
                <w:sz w:val="24"/>
                <w:rFonts w:ascii="Times New Roman" w:hAnsi="Times New Roman"/>
              </w:rPr>
              <w:t xml:space="preserve"> </w:t>
            </w:r>
          </w:p>
          <w:p w14:paraId="2EF1B114" w14:textId="1AE53AED" w:rsidR="008C1E88" w:rsidRPr="00FB08AF" w:rsidRDefault="008C1E88" w:rsidP="00E36728">
            <w:pPr>
              <w:pStyle w:val="InstructionsText"/>
              <w:rPr>
                <w:rStyle w:val="InstructionsTabelleberschrift"/>
                <w:sz w:val="24"/>
                <w:rFonts w:ascii="Times New Roman" w:hAnsi="Times New Roman"/>
              </w:rPr>
            </w:pPr>
            <w:r>
              <w:t xml:space="preserve">Iestādei specifisko apvienoto rezervju summa (izteikta kā procentuālā daļa no </w:t>
            </w:r>
            <w:r>
              <w:t xml:space="preserve">kopējās riska darījumu vērtības), kas attiecas uz kapitāla saglabāšanas rezervju prasību.</w:t>
            </w:r>
          </w:p>
        </w:tc>
      </w:tr>
      <w:tr w:rsidR="00FB08AF" w:rsidRPr="00FB08AF" w:rsidDel="000A3889" w14:paraId="5F62F9F9" w14:textId="77777777" w:rsidTr="003D419A">
        <w:tc>
          <w:tcPr>
            <w:tcW w:w="1130" w:type="dxa"/>
            <w:vAlign w:val="center"/>
          </w:tcPr>
          <w:p w14:paraId="22DE9DFA" w14:textId="352D04CB"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4" w:type="dxa"/>
          </w:tcPr>
          <w:p w14:paraId="515F40B5"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pretciklisko kapitāla rezervju prasība</w:t>
            </w:r>
            <w:r>
              <w:rPr>
                <w:rStyle w:val="InstructionsTabelleberschrift"/>
                <w:sz w:val="24"/>
                <w:rFonts w:ascii="Times New Roman" w:hAnsi="Times New Roman"/>
              </w:rPr>
              <w:t xml:space="preserve"> </w:t>
            </w:r>
          </w:p>
          <w:p w14:paraId="4E424522" w14:textId="1A5077C0" w:rsidR="008C1E88" w:rsidRPr="00FB08AF" w:rsidRDefault="008C1E88" w:rsidP="00E36728">
            <w:pPr>
              <w:pStyle w:val="InstructionsText"/>
              <w:rPr>
                <w:rStyle w:val="InstructionsTabelleberschrift"/>
                <w:sz w:val="24"/>
                <w:rFonts w:ascii="Times New Roman" w:hAnsi="Times New Roman"/>
              </w:rPr>
            </w:pPr>
            <w:r>
              <w:t xml:space="preserve">Iestādei specifisko apvienoto rezervju summa (izteikta kā procentuālā daļa no </w:t>
            </w:r>
            <w:r>
              <w:t xml:space="preserve">kopējās riska darījumu vērtības), kas attiecas uz pretciklisko rezervju prasību.</w:t>
            </w:r>
          </w:p>
        </w:tc>
      </w:tr>
      <w:tr w:rsidR="00FB08AF" w:rsidRPr="00FB08AF" w:rsidDel="000A3889" w14:paraId="3DD0E60F" w14:textId="77777777" w:rsidTr="003D419A">
        <w:tc>
          <w:tcPr>
            <w:tcW w:w="1130" w:type="dxa"/>
            <w:vAlign w:val="center"/>
          </w:tcPr>
          <w:p w14:paraId="731CB060" w14:textId="4E4E808F"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p>
        </w:tc>
        <w:tc>
          <w:tcPr>
            <w:tcW w:w="7624" w:type="dxa"/>
          </w:tcPr>
          <w:p w14:paraId="2EA75ACC" w14:textId="77777777"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sistēmiskā riska rezervju prasība</w:t>
            </w:r>
            <w:r>
              <w:rPr>
                <w:rStyle w:val="InstructionsTabelleberschrift"/>
                <w:sz w:val="24"/>
                <w:rFonts w:ascii="Times New Roman" w:hAnsi="Times New Roman"/>
              </w:rPr>
              <w:t xml:space="preserve"> </w:t>
            </w:r>
          </w:p>
          <w:p w14:paraId="65530AC4" w14:textId="655A20A0" w:rsidR="008C1E88" w:rsidRPr="00FB08AF" w:rsidRDefault="008C1E88" w:rsidP="00E36728">
            <w:pPr>
              <w:pStyle w:val="InstructionsText"/>
              <w:rPr>
                <w:rStyle w:val="InstructionsTabelleberschrift"/>
                <w:b w:val="0"/>
                <w:sz w:val="24"/>
                <w:rFonts w:ascii="Times New Roman" w:hAnsi="Times New Roman"/>
              </w:rPr>
            </w:pPr>
            <w:r>
              <w:t xml:space="preserve">Iestādei specifisko apvienoto rezervju summa (izteikta kā procentuālā daļa no </w:t>
            </w:r>
            <w:r>
              <w:t xml:space="preserve">kopējās riska darījumu vērtības), kas attiecas uz sistēmiskā riska rezervju prasību.</w:t>
            </w:r>
          </w:p>
        </w:tc>
      </w:tr>
      <w:tr w:rsidR="00FB08AF" w:rsidRPr="00FB08AF" w:rsidDel="000A3889" w14:paraId="5D343AEB" w14:textId="77777777" w:rsidTr="003D419A">
        <w:tc>
          <w:tcPr>
            <w:tcW w:w="1130" w:type="dxa"/>
            <w:vAlign w:val="center"/>
          </w:tcPr>
          <w:p w14:paraId="121693A9" w14:textId="7BE6F216" w:rsidR="008C1E88" w:rsidRPr="00FB08AF" w:rsidRDefault="00443BE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0540</w:t>
            </w:r>
          </w:p>
        </w:tc>
        <w:tc>
          <w:tcPr>
            <w:tcW w:w="7624" w:type="dxa"/>
          </w:tcPr>
          <w:p w14:paraId="072B7571" w14:textId="3758ED59" w:rsidR="008C1E88" w:rsidRPr="00FB08AF" w:rsidRDefault="008C1E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Globālo sistēmiski nozīmīgo iestāžu (G-SNI) vai citu sistēmiski nozīmīgo iestāžu (C-SNI) rezerves</w:t>
            </w:r>
          </w:p>
          <w:p w14:paraId="294528A0" w14:textId="78EBD6C0" w:rsidR="008C1E88" w:rsidRPr="00FB08AF" w:rsidRDefault="008C1E88" w:rsidP="00E36728">
            <w:pPr>
              <w:pStyle w:val="InstructionsText"/>
              <w:rPr>
                <w:rStyle w:val="InstructionsTabelleberschrift"/>
                <w:b w:val="0"/>
                <w:sz w:val="24"/>
                <w:rFonts w:ascii="Times New Roman" w:hAnsi="Times New Roman"/>
              </w:rPr>
            </w:pPr>
            <w:r>
              <w:t xml:space="preserve">Iestādei specifisko apvienoto rezervju summa (izteikta kā procentuālā daļa no </w:t>
            </w:r>
            <w:r>
              <w:rPr>
                <w:rStyle w:val="FormatvorlageInstructionsTabelleText"/>
                <w:sz w:val="24"/>
                <w:rFonts w:ascii="Times New Roman" w:hAnsi="Times New Roman"/>
              </w:rPr>
              <w:t xml:space="preserve">kopējās riska darījumu vērtības</w:t>
            </w:r>
            <w:r>
              <w:t xml:space="preserve">), kas attiecas uz G-SNI vai C-SNI rezervju prasību.</w:t>
            </w:r>
          </w:p>
        </w:tc>
      </w:tr>
      <w:tr w:rsidR="00FB08AF" w:rsidRPr="00FB08AF" w14:paraId="0BE86C45" w14:textId="77777777" w:rsidTr="004912BF">
        <w:tc>
          <w:tcPr>
            <w:tcW w:w="1130" w:type="dxa"/>
          </w:tcPr>
          <w:p w14:paraId="121F7357" w14:textId="54E1542B"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0550 - 0600</w:t>
            </w:r>
          </w:p>
        </w:tc>
        <w:tc>
          <w:tcPr>
            <w:tcW w:w="7624" w:type="dxa"/>
          </w:tcPr>
          <w:p w14:paraId="5B988009"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Citas iekšēji rekapitalizējamas saistības</w:t>
            </w:r>
          </w:p>
          <w:p w14:paraId="119B8728" w14:textId="77777777" w:rsidR="003D419A" w:rsidRPr="00FB08AF" w:rsidRDefault="00093411"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Vienības, kurām minētās informācijas sniegšanas dienā pašu kapitāla un atbilstīgo saistību </w:t>
            </w:r>
            <w:r>
              <w:rPr>
                <w:sz w:val="24"/>
                <w:rFonts w:ascii="Times New Roman" w:hAnsi="Times New Roman"/>
              </w:rPr>
              <w:t xml:space="preserve">summas ir vismaz 150 % no Direktīvas 2014/59/ES 45. panta 1. punktā noteiktās prasības, ir atbrīvotas no pienākuma sniegt informāciju</w:t>
            </w:r>
            <w:r>
              <w:rPr>
                <w:sz w:val="24"/>
                <w:rFonts w:ascii="Times New Roman" w:hAnsi="Times New Roman"/>
              </w:rPr>
              <w:t xml:space="preserve"> 0550.–0600. rindā.</w:t>
            </w:r>
            <w:r>
              <w:rPr>
                <w:sz w:val="24"/>
                <w:rStyle w:val="InstructionsTabelleberschrift"/>
                <w:b w:val="0"/>
                <w:u w:val="none"/>
                <w:rFonts w:ascii="Times New Roman" w:hAnsi="Times New Roman"/>
              </w:rPr>
              <w:t xml:space="preserve"> </w:t>
            </w:r>
            <w:r>
              <w:rPr>
                <w:sz w:val="24"/>
                <w:rStyle w:val="InstructionsTabelleberschrift"/>
                <w:b w:val="0"/>
                <w:u w:val="none"/>
                <w:rFonts w:ascii="Times New Roman" w:hAnsi="Times New Roman"/>
              </w:rPr>
              <w:t xml:space="preserve">Šādas vienības var izvēlēties brīvprātīgi sniegt šo informāciju šajā veidnē.</w:t>
            </w:r>
          </w:p>
          <w:p w14:paraId="7F1DE3D2" w14:textId="77777777" w:rsidR="00D95EC1" w:rsidRPr="00FB08AF" w:rsidRDefault="002F47FA"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Neizmantotās iepriekšējās atļaujas summas, ciktāl atļauja attiecas uz atbilstīgo saistību instrumentu, šajās rindās uzskata par citām iekšēji rekapitalizējamām saistībām.</w:t>
            </w:r>
          </w:p>
          <w:p w14:paraId="0474B24A" w14:textId="0F044F02" w:rsidR="002F47FA" w:rsidRPr="00FB08AF" w:rsidRDefault="002F47FA" w:rsidP="00E36728">
            <w:pPr>
              <w:pStyle w:val="InstructionsText"/>
              <w:rPr>
                <w:rStyle w:val="InstructionsTabelleberschrift"/>
                <w:rFonts w:ascii="Times New Roman" w:hAnsi="Times New Roman"/>
                <w:b w:val="0"/>
                <w:sz w:val="24"/>
                <w:u w:val="none"/>
              </w:rPr>
            </w:pPr>
          </w:p>
        </w:tc>
      </w:tr>
      <w:tr w:rsidR="00FB08AF" w:rsidRPr="00FB08AF" w14:paraId="6EAD6E2C" w14:textId="77777777" w:rsidTr="004912BF">
        <w:tc>
          <w:tcPr>
            <w:tcW w:w="1130" w:type="dxa"/>
          </w:tcPr>
          <w:p w14:paraId="6E8E4D0F" w14:textId="685E80A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0550</w:t>
            </w:r>
          </w:p>
        </w:tc>
        <w:tc>
          <w:tcPr>
            <w:tcW w:w="7624" w:type="dxa"/>
          </w:tcPr>
          <w:p w14:paraId="642F28EA"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Citas iekšēji rekapitalizējamas saistības</w:t>
            </w:r>
          </w:p>
          <w:p w14:paraId="6D9455D3" w14:textId="6A0F2470" w:rsidR="003D419A" w:rsidRPr="00FB08AF" w:rsidRDefault="003D419A"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Iekšēji rekapitalizējamu saistību summa, kā definēts </w:t>
            </w:r>
            <w:r>
              <w:rPr>
                <w:sz w:val="24"/>
                <w:rFonts w:ascii="Times New Roman" w:hAnsi="Times New Roman"/>
              </w:rPr>
              <w:t xml:space="preserve">Direktīvas 2014/59/ES 2. panta 1. punkta 71) apakšpunktā, kuras nav atbilstīgas</w:t>
            </w:r>
            <w:r>
              <w:rPr>
                <w:sz w:val="24"/>
                <w:rFonts w:ascii="Times New Roman" w:hAnsi="Times New Roman"/>
              </w:rPr>
              <w:t xml:space="preserve">, lai izpildītu minētās direktīvas 45. un 45.f pantā noteiktās prasības</w:t>
            </w:r>
            <w:r>
              <w:rPr>
                <w:sz w:val="24"/>
                <w:rFonts w:ascii="Times New Roman" w:hAnsi="Times New Roman"/>
              </w:rPr>
              <w:t xml:space="preserve">.</w:t>
            </w:r>
          </w:p>
        </w:tc>
      </w:tr>
      <w:tr w:rsidR="00FB08AF" w:rsidRPr="00FB08AF" w14:paraId="09D32370" w14:textId="77777777" w:rsidTr="004912BF">
        <w:tc>
          <w:tcPr>
            <w:tcW w:w="1130" w:type="dxa"/>
          </w:tcPr>
          <w:p w14:paraId="0E687337" w14:textId="4D51B3C2"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0560</w:t>
            </w:r>
          </w:p>
        </w:tc>
        <w:tc>
          <w:tcPr>
            <w:tcW w:w="7624" w:type="dxa"/>
          </w:tcPr>
          <w:p w14:paraId="5818C7BE" w14:textId="4EA3C64A"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ko reglamentē trešo valstu tiesību akti</w:t>
            </w:r>
          </w:p>
          <w:p w14:paraId="49B397CB" w14:textId="77777777" w:rsidR="003D419A" w:rsidRPr="00FB08AF" w:rsidRDefault="003D419A" w:rsidP="00E36728">
            <w:pPr>
              <w:pStyle w:val="InstructionsText"/>
              <w:rPr>
                <w:rStyle w:val="InstructionsTabelleberschrift"/>
                <w:b w:val="0"/>
                <w:sz w:val="24"/>
                <w:u w:val="none"/>
                <w:rFonts w:ascii="Times New Roman" w:hAnsi="Times New Roman"/>
              </w:rPr>
            </w:pPr>
            <w:r>
              <w:t xml:space="preserve">Citu iekšēji rekapitalizējamu saistību summa, ko reglamentē trešās valsts tiesību akti, kā minēts Direktīvas 2014/59/ES 55. pantā</w:t>
            </w:r>
            <w:r>
              <w:t xml:space="preserve">.</w:t>
            </w:r>
          </w:p>
        </w:tc>
      </w:tr>
      <w:tr w:rsidR="00FB08AF" w:rsidRPr="00FB08AF" w14:paraId="016E3B2F" w14:textId="77777777" w:rsidTr="004912BF">
        <w:tc>
          <w:tcPr>
            <w:tcW w:w="1130" w:type="dxa"/>
          </w:tcPr>
          <w:p w14:paraId="04032741" w14:textId="2041085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0570</w:t>
            </w:r>
          </w:p>
        </w:tc>
        <w:tc>
          <w:tcPr>
            <w:tcW w:w="7624" w:type="dxa"/>
          </w:tcPr>
          <w:p w14:paraId="0805987F" w14:textId="46360A96"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tās, kas satur Direktīvas 2014/59/ES 55. pantā minēto norakstīšanas un konvertācijas klauzulu</w:t>
            </w:r>
          </w:p>
          <w:p w14:paraId="59B7F63C"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b w:val="0"/>
                <w:sz w:val="24"/>
                <w:u w:val="none"/>
                <w:rFonts w:ascii="Times New Roman" w:hAnsi="Times New Roman"/>
              </w:rPr>
              <w:t xml:space="preserve">Tādu citu iekšēji rekapitalizējamu saistību summa, kuras reglamentē trešās valsts tiesību akti un kuras ietver norakstīšanas un konvertācijas klauzulu, kā minēts Direktīvas 2014/59/ES 55. pantā.</w:t>
            </w:r>
          </w:p>
        </w:tc>
      </w:tr>
      <w:tr w:rsidR="00FB08AF" w:rsidRPr="00FB08AF" w14:paraId="44A3DA67" w14:textId="77777777" w:rsidTr="004912BF">
        <w:tc>
          <w:tcPr>
            <w:tcW w:w="1130" w:type="dxa"/>
          </w:tcPr>
          <w:p w14:paraId="7CE13650" w14:textId="796C2343"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0580 - 0600</w:t>
            </w:r>
          </w:p>
        </w:tc>
        <w:tc>
          <w:tcPr>
            <w:tcW w:w="7624" w:type="dxa"/>
          </w:tcPr>
          <w:p w14:paraId="66ED9CC3" w14:textId="77777777" w:rsidR="003D419A" w:rsidRPr="00FB08AF" w:rsidRDefault="003D419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Citu iekšēji rekapitalizējamo saistību sadalījums pa atlikušajiem termiņiem</w:t>
            </w:r>
          </w:p>
        </w:tc>
      </w:tr>
      <w:tr w:rsidR="00FB08AF" w:rsidRPr="00FB08AF" w14:paraId="300DD006" w14:textId="77777777" w:rsidTr="004912BF">
        <w:tc>
          <w:tcPr>
            <w:tcW w:w="1130" w:type="dxa"/>
          </w:tcPr>
          <w:p w14:paraId="5CFE7B08" w14:textId="085E597A"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0580</w:t>
            </w:r>
          </w:p>
        </w:tc>
        <w:tc>
          <w:tcPr>
            <w:tcW w:w="7624" w:type="dxa"/>
          </w:tcPr>
          <w:p w14:paraId="29C2C50A" w14:textId="77777777" w:rsidR="003D419A" w:rsidRPr="00FB08AF" w:rsidRDefault="003D419A" w:rsidP="00E36728">
            <w:pPr>
              <w:pStyle w:val="InstructionsText"/>
              <w:rPr>
                <w:rStyle w:val="InstructionsTabelleberschrift"/>
                <w:b w:val="0"/>
                <w:sz w:val="24"/>
                <w:rFonts w:ascii="Times New Roman" w:hAnsi="Times New Roman"/>
              </w:rPr>
            </w:pPr>
            <w:r>
              <w:t xml:space="preserve">Atlikušais termiņš &lt; 1 gads</w:t>
            </w:r>
          </w:p>
        </w:tc>
      </w:tr>
      <w:tr w:rsidR="00FB08AF" w:rsidRPr="00FB08AF" w14:paraId="0721C064" w14:textId="77777777" w:rsidTr="004912BF">
        <w:tc>
          <w:tcPr>
            <w:tcW w:w="1130" w:type="dxa"/>
          </w:tcPr>
          <w:p w14:paraId="1CF24349" w14:textId="7201FBB8"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0590</w:t>
            </w:r>
          </w:p>
        </w:tc>
        <w:tc>
          <w:tcPr>
            <w:tcW w:w="7624" w:type="dxa"/>
          </w:tcPr>
          <w:p w14:paraId="150BF77A" w14:textId="77777777" w:rsidR="003D419A" w:rsidRPr="00FB08AF" w:rsidRDefault="003D419A" w:rsidP="00E36728">
            <w:pPr>
              <w:pStyle w:val="InstructionsText"/>
              <w:rPr>
                <w:rStyle w:val="InstructionsTabelleberschrift"/>
                <w:b w:val="0"/>
                <w:sz w:val="24"/>
                <w:rFonts w:ascii="Times New Roman" w:hAnsi="Times New Roman"/>
              </w:rPr>
            </w:pPr>
            <w:r>
              <w:t xml:space="preserve">Atlikušais termiņš &gt;= 1 gads un &lt; 2 gadi</w:t>
            </w:r>
          </w:p>
        </w:tc>
      </w:tr>
      <w:tr w:rsidR="00FB08AF" w:rsidRPr="00FB08AF" w14:paraId="30F1478A" w14:textId="77777777" w:rsidTr="004912BF">
        <w:tc>
          <w:tcPr>
            <w:tcW w:w="1130" w:type="dxa"/>
          </w:tcPr>
          <w:p w14:paraId="34DE713A" w14:textId="3C7DD6BD" w:rsidR="003D419A" w:rsidRPr="00FB08AF" w:rsidRDefault="003D419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p>
        </w:tc>
        <w:tc>
          <w:tcPr>
            <w:tcW w:w="7624" w:type="dxa"/>
          </w:tcPr>
          <w:p w14:paraId="54AAA10D" w14:textId="77777777" w:rsidR="003D419A" w:rsidRPr="00FB08AF" w:rsidRDefault="003D419A" w:rsidP="00E36728">
            <w:pPr>
              <w:pStyle w:val="InstructionsText"/>
              <w:rPr>
                <w:rStyle w:val="InstructionsTabelleberschrift"/>
                <w:b w:val="0"/>
                <w:sz w:val="24"/>
                <w:rFonts w:ascii="Times New Roman" w:hAnsi="Times New Roman"/>
              </w:rPr>
            </w:pPr>
            <w:r>
              <w:t xml:space="preserve">Atlikušais termiņš &gt;= 2 gadi</w:t>
            </w:r>
          </w:p>
        </w:tc>
      </w:tr>
      <w:tr w:rsidR="00FB08AF" w:rsidRPr="00FB08AF" w:rsidDel="000A3889" w14:paraId="1A70910A" w14:textId="77777777" w:rsidTr="003D419A">
        <w:tc>
          <w:tcPr>
            <w:tcW w:w="1130" w:type="dxa"/>
            <w:vAlign w:val="center"/>
          </w:tcPr>
          <w:p w14:paraId="38CB7734" w14:textId="5A2BE7DA" w:rsidR="00DC4984" w:rsidRPr="00FB08AF" w:rsidRDefault="007D143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4" w:type="dxa"/>
          </w:tcPr>
          <w:p w14:paraId="16FA0669" w14:textId="77777777" w:rsidR="00DC4984" w:rsidRPr="00FB08AF" w:rsidRDefault="00DC4984"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Izslēgtās saistības</w:t>
            </w:r>
          </w:p>
          <w:p w14:paraId="70A8E546" w14:textId="429FC290" w:rsidR="00DC4984" w:rsidRPr="00FB08AF" w:rsidRDefault="00DC4984" w:rsidP="00E36728">
            <w:pPr>
              <w:pStyle w:val="InstructionsText"/>
              <w:rPr>
                <w:rStyle w:val="InstructionsTabelleberschrift"/>
                <w:sz w:val="24"/>
                <w:rFonts w:ascii="Times New Roman" w:hAnsi="Times New Roman"/>
              </w:rPr>
            </w:pPr>
            <w:r>
              <w:t xml:space="preserve">Regulas (ES) Nr. 575/2013 72.a panta 2. punkts</w:t>
            </w:r>
            <w:r>
              <w:rPr>
                <w:rStyle w:val="InstructionsTabelleberschrift"/>
                <w:b w:val="0"/>
                <w:sz w:val="24"/>
                <w:u w:val="none"/>
                <w:rFonts w:ascii="Times New Roman" w:hAnsi="Times New Roman"/>
              </w:rPr>
              <w:t xml:space="preserve">.</w:t>
            </w:r>
          </w:p>
        </w:tc>
      </w:tr>
      <w:tr w:rsidR="00FB08AF" w:rsidRPr="00FB08AF" w:rsidDel="000A3889" w14:paraId="306FD558" w14:textId="77777777" w:rsidTr="00FB08AF">
        <w:tc>
          <w:tcPr>
            <w:tcW w:w="1130" w:type="dxa"/>
            <w:shd w:val="clear" w:color="auto" w:fill="auto"/>
            <w:vAlign w:val="center"/>
          </w:tcPr>
          <w:p w14:paraId="022C6D2E" w14:textId="07BF0D9F"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4" w:type="dxa"/>
            <w:shd w:val="clear" w:color="auto" w:fill="auto"/>
          </w:tcPr>
          <w:p w14:paraId="477A31ED"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kapitāla instrumenti, ko emitējušas tās pašas noregulējuma grupas likvidācijas vienības</w:t>
            </w:r>
          </w:p>
          <w:p w14:paraId="35DA2E89" w14:textId="0741A503"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Līdzdalība pašu kapitāla instrumentos, kurus emitējušas vienības, kas nav noregulējuma vienības, bet ir likvidācijas vienības, kas ietilpst tajā pašā noregulējuma grupā, un attiecībā uz kurām noregulējuma iestāde nav noteikusi minimuma prasību pašu kapitālam un atbilstīgajām saistībām saskaņā ar Direktīvas 2014/59/ES 45. pantu.</w:t>
            </w:r>
          </w:p>
          <w:p w14:paraId="7D6540B2" w14:textId="0E3804A8" w:rsidR="00B73E12" w:rsidRPr="00FB08AF" w:rsidRDefault="00B73E12"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Šo summu uzrāda šajā rindā neatkarīgi no tā, vai ir izpildīti Direktīvas 2014/59/ES 45.c panta 2.a punkta piektajā daļā paredzētie nosacījumi.</w:t>
            </w:r>
          </w:p>
        </w:tc>
      </w:tr>
      <w:tr w:rsidR="00FB08AF" w:rsidRPr="00FB08AF" w:rsidDel="000A3889" w14:paraId="7F2D9F08" w14:textId="77777777" w:rsidTr="00FB08AF">
        <w:tc>
          <w:tcPr>
            <w:tcW w:w="1130" w:type="dxa"/>
            <w:shd w:val="clear" w:color="auto" w:fill="auto"/>
            <w:vAlign w:val="center"/>
          </w:tcPr>
          <w:p w14:paraId="2F0F4BF3" w14:textId="16174E11" w:rsidR="00B73E12" w:rsidRPr="00FB08AF" w:rsidRDefault="00B73E12"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4" w:type="dxa"/>
            <w:shd w:val="clear" w:color="auto" w:fill="auto"/>
          </w:tcPr>
          <w:p w14:paraId="171A9C06" w14:textId="77777777" w:rsidR="00B73E12" w:rsidRPr="00FB08AF" w:rsidRDefault="00B73E1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Likvidācijas vienību emitētu pašu kapitāla instrumentu līdzdalības attiecība pret atbilstīgu pašu kapitālu un atbilstīgajām saistībām</w:t>
            </w:r>
          </w:p>
          <w:p w14:paraId="72E04E58"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Direktīvas 2014/59/ES 45.c panta 2.a punkts.</w:t>
            </w:r>
            <w:r>
              <w:rPr>
                <w:rStyle w:val="InstructionsTabelleberschrift"/>
                <w:b w:val="0"/>
                <w:sz w:val="24"/>
                <w:u w:val="none"/>
                <w:rFonts w:ascii="Times New Roman" w:hAnsi="Times New Roman"/>
              </w:rPr>
              <w:t xml:space="preserve"> </w:t>
            </w:r>
          </w:p>
          <w:p w14:paraId="222A80B4"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Šo attiecību aprēķina tikai nosūtīšanas datumam, kas ir 31. decembris.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Attiecībā uz pārējiem atsauces datumiem uzrāda attiecību, kas aprēķināta no iepriekšējā gada 31. decembra.</w:t>
            </w:r>
          </w:p>
          <w:p w14:paraId="5398413F" w14:textId="77777777" w:rsidR="00B73E12" w:rsidRPr="00FB08AF" w:rsidRDefault="00B73E12" w:rsidP="00E36728">
            <w:pPr>
              <w:pStyle w:val="InstructionsText"/>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Šo attiecību uzrāda šādi:</w:t>
            </w:r>
          </w:p>
          <w:p w14:paraId="130BEF26" w14:textId="12CD6EAE" w:rsidR="00B73E12" w:rsidRPr="00FB08AF" w:rsidRDefault="00B73E12" w:rsidP="00F14E33">
            <w:pPr>
              <w:pStyle w:val="InstructionsText"/>
              <w:numPr>
                <w:ilvl w:val="0"/>
                <w:numId w:val="76"/>
              </w:numPr>
              <w:ind w:left="343" w:hanging="284"/>
              <w:rPr>
                <w:rStyle w:val="InstructionsTabelleberschrift"/>
                <w:b w:val="0"/>
                <w:bCs w:val="0"/>
                <w:sz w:val="24"/>
                <w:u w:val="none"/>
                <w:rFonts w:ascii="Times New Roman" w:hAnsi="Times New Roman"/>
              </w:rPr>
            </w:pPr>
            <w:r>
              <w:rPr>
                <w:rStyle w:val="InstructionsTabelleberschrift"/>
                <w:b w:val="0"/>
                <w:sz w:val="24"/>
                <w:u w:val="none"/>
                <w:rFonts w:ascii="Times New Roman" w:hAnsi="Times New Roman"/>
              </w:rPr>
              <w:t xml:space="preserve">skaitītājs: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vidējā vērtība no attiecīgā kalendārā gada 12 mēnešu vērtībām attiecībā uz līdzdalību pašu kapitāla instrumentos, kurus emitējušas vienības, kas nav noregulējuma vienības, bet kuras ir likvidācijas vienības, kas ietilpst tajā pašā noregulējuma grupā, un kurām noregulējuma iestāde nav noteikusi minimuma prasību pašu kapitālam un atbilstīgajām saistībām saskaņā ar Direktīvas 2014/59/ES 45. pantu.</w:t>
            </w:r>
          </w:p>
          <w:p w14:paraId="78E1880F" w14:textId="05939301" w:rsidR="00B73E12" w:rsidRPr="00FB08AF" w:rsidRDefault="00B73E12" w:rsidP="00F14E33">
            <w:pPr>
              <w:pStyle w:val="InstructionsText"/>
              <w:numPr>
                <w:ilvl w:val="0"/>
                <w:numId w:val="76"/>
              </w:numPr>
              <w:ind w:left="343" w:hanging="284"/>
              <w:rPr>
                <w:rStyle w:val="InstructionsTabelleberschrift"/>
                <w:sz w:val="24"/>
                <w:rFonts w:ascii="Times New Roman" w:hAnsi="Times New Roman"/>
              </w:rPr>
            </w:pPr>
            <w:r>
              <w:rPr>
                <w:rStyle w:val="InstructionsTabelleberschrift"/>
                <w:b w:val="0"/>
                <w:sz w:val="24"/>
                <w:u w:val="none"/>
                <w:rFonts w:ascii="Times New Roman" w:hAnsi="Times New Roman"/>
              </w:rPr>
              <w:t xml:space="preserve">saucējs: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pārskatu sniedzošās vienības pašu kapitāla un atbilstīgo saistību 12 mēneša vērtību vidējā vērtība attiecīgajā kalendārajā gadā, kas aprēķināta, neņemot vērā pašu kapitāla instrumentu līdzdalības atskaitījumus saskaņā ar Direktīvas 2014/59/ES 45.c panta 2.a punkta piekto daļu.</w:t>
            </w:r>
          </w:p>
        </w:tc>
      </w:tr>
    </w:tbl>
    <w:p w14:paraId="18144D67" w14:textId="61C583E0" w:rsidR="00762AE8" w:rsidRPr="00FB08AF" w:rsidRDefault="00762AE8" w:rsidP="00873459">
      <w:pPr>
        <w:pStyle w:val="Numberedtilelevel1"/>
        <w:numPr>
          <w:ilvl w:val="1"/>
          <w:numId w:val="30"/>
        </w:numPr>
      </w:pPr>
      <w:bookmarkStart w:id="54" w:name="_Toc45558490"/>
      <w:r>
        <w:t xml:space="preserve">M 04.00 – Atbilstīgo saistību finansējuma struktūra (</w:t>
      </w:r>
      <w:r>
        <w:rPr>
          <w:i/>
          <w:iCs/>
        </w:rPr>
        <w:t xml:space="preserve">LIAB-MREL</w:t>
      </w:r>
      <w:r>
        <w:t xml:space="preserve">)</w:t>
      </w:r>
      <w:bookmarkEnd w:id="54"/>
    </w:p>
    <w:p w14:paraId="7A39E67B" w14:textId="35F32692" w:rsidR="00762AE8" w:rsidRPr="00FB08AF" w:rsidRDefault="00762AE8" w:rsidP="00873459">
      <w:pPr>
        <w:pStyle w:val="Numberedtilelevel1"/>
        <w:numPr>
          <w:ilvl w:val="2"/>
          <w:numId w:val="30"/>
        </w:numPr>
      </w:pPr>
      <w:bookmarkStart w:id="55" w:name="_Toc16868641"/>
      <w:bookmarkStart w:id="56" w:name="_Toc20316754"/>
      <w:bookmarkStart w:id="57" w:name="_Toc45558491"/>
      <w:r>
        <w:t xml:space="preserve">Vispārīgas piezīmes</w:t>
      </w:r>
      <w:bookmarkEnd w:id="55"/>
      <w:bookmarkEnd w:id="56"/>
      <w:bookmarkEnd w:id="57"/>
    </w:p>
    <w:p w14:paraId="3591A4DC" w14:textId="13176F8B" w:rsidR="00AD2DA9" w:rsidRPr="00FB08AF" w:rsidRDefault="00762AE8" w:rsidP="00E36728">
      <w:pPr>
        <w:pStyle w:val="InstructionsText2"/>
      </w:pPr>
      <w:r>
        <w:t xml:space="preserve">Šajā veidnē prasīta informācija par to vienību atbilstīgo saistību finansēšanas struktūru, uz kurām attiecas </w:t>
      </w:r>
      <w:r>
        <w:rPr>
          <w:i/>
          <w:iCs/>
        </w:rPr>
        <w:t xml:space="preserve">MREL</w:t>
      </w:r>
      <w:r>
        <w:t xml:space="preserve">.</w:t>
      </w:r>
      <w:r>
        <w:t xml:space="preserve"> </w:t>
      </w:r>
      <w:r>
        <w:t xml:space="preserve">Atbilstīgās saistības ir sadalītas pēc saistību veida un termiņa.</w:t>
      </w:r>
    </w:p>
    <w:p w14:paraId="051EEF6E" w14:textId="11A35C94" w:rsidR="00E645F5" w:rsidRPr="00FB08AF" w:rsidRDefault="00E645F5" w:rsidP="00E36728">
      <w:pPr>
        <w:pStyle w:val="InstructionsText2"/>
      </w:pPr>
      <w:r>
        <w:t xml:space="preserve">Vienības šajā veidnē uzrāda tikai tās saistības, kas ir atbilstīgas, lai izpildītu minimuma prasību pašu kapitālam un atbilstīgajām saistībām, kas noteikta Direktīvā 2014/59/ES (</w:t>
      </w:r>
      <w:r>
        <w:rPr>
          <w:i/>
          <w:iCs/>
        </w:rPr>
        <w:t xml:space="preserve">MREL</w:t>
      </w:r>
      <w:r>
        <w:t xml:space="preserve">/iekšējā </w:t>
      </w:r>
      <w:r>
        <w:rPr>
          <w:i/>
          <w:iCs/>
        </w:rPr>
        <w:t xml:space="preserve">MREL</w:t>
      </w:r>
      <w:r>
        <w:t xml:space="preserve">).</w:t>
      </w:r>
    </w:p>
    <w:p w14:paraId="5A88828B" w14:textId="2C48351E" w:rsidR="00095D0D" w:rsidRPr="00FB08AF" w:rsidRDefault="00AD2DA9" w:rsidP="00E36728">
      <w:pPr>
        <w:pStyle w:val="InstructionsText2"/>
      </w:pPr>
      <w:r>
        <w:t xml:space="preserve">Ja pārskatu sniedzošā vienība ir noregulējuma vienība, atbilstīgās saistības, kā definēts Direktīvas 2014/59/ES 2. panta 1. punkta 71.a) apakšpunktā, uzrāda pirms neizmantoto iepriekšējo atļauju summu atskaitīšanas.</w:t>
      </w:r>
      <w:r>
        <w:t xml:space="preserve"> </w:t>
      </w:r>
      <w:r>
        <w:t xml:space="preserve">Atbilstīgo saistību gadījumā, ko reglamentē trešās valsts tiesību akti, iekļauj tikai tās saistības, kas atbilst minētās direktīvas 55. pantā noteiktajām prasībām.</w:t>
      </w:r>
    </w:p>
    <w:p w14:paraId="1A4BEB0E" w14:textId="13462232" w:rsidR="00762AE8" w:rsidRPr="00FB08AF" w:rsidRDefault="00AD2DA9" w:rsidP="00E36728">
      <w:pPr>
        <w:pStyle w:val="InstructionsText2"/>
      </w:pPr>
      <w:r>
        <w:t xml:space="preserve">Ja pārskatu sniedzošā vienība ir vienība, kas nav noregulējuma vienība, tā šajā veidnē uzrāda atbilstīgās saistības, kā minēts Direktīvas 2014/59/ES 45.f panta 2. punkta a) apakšpunktā, attiecīgā gadījumā ņemot vērā arī minētās direktīvas 89. panta 2. punkta ceturto daļu, pirms neizmantoto iepriekšējo atļauju summu atskaitīšanas.</w:t>
      </w:r>
      <w:r>
        <w:t xml:space="preserve"> </w:t>
      </w:r>
      <w:r>
        <w:rPr>
          <w:rStyle w:val="InstructionsTabelleberschrift"/>
          <w:b w:val="0"/>
          <w:sz w:val="24"/>
          <w:u w:val="none"/>
          <w:rFonts w:ascii="Times New Roman" w:hAnsi="Times New Roman"/>
        </w:rPr>
        <w:t xml:space="preserve">Attiecībā uz instrumentiem, ko reglamentē trešās valsts tiesību akti, instrumentu šajā rindā iekļauj tikai tad, ja tas atbilst minētās direktīvas 55. pantā noteiktajām prasībām.</w:t>
      </w:r>
    </w:p>
    <w:p w14:paraId="2C1B2000" w14:textId="677FC435" w:rsidR="00762AE8" w:rsidRPr="00FB08AF" w:rsidRDefault="00762AE8" w:rsidP="00E36728">
      <w:pPr>
        <w:pStyle w:val="InstructionsText2"/>
      </w:pPr>
      <w:r>
        <w:t xml:space="preserve">Sadalījums pa saistību veidiem ir balstīts uz to pašu saistību veidu kopumu, kas izmantots ziņošanā noregulējuma plānošanas vajadzībām saskaņā ar Īstenošanas regulu (ES) 2018/1624.</w:t>
      </w:r>
      <w:r>
        <w:t xml:space="preserve"> </w:t>
      </w:r>
      <w:r>
        <w:t xml:space="preserve">Atsauces uz minēto īstenošanas regulu ir sniegtas, lai definētu dažādus saistību veidus.</w:t>
      </w:r>
      <w:r>
        <w:t xml:space="preserve"> </w:t>
      </w:r>
    </w:p>
    <w:p w14:paraId="27A75DAB" w14:textId="209C08EF" w:rsidR="00762AE8" w:rsidRPr="00FB08AF" w:rsidRDefault="00762AE8" w:rsidP="00E36728">
      <w:pPr>
        <w:pStyle w:val="InstructionsText2"/>
      </w:pPr>
      <w:r>
        <w:t xml:space="preserve">Ja ir vajadzīgs termiņu sadalījums, atlikušais termiņš ir laiks līdz līgumā noteiktajam termiņam vai – saskaņā ar Regulas (ES) Nr. 575/2013 72.c panta 2. vai 3. punkta nosacījumiem – agrākais iespējamais datums, kurā šo iespēju var izmantot.</w:t>
      </w:r>
      <w:r>
        <w:t xml:space="preserve"> </w:t>
      </w:r>
      <w:r>
        <w:t xml:space="preserve">Pamatsummas starpposma maksājumu gadījumā pamatsummu sadala un iedala atbilstošajās termiņu grupās.</w:t>
      </w:r>
      <w:r>
        <w:t xml:space="preserve"> </w:t>
      </w:r>
      <w:r>
        <w:t xml:space="preserve">Ja piemērojams, termiņu norāda atsevišķi gan pamatsummai, gan uzkrātajiem procentiem.</w:t>
      </w:r>
    </w:p>
    <w:p w14:paraId="1BC1C890" w14:textId="213F7558" w:rsidR="00762AE8" w:rsidRPr="00FB08AF" w:rsidRDefault="00762AE8" w:rsidP="00873459">
      <w:pPr>
        <w:pStyle w:val="Numberedtilelevel1"/>
        <w:numPr>
          <w:ilvl w:val="2"/>
          <w:numId w:val="30"/>
        </w:numPr>
      </w:pPr>
      <w:bookmarkStart w:id="58" w:name="_Toc18593309"/>
      <w:bookmarkStart w:id="59" w:name="_Toc16868642"/>
      <w:bookmarkStart w:id="60" w:name="_Toc20316755"/>
      <w:bookmarkStart w:id="61" w:name="_Toc45558492"/>
      <w:bookmarkEnd w:id="58"/>
      <w:r>
        <w:t xml:space="preserve">Norādījumi par konkrētām pozīcijām</w:t>
      </w:r>
      <w:bookmarkEnd w:id="59"/>
      <w:bookmarkEnd w:id="60"/>
      <w:bookmarkEnd w:id="61"/>
    </w:p>
    <w:tbl>
      <w:tblPr>
        <w:tblW w:w="8749"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7620"/>
      </w:tblGrid>
      <w:tr w:rsidR="00FB08AF" w:rsidRPr="00FB08AF" w14:paraId="78656450" w14:textId="77777777" w:rsidTr="00762AE8">
        <w:tc>
          <w:tcPr>
            <w:tcW w:w="1129" w:type="dxa"/>
            <w:shd w:val="clear" w:color="auto" w:fill="D9D9D9"/>
          </w:tcPr>
          <w:p w14:paraId="7437F57B" w14:textId="77777777" w:rsidR="00762AE8" w:rsidRPr="00FB08AF" w:rsidRDefault="00762AE8" w:rsidP="00E36728">
            <w:pPr>
              <w:pStyle w:val="InstructionsText"/>
              <w:rPr>
                <w:rStyle w:val="InstructionsTabelleText"/>
                <w:bCs/>
                <w:sz w:val="24"/>
                <w:rFonts w:ascii="Times New Roman" w:eastAsia="Arial" w:hAnsi="Times New Roman"/>
              </w:rPr>
            </w:pPr>
            <w:r>
              <w:rPr>
                <w:rStyle w:val="InstructionsTabelleText"/>
                <w:sz w:val="24"/>
                <w:rFonts w:ascii="Times New Roman" w:hAnsi="Times New Roman"/>
              </w:rPr>
              <w:t xml:space="preserve">Rinda</w:t>
            </w:r>
          </w:p>
        </w:tc>
        <w:tc>
          <w:tcPr>
            <w:tcW w:w="7620" w:type="dxa"/>
            <w:shd w:val="clear" w:color="auto" w:fill="D9D9D9"/>
          </w:tcPr>
          <w:p w14:paraId="21D1603A" w14:textId="77777777" w:rsidR="00762AE8" w:rsidRPr="00FB08AF" w:rsidRDefault="00762AE8" w:rsidP="00E36728">
            <w:pPr>
              <w:pStyle w:val="InstructionsText"/>
              <w:rPr>
                <w:rStyle w:val="InstructionsTabelleText"/>
                <w:bCs/>
                <w:sz w:val="24"/>
                <w:rFonts w:ascii="Times New Roman" w:hAnsi="Times New Roman"/>
              </w:rPr>
            </w:pPr>
            <w:r>
              <w:rPr>
                <w:rStyle w:val="InstructionsTabelleText"/>
                <w:sz w:val="24"/>
                <w:rFonts w:ascii="Times New Roman" w:hAnsi="Times New Roman"/>
              </w:rPr>
              <w:t xml:space="preserve">Atsauces uz tiesību aktu noteikumiem un norādījumi</w:t>
            </w:r>
          </w:p>
        </w:tc>
      </w:tr>
      <w:tr w:rsidR="00FB08AF" w:rsidRPr="00FB08AF" w14:paraId="5383880C" w14:textId="77777777" w:rsidTr="00762AE8">
        <w:tc>
          <w:tcPr>
            <w:tcW w:w="1129" w:type="dxa"/>
            <w:vAlign w:val="center"/>
          </w:tcPr>
          <w:p w14:paraId="64C649B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vAlign w:val="center"/>
          </w:tcPr>
          <w:p w14:paraId="26061C97" w14:textId="5585D273" w:rsidR="00F07E87" w:rsidRPr="00FB08AF" w:rsidRDefault="00762AE8" w:rsidP="00E36728">
            <w:pPr>
              <w:pStyle w:val="InstructionsText"/>
              <w:rPr>
                <w:rStyle w:val="FormatvorlageInstructionsTabelleText"/>
                <w:b/>
                <w:sz w:val="24"/>
                <w:u w:val="single"/>
                <w:rFonts w:ascii="Times New Roman" w:hAnsi="Times New Roman"/>
              </w:rPr>
            </w:pPr>
            <w:r>
              <w:rPr>
                <w:rStyle w:val="InstructionsTabelleberschrift"/>
                <w:sz w:val="24"/>
                <w:rFonts w:ascii="Times New Roman" w:hAnsi="Times New Roman"/>
              </w:rPr>
              <w:t xml:space="preserve">ATBILSTĪGĀS SAISTĪBAS</w:t>
            </w:r>
          </w:p>
        </w:tc>
      </w:tr>
      <w:tr w:rsidR="00FB08AF" w:rsidRPr="00FB08AF" w14:paraId="0F28EE1A" w14:textId="77777777" w:rsidTr="00762AE8">
        <w:tc>
          <w:tcPr>
            <w:tcW w:w="1129" w:type="dxa"/>
            <w:vAlign w:val="center"/>
          </w:tcPr>
          <w:p w14:paraId="7807213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0200</w:t>
            </w:r>
          </w:p>
        </w:tc>
        <w:tc>
          <w:tcPr>
            <w:tcW w:w="7620" w:type="dxa"/>
            <w:vAlign w:val="center"/>
          </w:tcPr>
          <w:p w14:paraId="4492AB5A"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Noguldījumi, nesegtie un nepreferenciālie &gt;= 1 gads</w:t>
            </w:r>
          </w:p>
          <w:p w14:paraId="49C46A25" w14:textId="3811070C" w:rsidR="00762AE8" w:rsidRPr="00FB08AF" w:rsidRDefault="00762AE8" w:rsidP="00E36728">
            <w:pPr>
              <w:pStyle w:val="InstructionsText"/>
              <w:rPr>
                <w:rStyle w:val="FormatvorlageInstructionsTabelleText"/>
                <w:b/>
                <w:sz w:val="24"/>
                <w:rFonts w:ascii="Times New Roman" w:hAnsi="Times New Roman"/>
              </w:rPr>
            </w:pPr>
            <w:r>
              <w:t xml:space="preserve">Noguldījumi, kas nav segti un nav preferenciāli, kā definēts </w:t>
            </w:r>
            <w:r>
              <w:t xml:space="preserve">Īstenošanas regulas (ES) 2018/1624 I pielikuma Z 02.00 veidnes 0320. rindā un kas ir atbilstīgi Direktīvas 2014/59/ES 45. panta vajadzībām</w:t>
            </w:r>
            <w:r>
              <w:rPr>
                <w:rStyle w:val="FormatvorlageInstructionsTabelleText"/>
                <w:sz w:val="24"/>
                <w:rFonts w:ascii="Times New Roman" w:hAnsi="Times New Roman"/>
              </w:rPr>
              <w:t xml:space="preserve">.</w:t>
            </w:r>
          </w:p>
        </w:tc>
      </w:tr>
      <w:tr w:rsidR="00FB08AF" w:rsidRPr="00FB08AF" w14:paraId="43228275" w14:textId="77777777" w:rsidTr="00762AE8">
        <w:tc>
          <w:tcPr>
            <w:tcW w:w="1129" w:type="dxa"/>
            <w:vAlign w:val="center"/>
          </w:tcPr>
          <w:p w14:paraId="30431B10"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0210</w:t>
            </w:r>
          </w:p>
        </w:tc>
        <w:tc>
          <w:tcPr>
            <w:tcW w:w="7620" w:type="dxa"/>
            <w:vAlign w:val="center"/>
          </w:tcPr>
          <w:p w14:paraId="1971F075"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2B846C55" w14:textId="77777777" w:rsidTr="00762AE8">
        <w:tc>
          <w:tcPr>
            <w:tcW w:w="1129" w:type="dxa"/>
            <w:vAlign w:val="center"/>
          </w:tcPr>
          <w:p w14:paraId="1DF3A70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0220</w:t>
            </w:r>
          </w:p>
        </w:tc>
        <w:tc>
          <w:tcPr>
            <w:tcW w:w="7620" w:type="dxa"/>
            <w:vAlign w:val="center"/>
          </w:tcPr>
          <w:p w14:paraId="275CBB26"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0BA3B219" w14:textId="77777777" w:rsidTr="00762AE8">
        <w:tc>
          <w:tcPr>
            <w:tcW w:w="1129" w:type="dxa"/>
            <w:vAlign w:val="center"/>
          </w:tcPr>
          <w:p w14:paraId="123CD65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0230</w:t>
            </w:r>
          </w:p>
        </w:tc>
        <w:tc>
          <w:tcPr>
            <w:tcW w:w="7620" w:type="dxa"/>
            <w:vAlign w:val="center"/>
          </w:tcPr>
          <w:p w14:paraId="42F6A8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r w:rsidR="00FB08AF" w:rsidRPr="00FB08AF" w14:paraId="0C7523A2" w14:textId="77777777" w:rsidTr="00762AE8">
        <w:tc>
          <w:tcPr>
            <w:tcW w:w="1129" w:type="dxa"/>
            <w:vAlign w:val="center"/>
          </w:tcPr>
          <w:p w14:paraId="21F422E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0300</w:t>
            </w:r>
          </w:p>
        </w:tc>
        <w:tc>
          <w:tcPr>
            <w:tcW w:w="7620" w:type="dxa"/>
            <w:vAlign w:val="center"/>
          </w:tcPr>
          <w:p w14:paraId="2DECC0A1" w14:textId="77777777" w:rsidR="00762AE8" w:rsidRPr="00FB08AF" w:rsidRDefault="00762AE8" w:rsidP="00E36728">
            <w:pPr>
              <w:pStyle w:val="InstructionsText"/>
              <w:rPr>
                <w:rStyle w:val="FormatvorlageInstructionsTabelleText"/>
                <w:bCs w:val="0"/>
                <w:sz w:val="24"/>
                <w:rFonts w:ascii="Times New Roman" w:hAnsi="Times New Roman"/>
              </w:rPr>
            </w:pPr>
            <w:r>
              <w:rPr>
                <w:rStyle w:val="InstructionsTabelleberschrift"/>
                <w:sz w:val="24"/>
                <w:rFonts w:ascii="Times New Roman" w:hAnsi="Times New Roman"/>
              </w:rPr>
              <w:t xml:space="preserve">Nodrošinātās saistības, kas netiek izmantotas kā nodrošinājums &gt;= 1 gads</w:t>
            </w:r>
            <w:r>
              <w:rPr>
                <w:rStyle w:val="InstructionsTabelleberschrift"/>
                <w:sz w:val="24"/>
                <w:rFonts w:ascii="Times New Roman" w:hAnsi="Times New Roman"/>
              </w:rPr>
              <w:t xml:space="preserve"> </w:t>
            </w:r>
          </w:p>
          <w:p w14:paraId="6EA6B4DB" w14:textId="03EDC0BC" w:rsidR="00762AE8" w:rsidRPr="00FB08AF" w:rsidRDefault="00762AE8" w:rsidP="00E36728">
            <w:pPr>
              <w:pStyle w:val="InstructionsText"/>
              <w:rPr>
                <w:rStyle w:val="FormatvorlageInstructionsTabelleText"/>
                <w:b/>
                <w:sz w:val="24"/>
                <w:rFonts w:ascii="Times New Roman" w:hAnsi="Times New Roman"/>
              </w:rPr>
            </w:pPr>
            <w:r>
              <w:t xml:space="preserve">Nodrošinātās saistības, kas netiek izmantotas kā nodrošinājums un kas definētas </w:t>
            </w:r>
            <w:r>
              <w:t xml:space="preserve">Īstenošanas regulas (ES) 2018/1624 I pielikuma Z 02.00 veidnes 0340. rindā un kas ir atbilstīgas Direktīvas 2014/59/ES 45. panta vajadzībām</w:t>
            </w:r>
            <w:r>
              <w:rPr>
                <w:rStyle w:val="FormatvorlageInstructionsTabelleText"/>
                <w:sz w:val="24"/>
                <w:rFonts w:ascii="Times New Roman" w:hAnsi="Times New Roman"/>
              </w:rPr>
              <w:t xml:space="preserve">.</w:t>
            </w:r>
          </w:p>
        </w:tc>
      </w:tr>
      <w:tr w:rsidR="00FB08AF" w:rsidRPr="00FB08AF" w14:paraId="6A53393A" w14:textId="77777777" w:rsidTr="00762AE8">
        <w:tc>
          <w:tcPr>
            <w:tcW w:w="1129" w:type="dxa"/>
            <w:vAlign w:val="center"/>
          </w:tcPr>
          <w:p w14:paraId="04E4AAE3"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0310</w:t>
            </w:r>
          </w:p>
        </w:tc>
        <w:tc>
          <w:tcPr>
            <w:tcW w:w="7620" w:type="dxa"/>
            <w:vAlign w:val="center"/>
          </w:tcPr>
          <w:p w14:paraId="537C804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600B55D1" w14:textId="77777777" w:rsidTr="00762AE8">
        <w:tc>
          <w:tcPr>
            <w:tcW w:w="1129" w:type="dxa"/>
            <w:vAlign w:val="center"/>
          </w:tcPr>
          <w:p w14:paraId="15C760CE"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0320</w:t>
            </w:r>
          </w:p>
        </w:tc>
        <w:tc>
          <w:tcPr>
            <w:tcW w:w="7620" w:type="dxa"/>
            <w:vAlign w:val="center"/>
          </w:tcPr>
          <w:p w14:paraId="1CD9868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1A7BF7A4" w14:textId="77777777" w:rsidTr="00762AE8">
        <w:tc>
          <w:tcPr>
            <w:tcW w:w="1129" w:type="dxa"/>
            <w:vAlign w:val="center"/>
          </w:tcPr>
          <w:p w14:paraId="2DE80C2B"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0330</w:t>
            </w:r>
          </w:p>
        </w:tc>
        <w:tc>
          <w:tcPr>
            <w:tcW w:w="7620" w:type="dxa"/>
            <w:vAlign w:val="center"/>
          </w:tcPr>
          <w:p w14:paraId="3A278DE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r w:rsidR="00FB08AF" w:rsidRPr="00FB08AF" w14:paraId="2B098627" w14:textId="77777777" w:rsidTr="00762AE8">
        <w:tc>
          <w:tcPr>
            <w:tcW w:w="1129" w:type="dxa"/>
            <w:vAlign w:val="center"/>
          </w:tcPr>
          <w:p w14:paraId="20D819C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0400</w:t>
            </w:r>
          </w:p>
        </w:tc>
        <w:tc>
          <w:tcPr>
            <w:tcW w:w="7620" w:type="dxa"/>
            <w:vAlign w:val="center"/>
          </w:tcPr>
          <w:p w14:paraId="1D62DBC4"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Strukturētās parādzīmes &gt;= 1 gads</w:t>
            </w:r>
          </w:p>
          <w:p w14:paraId="74959F34" w14:textId="50937CF0" w:rsidR="00762AE8" w:rsidRPr="00FB08AF" w:rsidRDefault="00762AE8" w:rsidP="00E36728">
            <w:pPr>
              <w:pStyle w:val="InstructionsText"/>
              <w:rPr>
                <w:rStyle w:val="FormatvorlageInstructionsTabelleText"/>
                <w:b/>
                <w:sz w:val="24"/>
                <w:rFonts w:ascii="Times New Roman" w:hAnsi="Times New Roman"/>
              </w:rPr>
            </w:pPr>
            <w:r>
              <w:t xml:space="preserve">Strukturētās parādzīmes, kā definēts </w:t>
            </w:r>
            <w:r>
              <w:t xml:space="preserve">Īstenošanas regulas (ES) 2018/1624 I pielikuma Z 02.00 veidnes 0350. rindā un kas ir atbilstīgas Direktīvas 2014/59/ES 45. panta vajadzībām</w:t>
            </w:r>
            <w:r>
              <w:rPr>
                <w:rStyle w:val="FormatvorlageInstructionsTabelleText"/>
                <w:sz w:val="24"/>
                <w:rFonts w:ascii="Times New Roman" w:hAnsi="Times New Roman"/>
              </w:rPr>
              <w:t xml:space="preserve">.</w:t>
            </w:r>
          </w:p>
        </w:tc>
      </w:tr>
      <w:tr w:rsidR="00FB08AF" w:rsidRPr="00FB08AF" w14:paraId="72D4F677" w14:textId="77777777" w:rsidTr="00762AE8">
        <w:tc>
          <w:tcPr>
            <w:tcW w:w="1129" w:type="dxa"/>
            <w:vAlign w:val="center"/>
          </w:tcPr>
          <w:p w14:paraId="276C4E2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0410</w:t>
            </w:r>
          </w:p>
        </w:tc>
        <w:tc>
          <w:tcPr>
            <w:tcW w:w="7620" w:type="dxa"/>
            <w:vAlign w:val="center"/>
          </w:tcPr>
          <w:p w14:paraId="00FFDD2F"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6936C748" w14:textId="77777777" w:rsidTr="00762AE8">
        <w:tc>
          <w:tcPr>
            <w:tcW w:w="1129" w:type="dxa"/>
            <w:vAlign w:val="center"/>
          </w:tcPr>
          <w:p w14:paraId="6F001B6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0420</w:t>
            </w:r>
          </w:p>
        </w:tc>
        <w:tc>
          <w:tcPr>
            <w:tcW w:w="7620" w:type="dxa"/>
            <w:vAlign w:val="center"/>
          </w:tcPr>
          <w:p w14:paraId="7227500C"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10DD7ADF" w14:textId="77777777" w:rsidTr="00762AE8">
        <w:tc>
          <w:tcPr>
            <w:tcW w:w="1129" w:type="dxa"/>
            <w:vAlign w:val="center"/>
          </w:tcPr>
          <w:p w14:paraId="7587F6C9"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0430</w:t>
            </w:r>
          </w:p>
        </w:tc>
        <w:tc>
          <w:tcPr>
            <w:tcW w:w="7620" w:type="dxa"/>
            <w:vAlign w:val="center"/>
          </w:tcPr>
          <w:p w14:paraId="7C1370DB"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r w:rsidR="00FB08AF" w:rsidRPr="00FB08AF" w14:paraId="07BF9E28" w14:textId="77777777" w:rsidTr="00762AE8">
        <w:tc>
          <w:tcPr>
            <w:tcW w:w="1129" w:type="dxa"/>
            <w:vAlign w:val="center"/>
          </w:tcPr>
          <w:p w14:paraId="1BBF737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0500</w:t>
            </w:r>
          </w:p>
        </w:tc>
        <w:tc>
          <w:tcPr>
            <w:tcW w:w="7620" w:type="dxa"/>
            <w:vAlign w:val="center"/>
          </w:tcPr>
          <w:p w14:paraId="1ABE37E9"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Augstākas prioritātes nenodrošinātās saistības &gt;= 1 gads</w:t>
            </w:r>
          </w:p>
          <w:p w14:paraId="0E73B3A6" w14:textId="66B8722E" w:rsidR="00762AE8" w:rsidRPr="00FB08AF" w:rsidRDefault="00762AE8" w:rsidP="00E36728">
            <w:pPr>
              <w:pStyle w:val="InstructionsText"/>
              <w:rPr>
                <w:rStyle w:val="FormatvorlageInstructionsTabelleText"/>
                <w:b/>
                <w:sz w:val="24"/>
                <w:rFonts w:ascii="Times New Roman" w:hAnsi="Times New Roman"/>
              </w:rPr>
            </w:pPr>
            <w:r>
              <w:t xml:space="preserve">Augstākas prioritātes nenodrošinātas saistības, kas definētas </w:t>
            </w:r>
            <w:r>
              <w:t xml:space="preserve">Īstenošanas regulas (ES) 2018/1624 I pielikuma Z 02.00 veidnes 0360. rindā un kas ir atbilstīgas Direktīvas 2014/59/ES 45. panta vajadzībām</w:t>
            </w:r>
            <w:r>
              <w:rPr>
                <w:rStyle w:val="FormatvorlageInstructionsTabelleText"/>
                <w:sz w:val="24"/>
                <w:rFonts w:ascii="Times New Roman" w:hAnsi="Times New Roman"/>
              </w:rPr>
              <w:t xml:space="preserve">.</w:t>
            </w:r>
          </w:p>
        </w:tc>
      </w:tr>
      <w:tr w:rsidR="00FB08AF" w:rsidRPr="00FB08AF" w14:paraId="35199AA2" w14:textId="77777777" w:rsidTr="00762AE8">
        <w:tc>
          <w:tcPr>
            <w:tcW w:w="1129" w:type="dxa"/>
            <w:vAlign w:val="center"/>
          </w:tcPr>
          <w:p w14:paraId="5D23168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0510</w:t>
            </w:r>
          </w:p>
        </w:tc>
        <w:tc>
          <w:tcPr>
            <w:tcW w:w="7620" w:type="dxa"/>
            <w:vAlign w:val="center"/>
          </w:tcPr>
          <w:p w14:paraId="262358FD"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07D96CBB" w14:textId="77777777" w:rsidTr="00762AE8">
        <w:tc>
          <w:tcPr>
            <w:tcW w:w="1129" w:type="dxa"/>
            <w:vAlign w:val="center"/>
          </w:tcPr>
          <w:p w14:paraId="324DFF96"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0520</w:t>
            </w:r>
          </w:p>
        </w:tc>
        <w:tc>
          <w:tcPr>
            <w:tcW w:w="7620" w:type="dxa"/>
            <w:vAlign w:val="center"/>
          </w:tcPr>
          <w:p w14:paraId="7552E2F3"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295B6D82" w14:textId="77777777" w:rsidTr="00762AE8">
        <w:tc>
          <w:tcPr>
            <w:tcW w:w="1129" w:type="dxa"/>
            <w:vAlign w:val="center"/>
          </w:tcPr>
          <w:p w14:paraId="3B2CFD8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0530</w:t>
            </w:r>
            <w:r>
              <w:rPr>
                <w:rStyle w:val="FormatvorlageInstructionsTabelleText"/>
                <w:sz w:val="24"/>
                <w:rFonts w:ascii="Times New Roman" w:hAnsi="Times New Roman"/>
              </w:rPr>
              <w:t xml:space="preserve"> </w:t>
            </w:r>
          </w:p>
        </w:tc>
        <w:tc>
          <w:tcPr>
            <w:tcW w:w="7620" w:type="dxa"/>
            <w:vAlign w:val="center"/>
          </w:tcPr>
          <w:p w14:paraId="480600D9"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r w:rsidR="00FB08AF" w:rsidRPr="00FB08AF" w14:paraId="12EA602F" w14:textId="77777777" w:rsidTr="00762AE8">
        <w:tc>
          <w:tcPr>
            <w:tcW w:w="1129" w:type="dxa"/>
            <w:vAlign w:val="center"/>
          </w:tcPr>
          <w:p w14:paraId="3384E48D"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0600</w:t>
            </w:r>
            <w:r>
              <w:rPr>
                <w:rStyle w:val="FormatvorlageInstructionsTabelleText"/>
                <w:sz w:val="24"/>
                <w:rFonts w:ascii="Times New Roman" w:hAnsi="Times New Roman"/>
              </w:rPr>
              <w:t xml:space="preserve"> </w:t>
            </w:r>
          </w:p>
        </w:tc>
        <w:tc>
          <w:tcPr>
            <w:tcW w:w="7620" w:type="dxa"/>
            <w:vAlign w:val="center"/>
          </w:tcPr>
          <w:p w14:paraId="0C40C447" w14:textId="77777777" w:rsidR="00762AE8" w:rsidRPr="00FB08AF" w:rsidRDefault="00762AE8" w:rsidP="00E36728">
            <w:pPr>
              <w:pStyle w:val="InstructionsText"/>
              <w:rPr>
                <w:rStyle w:val="InstructionsTabelleberschrift"/>
                <w:sz w:val="24"/>
                <w:rFonts w:ascii="Times New Roman" w:eastAsia="Cambria" w:hAnsi="Times New Roman"/>
              </w:rPr>
            </w:pPr>
            <w:r>
              <w:rPr>
                <w:rStyle w:val="InstructionsTabelleberschrift"/>
                <w:sz w:val="24"/>
                <w:rFonts w:ascii="Times New Roman" w:hAnsi="Times New Roman"/>
              </w:rPr>
              <w:t xml:space="preserve">Augstākas prioritātes nepreferenciālās saistības &gt;= 1 gads</w:t>
            </w:r>
          </w:p>
          <w:p w14:paraId="2BB67D1C" w14:textId="651E9DC0" w:rsidR="00762AE8" w:rsidRPr="00FB08AF" w:rsidRDefault="00762AE8" w:rsidP="00E36728">
            <w:pPr>
              <w:pStyle w:val="InstructionsText"/>
              <w:rPr>
                <w:rStyle w:val="FormatvorlageInstructionsTabelleText"/>
                <w:b/>
                <w:sz w:val="24"/>
                <w:rFonts w:ascii="Times New Roman" w:hAnsi="Times New Roman"/>
              </w:rPr>
            </w:pPr>
            <w:r>
              <w:t xml:space="preserve">Augstākas prioritātes nepreferenciālas saistības, kā definēts </w:t>
            </w:r>
            <w:r>
              <w:t xml:space="preserve">Īstenošanas regulas (ES) 2018/1624 I pielikuma veidnes Z 02.00 0365. rindā, kas ir atbilstīgas Direktīvas 2014/59/ES 45. panta vajadzībām</w:t>
            </w:r>
            <w:r>
              <w:rPr>
                <w:rStyle w:val="FormatvorlageInstructionsTabelleText"/>
                <w:sz w:val="24"/>
                <w:rFonts w:ascii="Times New Roman" w:hAnsi="Times New Roman"/>
              </w:rPr>
              <w:t xml:space="preserve">.</w:t>
            </w:r>
          </w:p>
        </w:tc>
      </w:tr>
      <w:tr w:rsidR="00FB08AF" w:rsidRPr="00FB08AF" w14:paraId="60C5C44A" w14:textId="77777777" w:rsidTr="00762AE8">
        <w:tc>
          <w:tcPr>
            <w:tcW w:w="1129" w:type="dxa"/>
            <w:vAlign w:val="center"/>
          </w:tcPr>
          <w:p w14:paraId="4478A9B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0610</w:t>
            </w:r>
          </w:p>
        </w:tc>
        <w:tc>
          <w:tcPr>
            <w:tcW w:w="7620" w:type="dxa"/>
            <w:vAlign w:val="center"/>
          </w:tcPr>
          <w:p w14:paraId="6413A5A0"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09D13A9A" w14:textId="77777777" w:rsidTr="00762AE8">
        <w:tc>
          <w:tcPr>
            <w:tcW w:w="1129" w:type="dxa"/>
            <w:vAlign w:val="center"/>
          </w:tcPr>
          <w:p w14:paraId="1E082A92"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0620</w:t>
            </w:r>
          </w:p>
        </w:tc>
        <w:tc>
          <w:tcPr>
            <w:tcW w:w="7620" w:type="dxa"/>
            <w:vAlign w:val="center"/>
          </w:tcPr>
          <w:p w14:paraId="3A55D4CB" w14:textId="77777777" w:rsidR="00762AE8" w:rsidRPr="00FB08AF" w:rsidRDefault="00762AE8" w:rsidP="00E36728">
            <w:pPr>
              <w:pStyle w:val="InstructionsText"/>
              <w:rPr>
                <w:rStyle w:val="FormatvorlageInstructionsTabelleText"/>
                <w:b/>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23C432FB" w14:textId="77777777" w:rsidTr="00762AE8">
        <w:tc>
          <w:tcPr>
            <w:tcW w:w="1129" w:type="dxa"/>
            <w:vAlign w:val="center"/>
          </w:tcPr>
          <w:p w14:paraId="3AC1EB08"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0630</w:t>
            </w:r>
          </w:p>
        </w:tc>
        <w:tc>
          <w:tcPr>
            <w:tcW w:w="7620" w:type="dxa"/>
            <w:vAlign w:val="center"/>
          </w:tcPr>
          <w:p w14:paraId="3C62578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r w:rsidR="00FB08AF" w:rsidRPr="00FB08AF" w14:paraId="6A916816" w14:textId="77777777" w:rsidTr="00762AE8">
        <w:tc>
          <w:tcPr>
            <w:tcW w:w="1129" w:type="dxa"/>
            <w:vAlign w:val="center"/>
          </w:tcPr>
          <w:p w14:paraId="38E47A5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0700</w:t>
            </w:r>
          </w:p>
        </w:tc>
        <w:tc>
          <w:tcPr>
            <w:tcW w:w="7620" w:type="dxa"/>
            <w:vAlign w:val="center"/>
          </w:tcPr>
          <w:p w14:paraId="3036F796" w14:textId="77777777"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Subordinētās saistības (nav atzītas kā pašu kapitāls) &gt;= 1 gads</w:t>
            </w:r>
          </w:p>
          <w:p w14:paraId="47C4F901" w14:textId="4780C2C4" w:rsidR="00762AE8" w:rsidRPr="00FB08AF" w:rsidRDefault="00F94369" w:rsidP="00E36728">
            <w:pPr>
              <w:pStyle w:val="InstructionsText"/>
              <w:rPr>
                <w:rStyle w:val="FormatvorlageInstructionsTabelleText"/>
                <w:sz w:val="24"/>
                <w:rFonts w:ascii="Times New Roman" w:hAnsi="Times New Roman"/>
              </w:rPr>
            </w:pPr>
            <w:r>
              <w:t xml:space="preserve">Subordinētās saistības, kas definētas </w:t>
            </w:r>
            <w:r>
              <w:t xml:space="preserve">Īstenošanas regulas (ES) 2018/1624 I pielikuma Z 02.00 veidnes 0370. rindā un kas ir atbilstīgas Direktīvas 2014/59/ES 45. panta vajadzībām</w:t>
            </w:r>
            <w:r>
              <w:rPr>
                <w:rStyle w:val="FormatvorlageInstructionsTabelleText"/>
                <w:sz w:val="24"/>
                <w:rFonts w:ascii="Times New Roman" w:hAnsi="Times New Roman"/>
              </w:rPr>
              <w:t xml:space="preserve">.</w:t>
            </w:r>
          </w:p>
        </w:tc>
      </w:tr>
      <w:tr w:rsidR="00FB08AF" w:rsidRPr="00FB08AF" w14:paraId="57465221" w14:textId="77777777" w:rsidTr="00762AE8">
        <w:tc>
          <w:tcPr>
            <w:tcW w:w="1129" w:type="dxa"/>
            <w:vAlign w:val="center"/>
          </w:tcPr>
          <w:p w14:paraId="67531431"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0710</w:t>
            </w:r>
          </w:p>
        </w:tc>
        <w:tc>
          <w:tcPr>
            <w:tcW w:w="7620" w:type="dxa"/>
            <w:vAlign w:val="center"/>
          </w:tcPr>
          <w:p w14:paraId="793A93D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625CC92F" w14:textId="77777777" w:rsidTr="00762AE8">
        <w:tc>
          <w:tcPr>
            <w:tcW w:w="1129" w:type="dxa"/>
            <w:vAlign w:val="center"/>
          </w:tcPr>
          <w:p w14:paraId="3FC9B0A7"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0720</w:t>
            </w:r>
          </w:p>
        </w:tc>
        <w:tc>
          <w:tcPr>
            <w:tcW w:w="7620" w:type="dxa"/>
            <w:vAlign w:val="center"/>
          </w:tcPr>
          <w:p w14:paraId="378AC96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FB08AF" w:rsidRPr="00FB08AF" w14:paraId="5E1CEAC6" w14:textId="77777777" w:rsidTr="00762AE8">
        <w:tc>
          <w:tcPr>
            <w:tcW w:w="1129" w:type="dxa"/>
            <w:vAlign w:val="center"/>
          </w:tcPr>
          <w:p w14:paraId="1C9EF155"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0730</w:t>
            </w:r>
          </w:p>
        </w:tc>
        <w:tc>
          <w:tcPr>
            <w:tcW w:w="7620" w:type="dxa"/>
            <w:vAlign w:val="center"/>
          </w:tcPr>
          <w:p w14:paraId="189D1AE1" w14:textId="77777777" w:rsidR="00762AE8" w:rsidRPr="00FB08AF" w:rsidRDefault="00762AE8" w:rsidP="00E36728">
            <w:pPr>
              <w:pStyle w:val="InstructionsText"/>
              <w:rPr>
                <w:rStyle w:val="FormatvorlageInstructionsTabelleText"/>
                <w:sz w:val="24"/>
                <w:szCs w:val="22"/>
                <w:rFonts w:ascii="Times New Roman" w:eastAsiaTheme="minorHAnsi" w:hAnsi="Times New Roman"/>
              </w:rPr>
            </w:pPr>
            <w:r>
              <w:rPr>
                <w:sz w:val="24"/>
                <w:rStyle w:val="FormatvorlageInstructionsTabelleText"/>
                <w:b/>
                <w:u w:val="single"/>
                <w:rFonts w:ascii="Times New Roman" w:hAnsi="Times New Roman"/>
              </w:rPr>
              <w:t xml:space="preserve">tostarp</w:t>
            </w:r>
            <w:r>
              <w:rPr>
                <w:sz w:val="24"/>
                <w:rStyle w:val="InstructionsTabelleberschrift"/>
                <w:rFonts w:ascii="Times New Roman" w:hAnsi="Times New Roman"/>
              </w:rPr>
              <w:t xml:space="preserve">:</w:t>
            </w:r>
            <w:r>
              <w:rPr>
                <w:sz w:val="24"/>
                <w:rStyle w:val="InstructionsTabelleberschrift"/>
                <w:rFonts w:ascii="Times New Roman" w:hAnsi="Times New Roman"/>
              </w:rPr>
              <w:t xml:space="preserve"> </w:t>
            </w:r>
            <w:r>
              <w:rPr>
                <w:sz w:val="24"/>
                <w:rStyle w:val="InstructionsTabelleberschrift"/>
                <w:rFonts w:ascii="Times New Roman" w:hAnsi="Times New Roman"/>
              </w:rPr>
              <w:t xml:space="preserve">meitasuzņēmumu emitēti</w:t>
            </w:r>
          </w:p>
        </w:tc>
      </w:tr>
      <w:tr w:rsidR="00FB08AF" w:rsidRPr="00FB08AF" w14:paraId="2CFE4F64" w14:textId="77777777" w:rsidTr="00762AE8">
        <w:tc>
          <w:tcPr>
            <w:tcW w:w="1129" w:type="dxa"/>
            <w:vAlign w:val="center"/>
          </w:tcPr>
          <w:p w14:paraId="1667A13F"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0800</w:t>
            </w:r>
          </w:p>
        </w:tc>
        <w:tc>
          <w:tcPr>
            <w:tcW w:w="7620" w:type="dxa"/>
            <w:vAlign w:val="center"/>
          </w:tcPr>
          <w:p w14:paraId="20A1B645" w14:textId="1172CBDD" w:rsidR="00762AE8" w:rsidRPr="00FB08AF" w:rsidRDefault="00762AE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Citas </w:t>
            </w:r>
            <w:r>
              <w:rPr>
                <w:rStyle w:val="InstructionsTabelleberschrift"/>
                <w:sz w:val="24"/>
                <w:i/>
                <w:iCs/>
                <w:rFonts w:ascii="Times New Roman" w:hAnsi="Times New Roman"/>
              </w:rPr>
              <w:t xml:space="preserve">MREL</w:t>
            </w:r>
            <w:r>
              <w:rPr>
                <w:rStyle w:val="InstructionsTabelleberschrift"/>
                <w:sz w:val="24"/>
                <w:rFonts w:ascii="Times New Roman" w:hAnsi="Times New Roman"/>
              </w:rPr>
              <w:t xml:space="preserve"> atbilstīgās saistības &gt;= 1 gads</w:t>
            </w:r>
          </w:p>
          <w:p w14:paraId="76DA3A5F" w14:textId="4DF75699" w:rsidR="00762AE8" w:rsidRPr="00FB08AF" w:rsidRDefault="00762AE8" w:rsidP="00E36728">
            <w:pPr>
              <w:pStyle w:val="InstructionsText"/>
              <w:rPr>
                <w:rStyle w:val="FormatvorlageInstructionsTabelleText"/>
                <w:sz w:val="24"/>
                <w:rFonts w:ascii="Times New Roman" w:hAnsi="Times New Roman"/>
              </w:rPr>
            </w:pPr>
            <w:r>
              <w:t xml:space="preserve">Jebkurš cits instruments, kas ir atbilstīgs Direktīvas 2014/59/ES 45. panta vajadzībām</w:t>
            </w:r>
            <w:r>
              <w:rPr>
                <w:rStyle w:val="FormatvorlageInstructionsTabelleText"/>
                <w:sz w:val="24"/>
                <w:rFonts w:ascii="Times New Roman" w:hAnsi="Times New Roman"/>
              </w:rPr>
              <w:t xml:space="preserve">.</w:t>
            </w:r>
          </w:p>
        </w:tc>
      </w:tr>
      <w:tr w:rsidR="00FB08AF" w:rsidRPr="00FB08AF" w14:paraId="77278EFF" w14:textId="77777777" w:rsidTr="00762AE8">
        <w:tc>
          <w:tcPr>
            <w:tcW w:w="1129" w:type="dxa"/>
            <w:vAlign w:val="center"/>
          </w:tcPr>
          <w:p w14:paraId="333872FD" w14:textId="5AB9C055"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0810</w:t>
            </w:r>
          </w:p>
        </w:tc>
        <w:tc>
          <w:tcPr>
            <w:tcW w:w="7620" w:type="dxa"/>
            <w:vAlign w:val="center"/>
          </w:tcPr>
          <w:p w14:paraId="17A02E94"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1 gads un &lt; 2 gadi</w:t>
            </w:r>
          </w:p>
        </w:tc>
      </w:tr>
      <w:tr w:rsidR="00FB08AF" w:rsidRPr="00FB08AF" w14:paraId="3D6B2982" w14:textId="77777777" w:rsidTr="00762AE8">
        <w:tc>
          <w:tcPr>
            <w:tcW w:w="1129" w:type="dxa"/>
            <w:vAlign w:val="center"/>
          </w:tcPr>
          <w:p w14:paraId="43A5C56C"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0820</w:t>
            </w:r>
          </w:p>
        </w:tc>
        <w:tc>
          <w:tcPr>
            <w:tcW w:w="7620" w:type="dxa"/>
            <w:vAlign w:val="center"/>
          </w:tcPr>
          <w:p w14:paraId="49939295"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atlikušais termiņš &gt;= 2 gadi</w:t>
            </w:r>
          </w:p>
        </w:tc>
      </w:tr>
      <w:tr w:rsidR="00762AE8" w:rsidRPr="00FB08AF" w14:paraId="11DE9C50" w14:textId="77777777" w:rsidTr="00762AE8">
        <w:tc>
          <w:tcPr>
            <w:tcW w:w="1129" w:type="dxa"/>
            <w:vAlign w:val="center"/>
          </w:tcPr>
          <w:p w14:paraId="53242FBA" w14:textId="77777777" w:rsidR="00762AE8" w:rsidRPr="00FB08AF" w:rsidRDefault="00762AE8"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0830</w:t>
            </w:r>
          </w:p>
        </w:tc>
        <w:tc>
          <w:tcPr>
            <w:tcW w:w="7620" w:type="dxa"/>
            <w:vAlign w:val="center"/>
          </w:tcPr>
          <w:p w14:paraId="2E47C1B2" w14:textId="77777777" w:rsidR="00762AE8" w:rsidRPr="00FB08AF" w:rsidRDefault="00762AE8"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meitasuzņēmumu emitēti</w:t>
            </w:r>
          </w:p>
        </w:tc>
      </w:tr>
    </w:tbl>
    <w:p w14:paraId="70AF81D2" w14:textId="77777777" w:rsidR="00762AE8" w:rsidRPr="00FB08AF" w:rsidRDefault="00762AE8" w:rsidP="00C15B90"/>
    <w:p w14:paraId="5D18E546" w14:textId="5B55411B" w:rsidR="00C91ACB" w:rsidRPr="00FB08AF" w:rsidRDefault="00C91ACB" w:rsidP="002A276F">
      <w:pPr>
        <w:pStyle w:val="Numberedtilelevel1"/>
      </w:pPr>
      <w:bookmarkStart w:id="62" w:name="_Toc45558493"/>
      <w:r>
        <w:t xml:space="preserve">Kreditoru prioritāte</w:t>
      </w:r>
      <w:bookmarkEnd w:id="62"/>
    </w:p>
    <w:p w14:paraId="2625F207" w14:textId="7E2342CE" w:rsidR="00C91ACB" w:rsidRPr="00FB08AF" w:rsidRDefault="00C91ACB" w:rsidP="00E36728">
      <w:pPr>
        <w:pStyle w:val="InstructionsText2"/>
      </w:pPr>
      <w:r>
        <w:t xml:space="preserve">Veidnes M 05.00 un M 06.00 aptver atbilstīgo saistību pakāpes kreditoru hierarhijā.</w:t>
      </w:r>
      <w:r>
        <w:t xml:space="preserve"> </w:t>
      </w:r>
      <w:r>
        <w:t xml:space="preserve">Abas veidnes vienmēr uzrāda individuālā līmenī.</w:t>
      </w:r>
    </w:p>
    <w:p w14:paraId="18C2B303" w14:textId="229D9162" w:rsidR="00C91ACB" w:rsidRPr="00FB08AF" w:rsidRDefault="00C91ACB" w:rsidP="00E36728">
      <w:pPr>
        <w:pStyle w:val="InstructionsText2"/>
      </w:pPr>
      <w:r>
        <w:t xml:space="preserve">Attiecībā uz vienībām, kas pašas nav noregulējuma vienības, summu, kas attiecināma uz katru pakāpi, turpmāk sadala summās, kuras ir parādā noregulējuma vienībai, un attiecīgā gadījumā citās summās, kas nav maksājamas noregulējuma vienībai.</w:t>
      </w:r>
    </w:p>
    <w:p w14:paraId="21EE5EAE" w14:textId="77777777" w:rsidR="00C91ACB" w:rsidRPr="00FB08AF" w:rsidRDefault="00C91ACB" w:rsidP="00E36728">
      <w:pPr>
        <w:pStyle w:val="InstructionsText2"/>
      </w:pPr>
      <w:r>
        <w:t xml:space="preserve">Pakāpes uzrāda, sākot no viszemākās prioritātes un beidzot ar visaugstāko prioritāti.</w:t>
      </w:r>
      <w:r>
        <w:t xml:space="preserve"> </w:t>
      </w:r>
      <w:r>
        <w:t xml:space="preserve">Rindas par pakāpēm pievieno, līdz tiek uzrādīts visaugstākās pakāpes atbilstīgais instruments un visas saistības, kas ir līdzvērtīgas tam.</w:t>
      </w:r>
    </w:p>
    <w:p w14:paraId="50B30E08" w14:textId="117FE293" w:rsidR="00C91ACB" w:rsidRPr="00FB08AF" w:rsidRDefault="00C91ACB" w:rsidP="00873459">
      <w:pPr>
        <w:pStyle w:val="Numberedtilelevel1"/>
        <w:numPr>
          <w:ilvl w:val="1"/>
          <w:numId w:val="30"/>
        </w:numPr>
      </w:pPr>
      <w:bookmarkStart w:id="63" w:name="_Toc45558494"/>
      <w:r>
        <w:t xml:space="preserve">M 05.00 – Kreditoru prioritāte (vienība, kas nav noregulējuma vienība)</w:t>
      </w:r>
      <w:bookmarkEnd w:id="63"/>
    </w:p>
    <w:p w14:paraId="002E2273" w14:textId="2F56247E" w:rsidR="00C91ACB" w:rsidRPr="00FB08AF" w:rsidRDefault="00C91ACB" w:rsidP="00873459">
      <w:pPr>
        <w:pStyle w:val="Numberedtilelevel1"/>
        <w:numPr>
          <w:ilvl w:val="2"/>
          <w:numId w:val="30"/>
        </w:numPr>
      </w:pPr>
      <w:bookmarkStart w:id="64" w:name="_Toc16868645"/>
      <w:bookmarkStart w:id="65" w:name="_Toc20316758"/>
      <w:bookmarkStart w:id="66" w:name="_Toc45558495"/>
      <w:r>
        <w:t xml:space="preserve">Vispārīgas piezīmes</w:t>
      </w:r>
      <w:bookmarkEnd w:id="64"/>
      <w:bookmarkEnd w:id="65"/>
      <w:bookmarkEnd w:id="66"/>
    </w:p>
    <w:p w14:paraId="627C4E67" w14:textId="13CBE53A" w:rsidR="005B59C9" w:rsidRPr="00FB08AF" w:rsidRDefault="00BD1023" w:rsidP="00E36728">
      <w:pPr>
        <w:pStyle w:val="InstructionsText2"/>
      </w:pPr>
      <w:r>
        <w:t xml:space="preserve">Vienības, uz kurām attiecas pienākums ievērot Regulas (ES) Nr. 575/2013 92.b pantā noteikto prasību, šajā veidnē uzrāda:</w:t>
      </w:r>
    </w:p>
    <w:p w14:paraId="1ED4982B" w14:textId="10259DA4" w:rsidR="005B59C9" w:rsidRPr="00FB08AF" w:rsidRDefault="005B59C9" w:rsidP="00E36728">
      <w:pPr>
        <w:pStyle w:val="InstructionsText2"/>
        <w:numPr>
          <w:ilvl w:val="1"/>
          <w:numId w:val="15"/>
        </w:numPr>
      </w:pPr>
      <w:r>
        <w:t xml:space="preserve">pirmā līmeņa pamata kapitāla posteņus, kā minēts Regulas (ES) Nr. 575/2013 26. pantā;</w:t>
      </w:r>
    </w:p>
    <w:p w14:paraId="5BDB8BA9" w14:textId="0E1D5F91" w:rsidR="005B59C9" w:rsidRPr="00FB08AF" w:rsidRDefault="005B59C9" w:rsidP="00E36728">
      <w:pPr>
        <w:pStyle w:val="InstructionsText2"/>
        <w:numPr>
          <w:ilvl w:val="1"/>
          <w:numId w:val="15"/>
        </w:numPr>
      </w:pPr>
      <w:r>
        <w:t xml:space="preserve">pirmā līmeņa papildu kapitāla posteņus, kā minēts Regulas (ES) Nr. 575/2013 51. pantā;</w:t>
      </w:r>
    </w:p>
    <w:p w14:paraId="2BC0BBDC" w14:textId="777D7399" w:rsidR="005B59C9" w:rsidRPr="00FB08AF" w:rsidRDefault="005B59C9" w:rsidP="00E36728">
      <w:pPr>
        <w:pStyle w:val="InstructionsText2"/>
        <w:numPr>
          <w:ilvl w:val="1"/>
          <w:numId w:val="15"/>
        </w:numPr>
      </w:pPr>
      <w:r>
        <w:t xml:space="preserve">otrā līmeņa kapitāla instrumentus un saistītos akciju uzcenojumus, kā minēts Regulas (ES) Nr. 575/2013 62. panta a) un b) punktā, tostarp instrumenta amortizēto daļu, kas nav atzīta nolūkā izpildīt minētās regulas (ES) 92. vai 92.b pantā vai Direktīvas 2014/59/ES 45. pantā noteiktās prasības;</w:t>
      </w:r>
      <w:r>
        <w:t xml:space="preserve"> </w:t>
      </w:r>
      <w:r>
        <w:t xml:space="preserve">kā arī</w:t>
      </w:r>
    </w:p>
    <w:p w14:paraId="3C2101A2" w14:textId="4BF53639" w:rsidR="005B59C9" w:rsidRPr="00FB08AF" w:rsidRDefault="001D0B80" w:rsidP="00E36728">
      <w:pPr>
        <w:pStyle w:val="InstructionsText2"/>
        <w:numPr>
          <w:ilvl w:val="1"/>
          <w:numId w:val="15"/>
        </w:numPr>
      </w:pPr>
      <w:r>
        <w:t xml:space="preserve">saistību instrumentus, kas ir atbilstīgi, lai izpildītu iekšējo </w:t>
      </w:r>
      <w:r>
        <w:rPr>
          <w:i/>
          <w:iCs/>
        </w:rPr>
        <w:t xml:space="preserve">MREL</w:t>
      </w:r>
      <w:r>
        <w:t xml:space="preserve">;</w:t>
      </w:r>
      <w:r>
        <w:t xml:space="preserve"> </w:t>
      </w:r>
    </w:p>
    <w:p w14:paraId="3AB7FC53" w14:textId="1519070D" w:rsidR="00F07E87" w:rsidRPr="00FB08AF" w:rsidRDefault="002854B5" w:rsidP="00E36728">
      <w:pPr>
        <w:pStyle w:val="InstructionsText2"/>
        <w:numPr>
          <w:ilvl w:val="1"/>
          <w:numId w:val="15"/>
        </w:numPr>
      </w:pPr>
      <w:r>
        <w:t xml:space="preserve">citas iekšēji rekapitalizējamas saistības;</w:t>
      </w:r>
      <w:r>
        <w:t xml:space="preserve"> </w:t>
      </w:r>
    </w:p>
    <w:p w14:paraId="4B50C36D" w14:textId="1C6214FE" w:rsidR="00BD1023" w:rsidRPr="00FB08AF" w:rsidRDefault="00F07E87" w:rsidP="00E36728">
      <w:pPr>
        <w:pStyle w:val="InstructionsText2"/>
        <w:numPr>
          <w:ilvl w:val="1"/>
          <w:numId w:val="15"/>
        </w:numPr>
      </w:pPr>
      <w:r>
        <w:t xml:space="preserve">no iekšējās rekapitalizācijas izslēgtās saistības;</w:t>
      </w:r>
      <w:r>
        <w:t xml:space="preserve"> </w:t>
      </w:r>
      <w:r>
        <w:t xml:space="preserve">minētās saistības iekļauj tādā apmērā, kādā tās ir līdzvērtīgas vai zemākas prioritātes par jebkuru instrumentu, kas iekļauts atbilstīgo saistību summā iekšējās </w:t>
      </w:r>
      <w:r>
        <w:rPr>
          <w:i/>
          <w:iCs/>
        </w:rPr>
        <w:t xml:space="preserve">MREL</w:t>
      </w:r>
      <w:r>
        <w:t xml:space="preserve"> vajadzībām.</w:t>
      </w:r>
      <w:r>
        <w:t xml:space="preserve"> </w:t>
      </w:r>
    </w:p>
    <w:p w14:paraId="3B9B66AD" w14:textId="79CC074C" w:rsidR="00F07E87" w:rsidRPr="00FB08AF" w:rsidRDefault="004938DD" w:rsidP="00E36728">
      <w:pPr>
        <w:pStyle w:val="InstructionsText2"/>
      </w:pPr>
      <w:r>
        <w:t xml:space="preserve">To instrumentu summas, kas atbilst Regulas (ES) Nr. 575/2013 92. vai 92.b pantā vai Direktīvas 2014/59/ES 45. pantā noteikto prasību izpildei saskaņā ar piemērojamiem pārejas noteikumiem, arī ņem vērā 20. punktā uzskaitīto instrumentu un posteņu tvērumā.</w:t>
      </w:r>
    </w:p>
    <w:p w14:paraId="53BEC45A" w14:textId="0B58E749" w:rsidR="00F07E87" w:rsidRPr="00FB08AF" w:rsidRDefault="00F07E87" w:rsidP="00E36728">
      <w:pPr>
        <w:pStyle w:val="InstructionsText2"/>
      </w:pPr>
      <w:r>
        <w:t xml:space="preserve">Šā panta 20. punkta a), b) un c) apakšpunktā minēto instrumentu summas ir summa pēc līdzdalības pašu instrumentos atskaitīšanas, kā minēts Regulas (ES) Nr. 575/2013 36. panta 1. punkta f) apakšpunktā, 56. panta a) punktā un 66. panta a) punktā.</w:t>
      </w:r>
      <w:r>
        <w:t xml:space="preserve"> </w:t>
      </w:r>
    </w:p>
    <w:p w14:paraId="587F91CD" w14:textId="329A01DA" w:rsidR="00F07E87" w:rsidRPr="00FB08AF" w:rsidRDefault="00F07E87" w:rsidP="00E36728">
      <w:pPr>
        <w:pStyle w:val="InstructionsText2"/>
      </w:pPr>
      <w:r>
        <w:t xml:space="preserve">Šā panta 20. punkta a) līdz d) apakšpunktā minēto instrumentu summas ir summa pirms neizmantoto iepriekšējo atļauju summu atskaitīšanas.</w:t>
      </w:r>
    </w:p>
    <w:p w14:paraId="275B2F72" w14:textId="5ED34F87" w:rsidR="00C91BDF" w:rsidRPr="00FB08AF" w:rsidRDefault="00F942C9" w:rsidP="00E36728">
      <w:pPr>
        <w:pStyle w:val="InstructionsText2"/>
      </w:pPr>
      <w:r>
        <w:t xml:space="preserve">Vienības, uz kurām neattiecas pienākums izpildīt Regulas (ES) Nr. 575/2013 92.b pantā noteikto prasību, bet uz kurām attiecas pienākums izpildīt Direktīvas 2014/59/ES 45. pantā noteikto prasību saskaņā ar minētās direktīvas 45.f pantu, šajā veidnē uzrāda šīs iedaļas 20. punktā norādītos instrumentus un posteni, izņemot saistības, kas izslēgtas no iekšējās rekapitalizācijas, kā noteikts minētā punkta f) apakšpunktā.</w:t>
      </w:r>
    </w:p>
    <w:p w14:paraId="3C363ACA" w14:textId="4AF65FDD" w:rsidR="00F942C9" w:rsidRPr="00FB08AF" w:rsidRDefault="00586927" w:rsidP="00E36728">
      <w:pPr>
        <w:pStyle w:val="InstructionsText2"/>
      </w:pPr>
      <w:r>
        <w:t xml:space="preserve">Atkāpjoties no 24. punkta, minētās vienības var izvēlēties uzrādīt pašu kapitāla un saistību apjomu, kas noteikts 20. punktā.</w:t>
      </w:r>
    </w:p>
    <w:p w14:paraId="2D11E02F" w14:textId="211DD7F3" w:rsidR="00453B42" w:rsidRPr="00FB08AF" w:rsidRDefault="00FC1379" w:rsidP="00E36728">
      <w:pPr>
        <w:pStyle w:val="InstructionsText2"/>
      </w:pPr>
      <w:r>
        <w:t xml:space="preserve">Vienības, kurām minētās informācijas ziņošanas dienā pašu kapitāla un atbilstīgo saistību summas ir vismaz 150 % no Direktīvas 2014/59/ES 45. panta 1. punktā minētās prasības, ir atbrīvotas no pienākuma sniegt informāciju par citām iekšēji rekapitalizējamām saistībām.</w:t>
      </w:r>
      <w:r>
        <w:t xml:space="preserve"> </w:t>
      </w:r>
      <w:r>
        <w:t xml:space="preserve">Šādas vienības var izvēlēties brīvprātīgi sniegt informāciju par citām iekšēji rekapitalizējamām saistībām šajā veidnē.</w:t>
      </w:r>
    </w:p>
    <w:p w14:paraId="04EC4B94" w14:textId="2CAEDC93" w:rsidR="00C91ACB" w:rsidRPr="00FB08AF" w:rsidRDefault="00C91ACB" w:rsidP="00E36728">
      <w:pPr>
        <w:pStyle w:val="InstructionsText2"/>
      </w:pPr>
      <w:r>
        <w:t xml:space="preserve">un 0020. slejas kombinācija ir rindas identifikators, kas ir unikāls visām veidnes rindām.</w:t>
      </w:r>
    </w:p>
    <w:p w14:paraId="781C3046" w14:textId="3C797AB8" w:rsidR="00C91ACB" w:rsidRPr="00FB08AF" w:rsidRDefault="00C91ACB" w:rsidP="00873459">
      <w:pPr>
        <w:pStyle w:val="Numberedtilelevel1"/>
        <w:numPr>
          <w:ilvl w:val="2"/>
          <w:numId w:val="30"/>
        </w:numPr>
      </w:pPr>
      <w:bookmarkStart w:id="67" w:name="_Toc16868646"/>
      <w:bookmarkStart w:id="68" w:name="_Toc20316759"/>
      <w:bookmarkStart w:id="69" w:name="_Toc45558496"/>
      <w:r>
        <w:t xml:space="preserve">Norādījumi par konkrētām pozīcijām</w:t>
      </w:r>
      <w:bookmarkEnd w:id="67"/>
      <w:bookmarkEnd w:id="68"/>
      <w:bookmarkEnd w:id="69"/>
    </w:p>
    <w:p w14:paraId="6C74EEE4" w14:textId="77777777" w:rsidR="00C91ACB" w:rsidRPr="00FB08AF" w:rsidRDefault="00C91ACB" w:rsidP="00E36728">
      <w:pPr>
        <w:pStyle w:val="InstructionsText"/>
      </w:pPr>
    </w:p>
    <w:tbl>
      <w:tblPr>
        <w:tblW w:w="8749" w:type="dxa"/>
        <w:tblInd w:w="539" w:type="dxa"/>
        <w:tblLayout w:type="fixed"/>
        <w:tblLook w:val="00A0" w:firstRow="1" w:lastRow="0" w:firstColumn="1" w:lastColumn="0" w:noHBand="0" w:noVBand="0"/>
      </w:tblPr>
      <w:tblGrid>
        <w:gridCol w:w="1129"/>
        <w:gridCol w:w="7620"/>
      </w:tblGrid>
      <w:tr w:rsidR="00FB08AF" w:rsidRPr="00FB08AF" w14:paraId="609D8C4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5CFD8575" w14:textId="77777777" w:rsidR="00C91ACB" w:rsidRPr="00FB08AF" w:rsidRDefault="00C91ACB" w:rsidP="00E36728">
            <w:pPr>
              <w:pStyle w:val="InstructionsText"/>
            </w:pPr>
            <w:r>
              <w:t xml:space="preserve">Slejas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04F5B140" w14:textId="77777777" w:rsidR="00C91ACB" w:rsidRPr="00FB08AF" w:rsidRDefault="00C91ACB" w:rsidP="00E36728">
            <w:pPr>
              <w:pStyle w:val="InstructionsText"/>
            </w:pPr>
            <w:r>
              <w:t xml:space="preserve">Atsauces uz tiesību aktu noteikumiem un norādījumi</w:t>
            </w:r>
          </w:p>
        </w:tc>
      </w:tr>
      <w:tr w:rsidR="00FB08AF" w:rsidRPr="00FB08AF" w14:paraId="1FFEE763"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71AC008" w14:textId="77777777" w:rsidR="00C91ACB" w:rsidRPr="00FB08AF" w:rsidRDefault="00C91ACB" w:rsidP="00E36728">
            <w:pPr>
              <w:pStyle w:val="InstructionsText"/>
            </w:pPr>
            <w: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845B6A3"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Maksātnespējas pakāpe</w:t>
            </w:r>
            <w:r>
              <w:rPr>
                <w:rStyle w:val="InstructionsTabelleberschrift"/>
                <w:sz w:val="24"/>
                <w:rFonts w:ascii="Times New Roman" w:hAnsi="Times New Roman"/>
              </w:rPr>
              <w:t xml:space="preserve"> </w:t>
            </w:r>
          </w:p>
          <w:p w14:paraId="257C933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Norāda maksātnespējas pakāpes numuru pārskatu sniedzējas vienības kreditoru hierarhijā, sākot ar viszemāko pakāpi.</w:t>
            </w:r>
          </w:p>
          <w:p w14:paraId="37284C2B" w14:textId="5590BC0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Maksātnespējas pakāpe ir viena no pakāpēm, kas iekļautas minētās jurisdikcijas noregulējuma iestādes publicētajā pakāpju noteikšanā maksātnespējas procedūrā.</w:t>
            </w:r>
          </w:p>
        </w:tc>
      </w:tr>
      <w:tr w:rsidR="00FB08AF" w:rsidRPr="00FB08AF" w14:paraId="3500C29E"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0FF8BAC" w14:textId="77777777" w:rsidR="00C91ACB" w:rsidRPr="00FB08AF" w:rsidRDefault="00C91ACB" w:rsidP="00E36728">
            <w:pPr>
              <w:pStyle w:val="InstructionsText"/>
            </w:pPr>
            <w: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9DFCA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Kreditora veids</w:t>
            </w:r>
            <w:r>
              <w:rPr>
                <w:rStyle w:val="InstructionsTabelleberschrift"/>
                <w:sz w:val="24"/>
                <w:rFonts w:ascii="Times New Roman" w:hAnsi="Times New Roman"/>
              </w:rPr>
              <w:t xml:space="preserve"> </w:t>
            </w:r>
          </w:p>
          <w:p w14:paraId="65F1A0B3"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Kreditora veids ir viens no turpmāk minētajiem:</w:t>
            </w:r>
          </w:p>
          <w:p w14:paraId="01AEE8AB" w14:textId="77777777" w:rsidR="00C91ACB" w:rsidRPr="00FB08AF" w:rsidRDefault="00C91ACB"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“Noregulējuma vienība”</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Šo ierakstu atlasa, lai attiecīgā gadījumā ziņotu par summām, kas tieši vai netieši pieder noregulējuma vienībai, izmantojot vienības visā īpašumtiesību ķēdē.</w:t>
            </w:r>
          </w:p>
          <w:p w14:paraId="2E20A258" w14:textId="77777777" w:rsidR="00C91ACB" w:rsidRPr="00FB08AF" w:rsidRDefault="00C91ACB" w:rsidP="00E36728">
            <w:pPr>
              <w:pStyle w:val="InstructionsText"/>
              <w:numPr>
                <w:ilvl w:val="0"/>
                <w:numId w:val="25"/>
              </w:numPr>
              <w:rPr>
                <w:rStyle w:val="InstructionsTabelleberschrift"/>
                <w:sz w:val="24"/>
                <w:rFonts w:ascii="Times New Roman" w:hAnsi="Times New Roman"/>
              </w:rPr>
            </w:pPr>
            <w:r>
              <w:rPr>
                <w:rStyle w:val="FormatvorlageInstructionsTabelleText"/>
                <w:sz w:val="24"/>
                <w:rFonts w:ascii="Times New Roman" w:hAnsi="Times New Roman"/>
              </w:rPr>
              <w:t xml:space="preserve">“Vienības, kas nav noregulējuma vienība”</w:t>
            </w:r>
            <w:r>
              <w:rPr>
                <w:rStyle w:val="FormatvorlageInstructionsTabelleText"/>
                <w:sz w:val="24"/>
                <w:rFonts w:ascii="Times New Roman" w:hAnsi="Times New Roman"/>
              </w:rPr>
              <w:br/>
            </w:r>
            <w:r>
              <w:rPr>
                <w:rStyle w:val="FormatvorlageInstructionsTabelleText"/>
                <w:sz w:val="24"/>
                <w:rFonts w:ascii="Times New Roman" w:hAnsi="Times New Roman"/>
              </w:rPr>
              <w:t xml:space="preserve">Šo ierakstu atlasa, lai attiecīgā gadījumā ziņotu par summām, kas pieder citiem kreditoriem.</w:t>
            </w:r>
          </w:p>
        </w:tc>
      </w:tr>
      <w:tr w:rsidR="00FB08AF" w:rsidRPr="00FB08AF" w14:paraId="0748F15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936FE2A" w14:textId="77777777" w:rsidR="00C91ACB" w:rsidRPr="00FB08AF" w:rsidRDefault="00C91ACB" w:rsidP="00E36728">
            <w:pPr>
              <w:pStyle w:val="InstructionsText"/>
            </w:pPr>
            <w: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DC17822"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Maksātnespējas pakāpes apraksts</w:t>
            </w:r>
          </w:p>
          <w:p w14:paraId="122A9954" w14:textId="50727B0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Apraksts, kas iekļauts minētās jurisdikcijas noregulējuma iestādes publicētajās maksātnespējas pakāpēs, ja ir pieejams standartizēts saraksts ar šādu aprakstu.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Pretējā gadījumā iestādes izveidots maksātnespējas pakāpju apraksts, kurā norādīts vismaz galvenais instrumenta veids attiecīgajā maksātnespējas pakāpē.</w:t>
            </w:r>
          </w:p>
        </w:tc>
      </w:tr>
      <w:tr w:rsidR="00FB08AF" w:rsidRPr="00FB08AF" w14:paraId="23F114F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45FC843" w14:textId="77777777" w:rsidR="00C91ACB" w:rsidRPr="00FB08AF" w:rsidRDefault="00C91ACB" w:rsidP="00E36728">
            <w:pPr>
              <w:pStyle w:val="InstructionsText"/>
            </w:pPr>
            <w: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9927F84" w14:textId="0047A2E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Saistības un pašu kapitāls</w:t>
            </w:r>
          </w:p>
          <w:p w14:paraId="03660D92" w14:textId="490D18A6" w:rsidR="00CA73FF"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Uzrāda pašu kapitāla, atbilstīgo saistību un attiecīgā gadījumā citu iekšēji rekapitalizējamu saistību summu, kas iedalīta 0010. slejā norādītajai maksātnespējas pakāpei.</w:t>
            </w:r>
          </w:p>
          <w:p w14:paraId="3EAF0BAC" w14:textId="7A1FF05A" w:rsidR="00C91ACB" w:rsidRPr="00FB08AF" w:rsidRDefault="00CA73FF"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Attiecīgā gadījumā šajā slejā iekļauj arī no iekšējās rekapitalizācijas izslēgtās saistības, ciktāl tām ir zemāka vai līdzvērtīga pašu kapitāla un atbilstīgo saistību prioritāte.</w:t>
            </w:r>
            <w:r>
              <w:rPr>
                <w:rStyle w:val="FormatvorlageInstructionsTabelleText"/>
                <w:sz w:val="24"/>
                <w:rFonts w:ascii="Times New Roman" w:hAnsi="Times New Roman"/>
              </w:rPr>
              <w:t xml:space="preserve"> </w:t>
            </w:r>
          </w:p>
          <w:p w14:paraId="7816F63A" w14:textId="75FF0FBE" w:rsidR="00586927" w:rsidRPr="00FB08AF" w:rsidRDefault="00586927" w:rsidP="00E36728">
            <w:pPr>
              <w:pStyle w:val="InstructionsText"/>
              <w:rPr>
                <w:rStyle w:val="FormatvorlageInstructionsTabelleText"/>
                <w:sz w:val="24"/>
                <w:rFonts w:ascii="Times New Roman" w:hAnsi="Times New Roman"/>
              </w:rPr>
            </w:pPr>
            <w:r>
              <w:t xml:space="preserve">Attiecībā uz vienībām, kas minētas 24. pantā, šo sleju atstāj tukšu, ja vien minētās vienības neizvēlas piemērot 25. punktā paredzēto atkāpi.</w:t>
            </w:r>
          </w:p>
        </w:tc>
      </w:tr>
      <w:tr w:rsidR="00FB08AF" w:rsidRPr="00FB08AF" w14:paraId="0C18F0D6"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2BE3858" w14:textId="77777777" w:rsidR="00C91ACB" w:rsidRPr="00FB08AF" w:rsidRDefault="00C91ACB" w:rsidP="00E36728">
            <w:pPr>
              <w:pStyle w:val="InstructionsText"/>
            </w:pPr>
            <w: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6848866" w14:textId="13FD12C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izslēgtās saistības</w:t>
            </w:r>
          </w:p>
          <w:p w14:paraId="6FB0E40C" w14:textId="550BD034" w:rsidR="00C91ACB" w:rsidRPr="00FB08AF" w:rsidRDefault="00C91ACB" w:rsidP="00E36728">
            <w:pPr>
              <w:pStyle w:val="InstructionsText"/>
              <w:rPr>
                <w:rStyle w:val="FormatvorlageInstructionsTabelleText"/>
                <w:sz w:val="24"/>
                <w:rFonts w:ascii="Times New Roman" w:hAnsi="Times New Roman"/>
              </w:rPr>
            </w:pPr>
            <w:r>
              <w:t xml:space="preserve">To saistību summa, kas izslēgtas saskaņā ar Regulas (ES) Nr. 575/2013 72.a panta 2. punktu vai Direktīvas 2014/59/ES 44. panta 2. punktu</w:t>
            </w:r>
            <w:r>
              <w:rPr>
                <w:rStyle w:val="FormatvorlageInstructionsTabelleText"/>
                <w:sz w:val="24"/>
                <w:rFonts w:ascii="Times New Roman" w:hAnsi="Times New Roman"/>
              </w:rPr>
              <w:t xml:space="preserve">.</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Ja noregulējuma iestāde ir nolēmusi izslēgt saistības saskaņā ar minētās direktīvas 44. panta 3. punktu, arī šīs izslēgtās saistības uzrāda šajā slejā.</w:t>
            </w:r>
          </w:p>
          <w:p w14:paraId="2571716C" w14:textId="535D396F" w:rsidR="00586927" w:rsidRPr="00FB08AF" w:rsidRDefault="00586927" w:rsidP="00E36728">
            <w:pPr>
              <w:pStyle w:val="InstructionsText"/>
              <w:rPr>
                <w:rStyle w:val="FormatvorlageInstructionsTabelleText"/>
                <w:sz w:val="24"/>
                <w:rFonts w:ascii="Times New Roman" w:hAnsi="Times New Roman"/>
              </w:rPr>
            </w:pPr>
            <w:r>
              <w:t xml:space="preserve">Attiecībā uz vienībām, kas minētas 24. pantā, šo sleju atstāj tukšu, ja vien minētās vienības neizvēlas piemērot 25. punktā paredzēto atkāpi.</w:t>
            </w:r>
          </w:p>
        </w:tc>
      </w:tr>
      <w:tr w:rsidR="00FB08AF" w:rsidRPr="00FB08AF" w14:paraId="4E4EDAD1"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3DC08DA" w14:textId="77777777" w:rsidR="00C91ACB" w:rsidRPr="00FB08AF" w:rsidRDefault="00C91ACB" w:rsidP="00E36728">
            <w:pPr>
              <w:pStyle w:val="InstructionsText"/>
            </w:pPr>
            <w: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B4C5523" w14:textId="3243342B"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Saistības un pašu kapitāls mīnus izslēgtās saistības</w:t>
            </w:r>
          </w:p>
          <w:p w14:paraId="7EBBC66A" w14:textId="270A00CE" w:rsidR="00C91ACB" w:rsidRPr="00FB08AF" w:rsidRDefault="006B1D21"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Ja vienības aizpilda 0040. sleju, uzrāda 0040. slejā uzrādīto saistību un pašu kapitāla summu, no kuras atņem 0050. slejā uzrādīto izslēgto saistību summu.</w:t>
            </w:r>
          </w:p>
          <w:p w14:paraId="5A6ACD32" w14:textId="010EC8FF" w:rsidR="006B1D21" w:rsidRPr="00FB08AF" w:rsidRDefault="00B77345" w:rsidP="00E36728">
            <w:pPr>
              <w:pStyle w:val="InstructionsText"/>
              <w:rPr>
                <w:rStyle w:val="FormatvorlageInstructionsTabelleText"/>
                <w:sz w:val="24"/>
                <w:rFonts w:ascii="Times New Roman" w:hAnsi="Times New Roman"/>
              </w:rPr>
            </w:pPr>
            <w:r>
              <w:t xml:space="preserve">Ja vienības neaizpilda 0040. sleju, tās šajā slejā uzrāda pašu kapitālu un saistības, kas ir atbilstīgas iekšējās </w:t>
            </w:r>
            <w:r>
              <w:rPr>
                <w:i/>
                <w:iCs/>
              </w:rPr>
              <w:t xml:space="preserve">MREL</w:t>
            </w:r>
            <w:r>
              <w:t xml:space="preserve"> vajadzībām.</w:t>
            </w:r>
            <w:r>
              <w:t xml:space="preserve"> </w:t>
            </w:r>
            <w:r>
              <w:t xml:space="preserve">Citas iekšēji rekapitalizējamas saistības šajā slejā uzrāda, ievērojot 26. punktā norādītos nosacījumus.</w:t>
            </w:r>
          </w:p>
        </w:tc>
      </w:tr>
      <w:tr w:rsidR="00FB08AF" w:rsidRPr="00FB08AF" w14:paraId="19D26BD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22D7418" w14:textId="77777777" w:rsidR="00C91ACB" w:rsidRPr="00FB08AF" w:rsidRDefault="00C91ACB" w:rsidP="00E36728">
            <w:pPr>
              <w:pStyle w:val="InstructionsText"/>
            </w:pPr>
            <w: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4CB935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kapitāls un atbilstīgās saistības iekšējās </w:t>
            </w:r>
            <w:r>
              <w:rPr>
                <w:rStyle w:val="InstructionsTabelleberschrift"/>
                <w:sz w:val="24"/>
                <w:i/>
                <w:iCs/>
                <w:rFonts w:ascii="Times New Roman" w:hAnsi="Times New Roman"/>
              </w:rPr>
              <w:t xml:space="preserve">MREL</w:t>
            </w:r>
            <w:r>
              <w:rPr>
                <w:rStyle w:val="InstructionsTabelleberschrift"/>
                <w:sz w:val="24"/>
                <w:rFonts w:ascii="Times New Roman" w:hAnsi="Times New Roman"/>
              </w:rPr>
              <w:t xml:space="preserve"> vajadzībām</w:t>
            </w:r>
          </w:p>
          <w:p w14:paraId="61B28CDA" w14:textId="2F99546E"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Uzrāda pašu kapitāla un atbilstīgo saistību summu</w:t>
            </w:r>
            <w:r>
              <w:t xml:space="preserve">, ko ieskaita iekšējā </w:t>
            </w:r>
            <w:r>
              <w:rPr>
                <w:i/>
                <w:iCs/>
              </w:rPr>
              <w:t xml:space="preserve">MREL</w:t>
            </w:r>
            <w:r>
              <w:t xml:space="preserve"> saskaņā ar </w:t>
            </w:r>
            <w:r>
              <w:rPr>
                <w:rStyle w:val="FormatvorlageInstructionsTabelleText"/>
                <w:sz w:val="24"/>
                <w:rFonts w:ascii="Times New Roman" w:hAnsi="Times New Roman"/>
              </w:rPr>
              <w:t xml:space="preserve"> Direktīvas 2014/59/ES 45.f panta 2. punktu.</w:t>
            </w:r>
          </w:p>
        </w:tc>
      </w:tr>
      <w:tr w:rsidR="00FB08AF" w:rsidRPr="00FB08AF" w14:paraId="12394B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87F5552" w14:textId="77777777" w:rsidR="00C91ACB" w:rsidRPr="00FB08AF" w:rsidRDefault="00C91ACB" w:rsidP="00E36728">
            <w:pPr>
              <w:pStyle w:val="InstructionsText"/>
            </w:pPr>
            <w:r>
              <w:t xml:space="preserve">0080 - 0110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F8F233"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tostarp:</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ar atlikušo termiņu</w:t>
            </w:r>
          </w:p>
          <w:p w14:paraId="747045F9" w14:textId="55F8A8A2"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atbilstīgo saistību summu, kas ieskaitīta iekšējā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kā uzrādīts 0070. slejā, sadala pēc dažādo instrumentu un posteņu atlikušā termiņa.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Beztermiņa rakstura instrumentus un posteņus šajā sadalījumā neņem vērā, bet uzrāda atsevišķi 0120. slejā.</w:t>
            </w:r>
          </w:p>
        </w:tc>
      </w:tr>
      <w:tr w:rsidR="00FB08AF" w:rsidRPr="00FB08AF" w14:paraId="00BB98F7"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0608F1" w14:textId="77777777" w:rsidR="00C91ACB" w:rsidRPr="00FB08AF" w:rsidRDefault="00C91ACB" w:rsidP="00E36728">
            <w:pPr>
              <w:pStyle w:val="InstructionsText"/>
            </w:pPr>
            <w: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191C83C"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gads &lt; 2 gadi</w:t>
            </w:r>
            <w:r>
              <w:rPr>
                <w:rStyle w:val="InstructionsTabelleberschrift"/>
                <w:sz w:val="24"/>
                <w:rFonts w:ascii="Times New Roman" w:hAnsi="Times New Roman"/>
              </w:rPr>
              <w:t xml:space="preserve"> </w:t>
            </w:r>
          </w:p>
        </w:tc>
      </w:tr>
      <w:tr w:rsidR="00FB08AF" w:rsidRPr="00FB08AF" w14:paraId="75EF6BA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7E7F640" w14:textId="77777777" w:rsidR="00C91ACB" w:rsidRPr="00FB08AF" w:rsidRDefault="00C91ACB" w:rsidP="00E36728">
            <w:pPr>
              <w:pStyle w:val="InstructionsText"/>
            </w:pPr>
            <w: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DEC9C5"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2 gads &lt; 5 gadi</w:t>
            </w:r>
          </w:p>
        </w:tc>
      </w:tr>
      <w:tr w:rsidR="00FB08AF" w:rsidRPr="00FB08AF" w14:paraId="0BF0B54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D028EE8" w14:textId="77777777" w:rsidR="00C91ACB" w:rsidRPr="00FB08AF" w:rsidRDefault="00C91ACB" w:rsidP="00E36728">
            <w:pPr>
              <w:pStyle w:val="InstructionsText"/>
            </w:pPr>
            <w: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63149FF"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5 gadi &lt; 10 gadi</w:t>
            </w:r>
          </w:p>
        </w:tc>
      </w:tr>
      <w:tr w:rsidR="00FB08AF" w:rsidRPr="00FB08AF" w14:paraId="689A4CF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C660429" w14:textId="77777777" w:rsidR="00C91ACB" w:rsidRPr="00FB08AF" w:rsidRDefault="00C91ACB" w:rsidP="00E36728">
            <w:pPr>
              <w:pStyle w:val="InstructionsText"/>
            </w:pPr>
            <w: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0BA5D4D"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10 gadi</w:t>
            </w:r>
          </w:p>
        </w:tc>
      </w:tr>
      <w:tr w:rsidR="00C91ACB" w:rsidRPr="00FB08AF" w14:paraId="0A8502A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28721C2" w14:textId="77777777" w:rsidR="00C91ACB" w:rsidRPr="00FB08AF" w:rsidRDefault="00C91ACB" w:rsidP="00E36728">
            <w:pPr>
              <w:pStyle w:val="InstructionsText"/>
            </w:pPr>
            <w: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397B98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beztermiņa vērtspapīri</w:t>
            </w:r>
          </w:p>
          <w:p w14:paraId="1526BF49" w14:textId="314313E1" w:rsidR="004B37F2" w:rsidRPr="00FB08AF" w:rsidRDefault="00B45720"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Šajā slejā iedala beztermiņa vērtspapīrus un visus pirmā līmeņa pamata kapitāla posteņus, kā arī šīs veidnes tvērumā iekļauto pirmā līmeņa papildu kapitāla un otrā līmeņa kapitāla instrumentu akciju emisijas uzcenojumu.</w:t>
            </w:r>
          </w:p>
        </w:tc>
      </w:tr>
    </w:tbl>
    <w:p w14:paraId="2BC394D0" w14:textId="77777777" w:rsidR="00C91ACB" w:rsidRPr="00FB08AF" w:rsidRDefault="00C91ACB" w:rsidP="00C91ACB">
      <w:pPr>
        <w:rPr>
          <w:rStyle w:val="InstructionsTabelleText"/>
          <w:rFonts w:ascii="Times New Roman" w:hAnsi="Times New Roman"/>
          <w:sz w:val="24"/>
        </w:rPr>
      </w:pPr>
    </w:p>
    <w:p w14:paraId="0930C8BB" w14:textId="6780E6AB" w:rsidR="00C91ACB" w:rsidRPr="00FB08AF" w:rsidRDefault="00C91ACB" w:rsidP="00873459">
      <w:pPr>
        <w:pStyle w:val="Numberedtilelevel1"/>
        <w:numPr>
          <w:ilvl w:val="1"/>
          <w:numId w:val="30"/>
        </w:numPr>
      </w:pPr>
      <w:bookmarkStart w:id="70" w:name="_Toc45558497"/>
      <w:r>
        <w:t xml:space="preserve">M 06.00 – Kreditoru prioritāte (noregulējuma vienība) (RANK)</w:t>
      </w:r>
      <w:bookmarkEnd w:id="70"/>
    </w:p>
    <w:p w14:paraId="2F916741" w14:textId="5CF2CFE6" w:rsidR="00C91ACB" w:rsidRPr="00FB08AF" w:rsidRDefault="00C91ACB" w:rsidP="00873459">
      <w:pPr>
        <w:pStyle w:val="Numberedtilelevel1"/>
        <w:numPr>
          <w:ilvl w:val="2"/>
          <w:numId w:val="30"/>
        </w:numPr>
      </w:pPr>
      <w:bookmarkStart w:id="71" w:name="_Toc16868648"/>
      <w:bookmarkStart w:id="72" w:name="_Toc20316761"/>
      <w:bookmarkStart w:id="73" w:name="_Toc45558498"/>
      <w:r>
        <w:t xml:space="preserve">Vispārīgas piezīmes</w:t>
      </w:r>
      <w:bookmarkEnd w:id="71"/>
      <w:bookmarkEnd w:id="72"/>
      <w:bookmarkEnd w:id="73"/>
    </w:p>
    <w:p w14:paraId="5542EFDB" w14:textId="45CDB215" w:rsidR="00322A0F" w:rsidRPr="00FB08AF" w:rsidRDefault="00586927" w:rsidP="00E36728">
      <w:pPr>
        <w:pStyle w:val="InstructionsText2"/>
      </w:pPr>
      <w:r>
        <w:t xml:space="preserve">Vienības, uz kurām attiecas pienākums ievērot Regulas (ES) Nr. 575/2013 92.a pantā noteikto prasību, šajā veidnē uzrāda:</w:t>
      </w:r>
      <w:r>
        <w:t xml:space="preserve"> </w:t>
      </w:r>
    </w:p>
    <w:p w14:paraId="6279EFD7" w14:textId="7F35A1E6" w:rsidR="00322A0F" w:rsidRPr="00FB08AF" w:rsidRDefault="00322A0F" w:rsidP="00E36728">
      <w:pPr>
        <w:pStyle w:val="InstructionsText2"/>
        <w:numPr>
          <w:ilvl w:val="1"/>
          <w:numId w:val="15"/>
        </w:numPr>
      </w:pPr>
      <w:r>
        <w:t xml:space="preserve">pirmā līmeņa pamata kapitāla posteņus, kā minēts Regulas (ES) Nr. 575/2013 26. pantā;</w:t>
      </w:r>
    </w:p>
    <w:p w14:paraId="7AF30828" w14:textId="4790DF54" w:rsidR="00322A0F" w:rsidRPr="00FB08AF" w:rsidRDefault="00322A0F" w:rsidP="00E36728">
      <w:pPr>
        <w:pStyle w:val="InstructionsText2"/>
        <w:numPr>
          <w:ilvl w:val="1"/>
          <w:numId w:val="15"/>
        </w:numPr>
      </w:pPr>
      <w:r>
        <w:t xml:space="preserve">pirmā līmeņa papildu kapitāla posteņus, kā minēts Regulas (ES) Nr. 575/2013 51. pantā;</w:t>
      </w:r>
    </w:p>
    <w:p w14:paraId="7BBA0777" w14:textId="77DA25EB" w:rsidR="001C4D81" w:rsidRPr="00FB08AF" w:rsidRDefault="00322A0F" w:rsidP="00E36728">
      <w:pPr>
        <w:pStyle w:val="InstructionsText2"/>
        <w:numPr>
          <w:ilvl w:val="1"/>
          <w:numId w:val="15"/>
        </w:numPr>
      </w:pPr>
      <w:r>
        <w:t xml:space="preserve">otrā līmeņa kapitāla instrumentus un saistītos akciju uzcenojumus, kā minēts Regulas (ES) Nr. 575/2013 62. panta a) un b) punktā, tostarp instrumenta amortizēto daļu, kas nav atzīta, lai izpildītu Regulas (ES) Nr. 575/2013 92. vai 92.a pantā vai Direktīvas 2014/59/ES 45. pantā noteiktās prasības;</w:t>
      </w:r>
      <w:r>
        <w:t xml:space="preserve"> </w:t>
      </w:r>
    </w:p>
    <w:p w14:paraId="66755AB2" w14:textId="7027C9DC" w:rsidR="001C4D81" w:rsidRPr="00FB08AF" w:rsidRDefault="001C4D81" w:rsidP="00E36728">
      <w:pPr>
        <w:pStyle w:val="InstructionsText2"/>
        <w:numPr>
          <w:ilvl w:val="1"/>
          <w:numId w:val="15"/>
        </w:numPr>
      </w:pPr>
      <w:r>
        <w:t xml:space="preserve">saistību instrumentus, kas ir atbilstīgi, lai izpildītu </w:t>
      </w:r>
      <w:r>
        <w:rPr>
          <w:i/>
          <w:iCs/>
        </w:rPr>
        <w:t xml:space="preserve">MREL</w:t>
      </w:r>
      <w:r>
        <w:t xml:space="preserve">;</w:t>
      </w:r>
      <w:r>
        <w:t xml:space="preserve"> </w:t>
      </w:r>
    </w:p>
    <w:p w14:paraId="3F253CA0" w14:textId="4177F2DC" w:rsidR="001C4D81" w:rsidRPr="00FB08AF" w:rsidRDefault="001C4D81" w:rsidP="00E36728">
      <w:pPr>
        <w:pStyle w:val="InstructionsText2"/>
        <w:numPr>
          <w:ilvl w:val="1"/>
          <w:numId w:val="15"/>
        </w:numPr>
      </w:pPr>
      <w:r>
        <w:t xml:space="preserve">citas iekšēji rekapitalizējamas saistības;</w:t>
      </w:r>
    </w:p>
    <w:p w14:paraId="5A6C0462" w14:textId="4A21FFB8" w:rsidR="00586927" w:rsidRPr="00FB08AF" w:rsidRDefault="001C4D81" w:rsidP="00E36728">
      <w:pPr>
        <w:pStyle w:val="InstructionsText2"/>
        <w:numPr>
          <w:ilvl w:val="1"/>
          <w:numId w:val="15"/>
        </w:numPr>
      </w:pPr>
      <w:r>
        <w:t xml:space="preserve">no iekšējās rekapitalizācijas izslēgtās saistības;</w:t>
      </w:r>
      <w:r>
        <w:t xml:space="preserve"> </w:t>
      </w:r>
      <w:r>
        <w:t xml:space="preserve">minētās saistības iekļauj tādā apmērā, kādā tās ir līdzvērtīgas vai zemākas prioritātes par jebkuru instrumentu, kas iekļauts atbilstīgo saistību summā </w:t>
      </w:r>
      <w:r>
        <w:rPr>
          <w:i/>
          <w:iCs/>
        </w:rPr>
        <w:t xml:space="preserve">MREL</w:t>
      </w:r>
      <w:r>
        <w:t xml:space="preserve"> vajadzībām.</w:t>
      </w:r>
      <w:r>
        <w:t xml:space="preserve"> </w:t>
      </w:r>
    </w:p>
    <w:p w14:paraId="00E6E45F" w14:textId="155C153B" w:rsidR="001C4D81" w:rsidRPr="00FB08AF" w:rsidRDefault="00B45720" w:rsidP="00E36728">
      <w:pPr>
        <w:pStyle w:val="InstructionsText2"/>
      </w:pPr>
      <w:r>
        <w:t xml:space="preserve">To instrumentu summas, kas atbilst Regulas (ES) Nr. 575/2013 92. vai 92.a pantā vai Direktīvas 2014/59/ES 45. pantā noteikto prasību izpildei saskaņā ar piemērojamiem pārejas noteikumiem, arī ņem vērā 28. punktā uzskaitīto instrumentu un posteņu darbības jomā.</w:t>
      </w:r>
    </w:p>
    <w:p w14:paraId="13BF79C7" w14:textId="449C5518" w:rsidR="00322A0F" w:rsidRPr="00FB08AF" w:rsidRDefault="00586927" w:rsidP="00E36728">
      <w:pPr>
        <w:pStyle w:val="InstructionsText2"/>
      </w:pPr>
      <w:r>
        <w:t xml:space="preserve">Vienības, uz kurām neattiecas pienākums izpildīt Regulas (ES) Nr. 575/2013 92.a pantā noteikto prasību, bet uz kurām attiecas pienākums izpildīt Direktīvas 2014/59/ES 45. pantā noteikto prasību saskaņā ar minētās direktīvas 45.e pantu, šajā veidnē uzrāda šīs iedaļas 28. punktā norādītos instrumentus un posteņus, izņemot saistības, kas izslēgtas no iekšējās rekapitalizācijas, kā noteikts minētā punkta f) apakšpunktā.</w:t>
      </w:r>
      <w:r>
        <w:t xml:space="preserve"> </w:t>
      </w:r>
    </w:p>
    <w:p w14:paraId="7CF10E5F" w14:textId="23B22620" w:rsidR="00586927" w:rsidRPr="00FB08AF" w:rsidRDefault="00322A0F" w:rsidP="00E36728">
      <w:pPr>
        <w:pStyle w:val="InstructionsText2"/>
      </w:pPr>
      <w:r>
        <w:t xml:space="preserve">Atkāpjoties no 30. punkta, minētās vienības var izvēlēties uzrādīt pašu kapitāla un saistību apjomu, kas noteikts 28. punktā.</w:t>
      </w:r>
    </w:p>
    <w:p w14:paraId="42EA1386" w14:textId="70CEE922" w:rsidR="00904685" w:rsidRPr="00FB08AF" w:rsidRDefault="00904685" w:rsidP="00E36728">
      <w:pPr>
        <w:pStyle w:val="InstructionsText2"/>
      </w:pPr>
      <w:r>
        <w:t xml:space="preserve">Šā panta 28. punkta a), b) un c) apakšpunktā minēto instrumentu summas ir summa pēc līdzdalības pašu instrumentos atskaitīšanas, kā minēts Regulas (ES) Nr. 575/2013 36. panta 1. punkta f) apakšpunktā, 56. panta a) punktā un 66. panta a) punktā.</w:t>
      </w:r>
      <w:r>
        <w:t xml:space="preserve"> </w:t>
      </w:r>
    </w:p>
    <w:p w14:paraId="28FBE016" w14:textId="3E3D56AA" w:rsidR="00904685" w:rsidRPr="00FB08AF" w:rsidRDefault="00904685" w:rsidP="00E36728">
      <w:pPr>
        <w:pStyle w:val="InstructionsText2"/>
      </w:pPr>
      <w:r>
        <w:t xml:space="preserve">Šā panta 28. punkta a) līdz d) apakšpunktā minēto instrumentu summas ir summa pirms neizmantoto iepriekšējo atļauju summu atskaitīšanas.</w:t>
      </w:r>
    </w:p>
    <w:p w14:paraId="56113AA6" w14:textId="51BD8668" w:rsidR="00453B42" w:rsidRPr="00FB08AF" w:rsidRDefault="00FC1379" w:rsidP="00E36728">
      <w:pPr>
        <w:pStyle w:val="InstructionsText2"/>
      </w:pPr>
      <w:r>
        <w:t xml:space="preserve">Vienības, kurām minētās informācijas ziņošanas dienā pašu kapitāla un atbilstīgo saistību summas ir vismaz 150 % no Direktīvas 2014/59/ES 45. panta 1. punktā minētās prasības, ir atbrīvotas no pienākuma sniegt informāciju par citām iekšēji rekapitalizējamām saistībām.</w:t>
      </w:r>
      <w:r>
        <w:t xml:space="preserve"> </w:t>
      </w:r>
      <w:r>
        <w:t xml:space="preserve">Šādas vienības var izvēlēties brīvprātīgi sniegt informāciju par citām iekšēji rekapitalizējamām saistībām šajā veidnē.</w:t>
      </w:r>
    </w:p>
    <w:p w14:paraId="57AFD0C9" w14:textId="6F5B7483" w:rsidR="00C91ACB" w:rsidRPr="00FB08AF" w:rsidRDefault="00C91ACB" w:rsidP="00873459">
      <w:pPr>
        <w:pStyle w:val="Numberedtilelevel1"/>
        <w:numPr>
          <w:ilvl w:val="2"/>
          <w:numId w:val="30"/>
        </w:numPr>
      </w:pPr>
      <w:bookmarkStart w:id="74" w:name="_Toc45558499"/>
      <w:bookmarkStart w:id="75" w:name="_Toc16868649"/>
      <w:bookmarkStart w:id="76" w:name="_Toc20316762"/>
      <w:bookmarkStart w:id="77" w:name="_Toc45558500"/>
      <w:bookmarkEnd w:id="74"/>
      <w:r>
        <w:t xml:space="preserve">Norādījumi par konkrētām pozīcijām</w:t>
      </w:r>
      <w:bookmarkEnd w:id="75"/>
      <w:bookmarkEnd w:id="76"/>
      <w:bookmarkEnd w:id="77"/>
    </w:p>
    <w:tbl>
      <w:tblPr>
        <w:tblW w:w="8749" w:type="dxa"/>
        <w:tblInd w:w="539" w:type="dxa"/>
        <w:tblLayout w:type="fixed"/>
        <w:tblLook w:val="00A0" w:firstRow="1" w:lastRow="0" w:firstColumn="1" w:lastColumn="0" w:noHBand="0" w:noVBand="0"/>
      </w:tblPr>
      <w:tblGrid>
        <w:gridCol w:w="1129"/>
        <w:gridCol w:w="7620"/>
      </w:tblGrid>
      <w:tr w:rsidR="00FB08AF" w:rsidRPr="00FB08AF" w14:paraId="06490BC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D9D9D9"/>
          </w:tcPr>
          <w:p w14:paraId="0EE99A8C" w14:textId="77777777" w:rsidR="00C91ACB" w:rsidRPr="00FB08AF" w:rsidRDefault="00C91ACB" w:rsidP="00E36728">
            <w:pPr>
              <w:pStyle w:val="InstructionsText"/>
            </w:pPr>
            <w:r>
              <w:t xml:space="preserve">Slejas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32DA9313" w14:textId="77777777" w:rsidR="00C91ACB" w:rsidRPr="00FB08AF" w:rsidRDefault="00C91ACB" w:rsidP="00E36728">
            <w:pPr>
              <w:pStyle w:val="InstructionsText"/>
            </w:pPr>
            <w:r>
              <w:t xml:space="preserve">Atsauces uz tiesību aktu noteikumiem un norādījumi</w:t>
            </w:r>
          </w:p>
        </w:tc>
      </w:tr>
      <w:tr w:rsidR="00FB08AF" w:rsidRPr="00FB08AF" w14:paraId="41414A2F"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B56B7C0"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D41965"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Maksātnespējas pakāpe</w:t>
            </w:r>
          </w:p>
          <w:p w14:paraId="7434ED16" w14:textId="77777777" w:rsidR="00C91ACB" w:rsidRPr="00FB08AF" w:rsidRDefault="00C91ACB" w:rsidP="00762AE8">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Sk. norādījumus par 0010. sleju veidnē M 05.00.</w:t>
            </w:r>
          </w:p>
          <w:p w14:paraId="4BDEE699" w14:textId="2E13107A" w:rsidR="002D5E59" w:rsidRPr="00FB08AF" w:rsidRDefault="002D5E59" w:rsidP="00C271AC">
            <w:r>
              <w:rPr>
                <w:rStyle w:val="FormatvorlageInstructionsTabelleText"/>
                <w:sz w:val="24"/>
                <w:rFonts w:ascii="Times New Roman" w:hAnsi="Times New Roman"/>
              </w:rPr>
              <w:t xml:space="preserve">Šī sleja ir rindas identifikators, kas ir unikāls visām veidnes rindām.</w:t>
            </w:r>
          </w:p>
        </w:tc>
      </w:tr>
      <w:tr w:rsidR="00FB08AF" w:rsidRPr="00FB08AF" w14:paraId="514B5A05"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00C7B54F"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8834F13" w14:textId="509ADC2D"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Maksātnespējas pakāpes apraksts</w:t>
            </w:r>
          </w:p>
          <w:p w14:paraId="307D484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Sk. norādījumus par 0030. sleju veidnē M 05.00.</w:t>
            </w:r>
          </w:p>
        </w:tc>
      </w:tr>
      <w:tr w:rsidR="00FB08AF" w:rsidRPr="00FB08AF" w14:paraId="622F7D3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C9622C"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2C806CE" w14:textId="3EE7F02F"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Saistības un pašu kapitāls</w:t>
            </w:r>
            <w:r>
              <w:rPr>
                <w:rStyle w:val="InstructionsTabelleberschrift"/>
                <w:sz w:val="24"/>
                <w:rFonts w:ascii="Times New Roman" w:hAnsi="Times New Roman"/>
              </w:rPr>
              <w:t xml:space="preserve"> </w:t>
            </w:r>
          </w:p>
          <w:p w14:paraId="1EB9D7FE" w14:textId="2BE7FDA6"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Uzrāda pašu kapitāla, atbilstīgo saistību un attiecīgā gadījumā citu iekšēji rekapitalizējamu saistību summu, kas iedalīta 0010. slejā norādītajai maksātnespējas pakāpei.</w:t>
            </w:r>
          </w:p>
          <w:p w14:paraId="0FCAB71E" w14:textId="124EF6C2" w:rsidR="00C91ACB" w:rsidRPr="00FB08AF" w:rsidRDefault="0036208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Attiecīgā gadījumā šajā slejā iekļauj arī saistības, kas ir izslēgtas no iekšējās rekapitalizācijas, ciktāl to pakāpe ir zemāka vai līdzvērtīga atbilstīgo saistību līmenim.</w:t>
            </w:r>
          </w:p>
          <w:p w14:paraId="43425123" w14:textId="125BD30B" w:rsidR="00586927" w:rsidRPr="00FB08AF" w:rsidRDefault="00586927" w:rsidP="00E36728">
            <w:pPr>
              <w:pStyle w:val="InstructionsText"/>
              <w:rPr>
                <w:rStyle w:val="FormatvorlageInstructionsTabelleText"/>
                <w:sz w:val="24"/>
                <w:rFonts w:ascii="Times New Roman" w:hAnsi="Times New Roman"/>
              </w:rPr>
            </w:pPr>
            <w:r>
              <w:t xml:space="preserve">Attiecībā uz vienībām, kas minētas 30. pantā, šo sleju atstāj tukšu, ja vien minētās vienības neizvēlas piemērot 31. punktā paredzēto atkāpi.</w:t>
            </w:r>
          </w:p>
        </w:tc>
      </w:tr>
      <w:tr w:rsidR="00FB08AF" w:rsidRPr="00FB08AF" w14:paraId="50DF17A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52E4589D"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D285581" w14:textId="3EBFCD24"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izslēgtās saistības</w:t>
            </w:r>
          </w:p>
          <w:p w14:paraId="26F592C4" w14:textId="0CB68218" w:rsidR="00586927" w:rsidRPr="00FB08AF" w:rsidRDefault="00586927" w:rsidP="00E36728">
            <w:pPr>
              <w:pStyle w:val="InstructionsText"/>
              <w:rPr>
                <w:rStyle w:val="FormatvorlageInstructionsTabelleText"/>
                <w:sz w:val="24"/>
                <w:rFonts w:ascii="Times New Roman" w:hAnsi="Times New Roman"/>
              </w:rPr>
            </w:pPr>
            <w:r>
              <w:t xml:space="preserve">To saistību summa, kas izslēgtas saskaņā ar </w:t>
            </w:r>
            <w:r>
              <w:t xml:space="preserve">Regulas (ES) Nr. 575/2013 72.a panta 2. punktu vai Direktīvas 2014/59/ES 44. panta 2. punktu</w:t>
            </w:r>
            <w:r>
              <w:rPr>
                <w:rStyle w:val="FormatvorlageInstructionsTabelleText"/>
                <w:sz w:val="24"/>
                <w:rFonts w:ascii="Times New Roman" w:hAnsi="Times New Roman"/>
              </w:rPr>
              <w:t xml:space="preserve">.</w:t>
            </w:r>
          </w:p>
          <w:p w14:paraId="2F6500DE" w14:textId="50FC43DE" w:rsidR="00586927" w:rsidRPr="00FB08AF" w:rsidRDefault="00586927" w:rsidP="00E36728">
            <w:pPr>
              <w:pStyle w:val="InstructionsText"/>
              <w:rPr>
                <w:rStyle w:val="FormatvorlageInstructionsTabelleText"/>
                <w:sz w:val="24"/>
                <w:rFonts w:ascii="Times New Roman" w:hAnsi="Times New Roman"/>
              </w:rPr>
            </w:pPr>
            <w:r>
              <w:t xml:space="preserve">Attiecībā uz vienībām, kas minētas 30. pantā, šo sleju atstāj tukšu, ja vien minētās vienības neizvēlas piemērot 31. punktā paredzēto atkāpi.</w:t>
            </w:r>
          </w:p>
        </w:tc>
      </w:tr>
      <w:tr w:rsidR="00FB08AF" w:rsidRPr="00FB08AF" w14:paraId="56B3EF2B"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99BDEDA"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C121F9" w14:textId="05A308D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Saistības un pašu kapitāls mīnus izslēgtās saistības</w:t>
            </w:r>
          </w:p>
          <w:p w14:paraId="45F28248" w14:textId="78C48931" w:rsidR="00C91ACB" w:rsidRPr="00FB08AF" w:rsidRDefault="0000147E" w:rsidP="00CA73FF">
            <w:pPr>
              <w:pStyle w:val="Applicationdirecte"/>
              <w:spacing w:before="120"/>
              <w:rPr>
                <w:rStyle w:val="FormatvorlageInstructionsTabelleText"/>
                <w:sz w:val="24"/>
                <w:rFonts w:ascii="Times New Roman" w:hAnsi="Times New Roman"/>
              </w:rPr>
            </w:pPr>
            <w:r>
              <w:rPr>
                <w:rStyle w:val="FormatvorlageInstructionsTabelleText"/>
                <w:sz w:val="24"/>
                <w:rFonts w:ascii="Times New Roman" w:hAnsi="Times New Roman"/>
              </w:rPr>
              <w:t xml:space="preserve">Ja vienības aizpilda 0030. sleju, uzrāda 0030. slejā uzrādīto saistību un pašu kapitāla summu, no kuras atņem 0040. slejā uzrādīto izslēgto saistību summu.</w:t>
            </w:r>
          </w:p>
          <w:p w14:paraId="0B40F998" w14:textId="26D00C12" w:rsidR="0000147E" w:rsidRPr="00FB08AF" w:rsidRDefault="0000147E" w:rsidP="0000147E">
            <w:r>
              <w:rPr>
                <w:rStyle w:val="FormatvorlageInstructionsTabelleText"/>
                <w:sz w:val="24"/>
                <w:rFonts w:ascii="Times New Roman" w:hAnsi="Times New Roman"/>
              </w:rPr>
              <w:t xml:space="preserve">Ja vienības neaizpilda 0030. sleju, tās šajā slejā uzrāda pašu kapitālu un saistības, kas ir atbilstīgas </w:t>
            </w:r>
            <w:r>
              <w:rPr>
                <w:rStyle w:val="FormatvorlageInstructionsTabelleText"/>
                <w:sz w:val="24"/>
                <w:i/>
                <w:iCs/>
                <w:rFonts w:ascii="Times New Roman" w:hAnsi="Times New Roman"/>
              </w:rPr>
              <w:t xml:space="preserve">MREL</w:t>
            </w:r>
            <w:r>
              <w:rPr>
                <w:rStyle w:val="FormatvorlageInstructionsTabelleText"/>
                <w:sz w:val="24"/>
                <w:rFonts w:ascii="Times New Roman" w:hAnsi="Times New Roman"/>
              </w:rPr>
              <w:t xml:space="preserve"> vajadzībām.</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Citas iekšēji rekapitalizējamās saistības šajā slejā uzrāda, ievērojot 34. punktā norādītos nosacījumus.</w:t>
            </w:r>
          </w:p>
        </w:tc>
      </w:tr>
      <w:tr w:rsidR="00FB08AF" w:rsidRPr="00FB08AF" w14:paraId="1F85B970"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4FEB323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CF34467" w14:textId="3EB19352"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pašu kapitāls un saistības, kas potenciāli ir atbilstīgas, lai izpildītu </w:t>
            </w:r>
            <w:r>
              <w:rPr>
                <w:rStyle w:val="InstructionsTabelleberschrift"/>
                <w:sz w:val="24"/>
                <w:i/>
                <w:iCs/>
                <w:rFonts w:ascii="Times New Roman" w:hAnsi="Times New Roman"/>
              </w:rPr>
              <w:t xml:space="preserve">MREL</w:t>
            </w:r>
          </w:p>
          <w:p w14:paraId="6B93C8A8" w14:textId="166BDE57" w:rsidR="00C91ACB" w:rsidRPr="00FB08AF" w:rsidRDefault="00C91ACB" w:rsidP="00FC6662">
            <w:pPr>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un saistību summa, kas ir atbilstīga, lai izpildītu Direktīvas 2014/59/ES 45. pantā noteiktās prasības saskaņā ar minētās direktīvas 45.e pantu.</w:t>
            </w:r>
          </w:p>
        </w:tc>
      </w:tr>
      <w:tr w:rsidR="00FB08AF" w:rsidRPr="00FB08AF" w14:paraId="7FCA6AC8"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6827C072" w14:textId="77777777" w:rsidR="00C91ACB" w:rsidRPr="00FB08AF" w:rsidRDefault="00C91ACB" w:rsidP="00E36728">
            <w:pPr>
              <w:pStyle w:val="InstructionsText"/>
              <w:rPr>
                <w:rStyle w:val="FormatvorlageInstructionsTabelleText"/>
                <w:sz w:val="24"/>
                <w:rFonts w:ascii="Times New Roman" w:hAnsi="Times New Roman"/>
              </w:rPr>
            </w:pPr>
            <w:r>
              <w:t xml:space="preserve">0070 - 0100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80ECF8C" w14:textId="77777777" w:rsidR="00C91ACB" w:rsidRPr="00FB08AF" w:rsidRDefault="00C91ACB" w:rsidP="00E36728">
            <w:pPr>
              <w:pStyle w:val="InstructionsText"/>
              <w:rPr>
                <w:rStyle w:val="FormatvorlageInstructionsTabelleText"/>
                <w:b/>
                <w:sz w:val="24"/>
                <w:u w:val="single"/>
                <w:rFonts w:ascii="Times New Roman" w:hAnsi="Times New Roman"/>
              </w:rPr>
            </w:pPr>
            <w:r>
              <w:rPr>
                <w:rStyle w:val="FormatvorlageInstructionsTabelleText"/>
                <w:b/>
                <w:sz w:val="24"/>
                <w:u w:val="single"/>
                <w:rFonts w:ascii="Times New Roman" w:hAnsi="Times New Roman"/>
              </w:rPr>
              <w:t xml:space="preserve">tostarp:</w:t>
            </w:r>
            <w:r>
              <w:rPr>
                <w:rStyle w:val="FormatvorlageInstructionsTabelleText"/>
                <w:b/>
                <w:sz w:val="24"/>
                <w:u w:val="single"/>
                <w:rFonts w:ascii="Times New Roman" w:hAnsi="Times New Roman"/>
              </w:rPr>
              <w:t xml:space="preserve"> </w:t>
            </w:r>
            <w:r>
              <w:rPr>
                <w:rStyle w:val="FormatvorlageInstructionsTabelleText"/>
                <w:b/>
                <w:sz w:val="24"/>
                <w:u w:val="single"/>
                <w:rFonts w:ascii="Times New Roman" w:hAnsi="Times New Roman"/>
              </w:rPr>
              <w:t xml:space="preserve">ar atlikušo termiņu</w:t>
            </w:r>
          </w:p>
          <w:p w14:paraId="4B3D0A8C" w14:textId="433D743D" w:rsidR="00C91ACB" w:rsidRPr="00FB08AF" w:rsidDel="001B3CDA" w:rsidRDefault="00C91ACB"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Pašu kapitāla un saistību summu, kas ir atbilstīga, lai izpildītu Direktīvas 2014/59/ES 45. pantā noteikto prasību saskaņā ar minētās direktīvas 45.e pantu, kā uzrādīts 0060. slejā, sadala pēc dažādo instrumentu un posteņu atlikušā termiņa.</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Beztermiņa rakstura instrumentus un posteņus šajā sadalījumā neņem vērā, bet uzrāda atsevišķi 0110. slejā.</w:t>
            </w:r>
          </w:p>
        </w:tc>
      </w:tr>
      <w:tr w:rsidR="00FB08AF" w:rsidRPr="00FB08AF" w14:paraId="2F0374B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136F7744"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63F21E1" w14:textId="77777777" w:rsidR="00C91ACB" w:rsidRPr="00FB08AF" w:rsidRDefault="00C91ACB" w:rsidP="00E36728">
            <w:pPr>
              <w:pStyle w:val="InstructionsText"/>
              <w:rPr>
                <w:rStyle w:val="FormatvorlageInstructionsTabelleText"/>
                <w:sz w:val="24"/>
                <w:rFonts w:ascii="Times New Roman" w:hAnsi="Times New Roman"/>
              </w:rPr>
            </w:pPr>
            <w:r>
              <w:rPr>
                <w:rStyle w:val="InstructionsTabelleberschrift"/>
                <w:sz w:val="24"/>
                <w:rFonts w:ascii="Times New Roman" w:hAnsi="Times New Roman"/>
              </w:rPr>
              <w:t xml:space="preserve">≥ 1 gads &lt; 2 gadi</w:t>
            </w:r>
            <w:r>
              <w:rPr>
                <w:rStyle w:val="InstructionsTabelleberschrift"/>
                <w:sz w:val="24"/>
                <w:rFonts w:ascii="Times New Roman" w:hAnsi="Times New Roman"/>
              </w:rPr>
              <w:t xml:space="preserve"> </w:t>
            </w:r>
          </w:p>
        </w:tc>
      </w:tr>
      <w:tr w:rsidR="00FB08AF" w:rsidRPr="00FB08AF" w14:paraId="0AC68E8A"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32A1E20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6A0ECD"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2 gads &lt; 5 gadi</w:t>
            </w:r>
          </w:p>
        </w:tc>
      </w:tr>
      <w:tr w:rsidR="00FB08AF" w:rsidRPr="00FB08AF" w14:paraId="4AF13F7C"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7E570338"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B23794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5 gadi &lt; 10 gadi</w:t>
            </w:r>
          </w:p>
        </w:tc>
      </w:tr>
      <w:tr w:rsidR="00FB08AF" w:rsidRPr="00FB08AF" w14:paraId="613AFD04"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41D6106"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0100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61FE904"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 10 gadi</w:t>
            </w:r>
          </w:p>
        </w:tc>
      </w:tr>
      <w:tr w:rsidR="00C91ACB" w:rsidRPr="00FB08AF" w14:paraId="409E4342" w14:textId="77777777" w:rsidTr="00762AE8">
        <w:tc>
          <w:tcPr>
            <w:tcW w:w="1129" w:type="dxa"/>
            <w:tcBorders>
              <w:top w:val="single" w:sz="4" w:space="0" w:color="auto"/>
              <w:left w:val="single" w:sz="4" w:space="0" w:color="auto"/>
              <w:bottom w:val="single" w:sz="4" w:space="0" w:color="auto"/>
              <w:right w:val="single" w:sz="4" w:space="0" w:color="auto"/>
            </w:tcBorders>
            <w:shd w:val="clear" w:color="auto" w:fill="auto"/>
          </w:tcPr>
          <w:p w14:paraId="2F0975FE" w14:textId="77777777" w:rsidR="00C91ACB" w:rsidRPr="00FB08AF" w:rsidRDefault="00C91ACB"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5BF8A19C" w14:textId="77777777" w:rsidR="00C91ACB" w:rsidRPr="00FB08AF" w:rsidRDefault="00C91ACB"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tostarp:</w:t>
            </w:r>
            <w:r>
              <w:rPr>
                <w:rStyle w:val="InstructionsTabelleberschrift"/>
                <w:sz w:val="24"/>
                <w:rFonts w:ascii="Times New Roman" w:hAnsi="Times New Roman"/>
              </w:rPr>
              <w:t xml:space="preserve"> </w:t>
            </w:r>
            <w:r>
              <w:rPr>
                <w:rStyle w:val="InstructionsTabelleberschrift"/>
                <w:sz w:val="24"/>
                <w:rFonts w:ascii="Times New Roman" w:hAnsi="Times New Roman"/>
              </w:rPr>
              <w:t xml:space="preserve">beztermiņa vērtspapīri</w:t>
            </w:r>
          </w:p>
          <w:p w14:paraId="19006E90" w14:textId="474EA0B1" w:rsidR="00322A0F" w:rsidRPr="00FB08AF" w:rsidRDefault="007C224A"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Šajā slejā iedala beztermiņa vērtspapīrus un visus pirmā līmeņa pamata kapitāla posteņus, kā arī šīs veidnes tvērumā iekļauto pirmā līmeņa papildu kapitāla un otrā līmeņa kapitāla instrumentu akciju emisijas uzcenojumu.</w:t>
            </w:r>
          </w:p>
        </w:tc>
      </w:tr>
    </w:tbl>
    <w:p w14:paraId="1287169E" w14:textId="77777777" w:rsidR="00C91ACB" w:rsidRPr="00FB08AF" w:rsidRDefault="00C91ACB" w:rsidP="00C91ACB">
      <w:pPr>
        <w:rPr>
          <w:rStyle w:val="InstructionsTabelleText"/>
          <w:rFonts w:ascii="Times New Roman" w:hAnsi="Times New Roman"/>
          <w:sz w:val="24"/>
        </w:rPr>
      </w:pPr>
    </w:p>
    <w:p w14:paraId="1D4F60E9" w14:textId="5ED8140A" w:rsidR="00043DC2" w:rsidRPr="00FB08AF" w:rsidRDefault="00043DC2" w:rsidP="00C15B90">
      <w:pPr>
        <w:pStyle w:val="Numberedtilelevel1"/>
      </w:pPr>
      <w:bookmarkStart w:id="78" w:name="_Toc16868650"/>
      <w:bookmarkStart w:id="79" w:name="_Toc18593318"/>
      <w:bookmarkStart w:id="80" w:name="_Toc45558501"/>
      <w:bookmarkEnd w:id="78"/>
      <w:bookmarkEnd w:id="79"/>
      <w:r>
        <w:t xml:space="preserve">M 07.00 – Instrumenti, ko reglamentē trešo valstu tiesību akti (</w:t>
      </w:r>
      <w:r>
        <w:rPr>
          <w:i/>
          <w:iCs/>
        </w:rPr>
        <w:t xml:space="preserve">MTCI</w:t>
      </w:r>
      <w:r>
        <w:t xml:space="preserve">)</w:t>
      </w:r>
      <w:bookmarkEnd w:id="80"/>
    </w:p>
    <w:p w14:paraId="09459534" w14:textId="30C1202C" w:rsidR="00043DC2" w:rsidRPr="00FB08AF" w:rsidRDefault="00043DC2" w:rsidP="00873459">
      <w:pPr>
        <w:pStyle w:val="Numberedtilelevel1"/>
        <w:numPr>
          <w:ilvl w:val="1"/>
          <w:numId w:val="30"/>
        </w:numPr>
      </w:pPr>
      <w:bookmarkStart w:id="81" w:name="_Toc16868653"/>
      <w:bookmarkStart w:id="82" w:name="_Toc45558502"/>
      <w:r>
        <w:t xml:space="preserve">Vispārīgas piezīmes</w:t>
      </w:r>
      <w:bookmarkEnd w:id="81"/>
      <w:bookmarkEnd w:id="82"/>
    </w:p>
    <w:p w14:paraId="38DE6937" w14:textId="1FE5439B" w:rsidR="00ED05AC" w:rsidRPr="00FB08AF" w:rsidRDefault="00962059" w:rsidP="00E36728">
      <w:pPr>
        <w:pStyle w:val="InstructionsText2"/>
      </w:pPr>
      <w:r>
        <w:t xml:space="preserve">Veidnē M 07.00 ir sniegts to instrumentu sadalījums pa līgumiem, kas kvalificējami kā pašu kapitāls un atbilstīgās saistības </w:t>
      </w:r>
      <w:r>
        <w:rPr>
          <w:i/>
          <w:iCs/>
        </w:rPr>
        <w:t xml:space="preserve">MREL</w:t>
      </w:r>
      <w:r>
        <w:t xml:space="preserve"> vajadzībām.</w:t>
      </w:r>
      <w:r>
        <w:t xml:space="preserve"> </w:t>
      </w:r>
      <w:r>
        <w:t xml:space="preserve">Veidnē uzrāda tikai tos instrumentus, uz kuriem attiecas trešās valsts tiesību akti.</w:t>
      </w:r>
    </w:p>
    <w:p w14:paraId="058C983F" w14:textId="395F6621" w:rsidR="00810663" w:rsidRPr="00FB08AF" w:rsidRDefault="003677E2" w:rsidP="00E36728">
      <w:pPr>
        <w:pStyle w:val="InstructionsText2"/>
      </w:pPr>
      <w:r>
        <w:t xml:space="preserve">Attiecībā uz atbilstīgajām saistībām, kas nav subordinētas izslēgtajām saistībām, vienības uzrāda tikai vērtspapīrus, kas ir aizstājami, apgrozāmi finanšu instrumenti, izslēdzot aizdevumus un noguldījumus.</w:t>
      </w:r>
    </w:p>
    <w:p w14:paraId="7F675B40" w14:textId="6125AF03" w:rsidR="00FC1379" w:rsidRPr="00FB08AF" w:rsidRDefault="00B40AC1" w:rsidP="00E36728">
      <w:pPr>
        <w:pStyle w:val="InstructionsText2"/>
      </w:pPr>
      <w:r>
        <w:t xml:space="preserve">Ja instrumenti daļēji atbilst divām dažādām pašu kapitāla vai atbilstīgo saistību kategorijām, instrumentu uzrāda divas reizes, lai atspoguļotu summas, kas iedalītas dažādās kapitāla kategorijās atsevišķi.</w:t>
      </w:r>
      <w:r>
        <w:t xml:space="preserve"> </w:t>
      </w:r>
    </w:p>
    <w:p w14:paraId="4D79951A" w14:textId="26C7050A" w:rsidR="00043DC2" w:rsidRPr="00FB08AF" w:rsidRDefault="00ED05AC" w:rsidP="00E36728">
      <w:pPr>
        <w:pStyle w:val="InstructionsText2"/>
      </w:pPr>
      <w:r>
        <w:t xml:space="preserve">0020. slejas (Emitentvienības kods), 0040. slejas (Līguma identifikators) un 0070. slejas (Pašu kapitāla vai atbilstīgo saistību veids) kombinācija ir rindas identifikators, kam jābūt unikālam katrai veidnē uzrādītajai rindai.</w:t>
      </w:r>
    </w:p>
    <w:p w14:paraId="4C59DC8A" w14:textId="17676F15" w:rsidR="00043DC2" w:rsidRPr="00FB08AF" w:rsidRDefault="00043DC2" w:rsidP="00873459">
      <w:pPr>
        <w:pStyle w:val="Numberedtilelevel1"/>
        <w:numPr>
          <w:ilvl w:val="1"/>
          <w:numId w:val="30"/>
        </w:numPr>
      </w:pPr>
      <w:bookmarkStart w:id="83" w:name="_Toc16868654"/>
      <w:bookmarkStart w:id="84" w:name="_Toc45558503"/>
      <w:r>
        <w:t xml:space="preserve">Norādījumi par konkrētām pozīcijām</w:t>
      </w:r>
      <w:bookmarkEnd w:id="83"/>
      <w:bookmarkEnd w:id="84"/>
    </w:p>
    <w:tbl>
      <w:tblPr>
        <w:tblW w:w="8749" w:type="dxa"/>
        <w:tblInd w:w="539" w:type="dxa"/>
        <w:tblLayout w:type="fixed"/>
        <w:tblLook w:val="00A0" w:firstRow="1" w:lastRow="0" w:firstColumn="1" w:lastColumn="0" w:noHBand="0" w:noVBand="0"/>
      </w:tblPr>
      <w:tblGrid>
        <w:gridCol w:w="1129"/>
        <w:gridCol w:w="7620"/>
      </w:tblGrid>
      <w:tr w:rsidR="00FB08AF" w:rsidRPr="00FB08AF" w14:paraId="5927B8D8"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D9D9D9"/>
          </w:tcPr>
          <w:p w14:paraId="5CB1DCA8" w14:textId="77777777" w:rsidR="00043DC2" w:rsidRPr="00FB08AF" w:rsidRDefault="00043DC2" w:rsidP="00E36728">
            <w:pPr>
              <w:pStyle w:val="InstructionsText"/>
            </w:pPr>
            <w:r>
              <w:t xml:space="preserve">Slejas</w:t>
            </w:r>
          </w:p>
        </w:tc>
        <w:tc>
          <w:tcPr>
            <w:tcW w:w="7620" w:type="dxa"/>
            <w:tcBorders>
              <w:top w:val="single" w:sz="4" w:space="0" w:color="auto"/>
              <w:left w:val="single" w:sz="4" w:space="0" w:color="auto"/>
              <w:bottom w:val="single" w:sz="4" w:space="0" w:color="auto"/>
              <w:right w:val="single" w:sz="4" w:space="0" w:color="auto"/>
            </w:tcBorders>
            <w:shd w:val="clear" w:color="auto" w:fill="D9D9D9"/>
          </w:tcPr>
          <w:p w14:paraId="2E6AFAE4" w14:textId="77777777" w:rsidR="00043DC2" w:rsidRPr="00FB08AF" w:rsidRDefault="00043DC2" w:rsidP="00E36728">
            <w:pPr>
              <w:pStyle w:val="InstructionsText"/>
            </w:pPr>
            <w:r>
              <w:t xml:space="preserve">Atsauces uz tiesību aktu noteikumiem un norādījumi</w:t>
            </w:r>
          </w:p>
        </w:tc>
      </w:tr>
      <w:tr w:rsidR="00FB08AF" w:rsidRPr="00FB08AF" w14:paraId="560A8871"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3EB2343" w14:textId="1ABD60CC" w:rsidR="00043DC2" w:rsidRPr="00FB08AF" w:rsidRDefault="00043DC2" w:rsidP="00E36728">
            <w:pPr>
              <w:pStyle w:val="InstructionsText"/>
            </w:pPr>
            <w:r>
              <w:rPr>
                <w:rStyle w:val="FormatvorlageInstructionsTabelleText"/>
                <w:sz w:val="24"/>
                <w:rFonts w:ascii="Times New Roman" w:hAnsi="Times New Roman"/>
              </w:rPr>
              <w:t xml:space="preserve">0010 - 0030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B4B7A7" w14:textId="00787806" w:rsidR="00043DC2" w:rsidRPr="00FB08AF" w:rsidRDefault="00DA4A88"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Emitentvienība</w:t>
            </w:r>
          </w:p>
          <w:p w14:paraId="05F6543E" w14:textId="28A11EDA" w:rsidR="00043DC2" w:rsidRPr="00FB08AF" w:rsidRDefault="00DA4A88" w:rsidP="00E36728">
            <w:pPr>
              <w:pStyle w:val="InstructionsText"/>
            </w:pPr>
            <w:r>
              <w:rPr>
                <w:rStyle w:val="FormatvorlageInstructionsTabelleText"/>
                <w:sz w:val="24"/>
                <w:rFonts w:ascii="Times New Roman" w:hAnsi="Times New Roman"/>
              </w:rPr>
              <w:t xml:space="preserve">Ja informāciju sniedz ar atsauci uz noregulējuma grupu, norāda grupas vienību, kas emitējusi attiecīgo instrumentu.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Ja tiek paziņota informācija, atsaucoties uz vienu noregulējuma vienību, emitentvienība ir pati pārskatu sniedzošā vienība.</w:t>
            </w:r>
          </w:p>
        </w:tc>
      </w:tr>
      <w:tr w:rsidR="00FB08AF" w:rsidRPr="00FB08AF" w14:paraId="7B94B71C"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D21408C" w14:textId="5F43A538" w:rsidR="00ED05AC" w:rsidRPr="00FB08AF" w:rsidRDefault="00ED05AC" w:rsidP="00E36728">
            <w:pPr>
              <w:pStyle w:val="InstructionsText"/>
            </w:pPr>
            <w:r>
              <w:rPr>
                <w:rStyle w:val="FormatvorlageInstructionsTabelleText"/>
                <w:sz w:val="24"/>
                <w:rFonts w:ascii="Times New Roman" w:hAnsi="Times New Roman"/>
              </w:rPr>
              <w:t xml:space="preserve">0010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B94D59A" w14:textId="53F5257D"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Nosaukums</w:t>
            </w:r>
          </w:p>
          <w:p w14:paraId="2FB63179" w14:textId="5B49BA2B" w:rsidR="00ED05AC" w:rsidRPr="00FB08AF" w:rsidRDefault="00ED05AC" w:rsidP="00E36728">
            <w:pPr>
              <w:pStyle w:val="InstructionsText"/>
              <w:rPr>
                <w:b/>
              </w:rPr>
            </w:pPr>
            <w:r>
              <w:rPr>
                <w:rStyle w:val="FormatvorlageInstructionsTabelleText"/>
                <w:sz w:val="24"/>
                <w:rFonts w:ascii="Times New Roman" w:hAnsi="Times New Roman"/>
              </w:rPr>
              <w:t xml:space="preserve">Tās vienības nosaukums, kas emitējusi pašu kapitāla instrumentu vai atbilstīgo saistību instrumentu</w:t>
            </w:r>
          </w:p>
        </w:tc>
      </w:tr>
      <w:tr w:rsidR="00FB08AF" w:rsidRPr="00FB08AF" w14:paraId="02C19F56"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0C1D5505" w14:textId="071C625B" w:rsidR="00ED05AC" w:rsidRPr="00FB08AF" w:rsidRDefault="00ED05AC" w:rsidP="00E36728">
            <w:pPr>
              <w:pStyle w:val="InstructionsText"/>
            </w:pPr>
            <w:r>
              <w:rPr>
                <w:rStyle w:val="FormatvorlageInstructionsTabelleText"/>
                <w:sz w:val="24"/>
                <w:rFonts w:ascii="Times New Roman" w:hAnsi="Times New Roman"/>
              </w:rPr>
              <w:t xml:space="preserve">0020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9F2C07F" w14:textId="4279134F"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Kods</w:t>
            </w:r>
          </w:p>
          <w:p w14:paraId="2EE9B378" w14:textId="77777777" w:rsidR="00ED05AC" w:rsidRPr="00FB08AF" w:rsidRDefault="00ED05AC"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Tās vienības kods, kas emitējusi pašu kapitāla instrumentu vai atbilstīgo saistību instrumentu.</w:t>
            </w:r>
          </w:p>
          <w:p w14:paraId="5C534D19" w14:textId="03170FCB" w:rsidR="00ED05AC" w:rsidRPr="00FB08AF" w:rsidRDefault="0047023B" w:rsidP="00E36728">
            <w:pPr>
              <w:pStyle w:val="InstructionsText"/>
            </w:pPr>
            <w:r>
              <w:t xml:space="preserve">Kodam, kas ir daļa no rindu identifikatora, jābūt unikālam attiecībā uz katru uzrādīto sabiedrību.</w:t>
            </w:r>
            <w:r>
              <w:t xml:space="preserve"> </w:t>
            </w:r>
            <w:r>
              <w:t xml:space="preserve">Iestādēm kods ir </w:t>
            </w:r>
            <w:r>
              <w:rPr>
                <w:i/>
                <w:iCs/>
              </w:rPr>
              <w:t xml:space="preserve">LEI</w:t>
            </w:r>
            <w:r>
              <w:t xml:space="preserve"> kods.</w:t>
            </w:r>
            <w:r>
              <w:t xml:space="preserve"> </w:t>
            </w:r>
            <w:r>
              <w:t xml:space="preserve">Citām sabiedrībām šis kods ir </w:t>
            </w:r>
            <w:r>
              <w:rPr>
                <w:i/>
                <w:iCs/>
              </w:rPr>
              <w:t xml:space="preserve">LEI</w:t>
            </w:r>
            <w:r>
              <w:t xml:space="preserve"> kods vai, ja tas nav pieejams, nacionālais kods.</w:t>
            </w:r>
            <w:r>
              <w:t xml:space="preserve"> </w:t>
            </w:r>
            <w:r>
              <w:t xml:space="preserve">Šis kods ir unikāls, un to izmanto konsekventi visās veidnēs un visos laikos.</w:t>
            </w:r>
            <w:r>
              <w:t xml:space="preserve"> </w:t>
            </w:r>
            <w:r>
              <w:t xml:space="preserve">Šis kods vienmēr apzīmē kādu vērtību.</w:t>
            </w:r>
          </w:p>
        </w:tc>
      </w:tr>
      <w:tr w:rsidR="00FB08AF" w:rsidRPr="00FB08AF" w14:paraId="743E2813"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6A1BB0E0" w14:textId="7F6FBCB0" w:rsidR="00ED05AC" w:rsidRPr="00FB08AF" w:rsidRDefault="00ED05AC" w:rsidP="00E36728">
            <w:pPr>
              <w:pStyle w:val="InstructionsText"/>
            </w:pPr>
            <w:r>
              <w:rPr>
                <w:rStyle w:val="FormatvorlageInstructionsTabelleText"/>
                <w:sz w:val="24"/>
                <w:rFonts w:ascii="Times New Roman" w:hAnsi="Times New Roman"/>
              </w:rPr>
              <w:t xml:space="preserve">0030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BD481B6" w14:textId="02A48FF3" w:rsidR="00ED05AC" w:rsidRPr="00FB08AF" w:rsidRDefault="00ED05AC"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Koda tips</w:t>
            </w:r>
          </w:p>
          <w:p w14:paraId="435D7AD5" w14:textId="3FA7BE57" w:rsidR="00ED05AC" w:rsidRPr="00FB08AF" w:rsidRDefault="0047023B" w:rsidP="00E36728">
            <w:pPr>
              <w:pStyle w:val="InstructionsText"/>
            </w:pPr>
            <w:r>
              <w:t xml:space="preserve">Iestādes identificē 0020. slejā uzrādīto kodu kā “</w:t>
            </w:r>
            <w:r>
              <w:rPr>
                <w:i/>
                <w:iCs/>
              </w:rPr>
              <w:t xml:space="preserve">LEI</w:t>
            </w:r>
            <w:r>
              <w:t xml:space="preserve"> kodu” vai kodu, kas nav </w:t>
            </w:r>
            <w:r>
              <w:rPr>
                <w:i/>
                <w:iCs/>
              </w:rPr>
              <w:t xml:space="preserve">LEI</w:t>
            </w:r>
            <w:r>
              <w:t xml:space="preserve"> kods.</w:t>
            </w:r>
            <w:r>
              <w:t xml:space="preserve"> </w:t>
            </w:r>
            <w:r>
              <w:t xml:space="preserve">Koda veids ir jāuzrāda vienmēr.</w:t>
            </w:r>
          </w:p>
        </w:tc>
      </w:tr>
      <w:tr w:rsidR="00FB08AF" w:rsidRPr="00FB08AF" w14:paraId="77C64A55" w14:textId="77777777" w:rsidTr="00DA4A88">
        <w:tc>
          <w:tcPr>
            <w:tcW w:w="1129" w:type="dxa"/>
            <w:tcBorders>
              <w:top w:val="single" w:sz="4" w:space="0" w:color="auto"/>
              <w:left w:val="single" w:sz="4" w:space="0" w:color="auto"/>
              <w:bottom w:val="single" w:sz="4" w:space="0" w:color="auto"/>
              <w:right w:val="single" w:sz="4" w:space="0" w:color="auto"/>
            </w:tcBorders>
            <w:shd w:val="clear" w:color="auto" w:fill="auto"/>
          </w:tcPr>
          <w:p w14:paraId="7F83DA85" w14:textId="7BA7757F" w:rsidR="00ED05AC" w:rsidRPr="00FB08AF" w:rsidRDefault="00ED05AC" w:rsidP="00E36728">
            <w:pPr>
              <w:pStyle w:val="InstructionsText"/>
            </w:pPr>
            <w:r>
              <w:rPr>
                <w:rStyle w:val="FormatvorlageInstructionsTabelleText"/>
                <w:sz w:val="24"/>
                <w:rFonts w:ascii="Times New Roman" w:hAnsi="Times New Roman"/>
              </w:rPr>
              <w:t xml:space="preserve">0040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3838977" w14:textId="3B9D8CD3" w:rsidR="00ED05AC" w:rsidRPr="00FB08AF" w:rsidRDefault="00537499"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Līguma identifikators</w:t>
            </w:r>
          </w:p>
          <w:p w14:paraId="326C4E21" w14:textId="0DEE61DF" w:rsidR="00BA682D" w:rsidRPr="00FB08AF" w:rsidRDefault="009B0274"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Uzrāda instrumenta līguma identifikatoru, piemēram, </w:t>
            </w:r>
            <w:r>
              <w:rPr>
                <w:rStyle w:val="FormatvorlageInstructionsTabelleText"/>
                <w:sz w:val="24"/>
                <w:i/>
                <w:iCs/>
                <w:rFonts w:ascii="Times New Roman" w:hAnsi="Times New Roman"/>
              </w:rPr>
              <w:t xml:space="preserve">CUSIP</w:t>
            </w:r>
            <w:r>
              <w:rPr>
                <w:rStyle w:val="FormatvorlageInstructionsTabelleText"/>
                <w:sz w:val="24"/>
                <w:rFonts w:ascii="Times New Roman" w:hAnsi="Times New Roman"/>
              </w:rPr>
              <w:t xml:space="preserve">, </w:t>
            </w:r>
            <w:r>
              <w:rPr>
                <w:rStyle w:val="FormatvorlageInstructionsTabelleText"/>
                <w:sz w:val="24"/>
                <w:i/>
                <w:iCs/>
                <w:rFonts w:ascii="Times New Roman" w:hAnsi="Times New Roman"/>
              </w:rPr>
              <w:t xml:space="preserve">ISIN</w:t>
            </w:r>
            <w:r>
              <w:rPr>
                <w:rStyle w:val="FormatvorlageInstructionsTabelleText"/>
                <w:sz w:val="24"/>
                <w:rFonts w:ascii="Times New Roman" w:hAnsi="Times New Roman"/>
              </w:rPr>
              <w:t xml:space="preserve"> vai </w:t>
            </w:r>
            <w:r>
              <w:rPr>
                <w:rStyle w:val="FormatvorlageInstructionsTabelleText"/>
                <w:sz w:val="24"/>
                <w:i/>
                <w:iCs/>
                <w:rFonts w:ascii="Times New Roman" w:hAnsi="Times New Roman"/>
              </w:rPr>
              <w:t xml:space="preserve">Bloomberg</w:t>
            </w:r>
            <w:r>
              <w:rPr>
                <w:rStyle w:val="FormatvorlageInstructionsTabelleText"/>
                <w:sz w:val="24"/>
                <w:rFonts w:ascii="Times New Roman" w:hAnsi="Times New Roman"/>
              </w:rPr>
              <w:t xml:space="preserve"> privātā izvietojuma identifikatoru.</w:t>
            </w:r>
          </w:p>
          <w:p w14:paraId="00632D1C" w14:textId="24ADD3E6" w:rsidR="00ED05AC" w:rsidRPr="00FB08AF" w:rsidRDefault="00ED05AC"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Šis postenis ir daļa no rindas identifikatora.</w:t>
            </w:r>
          </w:p>
        </w:tc>
      </w:tr>
      <w:tr w:rsidR="00FB08AF" w:rsidRPr="00FB08AF" w14:paraId="75764429"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61D01A7B" w14:textId="72E28233" w:rsidR="00ED05AC" w:rsidRPr="00FB08AF" w:rsidRDefault="00ED05AC" w:rsidP="00E36728">
            <w:pPr>
              <w:pStyle w:val="InstructionsText"/>
            </w:pPr>
            <w:r>
              <w:rPr>
                <w:rStyle w:val="FormatvorlageInstructionsTabelleText"/>
                <w:sz w:val="24"/>
                <w:rFonts w:ascii="Times New Roman" w:hAnsi="Times New Roman"/>
              </w:rPr>
              <w:t xml:space="preserve">0050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794C1DF" w14:textId="5B2F630D"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Piemērojamie tiesību akti (trešā valsts)</w:t>
            </w:r>
          </w:p>
          <w:p w14:paraId="163E775F" w14:textId="518162A9" w:rsidR="00ED05AC" w:rsidRPr="00FB08AF" w:rsidRDefault="007F0EF4"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Norāda trešo valsti (valstis, kas nav EEZ valstis), kuras tiesību akti reglamentē līgumu vai līguma daļas.</w:t>
            </w:r>
          </w:p>
        </w:tc>
      </w:tr>
      <w:tr w:rsidR="00FB08AF" w:rsidRPr="00FB08AF" w14:paraId="1EDC69DC" w14:textId="77777777" w:rsidTr="00ED05AC">
        <w:tc>
          <w:tcPr>
            <w:tcW w:w="1129" w:type="dxa"/>
            <w:tcBorders>
              <w:top w:val="single" w:sz="4" w:space="0" w:color="auto"/>
              <w:left w:val="single" w:sz="4" w:space="0" w:color="auto"/>
              <w:bottom w:val="single" w:sz="4" w:space="0" w:color="auto"/>
              <w:right w:val="single" w:sz="4" w:space="0" w:color="auto"/>
            </w:tcBorders>
            <w:shd w:val="clear" w:color="auto" w:fill="auto"/>
          </w:tcPr>
          <w:p w14:paraId="224A938D" w14:textId="286052CB" w:rsidR="00ED05AC" w:rsidRPr="00FB08AF" w:rsidRDefault="00ED05AC" w:rsidP="00E36728">
            <w:pPr>
              <w:pStyle w:val="InstructionsText"/>
            </w:pPr>
            <w:r>
              <w:rPr>
                <w:rStyle w:val="FormatvorlageInstructionsTabelleText"/>
                <w:sz w:val="24"/>
                <w:rFonts w:ascii="Times New Roman" w:hAnsi="Times New Roman"/>
              </w:rPr>
              <w:t xml:space="preserve">0060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220B400C" w14:textId="4492A66E" w:rsidR="00ED05AC"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Norakstīšanas un konvertācijas pilnvaru līgumiska atzīšana</w:t>
            </w:r>
          </w:p>
          <w:p w14:paraId="613A9113" w14:textId="6DD59252" w:rsidR="00ED05AC" w:rsidRPr="00FB08AF" w:rsidRDefault="00851D10" w:rsidP="00E36728">
            <w:pPr>
              <w:pStyle w:val="InstructionsText"/>
              <w:rPr>
                <w:rStyle w:val="InstructionsTabelleberschrift"/>
                <w:b w:val="0"/>
                <w:sz w:val="24"/>
                <w:u w:val="none"/>
                <w:rFonts w:ascii="Times New Roman" w:hAnsi="Times New Roman"/>
              </w:rPr>
            </w:pPr>
            <w:r>
              <w:t xml:space="preserve">Norāda, vai līgumā ir ietverti līguma noteikumi, kas minēti Direktīvas 2014/59/ES 55. panta 1. punktā, Regulas (ES) Nr. 575/2013 52. panta 1. punkta p) un q) apakšpunktā un 63. panta n) un o) punktā</w:t>
            </w:r>
            <w:r>
              <w:rPr>
                <w:rStyle w:val="FormatvorlageInstructionsTabelleText"/>
                <w:sz w:val="24"/>
                <w:rFonts w:ascii="Times New Roman" w:hAnsi="Times New Roman"/>
              </w:rPr>
              <w:t xml:space="preserve">.</w:t>
            </w:r>
            <w:r>
              <w:rPr>
                <w:rStyle w:val="FormatvorlageInstructionsTabelleText"/>
                <w:sz w:val="24"/>
                <w:rFonts w:ascii="Times New Roman" w:hAnsi="Times New Roman"/>
              </w:rPr>
              <w:t xml:space="preserve"> </w:t>
            </w:r>
          </w:p>
        </w:tc>
      </w:tr>
      <w:tr w:rsidR="00FB08AF" w:rsidRPr="00FB08AF" w14:paraId="3CFB6F54"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42421AD" w14:textId="26FEB500" w:rsidR="00BA7DE2" w:rsidRPr="00FB08AF" w:rsidRDefault="00BA7DE2" w:rsidP="00E36728">
            <w:pPr>
              <w:pStyle w:val="InstructionsText"/>
            </w:pPr>
            <w:r>
              <w:rPr>
                <w:rStyle w:val="FormatvorlageInstructionsTabelleText"/>
                <w:sz w:val="24"/>
                <w:rFonts w:ascii="Times New Roman" w:hAnsi="Times New Roman"/>
              </w:rPr>
              <w:t xml:space="preserve">0070 - 0080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0B5452DC" w14:textId="2E76298C" w:rsidR="00BA7DE2" w:rsidRPr="00FB08AF" w:rsidRDefault="00BA7DE2" w:rsidP="00E36728">
            <w:pPr>
              <w:pStyle w:val="InstructionsText"/>
              <w:rPr>
                <w:rStyle w:val="InstructionsTabelleberschrift"/>
                <w:b w:val="0"/>
                <w:sz w:val="24"/>
                <w:u w:val="none"/>
                <w:rFonts w:ascii="Times New Roman" w:hAnsi="Times New Roman"/>
              </w:rPr>
            </w:pPr>
            <w:r>
              <w:rPr>
                <w:rStyle w:val="InstructionsTabelleberschrift"/>
                <w:sz w:val="24"/>
                <w:rFonts w:ascii="Times New Roman" w:hAnsi="Times New Roman"/>
              </w:rPr>
              <w:t xml:space="preserve">Regulatīvā procedūra</w:t>
            </w:r>
          </w:p>
        </w:tc>
      </w:tr>
      <w:tr w:rsidR="00FB08AF" w:rsidRPr="00FB08AF" w14:paraId="0AE4E91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6A6DBBD" w14:textId="14728C75" w:rsidR="00BA7DE2" w:rsidRPr="00FB08AF" w:rsidRDefault="00BA7DE2" w:rsidP="00E36728">
            <w:pPr>
              <w:pStyle w:val="InstructionsText"/>
            </w:pPr>
            <w:r>
              <w:rPr>
                <w:rStyle w:val="FormatvorlageInstructionsTabelleText"/>
                <w:sz w:val="24"/>
                <w:rFonts w:ascii="Times New Roman" w:hAnsi="Times New Roman"/>
              </w:rPr>
              <w:t xml:space="preserve">0070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1CD8E21E" w14:textId="7777777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Pašu kapitāla vai atbilstīgo saistību veids</w:t>
            </w:r>
          </w:p>
          <w:p w14:paraId="779CE017" w14:textId="78E30545" w:rsidR="00D90C26"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vai atbilstīgo saistību veids, kādā instruments atbilst kritērijiem atsauces datumā.</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Ņem vērā pārejas noteikumus par instrumentu atbilstību.</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Instrumentus, kas atbilst vairākām kapitāla klasēm, uzrāda vienu reizi katrā piemērojamā kapitāla klasē.</w:t>
            </w:r>
          </w:p>
          <w:p w14:paraId="4891BE29" w14:textId="77777777" w:rsidR="00C55DCC" w:rsidRPr="00FB08AF" w:rsidRDefault="00D90C26"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Pašu kapitāla vai atbilstīgo saistību veids ir viens no šādiem:</w:t>
            </w:r>
          </w:p>
          <w:p w14:paraId="1630B549" w14:textId="45078CC0"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Pirmā līmeņa pamata kapitāls</w:t>
            </w:r>
          </w:p>
          <w:p w14:paraId="65A77421" w14:textId="4DAF7FA2"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Pirmā līmeņa papildu kapitāls</w:t>
            </w:r>
          </w:p>
          <w:p w14:paraId="641F022F" w14:textId="60C05A8B" w:rsidR="00D90C26" w:rsidRPr="00FB08AF" w:rsidRDefault="00D90C26" w:rsidP="00E36728">
            <w:pPr>
              <w:pStyle w:val="InstructionsText"/>
              <w:numPr>
                <w:ilvl w:val="0"/>
                <w:numId w:val="25"/>
              </w:numPr>
              <w:rPr>
                <w:rStyle w:val="FormatvorlageInstructionsTabelleText"/>
                <w:sz w:val="24"/>
                <w:rFonts w:ascii="Times New Roman" w:hAnsi="Times New Roman"/>
              </w:rPr>
            </w:pPr>
            <w:r>
              <w:rPr>
                <w:rStyle w:val="FormatvorlageInstructionsTabelleText"/>
                <w:sz w:val="24"/>
                <w:rFonts w:ascii="Times New Roman" w:hAnsi="Times New Roman"/>
              </w:rPr>
              <w:t xml:space="preserve">Otrā līmeņa kapitāls</w:t>
            </w:r>
          </w:p>
          <w:p w14:paraId="362D821A" w14:textId="06BF6F83" w:rsidR="00E97A21" w:rsidRPr="00FB08AF" w:rsidRDefault="00D90C26" w:rsidP="00E36728">
            <w:pPr>
              <w:pStyle w:val="InstructionsText"/>
              <w:numPr>
                <w:ilvl w:val="0"/>
                <w:numId w:val="26"/>
              </w:numPr>
              <w:rPr>
                <w:rStyle w:val="InstructionsTabelleberschrift"/>
                <w:sz w:val="24"/>
                <w:rFonts w:ascii="Times New Roman" w:hAnsi="Times New Roman"/>
              </w:rPr>
            </w:pPr>
            <w:r>
              <w:rPr>
                <w:rStyle w:val="FormatvorlageInstructionsTabelleText"/>
                <w:sz w:val="24"/>
                <w:rFonts w:ascii="Times New Roman" w:hAnsi="Times New Roman"/>
              </w:rPr>
              <w:t xml:space="preserve">Atbilstīgās saistības</w:t>
            </w:r>
          </w:p>
        </w:tc>
      </w:tr>
      <w:tr w:rsidR="00FB08AF" w:rsidRPr="00FB08AF" w14:paraId="4DE5928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39A39A7" w14:textId="0983149D" w:rsidR="00BA7DE2" w:rsidRPr="00FB08AF" w:rsidRDefault="00BA7DE2" w:rsidP="00E36728">
            <w:pPr>
              <w:pStyle w:val="InstructionsText"/>
            </w:pPr>
            <w:r>
              <w:rPr>
                <w:rStyle w:val="FormatvorlageInstructionsTabelleText"/>
                <w:sz w:val="24"/>
                <w:rFonts w:ascii="Times New Roman" w:hAnsi="Times New Roman"/>
              </w:rPr>
              <w:t xml:space="preserve">0080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EA26A6C" w14:textId="34336278"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Instrumenta veids</w:t>
            </w:r>
          </w:p>
          <w:p w14:paraId="4DDA8CAD" w14:textId="77777777" w:rsidR="00BA7DE2" w:rsidRPr="00FB08AF" w:rsidRDefault="000B7865"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Instrumenta veids, kas jānorāda, ir atkarīgs no tiesību aktiem, saskaņā ar kuriem tas ir izdots.</w:t>
            </w:r>
          </w:p>
          <w:p w14:paraId="24055387" w14:textId="305E1E7C" w:rsidR="00D90C26" w:rsidRPr="00FB08AF" w:rsidRDefault="000B7865" w:rsidP="00E36728">
            <w:pPr>
              <w:pStyle w:val="InstructionsText"/>
              <w:rPr>
                <w:rStyle w:val="InstructionsTabelleberschrift"/>
                <w:b w:val="0"/>
                <w:sz w:val="24"/>
                <w:u w:val="none"/>
                <w:rFonts w:ascii="Times New Roman" w:hAnsi="Times New Roman"/>
              </w:rPr>
            </w:pPr>
            <w:r>
              <w:t xml:space="preserve">Pirmā līmeņa pamata kapitāla instrumentu gadījumā instrumenta veidu izvēlas no pirmā līmeņa pamata kapitāla instrumentu saraksta, ko publicē EBI saskaņā ar Regulas (ES) Nr. 575/2013 26. panta 3. punktu</w:t>
            </w:r>
            <w:r>
              <w:rPr>
                <w:rStyle w:val="InstructionsTabelleberschrift"/>
                <w:b w:val="0"/>
                <w:sz w:val="24"/>
                <w:u w:val="none"/>
                <w:rFonts w:ascii="Times New Roman" w:hAnsi="Times New Roman"/>
              </w:rPr>
              <w:t xml:space="preserve">.</w:t>
            </w:r>
            <w:r>
              <w:rPr>
                <w:rStyle w:val="InstructionsTabelleberschrift"/>
                <w:b w:val="0"/>
                <w:sz w:val="24"/>
                <w:u w:val="none"/>
                <w:rFonts w:ascii="Times New Roman" w:hAnsi="Times New Roman"/>
              </w:rPr>
              <w:t xml:space="preserve"> </w:t>
            </w:r>
          </w:p>
          <w:p w14:paraId="01B312D1" w14:textId="355B5172" w:rsidR="00E97A21" w:rsidRPr="00FB08AF" w:rsidRDefault="000B7865" w:rsidP="00E36728">
            <w:pPr>
              <w:pStyle w:val="InstructionsText"/>
              <w:rPr>
                <w:rStyle w:val="InstructionsTabelleberschrift"/>
                <w:b w:val="0"/>
                <w:sz w:val="24"/>
                <w:u w:val="none"/>
                <w:rFonts w:ascii="Times New Roman" w:hAnsi="Times New Roman"/>
              </w:rPr>
            </w:pPr>
            <w:r>
              <w:rPr>
                <w:rStyle w:val="InstructionsTabelleberschrift"/>
                <w:b w:val="0"/>
                <w:sz w:val="24"/>
                <w:u w:val="none"/>
                <w:rFonts w:ascii="Times New Roman" w:hAnsi="Times New Roman"/>
              </w:rPr>
              <w:t xml:space="preserve">Pašu kapitāla, kas nav pirmā līmeņa pamata kapitāls, un atbilstīgo saistību gadījumā instrumenta veidu izvēlas no atbilstošo instrumentu saraksta, ko publicējusi EBI, kompetentās iestādes vai noregulējuma iestādes, ja šāds saraksts ir pieejams.</w:t>
            </w:r>
            <w:r>
              <w:rPr>
                <w:rStyle w:val="InstructionsTabelleberschrift"/>
                <w:b w:val="0"/>
                <w:sz w:val="24"/>
                <w:u w:val="none"/>
                <w:rFonts w:ascii="Times New Roman" w:hAnsi="Times New Roman"/>
              </w:rPr>
              <w:t xml:space="preserve"> </w:t>
            </w:r>
            <w:r>
              <w:rPr>
                <w:rStyle w:val="InstructionsTabelleberschrift"/>
                <w:b w:val="0"/>
                <w:sz w:val="24"/>
                <w:u w:val="none"/>
                <w:rFonts w:ascii="Times New Roman" w:hAnsi="Times New Roman"/>
              </w:rPr>
              <w:t xml:space="preserve">Ja saraksti nav pieejami, pārskatu sniedzēja vienība norāda pašu instrumentu veidu.</w:t>
            </w:r>
          </w:p>
        </w:tc>
      </w:tr>
      <w:tr w:rsidR="00FB08AF" w:rsidRPr="00FB08AF" w14:paraId="16D1DDAA"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60846794" w14:textId="63EFB260" w:rsidR="00BA7DE2" w:rsidRPr="00FB08AF" w:rsidRDefault="00BA7DE2" w:rsidP="00E36728">
            <w:pPr>
              <w:pStyle w:val="InstructionsText"/>
            </w:pPr>
            <w:r>
              <w:rPr>
                <w:rStyle w:val="FormatvorlageInstructionsTabelleText"/>
                <w:sz w:val="24"/>
                <w:rFonts w:ascii="Times New Roman" w:hAnsi="Times New Roman"/>
              </w:rPr>
              <w:t xml:space="preserve">0090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E9389B6" w14:textId="68E8CD9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Summa:</w:t>
            </w:r>
          </w:p>
          <w:p w14:paraId="157078AA" w14:textId="77810698" w:rsidR="00E97A21" w:rsidRPr="00FB08AF" w:rsidRDefault="00C55DCC"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Pašu kapitālā vai atbilstīgajās saistībās atzīto summu uzrāda, ņemot vērā līmeni, uz kuru attiecas ziņojums, ja instrumenti iekļauti vairākos līmeņos.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Summa ir attiecīgā summa atsauces datumā, ņemot vērā pārejas noteikumu ietekmi.</w:t>
            </w:r>
            <w:r>
              <w:rPr>
                <w:rStyle w:val="FormatvorlageInstructionsTabelleText"/>
                <w:sz w:val="24"/>
                <w:rFonts w:ascii="Times New Roman" w:hAnsi="Times New Roman"/>
              </w:rPr>
              <w:t xml:space="preserve"> </w:t>
            </w:r>
          </w:p>
        </w:tc>
      </w:tr>
      <w:tr w:rsidR="00FB08AF" w:rsidRPr="00FB08AF" w14:paraId="6525546F"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4CF95482" w14:textId="01832B68" w:rsidR="00BA7DE2" w:rsidRPr="00FB08AF" w:rsidRDefault="00BA7DE2" w:rsidP="00E36728">
            <w:pPr>
              <w:pStyle w:val="InstructionsText"/>
            </w:pPr>
            <w:r>
              <w:rPr>
                <w:rStyle w:val="FormatvorlageInstructionsTabelleText"/>
                <w:sz w:val="24"/>
                <w:rFonts w:ascii="Times New Roman" w:hAnsi="Times New Roman"/>
              </w:rPr>
              <w:t xml:space="preserve">0100 - 0110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3532478C" w14:textId="2024E317" w:rsidR="00BA7DE2" w:rsidRPr="00FB08AF" w:rsidRDefault="00BA7DE2"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Pakāpe parasta maksātnespējas procesa ietvaros</w:t>
            </w:r>
          </w:p>
          <w:p w14:paraId="00049CE6" w14:textId="77777777" w:rsidR="0015243E"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Norāda instrumenta pakāpi parastajā maksātnespējas procedūrā.</w:t>
            </w:r>
            <w:r>
              <w:rPr>
                <w:rStyle w:val="FormatvorlageInstructionsTabelleText"/>
                <w:sz w:val="24"/>
                <w:rFonts w:ascii="Times New Roman" w:hAnsi="Times New Roman"/>
              </w:rPr>
              <w:t xml:space="preserve"> </w:t>
            </w:r>
          </w:p>
          <w:p w14:paraId="41FD6A13" w14:textId="77777777" w:rsidR="00722C11" w:rsidRPr="00FB08AF" w:rsidRDefault="0015243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To veido tās valsts </w:t>
            </w:r>
            <w:r>
              <w:rPr>
                <w:rStyle w:val="FormatvorlageInstructionsTabelleText"/>
                <w:sz w:val="24"/>
                <w:i/>
                <w:iCs/>
                <w:rFonts w:ascii="Times New Roman" w:hAnsi="Times New Roman"/>
              </w:rPr>
              <w:t xml:space="preserve">ISO</w:t>
            </w:r>
            <w:r>
              <w:rPr>
                <w:rStyle w:val="FormatvorlageInstructionsTabelleText"/>
                <w:sz w:val="24"/>
                <w:rFonts w:ascii="Times New Roman" w:hAnsi="Times New Roman"/>
              </w:rPr>
              <w:t xml:space="preserve"> divu burtu kods, kuras tiesību akti reglamentē līguma pakāpi (0100. sleja), kas ir dalībvalsts tiesību akti, un attiecīgās maksātnespējas pakāpes numurs (0110. sleja).</w:t>
            </w:r>
            <w:r>
              <w:rPr>
                <w:rStyle w:val="FormatvorlageInstructionsTabelleText"/>
                <w:sz w:val="24"/>
                <w:rFonts w:ascii="Times New Roman" w:hAnsi="Times New Roman"/>
              </w:rPr>
              <w:t xml:space="preserve"> </w:t>
            </w:r>
          </w:p>
          <w:p w14:paraId="1F24E301" w14:textId="06E1D9AE" w:rsidR="00C23169" w:rsidRPr="00FB08AF" w:rsidRDefault="0015243E" w:rsidP="00E36728">
            <w:pPr>
              <w:pStyle w:val="InstructionsText"/>
              <w:rPr>
                <w:rStyle w:val="InstructionsTabelleberschrift"/>
                <w:b w:val="0"/>
                <w:sz w:val="24"/>
                <w:u w:val="none"/>
                <w:rFonts w:ascii="Times New Roman" w:hAnsi="Times New Roman"/>
              </w:rPr>
            </w:pPr>
            <w:r>
              <w:rPr>
                <w:rStyle w:val="FormatvorlageInstructionsTabelleText"/>
                <w:sz w:val="24"/>
                <w:rFonts w:ascii="Times New Roman" w:hAnsi="Times New Roman"/>
              </w:rPr>
              <w:t xml:space="preserve">Attiecīgo maksātnespējas pakāpi nosaka, pamatojoties uz noregulējuma vai citu iestāžu publicētajām maksātnespējas pakāpēm, ja šāds standartizēts saraksts ir pieejams.</w:t>
            </w:r>
          </w:p>
        </w:tc>
      </w:tr>
      <w:tr w:rsidR="00FB08AF" w:rsidRPr="00FB08AF" w14:paraId="2B6CC2DC"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3A22952C" w14:textId="2C8B23BE" w:rsidR="00C814BF" w:rsidRPr="00FB08AF" w:rsidRDefault="00C814BF" w:rsidP="00E36728">
            <w:pPr>
              <w:pStyle w:val="InstructionsText"/>
            </w:pPr>
            <w:r>
              <w:rPr>
                <w:rStyle w:val="FormatvorlageInstructionsTabelleText"/>
                <w:sz w:val="24"/>
                <w:rFonts w:ascii="Times New Roman" w:hAnsi="Times New Roman"/>
              </w:rPr>
              <w:t xml:space="preserve">0120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65A34F44" w14:textId="691ECB95" w:rsidR="00C814BF" w:rsidRPr="00FB08AF" w:rsidRDefault="00C814BF"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Termiņš</w:t>
            </w:r>
          </w:p>
          <w:p w14:paraId="5BC18DE0" w14:textId="111D094F" w:rsidR="00C814BF" w:rsidRPr="00FB08AF" w:rsidRDefault="00C814BF"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Instrumenta termiņu uzrāda šādā formātā:</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dd/mm/gggg.</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Beztermiņa instrumentu gadījumā šūnu atstāj tukšu.</w:t>
            </w:r>
          </w:p>
        </w:tc>
      </w:tr>
      <w:tr w:rsidR="00FB08AF" w:rsidRPr="00FB08AF" w14:paraId="2D3C1A56"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0E48BA34" w14:textId="70E6F302" w:rsidR="00C814BF" w:rsidRPr="00FB08AF" w:rsidRDefault="00C814BF" w:rsidP="00E36728">
            <w:pPr>
              <w:pStyle w:val="InstructionsText"/>
            </w:pPr>
            <w:r>
              <w:rPr>
                <w:rStyle w:val="FormatvorlageInstructionsTabelleText"/>
                <w:sz w:val="24"/>
                <w:rFonts w:ascii="Times New Roman" w:hAnsi="Times New Roman"/>
              </w:rPr>
              <w:t xml:space="preserve">0130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412A1D75" w14:textId="3E4DF5A2" w:rsidR="00C814BF" w:rsidRPr="00FB08AF" w:rsidRDefault="0090259E"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(Pirmā) atsaukšanas diena</w:t>
            </w:r>
          </w:p>
          <w:p w14:paraId="6C93237B" w14:textId="044F8666" w:rsidR="00F65BB7"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Ja emitentam ir atsaukšanas iespēja, uzrāda pirmo datumu, kurā var īstenot atsaukšanas pieprasījumu.</w:t>
            </w:r>
          </w:p>
          <w:p w14:paraId="1F0D3195" w14:textId="0EC677E5" w:rsidR="00F65BB7" w:rsidRPr="00FB08AF" w:rsidRDefault="00F65BB7"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Ja pirmais atsaukšanas datums ir bijis pirms atsauces datuma, šo datumu norāda, ja pieprasījums joprojām ir izpildāms.</w:t>
            </w:r>
            <w:r>
              <w:rPr>
                <w:rStyle w:val="FormatvorlageInstructionsTabelleText"/>
                <w:sz w:val="24"/>
                <w:rFonts w:ascii="Times New Roman" w:hAnsi="Times New Roman"/>
              </w:rPr>
              <w:t xml:space="preserve"> </w:t>
            </w:r>
            <w:r>
              <w:rPr>
                <w:rStyle w:val="FormatvorlageInstructionsTabelleText"/>
                <w:sz w:val="24"/>
                <w:rFonts w:ascii="Times New Roman" w:hAnsi="Times New Roman"/>
              </w:rPr>
              <w:t xml:space="preserve">Ja tas vairs nav īstenojams, norāda nākamo datumu, kurā tiks īstenots atsaukšanas pieprasījums.</w:t>
            </w:r>
          </w:p>
          <w:p w14:paraId="180F0F72" w14:textId="0990A68B" w:rsidR="00C814BF" w:rsidRPr="00FB08AF" w:rsidRDefault="0090259E"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Emitenta pirkšanas iespējas līgumiem ar nenoteiktu izmantošanas datumu vai atsaukšanas iespējām, ko izraisījuši konkrēti notikumi, ziņo konservatīvi aplēsto iespējamo atsaukšanas datumu.</w:t>
            </w:r>
          </w:p>
          <w:p w14:paraId="171C2174" w14:textId="43DB211C" w:rsidR="00C23169" w:rsidRPr="00FB08AF" w:rsidRDefault="00FC7E0D" w:rsidP="00E36728">
            <w:pPr>
              <w:pStyle w:val="InstructionsText"/>
              <w:rPr>
                <w:rStyle w:val="InstructionsTabelleberschrift"/>
                <w:sz w:val="24"/>
                <w:rFonts w:ascii="Times New Roman" w:hAnsi="Times New Roman"/>
              </w:rPr>
            </w:pPr>
            <w:r>
              <w:rPr>
                <w:rStyle w:val="FormatvorlageInstructionsTabelleText"/>
                <w:sz w:val="24"/>
                <w:rFonts w:ascii="Times New Roman" w:hAnsi="Times New Roman"/>
              </w:rPr>
              <w:t xml:space="preserve">Šajā slejā neņem vērā regulatīvās vai nodokļu atsaukšanas iespējas.</w:t>
            </w:r>
          </w:p>
        </w:tc>
      </w:tr>
      <w:tr w:rsidR="005E573A" w:rsidRPr="00FB08AF" w14:paraId="00B4BF30" w14:textId="77777777" w:rsidTr="009B0274">
        <w:tc>
          <w:tcPr>
            <w:tcW w:w="1129" w:type="dxa"/>
            <w:tcBorders>
              <w:top w:val="single" w:sz="4" w:space="0" w:color="auto"/>
              <w:left w:val="single" w:sz="4" w:space="0" w:color="auto"/>
              <w:bottom w:val="single" w:sz="4" w:space="0" w:color="auto"/>
              <w:right w:val="single" w:sz="4" w:space="0" w:color="auto"/>
            </w:tcBorders>
            <w:shd w:val="clear" w:color="auto" w:fill="auto"/>
          </w:tcPr>
          <w:p w14:paraId="58C2367C" w14:textId="67057C66" w:rsidR="005E573A" w:rsidRPr="00FB08AF" w:rsidRDefault="005E573A" w:rsidP="00E36728">
            <w:pPr>
              <w:pStyle w:val="InstructionsText"/>
              <w:rPr>
                <w:rStyle w:val="FormatvorlageInstructionsTabelleText"/>
                <w:sz w:val="24"/>
                <w:rFonts w:ascii="Times New Roman" w:hAnsi="Times New Roman"/>
              </w:rPr>
            </w:pPr>
            <w:r>
              <w:rPr>
                <w:rStyle w:val="FormatvorlageInstructionsTabelleText"/>
                <w:sz w:val="24"/>
                <w:rFonts w:ascii="Times New Roman" w:hAnsi="Times New Roman"/>
              </w:rPr>
              <w:t xml:space="preserve">0140</w:t>
            </w:r>
          </w:p>
        </w:tc>
        <w:tc>
          <w:tcPr>
            <w:tcW w:w="7620" w:type="dxa"/>
            <w:tcBorders>
              <w:top w:val="single" w:sz="4" w:space="0" w:color="auto"/>
              <w:left w:val="single" w:sz="4" w:space="0" w:color="auto"/>
              <w:bottom w:val="single" w:sz="4" w:space="0" w:color="auto"/>
              <w:right w:val="single" w:sz="4" w:space="0" w:color="auto"/>
            </w:tcBorders>
            <w:shd w:val="clear" w:color="auto" w:fill="auto"/>
          </w:tcPr>
          <w:p w14:paraId="7935B27A" w14:textId="0A8E16B4" w:rsidR="005E573A" w:rsidRPr="00FB08AF" w:rsidRDefault="005E573A" w:rsidP="00E36728">
            <w:pPr>
              <w:pStyle w:val="InstructionsText"/>
              <w:rPr>
                <w:rStyle w:val="InstructionsTabelleberschrift"/>
                <w:sz w:val="24"/>
                <w:rFonts w:ascii="Times New Roman" w:hAnsi="Times New Roman"/>
              </w:rPr>
            </w:pPr>
            <w:r>
              <w:rPr>
                <w:rStyle w:val="InstructionsTabelleberschrift"/>
                <w:sz w:val="24"/>
                <w:rFonts w:ascii="Times New Roman" w:hAnsi="Times New Roman"/>
              </w:rPr>
              <w:t xml:space="preserve">Regulatīva atsaukšana (J/N)</w:t>
            </w:r>
          </w:p>
          <w:p w14:paraId="2DB12A69" w14:textId="0ACA0878" w:rsidR="00C23169" w:rsidRPr="00FB08AF" w:rsidRDefault="0087315C" w:rsidP="00E36728">
            <w:pPr>
              <w:pStyle w:val="InstructionsText"/>
              <w:rPr>
                <w:rStyle w:val="InstructionsTabelleberschrift"/>
                <w:b w:val="0"/>
                <w:sz w:val="24"/>
                <w:u w:val="none"/>
                <w:rFonts w:ascii="Times New Roman" w:hAnsi="Times New Roman"/>
              </w:rPr>
            </w:pPr>
            <w:r>
              <w:rPr>
                <w:sz w:val="24"/>
                <w:rFonts w:ascii="Times New Roman" w:hAnsi="Times New Roman"/>
              </w:rPr>
              <w:t xml:space="preserve">Norāda, vai emitentam ir atsaukšanas iespēja, ko var izmantot, iestājoties regulatīvam notikumam, kas ietekmē līguma atbilstību</w:t>
            </w:r>
            <w:r>
              <w:rPr>
                <w:sz w:val="24"/>
                <w:rFonts w:ascii="Times New Roman" w:hAnsi="Times New Roman"/>
              </w:rPr>
              <w:t xml:space="preserve"> </w:t>
            </w:r>
            <w:r>
              <w:rPr>
                <w:sz w:val="24"/>
                <w:i/>
                <w:iCs/>
                <w:rFonts w:ascii="Times New Roman" w:hAnsi="Times New Roman"/>
              </w:rPr>
              <w:t xml:space="preserve">MREL</w:t>
            </w:r>
            <w:r>
              <w:rPr>
                <w:sz w:val="24"/>
                <w:rFonts w:ascii="Times New Roman" w:hAnsi="Times New Roman"/>
              </w:rPr>
              <w:t xml:space="preserve">.</w:t>
            </w:r>
          </w:p>
        </w:tc>
      </w:tr>
    </w:tbl>
    <w:p w14:paraId="283DBBE4" w14:textId="71DC2E17" w:rsidR="007C10D9" w:rsidRPr="00FB08AF" w:rsidRDefault="00367B3A" w:rsidP="004A66E8">
      <w:pPr>
        <w:rPr>
          <w:rStyle w:val="InstructionsTabelleText"/>
          <w:sz w:val="24"/>
          <w:rFonts w:ascii="Times New Roman" w:hAnsi="Times New Roman"/>
        </w:rPr>
      </w:pPr>
      <w:r>
        <w:rPr>
          <w:rStyle w:val="InstructionsTabelleText"/>
          <w:sz w:val="24"/>
          <w:rFonts w:ascii="Times New Roman" w:hAnsi="Times New Roman"/>
        </w:rPr>
        <w:t xml:space="preserve">“</w:t>
      </w:r>
    </w:p>
    <w:sectPr w:rsidR="007C10D9" w:rsidRPr="00FB08AF" w:rsidSect="00B51F42">
      <w:headerReference w:type="even" r:id="rId14"/>
      <w:headerReference w:type="default" r:id="rId15"/>
      <w:footerReference w:type="even" r:id="rId16"/>
      <w:footerReference w:type="default" r:id="rId17"/>
      <w:headerReference w:type="first" r:id="rId18"/>
      <w:endnotePr>
        <w:numFmt w:val="decimal"/>
      </w:endnotePr>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07C9F" w14:textId="77777777" w:rsidR="0026202B" w:rsidRDefault="0026202B" w:rsidP="00D946DB">
      <w:pPr>
        <w:spacing w:before="0" w:after="0"/>
      </w:pPr>
      <w:r>
        <w:separator/>
      </w:r>
    </w:p>
  </w:endnote>
  <w:endnote w:type="continuationSeparator" w:id="0">
    <w:p w14:paraId="134FDC7D" w14:textId="77777777" w:rsidR="0026202B" w:rsidRDefault="0026202B" w:rsidP="00D946DB">
      <w:pPr>
        <w:spacing w:before="0" w:after="0"/>
      </w:pPr>
      <w:r>
        <w:continuationSeparator/>
      </w:r>
    </w:p>
  </w:endnote>
  <w:endnote w:type="continuationNotice" w:id="1">
    <w:p w14:paraId="62D12ADA" w14:textId="77777777" w:rsidR="0026202B" w:rsidRDefault="0026202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 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6BB1F" w14:textId="77777777" w:rsidR="00EC5B2A" w:rsidRDefault="00EC5B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8340065"/>
      <w:docPartObj>
        <w:docPartGallery w:val="Page Numbers (Bottom of Page)"/>
        <w:docPartUnique/>
      </w:docPartObj>
    </w:sdtPr>
    <w:sdtEndPr>
      <w:rPr>
        <w:rFonts w:ascii="Times New Roman" w:hAnsi="Times New Roman"/>
        <w:noProof/>
        <w:sz w:val="20"/>
        <w:szCs w:val="20"/>
      </w:rPr>
    </w:sdtEndPr>
    <w:sdtContent>
      <w:p w14:paraId="43F42CE0" w14:textId="0CA50634" w:rsidR="00551E8E" w:rsidRPr="00EC5B2A" w:rsidRDefault="00551E8E" w:rsidP="00684E72">
        <w:pPr>
          <w:pStyle w:val="Footer"/>
          <w:jc w:val="center"/>
          <w:rPr>
            <w:sz w:val="20"/>
            <w:szCs w:val="20"/>
            <w:rFonts w:ascii="Times New Roman" w:hAnsi="Times New Roman"/>
          </w:rPr>
        </w:pPr>
        <w:r w:rsidRPr="00EC5B2A">
          <w:rPr>
            <w:sz w:val="20"/>
            <w:rFonts w:ascii="Times New Roman" w:hAnsi="Times New Roman"/>
          </w:rPr>
          <w:fldChar w:fldCharType="begin"/>
        </w:r>
        <w:r w:rsidRPr="00EC5B2A">
          <w:rPr>
            <w:sz w:val="20"/>
            <w:rFonts w:ascii="Times New Roman" w:hAnsi="Times New Roman"/>
          </w:rPr>
          <w:instrText xml:space="preserve"> PAGE   \* MERGEFORMAT </w:instrText>
        </w:r>
        <w:r w:rsidRPr="00EC5B2A">
          <w:rPr>
            <w:sz w:val="20"/>
            <w:rFonts w:ascii="Times New Roman" w:hAnsi="Times New Roman"/>
          </w:rPr>
          <w:fldChar w:fldCharType="separate"/>
        </w:r>
        <w:r w:rsidR="00D5004A" w:rsidRPr="00EC5B2A">
          <w:rPr>
            <w:sz w:val="20"/>
            <w:rFonts w:ascii="Times New Roman" w:hAnsi="Times New Roman"/>
          </w:rPr>
          <w:t>1</w:t>
        </w:r>
        <w:r w:rsidRPr="00EC5B2A">
          <w:rPr>
            <w:sz w:val="20"/>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9A8FA" w14:textId="77777777" w:rsidR="00EC5B2A" w:rsidRDefault="00EC5B2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9DC3A" w14:textId="77777777" w:rsidR="00551E8E" w:rsidRDefault="00551E8E">
    <w:pPr>
      <w:pStyle w:val="Footer"/>
      <w:framePr w:wrap="auto" w:vAnchor="text" w:hAnchor="margin" w:xAlign="right" w:y="1"/>
      <w:rPr>
        <w:rStyle w:val="PageNumber"/>
        <w:szCs w:val="22"/>
      </w:rPr>
    </w:pPr>
    <w:r>
      <w:rPr>
        <w:rStyle w:val="PageNumber"/>
      </w:rPr>
      <w:fldChar w:fldCharType="begin"/>
    </w:r>
    <w:r>
      <w:rPr>
        <w:rStyle w:val="PageNumber"/>
      </w:rPr>
      <w:instrText xml:space="preserve">PAGE  </w:instrText>
    </w:r>
    <w:r>
      <w:rPr>
        <w:rStyle w:val="PageNumber"/>
      </w:rPr>
      <w:fldChar w:fldCharType="separate"/>
    </w:r>
    <w:r>
      <w:rPr>
        <w:rStyle w:val="PageNumber"/>
      </w:rPr>
      <w:t>183</w:t>
    </w:r>
    <w:r>
      <w:rPr>
        <w:rStyle w:val="PageNumber"/>
      </w:rPr>
      <w:fldChar w:fldCharType="end"/>
    </w:r>
  </w:p>
  <w:p w14:paraId="47A2770F" w14:textId="77777777" w:rsidR="00551E8E" w:rsidRDefault="00551E8E">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1C299" w14:textId="57535AAE" w:rsidR="00551E8E" w:rsidRPr="00ED1956" w:rsidRDefault="00551E8E" w:rsidP="00EC5B2A">
    <w:pPr>
      <w:pStyle w:val="Footer"/>
      <w:jc w:val="center"/>
      <w:rPr>
        <w:sz w:val="20"/>
        <w:szCs w:val="20"/>
        <w:rFonts w:ascii="Times New Roman" w:hAnsi="Times New Roman"/>
      </w:rPr>
    </w:pPr>
    <w:r w:rsidRPr="00ED1956">
      <w:rPr>
        <w:sz w:val="20"/>
        <w:rFonts w:ascii="Times New Roman" w:hAnsi="Times New Roman"/>
      </w:rPr>
      <w:fldChar w:fldCharType="begin"/>
    </w:r>
    <w:r w:rsidRPr="00ED1956">
      <w:rPr>
        <w:sz w:val="20"/>
        <w:rFonts w:ascii="Times New Roman" w:hAnsi="Times New Roman"/>
      </w:rPr>
      <w:instrText xml:space="preserve"> PAGE   \* MERGEFORMAT </w:instrText>
    </w:r>
    <w:r w:rsidRPr="00ED1956">
      <w:rPr>
        <w:sz w:val="20"/>
        <w:rFonts w:ascii="Times New Roman" w:hAnsi="Times New Roman"/>
      </w:rPr>
      <w:fldChar w:fldCharType="separate"/>
    </w:r>
    <w:r w:rsidR="00D5004A">
      <w:rPr>
        <w:sz w:val="20"/>
        <w:rFonts w:ascii="Times New Roman" w:hAnsi="Times New Roman"/>
      </w:rPr>
      <w:t>21</w:t>
    </w:r>
    <w:r w:rsidRPr="00ED1956">
      <w:rPr>
        <w:sz w:val="20"/>
        <w:rFonts w:ascii="Times New Roman" w:hAnsi="Times New Roman"/>
      </w:rPr>
      <w:fldChar w:fldCharType="end"/>
    </w:r>
  </w:p>
  <w:p w14:paraId="1DE3368F" w14:textId="77777777" w:rsidR="00551E8E" w:rsidRPr="00A772B4" w:rsidRDefault="00551E8E" w:rsidP="00A772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52A6F" w14:textId="77777777" w:rsidR="0026202B" w:rsidRDefault="0026202B" w:rsidP="00D946DB">
      <w:pPr>
        <w:spacing w:before="0" w:after="0"/>
      </w:pPr>
      <w:r>
        <w:separator/>
      </w:r>
    </w:p>
  </w:footnote>
  <w:footnote w:type="continuationSeparator" w:id="0">
    <w:p w14:paraId="4C627D1C" w14:textId="77777777" w:rsidR="0026202B" w:rsidRDefault="0026202B" w:rsidP="00D946DB">
      <w:pPr>
        <w:spacing w:before="0" w:after="0"/>
      </w:pPr>
      <w:r>
        <w:continuationSeparator/>
      </w:r>
    </w:p>
  </w:footnote>
  <w:footnote w:type="continuationNotice" w:id="1">
    <w:p w14:paraId="6B86DB8B" w14:textId="77777777" w:rsidR="0026202B" w:rsidRDefault="0026202B">
      <w:pPr>
        <w:spacing w:before="0" w:after="0"/>
      </w:pPr>
    </w:p>
  </w:footnote>
  <w:footnote w:id="2">
    <w:p w14:paraId="25A8BBAC" w14:textId="7663F503" w:rsidR="00295371" w:rsidRPr="00EC5B2A" w:rsidRDefault="00295371">
      <w:pPr>
        <w:pStyle w:val="FootnoteText"/>
        <w:rPr>
          <w:sz w:val="20"/>
          <w:szCs w:val="20"/>
          <w:rFonts w:ascii="Times New Roman" w:hAnsi="Times New Roman"/>
        </w:rPr>
      </w:pPr>
      <w:r>
        <w:rPr>
          <w:rStyle w:val="FootnoteReference"/>
          <w:rFonts w:ascii="Times New Roman" w:hAnsi="Times New Roman"/>
          <w:sz w:val="20"/>
          <w:szCs w:val="20"/>
          <w:vertAlign w:val="superscript"/>
        </w:rPr>
        <w:footnoteRef/>
      </w:r>
      <w:r>
        <w:rPr>
          <w:sz w:val="20"/>
          <w:rFonts w:ascii="Times New Roman" w:hAnsi="Times New Roman"/>
        </w:rPr>
        <w:t xml:space="preserve"> Komisijas Deleģētā regula (ES) Nr. 241/2014 ( 2014. gada 7. janvāris), ar kuru Eiropas Parlamenta un Padomes Regulu (ES) Nr. 575/2013 papildina saistībā ar regulatīvajiem tehniskajiem standartiem, kas attiecas uz iestāžu pašu kapitāla prasībām (OV L 74, 14.3.2014., 8. lpp., ELI:</w:t>
      </w:r>
      <w:r>
        <w:rPr>
          <w:sz w:val="20"/>
          <w:rFonts w:ascii="Times New Roman" w:hAnsi="Times New Roman"/>
        </w:rPr>
        <w:t xml:space="preserve"> </w:t>
      </w:r>
      <w:hyperlink r:id="rId1" w:history="1">
        <w:r>
          <w:rPr>
            <w:rStyle w:val="Hyperlink"/>
            <w:sz w:val="20"/>
            <w:rFonts w:ascii="Times New Roman" w:hAnsi="Times New Roman"/>
          </w:rPr>
          <w:t xml:space="preserve">http://data.europa.eu/eli/reg_del/2014/241/oj</w:t>
        </w:r>
      </w:hyperlink>
      <w:r>
        <w:rPr>
          <w:sz w:val="20"/>
          <w:rFonts w:ascii="Times New Roman" w:hAnsi="Times New Roman"/>
        </w:rPr>
        <w:t xml:space="preserve">).</w:t>
      </w:r>
    </w:p>
  </w:footnote>
  <w:footnote w:id="3">
    <w:p w14:paraId="692FB9C1" w14:textId="3603876F" w:rsidR="00551E8E" w:rsidRPr="00EC5B2A" w:rsidRDefault="00551E8E" w:rsidP="006876BA">
      <w:pPr>
        <w:pStyle w:val="FootnoteText"/>
        <w:rPr>
          <w:sz w:val="20"/>
          <w:szCs w:val="20"/>
          <w:rFonts w:ascii="Times New Roman" w:hAnsi="Times New Roman"/>
        </w:rPr>
      </w:pPr>
      <w:r>
        <w:rPr>
          <w:rStyle w:val="FootnoteReference"/>
          <w:rFonts w:ascii="Times New Roman" w:hAnsi="Times New Roman"/>
          <w:sz w:val="20"/>
          <w:szCs w:val="20"/>
        </w:rPr>
        <w:footnoteRef/>
      </w:r>
      <w:r>
        <w:rPr>
          <w:sz w:val="20"/>
          <w:rFonts w:ascii="Times New Roman" w:hAnsi="Times New Roman"/>
        </w:rPr>
        <w:t xml:space="preserve"> Eiropas Parlamenta un Padomes Direktīva 2013/36/ES (2013. gada 26. jūnijs) par piekļuvi kredītiestāžu darbībai un kredītiestāžu un ieguldījumu brokeru sabiedrību prudenciālo uzraudzību, ar ko groza Direktīvu 2002/87/EK un atceļ Direktīvas 2006/48/EK un 2006/49/EK (OV L 176, 27.6.2013., 338. Lpp., ELI:</w:t>
      </w:r>
      <w:r>
        <w:rPr>
          <w:sz w:val="20"/>
          <w:rFonts w:ascii="Times New Roman" w:hAnsi="Times New Roman"/>
        </w:rPr>
        <w:t xml:space="preserve"> </w:t>
      </w:r>
      <w:r>
        <w:rPr>
          <w:sz w:val="20"/>
          <w:rFonts w:ascii="Times New Roman" w:hAnsi="Times New Roman"/>
        </w:rPr>
        <w:t xml:space="preserve">http://data.europa.eu/eli/dir/2013/36/oj).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82C" w14:textId="02E5272D" w:rsidR="00551E8E" w:rsidRDefault="00551E8E">
    <w:pPr>
      <w:pStyle w:val="Header"/>
    </w:pPr>
    <w:r>
      <mc:AlternateContent>
        <mc:Choice Requires="wps">
          <w:drawing>
            <wp:anchor distT="0" distB="0" distL="0" distR="0" simplePos="0" relativeHeight="251659264" behindDoc="0" locked="0" layoutInCell="1" allowOverlap="1" wp14:anchorId="2C1CABF6" wp14:editId="3F5CDD20">
              <wp:simplePos x="635" y="635"/>
              <wp:positionH relativeFrom="leftMargin">
                <wp:align>left</wp:align>
              </wp:positionH>
              <wp:positionV relativeFrom="paragraph">
                <wp:posOffset>635</wp:posOffset>
              </wp:positionV>
              <wp:extent cx="443865" cy="443865"/>
              <wp:effectExtent l="0" t="0" r="3175" b="4445"/>
              <wp:wrapSquare wrapText="bothSides"/>
              <wp:docPr id="2" name="Text Box 2"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2C1CABF6" id="_x0000_t202" coordsize="21600,21600" o:spt="202" path="m,l,21600r21600,l21600,xe">
              <v:stroke joinstyle="miter"/>
              <v:path gradientshapeok="t" o:connecttype="rect"/>
            </v:shapetype>
            <v:shape id="Text Box 2" o:spid="_x0000_s1026" type="#_x0000_t202" alt="Title:  - Description: EBI oficiālai lietošanai" style="position:absolute;left:0;text-align:left;margin-left:0;margin-top:.05pt;width:34.95pt;height:34.95pt;z-index:251659264;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CC8BQIAABQ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" filled="f" stroked="f">
              <v:textbox style="mso-fit-shape-to-text:t" inset="5pt,0,0,0">
                <w:txbxContent>
                  <w:p w14:paraId="50D3E4FA" w14:textId="6C0428EE"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84525" w14:textId="77777777" w:rsidR="00EC5B2A" w:rsidRDefault="00EC5B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192B7" w14:textId="036EDA41" w:rsidR="00551E8E" w:rsidRDefault="00551E8E">
    <w:pPr>
      <w:pStyle w:val="Header"/>
    </w:pPr>
    <w:r>
      <mc:AlternateContent>
        <mc:Choice Requires="wps">
          <w:drawing>
            <wp:anchor distT="0" distB="0" distL="0" distR="0" simplePos="0" relativeHeight="251658240" behindDoc="0" locked="0" layoutInCell="1" allowOverlap="1" wp14:anchorId="4EB79560" wp14:editId="5DA343CE">
              <wp:simplePos x="635" y="635"/>
              <wp:positionH relativeFrom="leftMargin">
                <wp:align>left</wp:align>
              </wp:positionH>
              <wp:positionV relativeFrom="paragraph">
                <wp:posOffset>635</wp:posOffset>
              </wp:positionV>
              <wp:extent cx="443865" cy="443865"/>
              <wp:effectExtent l="0" t="0" r="3175" b="4445"/>
              <wp:wrapSquare wrapText="bothSides"/>
              <wp:docPr id="1" name="Text Box 1"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B79560" id="_x0000_t202" coordsize="21600,21600" o:spt="202" path="m,l,21600r21600,l21600,xe">
              <v:stroke joinstyle="miter"/>
              <v:path gradientshapeok="t" o:connecttype="rect"/>
            </v:shapetype>
            <v:shape id="Text Box 1" o:spid="_x0000_s1027" type="#_x0000_t202" alt="Title:  - Description: EBI oficiālai lietošanai" style="position:absolute;left:0;text-align:left;margin-left:0;margin-top:.05pt;width:34.95pt;height:34.95pt;z-index:251658240;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" filled="f" stroked="f">
              <v:textbox style="mso-fit-shape-to-text:t" inset="5pt,0,0,0">
                <w:txbxContent>
                  <w:p w14:paraId="7B950E17" w14:textId="204A80B1"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v:textbox>
              <w10:wrap type="square" anchorx="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911E0" w14:textId="52ED7118" w:rsidR="00551E8E" w:rsidRDefault="00551E8E">
    <w:pPr>
      <w:pStyle w:val="Header"/>
    </w:pPr>
    <w:r>
      <mc:AlternateContent>
        <mc:Choice Requires="wps">
          <w:drawing>
            <wp:anchor distT="0" distB="0" distL="0" distR="0" simplePos="0" relativeHeight="251662336" behindDoc="0" locked="0" layoutInCell="1" allowOverlap="1" wp14:anchorId="7A187909" wp14:editId="4A22D389">
              <wp:simplePos x="635" y="635"/>
              <wp:positionH relativeFrom="leftMargin">
                <wp:align>left</wp:align>
              </wp:positionH>
              <wp:positionV relativeFrom="paragraph">
                <wp:posOffset>635</wp:posOffset>
              </wp:positionV>
              <wp:extent cx="443865" cy="443865"/>
              <wp:effectExtent l="0" t="0" r="3175" b="4445"/>
              <wp:wrapSquare wrapText="bothSides"/>
              <wp:docPr id="5" name="Text Box 5"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7A187909" id="_x0000_t202" coordsize="21600,21600" o:spt="202" path="m,l,21600r21600,l21600,xe">
              <v:stroke joinstyle="miter"/>
              <v:path gradientshapeok="t" o:connecttype="rect"/>
            </v:shapetype>
            <v:shape id="Text Box 5" o:spid="_x0000_s1028" type="#_x0000_t202" alt="Title:  - Description: EBI oficiālai lietošanai" style="position:absolute;left:0;text-align:left;margin-left:0;margin-top:.05pt;width:34.95pt;height:34.95pt;z-index:251662336;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E6zhzwkCAAAbBAAADgAA&#10;AAAAAAAAAAAAAAAuAgAAZHJzL2Uyb0RvYy54bWxQSwECLQAUAAYACAAAACEANIE6FtoAAAADAQAA&#10;DwAAAAAAAAAAAAAAAABjBAAAZHJzL2Rvd25yZXYueG1sUEsFBgAAAAAEAAQA8wAAAGoFAAAAAA==&#10;" filled="f" stroked="f">
              <v:textbox style="mso-fit-shape-to-text:t" inset="5pt,0,0,0">
                <w:txbxContent>
                  <w:p w14:paraId="14400FA0" w14:textId="78A4343B"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v:textbox>
              <w10:wrap type="square" anchorx="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F2EA" w14:textId="730AE660" w:rsidR="00551E8E" w:rsidRDefault="00551E8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1AC87" w14:textId="501B9E62" w:rsidR="00551E8E" w:rsidRDefault="00551E8E">
    <w:pPr>
      <w:rPr>
        <w:rFonts w:ascii="Arial" w:hAnsi="Arial" w:cs="Arial"/>
      </w:rPr>
    </w:pPr>
    <w:r>
      <w:rPr>
        <w:rFonts w:ascii="Arial" w:hAnsi="Arial"/>
      </w:rPr>
      <mc:AlternateContent>
        <mc:Choice Requires="wps">
          <w:drawing>
            <wp:anchor distT="0" distB="0" distL="0" distR="0" simplePos="0" relativeHeight="251661312" behindDoc="0" locked="0" layoutInCell="1" allowOverlap="1" wp14:anchorId="4E97F775" wp14:editId="78922CDE">
              <wp:simplePos x="635" y="635"/>
              <wp:positionH relativeFrom="leftMargin">
                <wp:align>left</wp:align>
              </wp:positionH>
              <wp:positionV relativeFrom="paragraph">
                <wp:posOffset>635</wp:posOffset>
              </wp:positionV>
              <wp:extent cx="443865" cy="443865"/>
              <wp:effectExtent l="0" t="0" r="3175" b="4445"/>
              <wp:wrapSquare wrapText="bothSides"/>
              <wp:docPr id="4" name="Text Box 4" descr="EBI oficiālai lietošanai">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wps:txbx>
                    <wps:bodyPr rot="0" spcFirstLastPara="0" vertOverflow="overflow" horzOverflow="overflow" vert="horz" wrap="none" lIns="63500" tIns="0" rIns="0" bIns="0" numCol="1" spcCol="0" rtlCol="0" fromWordArt="0" anchor="t" anchorCtr="0" forceAA="0" compatLnSpc="1">
                      <a:prstTxWarp prst="textNoShape">
                        <a:avLst/>
                      </a:prstTxWarp>
                      <a:spAutoFit/>
                    </wps:bodyPr>
                  </wps:wsp>
                </a:graphicData>
              </a:graphic>
            </wp:anchor>
          </w:drawing>
        </mc:Choice>
        <mc:Fallback>
          <w:pict>
            <v:shapetype w14:anchorId="4E97F775" id="_x0000_t202" coordsize="21600,21600" o:spt="202" path="m,l,21600r21600,l21600,xe">
              <v:stroke joinstyle="miter"/>
              <v:path gradientshapeok="t" o:connecttype="rect"/>
            </v:shapetype>
            <v:shape id="Text Box 4" o:spid="_x0000_s1029" type="#_x0000_t202" alt="Title:  - Description: EBI oficiālai lietošanai" style="position:absolute;left:0;text-align:left;margin-left:0;margin-top:.05pt;width:34.95pt;height:34.95pt;z-index:251661312;visibility:visible;mso-wrap-style:none;mso-wrap-distance-left:0;mso-wrap-distance-top:0;mso-wrap-distance-right:0;mso-wrap-distance-bottom:0;mso-position-horizontal:left;mso-position-horizontal-relative:left-margin-area;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" filled="f" stroked="f">
              <v:textbox style="mso-fit-shape-to-text:t" inset="5pt,0,0,0">
                <w:txbxContent>
                  <w:p w14:paraId="0152FFC7" w14:textId="682B3475" w:rsidR="00551E8E" w:rsidRPr="00A0123A" w:rsidRDefault="00551E8E">
                    <w:pPr>
                      <w:rPr>
                        <w:noProof/>
                        <w:color w:val="000000"/>
                        <w:sz w:val="24"/>
                        <w:rFonts w:ascii="Calibri" w:eastAsia="Calibri" w:hAnsi="Calibri" w:cs="Calibri"/>
                      </w:rPr>
                    </w:pPr>
                    <w:r>
                      <w:rPr>
                        <w:color w:val="000000"/>
                        <w:sz w:val="24"/>
                        <w:rFonts w:ascii="Calibri" w:hAnsi="Calibri"/>
                      </w:rPr>
                      <w:t xml:space="preserve">EBI oficiālai lietošanai</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D3A99"/>
    <w:multiLevelType w:val="hybridMultilevel"/>
    <w:tmpl w:val="B9D49566"/>
    <w:lvl w:ilvl="0" w:tplc="D2024F70">
      <w:start w:val="1"/>
      <w:numFmt w:val="bullet"/>
      <w:pStyle w:val="Aufzhlungszeichen1"/>
      <w:lvlText w:val=""/>
      <w:lvlJc w:val="left"/>
      <w:pPr>
        <w:tabs>
          <w:tab w:val="num" w:pos="360"/>
        </w:tabs>
        <w:ind w:left="360" w:hanging="360"/>
      </w:pPr>
      <w:rPr>
        <w:rFonts w:ascii="Symbol" w:hAnsi="Symbol" w:hint="default"/>
        <w:color w:val="auto"/>
        <w:sz w:val="28"/>
      </w:rPr>
    </w:lvl>
    <w:lvl w:ilvl="1" w:tplc="FBC0B1D0" w:tentative="1">
      <w:start w:val="1"/>
      <w:numFmt w:val="bullet"/>
      <w:lvlText w:val="o"/>
      <w:lvlJc w:val="left"/>
      <w:pPr>
        <w:tabs>
          <w:tab w:val="num" w:pos="1440"/>
        </w:tabs>
        <w:ind w:left="1440" w:hanging="360"/>
      </w:pPr>
      <w:rPr>
        <w:rFonts w:ascii="Courier New" w:hAnsi="Courier New" w:hint="default"/>
      </w:rPr>
    </w:lvl>
    <w:lvl w:ilvl="2" w:tplc="0B0AEBA8" w:tentative="1">
      <w:start w:val="1"/>
      <w:numFmt w:val="bullet"/>
      <w:lvlText w:val=""/>
      <w:lvlJc w:val="left"/>
      <w:pPr>
        <w:tabs>
          <w:tab w:val="num" w:pos="2160"/>
        </w:tabs>
        <w:ind w:left="2160" w:hanging="360"/>
      </w:pPr>
      <w:rPr>
        <w:rFonts w:ascii="Wingdings" w:hAnsi="Wingdings" w:hint="default"/>
      </w:rPr>
    </w:lvl>
    <w:lvl w:ilvl="3" w:tplc="320AF0DE" w:tentative="1">
      <w:start w:val="1"/>
      <w:numFmt w:val="bullet"/>
      <w:lvlText w:val=""/>
      <w:lvlJc w:val="left"/>
      <w:pPr>
        <w:tabs>
          <w:tab w:val="num" w:pos="2880"/>
        </w:tabs>
        <w:ind w:left="2880" w:hanging="360"/>
      </w:pPr>
      <w:rPr>
        <w:rFonts w:ascii="Symbol" w:hAnsi="Symbol" w:hint="default"/>
      </w:rPr>
    </w:lvl>
    <w:lvl w:ilvl="4" w:tplc="FCE445B6" w:tentative="1">
      <w:start w:val="1"/>
      <w:numFmt w:val="bullet"/>
      <w:lvlText w:val="o"/>
      <w:lvlJc w:val="left"/>
      <w:pPr>
        <w:tabs>
          <w:tab w:val="num" w:pos="3600"/>
        </w:tabs>
        <w:ind w:left="3600" w:hanging="360"/>
      </w:pPr>
      <w:rPr>
        <w:rFonts w:ascii="Courier New" w:hAnsi="Courier New" w:hint="default"/>
      </w:rPr>
    </w:lvl>
    <w:lvl w:ilvl="5" w:tplc="BD46C1E4" w:tentative="1">
      <w:start w:val="1"/>
      <w:numFmt w:val="bullet"/>
      <w:lvlText w:val=""/>
      <w:lvlJc w:val="left"/>
      <w:pPr>
        <w:tabs>
          <w:tab w:val="num" w:pos="4320"/>
        </w:tabs>
        <w:ind w:left="4320" w:hanging="360"/>
      </w:pPr>
      <w:rPr>
        <w:rFonts w:ascii="Wingdings" w:hAnsi="Wingdings" w:hint="default"/>
      </w:rPr>
    </w:lvl>
    <w:lvl w:ilvl="6" w:tplc="DCB491D4" w:tentative="1">
      <w:start w:val="1"/>
      <w:numFmt w:val="bullet"/>
      <w:lvlText w:val=""/>
      <w:lvlJc w:val="left"/>
      <w:pPr>
        <w:tabs>
          <w:tab w:val="num" w:pos="5040"/>
        </w:tabs>
        <w:ind w:left="5040" w:hanging="360"/>
      </w:pPr>
      <w:rPr>
        <w:rFonts w:ascii="Symbol" w:hAnsi="Symbol" w:hint="default"/>
      </w:rPr>
    </w:lvl>
    <w:lvl w:ilvl="7" w:tplc="00762622" w:tentative="1">
      <w:start w:val="1"/>
      <w:numFmt w:val="bullet"/>
      <w:lvlText w:val="o"/>
      <w:lvlJc w:val="left"/>
      <w:pPr>
        <w:tabs>
          <w:tab w:val="num" w:pos="5760"/>
        </w:tabs>
        <w:ind w:left="5760" w:hanging="360"/>
      </w:pPr>
      <w:rPr>
        <w:rFonts w:ascii="Courier New" w:hAnsi="Courier New" w:hint="default"/>
      </w:rPr>
    </w:lvl>
    <w:lvl w:ilvl="8" w:tplc="49DCE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0561B1"/>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535F1A"/>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710F59"/>
    <w:multiLevelType w:val="multilevel"/>
    <w:tmpl w:val="6348284C"/>
    <w:lvl w:ilvl="0">
      <w:start w:val="1"/>
      <w:numFmt w:val="decimal"/>
      <w:pStyle w:val="Baseparagraphnumbered"/>
      <w:lvlText w:val="%1."/>
      <w:lvlJc w:val="left"/>
      <w:pPr>
        <w:ind w:left="1637" w:hanging="360"/>
      </w:pPr>
      <w:rPr>
        <w:rFonts w:cs="Times New Roman" w:hint="default"/>
      </w:rPr>
    </w:lvl>
    <w:lvl w:ilvl="1">
      <w:start w:val="1"/>
      <w:numFmt w:val="lowerLetter"/>
      <w:lvlText w:val="%2."/>
      <w:lvlJc w:val="left"/>
      <w:pPr>
        <w:ind w:left="2007" w:hanging="360"/>
      </w:pPr>
      <w:rPr>
        <w:rFonts w:cs="Times New Roman" w:hint="default"/>
      </w:rPr>
    </w:lvl>
    <w:lvl w:ilvl="2">
      <w:start w:val="1"/>
      <w:numFmt w:val="lowerRoman"/>
      <w:lvlText w:val="%3."/>
      <w:lvlJc w:val="right"/>
      <w:pPr>
        <w:ind w:left="2727" w:hanging="180"/>
      </w:pPr>
      <w:rPr>
        <w:rFonts w:cs="Times New Roman" w:hint="default"/>
      </w:rPr>
    </w:lvl>
    <w:lvl w:ilvl="3">
      <w:start w:val="1"/>
      <w:numFmt w:val="decimal"/>
      <w:lvlText w:val="%4."/>
      <w:lvlJc w:val="left"/>
      <w:pPr>
        <w:ind w:left="3447" w:hanging="360"/>
      </w:pPr>
      <w:rPr>
        <w:rFonts w:cs="Times New Roman" w:hint="default"/>
      </w:rPr>
    </w:lvl>
    <w:lvl w:ilvl="4">
      <w:start w:val="1"/>
      <w:numFmt w:val="lowerLetter"/>
      <w:lvlText w:val="%5."/>
      <w:lvlJc w:val="left"/>
      <w:pPr>
        <w:ind w:left="4167" w:hanging="360"/>
      </w:pPr>
      <w:rPr>
        <w:rFonts w:cs="Times New Roman" w:hint="default"/>
      </w:rPr>
    </w:lvl>
    <w:lvl w:ilvl="5">
      <w:start w:val="1"/>
      <w:numFmt w:val="lowerRoman"/>
      <w:lvlText w:val="%6."/>
      <w:lvlJc w:val="right"/>
      <w:pPr>
        <w:ind w:left="4887" w:hanging="180"/>
      </w:pPr>
      <w:rPr>
        <w:rFonts w:cs="Times New Roman" w:hint="default"/>
      </w:rPr>
    </w:lvl>
    <w:lvl w:ilvl="6">
      <w:start w:val="1"/>
      <w:numFmt w:val="decimal"/>
      <w:lvlText w:val="%7."/>
      <w:lvlJc w:val="left"/>
      <w:pPr>
        <w:ind w:left="5607" w:hanging="360"/>
      </w:pPr>
      <w:rPr>
        <w:rFonts w:cs="Times New Roman" w:hint="default"/>
      </w:rPr>
    </w:lvl>
    <w:lvl w:ilvl="7">
      <w:start w:val="1"/>
      <w:numFmt w:val="lowerLetter"/>
      <w:lvlText w:val="%8."/>
      <w:lvlJc w:val="left"/>
      <w:pPr>
        <w:ind w:left="6327" w:hanging="360"/>
      </w:pPr>
      <w:rPr>
        <w:rFonts w:cs="Times New Roman" w:hint="default"/>
      </w:rPr>
    </w:lvl>
    <w:lvl w:ilvl="8">
      <w:start w:val="1"/>
      <w:numFmt w:val="lowerRoman"/>
      <w:lvlText w:val="%9."/>
      <w:lvlJc w:val="right"/>
      <w:pPr>
        <w:ind w:left="7047" w:hanging="180"/>
      </w:pPr>
      <w:rPr>
        <w:rFonts w:cs="Times New Roman" w:hint="default"/>
      </w:rPr>
    </w:lvl>
  </w:abstractNum>
  <w:abstractNum w:abstractNumId="4" w15:restartNumberingAfterBreak="0">
    <w:nsid w:val="149D056D"/>
    <w:multiLevelType w:val="hybridMultilevel"/>
    <w:tmpl w:val="40F6A5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3F360C"/>
    <w:multiLevelType w:val="hybridMultilevel"/>
    <w:tmpl w:val="6674CBA0"/>
    <w:lvl w:ilvl="0" w:tplc="F946A758">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97287"/>
    <w:multiLevelType w:val="multilevel"/>
    <w:tmpl w:val="7DFA3C5C"/>
    <w:lvl w:ilvl="0">
      <w:start w:val="1"/>
      <w:numFmt w:val="decimal"/>
      <w:pStyle w:val="Numberedtileleve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8CE55C8"/>
    <w:multiLevelType w:val="hybridMultilevel"/>
    <w:tmpl w:val="403A730A"/>
    <w:lvl w:ilvl="0" w:tplc="D334FF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8FF211A"/>
    <w:multiLevelType w:val="hybridMultilevel"/>
    <w:tmpl w:val="299CC482"/>
    <w:lvl w:ilvl="0" w:tplc="6BF2B3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645D18"/>
    <w:multiLevelType w:val="hybridMultilevel"/>
    <w:tmpl w:val="3BE2C7B8"/>
    <w:lvl w:ilvl="0" w:tplc="D47C1E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ED6282"/>
    <w:multiLevelType w:val="multilevel"/>
    <w:tmpl w:val="5D8418C4"/>
    <w:lvl w:ilvl="0">
      <w:start w:val="1"/>
      <w:numFmt w:val="decimal"/>
      <w:pStyle w:val="GliederungmitNummerierung"/>
      <w:lvlText w:val="%1"/>
      <w:lvlJc w:val="left"/>
      <w:pPr>
        <w:tabs>
          <w:tab w:val="num" w:pos="357"/>
        </w:tabs>
        <w:ind w:left="357" w:hanging="357"/>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361"/>
        </w:tabs>
        <w:ind w:left="1361" w:hanging="567"/>
      </w:pPr>
      <w:rPr>
        <w:rFonts w:cs="Times New Roman" w:hint="default"/>
      </w:rPr>
    </w:lvl>
    <w:lvl w:ilvl="3">
      <w:start w:val="1"/>
      <w:numFmt w:val="decimal"/>
      <w:lvlText w:val="%1.%2.%3.%4"/>
      <w:lvlJc w:val="left"/>
      <w:pPr>
        <w:tabs>
          <w:tab w:val="num" w:pos="2098"/>
        </w:tabs>
        <w:ind w:left="2098" w:hanging="737"/>
      </w:pPr>
      <w:rPr>
        <w:rFonts w:cs="Times New Roman" w:hint="default"/>
      </w:rPr>
    </w:lvl>
    <w:lvl w:ilvl="4">
      <w:start w:val="1"/>
      <w:numFmt w:val="decimal"/>
      <w:lvlText w:val="%1.%2.%3.%4.%5"/>
      <w:lvlJc w:val="left"/>
      <w:pPr>
        <w:tabs>
          <w:tab w:val="num" w:pos="3062"/>
        </w:tabs>
        <w:ind w:left="3062" w:hanging="964"/>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1" w15:restartNumberingAfterBreak="0">
    <w:nsid w:val="1F497260"/>
    <w:multiLevelType w:val="hybridMultilevel"/>
    <w:tmpl w:val="32068DBA"/>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9830C7"/>
    <w:multiLevelType w:val="hybridMultilevel"/>
    <w:tmpl w:val="FDC6537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3" w15:restartNumberingAfterBreak="0">
    <w:nsid w:val="26A77F6C"/>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6E7C3B"/>
    <w:multiLevelType w:val="hybridMultilevel"/>
    <w:tmpl w:val="67465038"/>
    <w:lvl w:ilvl="0" w:tplc="6C6001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C050D9"/>
    <w:multiLevelType w:val="hybridMultilevel"/>
    <w:tmpl w:val="F7E0F274"/>
    <w:lvl w:ilvl="0" w:tplc="9BAEF704">
      <w:start w:val="1"/>
      <w:numFmt w:val="lowerLetter"/>
      <w:pStyle w:val="Nummerierungsart4"/>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C573FE3"/>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4A3D6B"/>
    <w:multiLevelType w:val="hybridMultilevel"/>
    <w:tmpl w:val="AE94D732"/>
    <w:lvl w:ilvl="0" w:tplc="1B1AF91E">
      <w:start w:val="7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F6E4B17"/>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7D7F02"/>
    <w:multiLevelType w:val="multilevel"/>
    <w:tmpl w:val="0407001D"/>
    <w:numStyleLink w:val="Formatvorlage3"/>
  </w:abstractNum>
  <w:abstractNum w:abstractNumId="20" w15:restartNumberingAfterBreak="0">
    <w:nsid w:val="327F7950"/>
    <w:multiLevelType w:val="hybridMultilevel"/>
    <w:tmpl w:val="403A730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3057CB8"/>
    <w:multiLevelType w:val="hybridMultilevel"/>
    <w:tmpl w:val="B9904A52"/>
    <w:lvl w:ilvl="0" w:tplc="236EA62C">
      <w:start w:val="1"/>
      <w:numFmt w:val="decimal"/>
      <w:pStyle w:val="InstructionsText2"/>
      <w:lvlText w:val="%1."/>
      <w:lvlJc w:val="left"/>
      <w:pPr>
        <w:ind w:left="1353" w:hanging="360"/>
      </w:pPr>
      <w:rPr>
        <w:rFonts w:cs="Times New Roman"/>
      </w:rPr>
    </w:lvl>
    <w:lvl w:ilvl="1" w:tplc="5F56F3B6">
      <w:start w:val="1"/>
      <w:numFmt w:val="lowerLetter"/>
      <w:lvlText w:val="(%2)"/>
      <w:lvlJc w:val="left"/>
      <w:pPr>
        <w:ind w:left="1440" w:hanging="360"/>
      </w:pPr>
      <w:rPr>
        <w:rFonts w:cs="Times New Roman" w:hint="default"/>
      </w:rPr>
    </w:lvl>
    <w:lvl w:ilvl="2" w:tplc="04070005">
      <w:start w:val="1"/>
      <w:numFmt w:val="lowerRoman"/>
      <w:lvlText w:val="%3."/>
      <w:lvlJc w:val="right"/>
      <w:pPr>
        <w:ind w:left="2160" w:hanging="180"/>
      </w:pPr>
      <w:rPr>
        <w:rFonts w:cs="Times New Roman"/>
      </w:rPr>
    </w:lvl>
    <w:lvl w:ilvl="3" w:tplc="04070001">
      <w:start w:val="1"/>
      <w:numFmt w:val="decimal"/>
      <w:lvlText w:val="%4."/>
      <w:lvlJc w:val="left"/>
      <w:pPr>
        <w:ind w:left="2880" w:hanging="360"/>
      </w:pPr>
      <w:rPr>
        <w:rFonts w:cs="Times New Roman"/>
      </w:rPr>
    </w:lvl>
    <w:lvl w:ilvl="4" w:tplc="9B84BE16">
      <w:numFmt w:val="bullet"/>
      <w:lvlText w:val="-"/>
      <w:lvlJc w:val="left"/>
      <w:pPr>
        <w:ind w:left="3600" w:hanging="360"/>
      </w:pPr>
      <w:rPr>
        <w:rFonts w:ascii="Times New Roman" w:eastAsia="Times New Roman" w:hAnsi="Times New Roman" w:cs="Times New Roman" w:hint="default"/>
      </w:rPr>
    </w:lvl>
    <w:lvl w:ilvl="5" w:tplc="04070005" w:tentative="1">
      <w:start w:val="1"/>
      <w:numFmt w:val="lowerRoman"/>
      <w:lvlText w:val="%6."/>
      <w:lvlJc w:val="right"/>
      <w:pPr>
        <w:ind w:left="4320" w:hanging="180"/>
      </w:pPr>
      <w:rPr>
        <w:rFonts w:cs="Times New Roman"/>
      </w:rPr>
    </w:lvl>
    <w:lvl w:ilvl="6" w:tplc="04070001" w:tentative="1">
      <w:start w:val="1"/>
      <w:numFmt w:val="decimal"/>
      <w:lvlText w:val="%7."/>
      <w:lvlJc w:val="left"/>
      <w:pPr>
        <w:ind w:left="5040" w:hanging="360"/>
      </w:pPr>
      <w:rPr>
        <w:rFonts w:cs="Times New Roman"/>
      </w:rPr>
    </w:lvl>
    <w:lvl w:ilvl="7" w:tplc="04070003" w:tentative="1">
      <w:start w:val="1"/>
      <w:numFmt w:val="lowerLetter"/>
      <w:lvlText w:val="%8."/>
      <w:lvlJc w:val="left"/>
      <w:pPr>
        <w:ind w:left="5760" w:hanging="360"/>
      </w:pPr>
      <w:rPr>
        <w:rFonts w:cs="Times New Roman"/>
      </w:rPr>
    </w:lvl>
    <w:lvl w:ilvl="8" w:tplc="04070005" w:tentative="1">
      <w:start w:val="1"/>
      <w:numFmt w:val="lowerRoman"/>
      <w:lvlText w:val="%9."/>
      <w:lvlJc w:val="right"/>
      <w:pPr>
        <w:ind w:left="6480" w:hanging="180"/>
      </w:pPr>
      <w:rPr>
        <w:rFonts w:cs="Times New Roman"/>
      </w:rPr>
    </w:lvl>
  </w:abstractNum>
  <w:abstractNum w:abstractNumId="22" w15:restartNumberingAfterBreak="0">
    <w:nsid w:val="37226525"/>
    <w:multiLevelType w:val="hybridMultilevel"/>
    <w:tmpl w:val="9872E646"/>
    <w:lvl w:ilvl="0" w:tplc="0C0A0001">
      <w:start w:val="1"/>
      <w:numFmt w:val="decimal"/>
      <w:pStyle w:val="Nummerierungsart2"/>
      <w:lvlText w:val="%1)"/>
      <w:lvlJc w:val="left"/>
      <w:pPr>
        <w:tabs>
          <w:tab w:val="num" w:pos="360"/>
        </w:tabs>
        <w:ind w:left="360" w:hanging="360"/>
      </w:pPr>
      <w:rPr>
        <w:rFonts w:cs="Times New Roman" w:hint="default"/>
      </w:rPr>
    </w:lvl>
    <w:lvl w:ilvl="1" w:tplc="040A0003" w:tentative="1">
      <w:start w:val="1"/>
      <w:numFmt w:val="lowerLetter"/>
      <w:lvlText w:val="%2."/>
      <w:lvlJc w:val="left"/>
      <w:pPr>
        <w:tabs>
          <w:tab w:val="num" w:pos="1440"/>
        </w:tabs>
        <w:ind w:left="1440" w:hanging="360"/>
      </w:pPr>
      <w:rPr>
        <w:rFonts w:cs="Times New Roman"/>
      </w:rPr>
    </w:lvl>
    <w:lvl w:ilvl="2" w:tplc="040A0005" w:tentative="1">
      <w:start w:val="1"/>
      <w:numFmt w:val="lowerRoman"/>
      <w:lvlText w:val="%3."/>
      <w:lvlJc w:val="right"/>
      <w:pPr>
        <w:tabs>
          <w:tab w:val="num" w:pos="2160"/>
        </w:tabs>
        <w:ind w:left="2160" w:hanging="180"/>
      </w:pPr>
      <w:rPr>
        <w:rFonts w:cs="Times New Roman"/>
      </w:rPr>
    </w:lvl>
    <w:lvl w:ilvl="3" w:tplc="040A0001" w:tentative="1">
      <w:start w:val="1"/>
      <w:numFmt w:val="decimal"/>
      <w:lvlText w:val="%4."/>
      <w:lvlJc w:val="left"/>
      <w:pPr>
        <w:tabs>
          <w:tab w:val="num" w:pos="2880"/>
        </w:tabs>
        <w:ind w:left="2880" w:hanging="360"/>
      </w:pPr>
      <w:rPr>
        <w:rFonts w:cs="Times New Roman"/>
      </w:rPr>
    </w:lvl>
    <w:lvl w:ilvl="4" w:tplc="040A0003" w:tentative="1">
      <w:start w:val="1"/>
      <w:numFmt w:val="lowerLetter"/>
      <w:lvlText w:val="%5."/>
      <w:lvlJc w:val="left"/>
      <w:pPr>
        <w:tabs>
          <w:tab w:val="num" w:pos="3600"/>
        </w:tabs>
        <w:ind w:left="3600" w:hanging="360"/>
      </w:pPr>
      <w:rPr>
        <w:rFonts w:cs="Times New Roman"/>
      </w:rPr>
    </w:lvl>
    <w:lvl w:ilvl="5" w:tplc="040A0005" w:tentative="1">
      <w:start w:val="1"/>
      <w:numFmt w:val="lowerRoman"/>
      <w:lvlText w:val="%6."/>
      <w:lvlJc w:val="right"/>
      <w:pPr>
        <w:tabs>
          <w:tab w:val="num" w:pos="4320"/>
        </w:tabs>
        <w:ind w:left="4320" w:hanging="180"/>
      </w:pPr>
      <w:rPr>
        <w:rFonts w:cs="Times New Roman"/>
      </w:rPr>
    </w:lvl>
    <w:lvl w:ilvl="6" w:tplc="040A0001" w:tentative="1">
      <w:start w:val="1"/>
      <w:numFmt w:val="decimal"/>
      <w:lvlText w:val="%7."/>
      <w:lvlJc w:val="left"/>
      <w:pPr>
        <w:tabs>
          <w:tab w:val="num" w:pos="5040"/>
        </w:tabs>
        <w:ind w:left="5040" w:hanging="360"/>
      </w:pPr>
      <w:rPr>
        <w:rFonts w:cs="Times New Roman"/>
      </w:rPr>
    </w:lvl>
    <w:lvl w:ilvl="7" w:tplc="040A0003" w:tentative="1">
      <w:start w:val="1"/>
      <w:numFmt w:val="lowerLetter"/>
      <w:lvlText w:val="%8."/>
      <w:lvlJc w:val="left"/>
      <w:pPr>
        <w:tabs>
          <w:tab w:val="num" w:pos="5760"/>
        </w:tabs>
        <w:ind w:left="5760" w:hanging="360"/>
      </w:pPr>
      <w:rPr>
        <w:rFonts w:cs="Times New Roman"/>
      </w:rPr>
    </w:lvl>
    <w:lvl w:ilvl="8" w:tplc="040A0005" w:tentative="1">
      <w:start w:val="1"/>
      <w:numFmt w:val="lowerRoman"/>
      <w:lvlText w:val="%9."/>
      <w:lvlJc w:val="right"/>
      <w:pPr>
        <w:tabs>
          <w:tab w:val="num" w:pos="6480"/>
        </w:tabs>
        <w:ind w:left="6480" w:hanging="180"/>
      </w:pPr>
      <w:rPr>
        <w:rFonts w:cs="Times New Roman"/>
      </w:rPr>
    </w:lvl>
  </w:abstractNum>
  <w:abstractNum w:abstractNumId="23" w15:restartNumberingAfterBreak="0">
    <w:nsid w:val="38393379"/>
    <w:multiLevelType w:val="hybridMultilevel"/>
    <w:tmpl w:val="21E4A0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D57312"/>
    <w:multiLevelType w:val="multilevel"/>
    <w:tmpl w:val="1864F90A"/>
    <w:styleLink w:val="Formatvorlage2"/>
    <w:lvl w:ilvl="0">
      <w:start w:val="1"/>
      <w:numFmt w:val="bullet"/>
      <w:lvlText w:val=""/>
      <w:lvlJc w:val="left"/>
      <w:pPr>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2"/>
      </w:rPr>
    </w:lvl>
    <w:lvl w:ilvl="4">
      <w:start w:val="1"/>
      <w:numFmt w:val="bullet"/>
      <w:lvlText w:val=""/>
      <w:lvlJc w:val="left"/>
      <w:pPr>
        <w:tabs>
          <w:tab w:val="num" w:pos="1786"/>
        </w:tabs>
        <w:ind w:left="1786" w:hanging="357"/>
      </w:pPr>
      <w:rPr>
        <w:rFonts w:ascii="Symbol" w:hAnsi="Symbol" w:hint="default"/>
        <w:sz w:val="22"/>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5" w15:restartNumberingAfterBreak="0">
    <w:nsid w:val="3F2C3E42"/>
    <w:multiLevelType w:val="hybridMultilevel"/>
    <w:tmpl w:val="6746503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1E1073F"/>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BF5198"/>
    <w:multiLevelType w:val="hybridMultilevel"/>
    <w:tmpl w:val="5EDEBE54"/>
    <w:lvl w:ilvl="0" w:tplc="B40E263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772236"/>
    <w:multiLevelType w:val="hybridMultilevel"/>
    <w:tmpl w:val="E974A63C"/>
    <w:lvl w:ilvl="0" w:tplc="91F28F2A">
      <w:start w:val="1"/>
      <w:numFmt w:val="bullet"/>
      <w:pStyle w:val="Aufzhlungszeichen4"/>
      <w:lvlText w:val=""/>
      <w:lvlJc w:val="left"/>
      <w:pPr>
        <w:tabs>
          <w:tab w:val="num" w:pos="357"/>
        </w:tabs>
        <w:ind w:left="357" w:hanging="357"/>
      </w:pPr>
      <w:rPr>
        <w:rFonts w:ascii="Wingdings" w:hAnsi="Wingdings" w:hint="default"/>
        <w:sz w:val="28"/>
      </w:rPr>
    </w:lvl>
    <w:lvl w:ilvl="1" w:tplc="78D02204">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AF56F5"/>
    <w:multiLevelType w:val="hybridMultilevel"/>
    <w:tmpl w:val="72A4A260"/>
    <w:lvl w:ilvl="0" w:tplc="4202BE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E113AEB"/>
    <w:multiLevelType w:val="hybridMultilevel"/>
    <w:tmpl w:val="F748321A"/>
    <w:lvl w:ilvl="0" w:tplc="1B1AF91E">
      <w:start w:val="72"/>
      <w:numFmt w:val="bullet"/>
      <w:lvlText w:val="-"/>
      <w:lvlJc w:val="left"/>
      <w:pPr>
        <w:ind w:left="720" w:hanging="360"/>
      </w:pPr>
      <w:rPr>
        <w:rFonts w:ascii="Times New Roman" w:eastAsia="Times New Roman" w:hAnsi="Times New Roman" w:cs="Times New Roman" w:hint="default"/>
      </w:rPr>
    </w:lvl>
    <w:lvl w:ilvl="1" w:tplc="77C667F8">
      <w:start w:val="400"/>
      <w:numFmt w:val="bullet"/>
      <w:lvlText w:val="-"/>
      <w:lvlJc w:val="left"/>
      <w:pPr>
        <w:ind w:left="1440" w:hanging="360"/>
      </w:pPr>
      <w:rPr>
        <w:rFonts w:ascii="Times New Roman" w:eastAsia="Times New Roman" w:hAnsi="Times New Roman" w:cs="Times New Roman"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EB95802"/>
    <w:multiLevelType w:val="multilevel"/>
    <w:tmpl w:val="0407001D"/>
    <w:styleLink w:val="Formatvorlage3"/>
    <w:lvl w:ilvl="0">
      <w:start w:val="1"/>
      <w:numFmt w:val="none"/>
      <w:pStyle w:val="Heading4"/>
      <w:lvlText w:val="%1"/>
      <w:lvlJc w:val="left"/>
      <w:pPr>
        <w:ind w:left="360" w:hanging="360"/>
      </w:pPr>
      <w:rPr>
        <w:rFonts w:ascii="Verdana" w:hAnsi="Verdana" w:cs="Times New Roman" w:hint="default"/>
        <w:b/>
        <w:color w:val="auto"/>
        <w:sz w:val="20"/>
        <w:u w:val="single"/>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2" w15:restartNumberingAfterBreak="0">
    <w:nsid w:val="4EF30DF1"/>
    <w:multiLevelType w:val="hybridMultilevel"/>
    <w:tmpl w:val="95BE37A4"/>
    <w:lvl w:ilvl="0" w:tplc="B2366634">
      <w:start w:val="1"/>
      <w:numFmt w:val="upperRoman"/>
      <w:pStyle w:val="Nummerierungsart3"/>
      <w:lvlText w:val="%1."/>
      <w:lvlJc w:val="left"/>
      <w:pPr>
        <w:tabs>
          <w:tab w:val="num" w:pos="357"/>
        </w:tabs>
        <w:ind w:left="357" w:hanging="357"/>
      </w:pPr>
      <w:rPr>
        <w:rFonts w:cs="Times New Roman" w:hint="default"/>
      </w:rPr>
    </w:lvl>
    <w:lvl w:ilvl="1" w:tplc="04070003" w:tentative="1">
      <w:start w:val="1"/>
      <w:numFmt w:val="lowerLetter"/>
      <w:lvlText w:val="%2."/>
      <w:lvlJc w:val="left"/>
      <w:pPr>
        <w:tabs>
          <w:tab w:val="num" w:pos="1440"/>
        </w:tabs>
        <w:ind w:left="1440" w:hanging="360"/>
      </w:pPr>
      <w:rPr>
        <w:rFonts w:cs="Times New Roman"/>
      </w:rPr>
    </w:lvl>
    <w:lvl w:ilvl="2" w:tplc="04070005" w:tentative="1">
      <w:start w:val="1"/>
      <w:numFmt w:val="lowerRoman"/>
      <w:lvlText w:val="%3."/>
      <w:lvlJc w:val="right"/>
      <w:pPr>
        <w:tabs>
          <w:tab w:val="num" w:pos="2160"/>
        </w:tabs>
        <w:ind w:left="2160" w:hanging="180"/>
      </w:pPr>
      <w:rPr>
        <w:rFonts w:cs="Times New Roman"/>
      </w:rPr>
    </w:lvl>
    <w:lvl w:ilvl="3" w:tplc="04070001" w:tentative="1">
      <w:start w:val="1"/>
      <w:numFmt w:val="decimal"/>
      <w:lvlText w:val="%4."/>
      <w:lvlJc w:val="left"/>
      <w:pPr>
        <w:tabs>
          <w:tab w:val="num" w:pos="2880"/>
        </w:tabs>
        <w:ind w:left="2880" w:hanging="360"/>
      </w:pPr>
      <w:rPr>
        <w:rFonts w:cs="Times New Roman"/>
      </w:rPr>
    </w:lvl>
    <w:lvl w:ilvl="4" w:tplc="04070003" w:tentative="1">
      <w:start w:val="1"/>
      <w:numFmt w:val="lowerLetter"/>
      <w:lvlText w:val="%5."/>
      <w:lvlJc w:val="left"/>
      <w:pPr>
        <w:tabs>
          <w:tab w:val="num" w:pos="3600"/>
        </w:tabs>
        <w:ind w:left="3600" w:hanging="360"/>
      </w:pPr>
      <w:rPr>
        <w:rFonts w:cs="Times New Roman"/>
      </w:rPr>
    </w:lvl>
    <w:lvl w:ilvl="5" w:tplc="04070005" w:tentative="1">
      <w:start w:val="1"/>
      <w:numFmt w:val="lowerRoman"/>
      <w:lvlText w:val="%6."/>
      <w:lvlJc w:val="right"/>
      <w:pPr>
        <w:tabs>
          <w:tab w:val="num" w:pos="4320"/>
        </w:tabs>
        <w:ind w:left="4320" w:hanging="180"/>
      </w:pPr>
      <w:rPr>
        <w:rFonts w:cs="Times New Roman"/>
      </w:rPr>
    </w:lvl>
    <w:lvl w:ilvl="6" w:tplc="04070001" w:tentative="1">
      <w:start w:val="1"/>
      <w:numFmt w:val="decimal"/>
      <w:lvlText w:val="%7."/>
      <w:lvlJc w:val="left"/>
      <w:pPr>
        <w:tabs>
          <w:tab w:val="num" w:pos="5040"/>
        </w:tabs>
        <w:ind w:left="5040" w:hanging="360"/>
      </w:pPr>
      <w:rPr>
        <w:rFonts w:cs="Times New Roman"/>
      </w:rPr>
    </w:lvl>
    <w:lvl w:ilvl="7" w:tplc="04070003" w:tentative="1">
      <w:start w:val="1"/>
      <w:numFmt w:val="lowerLetter"/>
      <w:lvlText w:val="%8."/>
      <w:lvlJc w:val="left"/>
      <w:pPr>
        <w:tabs>
          <w:tab w:val="num" w:pos="5760"/>
        </w:tabs>
        <w:ind w:left="5760" w:hanging="360"/>
      </w:pPr>
      <w:rPr>
        <w:rFonts w:cs="Times New Roman"/>
      </w:rPr>
    </w:lvl>
    <w:lvl w:ilvl="8" w:tplc="04070005" w:tentative="1">
      <w:start w:val="1"/>
      <w:numFmt w:val="lowerRoman"/>
      <w:lvlText w:val="%9."/>
      <w:lvlJc w:val="right"/>
      <w:pPr>
        <w:tabs>
          <w:tab w:val="num" w:pos="6480"/>
        </w:tabs>
        <w:ind w:left="6480" w:hanging="180"/>
      </w:pPr>
      <w:rPr>
        <w:rFonts w:cs="Times New Roman"/>
      </w:rPr>
    </w:lvl>
  </w:abstractNum>
  <w:abstractNum w:abstractNumId="33" w15:restartNumberingAfterBreak="0">
    <w:nsid w:val="50227369"/>
    <w:multiLevelType w:val="hybridMultilevel"/>
    <w:tmpl w:val="8E7A791A"/>
    <w:lvl w:ilvl="0" w:tplc="4A2A8390">
      <w:start w:val="1"/>
      <w:numFmt w:val="decimal"/>
      <w:pStyle w:val="numberedparagraph"/>
      <w:lvlText w:val="%1."/>
      <w:lvlJc w:val="left"/>
      <w:pPr>
        <w:tabs>
          <w:tab w:val="num" w:pos="710"/>
        </w:tabs>
        <w:ind w:left="710" w:hanging="284"/>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4" w15:restartNumberingAfterBreak="0">
    <w:nsid w:val="520839E0"/>
    <w:multiLevelType w:val="hybridMultilevel"/>
    <w:tmpl w:val="EF1A48B0"/>
    <w:lvl w:ilvl="0" w:tplc="710EC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4BA29E0"/>
    <w:multiLevelType w:val="hybridMultilevel"/>
    <w:tmpl w:val="BCB28718"/>
    <w:lvl w:ilvl="0" w:tplc="ACA6EB7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9A7FCC"/>
    <w:multiLevelType w:val="hybridMultilevel"/>
    <w:tmpl w:val="592C6906"/>
    <w:lvl w:ilvl="0" w:tplc="EC2E668A">
      <w:numFmt w:val="bullet"/>
      <w:lvlText w:val="-"/>
      <w:lvlJc w:val="left"/>
      <w:pPr>
        <w:ind w:left="720" w:hanging="360"/>
      </w:pPr>
      <w:rPr>
        <w:rFonts w:ascii="Verdana" w:eastAsia="Arial" w:hAnsi="Verdan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BA1738F"/>
    <w:multiLevelType w:val="hybridMultilevel"/>
    <w:tmpl w:val="2FE2799E"/>
    <w:lvl w:ilvl="0" w:tplc="04090003">
      <w:start w:val="1"/>
      <w:numFmt w:val="decimal"/>
      <w:pStyle w:val="Instructionsberschrift3"/>
      <w:lvlText w:val="%1.1.1"/>
      <w:lvlJc w:val="left"/>
      <w:pPr>
        <w:ind w:left="720" w:hanging="360"/>
      </w:pPr>
      <w:rPr>
        <w:rFonts w:cs="Times New Roman" w:hint="default"/>
      </w:rPr>
    </w:lvl>
    <w:lvl w:ilvl="1" w:tplc="04090005" w:tentative="1">
      <w:start w:val="1"/>
      <w:numFmt w:val="lowerLetter"/>
      <w:lvlText w:val="%2."/>
      <w:lvlJc w:val="left"/>
      <w:pPr>
        <w:ind w:left="1440" w:hanging="360"/>
      </w:pPr>
      <w:rPr>
        <w:rFonts w:cs="Times New Roman"/>
      </w:rPr>
    </w:lvl>
    <w:lvl w:ilvl="2" w:tplc="04090005">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8" w15:restartNumberingAfterBreak="0">
    <w:nsid w:val="5C951B61"/>
    <w:multiLevelType w:val="hybridMultilevel"/>
    <w:tmpl w:val="121C0A42"/>
    <w:lvl w:ilvl="0" w:tplc="040A0017">
      <w:start w:val="1"/>
      <w:numFmt w:val="bullet"/>
      <w:pStyle w:val="Aufzhlungszeichen2"/>
      <w:lvlText w:val=""/>
      <w:lvlJc w:val="left"/>
      <w:pPr>
        <w:tabs>
          <w:tab w:val="num" w:pos="714"/>
        </w:tabs>
        <w:ind w:left="714" w:hanging="357"/>
      </w:pPr>
      <w:rPr>
        <w:rFonts w:ascii="Wingdings" w:hAnsi="Wingdings" w:hint="default"/>
        <w:sz w:val="32"/>
      </w:rPr>
    </w:lvl>
    <w:lvl w:ilvl="1" w:tplc="040A0019" w:tentative="1">
      <w:start w:val="1"/>
      <w:numFmt w:val="bullet"/>
      <w:lvlText w:val="o"/>
      <w:lvlJc w:val="left"/>
      <w:pPr>
        <w:tabs>
          <w:tab w:val="num" w:pos="1797"/>
        </w:tabs>
        <w:ind w:left="1797" w:hanging="360"/>
      </w:pPr>
      <w:rPr>
        <w:rFonts w:ascii="Courier New" w:hAnsi="Courier New" w:hint="default"/>
      </w:rPr>
    </w:lvl>
    <w:lvl w:ilvl="2" w:tplc="040A001B" w:tentative="1">
      <w:start w:val="1"/>
      <w:numFmt w:val="bullet"/>
      <w:lvlText w:val=""/>
      <w:lvlJc w:val="left"/>
      <w:pPr>
        <w:tabs>
          <w:tab w:val="num" w:pos="2517"/>
        </w:tabs>
        <w:ind w:left="2517" w:hanging="360"/>
      </w:pPr>
      <w:rPr>
        <w:rFonts w:ascii="Wingdings" w:hAnsi="Wingdings" w:hint="default"/>
      </w:rPr>
    </w:lvl>
    <w:lvl w:ilvl="3" w:tplc="040A000F" w:tentative="1">
      <w:start w:val="1"/>
      <w:numFmt w:val="bullet"/>
      <w:lvlText w:val=""/>
      <w:lvlJc w:val="left"/>
      <w:pPr>
        <w:tabs>
          <w:tab w:val="num" w:pos="3237"/>
        </w:tabs>
        <w:ind w:left="3237" w:hanging="360"/>
      </w:pPr>
      <w:rPr>
        <w:rFonts w:ascii="Symbol" w:hAnsi="Symbol" w:hint="default"/>
      </w:rPr>
    </w:lvl>
    <w:lvl w:ilvl="4" w:tplc="040A0019" w:tentative="1">
      <w:start w:val="1"/>
      <w:numFmt w:val="bullet"/>
      <w:lvlText w:val="o"/>
      <w:lvlJc w:val="left"/>
      <w:pPr>
        <w:tabs>
          <w:tab w:val="num" w:pos="3957"/>
        </w:tabs>
        <w:ind w:left="3957" w:hanging="360"/>
      </w:pPr>
      <w:rPr>
        <w:rFonts w:ascii="Courier New" w:hAnsi="Courier New" w:hint="default"/>
      </w:rPr>
    </w:lvl>
    <w:lvl w:ilvl="5" w:tplc="040A001B" w:tentative="1">
      <w:start w:val="1"/>
      <w:numFmt w:val="bullet"/>
      <w:lvlText w:val=""/>
      <w:lvlJc w:val="left"/>
      <w:pPr>
        <w:tabs>
          <w:tab w:val="num" w:pos="4677"/>
        </w:tabs>
        <w:ind w:left="4677" w:hanging="360"/>
      </w:pPr>
      <w:rPr>
        <w:rFonts w:ascii="Wingdings" w:hAnsi="Wingdings" w:hint="default"/>
      </w:rPr>
    </w:lvl>
    <w:lvl w:ilvl="6" w:tplc="040A000F" w:tentative="1">
      <w:start w:val="1"/>
      <w:numFmt w:val="bullet"/>
      <w:lvlText w:val=""/>
      <w:lvlJc w:val="left"/>
      <w:pPr>
        <w:tabs>
          <w:tab w:val="num" w:pos="5397"/>
        </w:tabs>
        <w:ind w:left="5397" w:hanging="360"/>
      </w:pPr>
      <w:rPr>
        <w:rFonts w:ascii="Symbol" w:hAnsi="Symbol" w:hint="default"/>
      </w:rPr>
    </w:lvl>
    <w:lvl w:ilvl="7" w:tplc="040A0019" w:tentative="1">
      <w:start w:val="1"/>
      <w:numFmt w:val="bullet"/>
      <w:lvlText w:val="o"/>
      <w:lvlJc w:val="left"/>
      <w:pPr>
        <w:tabs>
          <w:tab w:val="num" w:pos="6117"/>
        </w:tabs>
        <w:ind w:left="6117" w:hanging="360"/>
      </w:pPr>
      <w:rPr>
        <w:rFonts w:ascii="Courier New" w:hAnsi="Courier New" w:hint="default"/>
      </w:rPr>
    </w:lvl>
    <w:lvl w:ilvl="8" w:tplc="040A001B" w:tentative="1">
      <w:start w:val="1"/>
      <w:numFmt w:val="bullet"/>
      <w:lvlText w:val=""/>
      <w:lvlJc w:val="left"/>
      <w:pPr>
        <w:tabs>
          <w:tab w:val="num" w:pos="6837"/>
        </w:tabs>
        <w:ind w:left="6837" w:hanging="360"/>
      </w:pPr>
      <w:rPr>
        <w:rFonts w:ascii="Wingdings" w:hAnsi="Wingdings" w:hint="default"/>
      </w:rPr>
    </w:lvl>
  </w:abstractNum>
  <w:abstractNum w:abstractNumId="39" w15:restartNumberingAfterBreak="0">
    <w:nsid w:val="5D6A0277"/>
    <w:multiLevelType w:val="multilevel"/>
    <w:tmpl w:val="687840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26D4728"/>
    <w:multiLevelType w:val="hybridMultilevel"/>
    <w:tmpl w:val="03BEE07C"/>
    <w:lvl w:ilvl="0" w:tplc="77C667F8">
      <w:start w:val="4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47057A3"/>
    <w:multiLevelType w:val="hybridMultilevel"/>
    <w:tmpl w:val="13420D26"/>
    <w:lvl w:ilvl="0" w:tplc="91F28F2A">
      <w:start w:val="1"/>
      <w:numFmt w:val="decimal"/>
      <w:pStyle w:val="Nummerierungsart1"/>
      <w:lvlText w:val="%1."/>
      <w:lvlJc w:val="left"/>
      <w:pPr>
        <w:tabs>
          <w:tab w:val="num" w:pos="357"/>
        </w:tabs>
        <w:ind w:left="357" w:hanging="357"/>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6CA2C8C"/>
    <w:multiLevelType w:val="hybridMultilevel"/>
    <w:tmpl w:val="5BF2CFE0"/>
    <w:lvl w:ilvl="0" w:tplc="4BB6D85C">
      <w:start w:val="1"/>
      <w:numFmt w:val="decimal"/>
      <w:pStyle w:val="Instructionsberschrift2"/>
      <w:lvlText w:val="%1.1"/>
      <w:lvlJc w:val="left"/>
      <w:pPr>
        <w:ind w:left="720" w:hanging="360"/>
      </w:pPr>
      <w:rPr>
        <w:rFonts w:cs="Times New Roman" w:hint="default"/>
      </w:rPr>
    </w:lvl>
    <w:lvl w:ilvl="1" w:tplc="E7565B6A">
      <w:start w:val="1"/>
      <w:numFmt w:val="lowerLetter"/>
      <w:lvlText w:val="%2."/>
      <w:lvlJc w:val="left"/>
      <w:pPr>
        <w:ind w:left="1440" w:hanging="360"/>
      </w:pPr>
      <w:rPr>
        <w:rFonts w:cs="Times New Roman"/>
      </w:rPr>
    </w:lvl>
    <w:lvl w:ilvl="2" w:tplc="67A6A44A" w:tentative="1">
      <w:start w:val="1"/>
      <w:numFmt w:val="lowerRoman"/>
      <w:lvlText w:val="%3."/>
      <w:lvlJc w:val="right"/>
      <w:pPr>
        <w:ind w:left="2160" w:hanging="180"/>
      </w:pPr>
      <w:rPr>
        <w:rFonts w:cs="Times New Roman"/>
      </w:rPr>
    </w:lvl>
    <w:lvl w:ilvl="3" w:tplc="21C6EF3C" w:tentative="1">
      <w:start w:val="1"/>
      <w:numFmt w:val="decimal"/>
      <w:lvlText w:val="%4."/>
      <w:lvlJc w:val="left"/>
      <w:pPr>
        <w:ind w:left="2880" w:hanging="360"/>
      </w:pPr>
      <w:rPr>
        <w:rFonts w:cs="Times New Roman"/>
      </w:rPr>
    </w:lvl>
    <w:lvl w:ilvl="4" w:tplc="6C185750" w:tentative="1">
      <w:start w:val="1"/>
      <w:numFmt w:val="lowerLetter"/>
      <w:lvlText w:val="%5."/>
      <w:lvlJc w:val="left"/>
      <w:pPr>
        <w:ind w:left="3600" w:hanging="360"/>
      </w:pPr>
      <w:rPr>
        <w:rFonts w:cs="Times New Roman"/>
      </w:rPr>
    </w:lvl>
    <w:lvl w:ilvl="5" w:tplc="FA46F0F4" w:tentative="1">
      <w:start w:val="1"/>
      <w:numFmt w:val="lowerRoman"/>
      <w:lvlText w:val="%6."/>
      <w:lvlJc w:val="right"/>
      <w:pPr>
        <w:ind w:left="4320" w:hanging="180"/>
      </w:pPr>
      <w:rPr>
        <w:rFonts w:cs="Times New Roman"/>
      </w:rPr>
    </w:lvl>
    <w:lvl w:ilvl="6" w:tplc="84CCF45A" w:tentative="1">
      <w:start w:val="1"/>
      <w:numFmt w:val="decimal"/>
      <w:lvlText w:val="%7."/>
      <w:lvlJc w:val="left"/>
      <w:pPr>
        <w:ind w:left="5040" w:hanging="360"/>
      </w:pPr>
      <w:rPr>
        <w:rFonts w:cs="Times New Roman"/>
      </w:rPr>
    </w:lvl>
    <w:lvl w:ilvl="7" w:tplc="E2FA2386" w:tentative="1">
      <w:start w:val="1"/>
      <w:numFmt w:val="lowerLetter"/>
      <w:lvlText w:val="%8."/>
      <w:lvlJc w:val="left"/>
      <w:pPr>
        <w:ind w:left="5760" w:hanging="360"/>
      </w:pPr>
      <w:rPr>
        <w:rFonts w:cs="Times New Roman"/>
      </w:rPr>
    </w:lvl>
    <w:lvl w:ilvl="8" w:tplc="1E3AE066" w:tentative="1">
      <w:start w:val="1"/>
      <w:numFmt w:val="lowerRoman"/>
      <w:lvlText w:val="%9."/>
      <w:lvlJc w:val="right"/>
      <w:pPr>
        <w:ind w:left="6480" w:hanging="180"/>
      </w:pPr>
      <w:rPr>
        <w:rFonts w:cs="Times New Roman"/>
      </w:rPr>
    </w:lvl>
  </w:abstractNum>
  <w:abstractNum w:abstractNumId="43" w15:restartNumberingAfterBreak="0">
    <w:nsid w:val="67BB4607"/>
    <w:multiLevelType w:val="hybridMultilevel"/>
    <w:tmpl w:val="8388598C"/>
    <w:lvl w:ilvl="0" w:tplc="7340D1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5" w15:restartNumberingAfterBreak="0">
    <w:nsid w:val="69FA5EA3"/>
    <w:multiLevelType w:val="multilevel"/>
    <w:tmpl w:val="D29C4EFC"/>
    <w:styleLink w:val="Formatvorlage4"/>
    <w:lvl w:ilvl="0">
      <w:start w:val="1"/>
      <w:numFmt w:val="decimal"/>
      <w:lvlText w:val="%1."/>
      <w:lvlJc w:val="left"/>
      <w:pPr>
        <w:ind w:left="357" w:hanging="357"/>
      </w:pPr>
      <w:rPr>
        <w:rFonts w:cs="Times New Roman" w:hint="default"/>
        <w:u w:val="single"/>
      </w:rPr>
    </w:lvl>
    <w:lvl w:ilvl="1">
      <w:start w:val="1"/>
      <w:numFmt w:val="decimal"/>
      <w:lvlText w:val="%1.%2."/>
      <w:lvlJc w:val="left"/>
      <w:pPr>
        <w:ind w:left="357" w:hanging="357"/>
      </w:pPr>
      <w:rPr>
        <w:rFonts w:cs="Times New Roman" w:hint="default"/>
      </w:rPr>
    </w:lvl>
    <w:lvl w:ilvl="2">
      <w:start w:val="1"/>
      <w:numFmt w:val="decimal"/>
      <w:lvlText w:val="%1.%2.%3."/>
      <w:lvlJc w:val="left"/>
      <w:pPr>
        <w:ind w:left="357" w:hanging="357"/>
      </w:pPr>
      <w:rPr>
        <w:rFonts w:cs="Times New Roman" w:hint="default"/>
      </w:rPr>
    </w:lvl>
    <w:lvl w:ilvl="3">
      <w:start w:val="1"/>
      <w:numFmt w:val="decimal"/>
      <w:lvlText w:val="%1.%2.%3.%4."/>
      <w:lvlJc w:val="left"/>
      <w:pPr>
        <w:ind w:left="357" w:hanging="357"/>
      </w:pPr>
      <w:rPr>
        <w:rFonts w:cs="Times New Roman" w:hint="default"/>
      </w:rPr>
    </w:lvl>
    <w:lvl w:ilvl="4">
      <w:start w:val="1"/>
      <w:numFmt w:val="decimal"/>
      <w:lvlText w:val="%1.%2.%3.%4.%5."/>
      <w:lvlJc w:val="left"/>
      <w:pPr>
        <w:ind w:left="357" w:hanging="357"/>
      </w:pPr>
      <w:rPr>
        <w:rFonts w:cs="Times New Roman" w:hint="default"/>
      </w:rPr>
    </w:lvl>
    <w:lvl w:ilvl="5">
      <w:start w:val="1"/>
      <w:numFmt w:val="decimal"/>
      <w:lvlText w:val="%1.%2.%3.%4.%5.%6."/>
      <w:lvlJc w:val="left"/>
      <w:pPr>
        <w:ind w:left="357" w:hanging="357"/>
      </w:pPr>
      <w:rPr>
        <w:rFonts w:cs="Times New Roman" w:hint="default"/>
      </w:rPr>
    </w:lvl>
    <w:lvl w:ilvl="6">
      <w:start w:val="1"/>
      <w:numFmt w:val="decimal"/>
      <w:lvlText w:val="%1.%2.%3.%4.%5.%6.%7."/>
      <w:lvlJc w:val="left"/>
      <w:pPr>
        <w:ind w:left="357" w:hanging="357"/>
      </w:pPr>
      <w:rPr>
        <w:rFonts w:cs="Times New Roman" w:hint="default"/>
      </w:rPr>
    </w:lvl>
    <w:lvl w:ilvl="7">
      <w:start w:val="1"/>
      <w:numFmt w:val="decimal"/>
      <w:lvlText w:val="%1.%2.%3.%4.%5.%6.%7.%8."/>
      <w:lvlJc w:val="left"/>
      <w:pPr>
        <w:ind w:left="357" w:hanging="357"/>
      </w:pPr>
      <w:rPr>
        <w:rFonts w:cs="Times New Roman" w:hint="default"/>
      </w:rPr>
    </w:lvl>
    <w:lvl w:ilvl="8">
      <w:start w:val="1"/>
      <w:numFmt w:val="decimal"/>
      <w:lvlText w:val="%1.%2.%3.%4.%5.%6.%7.%8.%9."/>
      <w:lvlJc w:val="left"/>
      <w:pPr>
        <w:ind w:left="357" w:hanging="357"/>
      </w:pPr>
      <w:rPr>
        <w:rFonts w:cs="Times New Roman" w:hint="default"/>
      </w:rPr>
    </w:lvl>
  </w:abstractNum>
  <w:abstractNum w:abstractNumId="46" w15:restartNumberingAfterBreak="0">
    <w:nsid w:val="6BCD57BB"/>
    <w:multiLevelType w:val="multilevel"/>
    <w:tmpl w:val="69AA11E8"/>
    <w:lvl w:ilvl="0">
      <w:start w:val="1"/>
      <w:numFmt w:val="decimal"/>
      <w:lvlText w:val="%1."/>
      <w:lvlJc w:val="left"/>
      <w:pPr>
        <w:ind w:left="0" w:firstLine="0"/>
      </w:pPr>
      <w:rPr>
        <w:rFonts w:asciiTheme="majorHAnsi" w:hAnsiTheme="majorHAnsi"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47" w15:restartNumberingAfterBreak="0">
    <w:nsid w:val="72242E3E"/>
    <w:multiLevelType w:val="multilevel"/>
    <w:tmpl w:val="51EEA844"/>
    <w:lvl w:ilvl="0">
      <w:start w:val="1"/>
      <w:numFmt w:val="bullet"/>
      <w:pStyle w:val="GliederungmitAufzhlung"/>
      <w:lvlText w:val=""/>
      <w:lvlJc w:val="left"/>
      <w:pPr>
        <w:tabs>
          <w:tab w:val="num" w:pos="360"/>
        </w:tabs>
        <w:ind w:left="360" w:hanging="360"/>
      </w:pPr>
      <w:rPr>
        <w:rFonts w:ascii="Symbol" w:hAnsi="Symbol" w:hint="default"/>
        <w:sz w:val="28"/>
      </w:rPr>
    </w:lvl>
    <w:lvl w:ilvl="1">
      <w:start w:val="1"/>
      <w:numFmt w:val="bullet"/>
      <w:lvlText w:val=""/>
      <w:lvlJc w:val="left"/>
      <w:pPr>
        <w:tabs>
          <w:tab w:val="num" w:pos="720"/>
        </w:tabs>
        <w:ind w:left="720" w:hanging="360"/>
      </w:pPr>
      <w:rPr>
        <w:rFonts w:ascii="Symbol" w:hAnsi="Symbol" w:hint="default"/>
        <w:sz w:val="24"/>
      </w:rPr>
    </w:lvl>
    <w:lvl w:ilvl="2">
      <w:start w:val="1"/>
      <w:numFmt w:val="bullet"/>
      <w:lvlText w:val=""/>
      <w:lvlJc w:val="left"/>
      <w:pPr>
        <w:tabs>
          <w:tab w:val="num" w:pos="1072"/>
        </w:tabs>
        <w:ind w:left="1072" w:hanging="358"/>
      </w:pPr>
      <w:rPr>
        <w:rFonts w:ascii="Symbol" w:hAnsi="Symbol" w:hint="default"/>
        <w:sz w:val="22"/>
      </w:rPr>
    </w:lvl>
    <w:lvl w:ilvl="3">
      <w:start w:val="1"/>
      <w:numFmt w:val="bullet"/>
      <w:lvlText w:val=""/>
      <w:lvlJc w:val="left"/>
      <w:pPr>
        <w:tabs>
          <w:tab w:val="num" w:pos="1429"/>
        </w:tabs>
        <w:ind w:left="1429" w:hanging="357"/>
      </w:pPr>
      <w:rPr>
        <w:rFonts w:ascii="Symbol" w:hAnsi="Symbol" w:hint="default"/>
        <w:sz w:val="18"/>
      </w:rPr>
    </w:lvl>
    <w:lvl w:ilvl="4">
      <w:start w:val="1"/>
      <w:numFmt w:val="bullet"/>
      <w:lvlText w:val=""/>
      <w:lvlJc w:val="left"/>
      <w:pPr>
        <w:tabs>
          <w:tab w:val="num" w:pos="1786"/>
        </w:tabs>
        <w:ind w:left="1786" w:hanging="357"/>
      </w:pPr>
      <w:rPr>
        <w:rFonts w:ascii="Symbol" w:hAnsi="Symbol" w:hint="default"/>
        <w:sz w:val="16"/>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72377034"/>
    <w:multiLevelType w:val="hybridMultilevel"/>
    <w:tmpl w:val="D348E89A"/>
    <w:lvl w:ilvl="0" w:tplc="F42CC6B2">
      <w:start w:val="1"/>
      <w:numFmt w:val="bullet"/>
      <w:pStyle w:val="Aufzhlungszeichen3"/>
      <w:lvlText w:val=""/>
      <w:lvlJc w:val="left"/>
      <w:pPr>
        <w:tabs>
          <w:tab w:val="num" w:pos="357"/>
        </w:tabs>
        <w:ind w:left="357" w:hanging="357"/>
      </w:pPr>
      <w:rPr>
        <w:rFonts w:ascii="Wingdings" w:hAnsi="Wingdings" w:hint="default"/>
        <w:sz w:val="22"/>
      </w:rPr>
    </w:lvl>
    <w:lvl w:ilvl="1" w:tplc="3FFC2FA6" w:tentative="1">
      <w:start w:val="1"/>
      <w:numFmt w:val="bullet"/>
      <w:lvlText w:val="o"/>
      <w:lvlJc w:val="left"/>
      <w:pPr>
        <w:tabs>
          <w:tab w:val="num" w:pos="1440"/>
        </w:tabs>
        <w:ind w:left="1440" w:hanging="360"/>
      </w:pPr>
      <w:rPr>
        <w:rFonts w:ascii="Courier New" w:hAnsi="Courier New" w:hint="default"/>
      </w:rPr>
    </w:lvl>
    <w:lvl w:ilvl="2" w:tplc="4DF4E19A" w:tentative="1">
      <w:start w:val="1"/>
      <w:numFmt w:val="bullet"/>
      <w:lvlText w:val=""/>
      <w:lvlJc w:val="left"/>
      <w:pPr>
        <w:tabs>
          <w:tab w:val="num" w:pos="2160"/>
        </w:tabs>
        <w:ind w:left="2160" w:hanging="360"/>
      </w:pPr>
      <w:rPr>
        <w:rFonts w:ascii="Wingdings" w:hAnsi="Wingdings" w:hint="default"/>
      </w:rPr>
    </w:lvl>
    <w:lvl w:ilvl="3" w:tplc="72105B96" w:tentative="1">
      <w:start w:val="1"/>
      <w:numFmt w:val="bullet"/>
      <w:lvlText w:val=""/>
      <w:lvlJc w:val="left"/>
      <w:pPr>
        <w:tabs>
          <w:tab w:val="num" w:pos="2880"/>
        </w:tabs>
        <w:ind w:left="2880" w:hanging="360"/>
      </w:pPr>
      <w:rPr>
        <w:rFonts w:ascii="Symbol" w:hAnsi="Symbol" w:hint="default"/>
      </w:rPr>
    </w:lvl>
    <w:lvl w:ilvl="4" w:tplc="E61A1B3C" w:tentative="1">
      <w:start w:val="1"/>
      <w:numFmt w:val="bullet"/>
      <w:lvlText w:val="o"/>
      <w:lvlJc w:val="left"/>
      <w:pPr>
        <w:tabs>
          <w:tab w:val="num" w:pos="3600"/>
        </w:tabs>
        <w:ind w:left="3600" w:hanging="360"/>
      </w:pPr>
      <w:rPr>
        <w:rFonts w:ascii="Courier New" w:hAnsi="Courier New" w:hint="default"/>
      </w:rPr>
    </w:lvl>
    <w:lvl w:ilvl="5" w:tplc="160AC6CE" w:tentative="1">
      <w:start w:val="1"/>
      <w:numFmt w:val="bullet"/>
      <w:lvlText w:val=""/>
      <w:lvlJc w:val="left"/>
      <w:pPr>
        <w:tabs>
          <w:tab w:val="num" w:pos="4320"/>
        </w:tabs>
        <w:ind w:left="4320" w:hanging="360"/>
      </w:pPr>
      <w:rPr>
        <w:rFonts w:ascii="Wingdings" w:hAnsi="Wingdings" w:hint="default"/>
      </w:rPr>
    </w:lvl>
    <w:lvl w:ilvl="6" w:tplc="88D27BC4" w:tentative="1">
      <w:start w:val="1"/>
      <w:numFmt w:val="bullet"/>
      <w:lvlText w:val=""/>
      <w:lvlJc w:val="left"/>
      <w:pPr>
        <w:tabs>
          <w:tab w:val="num" w:pos="5040"/>
        </w:tabs>
        <w:ind w:left="5040" w:hanging="360"/>
      </w:pPr>
      <w:rPr>
        <w:rFonts w:ascii="Symbol" w:hAnsi="Symbol" w:hint="default"/>
      </w:rPr>
    </w:lvl>
    <w:lvl w:ilvl="7" w:tplc="8D3A7330" w:tentative="1">
      <w:start w:val="1"/>
      <w:numFmt w:val="bullet"/>
      <w:lvlText w:val="o"/>
      <w:lvlJc w:val="left"/>
      <w:pPr>
        <w:tabs>
          <w:tab w:val="num" w:pos="5760"/>
        </w:tabs>
        <w:ind w:left="5760" w:hanging="360"/>
      </w:pPr>
      <w:rPr>
        <w:rFonts w:ascii="Courier New" w:hAnsi="Courier New" w:hint="default"/>
      </w:rPr>
    </w:lvl>
    <w:lvl w:ilvl="8" w:tplc="7F7ADA40"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76C2B70"/>
    <w:multiLevelType w:val="hybridMultilevel"/>
    <w:tmpl w:val="72A4A260"/>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AF734B1"/>
    <w:multiLevelType w:val="hybridMultilevel"/>
    <w:tmpl w:val="42843F52"/>
    <w:lvl w:ilvl="0" w:tplc="FCDAE4C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7FF82664"/>
    <w:multiLevelType w:val="hybridMultilevel"/>
    <w:tmpl w:val="E69811B0"/>
    <w:lvl w:ilvl="0" w:tplc="CB0ABCB8">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4251639">
    <w:abstractNumId w:val="0"/>
  </w:num>
  <w:num w:numId="2" w16cid:durableId="215942944">
    <w:abstractNumId w:val="38"/>
  </w:num>
  <w:num w:numId="3" w16cid:durableId="250704334">
    <w:abstractNumId w:val="48"/>
  </w:num>
  <w:num w:numId="4" w16cid:durableId="1393386640">
    <w:abstractNumId w:val="28"/>
  </w:num>
  <w:num w:numId="5" w16cid:durableId="1840342573">
    <w:abstractNumId w:val="44"/>
  </w:num>
  <w:num w:numId="6" w16cid:durableId="572618477">
    <w:abstractNumId w:val="24"/>
  </w:num>
  <w:num w:numId="7" w16cid:durableId="1092701592">
    <w:abstractNumId w:val="47"/>
  </w:num>
  <w:num w:numId="8" w16cid:durableId="1761096816">
    <w:abstractNumId w:val="10"/>
  </w:num>
  <w:num w:numId="9" w16cid:durableId="1589654125">
    <w:abstractNumId w:val="41"/>
  </w:num>
  <w:num w:numId="10" w16cid:durableId="14773008">
    <w:abstractNumId w:val="22"/>
  </w:num>
  <w:num w:numId="11" w16cid:durableId="1601446782">
    <w:abstractNumId w:val="32"/>
  </w:num>
  <w:num w:numId="12" w16cid:durableId="655382628">
    <w:abstractNumId w:val="15"/>
  </w:num>
  <w:num w:numId="13" w16cid:durableId="22093217">
    <w:abstractNumId w:val="42"/>
  </w:num>
  <w:num w:numId="14" w16cid:durableId="970284668">
    <w:abstractNumId w:val="37"/>
  </w:num>
  <w:num w:numId="15" w16cid:durableId="712119518">
    <w:abstractNumId w:val="21"/>
  </w:num>
  <w:num w:numId="16" w16cid:durableId="321130615">
    <w:abstractNumId w:val="31"/>
  </w:num>
  <w:num w:numId="17" w16cid:durableId="269316234">
    <w:abstractNumId w:val="19"/>
  </w:num>
  <w:num w:numId="18" w16cid:durableId="1506676202">
    <w:abstractNumId w:val="45"/>
  </w:num>
  <w:num w:numId="19" w16cid:durableId="1320040099">
    <w:abstractNumId w:val="3"/>
  </w:num>
  <w:num w:numId="20" w16cid:durableId="991981158">
    <w:abstractNumId w:val="50"/>
  </w:num>
  <w:num w:numId="21" w16cid:durableId="1650087619">
    <w:abstractNumId w:val="46"/>
  </w:num>
  <w:num w:numId="22" w16cid:durableId="1671443880">
    <w:abstractNumId w:val="13"/>
  </w:num>
  <w:num w:numId="23" w16cid:durableId="2056929243">
    <w:abstractNumId w:val="8"/>
  </w:num>
  <w:num w:numId="24" w16cid:durableId="2068062580">
    <w:abstractNumId w:val="9"/>
  </w:num>
  <w:num w:numId="25" w16cid:durableId="1697078302">
    <w:abstractNumId w:val="40"/>
  </w:num>
  <w:num w:numId="26" w16cid:durableId="1226139225">
    <w:abstractNumId w:val="11"/>
  </w:num>
  <w:num w:numId="27" w16cid:durableId="1267806963">
    <w:abstractNumId w:val="27"/>
  </w:num>
  <w:num w:numId="28" w16cid:durableId="1911501126">
    <w:abstractNumId w:val="2"/>
  </w:num>
  <w:num w:numId="29" w16cid:durableId="886795705">
    <w:abstractNumId w:val="17"/>
  </w:num>
  <w:num w:numId="30" w16cid:durableId="48116474">
    <w:abstractNumId w:val="6"/>
  </w:num>
  <w:num w:numId="31" w16cid:durableId="203314346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40208219">
    <w:abstractNumId w:val="33"/>
  </w:num>
  <w:num w:numId="33" w16cid:durableId="1441140989">
    <w:abstractNumId w:val="18"/>
  </w:num>
  <w:num w:numId="34" w16cid:durableId="490878345">
    <w:abstractNumId w:val="26"/>
  </w:num>
  <w:num w:numId="35" w16cid:durableId="735278721">
    <w:abstractNumId w:val="30"/>
  </w:num>
  <w:num w:numId="36" w16cid:durableId="207498083">
    <w:abstractNumId w:val="39"/>
  </w:num>
  <w:num w:numId="37" w16cid:durableId="4660501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37216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91490879">
    <w:abstractNumId w:val="21"/>
  </w:num>
  <w:num w:numId="40" w16cid:durableId="2014263863">
    <w:abstractNumId w:val="21"/>
  </w:num>
  <w:num w:numId="41" w16cid:durableId="1643924564">
    <w:abstractNumId w:val="21"/>
  </w:num>
  <w:num w:numId="42" w16cid:durableId="1140726735">
    <w:abstractNumId w:val="36"/>
  </w:num>
  <w:num w:numId="43" w16cid:durableId="1972855914">
    <w:abstractNumId w:val="4"/>
  </w:num>
  <w:num w:numId="44" w16cid:durableId="1943416906">
    <w:abstractNumId w:val="23"/>
  </w:num>
  <w:num w:numId="45" w16cid:durableId="1259871850">
    <w:abstractNumId w:val="43"/>
  </w:num>
  <w:num w:numId="46" w16cid:durableId="1789816692">
    <w:abstractNumId w:val="6"/>
  </w:num>
  <w:num w:numId="47" w16cid:durableId="1832911175">
    <w:abstractNumId w:val="21"/>
  </w:num>
  <w:num w:numId="48" w16cid:durableId="316809264">
    <w:abstractNumId w:val="21"/>
  </w:num>
  <w:num w:numId="49" w16cid:durableId="1637643878">
    <w:abstractNumId w:val="12"/>
  </w:num>
  <w:num w:numId="50" w16cid:durableId="1155338883">
    <w:abstractNumId w:val="51"/>
  </w:num>
  <w:num w:numId="51" w16cid:durableId="1016233626">
    <w:abstractNumId w:val="14"/>
  </w:num>
  <w:num w:numId="52" w16cid:durableId="1317218939">
    <w:abstractNumId w:val="25"/>
  </w:num>
  <w:num w:numId="53" w16cid:durableId="170488796">
    <w:abstractNumId w:val="34"/>
  </w:num>
  <w:num w:numId="54" w16cid:durableId="1829397285">
    <w:abstractNumId w:val="21"/>
  </w:num>
  <w:num w:numId="55" w16cid:durableId="1321809290">
    <w:abstractNumId w:val="21"/>
  </w:num>
  <w:num w:numId="56" w16cid:durableId="1945764498">
    <w:abstractNumId w:val="21"/>
  </w:num>
  <w:num w:numId="57" w16cid:durableId="841623985">
    <w:abstractNumId w:val="21"/>
  </w:num>
  <w:num w:numId="58" w16cid:durableId="1498761348">
    <w:abstractNumId w:val="21"/>
  </w:num>
  <w:num w:numId="59" w16cid:durableId="461458130">
    <w:abstractNumId w:val="21"/>
  </w:num>
  <w:num w:numId="60" w16cid:durableId="1834564557">
    <w:abstractNumId w:val="21"/>
  </w:num>
  <w:num w:numId="61" w16cid:durableId="760957143">
    <w:abstractNumId w:val="21"/>
  </w:num>
  <w:num w:numId="62" w16cid:durableId="946741136">
    <w:abstractNumId w:val="21"/>
  </w:num>
  <w:num w:numId="63" w16cid:durableId="1781101996">
    <w:abstractNumId w:val="21"/>
  </w:num>
  <w:num w:numId="64" w16cid:durableId="654916619">
    <w:abstractNumId w:val="21"/>
  </w:num>
  <w:num w:numId="65" w16cid:durableId="889655873">
    <w:abstractNumId w:val="29"/>
  </w:num>
  <w:num w:numId="66" w16cid:durableId="492911919">
    <w:abstractNumId w:val="16"/>
  </w:num>
  <w:num w:numId="67" w16cid:durableId="163403816">
    <w:abstractNumId w:val="1"/>
  </w:num>
  <w:num w:numId="68" w16cid:durableId="514468051">
    <w:abstractNumId w:val="35"/>
  </w:num>
  <w:num w:numId="69" w16cid:durableId="1341851840">
    <w:abstractNumId w:val="7"/>
  </w:num>
  <w:num w:numId="70" w16cid:durableId="823399401">
    <w:abstractNumId w:val="20"/>
  </w:num>
  <w:num w:numId="71" w16cid:durableId="1304651332">
    <w:abstractNumId w:val="21"/>
  </w:num>
  <w:num w:numId="72" w16cid:durableId="9332050">
    <w:abstractNumId w:val="6"/>
  </w:num>
  <w:num w:numId="73" w16cid:durableId="1782069897">
    <w:abstractNumId w:val="21"/>
  </w:num>
  <w:num w:numId="74" w16cid:durableId="220555982">
    <w:abstractNumId w:val="21"/>
  </w:num>
  <w:num w:numId="75" w16cid:durableId="1337656134">
    <w:abstractNumId w:val="49"/>
  </w:num>
  <w:num w:numId="76" w16cid:durableId="574515657">
    <w:abstractNumId w:val="5"/>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6" w:nlCheck="1" w:checkStyle="0"/>
  <w:activeWritingStyle w:appName="MSWord" w:lang="en-GB" w:vendorID="64" w:dllVersion="6"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trackRevisions/>
  <w:defaultTabStop w:val="708"/>
  <w:autoHyphenation/>
  <w:hyphenationZone w:val="170"/>
  <w:drawingGridHorizontalSpacing w:val="100"/>
  <w:displayHorizont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R_RefLast" w:val="0"/>
    <w:docVar w:name="FigNum" w:val="1"/>
    <w:docVar w:name="LW_DocType" w:val="NORMAL"/>
  </w:docVars>
  <w:rsids>
    <w:rsidRoot w:val="00884FEB"/>
    <w:rsid w:val="00000191"/>
    <w:rsid w:val="000001EC"/>
    <w:rsid w:val="00000255"/>
    <w:rsid w:val="00000F70"/>
    <w:rsid w:val="0000147E"/>
    <w:rsid w:val="000017F3"/>
    <w:rsid w:val="000020E5"/>
    <w:rsid w:val="00002933"/>
    <w:rsid w:val="00002E14"/>
    <w:rsid w:val="0000344B"/>
    <w:rsid w:val="000040E7"/>
    <w:rsid w:val="00004478"/>
    <w:rsid w:val="000044B7"/>
    <w:rsid w:val="00004978"/>
    <w:rsid w:val="00004FE8"/>
    <w:rsid w:val="00005078"/>
    <w:rsid w:val="00005765"/>
    <w:rsid w:val="00005FFC"/>
    <w:rsid w:val="00006114"/>
    <w:rsid w:val="00007605"/>
    <w:rsid w:val="00007D0D"/>
    <w:rsid w:val="00011BD0"/>
    <w:rsid w:val="000120EB"/>
    <w:rsid w:val="00014890"/>
    <w:rsid w:val="00014A29"/>
    <w:rsid w:val="00014DC3"/>
    <w:rsid w:val="00015AA5"/>
    <w:rsid w:val="0001693F"/>
    <w:rsid w:val="00017D49"/>
    <w:rsid w:val="00017D7A"/>
    <w:rsid w:val="00020200"/>
    <w:rsid w:val="00020516"/>
    <w:rsid w:val="00020857"/>
    <w:rsid w:val="00020AF9"/>
    <w:rsid w:val="0002157C"/>
    <w:rsid w:val="00023102"/>
    <w:rsid w:val="000232E2"/>
    <w:rsid w:val="00023383"/>
    <w:rsid w:val="000243CE"/>
    <w:rsid w:val="00025500"/>
    <w:rsid w:val="0002657F"/>
    <w:rsid w:val="00027235"/>
    <w:rsid w:val="0002765E"/>
    <w:rsid w:val="00031DC6"/>
    <w:rsid w:val="000326C1"/>
    <w:rsid w:val="00032E3E"/>
    <w:rsid w:val="00033B7C"/>
    <w:rsid w:val="00033C55"/>
    <w:rsid w:val="00034834"/>
    <w:rsid w:val="000359E1"/>
    <w:rsid w:val="000364CE"/>
    <w:rsid w:val="00037093"/>
    <w:rsid w:val="000377CC"/>
    <w:rsid w:val="00041480"/>
    <w:rsid w:val="00041848"/>
    <w:rsid w:val="000418B8"/>
    <w:rsid w:val="000433C4"/>
    <w:rsid w:val="00043DC2"/>
    <w:rsid w:val="0004432C"/>
    <w:rsid w:val="00044D06"/>
    <w:rsid w:val="00045036"/>
    <w:rsid w:val="0004590F"/>
    <w:rsid w:val="000466F4"/>
    <w:rsid w:val="00046805"/>
    <w:rsid w:val="00052CAE"/>
    <w:rsid w:val="000530BC"/>
    <w:rsid w:val="0005325E"/>
    <w:rsid w:val="0005400A"/>
    <w:rsid w:val="000548A2"/>
    <w:rsid w:val="00054949"/>
    <w:rsid w:val="0005609F"/>
    <w:rsid w:val="000565B6"/>
    <w:rsid w:val="00056816"/>
    <w:rsid w:val="00056906"/>
    <w:rsid w:val="00056C0F"/>
    <w:rsid w:val="00057154"/>
    <w:rsid w:val="00057362"/>
    <w:rsid w:val="0005746D"/>
    <w:rsid w:val="0005754F"/>
    <w:rsid w:val="00061E48"/>
    <w:rsid w:val="00063085"/>
    <w:rsid w:val="00063B28"/>
    <w:rsid w:val="00063B3F"/>
    <w:rsid w:val="000652BA"/>
    <w:rsid w:val="0006666B"/>
    <w:rsid w:val="00067DC1"/>
    <w:rsid w:val="00067EEA"/>
    <w:rsid w:val="00070AF9"/>
    <w:rsid w:val="00070E18"/>
    <w:rsid w:val="00071341"/>
    <w:rsid w:val="000713BD"/>
    <w:rsid w:val="000716F4"/>
    <w:rsid w:val="00072609"/>
    <w:rsid w:val="000735CC"/>
    <w:rsid w:val="0007412E"/>
    <w:rsid w:val="00074EC6"/>
    <w:rsid w:val="000758FE"/>
    <w:rsid w:val="00076091"/>
    <w:rsid w:val="00076342"/>
    <w:rsid w:val="00076880"/>
    <w:rsid w:val="00076ADC"/>
    <w:rsid w:val="00077C5F"/>
    <w:rsid w:val="00077DC8"/>
    <w:rsid w:val="0008111C"/>
    <w:rsid w:val="0008143C"/>
    <w:rsid w:val="00081898"/>
    <w:rsid w:val="00082265"/>
    <w:rsid w:val="0008234E"/>
    <w:rsid w:val="000828C6"/>
    <w:rsid w:val="000843B3"/>
    <w:rsid w:val="00084A4D"/>
    <w:rsid w:val="000858A9"/>
    <w:rsid w:val="00087700"/>
    <w:rsid w:val="00087E1A"/>
    <w:rsid w:val="000903FA"/>
    <w:rsid w:val="0009195D"/>
    <w:rsid w:val="00092139"/>
    <w:rsid w:val="00092F67"/>
    <w:rsid w:val="00093411"/>
    <w:rsid w:val="00093686"/>
    <w:rsid w:val="00093831"/>
    <w:rsid w:val="00094D25"/>
    <w:rsid w:val="00095191"/>
    <w:rsid w:val="00095D0D"/>
    <w:rsid w:val="00096566"/>
    <w:rsid w:val="00096942"/>
    <w:rsid w:val="0009761E"/>
    <w:rsid w:val="00097C81"/>
    <w:rsid w:val="00097E91"/>
    <w:rsid w:val="000A1955"/>
    <w:rsid w:val="000A1E70"/>
    <w:rsid w:val="000A3889"/>
    <w:rsid w:val="000A3B1A"/>
    <w:rsid w:val="000A3F45"/>
    <w:rsid w:val="000A4B61"/>
    <w:rsid w:val="000A4C10"/>
    <w:rsid w:val="000A5224"/>
    <w:rsid w:val="000A57BC"/>
    <w:rsid w:val="000A628F"/>
    <w:rsid w:val="000A7D27"/>
    <w:rsid w:val="000B0B09"/>
    <w:rsid w:val="000B0E46"/>
    <w:rsid w:val="000B0EBE"/>
    <w:rsid w:val="000B13A1"/>
    <w:rsid w:val="000B1772"/>
    <w:rsid w:val="000B2027"/>
    <w:rsid w:val="000B3C33"/>
    <w:rsid w:val="000B5B4D"/>
    <w:rsid w:val="000B5E2E"/>
    <w:rsid w:val="000B6A14"/>
    <w:rsid w:val="000B6D9D"/>
    <w:rsid w:val="000B6FC5"/>
    <w:rsid w:val="000B70E1"/>
    <w:rsid w:val="000B7865"/>
    <w:rsid w:val="000C0127"/>
    <w:rsid w:val="000C0A34"/>
    <w:rsid w:val="000C1AFD"/>
    <w:rsid w:val="000C24B5"/>
    <w:rsid w:val="000C30A6"/>
    <w:rsid w:val="000C4A6C"/>
    <w:rsid w:val="000C5A1A"/>
    <w:rsid w:val="000C5EA7"/>
    <w:rsid w:val="000C6C50"/>
    <w:rsid w:val="000C7632"/>
    <w:rsid w:val="000C7EAA"/>
    <w:rsid w:val="000D194E"/>
    <w:rsid w:val="000D1C6A"/>
    <w:rsid w:val="000D1DDF"/>
    <w:rsid w:val="000D220D"/>
    <w:rsid w:val="000D3CBC"/>
    <w:rsid w:val="000D4352"/>
    <w:rsid w:val="000D5110"/>
    <w:rsid w:val="000D5292"/>
    <w:rsid w:val="000D5958"/>
    <w:rsid w:val="000D5E51"/>
    <w:rsid w:val="000D6B9B"/>
    <w:rsid w:val="000D7F3B"/>
    <w:rsid w:val="000E093A"/>
    <w:rsid w:val="000E1572"/>
    <w:rsid w:val="000E29C9"/>
    <w:rsid w:val="000E3F99"/>
    <w:rsid w:val="000E6835"/>
    <w:rsid w:val="000E6B7E"/>
    <w:rsid w:val="000E7BA8"/>
    <w:rsid w:val="000E7F08"/>
    <w:rsid w:val="000F0F10"/>
    <w:rsid w:val="000F13F9"/>
    <w:rsid w:val="000F1CEA"/>
    <w:rsid w:val="000F211A"/>
    <w:rsid w:val="000F2EC8"/>
    <w:rsid w:val="000F2F09"/>
    <w:rsid w:val="000F33AF"/>
    <w:rsid w:val="000F46D5"/>
    <w:rsid w:val="000F4702"/>
    <w:rsid w:val="000F69D1"/>
    <w:rsid w:val="000F6A80"/>
    <w:rsid w:val="000F6B25"/>
    <w:rsid w:val="000F7045"/>
    <w:rsid w:val="000F70EC"/>
    <w:rsid w:val="000F7A4E"/>
    <w:rsid w:val="00100B94"/>
    <w:rsid w:val="0010177C"/>
    <w:rsid w:val="00101A46"/>
    <w:rsid w:val="00102048"/>
    <w:rsid w:val="00102C6F"/>
    <w:rsid w:val="00104370"/>
    <w:rsid w:val="0010455D"/>
    <w:rsid w:val="001048C4"/>
    <w:rsid w:val="00104A65"/>
    <w:rsid w:val="0010559F"/>
    <w:rsid w:val="0010605A"/>
    <w:rsid w:val="00106BFF"/>
    <w:rsid w:val="00106FC5"/>
    <w:rsid w:val="00110B0C"/>
    <w:rsid w:val="001119CD"/>
    <w:rsid w:val="00113E45"/>
    <w:rsid w:val="00113EA5"/>
    <w:rsid w:val="001151C1"/>
    <w:rsid w:val="0011539B"/>
    <w:rsid w:val="00115685"/>
    <w:rsid w:val="001156B4"/>
    <w:rsid w:val="0012049B"/>
    <w:rsid w:val="001219C2"/>
    <w:rsid w:val="00121B49"/>
    <w:rsid w:val="0012244E"/>
    <w:rsid w:val="00124A44"/>
    <w:rsid w:val="00124B85"/>
    <w:rsid w:val="001250CC"/>
    <w:rsid w:val="00125707"/>
    <w:rsid w:val="00125D44"/>
    <w:rsid w:val="00125D94"/>
    <w:rsid w:val="001273B5"/>
    <w:rsid w:val="00130EEF"/>
    <w:rsid w:val="001323BF"/>
    <w:rsid w:val="00132778"/>
    <w:rsid w:val="00133107"/>
    <w:rsid w:val="001331F5"/>
    <w:rsid w:val="001333E0"/>
    <w:rsid w:val="00133AC1"/>
    <w:rsid w:val="0013414F"/>
    <w:rsid w:val="00136316"/>
    <w:rsid w:val="00137AC5"/>
    <w:rsid w:val="001402DB"/>
    <w:rsid w:val="001404DC"/>
    <w:rsid w:val="001409D9"/>
    <w:rsid w:val="00140F6E"/>
    <w:rsid w:val="00141DD1"/>
    <w:rsid w:val="00142215"/>
    <w:rsid w:val="00142917"/>
    <w:rsid w:val="001432EE"/>
    <w:rsid w:val="00144F03"/>
    <w:rsid w:val="00146D50"/>
    <w:rsid w:val="001474E0"/>
    <w:rsid w:val="0015093D"/>
    <w:rsid w:val="00151071"/>
    <w:rsid w:val="00151160"/>
    <w:rsid w:val="00151B44"/>
    <w:rsid w:val="00151D8A"/>
    <w:rsid w:val="0015243E"/>
    <w:rsid w:val="0015288B"/>
    <w:rsid w:val="00152B33"/>
    <w:rsid w:val="00153BEC"/>
    <w:rsid w:val="00154859"/>
    <w:rsid w:val="00155114"/>
    <w:rsid w:val="00155C3C"/>
    <w:rsid w:val="00155C69"/>
    <w:rsid w:val="001562B3"/>
    <w:rsid w:val="00156555"/>
    <w:rsid w:val="001570C4"/>
    <w:rsid w:val="0015750B"/>
    <w:rsid w:val="00157B19"/>
    <w:rsid w:val="0016072E"/>
    <w:rsid w:val="00161EDF"/>
    <w:rsid w:val="001628F4"/>
    <w:rsid w:val="00162CCF"/>
    <w:rsid w:val="0016365A"/>
    <w:rsid w:val="00163DBA"/>
    <w:rsid w:val="00164970"/>
    <w:rsid w:val="00164B62"/>
    <w:rsid w:val="00165D53"/>
    <w:rsid w:val="00166C4B"/>
    <w:rsid w:val="00167A14"/>
    <w:rsid w:val="00167E59"/>
    <w:rsid w:val="001721BD"/>
    <w:rsid w:val="001734AB"/>
    <w:rsid w:val="0017396B"/>
    <w:rsid w:val="0017440D"/>
    <w:rsid w:val="00174CBB"/>
    <w:rsid w:val="00175957"/>
    <w:rsid w:val="00176F16"/>
    <w:rsid w:val="00181174"/>
    <w:rsid w:val="00181888"/>
    <w:rsid w:val="00181B53"/>
    <w:rsid w:val="001822DF"/>
    <w:rsid w:val="00182871"/>
    <w:rsid w:val="00183B7A"/>
    <w:rsid w:val="00183F97"/>
    <w:rsid w:val="00184B3F"/>
    <w:rsid w:val="00184E8A"/>
    <w:rsid w:val="0018533B"/>
    <w:rsid w:val="001854F6"/>
    <w:rsid w:val="00185877"/>
    <w:rsid w:val="0018613E"/>
    <w:rsid w:val="00187348"/>
    <w:rsid w:val="00187488"/>
    <w:rsid w:val="00187BE1"/>
    <w:rsid w:val="00190BAC"/>
    <w:rsid w:val="00190FA3"/>
    <w:rsid w:val="001919E9"/>
    <w:rsid w:val="001924F4"/>
    <w:rsid w:val="001926EF"/>
    <w:rsid w:val="00193AC4"/>
    <w:rsid w:val="001959EF"/>
    <w:rsid w:val="00196481"/>
    <w:rsid w:val="0019727D"/>
    <w:rsid w:val="001A032A"/>
    <w:rsid w:val="001A2115"/>
    <w:rsid w:val="001A3980"/>
    <w:rsid w:val="001A44B3"/>
    <w:rsid w:val="001A523B"/>
    <w:rsid w:val="001A531E"/>
    <w:rsid w:val="001A7742"/>
    <w:rsid w:val="001B140A"/>
    <w:rsid w:val="001B1531"/>
    <w:rsid w:val="001B1848"/>
    <w:rsid w:val="001B1864"/>
    <w:rsid w:val="001B21AE"/>
    <w:rsid w:val="001B3CDA"/>
    <w:rsid w:val="001B44EE"/>
    <w:rsid w:val="001B4EA5"/>
    <w:rsid w:val="001B51A1"/>
    <w:rsid w:val="001B5499"/>
    <w:rsid w:val="001B5725"/>
    <w:rsid w:val="001B6ABE"/>
    <w:rsid w:val="001B6D4D"/>
    <w:rsid w:val="001B7D0F"/>
    <w:rsid w:val="001B7F1A"/>
    <w:rsid w:val="001C1392"/>
    <w:rsid w:val="001C1DDA"/>
    <w:rsid w:val="001C2BA5"/>
    <w:rsid w:val="001C369A"/>
    <w:rsid w:val="001C3A19"/>
    <w:rsid w:val="001C3C19"/>
    <w:rsid w:val="001C3D30"/>
    <w:rsid w:val="001C4D81"/>
    <w:rsid w:val="001C5557"/>
    <w:rsid w:val="001C5CA8"/>
    <w:rsid w:val="001C6416"/>
    <w:rsid w:val="001C6D0D"/>
    <w:rsid w:val="001C74CC"/>
    <w:rsid w:val="001C775E"/>
    <w:rsid w:val="001C7897"/>
    <w:rsid w:val="001C79CB"/>
    <w:rsid w:val="001C7AB7"/>
    <w:rsid w:val="001C7F2A"/>
    <w:rsid w:val="001D04B3"/>
    <w:rsid w:val="001D0B80"/>
    <w:rsid w:val="001D10FC"/>
    <w:rsid w:val="001D1E29"/>
    <w:rsid w:val="001D1F64"/>
    <w:rsid w:val="001D28F3"/>
    <w:rsid w:val="001D2FE6"/>
    <w:rsid w:val="001D3409"/>
    <w:rsid w:val="001D4848"/>
    <w:rsid w:val="001D4B9D"/>
    <w:rsid w:val="001D5403"/>
    <w:rsid w:val="001D7382"/>
    <w:rsid w:val="001D769F"/>
    <w:rsid w:val="001E01BA"/>
    <w:rsid w:val="001E1CA1"/>
    <w:rsid w:val="001E332C"/>
    <w:rsid w:val="001E38FD"/>
    <w:rsid w:val="001E39E5"/>
    <w:rsid w:val="001E440D"/>
    <w:rsid w:val="001E468D"/>
    <w:rsid w:val="001E4B39"/>
    <w:rsid w:val="001E5A75"/>
    <w:rsid w:val="001E6014"/>
    <w:rsid w:val="001E6127"/>
    <w:rsid w:val="001E64DB"/>
    <w:rsid w:val="001E6B9D"/>
    <w:rsid w:val="001E7AE4"/>
    <w:rsid w:val="001E7EA7"/>
    <w:rsid w:val="001F005F"/>
    <w:rsid w:val="001F0111"/>
    <w:rsid w:val="001F0D60"/>
    <w:rsid w:val="001F2830"/>
    <w:rsid w:val="001F2920"/>
    <w:rsid w:val="001F3BBE"/>
    <w:rsid w:val="001F4225"/>
    <w:rsid w:val="001F5AC3"/>
    <w:rsid w:val="001F73EA"/>
    <w:rsid w:val="001F761F"/>
    <w:rsid w:val="00200D6E"/>
    <w:rsid w:val="00201704"/>
    <w:rsid w:val="00201B28"/>
    <w:rsid w:val="00201F3E"/>
    <w:rsid w:val="00202198"/>
    <w:rsid w:val="00202742"/>
    <w:rsid w:val="002027E7"/>
    <w:rsid w:val="0020282E"/>
    <w:rsid w:val="0020559A"/>
    <w:rsid w:val="00205E57"/>
    <w:rsid w:val="00206687"/>
    <w:rsid w:val="00206D7E"/>
    <w:rsid w:val="00211293"/>
    <w:rsid w:val="0021140B"/>
    <w:rsid w:val="002117C1"/>
    <w:rsid w:val="00212908"/>
    <w:rsid w:val="00213102"/>
    <w:rsid w:val="0021389C"/>
    <w:rsid w:val="00213DC3"/>
    <w:rsid w:val="00213E0E"/>
    <w:rsid w:val="00215548"/>
    <w:rsid w:val="00216D67"/>
    <w:rsid w:val="0021767A"/>
    <w:rsid w:val="00220265"/>
    <w:rsid w:val="00221103"/>
    <w:rsid w:val="00221C2F"/>
    <w:rsid w:val="00222596"/>
    <w:rsid w:val="002229FF"/>
    <w:rsid w:val="00222AC6"/>
    <w:rsid w:val="00222CD3"/>
    <w:rsid w:val="00223BC3"/>
    <w:rsid w:val="00223FB6"/>
    <w:rsid w:val="00224016"/>
    <w:rsid w:val="00224828"/>
    <w:rsid w:val="002248E8"/>
    <w:rsid w:val="002249DB"/>
    <w:rsid w:val="00224FE5"/>
    <w:rsid w:val="0022597E"/>
    <w:rsid w:val="00225D42"/>
    <w:rsid w:val="002301C6"/>
    <w:rsid w:val="002305D2"/>
    <w:rsid w:val="00230BCF"/>
    <w:rsid w:val="00231C4F"/>
    <w:rsid w:val="00232217"/>
    <w:rsid w:val="00232702"/>
    <w:rsid w:val="00233A38"/>
    <w:rsid w:val="0023488F"/>
    <w:rsid w:val="00234E7D"/>
    <w:rsid w:val="0023571F"/>
    <w:rsid w:val="002357EA"/>
    <w:rsid w:val="00235897"/>
    <w:rsid w:val="002367E6"/>
    <w:rsid w:val="00236B09"/>
    <w:rsid w:val="00236E33"/>
    <w:rsid w:val="0023700C"/>
    <w:rsid w:val="002370CD"/>
    <w:rsid w:val="00237276"/>
    <w:rsid w:val="0023738B"/>
    <w:rsid w:val="0023769E"/>
    <w:rsid w:val="002376B2"/>
    <w:rsid w:val="00241190"/>
    <w:rsid w:val="00241845"/>
    <w:rsid w:val="002423CA"/>
    <w:rsid w:val="002450B6"/>
    <w:rsid w:val="00245325"/>
    <w:rsid w:val="00245753"/>
    <w:rsid w:val="00245E37"/>
    <w:rsid w:val="00246BCA"/>
    <w:rsid w:val="00246D55"/>
    <w:rsid w:val="00247E0B"/>
    <w:rsid w:val="00250176"/>
    <w:rsid w:val="002506A3"/>
    <w:rsid w:val="00251CF4"/>
    <w:rsid w:val="00251F24"/>
    <w:rsid w:val="0025267A"/>
    <w:rsid w:val="002526C4"/>
    <w:rsid w:val="0025290C"/>
    <w:rsid w:val="00253022"/>
    <w:rsid w:val="002540B2"/>
    <w:rsid w:val="002547C1"/>
    <w:rsid w:val="00254DF6"/>
    <w:rsid w:val="00255BA9"/>
    <w:rsid w:val="0025607F"/>
    <w:rsid w:val="002562F9"/>
    <w:rsid w:val="00257AAC"/>
    <w:rsid w:val="00257FBC"/>
    <w:rsid w:val="002609D6"/>
    <w:rsid w:val="00260AA2"/>
    <w:rsid w:val="00260FB3"/>
    <w:rsid w:val="002618F4"/>
    <w:rsid w:val="00261B63"/>
    <w:rsid w:val="0026202B"/>
    <w:rsid w:val="002625C0"/>
    <w:rsid w:val="00262B48"/>
    <w:rsid w:val="00262C1B"/>
    <w:rsid w:val="00262D2E"/>
    <w:rsid w:val="002630FB"/>
    <w:rsid w:val="0026352F"/>
    <w:rsid w:val="002647D2"/>
    <w:rsid w:val="0026485D"/>
    <w:rsid w:val="002648B0"/>
    <w:rsid w:val="00264C8C"/>
    <w:rsid w:val="00265B83"/>
    <w:rsid w:val="002664C7"/>
    <w:rsid w:val="002678CE"/>
    <w:rsid w:val="00267A21"/>
    <w:rsid w:val="002701C8"/>
    <w:rsid w:val="00271A7B"/>
    <w:rsid w:val="00271C8B"/>
    <w:rsid w:val="00272F65"/>
    <w:rsid w:val="00273432"/>
    <w:rsid w:val="002735FE"/>
    <w:rsid w:val="00276720"/>
    <w:rsid w:val="00276B41"/>
    <w:rsid w:val="00277058"/>
    <w:rsid w:val="0027718F"/>
    <w:rsid w:val="002800B3"/>
    <w:rsid w:val="002805FD"/>
    <w:rsid w:val="0028072E"/>
    <w:rsid w:val="00280B99"/>
    <w:rsid w:val="00282BAF"/>
    <w:rsid w:val="00283B5F"/>
    <w:rsid w:val="0028511C"/>
    <w:rsid w:val="002854B5"/>
    <w:rsid w:val="00285E2F"/>
    <w:rsid w:val="0028628A"/>
    <w:rsid w:val="0028743B"/>
    <w:rsid w:val="002906F5"/>
    <w:rsid w:val="00290CAD"/>
    <w:rsid w:val="002917CA"/>
    <w:rsid w:val="002920FF"/>
    <w:rsid w:val="00292409"/>
    <w:rsid w:val="00292A20"/>
    <w:rsid w:val="0029472F"/>
    <w:rsid w:val="00295225"/>
    <w:rsid w:val="002952FA"/>
    <w:rsid w:val="00295371"/>
    <w:rsid w:val="00297074"/>
    <w:rsid w:val="002A04D3"/>
    <w:rsid w:val="002A1B49"/>
    <w:rsid w:val="002A2036"/>
    <w:rsid w:val="002A276F"/>
    <w:rsid w:val="002A35C9"/>
    <w:rsid w:val="002A4B85"/>
    <w:rsid w:val="002A4F17"/>
    <w:rsid w:val="002A528B"/>
    <w:rsid w:val="002A5969"/>
    <w:rsid w:val="002A6913"/>
    <w:rsid w:val="002A7C84"/>
    <w:rsid w:val="002B15B5"/>
    <w:rsid w:val="002B1600"/>
    <w:rsid w:val="002B2BA3"/>
    <w:rsid w:val="002B2D3A"/>
    <w:rsid w:val="002B3E36"/>
    <w:rsid w:val="002B5403"/>
    <w:rsid w:val="002B5492"/>
    <w:rsid w:val="002B5B50"/>
    <w:rsid w:val="002B5CD1"/>
    <w:rsid w:val="002B5F2D"/>
    <w:rsid w:val="002B66BD"/>
    <w:rsid w:val="002B6980"/>
    <w:rsid w:val="002B76A4"/>
    <w:rsid w:val="002C0206"/>
    <w:rsid w:val="002C053E"/>
    <w:rsid w:val="002C06FD"/>
    <w:rsid w:val="002C1251"/>
    <w:rsid w:val="002C37D9"/>
    <w:rsid w:val="002C41F1"/>
    <w:rsid w:val="002C4E14"/>
    <w:rsid w:val="002C5671"/>
    <w:rsid w:val="002C6076"/>
    <w:rsid w:val="002C6263"/>
    <w:rsid w:val="002C674A"/>
    <w:rsid w:val="002C6E63"/>
    <w:rsid w:val="002C7835"/>
    <w:rsid w:val="002C7993"/>
    <w:rsid w:val="002D1183"/>
    <w:rsid w:val="002D2C75"/>
    <w:rsid w:val="002D3982"/>
    <w:rsid w:val="002D4561"/>
    <w:rsid w:val="002D45F0"/>
    <w:rsid w:val="002D4E10"/>
    <w:rsid w:val="002D4F6A"/>
    <w:rsid w:val="002D549E"/>
    <w:rsid w:val="002D5E59"/>
    <w:rsid w:val="002D6B9E"/>
    <w:rsid w:val="002D75D1"/>
    <w:rsid w:val="002E053A"/>
    <w:rsid w:val="002E0DDB"/>
    <w:rsid w:val="002E136A"/>
    <w:rsid w:val="002E2061"/>
    <w:rsid w:val="002E2164"/>
    <w:rsid w:val="002E2564"/>
    <w:rsid w:val="002E3720"/>
    <w:rsid w:val="002E40E5"/>
    <w:rsid w:val="002E4923"/>
    <w:rsid w:val="002E4EB7"/>
    <w:rsid w:val="002E587F"/>
    <w:rsid w:val="002E65ED"/>
    <w:rsid w:val="002F07EA"/>
    <w:rsid w:val="002F0C15"/>
    <w:rsid w:val="002F1163"/>
    <w:rsid w:val="002F170E"/>
    <w:rsid w:val="002F1920"/>
    <w:rsid w:val="002F19BB"/>
    <w:rsid w:val="002F1E8D"/>
    <w:rsid w:val="002F2663"/>
    <w:rsid w:val="002F39A7"/>
    <w:rsid w:val="002F4769"/>
    <w:rsid w:val="002F47FA"/>
    <w:rsid w:val="002F4A67"/>
    <w:rsid w:val="002F4A87"/>
    <w:rsid w:val="002F5341"/>
    <w:rsid w:val="002F5571"/>
    <w:rsid w:val="002F7E28"/>
    <w:rsid w:val="00300224"/>
    <w:rsid w:val="00302D6F"/>
    <w:rsid w:val="00303127"/>
    <w:rsid w:val="0030442B"/>
    <w:rsid w:val="00304CA5"/>
    <w:rsid w:val="0030572F"/>
    <w:rsid w:val="00305E50"/>
    <w:rsid w:val="00306AD1"/>
    <w:rsid w:val="00306F71"/>
    <w:rsid w:val="00306F7F"/>
    <w:rsid w:val="00306F8E"/>
    <w:rsid w:val="00307CFC"/>
    <w:rsid w:val="00307F17"/>
    <w:rsid w:val="003105C6"/>
    <w:rsid w:val="00310F05"/>
    <w:rsid w:val="00310F96"/>
    <w:rsid w:val="00311119"/>
    <w:rsid w:val="00311B2D"/>
    <w:rsid w:val="00311E10"/>
    <w:rsid w:val="00312BA3"/>
    <w:rsid w:val="003132E6"/>
    <w:rsid w:val="003137B9"/>
    <w:rsid w:val="00313D20"/>
    <w:rsid w:val="003141F6"/>
    <w:rsid w:val="00314991"/>
    <w:rsid w:val="00320BB4"/>
    <w:rsid w:val="00321A3B"/>
    <w:rsid w:val="003220BD"/>
    <w:rsid w:val="00322A0F"/>
    <w:rsid w:val="003250B6"/>
    <w:rsid w:val="00325654"/>
    <w:rsid w:val="003256D0"/>
    <w:rsid w:val="003259DA"/>
    <w:rsid w:val="0032635E"/>
    <w:rsid w:val="00327CA4"/>
    <w:rsid w:val="003300FF"/>
    <w:rsid w:val="00330199"/>
    <w:rsid w:val="00330E4D"/>
    <w:rsid w:val="00330E8B"/>
    <w:rsid w:val="00331FE6"/>
    <w:rsid w:val="003325DB"/>
    <w:rsid w:val="00333A44"/>
    <w:rsid w:val="00334093"/>
    <w:rsid w:val="003374C1"/>
    <w:rsid w:val="00337849"/>
    <w:rsid w:val="00337BEA"/>
    <w:rsid w:val="00340094"/>
    <w:rsid w:val="003400BB"/>
    <w:rsid w:val="00341BC3"/>
    <w:rsid w:val="00342B6A"/>
    <w:rsid w:val="003438E8"/>
    <w:rsid w:val="003459F8"/>
    <w:rsid w:val="00345A82"/>
    <w:rsid w:val="00345E53"/>
    <w:rsid w:val="00346C65"/>
    <w:rsid w:val="0034786E"/>
    <w:rsid w:val="00347FF9"/>
    <w:rsid w:val="00350DDB"/>
    <w:rsid w:val="00352C6E"/>
    <w:rsid w:val="00352FB3"/>
    <w:rsid w:val="00353D40"/>
    <w:rsid w:val="003556A3"/>
    <w:rsid w:val="00355F10"/>
    <w:rsid w:val="00356773"/>
    <w:rsid w:val="00357CD1"/>
    <w:rsid w:val="00357F63"/>
    <w:rsid w:val="00361119"/>
    <w:rsid w:val="00361511"/>
    <w:rsid w:val="003616A1"/>
    <w:rsid w:val="0036191E"/>
    <w:rsid w:val="003619EE"/>
    <w:rsid w:val="00361D60"/>
    <w:rsid w:val="0036208E"/>
    <w:rsid w:val="00363969"/>
    <w:rsid w:val="0036415F"/>
    <w:rsid w:val="003663B7"/>
    <w:rsid w:val="00366794"/>
    <w:rsid w:val="003677E2"/>
    <w:rsid w:val="00367B3A"/>
    <w:rsid w:val="00370D79"/>
    <w:rsid w:val="00371593"/>
    <w:rsid w:val="00371653"/>
    <w:rsid w:val="00373E3E"/>
    <w:rsid w:val="00374B93"/>
    <w:rsid w:val="003751BB"/>
    <w:rsid w:val="00375C47"/>
    <w:rsid w:val="00380D47"/>
    <w:rsid w:val="003812AC"/>
    <w:rsid w:val="003813DF"/>
    <w:rsid w:val="0038147E"/>
    <w:rsid w:val="003826D9"/>
    <w:rsid w:val="00383D4B"/>
    <w:rsid w:val="00383FF2"/>
    <w:rsid w:val="00386492"/>
    <w:rsid w:val="00387544"/>
    <w:rsid w:val="003879CF"/>
    <w:rsid w:val="00387E40"/>
    <w:rsid w:val="003908C5"/>
    <w:rsid w:val="003909BE"/>
    <w:rsid w:val="00390DDA"/>
    <w:rsid w:val="00391ABA"/>
    <w:rsid w:val="003927BE"/>
    <w:rsid w:val="00392C11"/>
    <w:rsid w:val="00392FFD"/>
    <w:rsid w:val="0039346B"/>
    <w:rsid w:val="00393539"/>
    <w:rsid w:val="00394410"/>
    <w:rsid w:val="00394496"/>
    <w:rsid w:val="00394FF1"/>
    <w:rsid w:val="003953B9"/>
    <w:rsid w:val="003953E6"/>
    <w:rsid w:val="0039673F"/>
    <w:rsid w:val="00397314"/>
    <w:rsid w:val="00397A77"/>
    <w:rsid w:val="00397CAE"/>
    <w:rsid w:val="003A0717"/>
    <w:rsid w:val="003A0835"/>
    <w:rsid w:val="003A0C05"/>
    <w:rsid w:val="003A127C"/>
    <w:rsid w:val="003A1469"/>
    <w:rsid w:val="003A1B96"/>
    <w:rsid w:val="003A200A"/>
    <w:rsid w:val="003A282B"/>
    <w:rsid w:val="003A3877"/>
    <w:rsid w:val="003A449C"/>
    <w:rsid w:val="003A497B"/>
    <w:rsid w:val="003A4C8B"/>
    <w:rsid w:val="003A5743"/>
    <w:rsid w:val="003A5D8C"/>
    <w:rsid w:val="003A7214"/>
    <w:rsid w:val="003B00F4"/>
    <w:rsid w:val="003B06B9"/>
    <w:rsid w:val="003B0B90"/>
    <w:rsid w:val="003B20D7"/>
    <w:rsid w:val="003B25F0"/>
    <w:rsid w:val="003B3112"/>
    <w:rsid w:val="003B3DBB"/>
    <w:rsid w:val="003B45A4"/>
    <w:rsid w:val="003B4F5D"/>
    <w:rsid w:val="003B5D31"/>
    <w:rsid w:val="003B60E3"/>
    <w:rsid w:val="003B7060"/>
    <w:rsid w:val="003B72D9"/>
    <w:rsid w:val="003C050A"/>
    <w:rsid w:val="003C0FB5"/>
    <w:rsid w:val="003C1BB1"/>
    <w:rsid w:val="003C1F98"/>
    <w:rsid w:val="003C1FE5"/>
    <w:rsid w:val="003C2409"/>
    <w:rsid w:val="003C2566"/>
    <w:rsid w:val="003C2C06"/>
    <w:rsid w:val="003C3168"/>
    <w:rsid w:val="003C3AAB"/>
    <w:rsid w:val="003C3B79"/>
    <w:rsid w:val="003C3FD5"/>
    <w:rsid w:val="003C4307"/>
    <w:rsid w:val="003C60B9"/>
    <w:rsid w:val="003C67DF"/>
    <w:rsid w:val="003C7853"/>
    <w:rsid w:val="003D10E9"/>
    <w:rsid w:val="003D1657"/>
    <w:rsid w:val="003D17D0"/>
    <w:rsid w:val="003D199D"/>
    <w:rsid w:val="003D2230"/>
    <w:rsid w:val="003D293B"/>
    <w:rsid w:val="003D3CED"/>
    <w:rsid w:val="003D419A"/>
    <w:rsid w:val="003D431C"/>
    <w:rsid w:val="003D47F5"/>
    <w:rsid w:val="003D485B"/>
    <w:rsid w:val="003D56DE"/>
    <w:rsid w:val="003D7822"/>
    <w:rsid w:val="003D7F50"/>
    <w:rsid w:val="003E098F"/>
    <w:rsid w:val="003E0EFC"/>
    <w:rsid w:val="003E3102"/>
    <w:rsid w:val="003E4EF2"/>
    <w:rsid w:val="003E5145"/>
    <w:rsid w:val="003E52DA"/>
    <w:rsid w:val="003E7AB6"/>
    <w:rsid w:val="003F05A0"/>
    <w:rsid w:val="003F0C55"/>
    <w:rsid w:val="003F1103"/>
    <w:rsid w:val="003F15BB"/>
    <w:rsid w:val="003F17BB"/>
    <w:rsid w:val="003F221D"/>
    <w:rsid w:val="003F22AA"/>
    <w:rsid w:val="003F3523"/>
    <w:rsid w:val="003F4777"/>
    <w:rsid w:val="003F5CFF"/>
    <w:rsid w:val="003F6B24"/>
    <w:rsid w:val="003F7324"/>
    <w:rsid w:val="00401111"/>
    <w:rsid w:val="004038A0"/>
    <w:rsid w:val="0040521E"/>
    <w:rsid w:val="00405C0A"/>
    <w:rsid w:val="00406456"/>
    <w:rsid w:val="00407110"/>
    <w:rsid w:val="00407936"/>
    <w:rsid w:val="00410796"/>
    <w:rsid w:val="004120DF"/>
    <w:rsid w:val="004125A1"/>
    <w:rsid w:val="004129D0"/>
    <w:rsid w:val="00412D43"/>
    <w:rsid w:val="00412D44"/>
    <w:rsid w:val="004133D9"/>
    <w:rsid w:val="00415A1B"/>
    <w:rsid w:val="00417984"/>
    <w:rsid w:val="00421496"/>
    <w:rsid w:val="00421747"/>
    <w:rsid w:val="00422449"/>
    <w:rsid w:val="00423556"/>
    <w:rsid w:val="00423B7A"/>
    <w:rsid w:val="00423F7E"/>
    <w:rsid w:val="00425F4C"/>
    <w:rsid w:val="0042766A"/>
    <w:rsid w:val="0043001B"/>
    <w:rsid w:val="004304C0"/>
    <w:rsid w:val="00430F6F"/>
    <w:rsid w:val="0043116E"/>
    <w:rsid w:val="0043168D"/>
    <w:rsid w:val="004317F7"/>
    <w:rsid w:val="0043231D"/>
    <w:rsid w:val="004350F2"/>
    <w:rsid w:val="004357B9"/>
    <w:rsid w:val="00436204"/>
    <w:rsid w:val="00436490"/>
    <w:rsid w:val="00436A46"/>
    <w:rsid w:val="004372AB"/>
    <w:rsid w:val="004377DA"/>
    <w:rsid w:val="004377E2"/>
    <w:rsid w:val="00437CF3"/>
    <w:rsid w:val="004408E7"/>
    <w:rsid w:val="00441D4D"/>
    <w:rsid w:val="00442F6E"/>
    <w:rsid w:val="00443003"/>
    <w:rsid w:val="00443BEC"/>
    <w:rsid w:val="00443DD0"/>
    <w:rsid w:val="00444CF3"/>
    <w:rsid w:val="00444DAC"/>
    <w:rsid w:val="00445E06"/>
    <w:rsid w:val="004464A7"/>
    <w:rsid w:val="0045099E"/>
    <w:rsid w:val="00450A2E"/>
    <w:rsid w:val="00451220"/>
    <w:rsid w:val="00451B63"/>
    <w:rsid w:val="00452FEF"/>
    <w:rsid w:val="00453999"/>
    <w:rsid w:val="00453B42"/>
    <w:rsid w:val="00454082"/>
    <w:rsid w:val="00454139"/>
    <w:rsid w:val="00454476"/>
    <w:rsid w:val="00455364"/>
    <w:rsid w:val="00456622"/>
    <w:rsid w:val="004579E8"/>
    <w:rsid w:val="00457ABE"/>
    <w:rsid w:val="004600E4"/>
    <w:rsid w:val="004603C7"/>
    <w:rsid w:val="004608BE"/>
    <w:rsid w:val="00460A9C"/>
    <w:rsid w:val="00461A5A"/>
    <w:rsid w:val="004629A2"/>
    <w:rsid w:val="00462BAB"/>
    <w:rsid w:val="0046452F"/>
    <w:rsid w:val="00464DCB"/>
    <w:rsid w:val="00464F34"/>
    <w:rsid w:val="00465306"/>
    <w:rsid w:val="00467E41"/>
    <w:rsid w:val="00467F08"/>
    <w:rsid w:val="0047023B"/>
    <w:rsid w:val="00471A96"/>
    <w:rsid w:val="004738AB"/>
    <w:rsid w:val="00474B00"/>
    <w:rsid w:val="00474C49"/>
    <w:rsid w:val="0047503C"/>
    <w:rsid w:val="0047563E"/>
    <w:rsid w:val="00475B6A"/>
    <w:rsid w:val="0047602E"/>
    <w:rsid w:val="00476209"/>
    <w:rsid w:val="00476566"/>
    <w:rsid w:val="004766D4"/>
    <w:rsid w:val="0047693D"/>
    <w:rsid w:val="0047741E"/>
    <w:rsid w:val="00477B96"/>
    <w:rsid w:val="00477CB6"/>
    <w:rsid w:val="00480A69"/>
    <w:rsid w:val="0048116C"/>
    <w:rsid w:val="004812D2"/>
    <w:rsid w:val="0048143B"/>
    <w:rsid w:val="00481C25"/>
    <w:rsid w:val="00482729"/>
    <w:rsid w:val="004827E9"/>
    <w:rsid w:val="00483FC9"/>
    <w:rsid w:val="00484DDA"/>
    <w:rsid w:val="00486575"/>
    <w:rsid w:val="00486644"/>
    <w:rsid w:val="00486DA5"/>
    <w:rsid w:val="00487597"/>
    <w:rsid w:val="004901BE"/>
    <w:rsid w:val="004912BF"/>
    <w:rsid w:val="004913CE"/>
    <w:rsid w:val="00491E48"/>
    <w:rsid w:val="00491F4D"/>
    <w:rsid w:val="00492D77"/>
    <w:rsid w:val="004938DD"/>
    <w:rsid w:val="00493D5E"/>
    <w:rsid w:val="0049555B"/>
    <w:rsid w:val="00496C53"/>
    <w:rsid w:val="00496F3A"/>
    <w:rsid w:val="00496F5D"/>
    <w:rsid w:val="004970FA"/>
    <w:rsid w:val="00497D60"/>
    <w:rsid w:val="004A01BF"/>
    <w:rsid w:val="004A0447"/>
    <w:rsid w:val="004A0885"/>
    <w:rsid w:val="004A0D4A"/>
    <w:rsid w:val="004A11BD"/>
    <w:rsid w:val="004A3596"/>
    <w:rsid w:val="004A3A58"/>
    <w:rsid w:val="004A3B3D"/>
    <w:rsid w:val="004A4CA4"/>
    <w:rsid w:val="004A4EB9"/>
    <w:rsid w:val="004A5880"/>
    <w:rsid w:val="004A66E8"/>
    <w:rsid w:val="004A6C52"/>
    <w:rsid w:val="004A705D"/>
    <w:rsid w:val="004A70B3"/>
    <w:rsid w:val="004A7B60"/>
    <w:rsid w:val="004B031B"/>
    <w:rsid w:val="004B135C"/>
    <w:rsid w:val="004B26E4"/>
    <w:rsid w:val="004B2A17"/>
    <w:rsid w:val="004B37F2"/>
    <w:rsid w:val="004B38D3"/>
    <w:rsid w:val="004B38D7"/>
    <w:rsid w:val="004B3B58"/>
    <w:rsid w:val="004B4DF9"/>
    <w:rsid w:val="004B5870"/>
    <w:rsid w:val="004B67ED"/>
    <w:rsid w:val="004B7F4A"/>
    <w:rsid w:val="004C03BC"/>
    <w:rsid w:val="004C0508"/>
    <w:rsid w:val="004C15A0"/>
    <w:rsid w:val="004C1ACF"/>
    <w:rsid w:val="004C20E0"/>
    <w:rsid w:val="004C2312"/>
    <w:rsid w:val="004C4478"/>
    <w:rsid w:val="004C6E6F"/>
    <w:rsid w:val="004C74EC"/>
    <w:rsid w:val="004C7F82"/>
    <w:rsid w:val="004D057B"/>
    <w:rsid w:val="004D0C15"/>
    <w:rsid w:val="004D2031"/>
    <w:rsid w:val="004D2753"/>
    <w:rsid w:val="004D36B6"/>
    <w:rsid w:val="004D431D"/>
    <w:rsid w:val="004D4419"/>
    <w:rsid w:val="004D5161"/>
    <w:rsid w:val="004D63AE"/>
    <w:rsid w:val="004D6755"/>
    <w:rsid w:val="004D6C74"/>
    <w:rsid w:val="004D74CD"/>
    <w:rsid w:val="004D780C"/>
    <w:rsid w:val="004D78D3"/>
    <w:rsid w:val="004E0244"/>
    <w:rsid w:val="004E04BF"/>
    <w:rsid w:val="004E081B"/>
    <w:rsid w:val="004E0A91"/>
    <w:rsid w:val="004E28B1"/>
    <w:rsid w:val="004E2BE7"/>
    <w:rsid w:val="004E5001"/>
    <w:rsid w:val="004E5B02"/>
    <w:rsid w:val="004E6D5F"/>
    <w:rsid w:val="004E7936"/>
    <w:rsid w:val="004E7DF2"/>
    <w:rsid w:val="004F0D16"/>
    <w:rsid w:val="004F2B30"/>
    <w:rsid w:val="004F2E2A"/>
    <w:rsid w:val="004F3766"/>
    <w:rsid w:val="004F4289"/>
    <w:rsid w:val="004F458D"/>
    <w:rsid w:val="004F4775"/>
    <w:rsid w:val="004F4BB8"/>
    <w:rsid w:val="004F50AF"/>
    <w:rsid w:val="00500917"/>
    <w:rsid w:val="00502363"/>
    <w:rsid w:val="00502FC6"/>
    <w:rsid w:val="00503601"/>
    <w:rsid w:val="0050394C"/>
    <w:rsid w:val="0050399F"/>
    <w:rsid w:val="00503F93"/>
    <w:rsid w:val="00504020"/>
    <w:rsid w:val="00504A16"/>
    <w:rsid w:val="005050CE"/>
    <w:rsid w:val="00505B5C"/>
    <w:rsid w:val="00505FD3"/>
    <w:rsid w:val="005067A1"/>
    <w:rsid w:val="005130D9"/>
    <w:rsid w:val="005135D6"/>
    <w:rsid w:val="0051375E"/>
    <w:rsid w:val="00513822"/>
    <w:rsid w:val="00514158"/>
    <w:rsid w:val="00514783"/>
    <w:rsid w:val="0051480C"/>
    <w:rsid w:val="00514EEA"/>
    <w:rsid w:val="00516B4A"/>
    <w:rsid w:val="00521D56"/>
    <w:rsid w:val="00522067"/>
    <w:rsid w:val="00522C4A"/>
    <w:rsid w:val="00522F33"/>
    <w:rsid w:val="0052367C"/>
    <w:rsid w:val="00523DD6"/>
    <w:rsid w:val="0052529D"/>
    <w:rsid w:val="00527134"/>
    <w:rsid w:val="0053078D"/>
    <w:rsid w:val="00530BA1"/>
    <w:rsid w:val="00530FC7"/>
    <w:rsid w:val="00531FC9"/>
    <w:rsid w:val="0053327A"/>
    <w:rsid w:val="00533D6A"/>
    <w:rsid w:val="00533E20"/>
    <w:rsid w:val="00533E53"/>
    <w:rsid w:val="005342A5"/>
    <w:rsid w:val="00535350"/>
    <w:rsid w:val="00535A98"/>
    <w:rsid w:val="00536320"/>
    <w:rsid w:val="00536B6D"/>
    <w:rsid w:val="0053702D"/>
    <w:rsid w:val="00537499"/>
    <w:rsid w:val="005429A0"/>
    <w:rsid w:val="00542C33"/>
    <w:rsid w:val="00542EAE"/>
    <w:rsid w:val="00543DBD"/>
    <w:rsid w:val="00544DA4"/>
    <w:rsid w:val="00547047"/>
    <w:rsid w:val="00550113"/>
    <w:rsid w:val="005511AD"/>
    <w:rsid w:val="00551271"/>
    <w:rsid w:val="00551E8E"/>
    <w:rsid w:val="0055245C"/>
    <w:rsid w:val="005528C1"/>
    <w:rsid w:val="00552A83"/>
    <w:rsid w:val="00552E3E"/>
    <w:rsid w:val="00554886"/>
    <w:rsid w:val="00554A32"/>
    <w:rsid w:val="0055657F"/>
    <w:rsid w:val="0055791B"/>
    <w:rsid w:val="00557D09"/>
    <w:rsid w:val="00560A14"/>
    <w:rsid w:val="005617F7"/>
    <w:rsid w:val="00562181"/>
    <w:rsid w:val="00563313"/>
    <w:rsid w:val="005643EA"/>
    <w:rsid w:val="00564A89"/>
    <w:rsid w:val="00565031"/>
    <w:rsid w:val="00565904"/>
    <w:rsid w:val="005666F4"/>
    <w:rsid w:val="00571BB5"/>
    <w:rsid w:val="005723E9"/>
    <w:rsid w:val="00572C82"/>
    <w:rsid w:val="0057350E"/>
    <w:rsid w:val="00573DB4"/>
    <w:rsid w:val="005748DD"/>
    <w:rsid w:val="00576215"/>
    <w:rsid w:val="0057632A"/>
    <w:rsid w:val="005808DE"/>
    <w:rsid w:val="00581EAB"/>
    <w:rsid w:val="00581FA5"/>
    <w:rsid w:val="00582923"/>
    <w:rsid w:val="00584165"/>
    <w:rsid w:val="00584A30"/>
    <w:rsid w:val="00585408"/>
    <w:rsid w:val="00585466"/>
    <w:rsid w:val="0058617B"/>
    <w:rsid w:val="00586844"/>
    <w:rsid w:val="00586927"/>
    <w:rsid w:val="005911AC"/>
    <w:rsid w:val="00592C0C"/>
    <w:rsid w:val="00593C50"/>
    <w:rsid w:val="00593E1F"/>
    <w:rsid w:val="0059657D"/>
    <w:rsid w:val="00596FA9"/>
    <w:rsid w:val="00597698"/>
    <w:rsid w:val="00597BBC"/>
    <w:rsid w:val="005A020C"/>
    <w:rsid w:val="005A0227"/>
    <w:rsid w:val="005A18FB"/>
    <w:rsid w:val="005A2182"/>
    <w:rsid w:val="005A2363"/>
    <w:rsid w:val="005A2E2D"/>
    <w:rsid w:val="005A43B1"/>
    <w:rsid w:val="005A4C7A"/>
    <w:rsid w:val="005A6305"/>
    <w:rsid w:val="005A7CA9"/>
    <w:rsid w:val="005B02DE"/>
    <w:rsid w:val="005B0463"/>
    <w:rsid w:val="005B084D"/>
    <w:rsid w:val="005B09E4"/>
    <w:rsid w:val="005B0C8D"/>
    <w:rsid w:val="005B13A0"/>
    <w:rsid w:val="005B1D79"/>
    <w:rsid w:val="005B321D"/>
    <w:rsid w:val="005B3B7C"/>
    <w:rsid w:val="005B3F5D"/>
    <w:rsid w:val="005B4D65"/>
    <w:rsid w:val="005B54BB"/>
    <w:rsid w:val="005B59C9"/>
    <w:rsid w:val="005B5D85"/>
    <w:rsid w:val="005B6489"/>
    <w:rsid w:val="005C192C"/>
    <w:rsid w:val="005C1BC9"/>
    <w:rsid w:val="005C1F76"/>
    <w:rsid w:val="005C287F"/>
    <w:rsid w:val="005C2A1D"/>
    <w:rsid w:val="005C2A68"/>
    <w:rsid w:val="005C3BEA"/>
    <w:rsid w:val="005C3D80"/>
    <w:rsid w:val="005C517E"/>
    <w:rsid w:val="005C5625"/>
    <w:rsid w:val="005C6CF7"/>
    <w:rsid w:val="005C6DEB"/>
    <w:rsid w:val="005C73C9"/>
    <w:rsid w:val="005C7A91"/>
    <w:rsid w:val="005D12A7"/>
    <w:rsid w:val="005D1979"/>
    <w:rsid w:val="005D2F62"/>
    <w:rsid w:val="005D3318"/>
    <w:rsid w:val="005D35A0"/>
    <w:rsid w:val="005D3DC8"/>
    <w:rsid w:val="005D3E00"/>
    <w:rsid w:val="005D40D9"/>
    <w:rsid w:val="005D5914"/>
    <w:rsid w:val="005D678A"/>
    <w:rsid w:val="005D755D"/>
    <w:rsid w:val="005E0301"/>
    <w:rsid w:val="005E03B8"/>
    <w:rsid w:val="005E0917"/>
    <w:rsid w:val="005E3471"/>
    <w:rsid w:val="005E4BEC"/>
    <w:rsid w:val="005E4D01"/>
    <w:rsid w:val="005E573A"/>
    <w:rsid w:val="005E7DF2"/>
    <w:rsid w:val="005F05ED"/>
    <w:rsid w:val="005F1095"/>
    <w:rsid w:val="005F12F9"/>
    <w:rsid w:val="005F18D0"/>
    <w:rsid w:val="005F1957"/>
    <w:rsid w:val="005F3409"/>
    <w:rsid w:val="005F39A4"/>
    <w:rsid w:val="005F39D1"/>
    <w:rsid w:val="005F5B6B"/>
    <w:rsid w:val="005F5D42"/>
    <w:rsid w:val="005F5DF8"/>
    <w:rsid w:val="005F608F"/>
    <w:rsid w:val="005F6354"/>
    <w:rsid w:val="005F6603"/>
    <w:rsid w:val="005F6FDF"/>
    <w:rsid w:val="00600733"/>
    <w:rsid w:val="0060089D"/>
    <w:rsid w:val="00601450"/>
    <w:rsid w:val="006015FF"/>
    <w:rsid w:val="0060179C"/>
    <w:rsid w:val="00601C56"/>
    <w:rsid w:val="006022CB"/>
    <w:rsid w:val="00602FA5"/>
    <w:rsid w:val="0060396C"/>
    <w:rsid w:val="00604AF7"/>
    <w:rsid w:val="00605A9A"/>
    <w:rsid w:val="00605F23"/>
    <w:rsid w:val="0060673F"/>
    <w:rsid w:val="00606885"/>
    <w:rsid w:val="00606D8C"/>
    <w:rsid w:val="0060723F"/>
    <w:rsid w:val="00607523"/>
    <w:rsid w:val="006108B8"/>
    <w:rsid w:val="00610920"/>
    <w:rsid w:val="00610B56"/>
    <w:rsid w:val="00611073"/>
    <w:rsid w:val="0061165D"/>
    <w:rsid w:val="0061204C"/>
    <w:rsid w:val="0061222C"/>
    <w:rsid w:val="0061248F"/>
    <w:rsid w:val="00612780"/>
    <w:rsid w:val="006128D7"/>
    <w:rsid w:val="00612E23"/>
    <w:rsid w:val="0061482E"/>
    <w:rsid w:val="00614F6B"/>
    <w:rsid w:val="0061552A"/>
    <w:rsid w:val="00616264"/>
    <w:rsid w:val="00616690"/>
    <w:rsid w:val="00616C21"/>
    <w:rsid w:val="00616E90"/>
    <w:rsid w:val="006178CF"/>
    <w:rsid w:val="00620AB3"/>
    <w:rsid w:val="00622B37"/>
    <w:rsid w:val="00622DF8"/>
    <w:rsid w:val="00623BD2"/>
    <w:rsid w:val="0062558D"/>
    <w:rsid w:val="00625DF9"/>
    <w:rsid w:val="00626973"/>
    <w:rsid w:val="006269F7"/>
    <w:rsid w:val="00627027"/>
    <w:rsid w:val="00627143"/>
    <w:rsid w:val="00630711"/>
    <w:rsid w:val="006317A9"/>
    <w:rsid w:val="00631A23"/>
    <w:rsid w:val="0063337F"/>
    <w:rsid w:val="00633D3C"/>
    <w:rsid w:val="00633DEB"/>
    <w:rsid w:val="0063493E"/>
    <w:rsid w:val="006364E5"/>
    <w:rsid w:val="00640475"/>
    <w:rsid w:val="00641F79"/>
    <w:rsid w:val="00643011"/>
    <w:rsid w:val="00643362"/>
    <w:rsid w:val="0064497A"/>
    <w:rsid w:val="00644EEB"/>
    <w:rsid w:val="006452A4"/>
    <w:rsid w:val="00645573"/>
    <w:rsid w:val="006455B0"/>
    <w:rsid w:val="00646287"/>
    <w:rsid w:val="00646D1B"/>
    <w:rsid w:val="00647441"/>
    <w:rsid w:val="006477B8"/>
    <w:rsid w:val="00647F9C"/>
    <w:rsid w:val="00650358"/>
    <w:rsid w:val="00650A08"/>
    <w:rsid w:val="00650D5A"/>
    <w:rsid w:val="00650DB8"/>
    <w:rsid w:val="00651C18"/>
    <w:rsid w:val="006529BF"/>
    <w:rsid w:val="00652DF7"/>
    <w:rsid w:val="00652F11"/>
    <w:rsid w:val="00656BF0"/>
    <w:rsid w:val="00657B0C"/>
    <w:rsid w:val="00660913"/>
    <w:rsid w:val="0066173C"/>
    <w:rsid w:val="0066186C"/>
    <w:rsid w:val="00662545"/>
    <w:rsid w:val="0066272A"/>
    <w:rsid w:val="00663444"/>
    <w:rsid w:val="006646B6"/>
    <w:rsid w:val="0066595C"/>
    <w:rsid w:val="006660B9"/>
    <w:rsid w:val="00666996"/>
    <w:rsid w:val="00667FF5"/>
    <w:rsid w:val="0067016F"/>
    <w:rsid w:val="00672C9C"/>
    <w:rsid w:val="00672D2A"/>
    <w:rsid w:val="006741F4"/>
    <w:rsid w:val="006746DB"/>
    <w:rsid w:val="006750B8"/>
    <w:rsid w:val="00675D2F"/>
    <w:rsid w:val="00676B42"/>
    <w:rsid w:val="00676B98"/>
    <w:rsid w:val="006771CE"/>
    <w:rsid w:val="006778A2"/>
    <w:rsid w:val="00681382"/>
    <w:rsid w:val="0068160C"/>
    <w:rsid w:val="00684E72"/>
    <w:rsid w:val="00685080"/>
    <w:rsid w:val="00685182"/>
    <w:rsid w:val="006852D5"/>
    <w:rsid w:val="0068594D"/>
    <w:rsid w:val="00685956"/>
    <w:rsid w:val="00686521"/>
    <w:rsid w:val="006866E8"/>
    <w:rsid w:val="006876BA"/>
    <w:rsid w:val="006876CB"/>
    <w:rsid w:val="00687C18"/>
    <w:rsid w:val="00690D01"/>
    <w:rsid w:val="006916DC"/>
    <w:rsid w:val="00691F9C"/>
    <w:rsid w:val="006921A5"/>
    <w:rsid w:val="00692A55"/>
    <w:rsid w:val="00692B10"/>
    <w:rsid w:val="0069572F"/>
    <w:rsid w:val="00695924"/>
    <w:rsid w:val="006966FF"/>
    <w:rsid w:val="00696F12"/>
    <w:rsid w:val="006972E8"/>
    <w:rsid w:val="006979DA"/>
    <w:rsid w:val="006A01F5"/>
    <w:rsid w:val="006A14F6"/>
    <w:rsid w:val="006A20A0"/>
    <w:rsid w:val="006A228A"/>
    <w:rsid w:val="006A3201"/>
    <w:rsid w:val="006A357B"/>
    <w:rsid w:val="006A3A82"/>
    <w:rsid w:val="006A4119"/>
    <w:rsid w:val="006A42FC"/>
    <w:rsid w:val="006A4B1B"/>
    <w:rsid w:val="006A6CCF"/>
    <w:rsid w:val="006A70CB"/>
    <w:rsid w:val="006A7AEE"/>
    <w:rsid w:val="006B08A5"/>
    <w:rsid w:val="006B19A0"/>
    <w:rsid w:val="006B1A77"/>
    <w:rsid w:val="006B1D21"/>
    <w:rsid w:val="006B2A31"/>
    <w:rsid w:val="006B2EA2"/>
    <w:rsid w:val="006B339C"/>
    <w:rsid w:val="006B36C2"/>
    <w:rsid w:val="006B3EA8"/>
    <w:rsid w:val="006B3F3C"/>
    <w:rsid w:val="006B4AC8"/>
    <w:rsid w:val="006B55D6"/>
    <w:rsid w:val="006B5A2B"/>
    <w:rsid w:val="006B5BA8"/>
    <w:rsid w:val="006B5DEC"/>
    <w:rsid w:val="006B6F73"/>
    <w:rsid w:val="006B7228"/>
    <w:rsid w:val="006B72F3"/>
    <w:rsid w:val="006B796F"/>
    <w:rsid w:val="006C0691"/>
    <w:rsid w:val="006C0915"/>
    <w:rsid w:val="006C11BB"/>
    <w:rsid w:val="006C163A"/>
    <w:rsid w:val="006C1FB5"/>
    <w:rsid w:val="006C308D"/>
    <w:rsid w:val="006C3B88"/>
    <w:rsid w:val="006C3FF9"/>
    <w:rsid w:val="006C4136"/>
    <w:rsid w:val="006C4174"/>
    <w:rsid w:val="006C45C6"/>
    <w:rsid w:val="006C4D76"/>
    <w:rsid w:val="006C52E6"/>
    <w:rsid w:val="006C64A3"/>
    <w:rsid w:val="006C66DB"/>
    <w:rsid w:val="006C6D3F"/>
    <w:rsid w:val="006C6EE0"/>
    <w:rsid w:val="006C7201"/>
    <w:rsid w:val="006D09C9"/>
    <w:rsid w:val="006D0B3A"/>
    <w:rsid w:val="006D0C99"/>
    <w:rsid w:val="006D35FC"/>
    <w:rsid w:val="006D3B1A"/>
    <w:rsid w:val="006D3CCE"/>
    <w:rsid w:val="006D49F3"/>
    <w:rsid w:val="006D665A"/>
    <w:rsid w:val="006D6AE0"/>
    <w:rsid w:val="006E01DA"/>
    <w:rsid w:val="006E033E"/>
    <w:rsid w:val="006E0809"/>
    <w:rsid w:val="006E126B"/>
    <w:rsid w:val="006E33C8"/>
    <w:rsid w:val="006E3440"/>
    <w:rsid w:val="006E3D86"/>
    <w:rsid w:val="006E52E7"/>
    <w:rsid w:val="006E5D07"/>
    <w:rsid w:val="006E6778"/>
    <w:rsid w:val="006E6AEF"/>
    <w:rsid w:val="006F0E89"/>
    <w:rsid w:val="006F14A2"/>
    <w:rsid w:val="006F1AA3"/>
    <w:rsid w:val="006F2637"/>
    <w:rsid w:val="006F2989"/>
    <w:rsid w:val="006F3626"/>
    <w:rsid w:val="006F503D"/>
    <w:rsid w:val="006F53D7"/>
    <w:rsid w:val="007004FE"/>
    <w:rsid w:val="00700DE8"/>
    <w:rsid w:val="00700DFD"/>
    <w:rsid w:val="00703C87"/>
    <w:rsid w:val="007056F7"/>
    <w:rsid w:val="007065FE"/>
    <w:rsid w:val="00706D25"/>
    <w:rsid w:val="007106FB"/>
    <w:rsid w:val="007111B3"/>
    <w:rsid w:val="00711F3A"/>
    <w:rsid w:val="007121C9"/>
    <w:rsid w:val="00712B6C"/>
    <w:rsid w:val="0071377A"/>
    <w:rsid w:val="00713E91"/>
    <w:rsid w:val="00715C11"/>
    <w:rsid w:val="00716241"/>
    <w:rsid w:val="00716DF6"/>
    <w:rsid w:val="00720227"/>
    <w:rsid w:val="007205EC"/>
    <w:rsid w:val="00720ADC"/>
    <w:rsid w:val="00720E2E"/>
    <w:rsid w:val="00721A22"/>
    <w:rsid w:val="00721CEA"/>
    <w:rsid w:val="0072265E"/>
    <w:rsid w:val="00722A10"/>
    <w:rsid w:val="00722C11"/>
    <w:rsid w:val="00722D90"/>
    <w:rsid w:val="007233B1"/>
    <w:rsid w:val="007241D3"/>
    <w:rsid w:val="007247ED"/>
    <w:rsid w:val="007248BD"/>
    <w:rsid w:val="007260DA"/>
    <w:rsid w:val="00727756"/>
    <w:rsid w:val="00730040"/>
    <w:rsid w:val="007312D4"/>
    <w:rsid w:val="0073242B"/>
    <w:rsid w:val="00732881"/>
    <w:rsid w:val="00732D6D"/>
    <w:rsid w:val="00733B77"/>
    <w:rsid w:val="007345D3"/>
    <w:rsid w:val="0073473E"/>
    <w:rsid w:val="0073581C"/>
    <w:rsid w:val="00735D14"/>
    <w:rsid w:val="00736AD5"/>
    <w:rsid w:val="00736D07"/>
    <w:rsid w:val="00736D27"/>
    <w:rsid w:val="00736F34"/>
    <w:rsid w:val="007371FE"/>
    <w:rsid w:val="00740250"/>
    <w:rsid w:val="00741167"/>
    <w:rsid w:val="00741BA6"/>
    <w:rsid w:val="007420C6"/>
    <w:rsid w:val="007434D0"/>
    <w:rsid w:val="00744DAA"/>
    <w:rsid w:val="00744F64"/>
    <w:rsid w:val="00745142"/>
    <w:rsid w:val="00745369"/>
    <w:rsid w:val="007460C8"/>
    <w:rsid w:val="007463E2"/>
    <w:rsid w:val="007466A4"/>
    <w:rsid w:val="007475A3"/>
    <w:rsid w:val="007503D4"/>
    <w:rsid w:val="00750B54"/>
    <w:rsid w:val="0075112B"/>
    <w:rsid w:val="00751540"/>
    <w:rsid w:val="007520D8"/>
    <w:rsid w:val="00752B94"/>
    <w:rsid w:val="0075517F"/>
    <w:rsid w:val="007557A8"/>
    <w:rsid w:val="0075700F"/>
    <w:rsid w:val="00757707"/>
    <w:rsid w:val="00757C76"/>
    <w:rsid w:val="007608E4"/>
    <w:rsid w:val="007615A8"/>
    <w:rsid w:val="00761856"/>
    <w:rsid w:val="00761891"/>
    <w:rsid w:val="0076235F"/>
    <w:rsid w:val="0076257F"/>
    <w:rsid w:val="00762AE8"/>
    <w:rsid w:val="00763A4B"/>
    <w:rsid w:val="007647CC"/>
    <w:rsid w:val="00764E61"/>
    <w:rsid w:val="00765008"/>
    <w:rsid w:val="00766C0D"/>
    <w:rsid w:val="007670CE"/>
    <w:rsid w:val="007674DE"/>
    <w:rsid w:val="007676ED"/>
    <w:rsid w:val="007679BF"/>
    <w:rsid w:val="00767AB5"/>
    <w:rsid w:val="00767EA2"/>
    <w:rsid w:val="007705C1"/>
    <w:rsid w:val="007705FD"/>
    <w:rsid w:val="00770830"/>
    <w:rsid w:val="00770EAF"/>
    <w:rsid w:val="007711E7"/>
    <w:rsid w:val="00771E97"/>
    <w:rsid w:val="0077276E"/>
    <w:rsid w:val="00772EE7"/>
    <w:rsid w:val="0077559A"/>
    <w:rsid w:val="00775CD1"/>
    <w:rsid w:val="00776A1B"/>
    <w:rsid w:val="0078015D"/>
    <w:rsid w:val="00780B8F"/>
    <w:rsid w:val="00781160"/>
    <w:rsid w:val="00781AA0"/>
    <w:rsid w:val="007826D1"/>
    <w:rsid w:val="007827A3"/>
    <w:rsid w:val="00782EE3"/>
    <w:rsid w:val="00783881"/>
    <w:rsid w:val="00783DA7"/>
    <w:rsid w:val="00784477"/>
    <w:rsid w:val="0078506A"/>
    <w:rsid w:val="00785132"/>
    <w:rsid w:val="00785E60"/>
    <w:rsid w:val="00785F3E"/>
    <w:rsid w:val="007864CA"/>
    <w:rsid w:val="00787028"/>
    <w:rsid w:val="0078788E"/>
    <w:rsid w:val="00787CDE"/>
    <w:rsid w:val="00791DA9"/>
    <w:rsid w:val="007941D8"/>
    <w:rsid w:val="00795EC6"/>
    <w:rsid w:val="007969A4"/>
    <w:rsid w:val="00797715"/>
    <w:rsid w:val="00797C89"/>
    <w:rsid w:val="007A0406"/>
    <w:rsid w:val="007A1067"/>
    <w:rsid w:val="007A1D61"/>
    <w:rsid w:val="007A1E2E"/>
    <w:rsid w:val="007A212A"/>
    <w:rsid w:val="007A40CB"/>
    <w:rsid w:val="007A49AC"/>
    <w:rsid w:val="007A4CFD"/>
    <w:rsid w:val="007A5D3F"/>
    <w:rsid w:val="007A6537"/>
    <w:rsid w:val="007B0068"/>
    <w:rsid w:val="007B025E"/>
    <w:rsid w:val="007B0AC3"/>
    <w:rsid w:val="007B16A3"/>
    <w:rsid w:val="007B22C7"/>
    <w:rsid w:val="007B2300"/>
    <w:rsid w:val="007B4F0B"/>
    <w:rsid w:val="007B4FD3"/>
    <w:rsid w:val="007B5523"/>
    <w:rsid w:val="007B5E16"/>
    <w:rsid w:val="007C099C"/>
    <w:rsid w:val="007C10D9"/>
    <w:rsid w:val="007C224A"/>
    <w:rsid w:val="007C3317"/>
    <w:rsid w:val="007C3B71"/>
    <w:rsid w:val="007C4C33"/>
    <w:rsid w:val="007C5DF2"/>
    <w:rsid w:val="007C6071"/>
    <w:rsid w:val="007C6E66"/>
    <w:rsid w:val="007C795D"/>
    <w:rsid w:val="007D127B"/>
    <w:rsid w:val="007D143F"/>
    <w:rsid w:val="007D1696"/>
    <w:rsid w:val="007D183F"/>
    <w:rsid w:val="007D2AEF"/>
    <w:rsid w:val="007D2CE6"/>
    <w:rsid w:val="007D41F2"/>
    <w:rsid w:val="007D4FF8"/>
    <w:rsid w:val="007D63B3"/>
    <w:rsid w:val="007D6456"/>
    <w:rsid w:val="007D682C"/>
    <w:rsid w:val="007D7D73"/>
    <w:rsid w:val="007E16E5"/>
    <w:rsid w:val="007E18BB"/>
    <w:rsid w:val="007E2B33"/>
    <w:rsid w:val="007E33D4"/>
    <w:rsid w:val="007E39E6"/>
    <w:rsid w:val="007E3DCF"/>
    <w:rsid w:val="007E475F"/>
    <w:rsid w:val="007E6F35"/>
    <w:rsid w:val="007E7340"/>
    <w:rsid w:val="007F0442"/>
    <w:rsid w:val="007F0EF4"/>
    <w:rsid w:val="007F360A"/>
    <w:rsid w:val="007F3B25"/>
    <w:rsid w:val="007F514E"/>
    <w:rsid w:val="007F5225"/>
    <w:rsid w:val="007F5488"/>
    <w:rsid w:val="007F54C6"/>
    <w:rsid w:val="007F6D99"/>
    <w:rsid w:val="007F7831"/>
    <w:rsid w:val="007F7A60"/>
    <w:rsid w:val="007F7DC5"/>
    <w:rsid w:val="008004DF"/>
    <w:rsid w:val="008015A0"/>
    <w:rsid w:val="00802421"/>
    <w:rsid w:val="008024B2"/>
    <w:rsid w:val="00802FF0"/>
    <w:rsid w:val="00804F18"/>
    <w:rsid w:val="00805255"/>
    <w:rsid w:val="00806C14"/>
    <w:rsid w:val="00806F1D"/>
    <w:rsid w:val="00807F72"/>
    <w:rsid w:val="00810663"/>
    <w:rsid w:val="00810D53"/>
    <w:rsid w:val="00810F87"/>
    <w:rsid w:val="0081176B"/>
    <w:rsid w:val="00812582"/>
    <w:rsid w:val="008136B4"/>
    <w:rsid w:val="00816B32"/>
    <w:rsid w:val="00816F2D"/>
    <w:rsid w:val="00820E23"/>
    <w:rsid w:val="0082105B"/>
    <w:rsid w:val="008225A6"/>
    <w:rsid w:val="0082305C"/>
    <w:rsid w:val="008248E0"/>
    <w:rsid w:val="00830F86"/>
    <w:rsid w:val="00831053"/>
    <w:rsid w:val="00831A5A"/>
    <w:rsid w:val="0083278B"/>
    <w:rsid w:val="0083285E"/>
    <w:rsid w:val="00833ACC"/>
    <w:rsid w:val="00833F8E"/>
    <w:rsid w:val="008343BD"/>
    <w:rsid w:val="0083444D"/>
    <w:rsid w:val="0083554B"/>
    <w:rsid w:val="00835B6A"/>
    <w:rsid w:val="00836845"/>
    <w:rsid w:val="0083794B"/>
    <w:rsid w:val="00841322"/>
    <w:rsid w:val="008420D9"/>
    <w:rsid w:val="008427C5"/>
    <w:rsid w:val="00842A5C"/>
    <w:rsid w:val="00842D24"/>
    <w:rsid w:val="00844689"/>
    <w:rsid w:val="008449BB"/>
    <w:rsid w:val="00845545"/>
    <w:rsid w:val="008458AF"/>
    <w:rsid w:val="00846A7D"/>
    <w:rsid w:val="008501ED"/>
    <w:rsid w:val="008503E1"/>
    <w:rsid w:val="00850C75"/>
    <w:rsid w:val="00851D10"/>
    <w:rsid w:val="00853AB5"/>
    <w:rsid w:val="00854E5A"/>
    <w:rsid w:val="0085520E"/>
    <w:rsid w:val="00855A44"/>
    <w:rsid w:val="00855D5F"/>
    <w:rsid w:val="008561CE"/>
    <w:rsid w:val="00856854"/>
    <w:rsid w:val="0085692D"/>
    <w:rsid w:val="00856E42"/>
    <w:rsid w:val="0086119A"/>
    <w:rsid w:val="00866027"/>
    <w:rsid w:val="008661DA"/>
    <w:rsid w:val="0086634C"/>
    <w:rsid w:val="00867A16"/>
    <w:rsid w:val="00867C6A"/>
    <w:rsid w:val="00867EDC"/>
    <w:rsid w:val="00870531"/>
    <w:rsid w:val="008710CA"/>
    <w:rsid w:val="00871877"/>
    <w:rsid w:val="00871CAF"/>
    <w:rsid w:val="008726CA"/>
    <w:rsid w:val="0087315C"/>
    <w:rsid w:val="00873459"/>
    <w:rsid w:val="008737EA"/>
    <w:rsid w:val="00873855"/>
    <w:rsid w:val="00873BC6"/>
    <w:rsid w:val="0087411F"/>
    <w:rsid w:val="008744A5"/>
    <w:rsid w:val="008745D3"/>
    <w:rsid w:val="0087489F"/>
    <w:rsid w:val="00874F0C"/>
    <w:rsid w:val="00875044"/>
    <w:rsid w:val="008751EA"/>
    <w:rsid w:val="00875C7F"/>
    <w:rsid w:val="00880883"/>
    <w:rsid w:val="00880C00"/>
    <w:rsid w:val="008815DE"/>
    <w:rsid w:val="0088172D"/>
    <w:rsid w:val="008824B3"/>
    <w:rsid w:val="008824DB"/>
    <w:rsid w:val="00882B26"/>
    <w:rsid w:val="00883DBB"/>
    <w:rsid w:val="00884B2C"/>
    <w:rsid w:val="00884FEB"/>
    <w:rsid w:val="00885185"/>
    <w:rsid w:val="00885309"/>
    <w:rsid w:val="0088630E"/>
    <w:rsid w:val="00887637"/>
    <w:rsid w:val="00887A83"/>
    <w:rsid w:val="0089010B"/>
    <w:rsid w:val="00890589"/>
    <w:rsid w:val="00893133"/>
    <w:rsid w:val="008932B5"/>
    <w:rsid w:val="00894221"/>
    <w:rsid w:val="00894CE9"/>
    <w:rsid w:val="008968A4"/>
    <w:rsid w:val="00897034"/>
    <w:rsid w:val="00897812"/>
    <w:rsid w:val="008A0F2E"/>
    <w:rsid w:val="008A1195"/>
    <w:rsid w:val="008A13FD"/>
    <w:rsid w:val="008A1A1E"/>
    <w:rsid w:val="008A1C51"/>
    <w:rsid w:val="008A301C"/>
    <w:rsid w:val="008A3152"/>
    <w:rsid w:val="008A49E8"/>
    <w:rsid w:val="008A4E68"/>
    <w:rsid w:val="008A509C"/>
    <w:rsid w:val="008A5DBC"/>
    <w:rsid w:val="008A61B3"/>
    <w:rsid w:val="008A72E9"/>
    <w:rsid w:val="008A7A5D"/>
    <w:rsid w:val="008B0571"/>
    <w:rsid w:val="008B1A0F"/>
    <w:rsid w:val="008B2119"/>
    <w:rsid w:val="008B2F5E"/>
    <w:rsid w:val="008B37B1"/>
    <w:rsid w:val="008B6066"/>
    <w:rsid w:val="008B695F"/>
    <w:rsid w:val="008B7267"/>
    <w:rsid w:val="008B73EE"/>
    <w:rsid w:val="008C017D"/>
    <w:rsid w:val="008C09FE"/>
    <w:rsid w:val="008C0FD4"/>
    <w:rsid w:val="008C122C"/>
    <w:rsid w:val="008C19BD"/>
    <w:rsid w:val="008C1E88"/>
    <w:rsid w:val="008C2DC4"/>
    <w:rsid w:val="008C4736"/>
    <w:rsid w:val="008C5233"/>
    <w:rsid w:val="008C5F07"/>
    <w:rsid w:val="008C624D"/>
    <w:rsid w:val="008C6A9B"/>
    <w:rsid w:val="008C6E0B"/>
    <w:rsid w:val="008D2210"/>
    <w:rsid w:val="008D274F"/>
    <w:rsid w:val="008D30F0"/>
    <w:rsid w:val="008D4535"/>
    <w:rsid w:val="008D53B8"/>
    <w:rsid w:val="008D6256"/>
    <w:rsid w:val="008D6581"/>
    <w:rsid w:val="008D6A41"/>
    <w:rsid w:val="008D7D83"/>
    <w:rsid w:val="008E0E86"/>
    <w:rsid w:val="008E0F08"/>
    <w:rsid w:val="008E10EF"/>
    <w:rsid w:val="008E20BD"/>
    <w:rsid w:val="008E31D8"/>
    <w:rsid w:val="008E3CA9"/>
    <w:rsid w:val="008E420D"/>
    <w:rsid w:val="008E4344"/>
    <w:rsid w:val="008E47D2"/>
    <w:rsid w:val="008E4AE9"/>
    <w:rsid w:val="008E501F"/>
    <w:rsid w:val="008E5ADB"/>
    <w:rsid w:val="008E61F1"/>
    <w:rsid w:val="008E638A"/>
    <w:rsid w:val="008E662A"/>
    <w:rsid w:val="008E6E73"/>
    <w:rsid w:val="008F14C3"/>
    <w:rsid w:val="008F1D51"/>
    <w:rsid w:val="008F1F48"/>
    <w:rsid w:val="008F2D4E"/>
    <w:rsid w:val="008F2F4D"/>
    <w:rsid w:val="008F42E6"/>
    <w:rsid w:val="008F50DF"/>
    <w:rsid w:val="008F54B0"/>
    <w:rsid w:val="008F5BFE"/>
    <w:rsid w:val="00900C1D"/>
    <w:rsid w:val="009013D1"/>
    <w:rsid w:val="00901501"/>
    <w:rsid w:val="0090259E"/>
    <w:rsid w:val="00902941"/>
    <w:rsid w:val="00902E77"/>
    <w:rsid w:val="00902EFC"/>
    <w:rsid w:val="00904685"/>
    <w:rsid w:val="0090537F"/>
    <w:rsid w:val="00905EA9"/>
    <w:rsid w:val="009068C9"/>
    <w:rsid w:val="00907115"/>
    <w:rsid w:val="00907513"/>
    <w:rsid w:val="0090784E"/>
    <w:rsid w:val="00910210"/>
    <w:rsid w:val="009118EE"/>
    <w:rsid w:val="00912B8D"/>
    <w:rsid w:val="00912DF5"/>
    <w:rsid w:val="0091347F"/>
    <w:rsid w:val="00913681"/>
    <w:rsid w:val="00913BC8"/>
    <w:rsid w:val="00920491"/>
    <w:rsid w:val="0092291C"/>
    <w:rsid w:val="009237BC"/>
    <w:rsid w:val="009247A0"/>
    <w:rsid w:val="00924EEF"/>
    <w:rsid w:val="00924FE7"/>
    <w:rsid w:val="009270FE"/>
    <w:rsid w:val="00927A7A"/>
    <w:rsid w:val="00927A8B"/>
    <w:rsid w:val="0093055F"/>
    <w:rsid w:val="009308DB"/>
    <w:rsid w:val="00931528"/>
    <w:rsid w:val="009339C1"/>
    <w:rsid w:val="0093427F"/>
    <w:rsid w:val="00934BDB"/>
    <w:rsid w:val="00934F04"/>
    <w:rsid w:val="00936395"/>
    <w:rsid w:val="00936BB3"/>
    <w:rsid w:val="00936DD1"/>
    <w:rsid w:val="00937126"/>
    <w:rsid w:val="009371BA"/>
    <w:rsid w:val="0094162B"/>
    <w:rsid w:val="00941843"/>
    <w:rsid w:val="00942368"/>
    <w:rsid w:val="009433BC"/>
    <w:rsid w:val="00944530"/>
    <w:rsid w:val="0094667C"/>
    <w:rsid w:val="00947028"/>
    <w:rsid w:val="00947A01"/>
    <w:rsid w:val="00947AE8"/>
    <w:rsid w:val="00950950"/>
    <w:rsid w:val="00954485"/>
    <w:rsid w:val="009558C4"/>
    <w:rsid w:val="00955AA6"/>
    <w:rsid w:val="00955C81"/>
    <w:rsid w:val="00955F25"/>
    <w:rsid w:val="00956D80"/>
    <w:rsid w:val="00960886"/>
    <w:rsid w:val="00960B47"/>
    <w:rsid w:val="00960EBC"/>
    <w:rsid w:val="00961CBF"/>
    <w:rsid w:val="00962025"/>
    <w:rsid w:val="00962059"/>
    <w:rsid w:val="0096378F"/>
    <w:rsid w:val="00964E1D"/>
    <w:rsid w:val="00965272"/>
    <w:rsid w:val="00965D27"/>
    <w:rsid w:val="00966663"/>
    <w:rsid w:val="00967868"/>
    <w:rsid w:val="00967FAE"/>
    <w:rsid w:val="00971906"/>
    <w:rsid w:val="00971A2C"/>
    <w:rsid w:val="009720F9"/>
    <w:rsid w:val="00972A1C"/>
    <w:rsid w:val="00972CE2"/>
    <w:rsid w:val="00973707"/>
    <w:rsid w:val="00973B8E"/>
    <w:rsid w:val="00974150"/>
    <w:rsid w:val="009744C1"/>
    <w:rsid w:val="00974E3F"/>
    <w:rsid w:val="00975018"/>
    <w:rsid w:val="00975CA2"/>
    <w:rsid w:val="00975F7F"/>
    <w:rsid w:val="009769DE"/>
    <w:rsid w:val="00981540"/>
    <w:rsid w:val="0098182F"/>
    <w:rsid w:val="0098245F"/>
    <w:rsid w:val="00982A9F"/>
    <w:rsid w:val="00983FAC"/>
    <w:rsid w:val="00984522"/>
    <w:rsid w:val="00984A5C"/>
    <w:rsid w:val="00985397"/>
    <w:rsid w:val="00986CC0"/>
    <w:rsid w:val="00986FA9"/>
    <w:rsid w:val="0098778D"/>
    <w:rsid w:val="00987F68"/>
    <w:rsid w:val="00991C37"/>
    <w:rsid w:val="00991D59"/>
    <w:rsid w:val="009921F0"/>
    <w:rsid w:val="0099270E"/>
    <w:rsid w:val="00995A7F"/>
    <w:rsid w:val="00995B12"/>
    <w:rsid w:val="0099694B"/>
    <w:rsid w:val="0099697D"/>
    <w:rsid w:val="00997A59"/>
    <w:rsid w:val="00997D96"/>
    <w:rsid w:val="009A1317"/>
    <w:rsid w:val="009A1A9B"/>
    <w:rsid w:val="009A1D5B"/>
    <w:rsid w:val="009A208E"/>
    <w:rsid w:val="009A2864"/>
    <w:rsid w:val="009A2ACF"/>
    <w:rsid w:val="009A2E43"/>
    <w:rsid w:val="009A3874"/>
    <w:rsid w:val="009A39ED"/>
    <w:rsid w:val="009A455A"/>
    <w:rsid w:val="009A47E2"/>
    <w:rsid w:val="009A4B3E"/>
    <w:rsid w:val="009A4CD1"/>
    <w:rsid w:val="009A6E08"/>
    <w:rsid w:val="009A7A38"/>
    <w:rsid w:val="009B0274"/>
    <w:rsid w:val="009B0942"/>
    <w:rsid w:val="009B09F5"/>
    <w:rsid w:val="009B0E38"/>
    <w:rsid w:val="009B355E"/>
    <w:rsid w:val="009B511B"/>
    <w:rsid w:val="009B526D"/>
    <w:rsid w:val="009B591B"/>
    <w:rsid w:val="009B6CE4"/>
    <w:rsid w:val="009B72BC"/>
    <w:rsid w:val="009C001E"/>
    <w:rsid w:val="009C083D"/>
    <w:rsid w:val="009C0B11"/>
    <w:rsid w:val="009C1330"/>
    <w:rsid w:val="009C2A5E"/>
    <w:rsid w:val="009C2C58"/>
    <w:rsid w:val="009C33B1"/>
    <w:rsid w:val="009C3801"/>
    <w:rsid w:val="009C3D16"/>
    <w:rsid w:val="009C3DD6"/>
    <w:rsid w:val="009C4291"/>
    <w:rsid w:val="009C44E7"/>
    <w:rsid w:val="009C4702"/>
    <w:rsid w:val="009C5582"/>
    <w:rsid w:val="009C7899"/>
    <w:rsid w:val="009C7D6A"/>
    <w:rsid w:val="009D2B1C"/>
    <w:rsid w:val="009D3244"/>
    <w:rsid w:val="009D50E7"/>
    <w:rsid w:val="009D5501"/>
    <w:rsid w:val="009D5D1A"/>
    <w:rsid w:val="009D5D7B"/>
    <w:rsid w:val="009D5DA0"/>
    <w:rsid w:val="009D6EDB"/>
    <w:rsid w:val="009D6FD5"/>
    <w:rsid w:val="009D7A03"/>
    <w:rsid w:val="009D7A90"/>
    <w:rsid w:val="009E189F"/>
    <w:rsid w:val="009E283E"/>
    <w:rsid w:val="009E2BBD"/>
    <w:rsid w:val="009E439F"/>
    <w:rsid w:val="009E4FA0"/>
    <w:rsid w:val="009E5168"/>
    <w:rsid w:val="009E563E"/>
    <w:rsid w:val="009E567D"/>
    <w:rsid w:val="009E5DCC"/>
    <w:rsid w:val="009E655E"/>
    <w:rsid w:val="009E718A"/>
    <w:rsid w:val="009E7D4D"/>
    <w:rsid w:val="009F0569"/>
    <w:rsid w:val="009F1084"/>
    <w:rsid w:val="009F2B54"/>
    <w:rsid w:val="009F3AD0"/>
    <w:rsid w:val="009F43AC"/>
    <w:rsid w:val="009F5250"/>
    <w:rsid w:val="009F5262"/>
    <w:rsid w:val="009F5A0F"/>
    <w:rsid w:val="009F6790"/>
    <w:rsid w:val="009F78B4"/>
    <w:rsid w:val="009F7C08"/>
    <w:rsid w:val="009F7D90"/>
    <w:rsid w:val="00A01044"/>
    <w:rsid w:val="00A0108C"/>
    <w:rsid w:val="00A0123A"/>
    <w:rsid w:val="00A01653"/>
    <w:rsid w:val="00A01C72"/>
    <w:rsid w:val="00A01D02"/>
    <w:rsid w:val="00A02850"/>
    <w:rsid w:val="00A0358A"/>
    <w:rsid w:val="00A03C89"/>
    <w:rsid w:val="00A03DC9"/>
    <w:rsid w:val="00A045D1"/>
    <w:rsid w:val="00A0483F"/>
    <w:rsid w:val="00A04CFA"/>
    <w:rsid w:val="00A0527F"/>
    <w:rsid w:val="00A06840"/>
    <w:rsid w:val="00A07C7E"/>
    <w:rsid w:val="00A10395"/>
    <w:rsid w:val="00A10C90"/>
    <w:rsid w:val="00A11445"/>
    <w:rsid w:val="00A12B66"/>
    <w:rsid w:val="00A136CD"/>
    <w:rsid w:val="00A1438B"/>
    <w:rsid w:val="00A1449E"/>
    <w:rsid w:val="00A17C9B"/>
    <w:rsid w:val="00A20C64"/>
    <w:rsid w:val="00A22DB7"/>
    <w:rsid w:val="00A231C1"/>
    <w:rsid w:val="00A232F8"/>
    <w:rsid w:val="00A241AB"/>
    <w:rsid w:val="00A24751"/>
    <w:rsid w:val="00A248E2"/>
    <w:rsid w:val="00A26662"/>
    <w:rsid w:val="00A2674E"/>
    <w:rsid w:val="00A26E3F"/>
    <w:rsid w:val="00A27C27"/>
    <w:rsid w:val="00A31125"/>
    <w:rsid w:val="00A320B1"/>
    <w:rsid w:val="00A325F5"/>
    <w:rsid w:val="00A335B4"/>
    <w:rsid w:val="00A33695"/>
    <w:rsid w:val="00A33C55"/>
    <w:rsid w:val="00A34026"/>
    <w:rsid w:val="00A369B8"/>
    <w:rsid w:val="00A402A8"/>
    <w:rsid w:val="00A4281F"/>
    <w:rsid w:val="00A4309F"/>
    <w:rsid w:val="00A4319E"/>
    <w:rsid w:val="00A452E1"/>
    <w:rsid w:val="00A45607"/>
    <w:rsid w:val="00A47334"/>
    <w:rsid w:val="00A50EB7"/>
    <w:rsid w:val="00A514FC"/>
    <w:rsid w:val="00A51AA9"/>
    <w:rsid w:val="00A5221E"/>
    <w:rsid w:val="00A52E52"/>
    <w:rsid w:val="00A53C11"/>
    <w:rsid w:val="00A56FEC"/>
    <w:rsid w:val="00A57558"/>
    <w:rsid w:val="00A60195"/>
    <w:rsid w:val="00A612E2"/>
    <w:rsid w:val="00A63011"/>
    <w:rsid w:val="00A6394C"/>
    <w:rsid w:val="00A64421"/>
    <w:rsid w:val="00A65357"/>
    <w:rsid w:val="00A6683C"/>
    <w:rsid w:val="00A66EC6"/>
    <w:rsid w:val="00A6706B"/>
    <w:rsid w:val="00A675D9"/>
    <w:rsid w:val="00A70159"/>
    <w:rsid w:val="00A70245"/>
    <w:rsid w:val="00A70C88"/>
    <w:rsid w:val="00A70DFB"/>
    <w:rsid w:val="00A72DF3"/>
    <w:rsid w:val="00A73282"/>
    <w:rsid w:val="00A7376F"/>
    <w:rsid w:val="00A74006"/>
    <w:rsid w:val="00A74B40"/>
    <w:rsid w:val="00A74D8D"/>
    <w:rsid w:val="00A76381"/>
    <w:rsid w:val="00A772B4"/>
    <w:rsid w:val="00A774C1"/>
    <w:rsid w:val="00A77540"/>
    <w:rsid w:val="00A801A9"/>
    <w:rsid w:val="00A80A02"/>
    <w:rsid w:val="00A80C2E"/>
    <w:rsid w:val="00A827D8"/>
    <w:rsid w:val="00A82A25"/>
    <w:rsid w:val="00A82B62"/>
    <w:rsid w:val="00A840BE"/>
    <w:rsid w:val="00A840D5"/>
    <w:rsid w:val="00A855F0"/>
    <w:rsid w:val="00A85CE0"/>
    <w:rsid w:val="00A85E91"/>
    <w:rsid w:val="00A86139"/>
    <w:rsid w:val="00A86EB4"/>
    <w:rsid w:val="00A90154"/>
    <w:rsid w:val="00A903BA"/>
    <w:rsid w:val="00A90BDF"/>
    <w:rsid w:val="00A92639"/>
    <w:rsid w:val="00A92A59"/>
    <w:rsid w:val="00A92CFF"/>
    <w:rsid w:val="00A94FBC"/>
    <w:rsid w:val="00A9559C"/>
    <w:rsid w:val="00A95FD0"/>
    <w:rsid w:val="00AA02BE"/>
    <w:rsid w:val="00AA0466"/>
    <w:rsid w:val="00AA1B66"/>
    <w:rsid w:val="00AA3189"/>
    <w:rsid w:val="00AA47CC"/>
    <w:rsid w:val="00AA629F"/>
    <w:rsid w:val="00AA6A66"/>
    <w:rsid w:val="00AA71A4"/>
    <w:rsid w:val="00AA7658"/>
    <w:rsid w:val="00AB01A1"/>
    <w:rsid w:val="00AB0412"/>
    <w:rsid w:val="00AB1C4B"/>
    <w:rsid w:val="00AB2C97"/>
    <w:rsid w:val="00AB2F46"/>
    <w:rsid w:val="00AB393F"/>
    <w:rsid w:val="00AB3FE1"/>
    <w:rsid w:val="00AB4E51"/>
    <w:rsid w:val="00AB63E5"/>
    <w:rsid w:val="00AB67AA"/>
    <w:rsid w:val="00AB6AB2"/>
    <w:rsid w:val="00AB7B8D"/>
    <w:rsid w:val="00AB7EF6"/>
    <w:rsid w:val="00AC06B8"/>
    <w:rsid w:val="00AC0C9F"/>
    <w:rsid w:val="00AC0F2C"/>
    <w:rsid w:val="00AC14E2"/>
    <w:rsid w:val="00AC3054"/>
    <w:rsid w:val="00AC4299"/>
    <w:rsid w:val="00AC4E3A"/>
    <w:rsid w:val="00AC5975"/>
    <w:rsid w:val="00AC5D72"/>
    <w:rsid w:val="00AC5F45"/>
    <w:rsid w:val="00AC6255"/>
    <w:rsid w:val="00AC62BD"/>
    <w:rsid w:val="00AC654C"/>
    <w:rsid w:val="00AC6570"/>
    <w:rsid w:val="00AC6EB9"/>
    <w:rsid w:val="00AC7107"/>
    <w:rsid w:val="00AC758B"/>
    <w:rsid w:val="00AD061B"/>
    <w:rsid w:val="00AD0C6F"/>
    <w:rsid w:val="00AD1A08"/>
    <w:rsid w:val="00AD1A17"/>
    <w:rsid w:val="00AD2DA9"/>
    <w:rsid w:val="00AD3F9D"/>
    <w:rsid w:val="00AD4571"/>
    <w:rsid w:val="00AD4B38"/>
    <w:rsid w:val="00AD4D15"/>
    <w:rsid w:val="00AD6FA4"/>
    <w:rsid w:val="00AD70F1"/>
    <w:rsid w:val="00AE0C1B"/>
    <w:rsid w:val="00AE1CD7"/>
    <w:rsid w:val="00AE3D79"/>
    <w:rsid w:val="00AE4EBA"/>
    <w:rsid w:val="00AE7CD3"/>
    <w:rsid w:val="00AF003B"/>
    <w:rsid w:val="00AF07E2"/>
    <w:rsid w:val="00AF0CC9"/>
    <w:rsid w:val="00AF1037"/>
    <w:rsid w:val="00AF17C8"/>
    <w:rsid w:val="00AF19A1"/>
    <w:rsid w:val="00AF1E50"/>
    <w:rsid w:val="00AF1F57"/>
    <w:rsid w:val="00AF2396"/>
    <w:rsid w:val="00AF3C10"/>
    <w:rsid w:val="00AF3D7A"/>
    <w:rsid w:val="00AF4ED2"/>
    <w:rsid w:val="00AF51F7"/>
    <w:rsid w:val="00AF62BC"/>
    <w:rsid w:val="00AF672F"/>
    <w:rsid w:val="00AF7902"/>
    <w:rsid w:val="00AF7FA5"/>
    <w:rsid w:val="00B006E9"/>
    <w:rsid w:val="00B01163"/>
    <w:rsid w:val="00B012C5"/>
    <w:rsid w:val="00B024AD"/>
    <w:rsid w:val="00B03D47"/>
    <w:rsid w:val="00B04161"/>
    <w:rsid w:val="00B048F1"/>
    <w:rsid w:val="00B049B4"/>
    <w:rsid w:val="00B04D23"/>
    <w:rsid w:val="00B057CA"/>
    <w:rsid w:val="00B06699"/>
    <w:rsid w:val="00B06D10"/>
    <w:rsid w:val="00B07414"/>
    <w:rsid w:val="00B11263"/>
    <w:rsid w:val="00B1149D"/>
    <w:rsid w:val="00B11505"/>
    <w:rsid w:val="00B11D0D"/>
    <w:rsid w:val="00B12EA6"/>
    <w:rsid w:val="00B14540"/>
    <w:rsid w:val="00B145A2"/>
    <w:rsid w:val="00B15280"/>
    <w:rsid w:val="00B15DB6"/>
    <w:rsid w:val="00B169DB"/>
    <w:rsid w:val="00B17100"/>
    <w:rsid w:val="00B171C0"/>
    <w:rsid w:val="00B17999"/>
    <w:rsid w:val="00B20E5D"/>
    <w:rsid w:val="00B21DE2"/>
    <w:rsid w:val="00B21E50"/>
    <w:rsid w:val="00B22110"/>
    <w:rsid w:val="00B221EC"/>
    <w:rsid w:val="00B22DA1"/>
    <w:rsid w:val="00B23005"/>
    <w:rsid w:val="00B24942"/>
    <w:rsid w:val="00B24B16"/>
    <w:rsid w:val="00B24D96"/>
    <w:rsid w:val="00B24EDD"/>
    <w:rsid w:val="00B253EA"/>
    <w:rsid w:val="00B26927"/>
    <w:rsid w:val="00B30046"/>
    <w:rsid w:val="00B31D8A"/>
    <w:rsid w:val="00B32366"/>
    <w:rsid w:val="00B32AFB"/>
    <w:rsid w:val="00B33C46"/>
    <w:rsid w:val="00B34605"/>
    <w:rsid w:val="00B34B0B"/>
    <w:rsid w:val="00B34B77"/>
    <w:rsid w:val="00B34DD6"/>
    <w:rsid w:val="00B35F80"/>
    <w:rsid w:val="00B36BA6"/>
    <w:rsid w:val="00B36EAA"/>
    <w:rsid w:val="00B37815"/>
    <w:rsid w:val="00B40AC1"/>
    <w:rsid w:val="00B4177D"/>
    <w:rsid w:val="00B431BD"/>
    <w:rsid w:val="00B439B1"/>
    <w:rsid w:val="00B43C2A"/>
    <w:rsid w:val="00B4423C"/>
    <w:rsid w:val="00B442BD"/>
    <w:rsid w:val="00B44EEC"/>
    <w:rsid w:val="00B4512A"/>
    <w:rsid w:val="00B45720"/>
    <w:rsid w:val="00B4591B"/>
    <w:rsid w:val="00B46B93"/>
    <w:rsid w:val="00B47F0C"/>
    <w:rsid w:val="00B50194"/>
    <w:rsid w:val="00B51127"/>
    <w:rsid w:val="00B51CC6"/>
    <w:rsid w:val="00B51EFF"/>
    <w:rsid w:val="00B51F42"/>
    <w:rsid w:val="00B522A4"/>
    <w:rsid w:val="00B52872"/>
    <w:rsid w:val="00B53030"/>
    <w:rsid w:val="00B53939"/>
    <w:rsid w:val="00B542AB"/>
    <w:rsid w:val="00B55EB1"/>
    <w:rsid w:val="00B62635"/>
    <w:rsid w:val="00B62F3B"/>
    <w:rsid w:val="00B70274"/>
    <w:rsid w:val="00B71DAC"/>
    <w:rsid w:val="00B7260A"/>
    <w:rsid w:val="00B72E87"/>
    <w:rsid w:val="00B730C7"/>
    <w:rsid w:val="00B7350E"/>
    <w:rsid w:val="00B73E12"/>
    <w:rsid w:val="00B74792"/>
    <w:rsid w:val="00B74827"/>
    <w:rsid w:val="00B759BA"/>
    <w:rsid w:val="00B77345"/>
    <w:rsid w:val="00B775C4"/>
    <w:rsid w:val="00B811B0"/>
    <w:rsid w:val="00B816A3"/>
    <w:rsid w:val="00B8194C"/>
    <w:rsid w:val="00B822A4"/>
    <w:rsid w:val="00B826B4"/>
    <w:rsid w:val="00B827DB"/>
    <w:rsid w:val="00B83833"/>
    <w:rsid w:val="00B83834"/>
    <w:rsid w:val="00B83F8E"/>
    <w:rsid w:val="00B846EC"/>
    <w:rsid w:val="00B8560C"/>
    <w:rsid w:val="00B8575F"/>
    <w:rsid w:val="00B86114"/>
    <w:rsid w:val="00B863DF"/>
    <w:rsid w:val="00B86CA9"/>
    <w:rsid w:val="00B86D4F"/>
    <w:rsid w:val="00B87C80"/>
    <w:rsid w:val="00B90E57"/>
    <w:rsid w:val="00B90F63"/>
    <w:rsid w:val="00B91440"/>
    <w:rsid w:val="00B920FD"/>
    <w:rsid w:val="00B92B5E"/>
    <w:rsid w:val="00B93FA1"/>
    <w:rsid w:val="00B94302"/>
    <w:rsid w:val="00B94993"/>
    <w:rsid w:val="00B95468"/>
    <w:rsid w:val="00B96FBD"/>
    <w:rsid w:val="00B976CF"/>
    <w:rsid w:val="00B97F1B"/>
    <w:rsid w:val="00BA0077"/>
    <w:rsid w:val="00BA1C6C"/>
    <w:rsid w:val="00BA2095"/>
    <w:rsid w:val="00BA24B5"/>
    <w:rsid w:val="00BA2863"/>
    <w:rsid w:val="00BA325A"/>
    <w:rsid w:val="00BA3D22"/>
    <w:rsid w:val="00BA4811"/>
    <w:rsid w:val="00BA58FE"/>
    <w:rsid w:val="00BA5C1F"/>
    <w:rsid w:val="00BA6384"/>
    <w:rsid w:val="00BA682D"/>
    <w:rsid w:val="00BA6E03"/>
    <w:rsid w:val="00BA7CE0"/>
    <w:rsid w:val="00BA7DE2"/>
    <w:rsid w:val="00BB169C"/>
    <w:rsid w:val="00BB3176"/>
    <w:rsid w:val="00BB3BE4"/>
    <w:rsid w:val="00BB3CBE"/>
    <w:rsid w:val="00BB50BB"/>
    <w:rsid w:val="00BB526F"/>
    <w:rsid w:val="00BB5B5D"/>
    <w:rsid w:val="00BB6397"/>
    <w:rsid w:val="00BB73C8"/>
    <w:rsid w:val="00BB7E19"/>
    <w:rsid w:val="00BC068F"/>
    <w:rsid w:val="00BC0A7F"/>
    <w:rsid w:val="00BC0D5A"/>
    <w:rsid w:val="00BC0F5B"/>
    <w:rsid w:val="00BC1121"/>
    <w:rsid w:val="00BC1220"/>
    <w:rsid w:val="00BC2C58"/>
    <w:rsid w:val="00BC39D0"/>
    <w:rsid w:val="00BC3F13"/>
    <w:rsid w:val="00BC3F58"/>
    <w:rsid w:val="00BC47BF"/>
    <w:rsid w:val="00BC4F1C"/>
    <w:rsid w:val="00BC61CD"/>
    <w:rsid w:val="00BC658A"/>
    <w:rsid w:val="00BC6F41"/>
    <w:rsid w:val="00BC793E"/>
    <w:rsid w:val="00BD1023"/>
    <w:rsid w:val="00BD1379"/>
    <w:rsid w:val="00BD191F"/>
    <w:rsid w:val="00BD2647"/>
    <w:rsid w:val="00BD36DE"/>
    <w:rsid w:val="00BD4614"/>
    <w:rsid w:val="00BD52C3"/>
    <w:rsid w:val="00BD5485"/>
    <w:rsid w:val="00BD661B"/>
    <w:rsid w:val="00BD687C"/>
    <w:rsid w:val="00BD75D1"/>
    <w:rsid w:val="00BE0183"/>
    <w:rsid w:val="00BE04C0"/>
    <w:rsid w:val="00BE0A45"/>
    <w:rsid w:val="00BE1233"/>
    <w:rsid w:val="00BE1311"/>
    <w:rsid w:val="00BE19C2"/>
    <w:rsid w:val="00BE2AE0"/>
    <w:rsid w:val="00BE358B"/>
    <w:rsid w:val="00BE3EAB"/>
    <w:rsid w:val="00BE4109"/>
    <w:rsid w:val="00BE447B"/>
    <w:rsid w:val="00BE4782"/>
    <w:rsid w:val="00BE47D8"/>
    <w:rsid w:val="00BE4FD9"/>
    <w:rsid w:val="00BE557E"/>
    <w:rsid w:val="00BE5CFB"/>
    <w:rsid w:val="00BE5D73"/>
    <w:rsid w:val="00BE6146"/>
    <w:rsid w:val="00BE64F7"/>
    <w:rsid w:val="00BE6DFE"/>
    <w:rsid w:val="00BE7A52"/>
    <w:rsid w:val="00BF124A"/>
    <w:rsid w:val="00BF2EEC"/>
    <w:rsid w:val="00BF4770"/>
    <w:rsid w:val="00BF4FD2"/>
    <w:rsid w:val="00BF540A"/>
    <w:rsid w:val="00BF62F9"/>
    <w:rsid w:val="00BF6EC1"/>
    <w:rsid w:val="00BF7257"/>
    <w:rsid w:val="00BF7EB4"/>
    <w:rsid w:val="00C017D1"/>
    <w:rsid w:val="00C018FD"/>
    <w:rsid w:val="00C029BC"/>
    <w:rsid w:val="00C02FF7"/>
    <w:rsid w:val="00C04D37"/>
    <w:rsid w:val="00C05556"/>
    <w:rsid w:val="00C056AC"/>
    <w:rsid w:val="00C05941"/>
    <w:rsid w:val="00C05D2A"/>
    <w:rsid w:val="00C0657C"/>
    <w:rsid w:val="00C074C4"/>
    <w:rsid w:val="00C07658"/>
    <w:rsid w:val="00C10CD4"/>
    <w:rsid w:val="00C11B8D"/>
    <w:rsid w:val="00C11CA5"/>
    <w:rsid w:val="00C12AE0"/>
    <w:rsid w:val="00C12B35"/>
    <w:rsid w:val="00C12C29"/>
    <w:rsid w:val="00C12FEB"/>
    <w:rsid w:val="00C13D76"/>
    <w:rsid w:val="00C140C6"/>
    <w:rsid w:val="00C144EF"/>
    <w:rsid w:val="00C1534E"/>
    <w:rsid w:val="00C15B90"/>
    <w:rsid w:val="00C211DC"/>
    <w:rsid w:val="00C2135F"/>
    <w:rsid w:val="00C23169"/>
    <w:rsid w:val="00C233C6"/>
    <w:rsid w:val="00C23D4E"/>
    <w:rsid w:val="00C25670"/>
    <w:rsid w:val="00C2636B"/>
    <w:rsid w:val="00C27119"/>
    <w:rsid w:val="00C271AC"/>
    <w:rsid w:val="00C277FB"/>
    <w:rsid w:val="00C27CEA"/>
    <w:rsid w:val="00C30639"/>
    <w:rsid w:val="00C306B3"/>
    <w:rsid w:val="00C306F6"/>
    <w:rsid w:val="00C3194E"/>
    <w:rsid w:val="00C31BBB"/>
    <w:rsid w:val="00C32813"/>
    <w:rsid w:val="00C345ED"/>
    <w:rsid w:val="00C34837"/>
    <w:rsid w:val="00C348B3"/>
    <w:rsid w:val="00C356C8"/>
    <w:rsid w:val="00C367B4"/>
    <w:rsid w:val="00C36B2D"/>
    <w:rsid w:val="00C37581"/>
    <w:rsid w:val="00C375F3"/>
    <w:rsid w:val="00C37615"/>
    <w:rsid w:val="00C37B29"/>
    <w:rsid w:val="00C37D71"/>
    <w:rsid w:val="00C40D60"/>
    <w:rsid w:val="00C414C9"/>
    <w:rsid w:val="00C43A7D"/>
    <w:rsid w:val="00C4425F"/>
    <w:rsid w:val="00C46DB1"/>
    <w:rsid w:val="00C4706F"/>
    <w:rsid w:val="00C47BD3"/>
    <w:rsid w:val="00C47ED5"/>
    <w:rsid w:val="00C504D3"/>
    <w:rsid w:val="00C533EB"/>
    <w:rsid w:val="00C53B22"/>
    <w:rsid w:val="00C542A9"/>
    <w:rsid w:val="00C54763"/>
    <w:rsid w:val="00C55649"/>
    <w:rsid w:val="00C55DCC"/>
    <w:rsid w:val="00C563A1"/>
    <w:rsid w:val="00C576F8"/>
    <w:rsid w:val="00C57F07"/>
    <w:rsid w:val="00C60A1B"/>
    <w:rsid w:val="00C61FF5"/>
    <w:rsid w:val="00C62CD3"/>
    <w:rsid w:val="00C635CF"/>
    <w:rsid w:val="00C635FD"/>
    <w:rsid w:val="00C64027"/>
    <w:rsid w:val="00C66473"/>
    <w:rsid w:val="00C67004"/>
    <w:rsid w:val="00C707EE"/>
    <w:rsid w:val="00C717C8"/>
    <w:rsid w:val="00C7187C"/>
    <w:rsid w:val="00C71AF2"/>
    <w:rsid w:val="00C71B86"/>
    <w:rsid w:val="00C71D62"/>
    <w:rsid w:val="00C723EA"/>
    <w:rsid w:val="00C725CB"/>
    <w:rsid w:val="00C731CE"/>
    <w:rsid w:val="00C74C49"/>
    <w:rsid w:val="00C76E4A"/>
    <w:rsid w:val="00C80731"/>
    <w:rsid w:val="00C80811"/>
    <w:rsid w:val="00C80C5A"/>
    <w:rsid w:val="00C814BF"/>
    <w:rsid w:val="00C82529"/>
    <w:rsid w:val="00C8279E"/>
    <w:rsid w:val="00C84BAF"/>
    <w:rsid w:val="00C84C64"/>
    <w:rsid w:val="00C8571F"/>
    <w:rsid w:val="00C8643E"/>
    <w:rsid w:val="00C86E5A"/>
    <w:rsid w:val="00C87CEE"/>
    <w:rsid w:val="00C9009E"/>
    <w:rsid w:val="00C90338"/>
    <w:rsid w:val="00C904F7"/>
    <w:rsid w:val="00C917B0"/>
    <w:rsid w:val="00C91ACB"/>
    <w:rsid w:val="00C91BDF"/>
    <w:rsid w:val="00C91DC9"/>
    <w:rsid w:val="00C9299D"/>
    <w:rsid w:val="00C93697"/>
    <w:rsid w:val="00C93FC2"/>
    <w:rsid w:val="00C941FF"/>
    <w:rsid w:val="00C94AFD"/>
    <w:rsid w:val="00C95414"/>
    <w:rsid w:val="00C95E48"/>
    <w:rsid w:val="00C960CE"/>
    <w:rsid w:val="00C96468"/>
    <w:rsid w:val="00C9673B"/>
    <w:rsid w:val="00C973FB"/>
    <w:rsid w:val="00CA024E"/>
    <w:rsid w:val="00CA04FD"/>
    <w:rsid w:val="00CA0C40"/>
    <w:rsid w:val="00CA126C"/>
    <w:rsid w:val="00CA13B9"/>
    <w:rsid w:val="00CA270D"/>
    <w:rsid w:val="00CA2E80"/>
    <w:rsid w:val="00CA2E92"/>
    <w:rsid w:val="00CA5793"/>
    <w:rsid w:val="00CA61EE"/>
    <w:rsid w:val="00CA6F54"/>
    <w:rsid w:val="00CA73FF"/>
    <w:rsid w:val="00CB1F27"/>
    <w:rsid w:val="00CB256D"/>
    <w:rsid w:val="00CB285B"/>
    <w:rsid w:val="00CB484B"/>
    <w:rsid w:val="00CB4E0C"/>
    <w:rsid w:val="00CB5059"/>
    <w:rsid w:val="00CB6C8D"/>
    <w:rsid w:val="00CB71A7"/>
    <w:rsid w:val="00CB7F46"/>
    <w:rsid w:val="00CC0D44"/>
    <w:rsid w:val="00CC2508"/>
    <w:rsid w:val="00CC26A6"/>
    <w:rsid w:val="00CC2F2F"/>
    <w:rsid w:val="00CC301F"/>
    <w:rsid w:val="00CC432E"/>
    <w:rsid w:val="00CC47A1"/>
    <w:rsid w:val="00CC4F4F"/>
    <w:rsid w:val="00CC4F94"/>
    <w:rsid w:val="00CC6811"/>
    <w:rsid w:val="00CC6FEE"/>
    <w:rsid w:val="00CC7195"/>
    <w:rsid w:val="00CC7A43"/>
    <w:rsid w:val="00CD1420"/>
    <w:rsid w:val="00CD1B30"/>
    <w:rsid w:val="00CD385E"/>
    <w:rsid w:val="00CD386D"/>
    <w:rsid w:val="00CD3F0E"/>
    <w:rsid w:val="00CD5154"/>
    <w:rsid w:val="00CD51BC"/>
    <w:rsid w:val="00CD58AA"/>
    <w:rsid w:val="00CD6306"/>
    <w:rsid w:val="00CD7887"/>
    <w:rsid w:val="00CD7AB6"/>
    <w:rsid w:val="00CD7D5B"/>
    <w:rsid w:val="00CD7ED8"/>
    <w:rsid w:val="00CE1093"/>
    <w:rsid w:val="00CE17EF"/>
    <w:rsid w:val="00CE2B78"/>
    <w:rsid w:val="00CE31F7"/>
    <w:rsid w:val="00CE44FE"/>
    <w:rsid w:val="00CE47AF"/>
    <w:rsid w:val="00CE4C49"/>
    <w:rsid w:val="00CE56D5"/>
    <w:rsid w:val="00CE5ACF"/>
    <w:rsid w:val="00CE68B9"/>
    <w:rsid w:val="00CE7347"/>
    <w:rsid w:val="00CE7F91"/>
    <w:rsid w:val="00CF0568"/>
    <w:rsid w:val="00CF28B3"/>
    <w:rsid w:val="00CF2D64"/>
    <w:rsid w:val="00CF40EE"/>
    <w:rsid w:val="00CF5466"/>
    <w:rsid w:val="00CF6C51"/>
    <w:rsid w:val="00CF6D85"/>
    <w:rsid w:val="00CF7060"/>
    <w:rsid w:val="00D0066E"/>
    <w:rsid w:val="00D024BD"/>
    <w:rsid w:val="00D02770"/>
    <w:rsid w:val="00D02E89"/>
    <w:rsid w:val="00D054C0"/>
    <w:rsid w:val="00D05A24"/>
    <w:rsid w:val="00D05A94"/>
    <w:rsid w:val="00D06F70"/>
    <w:rsid w:val="00D10700"/>
    <w:rsid w:val="00D11D41"/>
    <w:rsid w:val="00D1223C"/>
    <w:rsid w:val="00D1229B"/>
    <w:rsid w:val="00D1373E"/>
    <w:rsid w:val="00D14A32"/>
    <w:rsid w:val="00D14B4A"/>
    <w:rsid w:val="00D14EE0"/>
    <w:rsid w:val="00D15808"/>
    <w:rsid w:val="00D16489"/>
    <w:rsid w:val="00D1690D"/>
    <w:rsid w:val="00D16B89"/>
    <w:rsid w:val="00D16FBF"/>
    <w:rsid w:val="00D1786A"/>
    <w:rsid w:val="00D2018B"/>
    <w:rsid w:val="00D20799"/>
    <w:rsid w:val="00D209AF"/>
    <w:rsid w:val="00D20C67"/>
    <w:rsid w:val="00D212FE"/>
    <w:rsid w:val="00D226E9"/>
    <w:rsid w:val="00D2428D"/>
    <w:rsid w:val="00D2506C"/>
    <w:rsid w:val="00D27C0D"/>
    <w:rsid w:val="00D27F99"/>
    <w:rsid w:val="00D300D9"/>
    <w:rsid w:val="00D301E1"/>
    <w:rsid w:val="00D30A68"/>
    <w:rsid w:val="00D30BE6"/>
    <w:rsid w:val="00D30C04"/>
    <w:rsid w:val="00D30F76"/>
    <w:rsid w:val="00D314D5"/>
    <w:rsid w:val="00D31C7A"/>
    <w:rsid w:val="00D32447"/>
    <w:rsid w:val="00D33AA1"/>
    <w:rsid w:val="00D34F75"/>
    <w:rsid w:val="00D35BD5"/>
    <w:rsid w:val="00D35C30"/>
    <w:rsid w:val="00D36501"/>
    <w:rsid w:val="00D3686E"/>
    <w:rsid w:val="00D37718"/>
    <w:rsid w:val="00D37AA2"/>
    <w:rsid w:val="00D37B2B"/>
    <w:rsid w:val="00D412C0"/>
    <w:rsid w:val="00D4194D"/>
    <w:rsid w:val="00D41CA6"/>
    <w:rsid w:val="00D427D5"/>
    <w:rsid w:val="00D42AB8"/>
    <w:rsid w:val="00D4457C"/>
    <w:rsid w:val="00D459F5"/>
    <w:rsid w:val="00D45B15"/>
    <w:rsid w:val="00D47551"/>
    <w:rsid w:val="00D47D10"/>
    <w:rsid w:val="00D5004A"/>
    <w:rsid w:val="00D51A17"/>
    <w:rsid w:val="00D52387"/>
    <w:rsid w:val="00D5285D"/>
    <w:rsid w:val="00D5286B"/>
    <w:rsid w:val="00D52A13"/>
    <w:rsid w:val="00D52FC3"/>
    <w:rsid w:val="00D52FEA"/>
    <w:rsid w:val="00D53104"/>
    <w:rsid w:val="00D533DD"/>
    <w:rsid w:val="00D5433B"/>
    <w:rsid w:val="00D544E6"/>
    <w:rsid w:val="00D54975"/>
    <w:rsid w:val="00D54C42"/>
    <w:rsid w:val="00D55E69"/>
    <w:rsid w:val="00D56AF5"/>
    <w:rsid w:val="00D60795"/>
    <w:rsid w:val="00D60F96"/>
    <w:rsid w:val="00D61651"/>
    <w:rsid w:val="00D61796"/>
    <w:rsid w:val="00D62E86"/>
    <w:rsid w:val="00D63399"/>
    <w:rsid w:val="00D634CB"/>
    <w:rsid w:val="00D643B4"/>
    <w:rsid w:val="00D6494A"/>
    <w:rsid w:val="00D64ADE"/>
    <w:rsid w:val="00D64B66"/>
    <w:rsid w:val="00D6532A"/>
    <w:rsid w:val="00D6607A"/>
    <w:rsid w:val="00D66CAA"/>
    <w:rsid w:val="00D66F32"/>
    <w:rsid w:val="00D66F87"/>
    <w:rsid w:val="00D67483"/>
    <w:rsid w:val="00D70AD1"/>
    <w:rsid w:val="00D70F07"/>
    <w:rsid w:val="00D7242F"/>
    <w:rsid w:val="00D742A8"/>
    <w:rsid w:val="00D74308"/>
    <w:rsid w:val="00D75438"/>
    <w:rsid w:val="00D765BC"/>
    <w:rsid w:val="00D77799"/>
    <w:rsid w:val="00D77DB0"/>
    <w:rsid w:val="00D8068D"/>
    <w:rsid w:val="00D8096D"/>
    <w:rsid w:val="00D81422"/>
    <w:rsid w:val="00D81B67"/>
    <w:rsid w:val="00D81C35"/>
    <w:rsid w:val="00D8254C"/>
    <w:rsid w:val="00D825FB"/>
    <w:rsid w:val="00D826AC"/>
    <w:rsid w:val="00D82913"/>
    <w:rsid w:val="00D82A56"/>
    <w:rsid w:val="00D82B60"/>
    <w:rsid w:val="00D8316B"/>
    <w:rsid w:val="00D8369E"/>
    <w:rsid w:val="00D83C2E"/>
    <w:rsid w:val="00D8416E"/>
    <w:rsid w:val="00D8485E"/>
    <w:rsid w:val="00D84EB7"/>
    <w:rsid w:val="00D8545A"/>
    <w:rsid w:val="00D85AC7"/>
    <w:rsid w:val="00D87BAB"/>
    <w:rsid w:val="00D90BFF"/>
    <w:rsid w:val="00D90C26"/>
    <w:rsid w:val="00D92396"/>
    <w:rsid w:val="00D93057"/>
    <w:rsid w:val="00D935F5"/>
    <w:rsid w:val="00D946DB"/>
    <w:rsid w:val="00D94B63"/>
    <w:rsid w:val="00D94DDD"/>
    <w:rsid w:val="00D95045"/>
    <w:rsid w:val="00D9516E"/>
    <w:rsid w:val="00D95EC1"/>
    <w:rsid w:val="00D96E61"/>
    <w:rsid w:val="00DA03B9"/>
    <w:rsid w:val="00DA040A"/>
    <w:rsid w:val="00DA0B84"/>
    <w:rsid w:val="00DA0DB4"/>
    <w:rsid w:val="00DA1253"/>
    <w:rsid w:val="00DA1525"/>
    <w:rsid w:val="00DA2649"/>
    <w:rsid w:val="00DA3B36"/>
    <w:rsid w:val="00DA4727"/>
    <w:rsid w:val="00DA4A2F"/>
    <w:rsid w:val="00DA4A88"/>
    <w:rsid w:val="00DA4AAA"/>
    <w:rsid w:val="00DA5CBD"/>
    <w:rsid w:val="00DA652C"/>
    <w:rsid w:val="00DA6CB8"/>
    <w:rsid w:val="00DA77E1"/>
    <w:rsid w:val="00DB0274"/>
    <w:rsid w:val="00DB091C"/>
    <w:rsid w:val="00DB0F07"/>
    <w:rsid w:val="00DB12E7"/>
    <w:rsid w:val="00DB2266"/>
    <w:rsid w:val="00DB2DD0"/>
    <w:rsid w:val="00DB3B68"/>
    <w:rsid w:val="00DB3EEA"/>
    <w:rsid w:val="00DB40CA"/>
    <w:rsid w:val="00DB422E"/>
    <w:rsid w:val="00DB5503"/>
    <w:rsid w:val="00DB6D12"/>
    <w:rsid w:val="00DC03E0"/>
    <w:rsid w:val="00DC0817"/>
    <w:rsid w:val="00DC09EA"/>
    <w:rsid w:val="00DC1FD1"/>
    <w:rsid w:val="00DC2D05"/>
    <w:rsid w:val="00DC3A83"/>
    <w:rsid w:val="00DC3B38"/>
    <w:rsid w:val="00DC3F43"/>
    <w:rsid w:val="00DC40DA"/>
    <w:rsid w:val="00DC4984"/>
    <w:rsid w:val="00DC4CE4"/>
    <w:rsid w:val="00DC5558"/>
    <w:rsid w:val="00DC5721"/>
    <w:rsid w:val="00DD0332"/>
    <w:rsid w:val="00DD07FF"/>
    <w:rsid w:val="00DD092D"/>
    <w:rsid w:val="00DD156E"/>
    <w:rsid w:val="00DD1906"/>
    <w:rsid w:val="00DD2C1E"/>
    <w:rsid w:val="00DD41BE"/>
    <w:rsid w:val="00DD4CFC"/>
    <w:rsid w:val="00DD4DA2"/>
    <w:rsid w:val="00DD50DC"/>
    <w:rsid w:val="00DD5F87"/>
    <w:rsid w:val="00DD60DF"/>
    <w:rsid w:val="00DD6D54"/>
    <w:rsid w:val="00DD6F35"/>
    <w:rsid w:val="00DD72AA"/>
    <w:rsid w:val="00DE0157"/>
    <w:rsid w:val="00DE0962"/>
    <w:rsid w:val="00DE163F"/>
    <w:rsid w:val="00DE1B16"/>
    <w:rsid w:val="00DE21B5"/>
    <w:rsid w:val="00DE230A"/>
    <w:rsid w:val="00DE26F2"/>
    <w:rsid w:val="00DE3106"/>
    <w:rsid w:val="00DE3389"/>
    <w:rsid w:val="00DE3B73"/>
    <w:rsid w:val="00DE4001"/>
    <w:rsid w:val="00DE489B"/>
    <w:rsid w:val="00DE48EF"/>
    <w:rsid w:val="00DE4EF2"/>
    <w:rsid w:val="00DE5052"/>
    <w:rsid w:val="00DE5A31"/>
    <w:rsid w:val="00DE644D"/>
    <w:rsid w:val="00DF30EB"/>
    <w:rsid w:val="00DF4739"/>
    <w:rsid w:val="00DF65DF"/>
    <w:rsid w:val="00DF6F5A"/>
    <w:rsid w:val="00DF70AE"/>
    <w:rsid w:val="00E00268"/>
    <w:rsid w:val="00E007DC"/>
    <w:rsid w:val="00E0175F"/>
    <w:rsid w:val="00E01D5F"/>
    <w:rsid w:val="00E01F9D"/>
    <w:rsid w:val="00E02652"/>
    <w:rsid w:val="00E02F76"/>
    <w:rsid w:val="00E03A7D"/>
    <w:rsid w:val="00E050F3"/>
    <w:rsid w:val="00E052A9"/>
    <w:rsid w:val="00E05895"/>
    <w:rsid w:val="00E0639C"/>
    <w:rsid w:val="00E06628"/>
    <w:rsid w:val="00E06E19"/>
    <w:rsid w:val="00E07C8E"/>
    <w:rsid w:val="00E10726"/>
    <w:rsid w:val="00E11996"/>
    <w:rsid w:val="00E11F7B"/>
    <w:rsid w:val="00E13A0F"/>
    <w:rsid w:val="00E143FD"/>
    <w:rsid w:val="00E14C4D"/>
    <w:rsid w:val="00E1696D"/>
    <w:rsid w:val="00E170AA"/>
    <w:rsid w:val="00E1750A"/>
    <w:rsid w:val="00E2178E"/>
    <w:rsid w:val="00E230A0"/>
    <w:rsid w:val="00E2347D"/>
    <w:rsid w:val="00E2447E"/>
    <w:rsid w:val="00E249EF"/>
    <w:rsid w:val="00E25862"/>
    <w:rsid w:val="00E26954"/>
    <w:rsid w:val="00E26CB6"/>
    <w:rsid w:val="00E274D8"/>
    <w:rsid w:val="00E27969"/>
    <w:rsid w:val="00E32046"/>
    <w:rsid w:val="00E32DA2"/>
    <w:rsid w:val="00E32F4D"/>
    <w:rsid w:val="00E33BF7"/>
    <w:rsid w:val="00E340D7"/>
    <w:rsid w:val="00E35DE1"/>
    <w:rsid w:val="00E35F88"/>
    <w:rsid w:val="00E36728"/>
    <w:rsid w:val="00E37B58"/>
    <w:rsid w:val="00E37FEA"/>
    <w:rsid w:val="00E4095F"/>
    <w:rsid w:val="00E4198D"/>
    <w:rsid w:val="00E41A58"/>
    <w:rsid w:val="00E41E4F"/>
    <w:rsid w:val="00E42A4D"/>
    <w:rsid w:val="00E43CD2"/>
    <w:rsid w:val="00E440D2"/>
    <w:rsid w:val="00E45961"/>
    <w:rsid w:val="00E45B9B"/>
    <w:rsid w:val="00E45F52"/>
    <w:rsid w:val="00E46936"/>
    <w:rsid w:val="00E47B54"/>
    <w:rsid w:val="00E47CCD"/>
    <w:rsid w:val="00E509EA"/>
    <w:rsid w:val="00E50E79"/>
    <w:rsid w:val="00E53E55"/>
    <w:rsid w:val="00E543B2"/>
    <w:rsid w:val="00E54B05"/>
    <w:rsid w:val="00E55589"/>
    <w:rsid w:val="00E60B53"/>
    <w:rsid w:val="00E60C82"/>
    <w:rsid w:val="00E61840"/>
    <w:rsid w:val="00E62525"/>
    <w:rsid w:val="00E62B7E"/>
    <w:rsid w:val="00E6335C"/>
    <w:rsid w:val="00E6373B"/>
    <w:rsid w:val="00E63DC8"/>
    <w:rsid w:val="00E645F5"/>
    <w:rsid w:val="00E64ADB"/>
    <w:rsid w:val="00E66040"/>
    <w:rsid w:val="00E6616A"/>
    <w:rsid w:val="00E661B2"/>
    <w:rsid w:val="00E67F16"/>
    <w:rsid w:val="00E70AB0"/>
    <w:rsid w:val="00E70D08"/>
    <w:rsid w:val="00E721D9"/>
    <w:rsid w:val="00E72618"/>
    <w:rsid w:val="00E73F4B"/>
    <w:rsid w:val="00E74C2C"/>
    <w:rsid w:val="00E75993"/>
    <w:rsid w:val="00E80172"/>
    <w:rsid w:val="00E80304"/>
    <w:rsid w:val="00E804CC"/>
    <w:rsid w:val="00E81DB9"/>
    <w:rsid w:val="00E81F69"/>
    <w:rsid w:val="00E822F7"/>
    <w:rsid w:val="00E8231C"/>
    <w:rsid w:val="00E8262F"/>
    <w:rsid w:val="00E84C8E"/>
    <w:rsid w:val="00E85358"/>
    <w:rsid w:val="00E863C1"/>
    <w:rsid w:val="00E86518"/>
    <w:rsid w:val="00E86638"/>
    <w:rsid w:val="00E871FE"/>
    <w:rsid w:val="00E87B6C"/>
    <w:rsid w:val="00E909DE"/>
    <w:rsid w:val="00E90A45"/>
    <w:rsid w:val="00E92C04"/>
    <w:rsid w:val="00E93AB5"/>
    <w:rsid w:val="00E956CE"/>
    <w:rsid w:val="00E96A85"/>
    <w:rsid w:val="00E9758A"/>
    <w:rsid w:val="00E9791D"/>
    <w:rsid w:val="00E979E9"/>
    <w:rsid w:val="00E97A21"/>
    <w:rsid w:val="00E97CD2"/>
    <w:rsid w:val="00EA050A"/>
    <w:rsid w:val="00EA0BAB"/>
    <w:rsid w:val="00EA0FDF"/>
    <w:rsid w:val="00EA11F0"/>
    <w:rsid w:val="00EA1973"/>
    <w:rsid w:val="00EA28E5"/>
    <w:rsid w:val="00EA3FEF"/>
    <w:rsid w:val="00EA4108"/>
    <w:rsid w:val="00EA419C"/>
    <w:rsid w:val="00EA56D1"/>
    <w:rsid w:val="00EB154B"/>
    <w:rsid w:val="00EB1DBE"/>
    <w:rsid w:val="00EB22CD"/>
    <w:rsid w:val="00EB5013"/>
    <w:rsid w:val="00EB52AC"/>
    <w:rsid w:val="00EB5804"/>
    <w:rsid w:val="00EB5C9A"/>
    <w:rsid w:val="00EB6224"/>
    <w:rsid w:val="00EB62C2"/>
    <w:rsid w:val="00EB663A"/>
    <w:rsid w:val="00EB6DEA"/>
    <w:rsid w:val="00EB6E04"/>
    <w:rsid w:val="00EB7528"/>
    <w:rsid w:val="00EB7CE1"/>
    <w:rsid w:val="00EC036E"/>
    <w:rsid w:val="00EC0513"/>
    <w:rsid w:val="00EC0B74"/>
    <w:rsid w:val="00EC19AE"/>
    <w:rsid w:val="00EC3749"/>
    <w:rsid w:val="00EC5046"/>
    <w:rsid w:val="00EC5080"/>
    <w:rsid w:val="00EC53E0"/>
    <w:rsid w:val="00EC57C6"/>
    <w:rsid w:val="00EC5B2A"/>
    <w:rsid w:val="00EC5FA2"/>
    <w:rsid w:val="00EC7A10"/>
    <w:rsid w:val="00ED05AC"/>
    <w:rsid w:val="00ED1956"/>
    <w:rsid w:val="00ED436E"/>
    <w:rsid w:val="00ED4629"/>
    <w:rsid w:val="00ED52BC"/>
    <w:rsid w:val="00ED55F7"/>
    <w:rsid w:val="00ED66A4"/>
    <w:rsid w:val="00ED78AD"/>
    <w:rsid w:val="00ED7C8E"/>
    <w:rsid w:val="00EE0B9D"/>
    <w:rsid w:val="00EE2205"/>
    <w:rsid w:val="00EE2BDA"/>
    <w:rsid w:val="00EE34F2"/>
    <w:rsid w:val="00EE51BC"/>
    <w:rsid w:val="00EE5691"/>
    <w:rsid w:val="00EE5E64"/>
    <w:rsid w:val="00EE63B4"/>
    <w:rsid w:val="00EE7A06"/>
    <w:rsid w:val="00EF0C0C"/>
    <w:rsid w:val="00EF0DA4"/>
    <w:rsid w:val="00EF134E"/>
    <w:rsid w:val="00EF1BBD"/>
    <w:rsid w:val="00EF36D2"/>
    <w:rsid w:val="00EF3B99"/>
    <w:rsid w:val="00EF3F40"/>
    <w:rsid w:val="00EF4251"/>
    <w:rsid w:val="00EF7218"/>
    <w:rsid w:val="00F006CF"/>
    <w:rsid w:val="00F00A38"/>
    <w:rsid w:val="00F015E6"/>
    <w:rsid w:val="00F02411"/>
    <w:rsid w:val="00F0322C"/>
    <w:rsid w:val="00F0398B"/>
    <w:rsid w:val="00F052D1"/>
    <w:rsid w:val="00F07E87"/>
    <w:rsid w:val="00F1041F"/>
    <w:rsid w:val="00F1062E"/>
    <w:rsid w:val="00F11185"/>
    <w:rsid w:val="00F117D1"/>
    <w:rsid w:val="00F12D77"/>
    <w:rsid w:val="00F12EA3"/>
    <w:rsid w:val="00F1398C"/>
    <w:rsid w:val="00F14306"/>
    <w:rsid w:val="00F1455C"/>
    <w:rsid w:val="00F14B07"/>
    <w:rsid w:val="00F14E33"/>
    <w:rsid w:val="00F177C6"/>
    <w:rsid w:val="00F20F1C"/>
    <w:rsid w:val="00F215C7"/>
    <w:rsid w:val="00F21687"/>
    <w:rsid w:val="00F2228C"/>
    <w:rsid w:val="00F22648"/>
    <w:rsid w:val="00F22876"/>
    <w:rsid w:val="00F249CD"/>
    <w:rsid w:val="00F26B14"/>
    <w:rsid w:val="00F271B3"/>
    <w:rsid w:val="00F27D65"/>
    <w:rsid w:val="00F30076"/>
    <w:rsid w:val="00F315FD"/>
    <w:rsid w:val="00F325B9"/>
    <w:rsid w:val="00F32D09"/>
    <w:rsid w:val="00F3521D"/>
    <w:rsid w:val="00F356CE"/>
    <w:rsid w:val="00F358AF"/>
    <w:rsid w:val="00F36308"/>
    <w:rsid w:val="00F367EC"/>
    <w:rsid w:val="00F36F98"/>
    <w:rsid w:val="00F423F0"/>
    <w:rsid w:val="00F4393C"/>
    <w:rsid w:val="00F44299"/>
    <w:rsid w:val="00F45359"/>
    <w:rsid w:val="00F46113"/>
    <w:rsid w:val="00F463F5"/>
    <w:rsid w:val="00F47628"/>
    <w:rsid w:val="00F47A9F"/>
    <w:rsid w:val="00F50709"/>
    <w:rsid w:val="00F513FD"/>
    <w:rsid w:val="00F525AD"/>
    <w:rsid w:val="00F52DF6"/>
    <w:rsid w:val="00F52FC6"/>
    <w:rsid w:val="00F535E7"/>
    <w:rsid w:val="00F5381F"/>
    <w:rsid w:val="00F5524C"/>
    <w:rsid w:val="00F5604A"/>
    <w:rsid w:val="00F56546"/>
    <w:rsid w:val="00F56641"/>
    <w:rsid w:val="00F56956"/>
    <w:rsid w:val="00F57636"/>
    <w:rsid w:val="00F57838"/>
    <w:rsid w:val="00F57ED1"/>
    <w:rsid w:val="00F60315"/>
    <w:rsid w:val="00F60F37"/>
    <w:rsid w:val="00F61095"/>
    <w:rsid w:val="00F61378"/>
    <w:rsid w:val="00F61E1E"/>
    <w:rsid w:val="00F620A2"/>
    <w:rsid w:val="00F63080"/>
    <w:rsid w:val="00F63BA7"/>
    <w:rsid w:val="00F65282"/>
    <w:rsid w:val="00F65304"/>
    <w:rsid w:val="00F65BB7"/>
    <w:rsid w:val="00F66294"/>
    <w:rsid w:val="00F66830"/>
    <w:rsid w:val="00F67634"/>
    <w:rsid w:val="00F70643"/>
    <w:rsid w:val="00F713CE"/>
    <w:rsid w:val="00F71DF2"/>
    <w:rsid w:val="00F72178"/>
    <w:rsid w:val="00F72CE7"/>
    <w:rsid w:val="00F73BBA"/>
    <w:rsid w:val="00F753F4"/>
    <w:rsid w:val="00F75FD2"/>
    <w:rsid w:val="00F777C7"/>
    <w:rsid w:val="00F800B6"/>
    <w:rsid w:val="00F8071F"/>
    <w:rsid w:val="00F80886"/>
    <w:rsid w:val="00F81089"/>
    <w:rsid w:val="00F811F8"/>
    <w:rsid w:val="00F823AE"/>
    <w:rsid w:val="00F84B2D"/>
    <w:rsid w:val="00F85D06"/>
    <w:rsid w:val="00F85F2F"/>
    <w:rsid w:val="00F85FAF"/>
    <w:rsid w:val="00F86360"/>
    <w:rsid w:val="00F87E46"/>
    <w:rsid w:val="00F913DC"/>
    <w:rsid w:val="00F9145F"/>
    <w:rsid w:val="00F91E30"/>
    <w:rsid w:val="00F93400"/>
    <w:rsid w:val="00F93B5F"/>
    <w:rsid w:val="00F942C9"/>
    <w:rsid w:val="00F94369"/>
    <w:rsid w:val="00F9591C"/>
    <w:rsid w:val="00FA3858"/>
    <w:rsid w:val="00FA3865"/>
    <w:rsid w:val="00FA46C8"/>
    <w:rsid w:val="00FA4E19"/>
    <w:rsid w:val="00FA610E"/>
    <w:rsid w:val="00FA6E69"/>
    <w:rsid w:val="00FA77E4"/>
    <w:rsid w:val="00FA7DAE"/>
    <w:rsid w:val="00FB08AF"/>
    <w:rsid w:val="00FB1578"/>
    <w:rsid w:val="00FB199D"/>
    <w:rsid w:val="00FB1C26"/>
    <w:rsid w:val="00FB1D44"/>
    <w:rsid w:val="00FB25EE"/>
    <w:rsid w:val="00FB2B1A"/>
    <w:rsid w:val="00FB2CD7"/>
    <w:rsid w:val="00FB2E7B"/>
    <w:rsid w:val="00FB4490"/>
    <w:rsid w:val="00FB4960"/>
    <w:rsid w:val="00FB523F"/>
    <w:rsid w:val="00FB5258"/>
    <w:rsid w:val="00FB5522"/>
    <w:rsid w:val="00FB5985"/>
    <w:rsid w:val="00FB6A25"/>
    <w:rsid w:val="00FC019F"/>
    <w:rsid w:val="00FC0624"/>
    <w:rsid w:val="00FC063F"/>
    <w:rsid w:val="00FC0B81"/>
    <w:rsid w:val="00FC1030"/>
    <w:rsid w:val="00FC11E0"/>
    <w:rsid w:val="00FC1379"/>
    <w:rsid w:val="00FC1715"/>
    <w:rsid w:val="00FC20DD"/>
    <w:rsid w:val="00FC371D"/>
    <w:rsid w:val="00FC41EC"/>
    <w:rsid w:val="00FC4D06"/>
    <w:rsid w:val="00FC6662"/>
    <w:rsid w:val="00FC6D7A"/>
    <w:rsid w:val="00FC7D64"/>
    <w:rsid w:val="00FC7E0D"/>
    <w:rsid w:val="00FD0043"/>
    <w:rsid w:val="00FD0193"/>
    <w:rsid w:val="00FD0FAA"/>
    <w:rsid w:val="00FD16F5"/>
    <w:rsid w:val="00FD239F"/>
    <w:rsid w:val="00FD35F5"/>
    <w:rsid w:val="00FD37B7"/>
    <w:rsid w:val="00FD380B"/>
    <w:rsid w:val="00FD3883"/>
    <w:rsid w:val="00FD43BF"/>
    <w:rsid w:val="00FD457C"/>
    <w:rsid w:val="00FD54FC"/>
    <w:rsid w:val="00FD5ABD"/>
    <w:rsid w:val="00FD6257"/>
    <w:rsid w:val="00FD6CCB"/>
    <w:rsid w:val="00FD6D27"/>
    <w:rsid w:val="00FD7524"/>
    <w:rsid w:val="00FD7960"/>
    <w:rsid w:val="00FD7E66"/>
    <w:rsid w:val="00FD7FB3"/>
    <w:rsid w:val="00FE052A"/>
    <w:rsid w:val="00FE219F"/>
    <w:rsid w:val="00FE21F5"/>
    <w:rsid w:val="00FE30C1"/>
    <w:rsid w:val="00FE3BD8"/>
    <w:rsid w:val="00FE43D5"/>
    <w:rsid w:val="00FE4AE0"/>
    <w:rsid w:val="00FE4D22"/>
    <w:rsid w:val="00FE54F4"/>
    <w:rsid w:val="00FE656D"/>
    <w:rsid w:val="00FE6995"/>
    <w:rsid w:val="00FE69AC"/>
    <w:rsid w:val="00FE6CFB"/>
    <w:rsid w:val="00FE74A3"/>
    <w:rsid w:val="00FF0040"/>
    <w:rsid w:val="00FF0E1F"/>
    <w:rsid w:val="00FF1422"/>
    <w:rsid w:val="00FF208F"/>
    <w:rsid w:val="00FF2658"/>
    <w:rsid w:val="00FF2D0E"/>
    <w:rsid w:val="00FF36A5"/>
    <w:rsid w:val="00FF3B3B"/>
    <w:rsid w:val="00FF655D"/>
    <w:rsid w:val="00FF75CC"/>
    <w:rsid w:val="00FF7F3B"/>
  </w:rsids>
  <m:mathPr>
    <m:mathFont m:val="Cambria Math"/>
    <m:brkBin m:val="before"/>
    <m:brkBinSub m:val="--"/>
    <m:smallFrac m:val="0"/>
    <m:dispDef/>
    <m:lMargin m:val="0"/>
    <m:rMargin m:val="0"/>
    <m:defJc m:val="centerGroup"/>
    <m:wrapIndent m:val="1440"/>
    <m:intLim m:val="subSup"/>
    <m:naryLim m:val="undOvr"/>
  </m:mathPr>
  <w:themeFontLang w:val="en-GB" w:eastAsia="zh-CN"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29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lv-LV" w:eastAsia="en-GB" w:bidi="ne-NP"/>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uiPriority="1"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iPriority="1" w:unhideWhenUsed="1"/>
    <w:lsdException w:name="endnote text" w:locked="1" w:semiHidden="1" w:uiPriority="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1"/>
    <w:lsdException w:name="Plain Table 2" w:locked="1"/>
    <w:lsdException w:name="Plain Table 3" w:locked="1"/>
    <w:lsdException w:name="Plain Table 4" w:locked="1"/>
    <w:lsdException w:name="Plain Table 5" w:locked="1"/>
    <w:lsdException w:name="Grid Table Light" w:locked="1"/>
    <w:lsdException w:name="Grid Table 1 Light" w:locked="1"/>
    <w:lsdException w:name="Grid Table 2" w:locked="1"/>
    <w:lsdException w:name="Grid Table 3" w:lock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E8E"/>
    <w:pPr>
      <w:spacing w:before="120" w:after="120"/>
      <w:jc w:val="both"/>
    </w:pPr>
    <w:rPr>
      <w:rFonts w:ascii="Verdana" w:eastAsia="Times New Roman" w:hAnsi="Verdana"/>
      <w:szCs w:val="24"/>
      <w:lang w:eastAsia="en-US" w:bidi="ar-SA"/>
    </w:rPr>
  </w:style>
  <w:style w:type="paragraph" w:styleId="Heading1">
    <w:name w:val="heading 1"/>
    <w:basedOn w:val="Normal"/>
    <w:next w:val="Normal"/>
    <w:link w:val="Heading1Char"/>
    <w:autoRedefine/>
    <w:qFormat/>
    <w:rsid w:val="005A6305"/>
    <w:pPr>
      <w:keepNext/>
      <w:autoSpaceDE w:val="0"/>
      <w:autoSpaceDN w:val="0"/>
      <w:adjustRightInd w:val="0"/>
      <w:spacing w:before="0" w:after="0"/>
      <w:jc w:val="left"/>
      <w:outlineLvl w:val="0"/>
    </w:pPr>
    <w:rPr>
      <w:rFonts w:eastAsia="Arial"/>
      <w:b/>
      <w:szCs w:val="20"/>
      <w:u w:val="single"/>
      <w:lang w:eastAsia="x-none"/>
    </w:rPr>
  </w:style>
  <w:style w:type="paragraph" w:styleId="Heading2">
    <w:name w:val="heading 2"/>
    <w:basedOn w:val="Normal"/>
    <w:next w:val="Normal"/>
    <w:link w:val="Heading2Char"/>
    <w:autoRedefine/>
    <w:uiPriority w:val="99"/>
    <w:qFormat/>
    <w:rsid w:val="001E5A75"/>
    <w:pPr>
      <w:keepNext/>
      <w:spacing w:before="240"/>
      <w:outlineLvl w:val="1"/>
    </w:pPr>
    <w:rPr>
      <w:rFonts w:eastAsia="Arial"/>
      <w:b/>
      <w:sz w:val="24"/>
      <w:u w:val="single"/>
      <w:lang w:val="lv-LV" w:eastAsia="x-none"/>
    </w:rPr>
  </w:style>
  <w:style w:type="paragraph" w:styleId="Heading3">
    <w:name w:val="heading 3"/>
    <w:basedOn w:val="Normal"/>
    <w:next w:val="Normal"/>
    <w:link w:val="Heading3Char1"/>
    <w:autoRedefine/>
    <w:uiPriority w:val="99"/>
    <w:qFormat/>
    <w:rsid w:val="001E5A75"/>
    <w:pPr>
      <w:keepNext/>
      <w:spacing w:before="180"/>
      <w:outlineLvl w:val="2"/>
    </w:pPr>
    <w:rPr>
      <w:rFonts w:ascii="Arial" w:eastAsia="Arial" w:hAnsi="Arial"/>
      <w:b/>
      <w:szCs w:val="20"/>
      <w:lang w:val="lv-LV" w:eastAsia="de-DE"/>
    </w:rPr>
  </w:style>
  <w:style w:type="paragraph" w:styleId="Heading4">
    <w:name w:val="heading 4"/>
    <w:basedOn w:val="Normal"/>
    <w:next w:val="Normal"/>
    <w:link w:val="Heading4Char"/>
    <w:autoRedefine/>
    <w:uiPriority w:val="99"/>
    <w:qFormat/>
    <w:rsid w:val="00DE0962"/>
    <w:pPr>
      <w:keepNext/>
      <w:numPr>
        <w:numId w:val="17"/>
      </w:numPr>
      <w:spacing w:before="160"/>
      <w:outlineLvl w:val="3"/>
    </w:pPr>
    <w:rPr>
      <w:b/>
      <w:u w:val="single"/>
    </w:rPr>
  </w:style>
  <w:style w:type="paragraph" w:styleId="Heading5">
    <w:name w:val="heading 5"/>
    <w:basedOn w:val="Normal"/>
    <w:next w:val="Normal"/>
    <w:link w:val="Heading5Char"/>
    <w:autoRedefine/>
    <w:uiPriority w:val="1"/>
    <w:qFormat/>
    <w:rsid w:val="001E5A75"/>
    <w:pPr>
      <w:keepNext/>
      <w:spacing w:before="140"/>
      <w:outlineLvl w:val="4"/>
    </w:pPr>
    <w:rPr>
      <w:rFonts w:ascii="Arial" w:eastAsia="Arial" w:hAnsi="Arial"/>
      <w:b/>
      <w:i/>
      <w:szCs w:val="20"/>
      <w:lang w:val="lv-LV" w:eastAsia="de-DE"/>
    </w:rPr>
  </w:style>
  <w:style w:type="paragraph" w:styleId="Heading6">
    <w:name w:val="heading 6"/>
    <w:basedOn w:val="Normal"/>
    <w:next w:val="Normal"/>
    <w:link w:val="Heading6Char"/>
    <w:qFormat/>
    <w:rsid w:val="001E5A75"/>
    <w:pPr>
      <w:spacing w:before="240" w:after="60"/>
      <w:outlineLvl w:val="5"/>
    </w:pPr>
    <w:rPr>
      <w:rFonts w:ascii="Times New Roman" w:eastAsia="Arial" w:hAnsi="Times New Roman"/>
      <w:b/>
      <w:bCs/>
      <w:szCs w:val="20"/>
      <w:lang w:val="lv-LV" w:eastAsia="de-DE"/>
    </w:rPr>
  </w:style>
  <w:style w:type="paragraph" w:styleId="Heading7">
    <w:name w:val="heading 7"/>
    <w:basedOn w:val="Normal"/>
    <w:next w:val="Normal"/>
    <w:link w:val="Heading7Char"/>
    <w:qFormat/>
    <w:rsid w:val="001E5A75"/>
    <w:pPr>
      <w:spacing w:before="240" w:after="60"/>
      <w:outlineLvl w:val="6"/>
    </w:pPr>
    <w:rPr>
      <w:rFonts w:ascii="Times New Roman" w:eastAsia="Arial" w:hAnsi="Times New Roman"/>
      <w:szCs w:val="20"/>
      <w:lang w:val="lv-LV" w:eastAsia="de-DE"/>
    </w:rPr>
  </w:style>
  <w:style w:type="paragraph" w:styleId="Heading8">
    <w:name w:val="heading 8"/>
    <w:basedOn w:val="Normal"/>
    <w:next w:val="Normal"/>
    <w:link w:val="Heading8Char"/>
    <w:qFormat/>
    <w:rsid w:val="001E5A75"/>
    <w:pPr>
      <w:spacing w:before="240" w:after="60"/>
      <w:outlineLvl w:val="7"/>
    </w:pPr>
    <w:rPr>
      <w:rFonts w:ascii="Times New Roman" w:eastAsia="Arial" w:hAnsi="Times New Roman"/>
      <w:i/>
      <w:iCs/>
      <w:szCs w:val="20"/>
      <w:lang w:val="lv-LV" w:eastAsia="de-DE"/>
    </w:rPr>
  </w:style>
  <w:style w:type="paragraph" w:styleId="Heading9">
    <w:name w:val="heading 9"/>
    <w:basedOn w:val="Normal"/>
    <w:next w:val="Normal"/>
    <w:link w:val="Heading9Char"/>
    <w:qFormat/>
    <w:rsid w:val="001E5A75"/>
    <w:pPr>
      <w:spacing w:before="240" w:after="60"/>
      <w:outlineLvl w:val="8"/>
    </w:pPr>
    <w:rPr>
      <w:rFonts w:ascii="Arial" w:eastAsia="Arial" w:hAnsi="Arial"/>
      <w:szCs w:val="20"/>
      <w:lang w:val="lv-LV"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5A6305"/>
    <w:rPr>
      <w:rFonts w:ascii="Verdana" w:hAnsi="Verdana" w:cs="Times New Roman"/>
      <w:b/>
      <w:sz w:val="20"/>
      <w:szCs w:val="20"/>
      <w:u w:val="single"/>
      <w:lang w:val="lv-LV"/>
    </w:rPr>
  </w:style>
  <w:style w:type="character" w:customStyle="1" w:styleId="Heading2Char">
    <w:name w:val="Heading 2 Char"/>
    <w:link w:val="Heading2"/>
    <w:uiPriority w:val="99"/>
    <w:locked/>
    <w:rsid w:val="00EC5046"/>
    <w:rPr>
      <w:rFonts w:ascii="Verdana" w:hAnsi="Verdana" w:cs="Times New Roman"/>
      <w:b/>
      <w:sz w:val="24"/>
      <w:szCs w:val="24"/>
      <w:u w:val="single"/>
      <w:lang w:val="lv-LV"/>
    </w:rPr>
  </w:style>
  <w:style w:type="character" w:customStyle="1" w:styleId="Heading3Char">
    <w:name w:val="Heading 3 Char"/>
    <w:uiPriority w:val="99"/>
    <w:locked/>
    <w:rsid w:val="00884FEB"/>
    <w:rPr>
      <w:rFonts w:cs="Times New Roman"/>
      <w:sz w:val="24"/>
      <w:szCs w:val="24"/>
      <w:lang w:val="lv-LV" w:eastAsia="en-US"/>
    </w:rPr>
  </w:style>
  <w:style w:type="character" w:customStyle="1" w:styleId="Heading4Char">
    <w:name w:val="Heading 4 Char"/>
    <w:link w:val="Heading4"/>
    <w:uiPriority w:val="99"/>
    <w:locked/>
    <w:rsid w:val="00DE0962"/>
    <w:rPr>
      <w:rFonts w:ascii="Verdana" w:eastAsia="Times New Roman" w:hAnsi="Verdana"/>
      <w:b/>
      <w:szCs w:val="24"/>
      <w:u w:val="single"/>
      <w:lang w:eastAsia="en-US" w:bidi="ar-SA"/>
    </w:rPr>
  </w:style>
  <w:style w:type="character" w:customStyle="1" w:styleId="Heading5Char">
    <w:name w:val="Heading 5 Char"/>
    <w:link w:val="Heading5"/>
    <w:uiPriority w:val="1"/>
    <w:locked/>
    <w:rsid w:val="001E5A75"/>
    <w:rPr>
      <w:rFonts w:ascii="Arial" w:hAnsi="Arial" w:cs="Times New Roman"/>
      <w:b/>
      <w:i/>
      <w:sz w:val="20"/>
      <w:szCs w:val="20"/>
      <w:lang w:eastAsia="de-DE"/>
    </w:rPr>
  </w:style>
  <w:style w:type="character" w:customStyle="1" w:styleId="Heading6Char">
    <w:name w:val="Heading 6 Char"/>
    <w:link w:val="Heading6"/>
    <w:semiHidden/>
    <w:locked/>
    <w:rsid w:val="001E5A75"/>
    <w:rPr>
      <w:rFonts w:ascii="Times New Roman" w:hAnsi="Times New Roman" w:cs="Times New Roman"/>
      <w:b/>
      <w:bCs/>
      <w:lang w:eastAsia="de-DE"/>
    </w:rPr>
  </w:style>
  <w:style w:type="character" w:customStyle="1" w:styleId="Heading7Char">
    <w:name w:val="Heading 7 Char"/>
    <w:link w:val="Heading7"/>
    <w:semiHidden/>
    <w:locked/>
    <w:rsid w:val="001E5A75"/>
    <w:rPr>
      <w:rFonts w:ascii="Times New Roman" w:hAnsi="Times New Roman" w:cs="Times New Roman"/>
      <w:sz w:val="20"/>
      <w:szCs w:val="20"/>
      <w:lang w:eastAsia="de-DE"/>
    </w:rPr>
  </w:style>
  <w:style w:type="character" w:customStyle="1" w:styleId="Heading8Char">
    <w:name w:val="Heading 8 Char"/>
    <w:link w:val="Heading8"/>
    <w:semiHidden/>
    <w:locked/>
    <w:rsid w:val="001E5A75"/>
    <w:rPr>
      <w:rFonts w:ascii="Times New Roman" w:hAnsi="Times New Roman" w:cs="Times New Roman"/>
      <w:i/>
      <w:iCs/>
      <w:sz w:val="20"/>
      <w:szCs w:val="20"/>
      <w:lang w:eastAsia="de-DE"/>
    </w:rPr>
  </w:style>
  <w:style w:type="character" w:customStyle="1" w:styleId="Heading9Char">
    <w:name w:val="Heading 9 Char"/>
    <w:link w:val="Heading9"/>
    <w:semiHidden/>
    <w:locked/>
    <w:rsid w:val="001E5A75"/>
    <w:rPr>
      <w:rFonts w:ascii="Arial" w:hAnsi="Arial" w:cs="Arial"/>
      <w:lang w:eastAsia="de-DE"/>
    </w:rPr>
  </w:style>
  <w:style w:type="paragraph" w:styleId="TableofFigures">
    <w:name w:val="table of figures"/>
    <w:basedOn w:val="Normal"/>
    <w:next w:val="Normal"/>
    <w:semiHidden/>
    <w:rsid w:val="001E5A75"/>
    <w:pPr>
      <w:ind w:left="440" w:hanging="440"/>
    </w:pPr>
  </w:style>
  <w:style w:type="paragraph" w:customStyle="1" w:styleId="Aufzhlungszeichen1">
    <w:name w:val="Aufzählungszeichen1"/>
    <w:basedOn w:val="Normal"/>
    <w:uiPriority w:val="1"/>
    <w:qFormat/>
    <w:rsid w:val="001E5A75"/>
    <w:pPr>
      <w:numPr>
        <w:numId w:val="1"/>
      </w:numPr>
      <w:spacing w:line="240" w:lineRule="exact"/>
    </w:pPr>
  </w:style>
  <w:style w:type="paragraph" w:customStyle="1" w:styleId="Aufzhlungszeichen2">
    <w:name w:val="Aufzählungszeichen2"/>
    <w:basedOn w:val="Normal"/>
    <w:uiPriority w:val="1"/>
    <w:qFormat/>
    <w:rsid w:val="001E5A75"/>
    <w:pPr>
      <w:numPr>
        <w:numId w:val="2"/>
      </w:numPr>
      <w:spacing w:line="240" w:lineRule="exact"/>
    </w:pPr>
  </w:style>
  <w:style w:type="paragraph" w:customStyle="1" w:styleId="Aufzhlungszeichen3">
    <w:name w:val="Aufzählungszeichen3"/>
    <w:basedOn w:val="Normal"/>
    <w:uiPriority w:val="1"/>
    <w:qFormat/>
    <w:rsid w:val="001E5A75"/>
    <w:pPr>
      <w:numPr>
        <w:numId w:val="3"/>
      </w:numPr>
      <w:spacing w:line="240" w:lineRule="exact"/>
    </w:pPr>
  </w:style>
  <w:style w:type="paragraph" w:customStyle="1" w:styleId="Aufzhlungszeichen4">
    <w:name w:val="Aufzählungszeichen4"/>
    <w:basedOn w:val="Normal"/>
    <w:uiPriority w:val="1"/>
    <w:qFormat/>
    <w:rsid w:val="001E5A75"/>
    <w:pPr>
      <w:numPr>
        <w:numId w:val="4"/>
      </w:numPr>
      <w:spacing w:line="240" w:lineRule="exact"/>
    </w:pPr>
  </w:style>
  <w:style w:type="paragraph" w:styleId="FootnoteText">
    <w:name w:val="footnote text"/>
    <w:basedOn w:val="Normal"/>
    <w:link w:val="FootnoteTextChar"/>
    <w:rsid w:val="00C2636B"/>
    <w:pPr>
      <w:spacing w:line="180" w:lineRule="exact"/>
      <w:ind w:left="142" w:hanging="142"/>
    </w:pPr>
    <w:rPr>
      <w:rFonts w:ascii="Arial" w:eastAsia="Arial" w:hAnsi="Arial"/>
      <w:sz w:val="16"/>
      <w:szCs w:val="16"/>
      <w:lang w:val="lv-LV" w:eastAsia="de-DE"/>
    </w:rPr>
  </w:style>
  <w:style w:type="character" w:customStyle="1" w:styleId="FootnoteTextChar">
    <w:name w:val="Footnote Text Char"/>
    <w:link w:val="FootnoteText"/>
    <w:locked/>
    <w:rsid w:val="00C2636B"/>
    <w:rPr>
      <w:rFonts w:ascii="Arial" w:hAnsi="Arial" w:cs="Times New Roman"/>
      <w:sz w:val="16"/>
      <w:szCs w:val="16"/>
      <w:lang w:eastAsia="de-DE"/>
    </w:rPr>
  </w:style>
  <w:style w:type="character" w:styleId="FootnoteReference">
    <w:name w:val="footnote reference"/>
    <w:rsid w:val="001E5A75"/>
    <w:rPr>
      <w:rFonts w:ascii="Arial" w:hAnsi="Arial" w:cs="Times New Roman"/>
      <w:kern w:val="0"/>
      <w:position w:val="4"/>
      <w:sz w:val="12"/>
      <w:szCs w:val="12"/>
      <w:vertAlign w:val="baseline"/>
    </w:rPr>
  </w:style>
  <w:style w:type="paragraph" w:styleId="Footer">
    <w:name w:val="footer"/>
    <w:basedOn w:val="Normal"/>
    <w:link w:val="FooterChar"/>
    <w:uiPriority w:val="99"/>
    <w:rsid w:val="001E5A75"/>
    <w:pPr>
      <w:tabs>
        <w:tab w:val="center" w:pos="4536"/>
        <w:tab w:val="right" w:pos="9072"/>
      </w:tabs>
    </w:pPr>
    <w:rPr>
      <w:rFonts w:ascii="Arial" w:eastAsia="Arial" w:hAnsi="Arial"/>
      <w:sz w:val="14"/>
      <w:szCs w:val="14"/>
      <w:lang w:val="lv-LV" w:eastAsia="de-DE"/>
    </w:rPr>
  </w:style>
  <w:style w:type="character" w:customStyle="1" w:styleId="FooterChar">
    <w:name w:val="Footer Char"/>
    <w:link w:val="Footer"/>
    <w:uiPriority w:val="99"/>
    <w:locked/>
    <w:rsid w:val="001E5A75"/>
    <w:rPr>
      <w:rFonts w:ascii="Arial" w:hAnsi="Arial" w:cs="Times New Roman"/>
      <w:sz w:val="14"/>
      <w:szCs w:val="14"/>
      <w:lang w:eastAsia="de-DE"/>
    </w:rPr>
  </w:style>
  <w:style w:type="paragraph" w:customStyle="1" w:styleId="GliederungmitAufzhlung">
    <w:name w:val="Gliederung mit Aufzählung"/>
    <w:basedOn w:val="Normal"/>
    <w:uiPriority w:val="1"/>
    <w:qFormat/>
    <w:rsid w:val="001E5A75"/>
    <w:pPr>
      <w:numPr>
        <w:numId w:val="7"/>
      </w:numPr>
      <w:spacing w:line="312" w:lineRule="auto"/>
    </w:pPr>
  </w:style>
  <w:style w:type="paragraph" w:customStyle="1" w:styleId="GliederungmitNummerierung">
    <w:name w:val="Gliederung mit Nummerierung"/>
    <w:basedOn w:val="Normal"/>
    <w:uiPriority w:val="1"/>
    <w:qFormat/>
    <w:rsid w:val="001E5A75"/>
    <w:pPr>
      <w:numPr>
        <w:numId w:val="8"/>
      </w:numPr>
      <w:spacing w:line="312" w:lineRule="auto"/>
    </w:pPr>
  </w:style>
  <w:style w:type="paragraph" w:customStyle="1" w:styleId="HngEinrckung1">
    <w:name w:val="Häng. Einrückung1"/>
    <w:basedOn w:val="Normal"/>
    <w:uiPriority w:val="1"/>
    <w:qFormat/>
    <w:rsid w:val="001E5A75"/>
    <w:pPr>
      <w:spacing w:line="312" w:lineRule="auto"/>
      <w:ind w:left="567" w:hanging="567"/>
    </w:pPr>
  </w:style>
  <w:style w:type="paragraph" w:customStyle="1" w:styleId="HngEinrckung2">
    <w:name w:val="Häng. Einrückung2"/>
    <w:basedOn w:val="Normal"/>
    <w:uiPriority w:val="1"/>
    <w:qFormat/>
    <w:rsid w:val="001E5A75"/>
    <w:pPr>
      <w:spacing w:line="312" w:lineRule="auto"/>
      <w:ind w:left="1134" w:hanging="567"/>
    </w:pPr>
  </w:style>
  <w:style w:type="paragraph" w:customStyle="1" w:styleId="HngEinrckung3">
    <w:name w:val="Häng. Einrückung3"/>
    <w:basedOn w:val="Normal"/>
    <w:uiPriority w:val="1"/>
    <w:qFormat/>
    <w:rsid w:val="001E5A75"/>
    <w:pPr>
      <w:spacing w:line="312" w:lineRule="auto"/>
      <w:ind w:left="1701" w:hanging="567"/>
    </w:pPr>
  </w:style>
  <w:style w:type="character" w:styleId="Hyperlink">
    <w:name w:val="Hyperlink"/>
    <w:uiPriority w:val="99"/>
    <w:rsid w:val="001E5A75"/>
    <w:rPr>
      <w:rFonts w:cs="Times New Roman"/>
      <w:color w:val="0000FF"/>
      <w:u w:val="single"/>
    </w:rPr>
  </w:style>
  <w:style w:type="paragraph" w:styleId="Header">
    <w:name w:val="header"/>
    <w:basedOn w:val="Normal"/>
    <w:link w:val="HeaderChar"/>
    <w:uiPriority w:val="99"/>
    <w:rsid w:val="001E5A75"/>
    <w:pPr>
      <w:tabs>
        <w:tab w:val="center" w:pos="4536"/>
        <w:tab w:val="right" w:pos="9072"/>
      </w:tabs>
    </w:pPr>
    <w:rPr>
      <w:rFonts w:ascii="Arial" w:eastAsia="Arial" w:hAnsi="Arial"/>
      <w:szCs w:val="20"/>
      <w:lang w:val="lv-LV" w:eastAsia="de-DE"/>
    </w:rPr>
  </w:style>
  <w:style w:type="character" w:customStyle="1" w:styleId="HeaderChar">
    <w:name w:val="Header Char"/>
    <w:link w:val="Header"/>
    <w:uiPriority w:val="99"/>
    <w:locked/>
    <w:rsid w:val="001E5A75"/>
    <w:rPr>
      <w:rFonts w:ascii="Arial" w:hAnsi="Arial" w:cs="Times New Roman"/>
      <w:sz w:val="20"/>
      <w:szCs w:val="20"/>
      <w:lang w:eastAsia="de-DE"/>
    </w:rPr>
  </w:style>
  <w:style w:type="paragraph" w:customStyle="1" w:styleId="Marginalspalte">
    <w:name w:val="Marginalspalte"/>
    <w:basedOn w:val="Normal"/>
    <w:uiPriority w:val="1"/>
    <w:qFormat/>
    <w:rsid w:val="001E5A75"/>
    <w:pPr>
      <w:framePr w:w="851" w:h="851" w:hSpace="284" w:wrap="around" w:vAnchor="text" w:hAnchor="page" w:y="1"/>
    </w:pPr>
    <w:rPr>
      <w:i/>
      <w:szCs w:val="22"/>
    </w:rPr>
  </w:style>
  <w:style w:type="paragraph" w:customStyle="1" w:styleId="Nummerierungsart1">
    <w:name w:val="Nummerierungsart1"/>
    <w:basedOn w:val="Normal"/>
    <w:uiPriority w:val="1"/>
    <w:qFormat/>
    <w:rsid w:val="001E5A75"/>
    <w:pPr>
      <w:numPr>
        <w:numId w:val="9"/>
      </w:numPr>
    </w:pPr>
  </w:style>
  <w:style w:type="paragraph" w:customStyle="1" w:styleId="Nummerierungsart2">
    <w:name w:val="Nummerierungsart2"/>
    <w:basedOn w:val="Normal"/>
    <w:uiPriority w:val="1"/>
    <w:qFormat/>
    <w:rsid w:val="001E5A75"/>
    <w:pPr>
      <w:numPr>
        <w:numId w:val="10"/>
      </w:numPr>
    </w:pPr>
  </w:style>
  <w:style w:type="paragraph" w:customStyle="1" w:styleId="Nummerierungsart3">
    <w:name w:val="Nummerierungsart3"/>
    <w:basedOn w:val="Normal"/>
    <w:uiPriority w:val="1"/>
    <w:qFormat/>
    <w:rsid w:val="001E5A75"/>
    <w:pPr>
      <w:numPr>
        <w:numId w:val="11"/>
      </w:numPr>
    </w:pPr>
  </w:style>
  <w:style w:type="paragraph" w:customStyle="1" w:styleId="Nummerierungsart4">
    <w:name w:val="Nummerierungsart4"/>
    <w:basedOn w:val="Normal"/>
    <w:uiPriority w:val="1"/>
    <w:qFormat/>
    <w:rsid w:val="001E5A75"/>
    <w:pPr>
      <w:numPr>
        <w:numId w:val="12"/>
      </w:numPr>
    </w:pPr>
  </w:style>
  <w:style w:type="character" w:styleId="PageNumber">
    <w:name w:val="page number"/>
    <w:uiPriority w:val="99"/>
    <w:rsid w:val="001E5A75"/>
    <w:rPr>
      <w:rFonts w:ascii="Arial" w:hAnsi="Arial" w:cs="Times New Roman"/>
      <w:sz w:val="22"/>
    </w:rPr>
  </w:style>
  <w:style w:type="character" w:customStyle="1" w:styleId="Heading3Char1">
    <w:name w:val="Heading 3 Char1"/>
    <w:link w:val="Heading3"/>
    <w:uiPriority w:val="99"/>
    <w:locked/>
    <w:rsid w:val="001E5A75"/>
    <w:rPr>
      <w:rFonts w:ascii="Arial" w:hAnsi="Arial" w:cs="Times New Roman"/>
      <w:b/>
      <w:sz w:val="20"/>
      <w:szCs w:val="20"/>
      <w:lang w:eastAsia="de-DE"/>
    </w:rPr>
  </w:style>
  <w:style w:type="paragraph" w:styleId="TOC1">
    <w:name w:val="toc 1"/>
    <w:basedOn w:val="Normal"/>
    <w:next w:val="Normal"/>
    <w:autoRedefine/>
    <w:uiPriority w:val="39"/>
    <w:qFormat/>
    <w:rsid w:val="001E5A75"/>
    <w:pPr>
      <w:tabs>
        <w:tab w:val="left" w:pos="794"/>
        <w:tab w:val="right" w:leader="dot" w:pos="9071"/>
      </w:tabs>
      <w:ind w:left="794" w:hanging="794"/>
    </w:pPr>
    <w:rPr>
      <w:b/>
      <w:smallCaps/>
      <w:noProof/>
      <w:sz w:val="24"/>
    </w:rPr>
  </w:style>
  <w:style w:type="paragraph" w:styleId="TOC2">
    <w:name w:val="toc 2"/>
    <w:basedOn w:val="Normal"/>
    <w:next w:val="Normal"/>
    <w:autoRedefine/>
    <w:uiPriority w:val="39"/>
    <w:qFormat/>
    <w:rsid w:val="006E126B"/>
    <w:pPr>
      <w:tabs>
        <w:tab w:val="left" w:pos="794"/>
        <w:tab w:val="right" w:leader="dot" w:pos="9071"/>
      </w:tabs>
      <w:spacing w:after="60"/>
      <w:ind w:left="794" w:hanging="794"/>
    </w:pPr>
    <w:rPr>
      <w:b/>
      <w:smallCaps/>
      <w:noProof/>
      <w:szCs w:val="22"/>
    </w:rPr>
  </w:style>
  <w:style w:type="paragraph" w:styleId="TOC3">
    <w:name w:val="toc 3"/>
    <w:basedOn w:val="Normal"/>
    <w:next w:val="Normal"/>
    <w:autoRedefine/>
    <w:uiPriority w:val="39"/>
    <w:qFormat/>
    <w:rsid w:val="001E5A75"/>
    <w:pPr>
      <w:tabs>
        <w:tab w:val="left" w:pos="794"/>
        <w:tab w:val="right" w:leader="dot" w:pos="9072"/>
      </w:tabs>
      <w:spacing w:after="60"/>
      <w:ind w:left="794" w:hanging="794"/>
    </w:pPr>
    <w:rPr>
      <w:smallCaps/>
      <w:noProof/>
    </w:rPr>
  </w:style>
  <w:style w:type="paragraph" w:styleId="TOC4">
    <w:name w:val="toc 4"/>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5">
    <w:name w:val="toc 5"/>
    <w:basedOn w:val="Normal"/>
    <w:next w:val="Normal"/>
    <w:autoRedefine/>
    <w:uiPriority w:val="39"/>
    <w:rsid w:val="001E5A75"/>
    <w:pPr>
      <w:tabs>
        <w:tab w:val="left" w:pos="794"/>
        <w:tab w:val="right" w:leader="dot" w:pos="9071"/>
      </w:tabs>
      <w:spacing w:after="40"/>
      <w:ind w:left="794" w:hanging="794"/>
    </w:pPr>
    <w:rPr>
      <w:smallCaps/>
      <w:noProof/>
      <w:sz w:val="18"/>
      <w:szCs w:val="18"/>
    </w:rPr>
  </w:style>
  <w:style w:type="paragraph" w:styleId="TOC6">
    <w:name w:val="toc 6"/>
    <w:basedOn w:val="Normal"/>
    <w:next w:val="Normal"/>
    <w:autoRedefine/>
    <w:uiPriority w:val="39"/>
    <w:rsid w:val="001E5A75"/>
    <w:pPr>
      <w:tabs>
        <w:tab w:val="left" w:pos="2058"/>
        <w:tab w:val="right" w:leader="dot" w:pos="9071"/>
      </w:tabs>
      <w:ind w:left="1134" w:hanging="1134"/>
    </w:pPr>
    <w:rPr>
      <w:noProof/>
      <w:sz w:val="16"/>
    </w:rPr>
  </w:style>
  <w:style w:type="paragraph" w:styleId="TOC7">
    <w:name w:val="toc 7"/>
    <w:basedOn w:val="Normal"/>
    <w:next w:val="Normal"/>
    <w:autoRedefine/>
    <w:uiPriority w:val="39"/>
    <w:rsid w:val="001E5A75"/>
    <w:pPr>
      <w:tabs>
        <w:tab w:val="right" w:leader="dot" w:pos="9071"/>
      </w:tabs>
      <w:ind w:left="1134" w:hanging="1134"/>
    </w:pPr>
    <w:rPr>
      <w:sz w:val="16"/>
    </w:rPr>
  </w:style>
  <w:style w:type="paragraph" w:styleId="TOC8">
    <w:name w:val="toc 8"/>
    <w:basedOn w:val="Normal"/>
    <w:next w:val="Normal"/>
    <w:autoRedefine/>
    <w:uiPriority w:val="39"/>
    <w:rsid w:val="001E5A75"/>
    <w:pPr>
      <w:tabs>
        <w:tab w:val="left" w:pos="2758"/>
        <w:tab w:val="right" w:leader="dot" w:pos="9071"/>
      </w:tabs>
      <w:ind w:left="1361" w:hanging="1361"/>
    </w:pPr>
    <w:rPr>
      <w:noProof/>
      <w:sz w:val="16"/>
    </w:rPr>
  </w:style>
  <w:style w:type="paragraph" w:styleId="TOC9">
    <w:name w:val="toc 9"/>
    <w:basedOn w:val="Normal"/>
    <w:next w:val="Normal"/>
    <w:autoRedefine/>
    <w:uiPriority w:val="39"/>
    <w:rsid w:val="001E5A75"/>
    <w:pPr>
      <w:tabs>
        <w:tab w:val="right" w:leader="dot" w:pos="9071"/>
      </w:tabs>
      <w:ind w:left="1361" w:hanging="1361"/>
    </w:pPr>
    <w:rPr>
      <w:sz w:val="16"/>
    </w:rPr>
  </w:style>
  <w:style w:type="paragraph" w:styleId="Quote">
    <w:name w:val="Quote"/>
    <w:basedOn w:val="Normal"/>
    <w:next w:val="Normal"/>
    <w:link w:val="QuoteChar"/>
    <w:uiPriority w:val="29"/>
    <w:qFormat/>
    <w:rsid w:val="001E5A75"/>
    <w:rPr>
      <w:rFonts w:ascii="Arial" w:eastAsia="Arial" w:hAnsi="Arial"/>
      <w:i/>
      <w:iCs/>
      <w:color w:val="000000"/>
      <w:szCs w:val="20"/>
      <w:lang w:val="lv-LV" w:eastAsia="de-DE"/>
    </w:rPr>
  </w:style>
  <w:style w:type="character" w:customStyle="1" w:styleId="QuoteChar">
    <w:name w:val="Quote Char"/>
    <w:link w:val="Quote"/>
    <w:uiPriority w:val="29"/>
    <w:semiHidden/>
    <w:locked/>
    <w:rsid w:val="001E5A75"/>
    <w:rPr>
      <w:rFonts w:ascii="Arial" w:hAnsi="Arial" w:cs="Times New Roman"/>
      <w:i/>
      <w:iCs/>
      <w:color w:val="000000"/>
      <w:sz w:val="20"/>
      <w:szCs w:val="20"/>
      <w:lang w:eastAsia="de-DE"/>
    </w:rPr>
  </w:style>
  <w:style w:type="paragraph" w:styleId="TOCHeading">
    <w:name w:val="TOC Heading"/>
    <w:basedOn w:val="Heading1"/>
    <w:next w:val="Normal"/>
    <w:uiPriority w:val="39"/>
    <w:qFormat/>
    <w:rsid w:val="001E5A75"/>
    <w:pPr>
      <w:keepLines/>
      <w:spacing w:before="480" w:line="311" w:lineRule="auto"/>
      <w:outlineLvl w:val="9"/>
    </w:pPr>
    <w:rPr>
      <w:rFonts w:ascii="Arial" w:hAnsi="Arial"/>
      <w:bCs/>
      <w:color w:val="4B67A3"/>
      <w:szCs w:val="28"/>
    </w:rPr>
  </w:style>
  <w:style w:type="paragraph" w:styleId="EndnoteText">
    <w:name w:val="endnote text"/>
    <w:basedOn w:val="Normal"/>
    <w:link w:val="EndnoteTextChar"/>
    <w:uiPriority w:val="1"/>
    <w:rsid w:val="001E5A75"/>
    <w:pPr>
      <w:spacing w:line="180" w:lineRule="exact"/>
      <w:ind w:left="142" w:hanging="142"/>
    </w:pPr>
    <w:rPr>
      <w:rFonts w:ascii="Arial" w:eastAsia="Arial" w:hAnsi="Arial"/>
      <w:szCs w:val="20"/>
      <w:lang w:val="lv-LV" w:eastAsia="de-DE"/>
    </w:rPr>
  </w:style>
  <w:style w:type="character" w:customStyle="1" w:styleId="EndnoteTextChar">
    <w:name w:val="Endnote Text Char"/>
    <w:link w:val="EndnoteText"/>
    <w:uiPriority w:val="1"/>
    <w:locked/>
    <w:rsid w:val="001E5A75"/>
    <w:rPr>
      <w:rFonts w:ascii="Arial" w:hAnsi="Arial" w:cs="Times New Roman"/>
      <w:sz w:val="20"/>
      <w:szCs w:val="20"/>
      <w:lang w:eastAsia="de-DE"/>
    </w:rPr>
  </w:style>
  <w:style w:type="character" w:styleId="EndnoteReference">
    <w:name w:val="endnote reference"/>
    <w:uiPriority w:val="1"/>
    <w:rsid w:val="001E5A75"/>
    <w:rPr>
      <w:rFonts w:ascii="Arial" w:hAnsi="Arial" w:cs="Times New Roman"/>
      <w:color w:val="auto"/>
      <w:position w:val="4"/>
      <w:sz w:val="12"/>
      <w:vertAlign w:val="baseline"/>
    </w:rPr>
  </w:style>
  <w:style w:type="paragraph" w:customStyle="1" w:styleId="Ballontekst">
    <w:name w:val="Ballontekst"/>
    <w:basedOn w:val="Normal"/>
    <w:uiPriority w:val="99"/>
    <w:semiHidden/>
    <w:rsid w:val="00884FEB"/>
    <w:rPr>
      <w:rFonts w:ascii="Tahoma" w:hAnsi="Tahoma" w:cs="Tahoma"/>
      <w:sz w:val="16"/>
      <w:szCs w:val="16"/>
    </w:rPr>
  </w:style>
  <w:style w:type="character" w:styleId="CommentReference">
    <w:name w:val="annotation reference"/>
    <w:uiPriority w:val="99"/>
    <w:rsid w:val="00884FEB"/>
    <w:rPr>
      <w:rFonts w:cs="Times New Roman"/>
      <w:sz w:val="16"/>
      <w:szCs w:val="16"/>
    </w:rPr>
  </w:style>
  <w:style w:type="paragraph" w:styleId="CommentText">
    <w:name w:val="annotation text"/>
    <w:basedOn w:val="Normal"/>
    <w:link w:val="CommentTextChar"/>
    <w:rsid w:val="00884FEB"/>
    <w:rPr>
      <w:rFonts w:eastAsia="Arial"/>
      <w:szCs w:val="20"/>
      <w:lang w:val="lv-LV" w:eastAsia="x-none"/>
    </w:rPr>
  </w:style>
  <w:style w:type="character" w:customStyle="1" w:styleId="CommentTextChar">
    <w:name w:val="Comment Text Char"/>
    <w:link w:val="CommentText"/>
    <w:locked/>
    <w:rsid w:val="00884FEB"/>
    <w:rPr>
      <w:rFonts w:ascii="Verdana" w:hAnsi="Verdana" w:cs="Times New Roman"/>
      <w:sz w:val="20"/>
      <w:szCs w:val="20"/>
      <w:lang w:val="lv-LV"/>
    </w:rPr>
  </w:style>
  <w:style w:type="paragraph" w:customStyle="1" w:styleId="Onderwerpvanopmerking">
    <w:name w:val="Onderwerp van opmerking"/>
    <w:basedOn w:val="CommentText"/>
    <w:next w:val="CommentText"/>
    <w:uiPriority w:val="99"/>
    <w:semiHidden/>
    <w:rsid w:val="00884FEB"/>
    <w:rPr>
      <w:b/>
      <w:bCs/>
    </w:rPr>
  </w:style>
  <w:style w:type="character" w:styleId="FollowedHyperlink">
    <w:name w:val="FollowedHyperlink"/>
    <w:uiPriority w:val="99"/>
    <w:rsid w:val="00884FEB"/>
    <w:rPr>
      <w:rFonts w:cs="Times New Roman"/>
      <w:color w:val="606420"/>
      <w:u w:val="single"/>
    </w:rPr>
  </w:style>
  <w:style w:type="paragraph" w:styleId="BalloonText">
    <w:name w:val="Balloon Text"/>
    <w:basedOn w:val="Normal"/>
    <w:link w:val="BalloonTextChar"/>
    <w:uiPriority w:val="99"/>
    <w:rsid w:val="00884FEB"/>
    <w:rPr>
      <w:rFonts w:ascii="Tahoma" w:eastAsia="Arial" w:hAnsi="Tahoma"/>
      <w:sz w:val="16"/>
      <w:szCs w:val="16"/>
      <w:lang w:val="lv-LV" w:eastAsia="x-none"/>
    </w:rPr>
  </w:style>
  <w:style w:type="character" w:customStyle="1" w:styleId="BalloonTextChar">
    <w:name w:val="Balloon Text Char"/>
    <w:link w:val="BalloonText"/>
    <w:uiPriority w:val="99"/>
    <w:locked/>
    <w:rsid w:val="00884FEB"/>
    <w:rPr>
      <w:rFonts w:ascii="Tahoma" w:hAnsi="Tahoma" w:cs="Tahoma"/>
      <w:sz w:val="16"/>
      <w:szCs w:val="16"/>
      <w:lang w:val="lv-LV"/>
    </w:rPr>
  </w:style>
  <w:style w:type="paragraph" w:styleId="CommentSubject">
    <w:name w:val="annotation subject"/>
    <w:basedOn w:val="CommentText"/>
    <w:next w:val="CommentText"/>
    <w:link w:val="CommentSubjectChar"/>
    <w:uiPriority w:val="99"/>
    <w:rsid w:val="00884FEB"/>
    <w:rPr>
      <w:b/>
      <w:bCs/>
    </w:rPr>
  </w:style>
  <w:style w:type="character" w:customStyle="1" w:styleId="CommentSubjectChar">
    <w:name w:val="Comment Subject Char"/>
    <w:link w:val="CommentSubject"/>
    <w:uiPriority w:val="99"/>
    <w:locked/>
    <w:rsid w:val="00884FEB"/>
    <w:rPr>
      <w:rFonts w:ascii="Verdana" w:hAnsi="Verdana" w:cs="Times New Roman"/>
      <w:b/>
      <w:bCs/>
      <w:sz w:val="20"/>
      <w:szCs w:val="20"/>
      <w:lang w:val="lv-LV"/>
    </w:rPr>
  </w:style>
  <w:style w:type="table" w:styleId="TableGrid">
    <w:name w:val="Table Grid"/>
    <w:aliases w:val="Tabla CUADROS"/>
    <w:basedOn w:val="TableNormal"/>
    <w:uiPriority w:val="59"/>
    <w:rsid w:val="00884FEB"/>
    <w:rPr>
      <w:rFonts w:ascii="Times New Roman" w:eastAsia="Times New Roman" w:hAnsi="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berschrift4">
    <w:name w:val="Formatvorlage Überschrift 4"/>
    <w:basedOn w:val="Heading4"/>
    <w:link w:val="Formatvorlageberschrift4Char"/>
    <w:uiPriority w:val="99"/>
    <w:rsid w:val="00884FEB"/>
    <w:pPr>
      <w:spacing w:before="240" w:after="60"/>
    </w:pPr>
    <w:rPr>
      <w:iCs/>
      <w:szCs w:val="28"/>
    </w:rPr>
  </w:style>
  <w:style w:type="character" w:customStyle="1" w:styleId="Formatvorlageberschrift4Char">
    <w:name w:val="Formatvorlage Überschrift 4 Char"/>
    <w:link w:val="Formatvorlageberschrift4"/>
    <w:uiPriority w:val="99"/>
    <w:locked/>
    <w:rsid w:val="00884FEB"/>
    <w:rPr>
      <w:rFonts w:ascii="Verdana" w:eastAsia="Times New Roman" w:hAnsi="Verdana"/>
      <w:b/>
      <w:iCs/>
      <w:szCs w:val="28"/>
      <w:u w:val="single"/>
      <w:lang w:eastAsia="en-US" w:bidi="ar-SA"/>
    </w:rPr>
  </w:style>
  <w:style w:type="paragraph" w:customStyle="1" w:styleId="Instructionsberschrift1">
    <w:name w:val="Instructions Überschrift 1"/>
    <w:basedOn w:val="Heading1"/>
    <w:rsid w:val="00884FEB"/>
    <w:pPr>
      <w:tabs>
        <w:tab w:val="num" w:pos="540"/>
      </w:tabs>
      <w:spacing w:before="240"/>
      <w:ind w:left="540" w:hanging="540"/>
    </w:pPr>
    <w:rPr>
      <w:b w:val="0"/>
      <w:kern w:val="32"/>
    </w:rPr>
  </w:style>
  <w:style w:type="paragraph" w:customStyle="1" w:styleId="Instructionsberschrift2">
    <w:name w:val="Instructions Überschrift 2"/>
    <w:basedOn w:val="Heading2"/>
    <w:rsid w:val="008C122C"/>
    <w:pPr>
      <w:numPr>
        <w:numId w:val="13"/>
      </w:numPr>
      <w:spacing w:after="240"/>
    </w:pPr>
    <w:rPr>
      <w:rFonts w:cs="Arial"/>
      <w:b w:val="0"/>
      <w:sz w:val="20"/>
    </w:rPr>
  </w:style>
  <w:style w:type="paragraph" w:customStyle="1" w:styleId="Instructionsberschrift3">
    <w:name w:val="Instructions Überschrift 3"/>
    <w:basedOn w:val="Heading3"/>
    <w:link w:val="Instructionsberschrift3Zchn"/>
    <w:rsid w:val="006746DB"/>
    <w:pPr>
      <w:numPr>
        <w:numId w:val="14"/>
      </w:numPr>
      <w:spacing w:before="240" w:after="60" w:line="360" w:lineRule="auto"/>
    </w:pPr>
    <w:rPr>
      <w:rFonts w:ascii="Verdana" w:eastAsia="Times New Roman" w:hAnsi="Verdana"/>
      <w:szCs w:val="26"/>
      <w:u w:val="single"/>
      <w:lang w:val="lv-LV" w:eastAsia="en-US"/>
    </w:rPr>
  </w:style>
  <w:style w:type="character" w:customStyle="1" w:styleId="Instructionsberschrift3Zchn">
    <w:name w:val="Instructions Überschrift 3 Zchn"/>
    <w:link w:val="Instructionsberschrift3"/>
    <w:locked/>
    <w:rsid w:val="006746DB"/>
    <w:rPr>
      <w:rFonts w:ascii="Verdana" w:eastAsia="Times New Roman" w:hAnsi="Verdana"/>
      <w:b/>
      <w:szCs w:val="26"/>
      <w:u w:val="single"/>
      <w:lang w:eastAsia="en-US" w:bidi="ar-SA"/>
    </w:rPr>
  </w:style>
  <w:style w:type="paragraph" w:customStyle="1" w:styleId="Instructionsberschrift4">
    <w:name w:val="Instructions Überschrift 4"/>
    <w:basedOn w:val="Heading4"/>
    <w:next w:val="InstructionsText"/>
    <w:link w:val="Instructionsberschrift4Char"/>
    <w:uiPriority w:val="99"/>
    <w:rsid w:val="00884FEB"/>
    <w:pPr>
      <w:tabs>
        <w:tab w:val="left" w:pos="1520"/>
      </w:tabs>
      <w:autoSpaceDE w:val="0"/>
      <w:autoSpaceDN w:val="0"/>
      <w:adjustRightInd w:val="0"/>
      <w:spacing w:before="240" w:after="240"/>
      <w:ind w:left="970" w:hanging="970"/>
    </w:pPr>
    <w:rPr>
      <w:bCs/>
    </w:rPr>
  </w:style>
  <w:style w:type="paragraph" w:customStyle="1" w:styleId="InstructionsText">
    <w:name w:val="Instructions Text"/>
    <w:basedOn w:val="Normal"/>
    <w:link w:val="InstructionsTextChar"/>
    <w:autoRedefine/>
    <w:rsid w:val="00E36728"/>
    <w:pPr>
      <w:spacing w:before="0"/>
      <w:jc w:val="left"/>
    </w:pPr>
    <w:rPr>
      <w:rFonts w:ascii="Times New Roman" w:hAnsi="Times New Roman"/>
      <w:sz w:val="24"/>
      <w:lang w:eastAsia="de-DE"/>
    </w:rPr>
  </w:style>
  <w:style w:type="character" w:customStyle="1" w:styleId="Instructionsberschrift4Char">
    <w:name w:val="Instructions Überschrift 4 Char"/>
    <w:link w:val="Instructionsberschrift4"/>
    <w:uiPriority w:val="99"/>
    <w:locked/>
    <w:rsid w:val="00884FEB"/>
    <w:rPr>
      <w:rFonts w:ascii="Verdana" w:eastAsia="Times New Roman" w:hAnsi="Verdana"/>
      <w:b/>
      <w:bCs/>
      <w:szCs w:val="24"/>
      <w:u w:val="single"/>
      <w:lang w:eastAsia="en-US" w:bidi="ar-SA"/>
    </w:rPr>
  </w:style>
  <w:style w:type="character" w:customStyle="1" w:styleId="InstructionsTabelleberschrift">
    <w:name w:val="Instructions Tabelle Überschrift"/>
    <w:qFormat/>
    <w:rsid w:val="00884FEB"/>
    <w:rPr>
      <w:rFonts w:ascii="Verdana" w:hAnsi="Verdana" w:cs="Times New Roman"/>
      <w:b/>
      <w:bCs/>
      <w:sz w:val="20"/>
      <w:u w:val="single"/>
    </w:rPr>
  </w:style>
  <w:style w:type="character" w:customStyle="1" w:styleId="InstructionsTabelleText">
    <w:name w:val="Instructions Tabelle Text"/>
    <w:rsid w:val="00884FEB"/>
    <w:rPr>
      <w:rFonts w:ascii="Verdana" w:hAnsi="Verdana" w:cs="Times New Roman"/>
      <w:sz w:val="20"/>
    </w:rPr>
  </w:style>
  <w:style w:type="character" w:customStyle="1" w:styleId="FormatvorlageInstructionsTabelleText">
    <w:name w:val="Formatvorlage Instructions Tabelle Text"/>
    <w:uiPriority w:val="99"/>
    <w:qFormat/>
    <w:rsid w:val="00412D44"/>
    <w:rPr>
      <w:rFonts w:ascii="Verdana" w:hAnsi="Verdana" w:cs="Times New Roman"/>
      <w:bCs/>
      <w:sz w:val="20"/>
      <w:u w:val="none"/>
    </w:rPr>
  </w:style>
  <w:style w:type="paragraph" w:customStyle="1" w:styleId="FormatvorlageInstructionsberschrift3Links0cmErsteZeile0cm">
    <w:name w:val="Formatvorlage Instructions Überschrift 3 + Links:  0 cm Erste Zeile:  0 cm"/>
    <w:basedOn w:val="Instructionsberschrift3"/>
    <w:next w:val="Instructionsberschrift3"/>
    <w:uiPriority w:val="99"/>
    <w:rsid w:val="00884FEB"/>
    <w:pPr>
      <w:ind w:left="0" w:firstLine="0"/>
    </w:pPr>
    <w:rPr>
      <w:szCs w:val="20"/>
    </w:rPr>
  </w:style>
  <w:style w:type="paragraph" w:customStyle="1" w:styleId="Texte2">
    <w:name w:val="Texte 2"/>
    <w:basedOn w:val="Normal"/>
    <w:uiPriority w:val="99"/>
    <w:rsid w:val="00884FEB"/>
    <w:pPr>
      <w:spacing w:after="0"/>
      <w:ind w:left="567"/>
    </w:pPr>
    <w:rPr>
      <w:sz w:val="22"/>
      <w:szCs w:val="20"/>
      <w:lang w:eastAsia="fr-FR"/>
    </w:rPr>
  </w:style>
  <w:style w:type="paragraph" w:customStyle="1" w:styleId="Prrafodelista1">
    <w:name w:val="Párrafo de lista1"/>
    <w:basedOn w:val="Normal"/>
    <w:uiPriority w:val="99"/>
    <w:rsid w:val="00884FEB"/>
    <w:pPr>
      <w:ind w:left="720"/>
    </w:pPr>
  </w:style>
  <w:style w:type="paragraph" w:customStyle="1" w:styleId="Prrafodelista2">
    <w:name w:val="Párrafo de lista2"/>
    <w:basedOn w:val="Normal"/>
    <w:uiPriority w:val="99"/>
    <w:rsid w:val="00884FEB"/>
    <w:pPr>
      <w:ind w:left="708"/>
    </w:pPr>
  </w:style>
  <w:style w:type="paragraph" w:styleId="PlainText">
    <w:name w:val="Plain Text"/>
    <w:basedOn w:val="Normal"/>
    <w:link w:val="PlainTextChar"/>
    <w:uiPriority w:val="99"/>
    <w:rsid w:val="00884FEB"/>
    <w:pPr>
      <w:spacing w:before="0" w:after="0"/>
      <w:jc w:val="left"/>
    </w:pPr>
    <w:rPr>
      <w:rFonts w:eastAsia="Arial"/>
      <w:szCs w:val="20"/>
      <w:lang w:val="lv-LV" w:eastAsia="es-ES_tradnl"/>
    </w:rPr>
  </w:style>
  <w:style w:type="character" w:customStyle="1" w:styleId="PlainTextChar">
    <w:name w:val="Plain Text Char"/>
    <w:link w:val="PlainText"/>
    <w:uiPriority w:val="99"/>
    <w:locked/>
    <w:rsid w:val="00884FEB"/>
    <w:rPr>
      <w:rFonts w:ascii="Verdana" w:hAnsi="Verdana" w:cs="Times New Roman"/>
      <w:sz w:val="20"/>
      <w:szCs w:val="20"/>
      <w:lang w:val="lv-LV" w:eastAsia="es-ES_tradnl"/>
    </w:rPr>
  </w:style>
  <w:style w:type="paragraph" w:customStyle="1" w:styleId="Listenabsatz1">
    <w:name w:val="Listenabsatz1"/>
    <w:basedOn w:val="Normal"/>
    <w:uiPriority w:val="99"/>
    <w:rsid w:val="00884FEB"/>
    <w:pPr>
      <w:ind w:left="708"/>
    </w:pPr>
  </w:style>
  <w:style w:type="character" w:customStyle="1" w:styleId="InstructionsTextChar">
    <w:name w:val="Instructions Text Char"/>
    <w:link w:val="InstructionsText"/>
    <w:locked/>
    <w:rsid w:val="00E36728"/>
    <w:rPr>
      <w:rFonts w:ascii="Times New Roman" w:eastAsia="Times New Roman" w:hAnsi="Times New Roman"/>
      <w:sz w:val="24"/>
      <w:szCs w:val="24"/>
      <w:lang w:eastAsia="de-DE" w:bidi="ar-SA"/>
    </w:rPr>
  </w:style>
  <w:style w:type="paragraph" w:styleId="Revision">
    <w:name w:val="Revision"/>
    <w:hidden/>
    <w:uiPriority w:val="99"/>
    <w:semiHidden/>
    <w:rsid w:val="00884FEB"/>
    <w:rPr>
      <w:rFonts w:ascii="Verdana" w:eastAsia="Times New Roman" w:hAnsi="Verdana"/>
      <w:szCs w:val="24"/>
      <w:lang w:val="lv-LV" w:eastAsia="en-US" w:bidi="ar-SA"/>
    </w:rPr>
  </w:style>
  <w:style w:type="paragraph" w:styleId="ListParagraph">
    <w:name w:val="List Paragraph"/>
    <w:basedOn w:val="Normal"/>
    <w:uiPriority w:val="34"/>
    <w:qFormat/>
    <w:rsid w:val="00884FEB"/>
    <w:pPr>
      <w:ind w:left="708"/>
    </w:pPr>
  </w:style>
  <w:style w:type="character" w:styleId="PlaceholderText">
    <w:name w:val="Placeholder Text"/>
    <w:uiPriority w:val="99"/>
    <w:semiHidden/>
    <w:rsid w:val="00D946DB"/>
    <w:rPr>
      <w:rFonts w:cs="Times New Roman"/>
      <w:color w:val="808080"/>
    </w:rPr>
  </w:style>
  <w:style w:type="paragraph" w:customStyle="1" w:styleId="InstructionsText2">
    <w:name w:val="Instructions Text 2"/>
    <w:basedOn w:val="InstructionsText"/>
    <w:qFormat/>
    <w:rsid w:val="0046452F"/>
    <w:pPr>
      <w:numPr>
        <w:numId w:val="15"/>
      </w:numPr>
      <w:spacing w:after="240"/>
    </w:pPr>
  </w:style>
  <w:style w:type="character" w:customStyle="1" w:styleId="Instructionsberschrift3Char">
    <w:name w:val="Instructions Überschrift 3 Char"/>
    <w:locked/>
    <w:rsid w:val="003B3DBB"/>
    <w:rPr>
      <w:rFonts w:ascii="Verdana" w:hAnsi="Verdana" w:cs="Arial"/>
      <w:b/>
      <w:bCs/>
      <w:sz w:val="26"/>
      <w:szCs w:val="26"/>
      <w:u w:val="single"/>
      <w:lang w:val="lv-LV" w:eastAsia="en-US" w:bidi="ar-SA"/>
    </w:rPr>
  </w:style>
  <w:style w:type="paragraph" w:customStyle="1" w:styleId="CM4">
    <w:name w:val="CM4"/>
    <w:basedOn w:val="Normal"/>
    <w:next w:val="Normal"/>
    <w:uiPriority w:val="99"/>
    <w:rsid w:val="008815DE"/>
    <w:pPr>
      <w:autoSpaceDE w:val="0"/>
      <w:autoSpaceDN w:val="0"/>
      <w:adjustRightInd w:val="0"/>
      <w:spacing w:before="0" w:after="0"/>
      <w:jc w:val="left"/>
    </w:pPr>
    <w:rPr>
      <w:rFonts w:ascii="Times New Roman" w:eastAsia="Arial" w:hAnsi="Times New Roman"/>
      <w:sz w:val="24"/>
      <w:lang w:val="lv-LV"/>
    </w:rPr>
  </w:style>
  <w:style w:type="paragraph" w:styleId="DocumentMap">
    <w:name w:val="Document Map"/>
    <w:basedOn w:val="Normal"/>
    <w:link w:val="DocumentMapChar"/>
    <w:uiPriority w:val="99"/>
    <w:semiHidden/>
    <w:rsid w:val="0088630E"/>
    <w:pPr>
      <w:spacing w:before="0" w:after="0"/>
    </w:pPr>
    <w:rPr>
      <w:rFonts w:ascii="Tahoma" w:eastAsia="Arial" w:hAnsi="Tahoma"/>
      <w:sz w:val="16"/>
      <w:szCs w:val="16"/>
      <w:lang w:val="lv-LV" w:eastAsia="x-none"/>
    </w:rPr>
  </w:style>
  <w:style w:type="character" w:customStyle="1" w:styleId="DocumentMapChar">
    <w:name w:val="Document Map Char"/>
    <w:link w:val="DocumentMap"/>
    <w:uiPriority w:val="99"/>
    <w:semiHidden/>
    <w:locked/>
    <w:rsid w:val="0088630E"/>
    <w:rPr>
      <w:rFonts w:ascii="Tahoma" w:hAnsi="Tahoma" w:cs="Tahoma"/>
      <w:sz w:val="16"/>
      <w:szCs w:val="16"/>
      <w:lang w:val="lv-LV"/>
    </w:rPr>
  </w:style>
  <w:style w:type="paragraph" w:customStyle="1" w:styleId="Titrearticle">
    <w:name w:val="Titre article"/>
    <w:basedOn w:val="Normal"/>
    <w:next w:val="Normal"/>
    <w:rsid w:val="00C87CEE"/>
    <w:pPr>
      <w:keepNext/>
      <w:spacing w:before="360"/>
      <w:jc w:val="center"/>
    </w:pPr>
    <w:rPr>
      <w:rFonts w:ascii="Times New Roman" w:hAnsi="Times New Roman"/>
      <w:i/>
      <w:sz w:val="24"/>
      <w:lang w:eastAsia="de-DE"/>
    </w:rPr>
  </w:style>
  <w:style w:type="paragraph" w:customStyle="1" w:styleId="Baseparagraphnumbered">
    <w:name w:val="Base paragraph numbered"/>
    <w:basedOn w:val="Normal"/>
    <w:link w:val="BaseparagraphnumberedChar"/>
    <w:qFormat/>
    <w:rsid w:val="00C87CEE"/>
    <w:pPr>
      <w:numPr>
        <w:numId w:val="19"/>
      </w:numPr>
      <w:spacing w:before="0" w:after="240"/>
    </w:pPr>
    <w:rPr>
      <w:rFonts w:ascii="Times New Roman" w:eastAsia="Arial" w:hAnsi="Times New Roman"/>
      <w:sz w:val="24"/>
      <w:szCs w:val="20"/>
      <w:lang w:eastAsia="en-GB"/>
    </w:rPr>
  </w:style>
  <w:style w:type="character" w:customStyle="1" w:styleId="BaseparagraphnumberedChar">
    <w:name w:val="Base paragraph numbered Char"/>
    <w:link w:val="Baseparagraphnumbered"/>
    <w:locked/>
    <w:rsid w:val="00C87CEE"/>
    <w:rPr>
      <w:rFonts w:ascii="Times New Roman" w:hAnsi="Times New Roman"/>
      <w:sz w:val="24"/>
      <w:lang w:bidi="ar-SA"/>
    </w:rPr>
  </w:style>
  <w:style w:type="character" w:customStyle="1" w:styleId="NumPar1Char">
    <w:name w:val="NumPar 1 Char"/>
    <w:link w:val="NumPar1"/>
    <w:uiPriority w:val="99"/>
    <w:locked/>
    <w:rsid w:val="00D34F75"/>
    <w:rPr>
      <w:rFonts w:cs="Times New Roman"/>
      <w:sz w:val="24"/>
      <w:szCs w:val="24"/>
      <w:lang w:val="lv-LV" w:eastAsia="de-DE"/>
    </w:rPr>
  </w:style>
  <w:style w:type="paragraph" w:customStyle="1" w:styleId="NumPar1">
    <w:name w:val="NumPar 1"/>
    <w:basedOn w:val="Normal"/>
    <w:next w:val="Normal"/>
    <w:link w:val="NumPar1Char"/>
    <w:uiPriority w:val="99"/>
    <w:rsid w:val="00D34F75"/>
    <w:pPr>
      <w:tabs>
        <w:tab w:val="num" w:pos="850"/>
      </w:tabs>
      <w:ind w:left="850" w:hanging="850"/>
    </w:pPr>
    <w:rPr>
      <w:rFonts w:ascii="Arial" w:eastAsia="Arial" w:hAnsi="Arial"/>
      <w:sz w:val="24"/>
      <w:lang w:eastAsia="de-DE"/>
    </w:rPr>
  </w:style>
  <w:style w:type="character" w:customStyle="1" w:styleId="Point1letterChar">
    <w:name w:val="Point 1 (letter) Char"/>
    <w:link w:val="Point1letter"/>
    <w:uiPriority w:val="99"/>
    <w:locked/>
    <w:rsid w:val="00D34F75"/>
    <w:rPr>
      <w:rFonts w:cs="Times New Roman"/>
      <w:sz w:val="24"/>
      <w:szCs w:val="24"/>
      <w:lang w:val="lv-LV" w:eastAsia="en-US"/>
    </w:rPr>
  </w:style>
  <w:style w:type="paragraph" w:customStyle="1" w:styleId="Point1letter">
    <w:name w:val="Point 1 (letter)"/>
    <w:basedOn w:val="Normal"/>
    <w:link w:val="Point1letterChar"/>
    <w:uiPriority w:val="99"/>
    <w:rsid w:val="00D34F75"/>
    <w:pPr>
      <w:tabs>
        <w:tab w:val="num" w:pos="360"/>
      </w:tabs>
      <w:ind w:left="1417" w:hanging="567"/>
    </w:pPr>
    <w:rPr>
      <w:rFonts w:ascii="Arial" w:eastAsia="Arial" w:hAnsi="Arial"/>
      <w:sz w:val="24"/>
    </w:rPr>
  </w:style>
  <w:style w:type="numbering" w:customStyle="1" w:styleId="Formatvorlage2">
    <w:name w:val="Formatvorlage2"/>
    <w:uiPriority w:val="99"/>
    <w:rsid w:val="00BF60F7"/>
    <w:pPr>
      <w:numPr>
        <w:numId w:val="6"/>
      </w:numPr>
    </w:pPr>
  </w:style>
  <w:style w:type="numbering" w:customStyle="1" w:styleId="Formatvorlage3">
    <w:name w:val="Formatvorlage3"/>
    <w:uiPriority w:val="99"/>
    <w:rsid w:val="00BF60F7"/>
    <w:pPr>
      <w:numPr>
        <w:numId w:val="16"/>
      </w:numPr>
    </w:pPr>
  </w:style>
  <w:style w:type="numbering" w:customStyle="1" w:styleId="Formatvorlage1">
    <w:name w:val="Formatvorlage1"/>
    <w:uiPriority w:val="99"/>
    <w:rsid w:val="00BF60F7"/>
    <w:pPr>
      <w:numPr>
        <w:numId w:val="5"/>
      </w:numPr>
    </w:pPr>
  </w:style>
  <w:style w:type="numbering" w:customStyle="1" w:styleId="Formatvorlage4">
    <w:name w:val="Formatvorlage4"/>
    <w:uiPriority w:val="99"/>
    <w:rsid w:val="00BF60F7"/>
    <w:pPr>
      <w:numPr>
        <w:numId w:val="18"/>
      </w:numPr>
    </w:pPr>
  </w:style>
  <w:style w:type="paragraph" w:customStyle="1" w:styleId="ListParagraph1">
    <w:name w:val="List Paragraph1"/>
    <w:basedOn w:val="Normal"/>
    <w:uiPriority w:val="99"/>
    <w:qFormat/>
    <w:rsid w:val="001C7AB7"/>
    <w:pPr>
      <w:ind w:left="708"/>
    </w:pPr>
  </w:style>
  <w:style w:type="paragraph" w:customStyle="1" w:styleId="Anfhrungszeichen1">
    <w:name w:val="Anführungszeichen1"/>
    <w:basedOn w:val="Normal"/>
    <w:next w:val="Normal"/>
    <w:link w:val="AnfhrungszeichenZchn"/>
    <w:uiPriority w:val="29"/>
    <w:semiHidden/>
    <w:rsid w:val="000B0B09"/>
    <w:rPr>
      <w:i/>
      <w:iCs/>
      <w:color w:val="000000"/>
    </w:rPr>
  </w:style>
  <w:style w:type="character" w:customStyle="1" w:styleId="AnfhrungszeichenZchn">
    <w:name w:val="Anführungszeichen Zchn"/>
    <w:link w:val="Anfhrungszeichen1"/>
    <w:uiPriority w:val="29"/>
    <w:semiHidden/>
    <w:rsid w:val="000B0B09"/>
    <w:rPr>
      <w:rFonts w:ascii="Verdana" w:eastAsia="Times New Roman" w:hAnsi="Verdana"/>
      <w:i/>
      <w:iCs/>
      <w:color w:val="000000"/>
      <w:sz w:val="20"/>
      <w:szCs w:val="24"/>
      <w:lang w:val="lv-LV" w:eastAsia="en-US"/>
    </w:rPr>
  </w:style>
  <w:style w:type="paragraph" w:customStyle="1" w:styleId="Inhaltsverzeichnisberschrift1">
    <w:name w:val="Inhaltsverzeichnisüberschrift1"/>
    <w:basedOn w:val="Heading1"/>
    <w:next w:val="Normal"/>
    <w:uiPriority w:val="39"/>
    <w:semiHidden/>
    <w:unhideWhenUsed/>
    <w:qFormat/>
    <w:rsid w:val="000B0B09"/>
    <w:pPr>
      <w:keepLines/>
      <w:spacing w:before="480" w:line="311" w:lineRule="auto"/>
      <w:outlineLvl w:val="9"/>
    </w:pPr>
    <w:rPr>
      <w:rFonts w:ascii="Arial" w:hAnsi="Arial"/>
      <w:bCs/>
      <w:color w:val="4B67A3"/>
      <w:szCs w:val="28"/>
    </w:rPr>
  </w:style>
  <w:style w:type="paragraph" w:customStyle="1" w:styleId="berarbeitung1">
    <w:name w:val="Überarbeitung1"/>
    <w:hidden/>
    <w:uiPriority w:val="99"/>
    <w:semiHidden/>
    <w:rsid w:val="000B0B09"/>
    <w:rPr>
      <w:rFonts w:ascii="Verdana" w:eastAsia="Times New Roman" w:hAnsi="Verdana"/>
      <w:szCs w:val="24"/>
      <w:lang w:val="lv-LV" w:eastAsia="en-US" w:bidi="ar-SA"/>
    </w:rPr>
  </w:style>
  <w:style w:type="paragraph" w:customStyle="1" w:styleId="Listenabsatz2">
    <w:name w:val="Listenabsatz2"/>
    <w:basedOn w:val="Normal"/>
    <w:uiPriority w:val="99"/>
    <w:qFormat/>
    <w:rsid w:val="000B0B09"/>
    <w:pPr>
      <w:ind w:left="708"/>
    </w:pPr>
  </w:style>
  <w:style w:type="character" w:customStyle="1" w:styleId="Platzhaltertext1">
    <w:name w:val="Platzhaltertext1"/>
    <w:uiPriority w:val="99"/>
    <w:semiHidden/>
    <w:rsid w:val="000B0B09"/>
    <w:rPr>
      <w:color w:val="808080"/>
    </w:rPr>
  </w:style>
  <w:style w:type="paragraph" w:customStyle="1" w:styleId="Default">
    <w:name w:val="Default"/>
    <w:rsid w:val="00283B5F"/>
    <w:pPr>
      <w:autoSpaceDE w:val="0"/>
      <w:autoSpaceDN w:val="0"/>
      <w:adjustRightInd w:val="0"/>
    </w:pPr>
    <w:rPr>
      <w:rFonts w:cs="Arial"/>
      <w:color w:val="000000"/>
      <w:sz w:val="24"/>
      <w:szCs w:val="24"/>
      <w:lang w:bidi="ar-SA"/>
    </w:rPr>
  </w:style>
  <w:style w:type="paragraph" w:customStyle="1" w:styleId="CM1">
    <w:name w:val="CM1"/>
    <w:basedOn w:val="Default"/>
    <w:next w:val="Default"/>
    <w:uiPriority w:val="99"/>
    <w:rsid w:val="003D7822"/>
    <w:rPr>
      <w:rFonts w:ascii="EU Albertina" w:hAnsi="EU Albertina" w:cs="Times New Roman"/>
      <w:color w:val="auto"/>
    </w:rPr>
  </w:style>
  <w:style w:type="paragraph" w:customStyle="1" w:styleId="CM3">
    <w:name w:val="CM3"/>
    <w:basedOn w:val="Default"/>
    <w:next w:val="Default"/>
    <w:uiPriority w:val="99"/>
    <w:rsid w:val="003D7822"/>
    <w:rPr>
      <w:rFonts w:ascii="EU Albertina" w:hAnsi="EU Albertina" w:cs="Times New Roman"/>
      <w:color w:val="auto"/>
    </w:rPr>
  </w:style>
  <w:style w:type="paragraph" w:customStyle="1" w:styleId="TableParagraph">
    <w:name w:val="Table Paragraph"/>
    <w:basedOn w:val="Normal"/>
    <w:uiPriority w:val="1"/>
    <w:qFormat/>
    <w:rsid w:val="007674DE"/>
    <w:pPr>
      <w:widowControl w:val="0"/>
      <w:spacing w:before="0" w:after="0"/>
      <w:jc w:val="left"/>
    </w:pPr>
    <w:rPr>
      <w:rFonts w:asciiTheme="minorHAnsi" w:eastAsiaTheme="minorHAnsi" w:hAnsiTheme="minorHAnsi" w:cstheme="minorBidi"/>
      <w:sz w:val="22"/>
      <w:szCs w:val="22"/>
      <w:lang w:val="lv-LV"/>
    </w:rPr>
  </w:style>
  <w:style w:type="paragraph" w:customStyle="1" w:styleId="Applicationdirecte">
    <w:name w:val="Application directe"/>
    <w:basedOn w:val="Normal"/>
    <w:next w:val="Normal"/>
    <w:rsid w:val="007520D8"/>
    <w:pPr>
      <w:spacing w:before="480"/>
    </w:pPr>
    <w:rPr>
      <w:rFonts w:ascii="Times New Roman" w:hAnsi="Times New Roman"/>
      <w:sz w:val="24"/>
    </w:rPr>
  </w:style>
  <w:style w:type="paragraph" w:customStyle="1" w:styleId="Numberedtilelevel1">
    <w:name w:val="Numbered tile level 1"/>
    <w:basedOn w:val="Instructionsberschrift2"/>
    <w:qFormat/>
    <w:rsid w:val="002A276F"/>
    <w:pPr>
      <w:numPr>
        <w:numId w:val="30"/>
      </w:numPr>
    </w:pPr>
    <w:rPr>
      <w:rFonts w:ascii="Times New Roman" w:hAnsi="Times New Roman" w:cs="Times New Roman"/>
      <w:sz w:val="24"/>
      <w:u w:val="none"/>
      <w:lang w:val="lv-LV"/>
    </w:rPr>
  </w:style>
  <w:style w:type="paragraph" w:customStyle="1" w:styleId="Numberedtitlelevel2">
    <w:name w:val="Numbered title level 2"/>
    <w:basedOn w:val="Normal"/>
    <w:next w:val="Normal"/>
    <w:qFormat/>
    <w:rsid w:val="007520D8"/>
    <w:pPr>
      <w:numPr>
        <w:ilvl w:val="1"/>
        <w:numId w:val="21"/>
      </w:numPr>
      <w:spacing w:before="240" w:after="240"/>
      <w:jc w:val="left"/>
    </w:pPr>
    <w:rPr>
      <w:rFonts w:asciiTheme="majorHAnsi" w:eastAsiaTheme="majorEastAsia" w:hAnsiTheme="majorHAnsi" w:cstheme="majorBidi"/>
      <w:bCs/>
      <w:color w:val="1F497D" w:themeColor="text2"/>
      <w:sz w:val="32"/>
      <w:lang w:val="lv-LV"/>
    </w:rPr>
  </w:style>
  <w:style w:type="paragraph" w:customStyle="1" w:styleId="Numberedtitlelevel3">
    <w:name w:val="Numbered title level 3"/>
    <w:basedOn w:val="Normal"/>
    <w:next w:val="Normal"/>
    <w:qFormat/>
    <w:rsid w:val="007520D8"/>
    <w:pPr>
      <w:numPr>
        <w:ilvl w:val="2"/>
        <w:numId w:val="21"/>
      </w:numPr>
      <w:spacing w:before="240" w:after="240"/>
      <w:jc w:val="left"/>
    </w:pPr>
    <w:rPr>
      <w:rFonts w:asciiTheme="minorHAnsi" w:eastAsiaTheme="minorEastAsia" w:hAnsiTheme="minorHAnsi" w:cstheme="minorBidi"/>
      <w:b/>
      <w:color w:val="1F497D" w:themeColor="text2"/>
      <w:sz w:val="24"/>
      <w:lang w:val="lv-LV"/>
    </w:rPr>
  </w:style>
  <w:style w:type="paragraph" w:customStyle="1" w:styleId="Fait">
    <w:name w:val="Fait à"/>
    <w:basedOn w:val="Normal"/>
    <w:next w:val="Normal"/>
    <w:rsid w:val="007520D8"/>
    <w:pPr>
      <w:keepNext/>
      <w:spacing w:after="0"/>
    </w:pPr>
    <w:rPr>
      <w:rFonts w:ascii="Times New Roman" w:hAnsi="Times New Roman"/>
      <w:sz w:val="24"/>
    </w:rPr>
  </w:style>
  <w:style w:type="paragraph" w:customStyle="1" w:styleId="numberedparagraph">
    <w:name w:val="numbered paragraph"/>
    <w:basedOn w:val="Normal"/>
    <w:rsid w:val="00C07658"/>
    <w:pPr>
      <w:numPr>
        <w:numId w:val="32"/>
      </w:numPr>
      <w:spacing w:before="240" w:line="276" w:lineRule="auto"/>
    </w:pPr>
    <w:rPr>
      <w:rFonts w:asciiTheme="minorHAnsi" w:eastAsiaTheme="minorEastAsia" w:hAnsiTheme="minorHAnsi" w:cstheme="minorBidi"/>
      <w:sz w:val="22"/>
      <w:szCs w:val="22"/>
      <w:lang w:val="lv-LV"/>
    </w:rPr>
  </w:style>
  <w:style w:type="character" w:styleId="BookTitle">
    <w:name w:val="Book Title"/>
    <w:basedOn w:val="DefaultParagraphFont"/>
    <w:uiPriority w:val="33"/>
    <w:qFormat/>
    <w:rsid w:val="004D057B"/>
    <w:rPr>
      <w:b/>
      <w:bCs/>
      <w:smallCaps/>
    </w:rPr>
  </w:style>
  <w:style w:type="paragraph" w:customStyle="1" w:styleId="body">
    <w:name w:val="body"/>
    <w:qFormat/>
    <w:rsid w:val="004A4EB9"/>
    <w:pPr>
      <w:spacing w:before="240" w:after="120" w:line="276" w:lineRule="auto"/>
      <w:jc w:val="both"/>
    </w:pPr>
    <w:rPr>
      <w:rFonts w:asciiTheme="minorHAnsi" w:eastAsiaTheme="minorEastAsia" w:hAnsiTheme="minorHAnsi" w:cstheme="minorBidi"/>
      <w:sz w:val="22"/>
      <w:szCs w:val="24"/>
      <w:lang w:val="lv-LV" w:eastAsia="en-US" w:bidi="ar-SA"/>
    </w:rPr>
  </w:style>
  <w:style w:type="character" w:styleId="UnresolvedMention">
    <w:name w:val="Unresolved Mention"/>
    <w:basedOn w:val="DefaultParagraphFont"/>
    <w:uiPriority w:val="99"/>
    <w:semiHidden/>
    <w:unhideWhenUsed/>
    <w:rsid w:val="00367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66315">
      <w:bodyDiv w:val="1"/>
      <w:marLeft w:val="0"/>
      <w:marRight w:val="0"/>
      <w:marTop w:val="0"/>
      <w:marBottom w:val="0"/>
      <w:divBdr>
        <w:top w:val="none" w:sz="0" w:space="0" w:color="auto"/>
        <w:left w:val="none" w:sz="0" w:space="0" w:color="auto"/>
        <w:bottom w:val="none" w:sz="0" w:space="0" w:color="auto"/>
        <w:right w:val="none" w:sz="0" w:space="0" w:color="auto"/>
      </w:divBdr>
    </w:div>
    <w:div w:id="275718742">
      <w:bodyDiv w:val="1"/>
      <w:marLeft w:val="0"/>
      <w:marRight w:val="0"/>
      <w:marTop w:val="0"/>
      <w:marBottom w:val="0"/>
      <w:divBdr>
        <w:top w:val="none" w:sz="0" w:space="0" w:color="auto"/>
        <w:left w:val="none" w:sz="0" w:space="0" w:color="auto"/>
        <w:bottom w:val="none" w:sz="0" w:space="0" w:color="auto"/>
        <w:right w:val="none" w:sz="0" w:space="0" w:color="auto"/>
      </w:divBdr>
    </w:div>
    <w:div w:id="350453413">
      <w:bodyDiv w:val="1"/>
      <w:marLeft w:val="0"/>
      <w:marRight w:val="0"/>
      <w:marTop w:val="0"/>
      <w:marBottom w:val="0"/>
      <w:divBdr>
        <w:top w:val="none" w:sz="0" w:space="0" w:color="auto"/>
        <w:left w:val="none" w:sz="0" w:space="0" w:color="auto"/>
        <w:bottom w:val="none" w:sz="0" w:space="0" w:color="auto"/>
        <w:right w:val="none" w:sz="0" w:space="0" w:color="auto"/>
      </w:divBdr>
    </w:div>
    <w:div w:id="508254225">
      <w:bodyDiv w:val="1"/>
      <w:marLeft w:val="0"/>
      <w:marRight w:val="0"/>
      <w:marTop w:val="0"/>
      <w:marBottom w:val="0"/>
      <w:divBdr>
        <w:top w:val="none" w:sz="0" w:space="0" w:color="auto"/>
        <w:left w:val="none" w:sz="0" w:space="0" w:color="auto"/>
        <w:bottom w:val="none" w:sz="0" w:space="0" w:color="auto"/>
        <w:right w:val="none" w:sz="0" w:space="0" w:color="auto"/>
      </w:divBdr>
    </w:div>
    <w:div w:id="538904984">
      <w:bodyDiv w:val="1"/>
      <w:marLeft w:val="0"/>
      <w:marRight w:val="0"/>
      <w:marTop w:val="0"/>
      <w:marBottom w:val="0"/>
      <w:divBdr>
        <w:top w:val="none" w:sz="0" w:space="0" w:color="auto"/>
        <w:left w:val="none" w:sz="0" w:space="0" w:color="auto"/>
        <w:bottom w:val="none" w:sz="0" w:space="0" w:color="auto"/>
        <w:right w:val="none" w:sz="0" w:space="0" w:color="auto"/>
      </w:divBdr>
    </w:div>
    <w:div w:id="792601634">
      <w:marLeft w:val="0"/>
      <w:marRight w:val="0"/>
      <w:marTop w:val="0"/>
      <w:marBottom w:val="0"/>
      <w:divBdr>
        <w:top w:val="none" w:sz="0" w:space="0" w:color="auto"/>
        <w:left w:val="none" w:sz="0" w:space="0" w:color="auto"/>
        <w:bottom w:val="none" w:sz="0" w:space="0" w:color="auto"/>
        <w:right w:val="none" w:sz="0" w:space="0" w:color="auto"/>
      </w:divBdr>
    </w:div>
    <w:div w:id="792601635">
      <w:marLeft w:val="0"/>
      <w:marRight w:val="0"/>
      <w:marTop w:val="0"/>
      <w:marBottom w:val="0"/>
      <w:divBdr>
        <w:top w:val="none" w:sz="0" w:space="0" w:color="auto"/>
        <w:left w:val="none" w:sz="0" w:space="0" w:color="auto"/>
        <w:bottom w:val="none" w:sz="0" w:space="0" w:color="auto"/>
        <w:right w:val="none" w:sz="0" w:space="0" w:color="auto"/>
      </w:divBdr>
    </w:div>
    <w:div w:id="792601636">
      <w:marLeft w:val="0"/>
      <w:marRight w:val="0"/>
      <w:marTop w:val="0"/>
      <w:marBottom w:val="0"/>
      <w:divBdr>
        <w:top w:val="none" w:sz="0" w:space="0" w:color="auto"/>
        <w:left w:val="none" w:sz="0" w:space="0" w:color="auto"/>
        <w:bottom w:val="none" w:sz="0" w:space="0" w:color="auto"/>
        <w:right w:val="none" w:sz="0" w:space="0" w:color="auto"/>
      </w:divBdr>
    </w:div>
    <w:div w:id="792601637">
      <w:marLeft w:val="0"/>
      <w:marRight w:val="0"/>
      <w:marTop w:val="0"/>
      <w:marBottom w:val="0"/>
      <w:divBdr>
        <w:top w:val="none" w:sz="0" w:space="0" w:color="auto"/>
        <w:left w:val="none" w:sz="0" w:space="0" w:color="auto"/>
        <w:bottom w:val="none" w:sz="0" w:space="0" w:color="auto"/>
        <w:right w:val="none" w:sz="0" w:space="0" w:color="auto"/>
      </w:divBdr>
    </w:div>
    <w:div w:id="792601638">
      <w:marLeft w:val="0"/>
      <w:marRight w:val="0"/>
      <w:marTop w:val="0"/>
      <w:marBottom w:val="0"/>
      <w:divBdr>
        <w:top w:val="none" w:sz="0" w:space="0" w:color="auto"/>
        <w:left w:val="none" w:sz="0" w:space="0" w:color="auto"/>
        <w:bottom w:val="none" w:sz="0" w:space="0" w:color="auto"/>
        <w:right w:val="none" w:sz="0" w:space="0" w:color="auto"/>
      </w:divBdr>
    </w:div>
    <w:div w:id="1101756854">
      <w:bodyDiv w:val="1"/>
      <w:marLeft w:val="0"/>
      <w:marRight w:val="0"/>
      <w:marTop w:val="0"/>
      <w:marBottom w:val="0"/>
      <w:divBdr>
        <w:top w:val="none" w:sz="0" w:space="0" w:color="auto"/>
        <w:left w:val="none" w:sz="0" w:space="0" w:color="auto"/>
        <w:bottom w:val="none" w:sz="0" w:space="0" w:color="auto"/>
        <w:right w:val="none" w:sz="0" w:space="0" w:color="auto"/>
      </w:divBdr>
    </w:div>
    <w:div w:id="1181554224">
      <w:bodyDiv w:val="1"/>
      <w:marLeft w:val="0"/>
      <w:marRight w:val="0"/>
      <w:marTop w:val="0"/>
      <w:marBottom w:val="0"/>
      <w:divBdr>
        <w:top w:val="none" w:sz="0" w:space="0" w:color="auto"/>
        <w:left w:val="none" w:sz="0" w:space="0" w:color="auto"/>
        <w:bottom w:val="none" w:sz="0" w:space="0" w:color="auto"/>
        <w:right w:val="none" w:sz="0" w:space="0" w:color="auto"/>
      </w:divBdr>
    </w:div>
    <w:div w:id="1234513057">
      <w:bodyDiv w:val="1"/>
      <w:marLeft w:val="0"/>
      <w:marRight w:val="0"/>
      <w:marTop w:val="0"/>
      <w:marBottom w:val="0"/>
      <w:divBdr>
        <w:top w:val="none" w:sz="0" w:space="0" w:color="auto"/>
        <w:left w:val="none" w:sz="0" w:space="0" w:color="auto"/>
        <w:bottom w:val="none" w:sz="0" w:space="0" w:color="auto"/>
        <w:right w:val="none" w:sz="0" w:space="0" w:color="auto"/>
      </w:divBdr>
    </w:div>
    <w:div w:id="1356882120">
      <w:bodyDiv w:val="1"/>
      <w:marLeft w:val="0"/>
      <w:marRight w:val="0"/>
      <w:marTop w:val="0"/>
      <w:marBottom w:val="0"/>
      <w:divBdr>
        <w:top w:val="none" w:sz="0" w:space="0" w:color="auto"/>
        <w:left w:val="none" w:sz="0" w:space="0" w:color="auto"/>
        <w:bottom w:val="none" w:sz="0" w:space="0" w:color="auto"/>
        <w:right w:val="none" w:sz="0" w:space="0" w:color="auto"/>
      </w:divBdr>
    </w:div>
    <w:div w:id="1947809343">
      <w:bodyDiv w:val="1"/>
      <w:marLeft w:val="0"/>
      <w:marRight w:val="0"/>
      <w:marTop w:val="0"/>
      <w:marBottom w:val="0"/>
      <w:divBdr>
        <w:top w:val="none" w:sz="0" w:space="0" w:color="auto"/>
        <w:left w:val="none" w:sz="0" w:space="0" w:color="auto"/>
        <w:bottom w:val="none" w:sz="0" w:space="0" w:color="auto"/>
        <w:right w:val="none" w:sz="0" w:space="0" w:color="auto"/>
      </w:divBdr>
    </w:div>
    <w:div w:id="2000496602">
      <w:bodyDiv w:val="1"/>
      <w:marLeft w:val="0"/>
      <w:marRight w:val="0"/>
      <w:marTop w:val="0"/>
      <w:marBottom w:val="0"/>
      <w:divBdr>
        <w:top w:val="none" w:sz="0" w:space="0" w:color="auto"/>
        <w:left w:val="none" w:sz="0" w:space="0" w:color="auto"/>
        <w:bottom w:val="none" w:sz="0" w:space="0" w:color="auto"/>
        <w:right w:val="none" w:sz="0" w:space="0" w:color="auto"/>
      </w:divBdr>
    </w:div>
    <w:div w:id="207928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notes.xml.rels>&#65279;<?xml version="1.0" encoding="UTF-8" standalone="yes"?>
<Relationships xmlns="http://schemas.openxmlformats.org/package/2006/relationships"><Relationship Id="rId1" Type="http://schemas.openxmlformats.org/officeDocument/2006/relationships/hyperlink" Target="http://data.europa.eu/eli/reg_del/2014/241/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1CC6DA-8D38-41D1-936D-311DF300A9A2}">
  <ds:schemaRefs>
    <ds:schemaRef ds:uri="http://schemas.openxmlformats.org/officeDocument/2006/bibliography"/>
  </ds:schemaRefs>
</ds:datastoreItem>
</file>

<file path=docMetadata/LabelInfo.xml><?xml version="1.0" encoding="utf-8"?>
<clbl:labelList xmlns:clbl="http://schemas.microsoft.com/office/2020/mipLabelMetadata">
  <clbl:label id="{5c7eb9de-735b-4a68-8fe4-c9c62709b012}" enabled="1" method="Standard" siteId="{3bacb4ff-f1a2-4c92-b96c-e99fec826b68}" contentBits="1" removed="0"/>
</clbl:labelList>
</file>

<file path=docProps/app.xml><?xml version="1.0" encoding="utf-8"?>
<Properties xmlns="http://schemas.openxmlformats.org/officeDocument/2006/extended-properties" xmlns:vt="http://schemas.openxmlformats.org/officeDocument/2006/docPropsVTypes">
  <Template>Normal</Template>
  <TotalTime>0</TotalTime>
  <Pages>38</Pages>
  <Words>13449</Words>
  <Characters>71844</Characters>
  <Application>Microsoft Office Word</Application>
  <DocSecurity>0</DocSecurity>
  <Lines>1670</Lines>
  <Paragraphs>969</Paragraphs>
  <ScaleCrop>false</ScaleCrop>
  <Company/>
  <LinksUpToDate>false</LinksUpToDate>
  <CharactersWithSpaces>84324</CharactersWithSpaces>
  <SharedDoc>false</SharedDoc>
  <HLinks>
    <vt:vector size="606" baseType="variant">
      <vt:variant>
        <vt:i4>1441854</vt:i4>
      </vt:variant>
      <vt:variant>
        <vt:i4>602</vt:i4>
      </vt:variant>
      <vt:variant>
        <vt:i4>0</vt:i4>
      </vt:variant>
      <vt:variant>
        <vt:i4>5</vt:i4>
      </vt:variant>
      <vt:variant>
        <vt:lpwstr/>
      </vt:variant>
      <vt:variant>
        <vt:lpwstr>_Toc429746721</vt:lpwstr>
      </vt:variant>
      <vt:variant>
        <vt:i4>1441854</vt:i4>
      </vt:variant>
      <vt:variant>
        <vt:i4>596</vt:i4>
      </vt:variant>
      <vt:variant>
        <vt:i4>0</vt:i4>
      </vt:variant>
      <vt:variant>
        <vt:i4>5</vt:i4>
      </vt:variant>
      <vt:variant>
        <vt:lpwstr/>
      </vt:variant>
      <vt:variant>
        <vt:lpwstr>_Toc429746720</vt:lpwstr>
      </vt:variant>
      <vt:variant>
        <vt:i4>1376318</vt:i4>
      </vt:variant>
      <vt:variant>
        <vt:i4>590</vt:i4>
      </vt:variant>
      <vt:variant>
        <vt:i4>0</vt:i4>
      </vt:variant>
      <vt:variant>
        <vt:i4>5</vt:i4>
      </vt:variant>
      <vt:variant>
        <vt:lpwstr/>
      </vt:variant>
      <vt:variant>
        <vt:lpwstr>_Toc429746719</vt:lpwstr>
      </vt:variant>
      <vt:variant>
        <vt:i4>1376318</vt:i4>
      </vt:variant>
      <vt:variant>
        <vt:i4>584</vt:i4>
      </vt:variant>
      <vt:variant>
        <vt:i4>0</vt:i4>
      </vt:variant>
      <vt:variant>
        <vt:i4>5</vt:i4>
      </vt:variant>
      <vt:variant>
        <vt:lpwstr/>
      </vt:variant>
      <vt:variant>
        <vt:lpwstr>_Toc429746718</vt:lpwstr>
      </vt:variant>
      <vt:variant>
        <vt:i4>1376318</vt:i4>
      </vt:variant>
      <vt:variant>
        <vt:i4>578</vt:i4>
      </vt:variant>
      <vt:variant>
        <vt:i4>0</vt:i4>
      </vt:variant>
      <vt:variant>
        <vt:i4>5</vt:i4>
      </vt:variant>
      <vt:variant>
        <vt:lpwstr/>
      </vt:variant>
      <vt:variant>
        <vt:lpwstr>_Toc429746717</vt:lpwstr>
      </vt:variant>
      <vt:variant>
        <vt:i4>1376318</vt:i4>
      </vt:variant>
      <vt:variant>
        <vt:i4>572</vt:i4>
      </vt:variant>
      <vt:variant>
        <vt:i4>0</vt:i4>
      </vt:variant>
      <vt:variant>
        <vt:i4>5</vt:i4>
      </vt:variant>
      <vt:variant>
        <vt:lpwstr/>
      </vt:variant>
      <vt:variant>
        <vt:lpwstr>_Toc429746716</vt:lpwstr>
      </vt:variant>
      <vt:variant>
        <vt:i4>1376318</vt:i4>
      </vt:variant>
      <vt:variant>
        <vt:i4>566</vt:i4>
      </vt:variant>
      <vt:variant>
        <vt:i4>0</vt:i4>
      </vt:variant>
      <vt:variant>
        <vt:i4>5</vt:i4>
      </vt:variant>
      <vt:variant>
        <vt:lpwstr/>
      </vt:variant>
      <vt:variant>
        <vt:lpwstr>_Toc429746715</vt:lpwstr>
      </vt:variant>
      <vt:variant>
        <vt:i4>1376318</vt:i4>
      </vt:variant>
      <vt:variant>
        <vt:i4>560</vt:i4>
      </vt:variant>
      <vt:variant>
        <vt:i4>0</vt:i4>
      </vt:variant>
      <vt:variant>
        <vt:i4>5</vt:i4>
      </vt:variant>
      <vt:variant>
        <vt:lpwstr/>
      </vt:variant>
      <vt:variant>
        <vt:lpwstr>_Toc429746714</vt:lpwstr>
      </vt:variant>
      <vt:variant>
        <vt:i4>1376318</vt:i4>
      </vt:variant>
      <vt:variant>
        <vt:i4>554</vt:i4>
      </vt:variant>
      <vt:variant>
        <vt:i4>0</vt:i4>
      </vt:variant>
      <vt:variant>
        <vt:i4>5</vt:i4>
      </vt:variant>
      <vt:variant>
        <vt:lpwstr/>
      </vt:variant>
      <vt:variant>
        <vt:lpwstr>_Toc429746713</vt:lpwstr>
      </vt:variant>
      <vt:variant>
        <vt:i4>1376318</vt:i4>
      </vt:variant>
      <vt:variant>
        <vt:i4>548</vt:i4>
      </vt:variant>
      <vt:variant>
        <vt:i4>0</vt:i4>
      </vt:variant>
      <vt:variant>
        <vt:i4>5</vt:i4>
      </vt:variant>
      <vt:variant>
        <vt:lpwstr/>
      </vt:variant>
      <vt:variant>
        <vt:lpwstr>_Toc429746712</vt:lpwstr>
      </vt:variant>
      <vt:variant>
        <vt:i4>1376318</vt:i4>
      </vt:variant>
      <vt:variant>
        <vt:i4>542</vt:i4>
      </vt:variant>
      <vt:variant>
        <vt:i4>0</vt:i4>
      </vt:variant>
      <vt:variant>
        <vt:i4>5</vt:i4>
      </vt:variant>
      <vt:variant>
        <vt:lpwstr/>
      </vt:variant>
      <vt:variant>
        <vt:lpwstr>_Toc429746711</vt:lpwstr>
      </vt:variant>
      <vt:variant>
        <vt:i4>1376318</vt:i4>
      </vt:variant>
      <vt:variant>
        <vt:i4>536</vt:i4>
      </vt:variant>
      <vt:variant>
        <vt:i4>0</vt:i4>
      </vt:variant>
      <vt:variant>
        <vt:i4>5</vt:i4>
      </vt:variant>
      <vt:variant>
        <vt:lpwstr/>
      </vt:variant>
      <vt:variant>
        <vt:lpwstr>_Toc429746710</vt:lpwstr>
      </vt:variant>
      <vt:variant>
        <vt:i4>1310782</vt:i4>
      </vt:variant>
      <vt:variant>
        <vt:i4>530</vt:i4>
      </vt:variant>
      <vt:variant>
        <vt:i4>0</vt:i4>
      </vt:variant>
      <vt:variant>
        <vt:i4>5</vt:i4>
      </vt:variant>
      <vt:variant>
        <vt:lpwstr/>
      </vt:variant>
      <vt:variant>
        <vt:lpwstr>_Toc429746709</vt:lpwstr>
      </vt:variant>
      <vt:variant>
        <vt:i4>1310782</vt:i4>
      </vt:variant>
      <vt:variant>
        <vt:i4>524</vt:i4>
      </vt:variant>
      <vt:variant>
        <vt:i4>0</vt:i4>
      </vt:variant>
      <vt:variant>
        <vt:i4>5</vt:i4>
      </vt:variant>
      <vt:variant>
        <vt:lpwstr/>
      </vt:variant>
      <vt:variant>
        <vt:lpwstr>_Toc429746708</vt:lpwstr>
      </vt:variant>
      <vt:variant>
        <vt:i4>1310782</vt:i4>
      </vt:variant>
      <vt:variant>
        <vt:i4>518</vt:i4>
      </vt:variant>
      <vt:variant>
        <vt:i4>0</vt:i4>
      </vt:variant>
      <vt:variant>
        <vt:i4>5</vt:i4>
      </vt:variant>
      <vt:variant>
        <vt:lpwstr/>
      </vt:variant>
      <vt:variant>
        <vt:lpwstr>_Toc429746707</vt:lpwstr>
      </vt:variant>
      <vt:variant>
        <vt:i4>1310782</vt:i4>
      </vt:variant>
      <vt:variant>
        <vt:i4>512</vt:i4>
      </vt:variant>
      <vt:variant>
        <vt:i4>0</vt:i4>
      </vt:variant>
      <vt:variant>
        <vt:i4>5</vt:i4>
      </vt:variant>
      <vt:variant>
        <vt:lpwstr/>
      </vt:variant>
      <vt:variant>
        <vt:lpwstr>_Toc429746706</vt:lpwstr>
      </vt:variant>
      <vt:variant>
        <vt:i4>1310782</vt:i4>
      </vt:variant>
      <vt:variant>
        <vt:i4>506</vt:i4>
      </vt:variant>
      <vt:variant>
        <vt:i4>0</vt:i4>
      </vt:variant>
      <vt:variant>
        <vt:i4>5</vt:i4>
      </vt:variant>
      <vt:variant>
        <vt:lpwstr/>
      </vt:variant>
      <vt:variant>
        <vt:lpwstr>_Toc429746705</vt:lpwstr>
      </vt:variant>
      <vt:variant>
        <vt:i4>1310782</vt:i4>
      </vt:variant>
      <vt:variant>
        <vt:i4>500</vt:i4>
      </vt:variant>
      <vt:variant>
        <vt:i4>0</vt:i4>
      </vt:variant>
      <vt:variant>
        <vt:i4>5</vt:i4>
      </vt:variant>
      <vt:variant>
        <vt:lpwstr/>
      </vt:variant>
      <vt:variant>
        <vt:lpwstr>_Toc429746704</vt:lpwstr>
      </vt:variant>
      <vt:variant>
        <vt:i4>1310782</vt:i4>
      </vt:variant>
      <vt:variant>
        <vt:i4>494</vt:i4>
      </vt:variant>
      <vt:variant>
        <vt:i4>0</vt:i4>
      </vt:variant>
      <vt:variant>
        <vt:i4>5</vt:i4>
      </vt:variant>
      <vt:variant>
        <vt:lpwstr/>
      </vt:variant>
      <vt:variant>
        <vt:lpwstr>_Toc429746703</vt:lpwstr>
      </vt:variant>
      <vt:variant>
        <vt:i4>1310782</vt:i4>
      </vt:variant>
      <vt:variant>
        <vt:i4>488</vt:i4>
      </vt:variant>
      <vt:variant>
        <vt:i4>0</vt:i4>
      </vt:variant>
      <vt:variant>
        <vt:i4>5</vt:i4>
      </vt:variant>
      <vt:variant>
        <vt:lpwstr/>
      </vt:variant>
      <vt:variant>
        <vt:lpwstr>_Toc429746702</vt:lpwstr>
      </vt:variant>
      <vt:variant>
        <vt:i4>1310782</vt:i4>
      </vt:variant>
      <vt:variant>
        <vt:i4>482</vt:i4>
      </vt:variant>
      <vt:variant>
        <vt:i4>0</vt:i4>
      </vt:variant>
      <vt:variant>
        <vt:i4>5</vt:i4>
      </vt:variant>
      <vt:variant>
        <vt:lpwstr/>
      </vt:variant>
      <vt:variant>
        <vt:lpwstr>_Toc429746701</vt:lpwstr>
      </vt:variant>
      <vt:variant>
        <vt:i4>1310782</vt:i4>
      </vt:variant>
      <vt:variant>
        <vt:i4>476</vt:i4>
      </vt:variant>
      <vt:variant>
        <vt:i4>0</vt:i4>
      </vt:variant>
      <vt:variant>
        <vt:i4>5</vt:i4>
      </vt:variant>
      <vt:variant>
        <vt:lpwstr/>
      </vt:variant>
      <vt:variant>
        <vt:lpwstr>_Toc429746700</vt:lpwstr>
      </vt:variant>
      <vt:variant>
        <vt:i4>1900607</vt:i4>
      </vt:variant>
      <vt:variant>
        <vt:i4>470</vt:i4>
      </vt:variant>
      <vt:variant>
        <vt:i4>0</vt:i4>
      </vt:variant>
      <vt:variant>
        <vt:i4>5</vt:i4>
      </vt:variant>
      <vt:variant>
        <vt:lpwstr/>
      </vt:variant>
      <vt:variant>
        <vt:lpwstr>_Toc429746699</vt:lpwstr>
      </vt:variant>
      <vt:variant>
        <vt:i4>1900607</vt:i4>
      </vt:variant>
      <vt:variant>
        <vt:i4>464</vt:i4>
      </vt:variant>
      <vt:variant>
        <vt:i4>0</vt:i4>
      </vt:variant>
      <vt:variant>
        <vt:i4>5</vt:i4>
      </vt:variant>
      <vt:variant>
        <vt:lpwstr/>
      </vt:variant>
      <vt:variant>
        <vt:lpwstr>_Toc429746698</vt:lpwstr>
      </vt:variant>
      <vt:variant>
        <vt:i4>1900607</vt:i4>
      </vt:variant>
      <vt:variant>
        <vt:i4>458</vt:i4>
      </vt:variant>
      <vt:variant>
        <vt:i4>0</vt:i4>
      </vt:variant>
      <vt:variant>
        <vt:i4>5</vt:i4>
      </vt:variant>
      <vt:variant>
        <vt:lpwstr/>
      </vt:variant>
      <vt:variant>
        <vt:lpwstr>_Toc429746697</vt:lpwstr>
      </vt:variant>
      <vt:variant>
        <vt:i4>1900607</vt:i4>
      </vt:variant>
      <vt:variant>
        <vt:i4>452</vt:i4>
      </vt:variant>
      <vt:variant>
        <vt:i4>0</vt:i4>
      </vt:variant>
      <vt:variant>
        <vt:i4>5</vt:i4>
      </vt:variant>
      <vt:variant>
        <vt:lpwstr/>
      </vt:variant>
      <vt:variant>
        <vt:lpwstr>_Toc429746696</vt:lpwstr>
      </vt:variant>
      <vt:variant>
        <vt:i4>1900607</vt:i4>
      </vt:variant>
      <vt:variant>
        <vt:i4>446</vt:i4>
      </vt:variant>
      <vt:variant>
        <vt:i4>0</vt:i4>
      </vt:variant>
      <vt:variant>
        <vt:i4>5</vt:i4>
      </vt:variant>
      <vt:variant>
        <vt:lpwstr/>
      </vt:variant>
      <vt:variant>
        <vt:lpwstr>_Toc429746695</vt:lpwstr>
      </vt:variant>
      <vt:variant>
        <vt:i4>1900607</vt:i4>
      </vt:variant>
      <vt:variant>
        <vt:i4>440</vt:i4>
      </vt:variant>
      <vt:variant>
        <vt:i4>0</vt:i4>
      </vt:variant>
      <vt:variant>
        <vt:i4>5</vt:i4>
      </vt:variant>
      <vt:variant>
        <vt:lpwstr/>
      </vt:variant>
      <vt:variant>
        <vt:lpwstr>_Toc429746694</vt:lpwstr>
      </vt:variant>
      <vt:variant>
        <vt:i4>1900607</vt:i4>
      </vt:variant>
      <vt:variant>
        <vt:i4>434</vt:i4>
      </vt:variant>
      <vt:variant>
        <vt:i4>0</vt:i4>
      </vt:variant>
      <vt:variant>
        <vt:i4>5</vt:i4>
      </vt:variant>
      <vt:variant>
        <vt:lpwstr/>
      </vt:variant>
      <vt:variant>
        <vt:lpwstr>_Toc429746693</vt:lpwstr>
      </vt:variant>
      <vt:variant>
        <vt:i4>1900607</vt:i4>
      </vt:variant>
      <vt:variant>
        <vt:i4>428</vt:i4>
      </vt:variant>
      <vt:variant>
        <vt:i4>0</vt:i4>
      </vt:variant>
      <vt:variant>
        <vt:i4>5</vt:i4>
      </vt:variant>
      <vt:variant>
        <vt:lpwstr/>
      </vt:variant>
      <vt:variant>
        <vt:lpwstr>_Toc429746692</vt:lpwstr>
      </vt:variant>
      <vt:variant>
        <vt:i4>1900607</vt:i4>
      </vt:variant>
      <vt:variant>
        <vt:i4>422</vt:i4>
      </vt:variant>
      <vt:variant>
        <vt:i4>0</vt:i4>
      </vt:variant>
      <vt:variant>
        <vt:i4>5</vt:i4>
      </vt:variant>
      <vt:variant>
        <vt:lpwstr/>
      </vt:variant>
      <vt:variant>
        <vt:lpwstr>_Toc429746691</vt:lpwstr>
      </vt:variant>
      <vt:variant>
        <vt:i4>1900607</vt:i4>
      </vt:variant>
      <vt:variant>
        <vt:i4>416</vt:i4>
      </vt:variant>
      <vt:variant>
        <vt:i4>0</vt:i4>
      </vt:variant>
      <vt:variant>
        <vt:i4>5</vt:i4>
      </vt:variant>
      <vt:variant>
        <vt:lpwstr/>
      </vt:variant>
      <vt:variant>
        <vt:lpwstr>_Toc429746690</vt:lpwstr>
      </vt:variant>
      <vt:variant>
        <vt:i4>1835071</vt:i4>
      </vt:variant>
      <vt:variant>
        <vt:i4>410</vt:i4>
      </vt:variant>
      <vt:variant>
        <vt:i4>0</vt:i4>
      </vt:variant>
      <vt:variant>
        <vt:i4>5</vt:i4>
      </vt:variant>
      <vt:variant>
        <vt:lpwstr/>
      </vt:variant>
      <vt:variant>
        <vt:lpwstr>_Toc429746689</vt:lpwstr>
      </vt:variant>
      <vt:variant>
        <vt:i4>1835071</vt:i4>
      </vt:variant>
      <vt:variant>
        <vt:i4>404</vt:i4>
      </vt:variant>
      <vt:variant>
        <vt:i4>0</vt:i4>
      </vt:variant>
      <vt:variant>
        <vt:i4>5</vt:i4>
      </vt:variant>
      <vt:variant>
        <vt:lpwstr/>
      </vt:variant>
      <vt:variant>
        <vt:lpwstr>_Toc429746688</vt:lpwstr>
      </vt:variant>
      <vt:variant>
        <vt:i4>1835071</vt:i4>
      </vt:variant>
      <vt:variant>
        <vt:i4>398</vt:i4>
      </vt:variant>
      <vt:variant>
        <vt:i4>0</vt:i4>
      </vt:variant>
      <vt:variant>
        <vt:i4>5</vt:i4>
      </vt:variant>
      <vt:variant>
        <vt:lpwstr/>
      </vt:variant>
      <vt:variant>
        <vt:lpwstr>_Toc429746687</vt:lpwstr>
      </vt:variant>
      <vt:variant>
        <vt:i4>1835071</vt:i4>
      </vt:variant>
      <vt:variant>
        <vt:i4>392</vt:i4>
      </vt:variant>
      <vt:variant>
        <vt:i4>0</vt:i4>
      </vt:variant>
      <vt:variant>
        <vt:i4>5</vt:i4>
      </vt:variant>
      <vt:variant>
        <vt:lpwstr/>
      </vt:variant>
      <vt:variant>
        <vt:lpwstr>_Toc429746686</vt:lpwstr>
      </vt:variant>
      <vt:variant>
        <vt:i4>1835071</vt:i4>
      </vt:variant>
      <vt:variant>
        <vt:i4>386</vt:i4>
      </vt:variant>
      <vt:variant>
        <vt:i4>0</vt:i4>
      </vt:variant>
      <vt:variant>
        <vt:i4>5</vt:i4>
      </vt:variant>
      <vt:variant>
        <vt:lpwstr/>
      </vt:variant>
      <vt:variant>
        <vt:lpwstr>_Toc429746685</vt:lpwstr>
      </vt:variant>
      <vt:variant>
        <vt:i4>1835071</vt:i4>
      </vt:variant>
      <vt:variant>
        <vt:i4>380</vt:i4>
      </vt:variant>
      <vt:variant>
        <vt:i4>0</vt:i4>
      </vt:variant>
      <vt:variant>
        <vt:i4>5</vt:i4>
      </vt:variant>
      <vt:variant>
        <vt:lpwstr/>
      </vt:variant>
      <vt:variant>
        <vt:lpwstr>_Toc429746684</vt:lpwstr>
      </vt:variant>
      <vt:variant>
        <vt:i4>1835071</vt:i4>
      </vt:variant>
      <vt:variant>
        <vt:i4>374</vt:i4>
      </vt:variant>
      <vt:variant>
        <vt:i4>0</vt:i4>
      </vt:variant>
      <vt:variant>
        <vt:i4>5</vt:i4>
      </vt:variant>
      <vt:variant>
        <vt:lpwstr/>
      </vt:variant>
      <vt:variant>
        <vt:lpwstr>_Toc429746683</vt:lpwstr>
      </vt:variant>
      <vt:variant>
        <vt:i4>1835071</vt:i4>
      </vt:variant>
      <vt:variant>
        <vt:i4>368</vt:i4>
      </vt:variant>
      <vt:variant>
        <vt:i4>0</vt:i4>
      </vt:variant>
      <vt:variant>
        <vt:i4>5</vt:i4>
      </vt:variant>
      <vt:variant>
        <vt:lpwstr/>
      </vt:variant>
      <vt:variant>
        <vt:lpwstr>_Toc429746682</vt:lpwstr>
      </vt:variant>
      <vt:variant>
        <vt:i4>1835071</vt:i4>
      </vt:variant>
      <vt:variant>
        <vt:i4>362</vt:i4>
      </vt:variant>
      <vt:variant>
        <vt:i4>0</vt:i4>
      </vt:variant>
      <vt:variant>
        <vt:i4>5</vt:i4>
      </vt:variant>
      <vt:variant>
        <vt:lpwstr/>
      </vt:variant>
      <vt:variant>
        <vt:lpwstr>_Toc429746681</vt:lpwstr>
      </vt:variant>
      <vt:variant>
        <vt:i4>1835071</vt:i4>
      </vt:variant>
      <vt:variant>
        <vt:i4>356</vt:i4>
      </vt:variant>
      <vt:variant>
        <vt:i4>0</vt:i4>
      </vt:variant>
      <vt:variant>
        <vt:i4>5</vt:i4>
      </vt:variant>
      <vt:variant>
        <vt:lpwstr/>
      </vt:variant>
      <vt:variant>
        <vt:lpwstr>_Toc429746680</vt:lpwstr>
      </vt:variant>
      <vt:variant>
        <vt:i4>1245247</vt:i4>
      </vt:variant>
      <vt:variant>
        <vt:i4>350</vt:i4>
      </vt:variant>
      <vt:variant>
        <vt:i4>0</vt:i4>
      </vt:variant>
      <vt:variant>
        <vt:i4>5</vt:i4>
      </vt:variant>
      <vt:variant>
        <vt:lpwstr/>
      </vt:variant>
      <vt:variant>
        <vt:lpwstr>_Toc429746679</vt:lpwstr>
      </vt:variant>
      <vt:variant>
        <vt:i4>1245247</vt:i4>
      </vt:variant>
      <vt:variant>
        <vt:i4>344</vt:i4>
      </vt:variant>
      <vt:variant>
        <vt:i4>0</vt:i4>
      </vt:variant>
      <vt:variant>
        <vt:i4>5</vt:i4>
      </vt:variant>
      <vt:variant>
        <vt:lpwstr/>
      </vt:variant>
      <vt:variant>
        <vt:lpwstr>_Toc429746678</vt:lpwstr>
      </vt:variant>
      <vt:variant>
        <vt:i4>1245247</vt:i4>
      </vt:variant>
      <vt:variant>
        <vt:i4>338</vt:i4>
      </vt:variant>
      <vt:variant>
        <vt:i4>0</vt:i4>
      </vt:variant>
      <vt:variant>
        <vt:i4>5</vt:i4>
      </vt:variant>
      <vt:variant>
        <vt:lpwstr/>
      </vt:variant>
      <vt:variant>
        <vt:lpwstr>_Toc429746677</vt:lpwstr>
      </vt:variant>
      <vt:variant>
        <vt:i4>1245247</vt:i4>
      </vt:variant>
      <vt:variant>
        <vt:i4>332</vt:i4>
      </vt:variant>
      <vt:variant>
        <vt:i4>0</vt:i4>
      </vt:variant>
      <vt:variant>
        <vt:i4>5</vt:i4>
      </vt:variant>
      <vt:variant>
        <vt:lpwstr/>
      </vt:variant>
      <vt:variant>
        <vt:lpwstr>_Toc429746676</vt:lpwstr>
      </vt:variant>
      <vt:variant>
        <vt:i4>1245247</vt:i4>
      </vt:variant>
      <vt:variant>
        <vt:i4>326</vt:i4>
      </vt:variant>
      <vt:variant>
        <vt:i4>0</vt:i4>
      </vt:variant>
      <vt:variant>
        <vt:i4>5</vt:i4>
      </vt:variant>
      <vt:variant>
        <vt:lpwstr/>
      </vt:variant>
      <vt:variant>
        <vt:lpwstr>_Toc429746675</vt:lpwstr>
      </vt:variant>
      <vt:variant>
        <vt:i4>1245247</vt:i4>
      </vt:variant>
      <vt:variant>
        <vt:i4>320</vt:i4>
      </vt:variant>
      <vt:variant>
        <vt:i4>0</vt:i4>
      </vt:variant>
      <vt:variant>
        <vt:i4>5</vt:i4>
      </vt:variant>
      <vt:variant>
        <vt:lpwstr/>
      </vt:variant>
      <vt:variant>
        <vt:lpwstr>_Toc429746674</vt:lpwstr>
      </vt:variant>
      <vt:variant>
        <vt:i4>1245247</vt:i4>
      </vt:variant>
      <vt:variant>
        <vt:i4>314</vt:i4>
      </vt:variant>
      <vt:variant>
        <vt:i4>0</vt:i4>
      </vt:variant>
      <vt:variant>
        <vt:i4>5</vt:i4>
      </vt:variant>
      <vt:variant>
        <vt:lpwstr/>
      </vt:variant>
      <vt:variant>
        <vt:lpwstr>_Toc429746673</vt:lpwstr>
      </vt:variant>
      <vt:variant>
        <vt:i4>1245247</vt:i4>
      </vt:variant>
      <vt:variant>
        <vt:i4>308</vt:i4>
      </vt:variant>
      <vt:variant>
        <vt:i4>0</vt:i4>
      </vt:variant>
      <vt:variant>
        <vt:i4>5</vt:i4>
      </vt:variant>
      <vt:variant>
        <vt:lpwstr/>
      </vt:variant>
      <vt:variant>
        <vt:lpwstr>_Toc429746672</vt:lpwstr>
      </vt:variant>
      <vt:variant>
        <vt:i4>1245247</vt:i4>
      </vt:variant>
      <vt:variant>
        <vt:i4>302</vt:i4>
      </vt:variant>
      <vt:variant>
        <vt:i4>0</vt:i4>
      </vt:variant>
      <vt:variant>
        <vt:i4>5</vt:i4>
      </vt:variant>
      <vt:variant>
        <vt:lpwstr/>
      </vt:variant>
      <vt:variant>
        <vt:lpwstr>_Toc429746671</vt:lpwstr>
      </vt:variant>
      <vt:variant>
        <vt:i4>1245247</vt:i4>
      </vt:variant>
      <vt:variant>
        <vt:i4>296</vt:i4>
      </vt:variant>
      <vt:variant>
        <vt:i4>0</vt:i4>
      </vt:variant>
      <vt:variant>
        <vt:i4>5</vt:i4>
      </vt:variant>
      <vt:variant>
        <vt:lpwstr/>
      </vt:variant>
      <vt:variant>
        <vt:lpwstr>_Toc429746670</vt:lpwstr>
      </vt:variant>
      <vt:variant>
        <vt:i4>1179711</vt:i4>
      </vt:variant>
      <vt:variant>
        <vt:i4>290</vt:i4>
      </vt:variant>
      <vt:variant>
        <vt:i4>0</vt:i4>
      </vt:variant>
      <vt:variant>
        <vt:i4>5</vt:i4>
      </vt:variant>
      <vt:variant>
        <vt:lpwstr/>
      </vt:variant>
      <vt:variant>
        <vt:lpwstr>_Toc429746669</vt:lpwstr>
      </vt:variant>
      <vt:variant>
        <vt:i4>1179711</vt:i4>
      </vt:variant>
      <vt:variant>
        <vt:i4>284</vt:i4>
      </vt:variant>
      <vt:variant>
        <vt:i4>0</vt:i4>
      </vt:variant>
      <vt:variant>
        <vt:i4>5</vt:i4>
      </vt:variant>
      <vt:variant>
        <vt:lpwstr/>
      </vt:variant>
      <vt:variant>
        <vt:lpwstr>_Toc429746668</vt:lpwstr>
      </vt:variant>
      <vt:variant>
        <vt:i4>1179711</vt:i4>
      </vt:variant>
      <vt:variant>
        <vt:i4>278</vt:i4>
      </vt:variant>
      <vt:variant>
        <vt:i4>0</vt:i4>
      </vt:variant>
      <vt:variant>
        <vt:i4>5</vt:i4>
      </vt:variant>
      <vt:variant>
        <vt:lpwstr/>
      </vt:variant>
      <vt:variant>
        <vt:lpwstr>_Toc429746667</vt:lpwstr>
      </vt:variant>
      <vt:variant>
        <vt:i4>1179711</vt:i4>
      </vt:variant>
      <vt:variant>
        <vt:i4>272</vt:i4>
      </vt:variant>
      <vt:variant>
        <vt:i4>0</vt:i4>
      </vt:variant>
      <vt:variant>
        <vt:i4>5</vt:i4>
      </vt:variant>
      <vt:variant>
        <vt:lpwstr/>
      </vt:variant>
      <vt:variant>
        <vt:lpwstr>_Toc429746666</vt:lpwstr>
      </vt:variant>
      <vt:variant>
        <vt:i4>1179711</vt:i4>
      </vt:variant>
      <vt:variant>
        <vt:i4>266</vt:i4>
      </vt:variant>
      <vt:variant>
        <vt:i4>0</vt:i4>
      </vt:variant>
      <vt:variant>
        <vt:i4>5</vt:i4>
      </vt:variant>
      <vt:variant>
        <vt:lpwstr/>
      </vt:variant>
      <vt:variant>
        <vt:lpwstr>_Toc429746665</vt:lpwstr>
      </vt:variant>
      <vt:variant>
        <vt:i4>1179711</vt:i4>
      </vt:variant>
      <vt:variant>
        <vt:i4>260</vt:i4>
      </vt:variant>
      <vt:variant>
        <vt:i4>0</vt:i4>
      </vt:variant>
      <vt:variant>
        <vt:i4>5</vt:i4>
      </vt:variant>
      <vt:variant>
        <vt:lpwstr/>
      </vt:variant>
      <vt:variant>
        <vt:lpwstr>_Toc429746664</vt:lpwstr>
      </vt:variant>
      <vt:variant>
        <vt:i4>1179711</vt:i4>
      </vt:variant>
      <vt:variant>
        <vt:i4>254</vt:i4>
      </vt:variant>
      <vt:variant>
        <vt:i4>0</vt:i4>
      </vt:variant>
      <vt:variant>
        <vt:i4>5</vt:i4>
      </vt:variant>
      <vt:variant>
        <vt:lpwstr/>
      </vt:variant>
      <vt:variant>
        <vt:lpwstr>_Toc429746663</vt:lpwstr>
      </vt:variant>
      <vt:variant>
        <vt:i4>1179711</vt:i4>
      </vt:variant>
      <vt:variant>
        <vt:i4>248</vt:i4>
      </vt:variant>
      <vt:variant>
        <vt:i4>0</vt:i4>
      </vt:variant>
      <vt:variant>
        <vt:i4>5</vt:i4>
      </vt:variant>
      <vt:variant>
        <vt:lpwstr/>
      </vt:variant>
      <vt:variant>
        <vt:lpwstr>_Toc429746662</vt:lpwstr>
      </vt:variant>
      <vt:variant>
        <vt:i4>1179711</vt:i4>
      </vt:variant>
      <vt:variant>
        <vt:i4>242</vt:i4>
      </vt:variant>
      <vt:variant>
        <vt:i4>0</vt:i4>
      </vt:variant>
      <vt:variant>
        <vt:i4>5</vt:i4>
      </vt:variant>
      <vt:variant>
        <vt:lpwstr/>
      </vt:variant>
      <vt:variant>
        <vt:lpwstr>_Toc429746661</vt:lpwstr>
      </vt:variant>
      <vt:variant>
        <vt:i4>1179711</vt:i4>
      </vt:variant>
      <vt:variant>
        <vt:i4>236</vt:i4>
      </vt:variant>
      <vt:variant>
        <vt:i4>0</vt:i4>
      </vt:variant>
      <vt:variant>
        <vt:i4>5</vt:i4>
      </vt:variant>
      <vt:variant>
        <vt:lpwstr/>
      </vt:variant>
      <vt:variant>
        <vt:lpwstr>_Toc429746660</vt:lpwstr>
      </vt:variant>
      <vt:variant>
        <vt:i4>1114175</vt:i4>
      </vt:variant>
      <vt:variant>
        <vt:i4>230</vt:i4>
      </vt:variant>
      <vt:variant>
        <vt:i4>0</vt:i4>
      </vt:variant>
      <vt:variant>
        <vt:i4>5</vt:i4>
      </vt:variant>
      <vt:variant>
        <vt:lpwstr/>
      </vt:variant>
      <vt:variant>
        <vt:lpwstr>_Toc429746659</vt:lpwstr>
      </vt:variant>
      <vt:variant>
        <vt:i4>1114175</vt:i4>
      </vt:variant>
      <vt:variant>
        <vt:i4>224</vt:i4>
      </vt:variant>
      <vt:variant>
        <vt:i4>0</vt:i4>
      </vt:variant>
      <vt:variant>
        <vt:i4>5</vt:i4>
      </vt:variant>
      <vt:variant>
        <vt:lpwstr/>
      </vt:variant>
      <vt:variant>
        <vt:lpwstr>_Toc429746658</vt:lpwstr>
      </vt:variant>
      <vt:variant>
        <vt:i4>1114175</vt:i4>
      </vt:variant>
      <vt:variant>
        <vt:i4>218</vt:i4>
      </vt:variant>
      <vt:variant>
        <vt:i4>0</vt:i4>
      </vt:variant>
      <vt:variant>
        <vt:i4>5</vt:i4>
      </vt:variant>
      <vt:variant>
        <vt:lpwstr/>
      </vt:variant>
      <vt:variant>
        <vt:lpwstr>_Toc429746657</vt:lpwstr>
      </vt:variant>
      <vt:variant>
        <vt:i4>1114175</vt:i4>
      </vt:variant>
      <vt:variant>
        <vt:i4>212</vt:i4>
      </vt:variant>
      <vt:variant>
        <vt:i4>0</vt:i4>
      </vt:variant>
      <vt:variant>
        <vt:i4>5</vt:i4>
      </vt:variant>
      <vt:variant>
        <vt:lpwstr/>
      </vt:variant>
      <vt:variant>
        <vt:lpwstr>_Toc429746656</vt:lpwstr>
      </vt:variant>
      <vt:variant>
        <vt:i4>1114175</vt:i4>
      </vt:variant>
      <vt:variant>
        <vt:i4>206</vt:i4>
      </vt:variant>
      <vt:variant>
        <vt:i4>0</vt:i4>
      </vt:variant>
      <vt:variant>
        <vt:i4>5</vt:i4>
      </vt:variant>
      <vt:variant>
        <vt:lpwstr/>
      </vt:variant>
      <vt:variant>
        <vt:lpwstr>_Toc429746655</vt:lpwstr>
      </vt:variant>
      <vt:variant>
        <vt:i4>1114175</vt:i4>
      </vt:variant>
      <vt:variant>
        <vt:i4>200</vt:i4>
      </vt:variant>
      <vt:variant>
        <vt:i4>0</vt:i4>
      </vt:variant>
      <vt:variant>
        <vt:i4>5</vt:i4>
      </vt:variant>
      <vt:variant>
        <vt:lpwstr/>
      </vt:variant>
      <vt:variant>
        <vt:lpwstr>_Toc429746654</vt:lpwstr>
      </vt:variant>
      <vt:variant>
        <vt:i4>1114175</vt:i4>
      </vt:variant>
      <vt:variant>
        <vt:i4>194</vt:i4>
      </vt:variant>
      <vt:variant>
        <vt:i4>0</vt:i4>
      </vt:variant>
      <vt:variant>
        <vt:i4>5</vt:i4>
      </vt:variant>
      <vt:variant>
        <vt:lpwstr/>
      </vt:variant>
      <vt:variant>
        <vt:lpwstr>_Toc429746653</vt:lpwstr>
      </vt:variant>
      <vt:variant>
        <vt:i4>1114175</vt:i4>
      </vt:variant>
      <vt:variant>
        <vt:i4>188</vt:i4>
      </vt:variant>
      <vt:variant>
        <vt:i4>0</vt:i4>
      </vt:variant>
      <vt:variant>
        <vt:i4>5</vt:i4>
      </vt:variant>
      <vt:variant>
        <vt:lpwstr/>
      </vt:variant>
      <vt:variant>
        <vt:lpwstr>_Toc429746652</vt:lpwstr>
      </vt:variant>
      <vt:variant>
        <vt:i4>1114175</vt:i4>
      </vt:variant>
      <vt:variant>
        <vt:i4>182</vt:i4>
      </vt:variant>
      <vt:variant>
        <vt:i4>0</vt:i4>
      </vt:variant>
      <vt:variant>
        <vt:i4>5</vt:i4>
      </vt:variant>
      <vt:variant>
        <vt:lpwstr/>
      </vt:variant>
      <vt:variant>
        <vt:lpwstr>_Toc429746651</vt:lpwstr>
      </vt:variant>
      <vt:variant>
        <vt:i4>1114175</vt:i4>
      </vt:variant>
      <vt:variant>
        <vt:i4>176</vt:i4>
      </vt:variant>
      <vt:variant>
        <vt:i4>0</vt:i4>
      </vt:variant>
      <vt:variant>
        <vt:i4>5</vt:i4>
      </vt:variant>
      <vt:variant>
        <vt:lpwstr/>
      </vt:variant>
      <vt:variant>
        <vt:lpwstr>_Toc429746650</vt:lpwstr>
      </vt:variant>
      <vt:variant>
        <vt:i4>1048639</vt:i4>
      </vt:variant>
      <vt:variant>
        <vt:i4>170</vt:i4>
      </vt:variant>
      <vt:variant>
        <vt:i4>0</vt:i4>
      </vt:variant>
      <vt:variant>
        <vt:i4>5</vt:i4>
      </vt:variant>
      <vt:variant>
        <vt:lpwstr/>
      </vt:variant>
      <vt:variant>
        <vt:lpwstr>_Toc429746649</vt:lpwstr>
      </vt:variant>
      <vt:variant>
        <vt:i4>1048639</vt:i4>
      </vt:variant>
      <vt:variant>
        <vt:i4>164</vt:i4>
      </vt:variant>
      <vt:variant>
        <vt:i4>0</vt:i4>
      </vt:variant>
      <vt:variant>
        <vt:i4>5</vt:i4>
      </vt:variant>
      <vt:variant>
        <vt:lpwstr/>
      </vt:variant>
      <vt:variant>
        <vt:lpwstr>_Toc429746648</vt:lpwstr>
      </vt:variant>
      <vt:variant>
        <vt:i4>1048639</vt:i4>
      </vt:variant>
      <vt:variant>
        <vt:i4>158</vt:i4>
      </vt:variant>
      <vt:variant>
        <vt:i4>0</vt:i4>
      </vt:variant>
      <vt:variant>
        <vt:i4>5</vt:i4>
      </vt:variant>
      <vt:variant>
        <vt:lpwstr/>
      </vt:variant>
      <vt:variant>
        <vt:lpwstr>_Toc429746647</vt:lpwstr>
      </vt:variant>
      <vt:variant>
        <vt:i4>1048639</vt:i4>
      </vt:variant>
      <vt:variant>
        <vt:i4>152</vt:i4>
      </vt:variant>
      <vt:variant>
        <vt:i4>0</vt:i4>
      </vt:variant>
      <vt:variant>
        <vt:i4>5</vt:i4>
      </vt:variant>
      <vt:variant>
        <vt:lpwstr/>
      </vt:variant>
      <vt:variant>
        <vt:lpwstr>_Toc429746646</vt:lpwstr>
      </vt:variant>
      <vt:variant>
        <vt:i4>1048639</vt:i4>
      </vt:variant>
      <vt:variant>
        <vt:i4>146</vt:i4>
      </vt:variant>
      <vt:variant>
        <vt:i4>0</vt:i4>
      </vt:variant>
      <vt:variant>
        <vt:i4>5</vt:i4>
      </vt:variant>
      <vt:variant>
        <vt:lpwstr/>
      </vt:variant>
      <vt:variant>
        <vt:lpwstr>_Toc429746645</vt:lpwstr>
      </vt:variant>
      <vt:variant>
        <vt:i4>1048639</vt:i4>
      </vt:variant>
      <vt:variant>
        <vt:i4>140</vt:i4>
      </vt:variant>
      <vt:variant>
        <vt:i4>0</vt:i4>
      </vt:variant>
      <vt:variant>
        <vt:i4>5</vt:i4>
      </vt:variant>
      <vt:variant>
        <vt:lpwstr/>
      </vt:variant>
      <vt:variant>
        <vt:lpwstr>_Toc429746644</vt:lpwstr>
      </vt:variant>
      <vt:variant>
        <vt:i4>1048639</vt:i4>
      </vt:variant>
      <vt:variant>
        <vt:i4>134</vt:i4>
      </vt:variant>
      <vt:variant>
        <vt:i4>0</vt:i4>
      </vt:variant>
      <vt:variant>
        <vt:i4>5</vt:i4>
      </vt:variant>
      <vt:variant>
        <vt:lpwstr/>
      </vt:variant>
      <vt:variant>
        <vt:lpwstr>_Toc429746643</vt:lpwstr>
      </vt:variant>
      <vt:variant>
        <vt:i4>1048639</vt:i4>
      </vt:variant>
      <vt:variant>
        <vt:i4>128</vt:i4>
      </vt:variant>
      <vt:variant>
        <vt:i4>0</vt:i4>
      </vt:variant>
      <vt:variant>
        <vt:i4>5</vt:i4>
      </vt:variant>
      <vt:variant>
        <vt:lpwstr/>
      </vt:variant>
      <vt:variant>
        <vt:lpwstr>_Toc429746642</vt:lpwstr>
      </vt:variant>
      <vt:variant>
        <vt:i4>1048639</vt:i4>
      </vt:variant>
      <vt:variant>
        <vt:i4>122</vt:i4>
      </vt:variant>
      <vt:variant>
        <vt:i4>0</vt:i4>
      </vt:variant>
      <vt:variant>
        <vt:i4>5</vt:i4>
      </vt:variant>
      <vt:variant>
        <vt:lpwstr/>
      </vt:variant>
      <vt:variant>
        <vt:lpwstr>_Toc429746641</vt:lpwstr>
      </vt:variant>
      <vt:variant>
        <vt:i4>1048639</vt:i4>
      </vt:variant>
      <vt:variant>
        <vt:i4>116</vt:i4>
      </vt:variant>
      <vt:variant>
        <vt:i4>0</vt:i4>
      </vt:variant>
      <vt:variant>
        <vt:i4>5</vt:i4>
      </vt:variant>
      <vt:variant>
        <vt:lpwstr/>
      </vt:variant>
      <vt:variant>
        <vt:lpwstr>_Toc429746640</vt:lpwstr>
      </vt:variant>
      <vt:variant>
        <vt:i4>1507391</vt:i4>
      </vt:variant>
      <vt:variant>
        <vt:i4>110</vt:i4>
      </vt:variant>
      <vt:variant>
        <vt:i4>0</vt:i4>
      </vt:variant>
      <vt:variant>
        <vt:i4>5</vt:i4>
      </vt:variant>
      <vt:variant>
        <vt:lpwstr/>
      </vt:variant>
      <vt:variant>
        <vt:lpwstr>_Toc429746639</vt:lpwstr>
      </vt:variant>
      <vt:variant>
        <vt:i4>1507391</vt:i4>
      </vt:variant>
      <vt:variant>
        <vt:i4>104</vt:i4>
      </vt:variant>
      <vt:variant>
        <vt:i4>0</vt:i4>
      </vt:variant>
      <vt:variant>
        <vt:i4>5</vt:i4>
      </vt:variant>
      <vt:variant>
        <vt:lpwstr/>
      </vt:variant>
      <vt:variant>
        <vt:lpwstr>_Toc429746638</vt:lpwstr>
      </vt:variant>
      <vt:variant>
        <vt:i4>1507391</vt:i4>
      </vt:variant>
      <vt:variant>
        <vt:i4>98</vt:i4>
      </vt:variant>
      <vt:variant>
        <vt:i4>0</vt:i4>
      </vt:variant>
      <vt:variant>
        <vt:i4>5</vt:i4>
      </vt:variant>
      <vt:variant>
        <vt:lpwstr/>
      </vt:variant>
      <vt:variant>
        <vt:lpwstr>_Toc429746637</vt:lpwstr>
      </vt:variant>
      <vt:variant>
        <vt:i4>1507391</vt:i4>
      </vt:variant>
      <vt:variant>
        <vt:i4>92</vt:i4>
      </vt:variant>
      <vt:variant>
        <vt:i4>0</vt:i4>
      </vt:variant>
      <vt:variant>
        <vt:i4>5</vt:i4>
      </vt:variant>
      <vt:variant>
        <vt:lpwstr/>
      </vt:variant>
      <vt:variant>
        <vt:lpwstr>_Toc429746636</vt:lpwstr>
      </vt:variant>
      <vt:variant>
        <vt:i4>1507391</vt:i4>
      </vt:variant>
      <vt:variant>
        <vt:i4>86</vt:i4>
      </vt:variant>
      <vt:variant>
        <vt:i4>0</vt:i4>
      </vt:variant>
      <vt:variant>
        <vt:i4>5</vt:i4>
      </vt:variant>
      <vt:variant>
        <vt:lpwstr/>
      </vt:variant>
      <vt:variant>
        <vt:lpwstr>_Toc429746635</vt:lpwstr>
      </vt:variant>
      <vt:variant>
        <vt:i4>1507391</vt:i4>
      </vt:variant>
      <vt:variant>
        <vt:i4>80</vt:i4>
      </vt:variant>
      <vt:variant>
        <vt:i4>0</vt:i4>
      </vt:variant>
      <vt:variant>
        <vt:i4>5</vt:i4>
      </vt:variant>
      <vt:variant>
        <vt:lpwstr/>
      </vt:variant>
      <vt:variant>
        <vt:lpwstr>_Toc429746634</vt:lpwstr>
      </vt:variant>
      <vt:variant>
        <vt:i4>1507391</vt:i4>
      </vt:variant>
      <vt:variant>
        <vt:i4>74</vt:i4>
      </vt:variant>
      <vt:variant>
        <vt:i4>0</vt:i4>
      </vt:variant>
      <vt:variant>
        <vt:i4>5</vt:i4>
      </vt:variant>
      <vt:variant>
        <vt:lpwstr/>
      </vt:variant>
      <vt:variant>
        <vt:lpwstr>_Toc429746633</vt:lpwstr>
      </vt:variant>
      <vt:variant>
        <vt:i4>1507391</vt:i4>
      </vt:variant>
      <vt:variant>
        <vt:i4>68</vt:i4>
      </vt:variant>
      <vt:variant>
        <vt:i4>0</vt:i4>
      </vt:variant>
      <vt:variant>
        <vt:i4>5</vt:i4>
      </vt:variant>
      <vt:variant>
        <vt:lpwstr/>
      </vt:variant>
      <vt:variant>
        <vt:lpwstr>_Toc429746632</vt:lpwstr>
      </vt:variant>
      <vt:variant>
        <vt:i4>1507391</vt:i4>
      </vt:variant>
      <vt:variant>
        <vt:i4>62</vt:i4>
      </vt:variant>
      <vt:variant>
        <vt:i4>0</vt:i4>
      </vt:variant>
      <vt:variant>
        <vt:i4>5</vt:i4>
      </vt:variant>
      <vt:variant>
        <vt:lpwstr/>
      </vt:variant>
      <vt:variant>
        <vt:lpwstr>_Toc429746631</vt:lpwstr>
      </vt:variant>
      <vt:variant>
        <vt:i4>1507391</vt:i4>
      </vt:variant>
      <vt:variant>
        <vt:i4>56</vt:i4>
      </vt:variant>
      <vt:variant>
        <vt:i4>0</vt:i4>
      </vt:variant>
      <vt:variant>
        <vt:i4>5</vt:i4>
      </vt:variant>
      <vt:variant>
        <vt:lpwstr/>
      </vt:variant>
      <vt:variant>
        <vt:lpwstr>_Toc429746630</vt:lpwstr>
      </vt:variant>
      <vt:variant>
        <vt:i4>1441855</vt:i4>
      </vt:variant>
      <vt:variant>
        <vt:i4>50</vt:i4>
      </vt:variant>
      <vt:variant>
        <vt:i4>0</vt:i4>
      </vt:variant>
      <vt:variant>
        <vt:i4>5</vt:i4>
      </vt:variant>
      <vt:variant>
        <vt:lpwstr/>
      </vt:variant>
      <vt:variant>
        <vt:lpwstr>_Toc429746629</vt:lpwstr>
      </vt:variant>
      <vt:variant>
        <vt:i4>1441855</vt:i4>
      </vt:variant>
      <vt:variant>
        <vt:i4>44</vt:i4>
      </vt:variant>
      <vt:variant>
        <vt:i4>0</vt:i4>
      </vt:variant>
      <vt:variant>
        <vt:i4>5</vt:i4>
      </vt:variant>
      <vt:variant>
        <vt:lpwstr/>
      </vt:variant>
      <vt:variant>
        <vt:lpwstr>_Toc429746628</vt:lpwstr>
      </vt:variant>
      <vt:variant>
        <vt:i4>1441855</vt:i4>
      </vt:variant>
      <vt:variant>
        <vt:i4>38</vt:i4>
      </vt:variant>
      <vt:variant>
        <vt:i4>0</vt:i4>
      </vt:variant>
      <vt:variant>
        <vt:i4>5</vt:i4>
      </vt:variant>
      <vt:variant>
        <vt:lpwstr/>
      </vt:variant>
      <vt:variant>
        <vt:lpwstr>_Toc429746627</vt:lpwstr>
      </vt:variant>
      <vt:variant>
        <vt:i4>1441855</vt:i4>
      </vt:variant>
      <vt:variant>
        <vt:i4>32</vt:i4>
      </vt:variant>
      <vt:variant>
        <vt:i4>0</vt:i4>
      </vt:variant>
      <vt:variant>
        <vt:i4>5</vt:i4>
      </vt:variant>
      <vt:variant>
        <vt:lpwstr/>
      </vt:variant>
      <vt:variant>
        <vt:lpwstr>_Toc429746626</vt:lpwstr>
      </vt:variant>
      <vt:variant>
        <vt:i4>1441855</vt:i4>
      </vt:variant>
      <vt:variant>
        <vt:i4>26</vt:i4>
      </vt:variant>
      <vt:variant>
        <vt:i4>0</vt:i4>
      </vt:variant>
      <vt:variant>
        <vt:i4>5</vt:i4>
      </vt:variant>
      <vt:variant>
        <vt:lpwstr/>
      </vt:variant>
      <vt:variant>
        <vt:lpwstr>_Toc429746625</vt:lpwstr>
      </vt:variant>
      <vt:variant>
        <vt:i4>1441855</vt:i4>
      </vt:variant>
      <vt:variant>
        <vt:i4>20</vt:i4>
      </vt:variant>
      <vt:variant>
        <vt:i4>0</vt:i4>
      </vt:variant>
      <vt:variant>
        <vt:i4>5</vt:i4>
      </vt:variant>
      <vt:variant>
        <vt:lpwstr/>
      </vt:variant>
      <vt:variant>
        <vt:lpwstr>_Toc429746624</vt:lpwstr>
      </vt:variant>
      <vt:variant>
        <vt:i4>1441855</vt:i4>
      </vt:variant>
      <vt:variant>
        <vt:i4>14</vt:i4>
      </vt:variant>
      <vt:variant>
        <vt:i4>0</vt:i4>
      </vt:variant>
      <vt:variant>
        <vt:i4>5</vt:i4>
      </vt:variant>
      <vt:variant>
        <vt:lpwstr/>
      </vt:variant>
      <vt:variant>
        <vt:lpwstr>_Toc429746623</vt:lpwstr>
      </vt:variant>
      <vt:variant>
        <vt:i4>1441855</vt:i4>
      </vt:variant>
      <vt:variant>
        <vt:i4>8</vt:i4>
      </vt:variant>
      <vt:variant>
        <vt:i4>0</vt:i4>
      </vt:variant>
      <vt:variant>
        <vt:i4>5</vt:i4>
      </vt:variant>
      <vt:variant>
        <vt:lpwstr/>
      </vt:variant>
      <vt:variant>
        <vt:lpwstr>_Toc429746622</vt:lpwstr>
      </vt:variant>
      <vt:variant>
        <vt:i4>1441855</vt:i4>
      </vt:variant>
      <vt:variant>
        <vt:i4>2</vt:i4>
      </vt:variant>
      <vt:variant>
        <vt:i4>0</vt:i4>
      </vt:variant>
      <vt:variant>
        <vt:i4>5</vt:i4>
      </vt:variant>
      <vt:variant>
        <vt:lpwstr/>
      </vt:variant>
      <vt:variant>
        <vt:lpwstr>_Toc429746621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2024-04-03T13:39:00Z</dcterms:created>
  <dcterms:modified xsi:type="dcterms:W3CDTF">2024-04-04T09:55:00Z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2024-03-04T17:52:57Z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8002f3b7-877d-4032-81ea-67473fc4099a</vt:lpwstr>
  </property>
  <property fmtid="{D5CDD505-2E9C-101B-9397-08002B2CF9AE}" pid="8" name="MSIP_Label_6bd9ddd1-4d20-43f6-abfa-fc3c07406f94_ContentBits">
    <vt:lpwstr>0</vt:lpwstr>
  </property>
</Properties>
</file>