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08408" w14:textId="53C2C0A3" w:rsidR="001B7C2B" w:rsidRPr="00604294" w:rsidRDefault="001B7C2B" w:rsidP="001B7C2B">
      <w:pPr>
        <w:jc w:val="center"/>
        <w:rPr>
          <w:rFonts w:ascii="Times New Roman" w:hAnsi="Times New Roman"/>
          <w:b/>
          <w:sz w:val="24"/>
        </w:rPr>
      </w:pPr>
      <w:r w:rsidRPr="00604294">
        <w:rPr>
          <w:rFonts w:ascii="Times New Roman" w:hAnsi="Times New Roman"/>
          <w:b/>
          <w:sz w:val="24"/>
        </w:rPr>
        <w:t>PL</w:t>
      </w:r>
      <w:r w:rsidRPr="00604294">
        <w:t xml:space="preserve"> </w:t>
      </w:r>
      <w:r w:rsidRPr="00604294">
        <w:br/>
      </w:r>
      <w:r w:rsidRPr="00604294">
        <w:rPr>
          <w:rFonts w:ascii="Times New Roman" w:hAnsi="Times New Roman"/>
          <w:b/>
          <w:sz w:val="24"/>
        </w:rPr>
        <w:t>ZAŁĄCZNIK VI</w:t>
      </w:r>
    </w:p>
    <w:p w14:paraId="72104D4D" w14:textId="77777777" w:rsidR="006339CC" w:rsidRPr="00604294" w:rsidRDefault="006339CC" w:rsidP="001B7C2B">
      <w:pPr>
        <w:jc w:val="center"/>
        <w:rPr>
          <w:rFonts w:ascii="Times New Roman" w:hAnsi="Times New Roman"/>
          <w:b/>
          <w:sz w:val="24"/>
        </w:rPr>
      </w:pPr>
    </w:p>
    <w:p w14:paraId="01904AEC" w14:textId="353A69A5" w:rsidR="007F5684" w:rsidRPr="00604294" w:rsidRDefault="008E1DE8" w:rsidP="001B7C2B">
      <w:pPr>
        <w:jc w:val="center"/>
        <w:rPr>
          <w:b/>
          <w:szCs w:val="20"/>
          <w:u w:val="single"/>
        </w:rPr>
      </w:pPr>
      <w:r w:rsidRPr="00604294">
        <w:rPr>
          <w:b/>
          <w:u w:val="single"/>
        </w:rPr>
        <w:t>„ZAŁĄCZNIK XIX</w:t>
      </w:r>
    </w:p>
    <w:p w14:paraId="1796FE74" w14:textId="29CC78AB" w:rsidR="007F5684" w:rsidRPr="00604294" w:rsidRDefault="007F5684" w:rsidP="00F30436">
      <w:pPr>
        <w:jc w:val="center"/>
        <w:rPr>
          <w:b/>
          <w:szCs w:val="20"/>
        </w:rPr>
      </w:pPr>
      <w:r w:rsidRPr="00604294">
        <w:rPr>
          <w:b/>
        </w:rPr>
        <w:t>INSTRUKCJE WYPEŁNIANIA WZORU DOTYCZĄCEGO DODATKOWYCH NARZĘDZI MONITOROWANIA ZAWARTEGO W ZAŁĄCZNIKU XVIII</w:t>
      </w:r>
    </w:p>
    <w:p w14:paraId="16AC5CE5" w14:textId="77777777" w:rsidR="00D02FE4" w:rsidRPr="00604294" w:rsidRDefault="00181260" w:rsidP="00432D9F">
      <w:pPr>
        <w:pStyle w:val="Instructionsberschrift2"/>
        <w:numPr>
          <w:ilvl w:val="0"/>
          <w:numId w:val="2"/>
        </w:numPr>
        <w:rPr>
          <w:rFonts w:ascii="Times New Roman" w:hAnsi="Times New Roman" w:cs="Times New Roman"/>
          <w:szCs w:val="20"/>
        </w:rPr>
      </w:pPr>
      <w:r w:rsidRPr="00604294">
        <w:rPr>
          <w:rFonts w:ascii="Times New Roman" w:hAnsi="Times New Roman"/>
        </w:rPr>
        <w:t>Dodatkowe narzędzia monitorowania</w:t>
      </w:r>
    </w:p>
    <w:p w14:paraId="6D74775F" w14:textId="243E01B4" w:rsidR="00D02FE4" w:rsidRPr="00604294" w:rsidRDefault="00D02FE4" w:rsidP="00432D9F">
      <w:pPr>
        <w:pStyle w:val="Instructionsberschrift2"/>
        <w:numPr>
          <w:ilvl w:val="1"/>
          <w:numId w:val="2"/>
        </w:numPr>
        <w:rPr>
          <w:rFonts w:ascii="Times New Roman" w:hAnsi="Times New Roman" w:cs="Times New Roman"/>
          <w:szCs w:val="20"/>
        </w:rPr>
      </w:pPr>
      <w:bookmarkStart w:id="0" w:name="_Toc308175819"/>
      <w:bookmarkStart w:id="1" w:name="_Toc310414966"/>
      <w:r w:rsidRPr="00604294">
        <w:rPr>
          <w:rFonts w:ascii="Times New Roman" w:hAnsi="Times New Roman"/>
        </w:rPr>
        <w:t xml:space="preserve">Uwagi ogólne </w:t>
      </w:r>
      <w:bookmarkEnd w:id="0"/>
      <w:bookmarkEnd w:id="1"/>
    </w:p>
    <w:p w14:paraId="28146638" w14:textId="572CEF49" w:rsidR="00A344AA" w:rsidRPr="00604294" w:rsidRDefault="00F9747D" w:rsidP="00CC3091">
      <w:pPr>
        <w:pStyle w:val="InstructionsText2"/>
        <w:numPr>
          <w:ilvl w:val="0"/>
          <w:numId w:val="4"/>
        </w:numPr>
        <w:rPr>
          <w:u w:val="none"/>
        </w:rPr>
      </w:pPr>
      <w:r w:rsidRPr="00604294">
        <w:rPr>
          <w:u w:val="none"/>
        </w:rPr>
        <w:t xml:space="preserve">[puste] </w:t>
      </w:r>
    </w:p>
    <w:p w14:paraId="39998106" w14:textId="599FB145" w:rsidR="00A344AA" w:rsidRPr="00604294" w:rsidRDefault="00A344AA" w:rsidP="00CC3091">
      <w:pPr>
        <w:pStyle w:val="InstructionsText2"/>
        <w:numPr>
          <w:ilvl w:val="0"/>
          <w:numId w:val="4"/>
        </w:numPr>
        <w:rPr>
          <w:u w:val="none"/>
        </w:rPr>
      </w:pPr>
      <w:r w:rsidRPr="00604294">
        <w:rPr>
          <w:u w:val="none"/>
        </w:rPr>
        <w:t>Finansowanie razem (całkowite finansowanie) oznacza wszystkie zobowiązania finansowe inne niż instrumenty pochodne</w:t>
      </w:r>
      <w:r w:rsidR="00604294" w:rsidRPr="00604294">
        <w:rPr>
          <w:u w:val="none"/>
        </w:rPr>
        <w:t xml:space="preserve"> i</w:t>
      </w:r>
      <w:r w:rsidR="00604294">
        <w:rPr>
          <w:u w:val="none"/>
        </w:rPr>
        <w:t> </w:t>
      </w:r>
      <w:r w:rsidR="00604294" w:rsidRPr="00604294">
        <w:rPr>
          <w:u w:val="none"/>
        </w:rPr>
        <w:t>poz</w:t>
      </w:r>
      <w:r w:rsidRPr="00604294">
        <w:rPr>
          <w:u w:val="none"/>
        </w:rPr>
        <w:t>ycje krótkie.</w:t>
      </w:r>
    </w:p>
    <w:p w14:paraId="50F797C6" w14:textId="69916FE6" w:rsidR="00A344AA" w:rsidRPr="00604294" w:rsidRDefault="00A344AA" w:rsidP="00927DCB">
      <w:pPr>
        <w:pStyle w:val="InstructionsText2"/>
        <w:numPr>
          <w:ilvl w:val="0"/>
          <w:numId w:val="4"/>
        </w:numPr>
        <w:rPr>
          <w:u w:val="none"/>
        </w:rPr>
      </w:pPr>
      <w:r w:rsidRPr="00604294">
        <w:rPr>
          <w:u w:val="none"/>
        </w:rPr>
        <w:t>Finansowanie jakiegokolwiek rodzaju bez określonego terminu zapadalności,</w:t>
      </w:r>
      <w:r w:rsidR="00604294" w:rsidRPr="00604294">
        <w:rPr>
          <w:u w:val="none"/>
        </w:rPr>
        <w:t xml:space="preserve"> w</w:t>
      </w:r>
      <w:r w:rsidR="00604294">
        <w:rPr>
          <w:u w:val="none"/>
        </w:rPr>
        <w:t> </w:t>
      </w:r>
      <w:r w:rsidR="00604294" w:rsidRPr="00604294">
        <w:rPr>
          <w:u w:val="none"/>
        </w:rPr>
        <w:t>tym</w:t>
      </w:r>
      <w:r w:rsidRPr="00604294">
        <w:rPr>
          <w:u w:val="none"/>
        </w:rPr>
        <w:t xml:space="preserve"> depozyty na żądanie, uznaje się za posiadające termin zapadalności overnight. </w:t>
      </w:r>
    </w:p>
    <w:p w14:paraId="4586638B" w14:textId="250849DB" w:rsidR="00A344AA" w:rsidRPr="00604294" w:rsidRDefault="00A344AA" w:rsidP="00927DCB">
      <w:pPr>
        <w:pStyle w:val="InstructionsText2"/>
        <w:numPr>
          <w:ilvl w:val="0"/>
          <w:numId w:val="4"/>
        </w:numPr>
        <w:rPr>
          <w:u w:val="none"/>
        </w:rPr>
      </w:pPr>
      <w:r w:rsidRPr="00604294">
        <w:rPr>
          <w:u w:val="none"/>
        </w:rPr>
        <w:t>Pierwotny termin zapadalności oznacza okres między dniem powstania</w:t>
      </w:r>
      <w:r w:rsidR="00604294" w:rsidRPr="00604294">
        <w:rPr>
          <w:u w:val="none"/>
        </w:rPr>
        <w:t xml:space="preserve"> i</w:t>
      </w:r>
      <w:r w:rsidR="00604294">
        <w:rPr>
          <w:u w:val="none"/>
        </w:rPr>
        <w:t> </w:t>
      </w:r>
      <w:r w:rsidR="00604294" w:rsidRPr="00604294">
        <w:rPr>
          <w:u w:val="none"/>
        </w:rPr>
        <w:t>dni</w:t>
      </w:r>
      <w:r w:rsidRPr="00604294">
        <w:rPr>
          <w:u w:val="none"/>
        </w:rPr>
        <w:t>em upływu terminu zapadalności finansowania. Dzień upływu terminu zapadalności finansowania określa się zgodnie</w:t>
      </w:r>
      <w:r w:rsidR="00604294" w:rsidRPr="00604294">
        <w:rPr>
          <w:u w:val="none"/>
        </w:rPr>
        <w:t xml:space="preserve"> z</w:t>
      </w:r>
      <w:r w:rsidR="00604294">
        <w:rPr>
          <w:u w:val="none"/>
        </w:rPr>
        <w:t> </w:t>
      </w:r>
      <w:r w:rsidR="00604294" w:rsidRPr="00604294">
        <w:rPr>
          <w:u w:val="none"/>
        </w:rPr>
        <w:t>pkt </w:t>
      </w:r>
      <w:r w:rsidRPr="00604294">
        <w:rPr>
          <w:u w:val="none"/>
        </w:rPr>
        <w:t>12 załącznika XXIII. Oznacza to, że jeżeli istnieją możliwości takie jak określone</w:t>
      </w:r>
      <w:r w:rsidR="00604294" w:rsidRPr="00604294">
        <w:rPr>
          <w:u w:val="none"/>
        </w:rPr>
        <w:t xml:space="preserve"> w</w:t>
      </w:r>
      <w:r w:rsidR="00604294">
        <w:rPr>
          <w:u w:val="none"/>
        </w:rPr>
        <w:t> </w:t>
      </w:r>
      <w:r w:rsidR="00604294" w:rsidRPr="00604294">
        <w:rPr>
          <w:u w:val="none"/>
        </w:rPr>
        <w:t>pkt </w:t>
      </w:r>
      <w:r w:rsidRPr="00604294">
        <w:rPr>
          <w:u w:val="none"/>
        </w:rPr>
        <w:t xml:space="preserve">12 załącznika XXIII, pierwotny termin zapadalności pozycji finansowania może być krótszy niż okres, który upłynął od jej powstania. </w:t>
      </w:r>
    </w:p>
    <w:p w14:paraId="4FA59274" w14:textId="0F055103" w:rsidR="00A344AA" w:rsidRPr="00604294" w:rsidRDefault="00A344AA" w:rsidP="00927DCB">
      <w:pPr>
        <w:pStyle w:val="InstructionsText2"/>
        <w:numPr>
          <w:ilvl w:val="0"/>
          <w:numId w:val="4"/>
        </w:numPr>
        <w:rPr>
          <w:u w:val="none"/>
        </w:rPr>
      </w:pPr>
      <w:r w:rsidRPr="00604294">
        <w:rPr>
          <w:u w:val="none"/>
        </w:rPr>
        <w:t>Rezydualny termin zapadalności oznacza okres między końcem okresu sprawozdawczego</w:t>
      </w:r>
      <w:r w:rsidR="00604294" w:rsidRPr="00604294">
        <w:rPr>
          <w:u w:val="none"/>
        </w:rPr>
        <w:t xml:space="preserve"> i</w:t>
      </w:r>
      <w:r w:rsidR="00604294">
        <w:rPr>
          <w:u w:val="none"/>
        </w:rPr>
        <w:t> </w:t>
      </w:r>
      <w:r w:rsidR="00604294" w:rsidRPr="00604294">
        <w:rPr>
          <w:u w:val="none"/>
        </w:rPr>
        <w:t>dni</w:t>
      </w:r>
      <w:r w:rsidRPr="00604294">
        <w:rPr>
          <w:u w:val="none"/>
        </w:rPr>
        <w:t>em upływu terminu zapadalności finansowania. Dzień upływu terminu zapadalności finansowania określa się zgodnie</w:t>
      </w:r>
      <w:r w:rsidR="00604294" w:rsidRPr="00604294">
        <w:rPr>
          <w:u w:val="none"/>
        </w:rPr>
        <w:t xml:space="preserve"> z</w:t>
      </w:r>
      <w:r w:rsidR="00604294">
        <w:rPr>
          <w:u w:val="none"/>
        </w:rPr>
        <w:t> </w:t>
      </w:r>
      <w:r w:rsidR="00604294" w:rsidRPr="00604294">
        <w:rPr>
          <w:u w:val="none"/>
        </w:rPr>
        <w:t>pkt </w:t>
      </w:r>
      <w:r w:rsidRPr="00604294">
        <w:rPr>
          <w:u w:val="none"/>
        </w:rPr>
        <w:t>12 załącznika XXIII.</w:t>
      </w:r>
    </w:p>
    <w:p w14:paraId="1DF04682" w14:textId="7779F0D3" w:rsidR="007462FE" w:rsidRPr="00604294" w:rsidRDefault="007462FE" w:rsidP="00927DCB">
      <w:pPr>
        <w:pStyle w:val="InstructionsText2"/>
        <w:numPr>
          <w:ilvl w:val="0"/>
          <w:numId w:val="4"/>
        </w:numPr>
        <w:rPr>
          <w:u w:val="none"/>
        </w:rPr>
      </w:pPr>
      <w:r w:rsidRPr="00604294">
        <w:rPr>
          <w:u w:val="none"/>
        </w:rPr>
        <w:t>Do celów obliczania średniego ważonego pierwotnego lub rezydualnego terminu zapadalności depozyty</w:t>
      </w:r>
      <w:r w:rsidR="00604294" w:rsidRPr="00604294">
        <w:rPr>
          <w:u w:val="none"/>
        </w:rPr>
        <w:t xml:space="preserve"> z</w:t>
      </w:r>
      <w:r w:rsidR="00604294">
        <w:rPr>
          <w:u w:val="none"/>
        </w:rPr>
        <w:t> </w:t>
      </w:r>
      <w:r w:rsidR="00604294" w:rsidRPr="00604294">
        <w:rPr>
          <w:u w:val="none"/>
        </w:rPr>
        <w:t>ter</w:t>
      </w:r>
      <w:r w:rsidRPr="00604294">
        <w:rPr>
          <w:u w:val="none"/>
        </w:rPr>
        <w:t>minem zapadalności overnight lub finansowanie jakiegokolwiek rodzaju bez określonego terminu zapadalności uznaje się za posiadające termin zapadalności wynoszący jeden dzień.</w:t>
      </w:r>
    </w:p>
    <w:p w14:paraId="25CD9EF4" w14:textId="1AA3E90B" w:rsidR="007462FE" w:rsidRPr="00604294" w:rsidRDefault="007462FE" w:rsidP="00927DCB">
      <w:pPr>
        <w:pStyle w:val="InstructionsText2"/>
        <w:numPr>
          <w:ilvl w:val="0"/>
          <w:numId w:val="4"/>
        </w:numPr>
        <w:rPr>
          <w:u w:val="none"/>
        </w:rPr>
      </w:pPr>
      <w:r w:rsidRPr="00604294">
        <w:rPr>
          <w:u w:val="none"/>
        </w:rPr>
        <w:t>Do celów obliczania pierwotnego</w:t>
      </w:r>
      <w:r w:rsidR="00604294" w:rsidRPr="00604294">
        <w:rPr>
          <w:u w:val="none"/>
        </w:rPr>
        <w:t xml:space="preserve"> i</w:t>
      </w:r>
      <w:r w:rsidR="00604294">
        <w:rPr>
          <w:u w:val="none"/>
        </w:rPr>
        <w:t> </w:t>
      </w:r>
      <w:r w:rsidR="00604294" w:rsidRPr="00604294">
        <w:rPr>
          <w:u w:val="none"/>
        </w:rPr>
        <w:t>rez</w:t>
      </w:r>
      <w:r w:rsidRPr="00604294">
        <w:rPr>
          <w:u w:val="none"/>
        </w:rPr>
        <w:t>ydualnego terminu zapadalności,</w:t>
      </w:r>
      <w:r w:rsidR="00604294" w:rsidRPr="00604294">
        <w:rPr>
          <w:u w:val="none"/>
        </w:rPr>
        <w:t xml:space="preserve"> w</w:t>
      </w:r>
      <w:r w:rsidR="00604294">
        <w:rPr>
          <w:u w:val="none"/>
        </w:rPr>
        <w:t> </w:t>
      </w:r>
      <w:r w:rsidR="00604294" w:rsidRPr="00604294">
        <w:rPr>
          <w:u w:val="none"/>
        </w:rPr>
        <w:t>prz</w:t>
      </w:r>
      <w:r w:rsidRPr="00604294">
        <w:rPr>
          <w:u w:val="none"/>
        </w:rPr>
        <w:t>ypadku finansowania</w:t>
      </w:r>
      <w:r w:rsidR="00604294" w:rsidRPr="00604294">
        <w:rPr>
          <w:u w:val="none"/>
        </w:rPr>
        <w:t xml:space="preserve"> z</w:t>
      </w:r>
      <w:r w:rsidR="00604294">
        <w:rPr>
          <w:u w:val="none"/>
        </w:rPr>
        <w:t> </w:t>
      </w:r>
      <w:r w:rsidR="00604294" w:rsidRPr="00604294">
        <w:rPr>
          <w:u w:val="none"/>
        </w:rPr>
        <w:t>kla</w:t>
      </w:r>
      <w:r w:rsidRPr="00604294">
        <w:rPr>
          <w:u w:val="none"/>
        </w:rPr>
        <w:t>uzulą dotyczącą okresu wypowiedzenia lub anulowania lub przedterminowego wycofania przez kontrahenta instytucji, przyjmuje się wycofanie</w:t>
      </w:r>
      <w:r w:rsidR="00604294" w:rsidRPr="00604294">
        <w:rPr>
          <w:u w:val="none"/>
        </w:rPr>
        <w:t xml:space="preserve"> w</w:t>
      </w:r>
      <w:r w:rsidR="00604294">
        <w:rPr>
          <w:u w:val="none"/>
        </w:rPr>
        <w:t> </w:t>
      </w:r>
      <w:r w:rsidR="00604294" w:rsidRPr="00604294">
        <w:rPr>
          <w:u w:val="none"/>
        </w:rPr>
        <w:t>naj</w:t>
      </w:r>
      <w:r w:rsidRPr="00604294">
        <w:rPr>
          <w:u w:val="none"/>
        </w:rPr>
        <w:t>wcześniejszym możliwym terminie.</w:t>
      </w:r>
    </w:p>
    <w:p w14:paraId="2B81E2EC" w14:textId="4CF5145A" w:rsidR="00A344AA" w:rsidRPr="00604294" w:rsidRDefault="00A344AA" w:rsidP="00927DCB">
      <w:pPr>
        <w:pStyle w:val="InstructionsText2"/>
        <w:numPr>
          <w:ilvl w:val="0"/>
          <w:numId w:val="4"/>
        </w:numPr>
        <w:rPr>
          <w:u w:val="none"/>
        </w:rPr>
      </w:pPr>
      <w:r w:rsidRPr="00604294">
        <w:rPr>
          <w:u w:val="none"/>
        </w:rPr>
        <w:t>W przypadku zobowiązań bez określonego terminu zapadalności,</w:t>
      </w:r>
      <w:r w:rsidR="00604294" w:rsidRPr="00604294">
        <w:rPr>
          <w:u w:val="none"/>
        </w:rPr>
        <w:t xml:space="preserve"> z</w:t>
      </w:r>
      <w:r w:rsidR="00604294">
        <w:rPr>
          <w:u w:val="none"/>
        </w:rPr>
        <w:t> </w:t>
      </w:r>
      <w:r w:rsidR="00604294" w:rsidRPr="00604294">
        <w:rPr>
          <w:u w:val="none"/>
        </w:rPr>
        <w:t>wył</w:t>
      </w:r>
      <w:r w:rsidRPr="00604294">
        <w:rPr>
          <w:u w:val="none"/>
        </w:rPr>
        <w:t>ączeniem sytuacji, gdy są one objęte możliwościami,</w:t>
      </w:r>
      <w:r w:rsidR="00604294" w:rsidRPr="00604294">
        <w:rPr>
          <w:u w:val="none"/>
        </w:rPr>
        <w:t xml:space="preserve"> o</w:t>
      </w:r>
      <w:r w:rsidR="00604294">
        <w:rPr>
          <w:u w:val="none"/>
        </w:rPr>
        <w:t> </w:t>
      </w:r>
      <w:r w:rsidR="00604294" w:rsidRPr="00604294">
        <w:rPr>
          <w:u w:val="none"/>
        </w:rPr>
        <w:t>któ</w:t>
      </w:r>
      <w:r w:rsidRPr="00604294">
        <w:rPr>
          <w:u w:val="none"/>
        </w:rPr>
        <w:t>rych mowa</w:t>
      </w:r>
      <w:r w:rsidR="00604294" w:rsidRPr="00604294">
        <w:rPr>
          <w:u w:val="none"/>
        </w:rPr>
        <w:t xml:space="preserve"> w</w:t>
      </w:r>
      <w:r w:rsidR="00604294">
        <w:rPr>
          <w:u w:val="none"/>
        </w:rPr>
        <w:t> </w:t>
      </w:r>
      <w:r w:rsidR="00604294" w:rsidRPr="00604294">
        <w:rPr>
          <w:u w:val="none"/>
        </w:rPr>
        <w:t>pkt </w:t>
      </w:r>
      <w:r w:rsidRPr="00604294">
        <w:rPr>
          <w:u w:val="none"/>
        </w:rPr>
        <w:t>12 załącznika XXIII, przyjmuje się dwudziestoletni pierwotny</w:t>
      </w:r>
      <w:r w:rsidR="00604294" w:rsidRPr="00604294">
        <w:rPr>
          <w:u w:val="none"/>
        </w:rPr>
        <w:t xml:space="preserve"> i</w:t>
      </w:r>
      <w:r w:rsidR="00604294">
        <w:rPr>
          <w:u w:val="none"/>
        </w:rPr>
        <w:t> </w:t>
      </w:r>
      <w:r w:rsidR="00604294" w:rsidRPr="00604294">
        <w:rPr>
          <w:u w:val="none"/>
        </w:rPr>
        <w:t>rez</w:t>
      </w:r>
      <w:r w:rsidRPr="00604294">
        <w:rPr>
          <w:u w:val="none"/>
        </w:rPr>
        <w:t>ydualny termin zapadalności.</w:t>
      </w:r>
    </w:p>
    <w:p w14:paraId="30EB5133" w14:textId="4D33081D" w:rsidR="00A344AA" w:rsidRPr="00604294" w:rsidRDefault="00A344AA" w:rsidP="00927DCB">
      <w:pPr>
        <w:pStyle w:val="InstructionsText2"/>
        <w:numPr>
          <w:ilvl w:val="0"/>
          <w:numId w:val="4"/>
        </w:numPr>
        <w:rPr>
          <w:u w:val="none"/>
        </w:rPr>
      </w:pPr>
      <w:r w:rsidRPr="00604294">
        <w:rPr>
          <w:u w:val="none"/>
        </w:rPr>
        <w:t>W celu obliczenia procentowego progu,</w:t>
      </w:r>
      <w:r w:rsidR="00604294" w:rsidRPr="00604294">
        <w:rPr>
          <w:u w:val="none"/>
        </w:rPr>
        <w:t xml:space="preserve"> o</w:t>
      </w:r>
      <w:r w:rsidR="00604294">
        <w:rPr>
          <w:u w:val="none"/>
        </w:rPr>
        <w:t> </w:t>
      </w:r>
      <w:r w:rsidR="00604294" w:rsidRPr="00604294">
        <w:rPr>
          <w:u w:val="none"/>
        </w:rPr>
        <w:t>któ</w:t>
      </w:r>
      <w:r w:rsidRPr="00604294">
        <w:rPr>
          <w:u w:val="none"/>
        </w:rPr>
        <w:t>rym mowa we wzorze C 67.00, według waluty znaczącej instytucje stosują próg 1 % całkowitych zobowiązań we wszystkich walutach.</w:t>
      </w:r>
    </w:p>
    <w:p w14:paraId="0E1E0ED8" w14:textId="77777777" w:rsidR="00A344AA" w:rsidRPr="00604294" w:rsidRDefault="00A344AA" w:rsidP="00A344AA">
      <w:pPr>
        <w:pStyle w:val="Instructionsberschrift2"/>
        <w:numPr>
          <w:ilvl w:val="1"/>
          <w:numId w:val="2"/>
        </w:numPr>
        <w:spacing w:before="0"/>
        <w:rPr>
          <w:rFonts w:ascii="Times New Roman" w:hAnsi="Times New Roman" w:cs="Times New Roman"/>
          <w:szCs w:val="20"/>
        </w:rPr>
      </w:pPr>
      <w:r w:rsidRPr="00604294">
        <w:rPr>
          <w:rFonts w:ascii="Times New Roman" w:hAnsi="Times New Roman"/>
        </w:rPr>
        <w:t>Koncentracja finansowania według kontrahenta (C 67.00)</w:t>
      </w:r>
    </w:p>
    <w:p w14:paraId="322C1A75" w14:textId="2C47931C" w:rsidR="00A344AA" w:rsidRPr="00604294" w:rsidRDefault="00490B62" w:rsidP="00CC3091">
      <w:pPr>
        <w:pStyle w:val="InstructionsText2"/>
        <w:numPr>
          <w:ilvl w:val="0"/>
          <w:numId w:val="6"/>
        </w:numPr>
        <w:rPr>
          <w:u w:val="none"/>
        </w:rPr>
      </w:pPr>
      <w:r w:rsidRPr="00604294">
        <w:rPr>
          <w:u w:val="none"/>
        </w:rPr>
        <w:t>W celu zgromadzenia we wzorze C 67.00 informacji dotyczących koncentracji finansowania instytucji sprawozdających</w:t>
      </w:r>
      <w:r w:rsidR="00604294" w:rsidRPr="00604294">
        <w:rPr>
          <w:u w:val="none"/>
        </w:rPr>
        <w:t xml:space="preserve"> w</w:t>
      </w:r>
      <w:r w:rsidR="00604294">
        <w:rPr>
          <w:u w:val="none"/>
        </w:rPr>
        <w:t> </w:t>
      </w:r>
      <w:r w:rsidR="00604294" w:rsidRPr="00604294">
        <w:rPr>
          <w:u w:val="none"/>
        </w:rPr>
        <w:t>pod</w:t>
      </w:r>
      <w:r w:rsidRPr="00604294">
        <w:rPr>
          <w:u w:val="none"/>
        </w:rPr>
        <w:t>ziale na kontrahentów instytucje stosują instrukcje zawarte</w:t>
      </w:r>
      <w:r w:rsidR="00604294" w:rsidRPr="00604294">
        <w:rPr>
          <w:u w:val="none"/>
        </w:rPr>
        <w:t xml:space="preserve"> w</w:t>
      </w:r>
      <w:r w:rsidR="00604294">
        <w:rPr>
          <w:u w:val="none"/>
        </w:rPr>
        <w:t> </w:t>
      </w:r>
      <w:r w:rsidR="00604294" w:rsidRPr="00604294">
        <w:rPr>
          <w:u w:val="none"/>
        </w:rPr>
        <w:t>nin</w:t>
      </w:r>
      <w:r w:rsidRPr="00604294">
        <w:rPr>
          <w:u w:val="none"/>
        </w:rPr>
        <w:t>iejszej sekcji.</w:t>
      </w:r>
    </w:p>
    <w:p w14:paraId="52091F90" w14:textId="01EBD1DD" w:rsidR="00A344AA" w:rsidRPr="00604294" w:rsidRDefault="00A344AA" w:rsidP="00CC3091">
      <w:pPr>
        <w:pStyle w:val="InstructionsText2"/>
        <w:numPr>
          <w:ilvl w:val="0"/>
          <w:numId w:val="6"/>
        </w:numPr>
        <w:rPr>
          <w:u w:val="none"/>
        </w:rPr>
      </w:pPr>
      <w:r w:rsidRPr="00604294">
        <w:rPr>
          <w:u w:val="none"/>
        </w:rPr>
        <w:t>Instytucje zgłaszają,</w:t>
      </w:r>
      <w:r w:rsidR="00604294" w:rsidRPr="00604294">
        <w:rPr>
          <w:u w:val="none"/>
        </w:rPr>
        <w:t xml:space="preserve"> w</w:t>
      </w:r>
      <w:r w:rsidR="00604294">
        <w:rPr>
          <w:u w:val="none"/>
        </w:rPr>
        <w:t> </w:t>
      </w:r>
      <w:r w:rsidR="00604294" w:rsidRPr="00604294">
        <w:rPr>
          <w:u w:val="none"/>
        </w:rPr>
        <w:t>wie</w:t>
      </w:r>
      <w:r w:rsidRPr="00604294">
        <w:rPr>
          <w:u w:val="none"/>
        </w:rPr>
        <w:t>rszach 020–110</w:t>
      </w:r>
      <w:r w:rsidR="00604294" w:rsidRPr="00604294">
        <w:rPr>
          <w:u w:val="none"/>
        </w:rPr>
        <w:t xml:space="preserve"> w</w:t>
      </w:r>
      <w:r w:rsidR="00604294">
        <w:rPr>
          <w:u w:val="none"/>
        </w:rPr>
        <w:t> </w:t>
      </w:r>
      <w:r w:rsidR="00604294" w:rsidRPr="00604294">
        <w:rPr>
          <w:u w:val="none"/>
        </w:rPr>
        <w:t>sek</w:t>
      </w:r>
      <w:r w:rsidRPr="00604294">
        <w:rPr>
          <w:u w:val="none"/>
        </w:rPr>
        <w:t>cji 1 wzoru, dziesięciu najważniejszych kontrahentów lub grupę powiązanych klientów zdefiniowaną</w:t>
      </w:r>
      <w:r w:rsidR="00604294" w:rsidRPr="00604294">
        <w:rPr>
          <w:u w:val="none"/>
        </w:rPr>
        <w:t xml:space="preserve"> w</w:t>
      </w:r>
      <w:r w:rsidR="00604294">
        <w:rPr>
          <w:u w:val="none"/>
        </w:rPr>
        <w:t> </w:t>
      </w:r>
      <w:r w:rsidR="00604294" w:rsidRPr="00604294">
        <w:rPr>
          <w:u w:val="none"/>
        </w:rPr>
        <w:t>art</w:t>
      </w:r>
      <w:r w:rsidRPr="00604294">
        <w:rPr>
          <w:u w:val="none"/>
        </w:rPr>
        <w:t>. 4 ust. 1 pkt</w:t>
      </w:r>
      <w:r w:rsidR="00604294" w:rsidRPr="00604294">
        <w:rPr>
          <w:u w:val="none"/>
        </w:rPr>
        <w:t> </w:t>
      </w:r>
      <w:r w:rsidRPr="00604294">
        <w:rPr>
          <w:u w:val="none"/>
        </w:rPr>
        <w:t>39 rozporządzenia (UE) nr</w:t>
      </w:r>
      <w:r w:rsidR="00604294" w:rsidRPr="00604294">
        <w:rPr>
          <w:u w:val="none"/>
        </w:rPr>
        <w:t> </w:t>
      </w:r>
      <w:r w:rsidRPr="00604294">
        <w:rPr>
          <w:u w:val="none"/>
        </w:rPr>
        <w:t>575/2013,</w:t>
      </w:r>
      <w:r w:rsidR="00604294" w:rsidRPr="00604294">
        <w:rPr>
          <w:u w:val="none"/>
        </w:rPr>
        <w:t xml:space="preserve"> w</w:t>
      </w:r>
      <w:r w:rsidR="00604294">
        <w:rPr>
          <w:u w:val="none"/>
        </w:rPr>
        <w:t> </w:t>
      </w:r>
      <w:r w:rsidR="00604294" w:rsidRPr="00604294">
        <w:rPr>
          <w:u w:val="none"/>
        </w:rPr>
        <w:t>prz</w:t>
      </w:r>
      <w:r w:rsidRPr="00604294">
        <w:rPr>
          <w:u w:val="none"/>
        </w:rPr>
        <w:t xml:space="preserve">ypadku gdy finansowanie uzyskane od każdego kontrahenta lub grupy powiązanych klientów przekracza próg 1 % całkowitych zobowiązań. </w:t>
      </w:r>
      <w:r w:rsidRPr="00604294">
        <w:rPr>
          <w:u w:val="none"/>
        </w:rPr>
        <w:lastRenderedPageBreak/>
        <w:t>Kontrahent zgłoszony</w:t>
      </w:r>
      <w:r w:rsidR="00604294" w:rsidRPr="00604294">
        <w:rPr>
          <w:u w:val="none"/>
        </w:rPr>
        <w:t xml:space="preserve"> w</w:t>
      </w:r>
      <w:r w:rsidR="00604294">
        <w:rPr>
          <w:u w:val="none"/>
        </w:rPr>
        <w:t> </w:t>
      </w:r>
      <w:r w:rsidR="00604294" w:rsidRPr="00604294">
        <w:rPr>
          <w:u w:val="none"/>
        </w:rPr>
        <w:t>poz</w:t>
      </w:r>
      <w:r w:rsidRPr="00604294">
        <w:rPr>
          <w:u w:val="none"/>
        </w:rPr>
        <w:t>ycji 1.01 odpowiada największej kwocie finansowania otrzymanego od jednego kontrahenta lub grupy powiązanych klientów, która to kwota przekracza próg 1 % na dzień sprawozdawczy</w:t>
      </w:r>
      <w:r w:rsidR="00604294" w:rsidRPr="00604294">
        <w:rPr>
          <w:u w:val="none"/>
        </w:rPr>
        <w:t>. W</w:t>
      </w:r>
      <w:r w:rsidR="00604294">
        <w:rPr>
          <w:u w:val="none"/>
        </w:rPr>
        <w:t> </w:t>
      </w:r>
      <w:r w:rsidR="00604294" w:rsidRPr="00604294">
        <w:rPr>
          <w:u w:val="none"/>
        </w:rPr>
        <w:t>poz</w:t>
      </w:r>
      <w:r w:rsidRPr="00604294">
        <w:rPr>
          <w:u w:val="none"/>
        </w:rPr>
        <w:t>ycji 1.02 zgłasza się kontrahenta, który odpowiada drugiej pod względem wielkości kwocie finansowania przekraczającej próg 1 %; podobnie postępuje się</w:t>
      </w:r>
      <w:r w:rsidR="00604294" w:rsidRPr="00604294">
        <w:rPr>
          <w:u w:val="none"/>
        </w:rPr>
        <w:t xml:space="preserve"> z</w:t>
      </w:r>
      <w:r w:rsidR="00604294">
        <w:rPr>
          <w:u w:val="none"/>
        </w:rPr>
        <w:t> </w:t>
      </w:r>
      <w:r w:rsidR="00604294" w:rsidRPr="00604294">
        <w:rPr>
          <w:u w:val="none"/>
        </w:rPr>
        <w:t>kol</w:t>
      </w:r>
      <w:r w:rsidRPr="00604294">
        <w:rPr>
          <w:u w:val="none"/>
        </w:rPr>
        <w:t>ejnymi pozycjami.</w:t>
      </w:r>
    </w:p>
    <w:p w14:paraId="430CAED4" w14:textId="508C1FEF" w:rsidR="00A344AA" w:rsidRPr="00604294" w:rsidRDefault="00A344AA" w:rsidP="00CC3091">
      <w:pPr>
        <w:pStyle w:val="InstructionsText2"/>
        <w:numPr>
          <w:ilvl w:val="0"/>
          <w:numId w:val="6"/>
        </w:numPr>
        <w:rPr>
          <w:u w:val="none"/>
        </w:rPr>
      </w:pPr>
      <w:r w:rsidRPr="00604294">
        <w:rPr>
          <w:u w:val="none"/>
        </w:rPr>
        <w:t>Jeżeli kontrahent należy do wielu grup powiązanych klientów, zgłasza się go tylko raz</w:t>
      </w:r>
      <w:r w:rsidR="00604294" w:rsidRPr="00604294">
        <w:rPr>
          <w:u w:val="none"/>
        </w:rPr>
        <w:t xml:space="preserve"> w</w:t>
      </w:r>
      <w:r w:rsidR="00604294">
        <w:rPr>
          <w:u w:val="none"/>
        </w:rPr>
        <w:t> </w:t>
      </w:r>
      <w:r w:rsidR="00604294" w:rsidRPr="00604294">
        <w:rPr>
          <w:u w:val="none"/>
        </w:rPr>
        <w:t>gru</w:t>
      </w:r>
      <w:r w:rsidRPr="00604294">
        <w:rPr>
          <w:u w:val="none"/>
        </w:rPr>
        <w:t>pie</w:t>
      </w:r>
      <w:r w:rsidR="00604294" w:rsidRPr="00604294">
        <w:rPr>
          <w:u w:val="none"/>
        </w:rPr>
        <w:t xml:space="preserve"> o</w:t>
      </w:r>
      <w:r w:rsidR="00604294">
        <w:rPr>
          <w:u w:val="none"/>
        </w:rPr>
        <w:t> </w:t>
      </w:r>
      <w:r w:rsidR="00604294" w:rsidRPr="00604294">
        <w:rPr>
          <w:u w:val="none"/>
        </w:rPr>
        <w:t>naj</w:t>
      </w:r>
      <w:r w:rsidRPr="00604294">
        <w:rPr>
          <w:u w:val="none"/>
        </w:rPr>
        <w:t xml:space="preserve">wyższej kwocie finansowania. </w:t>
      </w:r>
    </w:p>
    <w:p w14:paraId="589BDAD9" w14:textId="6D42F5DF" w:rsidR="00A344AA" w:rsidRPr="00604294" w:rsidRDefault="00A344AA" w:rsidP="00381AA0">
      <w:pPr>
        <w:pStyle w:val="InstructionsText2"/>
        <w:numPr>
          <w:ilvl w:val="0"/>
          <w:numId w:val="6"/>
        </w:numPr>
        <w:rPr>
          <w:u w:val="none"/>
        </w:rPr>
      </w:pPr>
      <w:r w:rsidRPr="00604294">
        <w:rPr>
          <w:u w:val="none"/>
        </w:rPr>
        <w:t>Instytucje zgłaszają całkowitą kwotę pozostałego finansowania</w:t>
      </w:r>
      <w:r w:rsidR="00604294" w:rsidRPr="00604294">
        <w:rPr>
          <w:u w:val="none"/>
        </w:rPr>
        <w:t xml:space="preserve"> w</w:t>
      </w:r>
      <w:r w:rsidR="00604294">
        <w:rPr>
          <w:u w:val="none"/>
        </w:rPr>
        <w:t> </w:t>
      </w:r>
      <w:r w:rsidR="00604294" w:rsidRPr="00604294">
        <w:rPr>
          <w:u w:val="none"/>
        </w:rPr>
        <w:t>sek</w:t>
      </w:r>
      <w:r w:rsidRPr="00604294">
        <w:rPr>
          <w:u w:val="none"/>
        </w:rPr>
        <w:t>cji 2.</w:t>
      </w:r>
    </w:p>
    <w:p w14:paraId="6E279CE2" w14:textId="399ED4EB" w:rsidR="00A344AA" w:rsidRPr="00604294" w:rsidRDefault="00A344AA" w:rsidP="00927DCB">
      <w:pPr>
        <w:pStyle w:val="InstructionsText2"/>
        <w:numPr>
          <w:ilvl w:val="0"/>
          <w:numId w:val="6"/>
        </w:numPr>
        <w:rPr>
          <w:u w:val="none"/>
        </w:rPr>
      </w:pPr>
      <w:r w:rsidRPr="00604294">
        <w:rPr>
          <w:u w:val="none"/>
        </w:rPr>
        <w:t>Suma sekcji 1 (Dziesięciu najważniejszych kontrahentów)</w:t>
      </w:r>
      <w:r w:rsidR="00604294" w:rsidRPr="00604294">
        <w:rPr>
          <w:u w:val="none"/>
        </w:rPr>
        <w:t xml:space="preserve"> i</w:t>
      </w:r>
      <w:r w:rsidR="00604294">
        <w:rPr>
          <w:u w:val="none"/>
        </w:rPr>
        <w:t> </w:t>
      </w:r>
      <w:r w:rsidR="00604294" w:rsidRPr="00604294">
        <w:rPr>
          <w:u w:val="none"/>
        </w:rPr>
        <w:t>sek</w:t>
      </w:r>
      <w:r w:rsidRPr="00604294">
        <w:rPr>
          <w:u w:val="none"/>
        </w:rPr>
        <w:t>cji 2 (Całkowita kwota pozostałego finansowania) jest równa całkowitemu finansowaniu instytucji wykazanemu</w:t>
      </w:r>
      <w:r w:rsidR="00604294" w:rsidRPr="00604294">
        <w:rPr>
          <w:u w:val="none"/>
        </w:rPr>
        <w:t xml:space="preserve"> w</w:t>
      </w:r>
      <w:r w:rsidR="00604294">
        <w:rPr>
          <w:u w:val="none"/>
        </w:rPr>
        <w:t> </w:t>
      </w:r>
      <w:r w:rsidR="00604294" w:rsidRPr="00604294">
        <w:rPr>
          <w:u w:val="none"/>
        </w:rPr>
        <w:t>bil</w:t>
      </w:r>
      <w:r w:rsidRPr="00604294">
        <w:rPr>
          <w:u w:val="none"/>
        </w:rPr>
        <w:t>ansie zgłoszonym</w:t>
      </w:r>
      <w:r w:rsidR="00604294" w:rsidRPr="00604294">
        <w:rPr>
          <w:u w:val="none"/>
        </w:rPr>
        <w:t xml:space="preserve"> w</w:t>
      </w:r>
      <w:r w:rsidR="00604294">
        <w:rPr>
          <w:u w:val="none"/>
        </w:rPr>
        <w:t> </w:t>
      </w:r>
      <w:r w:rsidR="00604294" w:rsidRPr="00604294">
        <w:rPr>
          <w:u w:val="none"/>
        </w:rPr>
        <w:t>ram</w:t>
      </w:r>
      <w:r w:rsidRPr="00604294">
        <w:rPr>
          <w:u w:val="none"/>
        </w:rPr>
        <w:t>ach sprawozdawczości finansowej (FINREP – reprezentujące zobowiązania finansowe po wyłączeniu instrumentów pochodnych</w:t>
      </w:r>
      <w:r w:rsidR="00604294" w:rsidRPr="00604294">
        <w:rPr>
          <w:u w:val="none"/>
        </w:rPr>
        <w:t xml:space="preserve"> i</w:t>
      </w:r>
      <w:r w:rsidR="00604294">
        <w:rPr>
          <w:u w:val="none"/>
        </w:rPr>
        <w:t> </w:t>
      </w:r>
      <w:r w:rsidR="00604294" w:rsidRPr="00604294">
        <w:rPr>
          <w:u w:val="none"/>
        </w:rPr>
        <w:t>poz</w:t>
      </w:r>
      <w:r w:rsidRPr="00604294">
        <w:rPr>
          <w:u w:val="none"/>
        </w:rPr>
        <w:t>ycji krótkich, zgodnie</w:t>
      </w:r>
      <w:r w:rsidR="00604294" w:rsidRPr="00604294">
        <w:rPr>
          <w:u w:val="none"/>
        </w:rPr>
        <w:t xml:space="preserve"> z</w:t>
      </w:r>
      <w:r w:rsidR="00604294">
        <w:rPr>
          <w:u w:val="none"/>
        </w:rPr>
        <w:t> </w:t>
      </w:r>
      <w:r w:rsidR="00604294" w:rsidRPr="00604294">
        <w:rPr>
          <w:u w:val="none"/>
        </w:rPr>
        <w:t>sek</w:t>
      </w:r>
      <w:r w:rsidRPr="00604294">
        <w:rPr>
          <w:u w:val="none"/>
        </w:rPr>
        <w:t>cją 1.1 pkt</w:t>
      </w:r>
      <w:r w:rsidR="00604294" w:rsidRPr="00604294">
        <w:rPr>
          <w:u w:val="none"/>
        </w:rPr>
        <w:t> </w:t>
      </w:r>
      <w:r w:rsidRPr="00604294">
        <w:rPr>
          <w:u w:val="none"/>
        </w:rPr>
        <w:t>2)</w:t>
      </w:r>
      <w:r w:rsidR="00604294" w:rsidRPr="00604294">
        <w:rPr>
          <w:u w:val="none"/>
        </w:rPr>
        <w:t xml:space="preserve"> w</w:t>
      </w:r>
      <w:r w:rsidR="00604294">
        <w:rPr>
          <w:u w:val="none"/>
        </w:rPr>
        <w:t> </w:t>
      </w:r>
      <w:r w:rsidR="00604294" w:rsidRPr="00604294">
        <w:rPr>
          <w:u w:val="none"/>
        </w:rPr>
        <w:t>odn</w:t>
      </w:r>
      <w:r w:rsidRPr="00604294">
        <w:rPr>
          <w:u w:val="none"/>
        </w:rPr>
        <w:t>iesieniu do okresów sprawozdawczych, dla których dostępne są oba sprawozdania (np. Finrep za kw. I</w:t>
      </w:r>
      <w:r w:rsidR="00604294" w:rsidRPr="00604294">
        <w:rPr>
          <w:u w:val="none"/>
        </w:rPr>
        <w:t xml:space="preserve"> i</w:t>
      </w:r>
      <w:r w:rsidR="00604294">
        <w:rPr>
          <w:u w:val="none"/>
        </w:rPr>
        <w:t> </w:t>
      </w:r>
      <w:r w:rsidR="00604294" w:rsidRPr="00604294">
        <w:rPr>
          <w:u w:val="none"/>
        </w:rPr>
        <w:t>wzó</w:t>
      </w:r>
      <w:r w:rsidRPr="00604294">
        <w:rPr>
          <w:u w:val="none"/>
        </w:rPr>
        <w:t>r C 67.00 marzec/kw. I).</w:t>
      </w:r>
    </w:p>
    <w:p w14:paraId="00BA7315" w14:textId="4C3B47F6" w:rsidR="00A344AA" w:rsidRPr="00604294" w:rsidRDefault="00A344AA" w:rsidP="00927DCB">
      <w:pPr>
        <w:pStyle w:val="InstructionsText2"/>
        <w:numPr>
          <w:ilvl w:val="0"/>
          <w:numId w:val="6"/>
        </w:numPr>
        <w:rPr>
          <w:u w:val="none"/>
        </w:rPr>
      </w:pPr>
      <w:r w:rsidRPr="00604294">
        <w:rPr>
          <w:u w:val="none"/>
        </w:rPr>
        <w:t>W odniesieniu do każdego kontrahenta instytucje zgłaszają wszystkie kolumny od</w:t>
      </w:r>
      <w:r w:rsidR="00604294" w:rsidRPr="00604294">
        <w:rPr>
          <w:u w:val="none"/>
        </w:rPr>
        <w:t> </w:t>
      </w:r>
      <w:r w:rsidRPr="00604294">
        <w:rPr>
          <w:u w:val="none"/>
        </w:rPr>
        <w:t>0010 do</w:t>
      </w:r>
      <w:r w:rsidR="00604294" w:rsidRPr="00604294">
        <w:rPr>
          <w:u w:val="none"/>
        </w:rPr>
        <w:t> </w:t>
      </w:r>
      <w:r w:rsidRPr="00604294">
        <w:rPr>
          <w:u w:val="none"/>
        </w:rPr>
        <w:t>0080.</w:t>
      </w:r>
    </w:p>
    <w:p w14:paraId="3425ECF0" w14:textId="5880BE07" w:rsidR="00A344AA" w:rsidRPr="00604294" w:rsidRDefault="00A344AA" w:rsidP="00927DCB">
      <w:pPr>
        <w:pStyle w:val="InstructionsText2"/>
        <w:numPr>
          <w:ilvl w:val="0"/>
          <w:numId w:val="6"/>
        </w:numPr>
        <w:rPr>
          <w:u w:val="none"/>
        </w:rPr>
      </w:pPr>
      <w:r w:rsidRPr="00604294">
        <w:rPr>
          <w:u w:val="none"/>
        </w:rPr>
        <w:t>W przypadku gdy finansowanie jest uzyskiwane</w:t>
      </w:r>
      <w:r w:rsidR="00604294" w:rsidRPr="00604294">
        <w:rPr>
          <w:u w:val="none"/>
        </w:rPr>
        <w:t xml:space="preserve"> w</w:t>
      </w:r>
      <w:r w:rsidR="00604294">
        <w:rPr>
          <w:u w:val="none"/>
        </w:rPr>
        <w:t> </w:t>
      </w:r>
      <w:r w:rsidR="00604294" w:rsidRPr="00604294">
        <w:rPr>
          <w:u w:val="none"/>
        </w:rPr>
        <w:t>ram</w:t>
      </w:r>
      <w:r w:rsidRPr="00604294">
        <w:rPr>
          <w:u w:val="none"/>
        </w:rPr>
        <w:t>ach więcej niż jednego rodzaju produktu, zgłoszony rodzaj odnosi się do produktu,</w:t>
      </w:r>
      <w:r w:rsidR="00604294" w:rsidRPr="00604294">
        <w:rPr>
          <w:u w:val="none"/>
        </w:rPr>
        <w:t xml:space="preserve"> w</w:t>
      </w:r>
      <w:r w:rsidR="00604294">
        <w:rPr>
          <w:u w:val="none"/>
        </w:rPr>
        <w:t> </w:t>
      </w:r>
      <w:r w:rsidR="00604294" w:rsidRPr="00604294">
        <w:rPr>
          <w:u w:val="none"/>
        </w:rPr>
        <w:t>ram</w:t>
      </w:r>
      <w:r w:rsidRPr="00604294">
        <w:rPr>
          <w:u w:val="none"/>
        </w:rPr>
        <w:t>ach którego uzyskano największą część finansowania. Identyfikację posiadacza papierów wartościowych można prowadzić na zasadzie dołożenia wszelkich starań</w:t>
      </w:r>
      <w:r w:rsidR="00604294" w:rsidRPr="00604294">
        <w:rPr>
          <w:u w:val="none"/>
        </w:rPr>
        <w:t>. W</w:t>
      </w:r>
      <w:r w:rsidR="00604294">
        <w:rPr>
          <w:u w:val="none"/>
        </w:rPr>
        <w:t> </w:t>
      </w:r>
      <w:r w:rsidR="00604294" w:rsidRPr="00604294">
        <w:rPr>
          <w:u w:val="none"/>
        </w:rPr>
        <w:t>prz</w:t>
      </w:r>
      <w:r w:rsidRPr="00604294">
        <w:rPr>
          <w:u w:val="none"/>
        </w:rPr>
        <w:t>ypadku gdy</w:t>
      </w:r>
      <w:r w:rsidR="00604294" w:rsidRPr="00604294">
        <w:rPr>
          <w:u w:val="none"/>
        </w:rPr>
        <w:t xml:space="preserve"> w</w:t>
      </w:r>
      <w:r w:rsidR="00604294">
        <w:rPr>
          <w:u w:val="none"/>
        </w:rPr>
        <w:t> </w:t>
      </w:r>
      <w:r w:rsidR="00604294" w:rsidRPr="00604294">
        <w:rPr>
          <w:u w:val="none"/>
        </w:rPr>
        <w:t>wyn</w:t>
      </w:r>
      <w:r w:rsidRPr="00604294">
        <w:rPr>
          <w:u w:val="none"/>
        </w:rPr>
        <w:t>iku pełnienia funkcji banku depozytariusza instytucja posiada informacje dotyczące posiadacza papierów wartościowych, uwzględnia ona kwotę tych papierów wartościowych</w:t>
      </w:r>
      <w:r w:rsidR="00604294" w:rsidRPr="00604294">
        <w:rPr>
          <w:u w:val="none"/>
        </w:rPr>
        <w:t xml:space="preserve"> w</w:t>
      </w:r>
      <w:r w:rsidR="00604294">
        <w:rPr>
          <w:u w:val="none"/>
        </w:rPr>
        <w:t> </w:t>
      </w:r>
      <w:r w:rsidR="00604294" w:rsidRPr="00604294">
        <w:rPr>
          <w:u w:val="none"/>
        </w:rPr>
        <w:t>spr</w:t>
      </w:r>
      <w:r w:rsidRPr="00604294">
        <w:rPr>
          <w:u w:val="none"/>
        </w:rPr>
        <w:t>awozdawczości dotyczącej koncentracji kontrahentów</w:t>
      </w:r>
      <w:r w:rsidR="00604294" w:rsidRPr="00604294">
        <w:rPr>
          <w:u w:val="none"/>
        </w:rPr>
        <w:t>. W</w:t>
      </w:r>
      <w:r w:rsidR="00604294">
        <w:rPr>
          <w:u w:val="none"/>
        </w:rPr>
        <w:t> </w:t>
      </w:r>
      <w:r w:rsidR="00604294" w:rsidRPr="00604294">
        <w:rPr>
          <w:u w:val="none"/>
        </w:rPr>
        <w:t>prz</w:t>
      </w:r>
      <w:r w:rsidRPr="00604294">
        <w:rPr>
          <w:u w:val="none"/>
        </w:rPr>
        <w:t>ypadku gdy informacje dotyczące posiadacza papierów wartościowych nie są dostępne, zgłoszenie tej kwoty nie jest wymagane.</w:t>
      </w:r>
    </w:p>
    <w:p w14:paraId="2DFF75CD" w14:textId="77777777" w:rsidR="00A344AA" w:rsidRPr="00604294" w:rsidRDefault="00A344AA" w:rsidP="00927DCB">
      <w:pPr>
        <w:pStyle w:val="InstructionsText2"/>
        <w:numPr>
          <w:ilvl w:val="0"/>
          <w:numId w:val="6"/>
        </w:numPr>
        <w:rPr>
          <w:u w:val="none"/>
        </w:rPr>
      </w:pPr>
      <w:r w:rsidRPr="00604294">
        <w:rPr>
          <w:u w:val="none"/>
        </w:rPr>
        <w:t>Instrukcje dotyczące poszczególnych kolumn:</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604294" w14:paraId="74B455E0" w14:textId="77777777" w:rsidTr="003F0706">
        <w:trPr>
          <w:trHeight w:val="548"/>
        </w:trPr>
        <w:tc>
          <w:tcPr>
            <w:tcW w:w="729" w:type="pct"/>
            <w:shd w:val="clear" w:color="auto" w:fill="D9D9D9"/>
            <w:noWrap/>
            <w:vAlign w:val="center"/>
          </w:tcPr>
          <w:p w14:paraId="3C56FF4E" w14:textId="77777777" w:rsidR="00A344AA" w:rsidRPr="00604294" w:rsidRDefault="00A344AA" w:rsidP="000B288B">
            <w:pPr>
              <w:spacing w:before="0" w:after="0"/>
              <w:jc w:val="left"/>
              <w:rPr>
                <w:color w:val="000000"/>
              </w:rPr>
            </w:pPr>
            <w:r w:rsidRPr="00604294">
              <w:rPr>
                <w:rStyle w:val="InstructionsTabelleText"/>
                <w:rFonts w:ascii="Times New Roman" w:hAnsi="Times New Roman"/>
                <w:color w:val="000000"/>
              </w:rPr>
              <w:t>Kolumna</w:t>
            </w:r>
          </w:p>
        </w:tc>
        <w:tc>
          <w:tcPr>
            <w:tcW w:w="4271" w:type="pct"/>
            <w:gridSpan w:val="2"/>
            <w:shd w:val="clear" w:color="auto" w:fill="D9D9D9"/>
            <w:vAlign w:val="center"/>
          </w:tcPr>
          <w:p w14:paraId="708D3843" w14:textId="5573C15C" w:rsidR="00A344AA" w:rsidRPr="00604294" w:rsidRDefault="00A344AA" w:rsidP="000B288B">
            <w:pPr>
              <w:spacing w:before="0" w:after="0"/>
              <w:jc w:val="left"/>
            </w:pPr>
            <w:r w:rsidRPr="00604294">
              <w:rPr>
                <w:rStyle w:val="InstructionsTabelleText"/>
                <w:rFonts w:ascii="Times New Roman" w:hAnsi="Times New Roman"/>
              </w:rPr>
              <w:t>Odniesienia prawne</w:t>
            </w:r>
            <w:r w:rsidR="00604294" w:rsidRPr="00604294">
              <w:rPr>
                <w:rStyle w:val="InstructionsTabelleText"/>
                <w:rFonts w:ascii="Times New Roman" w:hAnsi="Times New Roman"/>
              </w:rPr>
              <w:t xml:space="preserve"> i</w:t>
            </w:r>
            <w:r w:rsidR="00604294">
              <w:rPr>
                <w:rStyle w:val="InstructionsTabelleText"/>
                <w:rFonts w:ascii="Times New Roman" w:hAnsi="Times New Roman"/>
              </w:rPr>
              <w:t> </w:t>
            </w:r>
            <w:r w:rsidR="00604294" w:rsidRPr="00604294">
              <w:rPr>
                <w:rStyle w:val="InstructionsTabelleText"/>
                <w:rFonts w:ascii="Times New Roman" w:hAnsi="Times New Roman"/>
              </w:rPr>
              <w:t>ins</w:t>
            </w:r>
            <w:r w:rsidRPr="00604294">
              <w:rPr>
                <w:rStyle w:val="InstructionsTabelleText"/>
                <w:rFonts w:ascii="Times New Roman" w:hAnsi="Times New Roman"/>
              </w:rPr>
              <w:t>trukcje</w:t>
            </w:r>
          </w:p>
        </w:tc>
      </w:tr>
      <w:tr w:rsidR="00A344AA" w:rsidRPr="00604294" w14:paraId="03B6122B" w14:textId="77777777" w:rsidTr="003F0706">
        <w:trPr>
          <w:trHeight w:val="765"/>
        </w:trPr>
        <w:tc>
          <w:tcPr>
            <w:tcW w:w="729" w:type="pct"/>
            <w:shd w:val="clear" w:color="auto" w:fill="auto"/>
            <w:noWrap/>
          </w:tcPr>
          <w:p w14:paraId="454F7606" w14:textId="1AFD63D2" w:rsidR="00A344AA" w:rsidRPr="00604294" w:rsidRDefault="00A344AA">
            <w:pPr>
              <w:spacing w:before="0" w:after="0"/>
              <w:jc w:val="left"/>
              <w:rPr>
                <w:rFonts w:ascii="Times New Roman" w:hAnsi="Times New Roman"/>
                <w:color w:val="000000"/>
                <w:szCs w:val="20"/>
              </w:rPr>
            </w:pPr>
            <w:r w:rsidRPr="00604294">
              <w:rPr>
                <w:rFonts w:ascii="Times New Roman" w:hAnsi="Times New Roman"/>
                <w:color w:val="000000"/>
              </w:rPr>
              <w:t>0010</w:t>
            </w:r>
          </w:p>
        </w:tc>
        <w:tc>
          <w:tcPr>
            <w:tcW w:w="4271" w:type="pct"/>
            <w:gridSpan w:val="2"/>
            <w:shd w:val="clear" w:color="auto" w:fill="auto"/>
          </w:tcPr>
          <w:p w14:paraId="146FA391" w14:textId="77777777" w:rsidR="00A344AA" w:rsidRPr="00604294" w:rsidRDefault="00A344AA" w:rsidP="003A2647">
            <w:pPr>
              <w:spacing w:before="0" w:after="0"/>
              <w:rPr>
                <w:rFonts w:ascii="Times New Roman" w:hAnsi="Times New Roman"/>
                <w:b/>
                <w:szCs w:val="20"/>
                <w:u w:val="single"/>
              </w:rPr>
            </w:pPr>
            <w:r w:rsidRPr="00604294">
              <w:rPr>
                <w:rFonts w:ascii="Times New Roman" w:hAnsi="Times New Roman"/>
                <w:b/>
                <w:u w:val="single"/>
              </w:rPr>
              <w:t>Nazwa kontrahenta</w:t>
            </w:r>
          </w:p>
          <w:p w14:paraId="19E2ADEC" w14:textId="77777777" w:rsidR="00A344AA" w:rsidRPr="00604294" w:rsidRDefault="00A344AA" w:rsidP="003A2647">
            <w:pPr>
              <w:spacing w:before="0" w:after="0"/>
              <w:rPr>
                <w:rFonts w:ascii="Times New Roman" w:hAnsi="Times New Roman"/>
                <w:b/>
                <w:szCs w:val="20"/>
                <w:u w:val="single"/>
                <w:lang w:eastAsia="en-GB"/>
              </w:rPr>
            </w:pPr>
          </w:p>
          <w:p w14:paraId="2836EBB6" w14:textId="749DDC06" w:rsidR="00A344AA" w:rsidRPr="00604294" w:rsidRDefault="00A344AA" w:rsidP="00763448">
            <w:pPr>
              <w:spacing w:before="0" w:after="0"/>
              <w:rPr>
                <w:rFonts w:ascii="Times New Roman" w:hAnsi="Times New Roman"/>
                <w:szCs w:val="20"/>
              </w:rPr>
            </w:pPr>
            <w:r w:rsidRPr="00604294">
              <w:rPr>
                <w:rFonts w:ascii="Times New Roman" w:hAnsi="Times New Roman"/>
              </w:rPr>
              <w:t>Nazwa każdego kontrahenta,</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prz</w:t>
            </w:r>
            <w:r w:rsidRPr="00604294">
              <w:rPr>
                <w:rFonts w:ascii="Times New Roman" w:hAnsi="Times New Roman"/>
              </w:rPr>
              <w:t>ypadku którego otrzymane finansowanie przekracza 1 % całkowitych zobowiązań, jest zgłaszana</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0010</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por</w:t>
            </w:r>
            <w:r w:rsidRPr="00604294">
              <w:rPr>
                <w:rFonts w:ascii="Times New Roman" w:hAnsi="Times New Roman"/>
              </w:rPr>
              <w:t>ządku malejącym, tj. według wielkości otrzymanego finansowania.</w:t>
            </w:r>
          </w:p>
          <w:p w14:paraId="5DFD68B3" w14:textId="77777777" w:rsidR="00A344AA" w:rsidRPr="00604294" w:rsidRDefault="00A344AA" w:rsidP="00490B62">
            <w:pPr>
              <w:spacing w:before="0" w:after="0"/>
              <w:rPr>
                <w:rFonts w:ascii="Times New Roman" w:hAnsi="Times New Roman"/>
                <w:szCs w:val="20"/>
                <w:lang w:eastAsia="en-GB"/>
              </w:rPr>
            </w:pPr>
          </w:p>
          <w:p w14:paraId="5DA69516" w14:textId="0BF8C3BD" w:rsidR="00A344AA" w:rsidRPr="00604294" w:rsidRDefault="00C663BC" w:rsidP="00490B62">
            <w:pPr>
              <w:spacing w:before="0" w:after="0"/>
              <w:rPr>
                <w:rFonts w:ascii="Times New Roman" w:hAnsi="Times New Roman"/>
                <w:szCs w:val="20"/>
              </w:rPr>
            </w:pPr>
            <w:r w:rsidRPr="00604294">
              <w:rPr>
                <w:rFonts w:ascii="Times New Roman" w:hAnsi="Times New Roman"/>
              </w:rPr>
              <w:t>Nazwę kontrahenta zgłasza się niezależnie od tego, czy jest on podmiotem prawnym, czy też osobą fizyczną</w:t>
            </w:r>
            <w:r w:rsidR="00604294" w:rsidRPr="00604294">
              <w:rPr>
                <w:rFonts w:ascii="Times New Roman" w:hAnsi="Times New Roman"/>
              </w:rPr>
              <w:t>. W</w:t>
            </w:r>
            <w:r w:rsidR="00604294">
              <w:rPr>
                <w:rFonts w:ascii="Times New Roman" w:hAnsi="Times New Roman"/>
              </w:rPr>
              <w:t> </w:t>
            </w:r>
            <w:r w:rsidR="00604294" w:rsidRPr="00604294">
              <w:rPr>
                <w:rFonts w:ascii="Times New Roman" w:hAnsi="Times New Roman"/>
              </w:rPr>
              <w:t>prz</w:t>
            </w:r>
            <w:r w:rsidRPr="00604294">
              <w:rPr>
                <w:rFonts w:ascii="Times New Roman" w:hAnsi="Times New Roman"/>
              </w:rPr>
              <w:t>ypadku gdy kontrahent jest podmiotem prawnym, zgłoszona nazwa kontrahenta jest pełną nazwą podmiotu prawnego, od którego pochodzi finansowanie, obejmującą wszelkie oznaczenia rodzaju przedsiębiorstwa zgodnie</w:t>
            </w:r>
            <w:r w:rsidR="00604294" w:rsidRPr="00604294">
              <w:rPr>
                <w:rFonts w:ascii="Times New Roman" w:hAnsi="Times New Roman"/>
              </w:rPr>
              <w:t xml:space="preserve"> z</w:t>
            </w:r>
            <w:r w:rsidR="00604294">
              <w:rPr>
                <w:rFonts w:ascii="Times New Roman" w:hAnsi="Times New Roman"/>
              </w:rPr>
              <w:t> </w:t>
            </w:r>
            <w:r w:rsidR="00604294" w:rsidRPr="00604294">
              <w:rPr>
                <w:rFonts w:ascii="Times New Roman" w:hAnsi="Times New Roman"/>
              </w:rPr>
              <w:t>kra</w:t>
            </w:r>
            <w:r w:rsidRPr="00604294">
              <w:rPr>
                <w:rFonts w:ascii="Times New Roman" w:hAnsi="Times New Roman"/>
              </w:rPr>
              <w:t xml:space="preserve">jowym prawem spółek. </w:t>
            </w:r>
          </w:p>
          <w:p w14:paraId="3DD390D0" w14:textId="388FAF35" w:rsidR="00E8757D" w:rsidRPr="00604294" w:rsidRDefault="00E8757D" w:rsidP="00490B62">
            <w:pPr>
              <w:spacing w:before="0" w:after="0"/>
              <w:rPr>
                <w:rFonts w:ascii="Times New Roman" w:hAnsi="Times New Roman"/>
                <w:szCs w:val="20"/>
                <w:lang w:eastAsia="en-GB"/>
              </w:rPr>
            </w:pPr>
          </w:p>
          <w:p w14:paraId="7B415BEB" w14:textId="66065FCA" w:rsidR="00E8757D" w:rsidRPr="00604294" w:rsidRDefault="00E8757D" w:rsidP="00490B62">
            <w:pPr>
              <w:spacing w:before="0" w:after="0"/>
              <w:rPr>
                <w:rFonts w:ascii="Times New Roman" w:hAnsi="Times New Roman"/>
                <w:szCs w:val="20"/>
              </w:rPr>
            </w:pPr>
            <w:r w:rsidRPr="00604294">
              <w:rPr>
                <w:rFonts w:ascii="Times New Roman" w:hAnsi="Times New Roman"/>
              </w:rPr>
              <w:t>W przypadku gdy grupa powiązanych klientów nie posiada jednostki dominującej, zgłaszanym kontrahentem jest pojedynczy podmiot, który jest uważany przez instytucję za najbardziej znaczący</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ram</w:t>
            </w:r>
            <w:r w:rsidRPr="00604294">
              <w:rPr>
                <w:rFonts w:ascii="Times New Roman" w:hAnsi="Times New Roman"/>
              </w:rPr>
              <w:t>ach grupy powiązanych klientów</w:t>
            </w:r>
            <w:r w:rsidR="00604294" w:rsidRPr="00604294">
              <w:rPr>
                <w:rFonts w:ascii="Times New Roman" w:hAnsi="Times New Roman"/>
              </w:rPr>
              <w:t>. W</w:t>
            </w:r>
            <w:r w:rsidR="00604294">
              <w:rPr>
                <w:rFonts w:ascii="Times New Roman" w:hAnsi="Times New Roman"/>
              </w:rPr>
              <w:t> </w:t>
            </w:r>
            <w:r w:rsidR="00604294" w:rsidRPr="00604294">
              <w:rPr>
                <w:rFonts w:ascii="Times New Roman" w:hAnsi="Times New Roman"/>
              </w:rPr>
              <w:t>każ</w:t>
            </w:r>
            <w:r w:rsidRPr="00604294">
              <w:rPr>
                <w:rFonts w:ascii="Times New Roman" w:hAnsi="Times New Roman"/>
              </w:rPr>
              <w:t xml:space="preserve">dym innym przypadku odpowiada ona pojedynczemu kontrahentowi. </w:t>
            </w:r>
          </w:p>
          <w:p w14:paraId="5AB242B5" w14:textId="77777777" w:rsidR="00A344AA" w:rsidRPr="00604294" w:rsidRDefault="00A344AA" w:rsidP="003A2647">
            <w:pPr>
              <w:spacing w:before="0" w:after="0"/>
              <w:rPr>
                <w:rFonts w:ascii="Times New Roman" w:hAnsi="Times New Roman"/>
                <w:szCs w:val="20"/>
                <w:lang w:eastAsia="en-GB"/>
              </w:rPr>
            </w:pPr>
          </w:p>
        </w:tc>
      </w:tr>
      <w:tr w:rsidR="00CC3091" w:rsidRPr="00604294" w14:paraId="383DA9E1" w14:textId="77777777" w:rsidTr="003F0706">
        <w:trPr>
          <w:trHeight w:val="765"/>
        </w:trPr>
        <w:tc>
          <w:tcPr>
            <w:tcW w:w="729" w:type="pct"/>
            <w:shd w:val="clear" w:color="auto" w:fill="auto"/>
            <w:noWrap/>
          </w:tcPr>
          <w:p w14:paraId="0369CC55" w14:textId="72873E1C" w:rsidR="00CC3091" w:rsidRPr="00604294" w:rsidRDefault="00CC3091">
            <w:pPr>
              <w:spacing w:before="0" w:after="0"/>
              <w:jc w:val="left"/>
              <w:rPr>
                <w:rFonts w:ascii="Times New Roman" w:hAnsi="Times New Roman"/>
                <w:color w:val="000000"/>
                <w:szCs w:val="20"/>
              </w:rPr>
            </w:pPr>
            <w:r w:rsidRPr="00604294">
              <w:rPr>
                <w:rFonts w:ascii="Times New Roman" w:hAnsi="Times New Roman"/>
                <w:color w:val="000000"/>
              </w:rPr>
              <w:t>0015</w:t>
            </w:r>
          </w:p>
        </w:tc>
        <w:tc>
          <w:tcPr>
            <w:tcW w:w="4271" w:type="pct"/>
            <w:gridSpan w:val="2"/>
            <w:shd w:val="clear" w:color="auto" w:fill="auto"/>
          </w:tcPr>
          <w:p w14:paraId="12EA79C0" w14:textId="1CB26A4E" w:rsidR="00CC3091" w:rsidRPr="00604294" w:rsidRDefault="00CC3091" w:rsidP="00CC3091">
            <w:pPr>
              <w:pStyle w:val="InstructionsText"/>
              <w:rPr>
                <w:rStyle w:val="InstructionsTabelleberschrift"/>
                <w:rFonts w:ascii="Times New Roman" w:hAnsi="Times New Roman"/>
                <w:szCs w:val="20"/>
              </w:rPr>
            </w:pPr>
            <w:r w:rsidRPr="00604294">
              <w:rPr>
                <w:rStyle w:val="InstructionsTabelleberschrift"/>
                <w:rFonts w:ascii="Times New Roman" w:hAnsi="Times New Roman"/>
              </w:rPr>
              <w:t>Kod</w:t>
            </w:r>
          </w:p>
          <w:p w14:paraId="484D7006" w14:textId="77777777" w:rsidR="00CC3091" w:rsidRPr="00604294" w:rsidRDefault="00CC3091" w:rsidP="00CC3091">
            <w:pPr>
              <w:pStyle w:val="InstructionsText"/>
              <w:rPr>
                <w:rStyle w:val="InstructionsTabelleberschrift"/>
                <w:rFonts w:ascii="Times New Roman" w:hAnsi="Times New Roman"/>
                <w:szCs w:val="20"/>
              </w:rPr>
            </w:pPr>
          </w:p>
          <w:p w14:paraId="384FB2AC" w14:textId="5F0CE3A4" w:rsidR="00CC3091" w:rsidRPr="00604294" w:rsidRDefault="00CC3091" w:rsidP="00CC3091">
            <w:pPr>
              <w:pStyle w:val="InstructionsText"/>
              <w:rPr>
                <w:rStyle w:val="FormatvorlageInstructionsTabelleText"/>
                <w:rFonts w:ascii="Times New Roman" w:hAnsi="Times New Roman"/>
                <w:szCs w:val="20"/>
              </w:rPr>
            </w:pPr>
            <w:r w:rsidRPr="00604294">
              <w:rPr>
                <w:rStyle w:val="FormatvorlageInstructionsTabelleText"/>
                <w:rFonts w:ascii="Times New Roman" w:hAnsi="Times New Roman"/>
              </w:rPr>
              <w:t>Kod ten stanowi identyfikator wiersza</w:t>
            </w:r>
            <w:r w:rsidR="00604294" w:rsidRPr="00604294">
              <w:rPr>
                <w:rStyle w:val="FormatvorlageInstructionsTabelleText"/>
                <w:rFonts w:ascii="Times New Roman" w:hAnsi="Times New Roman"/>
              </w:rPr>
              <w:t xml:space="preserve"> i</w:t>
            </w:r>
            <w:r w:rsidR="00604294">
              <w:rPr>
                <w:rStyle w:val="FormatvorlageInstructionsTabelleText"/>
                <w:rFonts w:ascii="Times New Roman" w:hAnsi="Times New Roman"/>
              </w:rPr>
              <w:t> </w:t>
            </w:r>
            <w:r w:rsidR="00604294" w:rsidRPr="00604294">
              <w:rPr>
                <w:rStyle w:val="FormatvorlageInstructionsTabelleText"/>
                <w:rFonts w:ascii="Times New Roman" w:hAnsi="Times New Roman"/>
              </w:rPr>
              <w:t>mus</w:t>
            </w:r>
            <w:r w:rsidRPr="00604294">
              <w:rPr>
                <w:rStyle w:val="FormatvorlageInstructionsTabelleText"/>
                <w:rFonts w:ascii="Times New Roman" w:hAnsi="Times New Roman"/>
              </w:rPr>
              <w:t>i być niepowtarzalny</w:t>
            </w:r>
            <w:r w:rsidR="00604294" w:rsidRPr="00604294">
              <w:rPr>
                <w:rStyle w:val="FormatvorlageInstructionsTabelleText"/>
                <w:rFonts w:ascii="Times New Roman" w:hAnsi="Times New Roman"/>
              </w:rPr>
              <w:t xml:space="preserve"> w</w:t>
            </w:r>
            <w:r w:rsidR="00604294">
              <w:rPr>
                <w:rStyle w:val="FormatvorlageInstructionsTabelleText"/>
                <w:rFonts w:ascii="Times New Roman" w:hAnsi="Times New Roman"/>
              </w:rPr>
              <w:t> </w:t>
            </w:r>
            <w:r w:rsidR="00604294" w:rsidRPr="00604294">
              <w:rPr>
                <w:rStyle w:val="FormatvorlageInstructionsTabelleText"/>
                <w:rFonts w:ascii="Times New Roman" w:hAnsi="Times New Roman"/>
              </w:rPr>
              <w:t>odn</w:t>
            </w:r>
            <w:r w:rsidRPr="00604294">
              <w:rPr>
                <w:rStyle w:val="FormatvorlageInstructionsTabelleText"/>
                <w:rFonts w:ascii="Times New Roman" w:hAnsi="Times New Roman"/>
              </w:rPr>
              <w:t>iesieniu do poszczególnych kontrahentów</w:t>
            </w:r>
            <w:r w:rsidR="00604294" w:rsidRPr="00604294">
              <w:rPr>
                <w:rStyle w:val="FormatvorlageInstructionsTabelleText"/>
                <w:rFonts w:ascii="Times New Roman" w:hAnsi="Times New Roman"/>
              </w:rPr>
              <w:t>. W</w:t>
            </w:r>
            <w:r w:rsidR="00604294">
              <w:rPr>
                <w:rStyle w:val="FormatvorlageInstructionsTabelleText"/>
                <w:rFonts w:ascii="Times New Roman" w:hAnsi="Times New Roman"/>
              </w:rPr>
              <w:t> </w:t>
            </w:r>
            <w:r w:rsidR="00604294" w:rsidRPr="00604294">
              <w:rPr>
                <w:rStyle w:val="FormatvorlageInstructionsTabelleText"/>
                <w:rFonts w:ascii="Times New Roman" w:hAnsi="Times New Roman"/>
              </w:rPr>
              <w:t>prz</w:t>
            </w:r>
            <w:r w:rsidRPr="00604294">
              <w:rPr>
                <w:rStyle w:val="FormatvorlageInstructionsTabelleText"/>
                <w:rFonts w:ascii="Times New Roman" w:hAnsi="Times New Roman"/>
              </w:rPr>
              <w:t>ypadku instytucji</w:t>
            </w:r>
            <w:r w:rsidR="00604294" w:rsidRPr="00604294">
              <w:rPr>
                <w:rStyle w:val="FormatvorlageInstructionsTabelleText"/>
                <w:rFonts w:ascii="Times New Roman" w:hAnsi="Times New Roman"/>
              </w:rPr>
              <w:t xml:space="preserve"> i</w:t>
            </w:r>
            <w:r w:rsidR="00604294">
              <w:rPr>
                <w:rStyle w:val="FormatvorlageInstructionsTabelleText"/>
                <w:rFonts w:ascii="Times New Roman" w:hAnsi="Times New Roman"/>
              </w:rPr>
              <w:t> </w:t>
            </w:r>
            <w:r w:rsidR="00604294" w:rsidRPr="00604294">
              <w:rPr>
                <w:rStyle w:val="FormatvorlageInstructionsTabelleText"/>
                <w:rFonts w:ascii="Times New Roman" w:hAnsi="Times New Roman"/>
              </w:rPr>
              <w:t>zak</w:t>
            </w:r>
            <w:r w:rsidRPr="00604294">
              <w:rPr>
                <w:rStyle w:val="FormatvorlageInstructionsTabelleText"/>
                <w:rFonts w:ascii="Times New Roman" w:hAnsi="Times New Roman"/>
              </w:rPr>
              <w:t>ładów ubezpieczeń kodem tym jest identyfikator podmiotu prawnego (kod LEI)</w:t>
            </w:r>
            <w:r w:rsidR="00604294" w:rsidRPr="00604294">
              <w:rPr>
                <w:rStyle w:val="FormatvorlageInstructionsTabelleText"/>
                <w:rFonts w:ascii="Times New Roman" w:hAnsi="Times New Roman"/>
              </w:rPr>
              <w:t>. W</w:t>
            </w:r>
            <w:r w:rsidR="00604294">
              <w:rPr>
                <w:rStyle w:val="FormatvorlageInstructionsTabelleText"/>
                <w:rFonts w:ascii="Times New Roman" w:hAnsi="Times New Roman"/>
              </w:rPr>
              <w:t> </w:t>
            </w:r>
            <w:r w:rsidR="00604294" w:rsidRPr="00604294">
              <w:rPr>
                <w:rStyle w:val="FormatvorlageInstructionsTabelleText"/>
                <w:rFonts w:ascii="Times New Roman" w:hAnsi="Times New Roman"/>
              </w:rPr>
              <w:t>prz</w:t>
            </w:r>
            <w:r w:rsidRPr="00604294">
              <w:rPr>
                <w:rStyle w:val="FormatvorlageInstructionsTabelleText"/>
                <w:rFonts w:ascii="Times New Roman" w:hAnsi="Times New Roman"/>
              </w:rPr>
              <w:t>ypadku innych podmiotów kodem tym jest kod LEI lub – jeżeli kod LEI nie jest dostępny – kod krajowy. Kod jest niepowtarzalny</w:t>
            </w:r>
            <w:r w:rsidR="00604294" w:rsidRPr="00604294">
              <w:rPr>
                <w:rStyle w:val="FormatvorlageInstructionsTabelleText"/>
                <w:rFonts w:ascii="Times New Roman" w:hAnsi="Times New Roman"/>
              </w:rPr>
              <w:t xml:space="preserve"> i</w:t>
            </w:r>
            <w:r w:rsidR="00604294">
              <w:rPr>
                <w:rStyle w:val="FormatvorlageInstructionsTabelleText"/>
                <w:rFonts w:ascii="Times New Roman" w:hAnsi="Times New Roman"/>
              </w:rPr>
              <w:t> </w:t>
            </w:r>
            <w:r w:rsidR="00604294" w:rsidRPr="00604294">
              <w:rPr>
                <w:rStyle w:val="FormatvorlageInstructionsTabelleText"/>
                <w:rFonts w:ascii="Times New Roman" w:hAnsi="Times New Roman"/>
              </w:rPr>
              <w:t>sto</w:t>
            </w:r>
            <w:r w:rsidRPr="00604294">
              <w:rPr>
                <w:rStyle w:val="FormatvorlageInstructionsTabelleText"/>
                <w:rFonts w:ascii="Times New Roman" w:hAnsi="Times New Roman"/>
              </w:rPr>
              <w:t>suje się go jednolicie we wszystkich wzorach i na przestrzeni czasu. Kod musi zawsze posiadać wartość.</w:t>
            </w:r>
          </w:p>
          <w:p w14:paraId="0CD09054" w14:textId="77777777" w:rsidR="00CC3091" w:rsidRPr="00604294" w:rsidRDefault="00CC3091" w:rsidP="008A2179">
            <w:pPr>
              <w:pStyle w:val="InstructionsText"/>
              <w:rPr>
                <w:b/>
                <w:szCs w:val="20"/>
                <w:lang w:eastAsia="en-GB"/>
              </w:rPr>
            </w:pPr>
          </w:p>
        </w:tc>
      </w:tr>
      <w:tr w:rsidR="00652C73" w:rsidRPr="00604294" w14:paraId="5D4BEF90" w14:textId="77777777" w:rsidTr="003F0706">
        <w:trPr>
          <w:trHeight w:val="765"/>
        </w:trPr>
        <w:tc>
          <w:tcPr>
            <w:tcW w:w="729" w:type="pct"/>
            <w:shd w:val="clear" w:color="auto" w:fill="auto"/>
            <w:noWrap/>
          </w:tcPr>
          <w:p w14:paraId="54B95D38" w14:textId="1EE66AD6" w:rsidR="00652C73" w:rsidRPr="00604294" w:rsidRDefault="00652C73">
            <w:pPr>
              <w:spacing w:before="0" w:after="0"/>
              <w:jc w:val="left"/>
              <w:rPr>
                <w:rFonts w:ascii="Times New Roman" w:hAnsi="Times New Roman"/>
                <w:color w:val="000000"/>
                <w:szCs w:val="20"/>
              </w:rPr>
            </w:pPr>
            <w:r w:rsidRPr="00604294">
              <w:rPr>
                <w:rFonts w:ascii="Times New Roman" w:hAnsi="Times New Roman"/>
                <w:color w:val="000000"/>
              </w:rPr>
              <w:lastRenderedPageBreak/>
              <w:t>0016</w:t>
            </w:r>
          </w:p>
        </w:tc>
        <w:tc>
          <w:tcPr>
            <w:tcW w:w="4271" w:type="pct"/>
            <w:gridSpan w:val="2"/>
            <w:shd w:val="clear" w:color="auto" w:fill="auto"/>
          </w:tcPr>
          <w:p w14:paraId="23D103A1" w14:textId="5556A6CB" w:rsidR="00652C73" w:rsidRPr="00604294" w:rsidRDefault="00652C73" w:rsidP="00652C73">
            <w:pPr>
              <w:pStyle w:val="InstructionsText"/>
              <w:rPr>
                <w:rStyle w:val="InstructionsTabelleberschrift"/>
                <w:rFonts w:ascii="Times New Roman" w:hAnsi="Times New Roman"/>
                <w:szCs w:val="20"/>
              </w:rPr>
            </w:pPr>
            <w:r w:rsidRPr="00604294">
              <w:rPr>
                <w:rStyle w:val="InstructionsTabelleberschrift"/>
                <w:rFonts w:ascii="Times New Roman" w:hAnsi="Times New Roman"/>
              </w:rPr>
              <w:t>Rodzaj kodu</w:t>
            </w:r>
          </w:p>
          <w:p w14:paraId="24850EC8" w14:textId="77777777" w:rsidR="00652C73" w:rsidRPr="00604294" w:rsidRDefault="00652C73" w:rsidP="00652C73">
            <w:pPr>
              <w:pStyle w:val="InstructionsText"/>
              <w:rPr>
                <w:rStyle w:val="InstructionsTabelleberschrift"/>
                <w:rFonts w:ascii="Times New Roman" w:hAnsi="Times New Roman"/>
                <w:szCs w:val="20"/>
              </w:rPr>
            </w:pPr>
          </w:p>
          <w:p w14:paraId="0DA412A4" w14:textId="6F80EBEA" w:rsidR="00AF49BE" w:rsidRPr="00604294" w:rsidRDefault="00652C73" w:rsidP="00AF49BE">
            <w:pPr>
              <w:pStyle w:val="InstructionsText"/>
              <w:rPr>
                <w:rStyle w:val="FormatvorlageInstructionsTabelleText"/>
                <w:rFonts w:ascii="Times New Roman" w:hAnsi="Times New Roman"/>
                <w:szCs w:val="20"/>
              </w:rPr>
            </w:pPr>
            <w:r w:rsidRPr="00604294">
              <w:rPr>
                <w:rStyle w:val="FormatvorlageInstructionsTabelleText"/>
                <w:rFonts w:ascii="Times New Roman" w:hAnsi="Times New Roman"/>
              </w:rPr>
              <w:t>Instytucje określają rodzaj kodu zgłoszonego</w:t>
            </w:r>
            <w:r w:rsidR="00604294" w:rsidRPr="00604294">
              <w:rPr>
                <w:rStyle w:val="FormatvorlageInstructionsTabelleText"/>
                <w:rFonts w:ascii="Times New Roman" w:hAnsi="Times New Roman"/>
              </w:rPr>
              <w:t xml:space="preserve"> w</w:t>
            </w:r>
            <w:r w:rsidR="00604294">
              <w:rPr>
                <w:rStyle w:val="FormatvorlageInstructionsTabelleText"/>
                <w:rFonts w:ascii="Times New Roman" w:hAnsi="Times New Roman"/>
              </w:rPr>
              <w:t> </w:t>
            </w:r>
            <w:r w:rsidR="00604294" w:rsidRPr="00604294">
              <w:rPr>
                <w:rStyle w:val="FormatvorlageInstructionsTabelleText"/>
                <w:rFonts w:ascii="Times New Roman" w:hAnsi="Times New Roman"/>
              </w:rPr>
              <w:t>kol</w:t>
            </w:r>
            <w:r w:rsidRPr="00604294">
              <w:rPr>
                <w:rStyle w:val="FormatvorlageInstructionsTabelleText"/>
                <w:rFonts w:ascii="Times New Roman" w:hAnsi="Times New Roman"/>
              </w:rPr>
              <w:t>umnie 0015 jako „kod LEI” lub „kod inny niż LEI”.</w:t>
            </w:r>
          </w:p>
          <w:p w14:paraId="47AC406F" w14:textId="20E7AC43" w:rsidR="00652C73" w:rsidRPr="00604294" w:rsidRDefault="00AF49BE" w:rsidP="00AF49BE">
            <w:pPr>
              <w:pStyle w:val="InstructionsText"/>
              <w:rPr>
                <w:rStyle w:val="FormatvorlageInstructionsTabelleText"/>
                <w:rFonts w:ascii="Times New Roman" w:hAnsi="Times New Roman"/>
                <w:szCs w:val="20"/>
              </w:rPr>
            </w:pPr>
            <w:r w:rsidRPr="00604294">
              <w:rPr>
                <w:rStyle w:val="FormatvorlageInstructionsTabelleText"/>
                <w:rFonts w:ascii="Times New Roman" w:hAnsi="Times New Roman"/>
              </w:rPr>
              <w:t>Należy zawsze określić rodzaj kodu.</w:t>
            </w:r>
          </w:p>
          <w:p w14:paraId="663A1531" w14:textId="52CE1945" w:rsidR="00652C73" w:rsidRPr="00604294" w:rsidRDefault="00652C73" w:rsidP="00CC3091">
            <w:pPr>
              <w:pStyle w:val="InstructionsText"/>
              <w:rPr>
                <w:rStyle w:val="InstructionsTabelleberschrift"/>
                <w:rFonts w:ascii="Times New Roman" w:hAnsi="Times New Roman"/>
                <w:szCs w:val="20"/>
              </w:rPr>
            </w:pPr>
          </w:p>
        </w:tc>
      </w:tr>
      <w:tr w:rsidR="00652C73" w:rsidRPr="00604294" w14:paraId="3A285D76" w14:textId="77777777" w:rsidTr="003F0706">
        <w:trPr>
          <w:trHeight w:val="765"/>
        </w:trPr>
        <w:tc>
          <w:tcPr>
            <w:tcW w:w="729" w:type="pct"/>
            <w:shd w:val="clear" w:color="auto" w:fill="auto"/>
            <w:noWrap/>
          </w:tcPr>
          <w:p w14:paraId="073F98AC" w14:textId="0D1B2370" w:rsidR="00652C73" w:rsidRPr="00604294" w:rsidRDefault="00652C73">
            <w:pPr>
              <w:spacing w:before="0" w:after="0"/>
              <w:jc w:val="left"/>
              <w:rPr>
                <w:rFonts w:ascii="Times New Roman" w:hAnsi="Times New Roman"/>
                <w:color w:val="000000"/>
                <w:szCs w:val="20"/>
              </w:rPr>
            </w:pPr>
            <w:r w:rsidRPr="00604294">
              <w:rPr>
                <w:rFonts w:ascii="Times New Roman" w:hAnsi="Times New Roman"/>
                <w:color w:val="000000"/>
              </w:rPr>
              <w:t>0017</w:t>
            </w:r>
          </w:p>
        </w:tc>
        <w:tc>
          <w:tcPr>
            <w:tcW w:w="4271" w:type="pct"/>
            <w:gridSpan w:val="2"/>
            <w:shd w:val="clear" w:color="auto" w:fill="auto"/>
          </w:tcPr>
          <w:p w14:paraId="24714CD1" w14:textId="28F9B92F" w:rsidR="00652C73" w:rsidRPr="00604294" w:rsidRDefault="00652C73" w:rsidP="00652C73">
            <w:pPr>
              <w:pStyle w:val="InstructionsText"/>
              <w:rPr>
                <w:rStyle w:val="InstructionsTabelleberschrift"/>
                <w:rFonts w:ascii="Times New Roman" w:hAnsi="Times New Roman"/>
                <w:szCs w:val="20"/>
              </w:rPr>
            </w:pPr>
            <w:r w:rsidRPr="00604294">
              <w:rPr>
                <w:rStyle w:val="InstructionsTabelleberschrift"/>
                <w:rFonts w:ascii="Times New Roman" w:hAnsi="Times New Roman"/>
              </w:rPr>
              <w:t>Kod krajowy</w:t>
            </w:r>
          </w:p>
          <w:p w14:paraId="299CAD77" w14:textId="77777777" w:rsidR="00652C73" w:rsidRPr="00604294" w:rsidRDefault="00652C73" w:rsidP="00652C73">
            <w:pPr>
              <w:pStyle w:val="InstructionsText"/>
              <w:rPr>
                <w:rStyle w:val="InstructionsTabelleberschrift"/>
                <w:rFonts w:ascii="Times New Roman" w:hAnsi="Times New Roman"/>
                <w:szCs w:val="20"/>
              </w:rPr>
            </w:pPr>
          </w:p>
          <w:p w14:paraId="3D894992" w14:textId="5723D3DE" w:rsidR="00652C73" w:rsidRPr="00604294" w:rsidRDefault="00652C73" w:rsidP="00CC3091">
            <w:pPr>
              <w:pStyle w:val="InstructionsText"/>
              <w:rPr>
                <w:rStyle w:val="FormatvorlageInstructionsTabelleText"/>
                <w:rFonts w:ascii="Times New Roman" w:hAnsi="Times New Roman"/>
                <w:szCs w:val="20"/>
              </w:rPr>
            </w:pPr>
            <w:r w:rsidRPr="00604294">
              <w:rPr>
                <w:rStyle w:val="FormatvorlageInstructionsTabelleText"/>
                <w:rFonts w:ascii="Times New Roman" w:hAnsi="Times New Roman"/>
              </w:rPr>
              <w:t>Instytucje mogą dodatkowo zgłosić kod krajowy, gdy zgłaszają kod LEI jako identyfikator</w:t>
            </w:r>
            <w:r w:rsidR="00604294" w:rsidRPr="00604294">
              <w:rPr>
                <w:rStyle w:val="FormatvorlageInstructionsTabelleText"/>
                <w:rFonts w:ascii="Times New Roman" w:hAnsi="Times New Roman"/>
              </w:rPr>
              <w:t xml:space="preserve"> w</w:t>
            </w:r>
            <w:r w:rsidR="00604294">
              <w:rPr>
                <w:rStyle w:val="FormatvorlageInstructionsTabelleText"/>
                <w:rFonts w:ascii="Times New Roman" w:hAnsi="Times New Roman"/>
              </w:rPr>
              <w:t> </w:t>
            </w:r>
            <w:r w:rsidR="00604294" w:rsidRPr="00604294">
              <w:rPr>
                <w:rStyle w:val="FormatvorlageInstructionsTabelleText"/>
                <w:rFonts w:ascii="Times New Roman" w:hAnsi="Times New Roman"/>
              </w:rPr>
              <w:t>kol</w:t>
            </w:r>
            <w:r w:rsidRPr="00604294">
              <w:rPr>
                <w:rStyle w:val="FormatvorlageInstructionsTabelleText"/>
                <w:rFonts w:ascii="Times New Roman" w:hAnsi="Times New Roman"/>
              </w:rPr>
              <w:t>umnie „Kod”.</w:t>
            </w:r>
          </w:p>
          <w:p w14:paraId="2DD0B123" w14:textId="59AC2EB9" w:rsidR="00652C73" w:rsidRPr="00604294" w:rsidRDefault="00652C73" w:rsidP="00CC3091">
            <w:pPr>
              <w:pStyle w:val="InstructionsText"/>
              <w:rPr>
                <w:rStyle w:val="InstructionsTabelleberschrift"/>
                <w:rFonts w:ascii="Times New Roman" w:hAnsi="Times New Roman"/>
                <w:szCs w:val="20"/>
              </w:rPr>
            </w:pPr>
          </w:p>
        </w:tc>
      </w:tr>
      <w:tr w:rsidR="00A344AA" w:rsidRPr="00604294" w14:paraId="51607CEC" w14:textId="77777777" w:rsidTr="003D0976">
        <w:trPr>
          <w:trHeight w:val="510"/>
        </w:trPr>
        <w:tc>
          <w:tcPr>
            <w:tcW w:w="729" w:type="pct"/>
            <w:tcBorders>
              <w:bottom w:val="single" w:sz="4" w:space="0" w:color="auto"/>
            </w:tcBorders>
            <w:shd w:val="clear" w:color="auto" w:fill="auto"/>
            <w:noWrap/>
          </w:tcPr>
          <w:p w14:paraId="19A860BE" w14:textId="4EB79D38" w:rsidR="00A344AA" w:rsidRPr="00604294" w:rsidRDefault="00A344AA" w:rsidP="000B288B">
            <w:pPr>
              <w:spacing w:before="0" w:after="0"/>
              <w:jc w:val="left"/>
              <w:rPr>
                <w:rFonts w:ascii="Times New Roman" w:hAnsi="Times New Roman"/>
                <w:color w:val="000000"/>
                <w:szCs w:val="20"/>
              </w:rPr>
            </w:pPr>
            <w:r w:rsidRPr="00604294">
              <w:rPr>
                <w:rFonts w:ascii="Times New Roman" w:hAnsi="Times New Roman"/>
                <w:color w:val="000000"/>
              </w:rPr>
              <w:t>0030</w:t>
            </w:r>
          </w:p>
        </w:tc>
        <w:tc>
          <w:tcPr>
            <w:tcW w:w="4271" w:type="pct"/>
            <w:gridSpan w:val="2"/>
            <w:tcBorders>
              <w:bottom w:val="single" w:sz="4" w:space="0" w:color="auto"/>
            </w:tcBorders>
            <w:shd w:val="clear" w:color="auto" w:fill="auto"/>
          </w:tcPr>
          <w:p w14:paraId="6B942154" w14:textId="77777777" w:rsidR="00A344AA" w:rsidRPr="00604294" w:rsidRDefault="00A344AA" w:rsidP="003A2647">
            <w:pPr>
              <w:spacing w:before="0" w:after="0"/>
              <w:rPr>
                <w:rFonts w:ascii="Times New Roman" w:hAnsi="Times New Roman"/>
                <w:b/>
                <w:szCs w:val="20"/>
                <w:u w:val="single"/>
              </w:rPr>
            </w:pPr>
            <w:r w:rsidRPr="00604294">
              <w:rPr>
                <w:rFonts w:ascii="Times New Roman" w:hAnsi="Times New Roman"/>
                <w:b/>
                <w:u w:val="single"/>
              </w:rPr>
              <w:t>Sektor kontrahenta</w:t>
            </w:r>
          </w:p>
          <w:p w14:paraId="2CCF7839" w14:textId="77777777" w:rsidR="00A344AA" w:rsidRPr="00604294" w:rsidRDefault="00A344AA" w:rsidP="003A2647">
            <w:pPr>
              <w:spacing w:before="0" w:after="0"/>
              <w:rPr>
                <w:rFonts w:ascii="Times New Roman" w:hAnsi="Times New Roman"/>
                <w:b/>
                <w:szCs w:val="20"/>
                <w:u w:val="single"/>
                <w:lang w:eastAsia="en-GB"/>
              </w:rPr>
            </w:pPr>
          </w:p>
          <w:p w14:paraId="2E43DAFB" w14:textId="2CD514E0" w:rsidR="00A344AA" w:rsidRPr="00604294" w:rsidRDefault="00A344AA" w:rsidP="00CC3091">
            <w:pPr>
              <w:pStyle w:val="InstructionsText"/>
              <w:rPr>
                <w:rStyle w:val="FormatvorlageInstructionsTabelleText"/>
                <w:rFonts w:ascii="Times New Roman" w:hAnsi="Times New Roman"/>
                <w:szCs w:val="20"/>
              </w:rPr>
            </w:pPr>
            <w:r w:rsidRPr="00604294">
              <w:rPr>
                <w:rStyle w:val="FormatvorlageInstructionsTabelleText"/>
                <w:rFonts w:ascii="Times New Roman" w:hAnsi="Times New Roman"/>
              </w:rPr>
              <w:t>Każdemu kontrahentowi przydziela się jeden sektor na podstawie następujących klas sektora gospodarki [FINREP] (załącznik V część 1 do niniejszego rozporządzenia wykonawczego):</w:t>
            </w:r>
          </w:p>
          <w:p w14:paraId="7C349277" w14:textId="77777777" w:rsidR="00A344AA" w:rsidRPr="00604294" w:rsidRDefault="00A344AA" w:rsidP="00CC3091">
            <w:pPr>
              <w:pStyle w:val="InstructionsText"/>
              <w:rPr>
                <w:rStyle w:val="FormatvorlageInstructionsTabelleText"/>
                <w:rFonts w:ascii="Times New Roman" w:hAnsi="Times New Roman"/>
                <w:szCs w:val="20"/>
              </w:rPr>
            </w:pPr>
          </w:p>
          <w:p w14:paraId="07E3E3C8" w14:textId="149B2F3F" w:rsidR="00A344AA" w:rsidRPr="00604294" w:rsidRDefault="00A344AA" w:rsidP="00CC3091">
            <w:pPr>
              <w:pStyle w:val="InstructionsText"/>
              <w:rPr>
                <w:rStyle w:val="FormatvorlageInstructionsTabelleText"/>
                <w:rFonts w:ascii="Times New Roman" w:hAnsi="Times New Roman"/>
                <w:szCs w:val="20"/>
              </w:rPr>
            </w:pPr>
            <w:r w:rsidRPr="00604294">
              <w:rPr>
                <w:rStyle w:val="FormatvorlageInstructionsTabelleText"/>
                <w:rFonts w:ascii="Times New Roman" w:hAnsi="Times New Roman"/>
              </w:rPr>
              <w:t>(i) banki centralne; (ii) sektor instytucji rządowych</w:t>
            </w:r>
            <w:r w:rsidR="00604294" w:rsidRPr="00604294">
              <w:rPr>
                <w:rStyle w:val="FormatvorlageInstructionsTabelleText"/>
                <w:rFonts w:ascii="Times New Roman" w:hAnsi="Times New Roman"/>
              </w:rPr>
              <w:t xml:space="preserve"> i</w:t>
            </w:r>
            <w:r w:rsidR="00604294">
              <w:rPr>
                <w:rStyle w:val="FormatvorlageInstructionsTabelleText"/>
                <w:rFonts w:ascii="Times New Roman" w:hAnsi="Times New Roman"/>
              </w:rPr>
              <w:t> </w:t>
            </w:r>
            <w:r w:rsidR="00604294" w:rsidRPr="00604294">
              <w:rPr>
                <w:rStyle w:val="FormatvorlageInstructionsTabelleText"/>
                <w:rFonts w:ascii="Times New Roman" w:hAnsi="Times New Roman"/>
              </w:rPr>
              <w:t>sam</w:t>
            </w:r>
            <w:r w:rsidRPr="00604294">
              <w:rPr>
                <w:rStyle w:val="FormatvorlageInstructionsTabelleText"/>
                <w:rFonts w:ascii="Times New Roman" w:hAnsi="Times New Roman"/>
              </w:rPr>
              <w:t xml:space="preserve">orządowych; (iii) instytucje kredytowe; (iv) inne instytucje finansowe; (v) przedsiębiorstwa niefinansowe; (vi) gospodarstwa domowe. </w:t>
            </w:r>
          </w:p>
          <w:p w14:paraId="4CA62F92" w14:textId="77777777" w:rsidR="00A344AA" w:rsidRPr="00604294" w:rsidRDefault="00A344AA" w:rsidP="00CC3091">
            <w:pPr>
              <w:pStyle w:val="InstructionsText"/>
              <w:rPr>
                <w:rStyle w:val="FormatvorlageInstructionsTabelleText"/>
                <w:rFonts w:ascii="Times New Roman" w:hAnsi="Times New Roman"/>
                <w:szCs w:val="20"/>
                <w:lang w:eastAsia="en-US"/>
              </w:rPr>
            </w:pPr>
          </w:p>
          <w:p w14:paraId="1E7BCB8F" w14:textId="77777777" w:rsidR="00A344AA" w:rsidRPr="00604294" w:rsidRDefault="00A344AA" w:rsidP="00CC3091">
            <w:pPr>
              <w:pStyle w:val="InstructionsText"/>
              <w:rPr>
                <w:rStyle w:val="FormatvorlageInstructionsTabelleText"/>
                <w:rFonts w:ascii="Times New Roman" w:hAnsi="Times New Roman"/>
                <w:szCs w:val="20"/>
              </w:rPr>
            </w:pPr>
            <w:r w:rsidRPr="00604294">
              <w:rPr>
                <w:rStyle w:val="FormatvorlageInstructionsTabelleText"/>
                <w:rFonts w:ascii="Times New Roman" w:hAnsi="Times New Roman"/>
              </w:rPr>
              <w:t>W przypadku grup powiązanych klientów nie zgłasza się żadnego sektora.</w:t>
            </w:r>
          </w:p>
          <w:p w14:paraId="0E3CE66C" w14:textId="77777777" w:rsidR="00A344AA" w:rsidRPr="00604294" w:rsidRDefault="00A344AA" w:rsidP="00927DCB">
            <w:pPr>
              <w:pStyle w:val="InstructionsText2"/>
              <w:numPr>
                <w:ilvl w:val="0"/>
                <w:numId w:val="0"/>
              </w:numPr>
              <w:spacing w:after="0"/>
              <w:ind w:left="714"/>
            </w:pPr>
          </w:p>
        </w:tc>
      </w:tr>
      <w:tr w:rsidR="00A344AA" w:rsidRPr="00604294" w14:paraId="159CB0CE" w14:textId="77777777" w:rsidTr="003D0976">
        <w:trPr>
          <w:trHeight w:val="510"/>
        </w:trPr>
        <w:tc>
          <w:tcPr>
            <w:tcW w:w="729" w:type="pct"/>
            <w:tcBorders>
              <w:bottom w:val="nil"/>
            </w:tcBorders>
            <w:shd w:val="clear" w:color="auto" w:fill="auto"/>
            <w:noWrap/>
          </w:tcPr>
          <w:p w14:paraId="7DA552B5" w14:textId="50E8979D" w:rsidR="00A344AA" w:rsidRPr="00604294" w:rsidRDefault="00A344AA" w:rsidP="000B288B">
            <w:pPr>
              <w:spacing w:before="0" w:after="0"/>
              <w:jc w:val="left"/>
              <w:rPr>
                <w:rFonts w:ascii="Times New Roman" w:hAnsi="Times New Roman"/>
                <w:color w:val="000000"/>
                <w:szCs w:val="20"/>
              </w:rPr>
            </w:pPr>
            <w:r w:rsidRPr="00604294">
              <w:rPr>
                <w:rFonts w:ascii="Times New Roman" w:hAnsi="Times New Roman"/>
                <w:color w:val="000000"/>
              </w:rPr>
              <w:t>0040</w:t>
            </w:r>
          </w:p>
        </w:tc>
        <w:tc>
          <w:tcPr>
            <w:tcW w:w="4271" w:type="pct"/>
            <w:gridSpan w:val="2"/>
            <w:tcBorders>
              <w:bottom w:val="nil"/>
            </w:tcBorders>
            <w:shd w:val="clear" w:color="auto" w:fill="auto"/>
          </w:tcPr>
          <w:p w14:paraId="4A62D5F3" w14:textId="77777777" w:rsidR="00A344AA" w:rsidRPr="00604294" w:rsidRDefault="00A344AA" w:rsidP="003A2647">
            <w:pPr>
              <w:spacing w:before="0" w:after="0"/>
              <w:rPr>
                <w:rFonts w:ascii="Times New Roman" w:hAnsi="Times New Roman"/>
                <w:b/>
                <w:szCs w:val="20"/>
                <w:u w:val="single"/>
              </w:rPr>
            </w:pPr>
            <w:r w:rsidRPr="00604294">
              <w:rPr>
                <w:rFonts w:ascii="Times New Roman" w:hAnsi="Times New Roman"/>
                <w:b/>
                <w:u w:val="single"/>
              </w:rPr>
              <w:t xml:space="preserve">Siedziba kontrahenta </w:t>
            </w:r>
          </w:p>
          <w:p w14:paraId="4CB6B035" w14:textId="77777777" w:rsidR="00A344AA" w:rsidRPr="00604294" w:rsidRDefault="00A344AA" w:rsidP="00CC3091">
            <w:pPr>
              <w:pStyle w:val="InstructionsText"/>
              <w:rPr>
                <w:rStyle w:val="FormatvorlageInstructionsTabelleText"/>
                <w:rFonts w:ascii="Times New Roman" w:hAnsi="Times New Roman"/>
                <w:b/>
                <w:szCs w:val="20"/>
              </w:rPr>
            </w:pPr>
          </w:p>
          <w:p w14:paraId="1792AE6F" w14:textId="2BC2830D" w:rsidR="00A344AA" w:rsidRPr="00604294" w:rsidRDefault="00A344AA" w:rsidP="00CC3091">
            <w:pPr>
              <w:pStyle w:val="InstructionsText"/>
              <w:rPr>
                <w:rStyle w:val="FormatvorlageInstructionsTabelleText"/>
                <w:rFonts w:ascii="Times New Roman" w:hAnsi="Times New Roman"/>
                <w:szCs w:val="20"/>
              </w:rPr>
            </w:pPr>
            <w:r w:rsidRPr="00604294">
              <w:rPr>
                <w:rStyle w:val="FormatvorlageInstructionsTabelleText"/>
                <w:rFonts w:ascii="Times New Roman" w:hAnsi="Times New Roman"/>
              </w:rPr>
              <w:t>Stosuje się kod ISO 3166-1-alpha-2 kraju założenia kontrahenta,</w:t>
            </w:r>
            <w:r w:rsidR="00604294" w:rsidRPr="00604294">
              <w:rPr>
                <w:rStyle w:val="FormatvorlageInstructionsTabelleText"/>
                <w:rFonts w:ascii="Times New Roman" w:hAnsi="Times New Roman"/>
              </w:rPr>
              <w:t xml:space="preserve"> w</w:t>
            </w:r>
            <w:r w:rsidR="00604294">
              <w:rPr>
                <w:rStyle w:val="FormatvorlageInstructionsTabelleText"/>
                <w:rFonts w:ascii="Times New Roman" w:hAnsi="Times New Roman"/>
              </w:rPr>
              <w:t> </w:t>
            </w:r>
            <w:r w:rsidR="00604294" w:rsidRPr="00604294">
              <w:rPr>
                <w:rStyle w:val="FormatvorlageInstructionsTabelleText"/>
                <w:rFonts w:ascii="Times New Roman" w:hAnsi="Times New Roman"/>
              </w:rPr>
              <w:t>tym</w:t>
            </w:r>
            <w:r w:rsidRPr="00604294">
              <w:rPr>
                <w:rStyle w:val="FormatvorlageInstructionsTabelleText"/>
                <w:rFonts w:ascii="Times New Roman" w:hAnsi="Times New Roman"/>
              </w:rPr>
              <w:t xml:space="preserve"> kody pseudo-ISO dla organizacji międzynarodowych</w:t>
            </w:r>
            <w:r w:rsidRPr="00604294">
              <w:rPr>
                <w:u w:val="none"/>
              </w:rPr>
              <w:t>, dostępne</w:t>
            </w:r>
            <w:r w:rsidR="00604294" w:rsidRPr="00604294">
              <w:rPr>
                <w:u w:val="none"/>
              </w:rPr>
              <w:t xml:space="preserve"> w</w:t>
            </w:r>
            <w:r w:rsidR="00604294">
              <w:rPr>
                <w:u w:val="none"/>
              </w:rPr>
              <w:t> </w:t>
            </w:r>
            <w:r w:rsidR="00604294" w:rsidRPr="00604294">
              <w:rPr>
                <w:u w:val="none"/>
              </w:rPr>
              <w:t>naj</w:t>
            </w:r>
            <w:r w:rsidRPr="00604294">
              <w:rPr>
                <w:u w:val="none"/>
              </w:rPr>
              <w:t>nowszym wydaniu publikowanego przez Eurostat „Vademecum bilansu płatności”</w:t>
            </w:r>
            <w:r w:rsidRPr="00604294">
              <w:rPr>
                <w:rStyle w:val="FormatvorlageInstructionsTabelleText"/>
                <w:rFonts w:ascii="Times New Roman" w:hAnsi="Times New Roman"/>
              </w:rPr>
              <w:t xml:space="preserve">. </w:t>
            </w:r>
          </w:p>
          <w:p w14:paraId="713A8F3E" w14:textId="77777777" w:rsidR="00A344AA" w:rsidRPr="00604294" w:rsidRDefault="00A344AA" w:rsidP="00CC3091">
            <w:pPr>
              <w:pStyle w:val="InstructionsText"/>
              <w:rPr>
                <w:rStyle w:val="FormatvorlageInstructionsTabelleText"/>
                <w:rFonts w:ascii="Times New Roman" w:hAnsi="Times New Roman"/>
                <w:szCs w:val="20"/>
              </w:rPr>
            </w:pPr>
          </w:p>
          <w:p w14:paraId="6E964331" w14:textId="180A6696" w:rsidR="00A344AA" w:rsidRPr="00604294" w:rsidRDefault="00A344AA" w:rsidP="003A2647">
            <w:pPr>
              <w:spacing w:before="0" w:after="0"/>
              <w:rPr>
                <w:rFonts w:ascii="Times New Roman" w:hAnsi="Times New Roman"/>
                <w:b/>
                <w:szCs w:val="20"/>
                <w:u w:val="single"/>
              </w:rPr>
            </w:pPr>
            <w:r w:rsidRPr="00604294">
              <w:rPr>
                <w:rStyle w:val="FormatvorlageInstructionsTabelleText"/>
                <w:rFonts w:ascii="Times New Roman" w:hAnsi="Times New Roman"/>
              </w:rPr>
              <w:t>W przypadku grup powiązanych klientów nie zgłasza się żadnego kraju.</w:t>
            </w:r>
          </w:p>
        </w:tc>
      </w:tr>
      <w:tr w:rsidR="00A344AA" w:rsidRPr="00604294"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604294" w:rsidRDefault="00A344AA" w:rsidP="000B288B">
            <w:pPr>
              <w:spacing w:before="0" w:after="0"/>
              <w:jc w:val="left"/>
              <w:rPr>
                <w:rFonts w:ascii="Times New Roman" w:hAnsi="Times New Roman"/>
                <w:color w:val="000000"/>
                <w:szCs w:val="20"/>
                <w:lang w:eastAsia="en-GB"/>
              </w:rPr>
            </w:pPr>
          </w:p>
        </w:tc>
        <w:tc>
          <w:tcPr>
            <w:tcW w:w="2136" w:type="pct"/>
            <w:tcBorders>
              <w:top w:val="nil"/>
              <w:bottom w:val="single" w:sz="4" w:space="0" w:color="auto"/>
              <w:right w:val="nil"/>
            </w:tcBorders>
            <w:shd w:val="clear" w:color="auto" w:fill="auto"/>
          </w:tcPr>
          <w:p w14:paraId="68697EE7" w14:textId="77777777" w:rsidR="00A344AA" w:rsidRPr="00604294" w:rsidRDefault="00A344AA" w:rsidP="003A2647">
            <w:pPr>
              <w:spacing w:before="0" w:after="0"/>
              <w:rPr>
                <w:rFonts w:ascii="Times New Roman" w:hAnsi="Times New Roman"/>
                <w:b/>
                <w:szCs w:val="20"/>
                <w:u w:val="single"/>
                <w:lang w:eastAsia="en-GB"/>
              </w:rPr>
            </w:pPr>
          </w:p>
        </w:tc>
        <w:tc>
          <w:tcPr>
            <w:tcW w:w="2135" w:type="pct"/>
            <w:tcBorders>
              <w:top w:val="nil"/>
              <w:left w:val="nil"/>
              <w:bottom w:val="single" w:sz="4" w:space="0" w:color="auto"/>
            </w:tcBorders>
            <w:shd w:val="clear" w:color="auto" w:fill="auto"/>
          </w:tcPr>
          <w:p w14:paraId="32365D61" w14:textId="77777777" w:rsidR="00A344AA" w:rsidRPr="00604294" w:rsidRDefault="00A344AA" w:rsidP="003A2647">
            <w:pPr>
              <w:spacing w:before="0" w:after="0"/>
              <w:rPr>
                <w:rFonts w:ascii="Times New Roman" w:hAnsi="Times New Roman"/>
                <w:b/>
                <w:szCs w:val="20"/>
                <w:u w:val="single"/>
                <w:lang w:eastAsia="en-GB"/>
              </w:rPr>
            </w:pPr>
          </w:p>
        </w:tc>
      </w:tr>
      <w:tr w:rsidR="00A344AA" w:rsidRPr="00604294"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5BE76D8B" w:rsidR="00A344AA" w:rsidRPr="00604294" w:rsidRDefault="00A344AA" w:rsidP="000B288B">
            <w:pPr>
              <w:spacing w:before="0" w:after="0"/>
              <w:jc w:val="left"/>
              <w:rPr>
                <w:rFonts w:ascii="Times New Roman" w:hAnsi="Times New Roman"/>
                <w:color w:val="000000"/>
                <w:szCs w:val="20"/>
              </w:rPr>
            </w:pPr>
            <w:r w:rsidRPr="00604294">
              <w:rPr>
                <w:rFonts w:ascii="Times New Roman" w:hAnsi="Times New Roman"/>
                <w:color w:val="000000"/>
              </w:rPr>
              <w:t>0050</w:t>
            </w:r>
          </w:p>
        </w:tc>
        <w:tc>
          <w:tcPr>
            <w:tcW w:w="4271" w:type="pct"/>
            <w:gridSpan w:val="2"/>
            <w:tcBorders>
              <w:top w:val="single" w:sz="4" w:space="0" w:color="auto"/>
              <w:bottom w:val="single" w:sz="4" w:space="0" w:color="auto"/>
            </w:tcBorders>
            <w:shd w:val="clear" w:color="auto" w:fill="auto"/>
          </w:tcPr>
          <w:p w14:paraId="202E35F5" w14:textId="77777777" w:rsidR="00A344AA" w:rsidRPr="00604294" w:rsidRDefault="00A344AA" w:rsidP="003A2647">
            <w:pPr>
              <w:spacing w:before="0" w:after="0"/>
              <w:rPr>
                <w:rFonts w:ascii="Times New Roman" w:hAnsi="Times New Roman"/>
                <w:b/>
                <w:szCs w:val="20"/>
                <w:u w:val="single"/>
              </w:rPr>
            </w:pPr>
            <w:r w:rsidRPr="00604294">
              <w:rPr>
                <w:rFonts w:ascii="Times New Roman" w:hAnsi="Times New Roman"/>
                <w:b/>
                <w:u w:val="single"/>
              </w:rPr>
              <w:t>Rodzaj produktu</w:t>
            </w:r>
          </w:p>
          <w:p w14:paraId="27D8CDCC" w14:textId="77777777" w:rsidR="00A344AA" w:rsidRPr="00604294" w:rsidRDefault="00A344AA" w:rsidP="003A2647">
            <w:pPr>
              <w:spacing w:before="0" w:after="0"/>
              <w:rPr>
                <w:rFonts w:ascii="Times New Roman" w:hAnsi="Times New Roman"/>
                <w:b/>
                <w:szCs w:val="20"/>
                <w:u w:val="single"/>
                <w:lang w:eastAsia="en-GB"/>
              </w:rPr>
            </w:pPr>
          </w:p>
          <w:p w14:paraId="435BE420" w14:textId="4B277A96" w:rsidR="00A344AA" w:rsidRPr="00604294" w:rsidRDefault="00A344AA" w:rsidP="00763448">
            <w:pPr>
              <w:spacing w:before="0" w:after="0"/>
              <w:rPr>
                <w:rFonts w:ascii="Times New Roman" w:hAnsi="Times New Roman"/>
                <w:szCs w:val="20"/>
              </w:rPr>
            </w:pPr>
            <w:r w:rsidRPr="00604294">
              <w:rPr>
                <w:rFonts w:ascii="Times New Roman" w:hAnsi="Times New Roman"/>
              </w:rPr>
              <w:t>Kontrahentom zgłoszonym</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0010 przypisuje się rodzaj produktu odpowiadający produktowi,</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ram</w:t>
            </w:r>
            <w:r w:rsidRPr="00604294">
              <w:rPr>
                <w:rFonts w:ascii="Times New Roman" w:hAnsi="Times New Roman"/>
              </w:rPr>
              <w:t>ach którego otrzymano finansowanie (lub</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ram</w:t>
            </w:r>
            <w:r w:rsidRPr="00604294">
              <w:rPr>
                <w:rFonts w:ascii="Times New Roman" w:hAnsi="Times New Roman"/>
              </w:rPr>
              <w:t>ach którego otrzymano największą część finansowania –</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prz</w:t>
            </w:r>
            <w:r w:rsidRPr="00604294">
              <w:rPr>
                <w:rFonts w:ascii="Times New Roman" w:hAnsi="Times New Roman"/>
              </w:rPr>
              <w:t>ypadku mieszanych rodzajów produktów), przy użyciu następujących kodów zaznaczonych pogrubioną czcionką:</w:t>
            </w:r>
          </w:p>
          <w:p w14:paraId="374B715F" w14:textId="77777777" w:rsidR="00A344AA" w:rsidRPr="00604294" w:rsidRDefault="00A344AA" w:rsidP="003A2647">
            <w:pPr>
              <w:spacing w:before="0" w:after="0"/>
              <w:ind w:left="108"/>
              <w:rPr>
                <w:rFonts w:ascii="Times New Roman" w:hAnsi="Times New Roman"/>
                <w:color w:val="000000"/>
                <w:szCs w:val="20"/>
                <w:lang w:eastAsia="en-GB"/>
              </w:rPr>
            </w:pPr>
          </w:p>
          <w:p w14:paraId="644929DE" w14:textId="3C5FB5CE" w:rsidR="00A344AA" w:rsidRPr="00604294" w:rsidRDefault="00A344AA" w:rsidP="003A2647">
            <w:pPr>
              <w:spacing w:before="0" w:after="0"/>
              <w:ind w:left="108"/>
              <w:rPr>
                <w:rFonts w:ascii="Times New Roman" w:hAnsi="Times New Roman"/>
                <w:color w:val="000000"/>
                <w:szCs w:val="20"/>
              </w:rPr>
            </w:pPr>
            <w:r w:rsidRPr="00604294">
              <w:rPr>
                <w:rFonts w:ascii="Times New Roman" w:hAnsi="Times New Roman"/>
                <w:b/>
                <w:color w:val="000000"/>
              </w:rPr>
              <w:t>UWF</w:t>
            </w:r>
            <w:r w:rsidRPr="00604294">
              <w:rPr>
                <w:rFonts w:ascii="Times New Roman" w:hAnsi="Times New Roman"/>
                <w:color w:val="000000"/>
              </w:rPr>
              <w:t xml:space="preserve"> (</w:t>
            </w:r>
            <w:r w:rsidRPr="00604294">
              <w:rPr>
                <w:rFonts w:ascii="Times New Roman" w:hAnsi="Times New Roman"/>
                <w:i/>
                <w:iCs/>
                <w:color w:val="000000"/>
              </w:rPr>
              <w:t>unsecured wholesale funding obtained from financial customers including interbank money</w:t>
            </w:r>
            <w:r w:rsidRPr="00604294">
              <w:rPr>
                <w:rFonts w:ascii="Times New Roman" w:hAnsi="Times New Roman"/>
                <w:color w:val="000000"/>
              </w:rPr>
              <w:t xml:space="preserve"> – niezabezpieczone finansowanie hurtowe uzyskane od klientów finansowych,</w:t>
            </w:r>
            <w:r w:rsidR="00604294" w:rsidRPr="00604294">
              <w:rPr>
                <w:rFonts w:ascii="Times New Roman" w:hAnsi="Times New Roman"/>
                <w:color w:val="000000"/>
              </w:rPr>
              <w:t xml:space="preserve"> w</w:t>
            </w:r>
            <w:r w:rsidR="00604294">
              <w:rPr>
                <w:rFonts w:ascii="Times New Roman" w:hAnsi="Times New Roman"/>
                <w:color w:val="000000"/>
              </w:rPr>
              <w:t> </w:t>
            </w:r>
            <w:r w:rsidR="00604294" w:rsidRPr="00604294">
              <w:rPr>
                <w:rFonts w:ascii="Times New Roman" w:hAnsi="Times New Roman"/>
                <w:color w:val="000000"/>
              </w:rPr>
              <w:t>tym</w:t>
            </w:r>
            <w:r w:rsidRPr="00604294">
              <w:rPr>
                <w:rFonts w:ascii="Times New Roman" w:hAnsi="Times New Roman"/>
                <w:color w:val="000000"/>
              </w:rPr>
              <w:t xml:space="preserve"> środki pieniężne</w:t>
            </w:r>
            <w:r w:rsidR="00604294" w:rsidRPr="00604294">
              <w:rPr>
                <w:rFonts w:ascii="Times New Roman" w:hAnsi="Times New Roman"/>
                <w:color w:val="000000"/>
              </w:rPr>
              <w:t xml:space="preserve"> z</w:t>
            </w:r>
            <w:r w:rsidR="00604294">
              <w:rPr>
                <w:rFonts w:ascii="Times New Roman" w:hAnsi="Times New Roman"/>
                <w:color w:val="000000"/>
              </w:rPr>
              <w:t> </w:t>
            </w:r>
            <w:r w:rsidR="00604294" w:rsidRPr="00604294">
              <w:rPr>
                <w:rFonts w:ascii="Times New Roman" w:hAnsi="Times New Roman"/>
                <w:color w:val="000000"/>
              </w:rPr>
              <w:t>ryn</w:t>
            </w:r>
            <w:r w:rsidRPr="00604294">
              <w:rPr>
                <w:rFonts w:ascii="Times New Roman" w:hAnsi="Times New Roman"/>
                <w:color w:val="000000"/>
              </w:rPr>
              <w:t>ku międzybankowego)</w:t>
            </w:r>
          </w:p>
          <w:p w14:paraId="65D81A1D" w14:textId="77777777" w:rsidR="00A344AA" w:rsidRPr="00604294" w:rsidRDefault="00A344AA" w:rsidP="003A2647">
            <w:pPr>
              <w:spacing w:before="0" w:after="0"/>
              <w:ind w:left="108"/>
              <w:rPr>
                <w:rFonts w:ascii="Times New Roman" w:hAnsi="Times New Roman"/>
                <w:color w:val="000000"/>
                <w:szCs w:val="20"/>
                <w:lang w:eastAsia="en-GB"/>
              </w:rPr>
            </w:pPr>
          </w:p>
          <w:p w14:paraId="2E6EBD07" w14:textId="77777777" w:rsidR="00A344AA" w:rsidRPr="00604294" w:rsidRDefault="00A344AA" w:rsidP="003A2647">
            <w:pPr>
              <w:spacing w:before="0" w:after="0"/>
              <w:ind w:left="108"/>
              <w:rPr>
                <w:rFonts w:ascii="Times New Roman" w:hAnsi="Times New Roman"/>
                <w:color w:val="000000"/>
                <w:szCs w:val="20"/>
              </w:rPr>
            </w:pPr>
            <w:r w:rsidRPr="00604294">
              <w:rPr>
                <w:rFonts w:ascii="Times New Roman" w:hAnsi="Times New Roman"/>
                <w:b/>
                <w:color w:val="000000"/>
              </w:rPr>
              <w:t>UWNF</w:t>
            </w:r>
            <w:r w:rsidRPr="00604294">
              <w:rPr>
                <w:rFonts w:ascii="Times New Roman" w:hAnsi="Times New Roman"/>
                <w:color w:val="000000"/>
              </w:rPr>
              <w:t xml:space="preserve"> (</w:t>
            </w:r>
            <w:r w:rsidRPr="00604294">
              <w:rPr>
                <w:rFonts w:ascii="Times New Roman" w:hAnsi="Times New Roman"/>
                <w:i/>
                <w:iCs/>
                <w:color w:val="000000"/>
              </w:rPr>
              <w:t>unsecured wholesale funding obtained from non-financial customers</w:t>
            </w:r>
            <w:r w:rsidRPr="00604294">
              <w:rPr>
                <w:rFonts w:ascii="Times New Roman" w:hAnsi="Times New Roman"/>
                <w:color w:val="000000"/>
              </w:rPr>
              <w:t xml:space="preserve"> – niezabezpieczone finansowanie hurtowe uzyskane od klientów niefinansowych)</w:t>
            </w:r>
          </w:p>
          <w:p w14:paraId="69567DFF" w14:textId="77777777" w:rsidR="00A344AA" w:rsidRPr="00604294" w:rsidRDefault="00A344AA" w:rsidP="003A2647">
            <w:pPr>
              <w:spacing w:before="0" w:after="0"/>
              <w:ind w:left="108"/>
              <w:rPr>
                <w:rFonts w:ascii="Times New Roman" w:hAnsi="Times New Roman"/>
                <w:color w:val="000000"/>
                <w:szCs w:val="20"/>
                <w:lang w:eastAsia="en-GB"/>
              </w:rPr>
            </w:pPr>
          </w:p>
          <w:p w14:paraId="362C9247" w14:textId="3A7F1877" w:rsidR="00A344AA" w:rsidRPr="00604294" w:rsidRDefault="00792E65" w:rsidP="003A2647">
            <w:pPr>
              <w:spacing w:before="0" w:after="0"/>
              <w:ind w:left="108"/>
              <w:rPr>
                <w:rFonts w:ascii="Times New Roman" w:hAnsi="Times New Roman"/>
                <w:color w:val="000000"/>
                <w:szCs w:val="20"/>
              </w:rPr>
            </w:pPr>
            <w:r w:rsidRPr="00604294">
              <w:rPr>
                <w:rFonts w:ascii="Times New Roman" w:hAnsi="Times New Roman"/>
                <w:b/>
                <w:color w:val="000000"/>
              </w:rPr>
              <w:t>SFT</w:t>
            </w:r>
            <w:r w:rsidRPr="00604294">
              <w:rPr>
                <w:rFonts w:ascii="Times New Roman" w:hAnsi="Times New Roman"/>
                <w:color w:val="000000"/>
              </w:rPr>
              <w:t xml:space="preserve"> (</w:t>
            </w:r>
            <w:r w:rsidRPr="00604294">
              <w:rPr>
                <w:rFonts w:ascii="Times New Roman" w:hAnsi="Times New Roman"/>
                <w:i/>
                <w:iCs/>
                <w:color w:val="000000"/>
              </w:rPr>
              <w:t>funding obtained from repurchase agreements</w:t>
            </w:r>
            <w:r w:rsidRPr="00604294">
              <w:rPr>
                <w:rFonts w:ascii="Times New Roman" w:hAnsi="Times New Roman"/>
                <w:color w:val="000000"/>
              </w:rPr>
              <w:t xml:space="preserve"> – finansowanie uzyskane</w:t>
            </w:r>
            <w:r w:rsidR="00604294" w:rsidRPr="00604294">
              <w:rPr>
                <w:rFonts w:ascii="Times New Roman" w:hAnsi="Times New Roman"/>
                <w:color w:val="000000"/>
              </w:rPr>
              <w:t xml:space="preserve"> w</w:t>
            </w:r>
            <w:r w:rsidR="00604294">
              <w:rPr>
                <w:rFonts w:ascii="Times New Roman" w:hAnsi="Times New Roman"/>
                <w:color w:val="000000"/>
              </w:rPr>
              <w:t> </w:t>
            </w:r>
            <w:r w:rsidR="00604294" w:rsidRPr="00604294">
              <w:rPr>
                <w:rFonts w:ascii="Times New Roman" w:hAnsi="Times New Roman"/>
                <w:color w:val="000000"/>
              </w:rPr>
              <w:t>ram</w:t>
            </w:r>
            <w:r w:rsidRPr="00604294">
              <w:rPr>
                <w:rFonts w:ascii="Times New Roman" w:hAnsi="Times New Roman"/>
                <w:color w:val="000000"/>
              </w:rPr>
              <w:t>ach umów</w:t>
            </w:r>
            <w:r w:rsidR="00604294" w:rsidRPr="00604294">
              <w:rPr>
                <w:rFonts w:ascii="Times New Roman" w:hAnsi="Times New Roman"/>
                <w:color w:val="000000"/>
              </w:rPr>
              <w:t xml:space="preserve"> z</w:t>
            </w:r>
            <w:r w:rsidR="00604294">
              <w:rPr>
                <w:rFonts w:ascii="Times New Roman" w:hAnsi="Times New Roman"/>
                <w:color w:val="000000"/>
              </w:rPr>
              <w:t> </w:t>
            </w:r>
            <w:r w:rsidR="00604294" w:rsidRPr="00604294">
              <w:rPr>
                <w:rFonts w:ascii="Times New Roman" w:hAnsi="Times New Roman"/>
                <w:color w:val="000000"/>
              </w:rPr>
              <w:t>udz</w:t>
            </w:r>
            <w:r w:rsidRPr="00604294">
              <w:rPr>
                <w:rFonts w:ascii="Times New Roman" w:hAnsi="Times New Roman"/>
                <w:color w:val="000000"/>
              </w:rPr>
              <w:t>ielonym przyrzeczeniem odkupu określonych</w:t>
            </w:r>
            <w:r w:rsidR="00604294" w:rsidRPr="00604294">
              <w:rPr>
                <w:rFonts w:ascii="Times New Roman" w:hAnsi="Times New Roman"/>
                <w:color w:val="000000"/>
              </w:rPr>
              <w:t xml:space="preserve"> w</w:t>
            </w:r>
            <w:r w:rsidR="00604294">
              <w:rPr>
                <w:rFonts w:ascii="Times New Roman" w:hAnsi="Times New Roman"/>
                <w:color w:val="000000"/>
              </w:rPr>
              <w:t> </w:t>
            </w:r>
            <w:r w:rsidR="00604294" w:rsidRPr="00604294">
              <w:rPr>
                <w:rFonts w:ascii="Times New Roman" w:hAnsi="Times New Roman"/>
                <w:color w:val="000000"/>
              </w:rPr>
              <w:t>art</w:t>
            </w:r>
            <w:r w:rsidRPr="00604294">
              <w:rPr>
                <w:rFonts w:ascii="Times New Roman" w:hAnsi="Times New Roman"/>
                <w:color w:val="000000"/>
              </w:rPr>
              <w:t>. 4 ust. 1 pkt</w:t>
            </w:r>
            <w:r w:rsidR="00604294" w:rsidRPr="00604294">
              <w:rPr>
                <w:rFonts w:ascii="Times New Roman" w:hAnsi="Times New Roman"/>
                <w:color w:val="000000"/>
              </w:rPr>
              <w:t> </w:t>
            </w:r>
            <w:r w:rsidRPr="00604294">
              <w:rPr>
                <w:rFonts w:ascii="Times New Roman" w:hAnsi="Times New Roman"/>
                <w:color w:val="000000"/>
              </w:rPr>
              <w:t>82 rozporządzenia (UE) nr</w:t>
            </w:r>
            <w:r w:rsidR="00604294" w:rsidRPr="00604294">
              <w:rPr>
                <w:rFonts w:ascii="Times New Roman" w:hAnsi="Times New Roman"/>
                <w:color w:val="000000"/>
              </w:rPr>
              <w:t> </w:t>
            </w:r>
            <w:r w:rsidRPr="00604294">
              <w:rPr>
                <w:rFonts w:ascii="Times New Roman" w:hAnsi="Times New Roman"/>
                <w:color w:val="000000"/>
              </w:rPr>
              <w:t>575/2013)</w:t>
            </w:r>
          </w:p>
          <w:p w14:paraId="66F4842F" w14:textId="77777777" w:rsidR="00A344AA" w:rsidRPr="00604294" w:rsidRDefault="00A344AA" w:rsidP="003A2647">
            <w:pPr>
              <w:spacing w:before="0" w:after="0"/>
              <w:ind w:left="108"/>
              <w:rPr>
                <w:rFonts w:ascii="Times New Roman" w:hAnsi="Times New Roman"/>
                <w:color w:val="000000"/>
                <w:szCs w:val="20"/>
                <w:lang w:eastAsia="en-GB"/>
              </w:rPr>
            </w:pPr>
          </w:p>
          <w:p w14:paraId="4D7FE979" w14:textId="2B399E79" w:rsidR="00A344AA" w:rsidRPr="00604294" w:rsidRDefault="00A344AA" w:rsidP="003A2647">
            <w:pPr>
              <w:spacing w:before="0" w:after="0"/>
              <w:ind w:left="108"/>
              <w:rPr>
                <w:rFonts w:ascii="Times New Roman" w:hAnsi="Times New Roman"/>
                <w:color w:val="000000"/>
                <w:szCs w:val="20"/>
              </w:rPr>
            </w:pPr>
            <w:r w:rsidRPr="00604294">
              <w:rPr>
                <w:rFonts w:ascii="Times New Roman" w:hAnsi="Times New Roman"/>
                <w:b/>
                <w:color w:val="000000"/>
              </w:rPr>
              <w:t>CB</w:t>
            </w:r>
            <w:r w:rsidRPr="00604294">
              <w:rPr>
                <w:rFonts w:ascii="Times New Roman" w:hAnsi="Times New Roman"/>
                <w:color w:val="000000"/>
              </w:rPr>
              <w:t xml:space="preserve"> (</w:t>
            </w:r>
            <w:r w:rsidRPr="00604294">
              <w:rPr>
                <w:rFonts w:ascii="Times New Roman" w:hAnsi="Times New Roman"/>
                <w:i/>
                <w:iCs/>
                <w:color w:val="000000"/>
              </w:rPr>
              <w:t>funding obtained from covered bond issuance</w:t>
            </w:r>
            <w:r w:rsidRPr="00604294">
              <w:rPr>
                <w:rFonts w:ascii="Times New Roman" w:hAnsi="Times New Roman"/>
                <w:color w:val="000000"/>
              </w:rPr>
              <w:t xml:space="preserve"> – finansowanie uzyskane</w:t>
            </w:r>
            <w:r w:rsidR="00604294" w:rsidRPr="00604294">
              <w:rPr>
                <w:rFonts w:ascii="Times New Roman" w:hAnsi="Times New Roman"/>
                <w:color w:val="000000"/>
              </w:rPr>
              <w:t xml:space="preserve"> z</w:t>
            </w:r>
            <w:r w:rsidR="00604294">
              <w:rPr>
                <w:rFonts w:ascii="Times New Roman" w:hAnsi="Times New Roman"/>
                <w:color w:val="000000"/>
              </w:rPr>
              <w:t> </w:t>
            </w:r>
            <w:r w:rsidR="00604294" w:rsidRPr="00604294">
              <w:rPr>
                <w:rFonts w:ascii="Times New Roman" w:hAnsi="Times New Roman"/>
                <w:color w:val="000000"/>
              </w:rPr>
              <w:t>emi</w:t>
            </w:r>
            <w:r w:rsidRPr="00604294">
              <w:rPr>
                <w:rFonts w:ascii="Times New Roman" w:hAnsi="Times New Roman"/>
                <w:color w:val="000000"/>
              </w:rPr>
              <w:t>sji obligacji zabezpieczonych określonych</w:t>
            </w:r>
            <w:r w:rsidR="00604294" w:rsidRPr="00604294">
              <w:rPr>
                <w:rFonts w:ascii="Times New Roman" w:hAnsi="Times New Roman"/>
                <w:color w:val="000000"/>
              </w:rPr>
              <w:t xml:space="preserve"> w</w:t>
            </w:r>
            <w:r w:rsidR="00604294">
              <w:rPr>
                <w:rFonts w:ascii="Times New Roman" w:hAnsi="Times New Roman"/>
                <w:color w:val="000000"/>
              </w:rPr>
              <w:t> </w:t>
            </w:r>
            <w:r w:rsidR="00604294" w:rsidRPr="00604294">
              <w:rPr>
                <w:rFonts w:ascii="Times New Roman" w:hAnsi="Times New Roman"/>
                <w:color w:val="000000"/>
              </w:rPr>
              <w:t>art</w:t>
            </w:r>
            <w:r w:rsidRPr="00604294">
              <w:rPr>
                <w:rFonts w:ascii="Times New Roman" w:hAnsi="Times New Roman"/>
                <w:color w:val="000000"/>
              </w:rPr>
              <w:t>. 129 ust. 4 lub</w:t>
            </w:r>
            <w:r w:rsidR="00604294" w:rsidRPr="00604294">
              <w:rPr>
                <w:rFonts w:ascii="Times New Roman" w:hAnsi="Times New Roman"/>
                <w:color w:val="000000"/>
              </w:rPr>
              <w:t> </w:t>
            </w:r>
            <w:r w:rsidRPr="00604294">
              <w:rPr>
                <w:rFonts w:ascii="Times New Roman" w:hAnsi="Times New Roman"/>
                <w:color w:val="000000"/>
              </w:rPr>
              <w:t>5 rozporządzenia (UE) nr</w:t>
            </w:r>
            <w:r w:rsidR="00604294" w:rsidRPr="00604294">
              <w:rPr>
                <w:rFonts w:ascii="Times New Roman" w:hAnsi="Times New Roman"/>
                <w:color w:val="000000"/>
              </w:rPr>
              <w:t> </w:t>
            </w:r>
            <w:r w:rsidRPr="00604294">
              <w:rPr>
                <w:rFonts w:ascii="Times New Roman" w:hAnsi="Times New Roman"/>
                <w:color w:val="000000"/>
              </w:rPr>
              <w:t>575/2013 lub art. 52 ust. 4 dyrektywy 2009/65/WE)</w:t>
            </w:r>
          </w:p>
          <w:p w14:paraId="3F2C9E19" w14:textId="77777777" w:rsidR="00A344AA" w:rsidRPr="00604294" w:rsidRDefault="00A344AA" w:rsidP="003A2647">
            <w:pPr>
              <w:spacing w:before="0" w:after="0"/>
              <w:ind w:left="108"/>
              <w:rPr>
                <w:rFonts w:ascii="Times New Roman" w:hAnsi="Times New Roman"/>
                <w:color w:val="000000"/>
                <w:szCs w:val="20"/>
                <w:lang w:eastAsia="en-GB"/>
              </w:rPr>
            </w:pPr>
          </w:p>
          <w:p w14:paraId="2DBA0870" w14:textId="0DC56FEF" w:rsidR="00A344AA" w:rsidRPr="00604294" w:rsidRDefault="00A344AA" w:rsidP="003A2647">
            <w:pPr>
              <w:spacing w:before="0" w:after="0"/>
              <w:ind w:left="108"/>
              <w:rPr>
                <w:rFonts w:ascii="Times New Roman" w:hAnsi="Times New Roman"/>
                <w:color w:val="000000"/>
                <w:szCs w:val="20"/>
              </w:rPr>
            </w:pPr>
            <w:r w:rsidRPr="00604294">
              <w:rPr>
                <w:rFonts w:ascii="Times New Roman" w:hAnsi="Times New Roman"/>
                <w:b/>
                <w:color w:val="000000"/>
              </w:rPr>
              <w:t>ABS</w:t>
            </w:r>
            <w:r w:rsidRPr="00604294">
              <w:rPr>
                <w:rFonts w:ascii="Times New Roman" w:hAnsi="Times New Roman"/>
                <w:color w:val="000000"/>
              </w:rPr>
              <w:t xml:space="preserve"> (</w:t>
            </w:r>
            <w:r w:rsidRPr="00604294">
              <w:rPr>
                <w:rFonts w:ascii="Times New Roman" w:hAnsi="Times New Roman"/>
                <w:i/>
                <w:iCs/>
                <w:color w:val="000000"/>
              </w:rPr>
              <w:t>funding obtained from asset backed security issuance including asset backed commercial paper</w:t>
            </w:r>
            <w:r w:rsidRPr="00604294">
              <w:rPr>
                <w:rFonts w:ascii="Times New Roman" w:hAnsi="Times New Roman"/>
                <w:color w:val="000000"/>
              </w:rPr>
              <w:t xml:space="preserve"> – finansowanie uzyskane</w:t>
            </w:r>
            <w:r w:rsidR="00604294" w:rsidRPr="00604294">
              <w:rPr>
                <w:rFonts w:ascii="Times New Roman" w:hAnsi="Times New Roman"/>
                <w:color w:val="000000"/>
              </w:rPr>
              <w:t xml:space="preserve"> z</w:t>
            </w:r>
            <w:r w:rsidR="00604294">
              <w:rPr>
                <w:rFonts w:ascii="Times New Roman" w:hAnsi="Times New Roman"/>
                <w:color w:val="000000"/>
              </w:rPr>
              <w:t> </w:t>
            </w:r>
            <w:r w:rsidR="00604294" w:rsidRPr="00604294">
              <w:rPr>
                <w:rFonts w:ascii="Times New Roman" w:hAnsi="Times New Roman"/>
                <w:color w:val="000000"/>
              </w:rPr>
              <w:t>emi</w:t>
            </w:r>
            <w:r w:rsidRPr="00604294">
              <w:rPr>
                <w:rFonts w:ascii="Times New Roman" w:hAnsi="Times New Roman"/>
                <w:color w:val="000000"/>
              </w:rPr>
              <w:t xml:space="preserve">sji papierów wartościowych </w:t>
            </w:r>
            <w:r w:rsidRPr="00604294">
              <w:rPr>
                <w:rFonts w:ascii="Times New Roman" w:hAnsi="Times New Roman"/>
                <w:color w:val="000000"/>
              </w:rPr>
              <w:lastRenderedPageBreak/>
              <w:t>zabezpieczonych aktywami,</w:t>
            </w:r>
            <w:r w:rsidR="00604294" w:rsidRPr="00604294">
              <w:rPr>
                <w:rFonts w:ascii="Times New Roman" w:hAnsi="Times New Roman"/>
                <w:color w:val="000000"/>
              </w:rPr>
              <w:t xml:space="preserve"> w</w:t>
            </w:r>
            <w:r w:rsidR="00604294">
              <w:rPr>
                <w:rFonts w:ascii="Times New Roman" w:hAnsi="Times New Roman"/>
                <w:color w:val="000000"/>
              </w:rPr>
              <w:t> </w:t>
            </w:r>
            <w:r w:rsidR="00604294" w:rsidRPr="00604294">
              <w:rPr>
                <w:rFonts w:ascii="Times New Roman" w:hAnsi="Times New Roman"/>
                <w:color w:val="000000"/>
              </w:rPr>
              <w:t>tym</w:t>
            </w:r>
            <w:r w:rsidRPr="00604294">
              <w:rPr>
                <w:rFonts w:ascii="Times New Roman" w:hAnsi="Times New Roman"/>
                <w:color w:val="000000"/>
              </w:rPr>
              <w:t xml:space="preserve"> papierów dłużnych przedsiębiorstw zabezpieczonych aktywami)</w:t>
            </w:r>
          </w:p>
          <w:p w14:paraId="49DC5CAE" w14:textId="46B6D398" w:rsidR="00E272B2" w:rsidRPr="00604294" w:rsidRDefault="00E272B2" w:rsidP="003A2647">
            <w:pPr>
              <w:spacing w:before="0" w:after="0"/>
              <w:ind w:left="108"/>
              <w:rPr>
                <w:rFonts w:ascii="Times New Roman" w:hAnsi="Times New Roman"/>
                <w:color w:val="000000"/>
                <w:szCs w:val="20"/>
                <w:lang w:eastAsia="en-GB"/>
              </w:rPr>
            </w:pPr>
          </w:p>
          <w:p w14:paraId="6EE0437C" w14:textId="5F4E41FC" w:rsidR="00E272B2" w:rsidRPr="00604294" w:rsidRDefault="00E272B2" w:rsidP="003A2647">
            <w:pPr>
              <w:spacing w:before="0" w:after="0"/>
              <w:ind w:left="108"/>
              <w:rPr>
                <w:rFonts w:ascii="Times New Roman" w:hAnsi="Times New Roman"/>
                <w:color w:val="000000"/>
                <w:szCs w:val="20"/>
              </w:rPr>
            </w:pPr>
            <w:r w:rsidRPr="00604294">
              <w:rPr>
                <w:rFonts w:ascii="Times New Roman" w:hAnsi="Times New Roman"/>
                <w:b/>
                <w:color w:val="000000"/>
              </w:rPr>
              <w:t>CBM</w:t>
            </w:r>
            <w:r w:rsidRPr="00604294">
              <w:rPr>
                <w:rFonts w:ascii="Times New Roman" w:hAnsi="Times New Roman"/>
                <w:color w:val="000000"/>
              </w:rPr>
              <w:t xml:space="preserve"> (</w:t>
            </w:r>
            <w:r w:rsidRPr="00604294">
              <w:rPr>
                <w:rFonts w:ascii="Times New Roman" w:hAnsi="Times New Roman"/>
                <w:i/>
                <w:iCs/>
                <w:color w:val="000000"/>
              </w:rPr>
              <w:t>central bank funding related to monetary policy operations</w:t>
            </w:r>
            <w:r w:rsidRPr="00604294">
              <w:rPr>
                <w:rFonts w:ascii="Times New Roman" w:hAnsi="Times New Roman"/>
                <w:color w:val="000000"/>
              </w:rPr>
              <w:t xml:space="preserve"> – finansowanie przez bank centralny związane</w:t>
            </w:r>
            <w:r w:rsidR="00604294" w:rsidRPr="00604294">
              <w:rPr>
                <w:rFonts w:ascii="Times New Roman" w:hAnsi="Times New Roman"/>
                <w:color w:val="000000"/>
              </w:rPr>
              <w:t xml:space="preserve"> z</w:t>
            </w:r>
            <w:r w:rsidR="00604294">
              <w:rPr>
                <w:rFonts w:ascii="Times New Roman" w:hAnsi="Times New Roman"/>
                <w:color w:val="000000"/>
              </w:rPr>
              <w:t> </w:t>
            </w:r>
            <w:r w:rsidR="00604294" w:rsidRPr="00604294">
              <w:rPr>
                <w:rFonts w:ascii="Times New Roman" w:hAnsi="Times New Roman"/>
                <w:color w:val="000000"/>
              </w:rPr>
              <w:t>ope</w:t>
            </w:r>
            <w:r w:rsidRPr="00604294">
              <w:rPr>
                <w:rFonts w:ascii="Times New Roman" w:hAnsi="Times New Roman"/>
                <w:color w:val="000000"/>
              </w:rPr>
              <w:t>racjami polityki pieniężnej)</w:t>
            </w:r>
          </w:p>
          <w:p w14:paraId="54E284FB" w14:textId="77777777" w:rsidR="00A344AA" w:rsidRPr="00604294" w:rsidRDefault="00A344AA" w:rsidP="003A2647">
            <w:pPr>
              <w:spacing w:before="0" w:after="0"/>
              <w:ind w:left="108"/>
              <w:rPr>
                <w:rFonts w:ascii="Times New Roman" w:hAnsi="Times New Roman"/>
                <w:color w:val="000000"/>
                <w:szCs w:val="20"/>
                <w:lang w:eastAsia="en-GB"/>
              </w:rPr>
            </w:pPr>
          </w:p>
          <w:p w14:paraId="195FF68E" w14:textId="2127EB17" w:rsidR="00F7385A" w:rsidRPr="00604294" w:rsidRDefault="00F7385A" w:rsidP="003A2647">
            <w:pPr>
              <w:spacing w:before="0" w:after="0"/>
              <w:ind w:left="108"/>
              <w:rPr>
                <w:rFonts w:ascii="Times New Roman" w:hAnsi="Times New Roman"/>
                <w:b/>
                <w:color w:val="000000"/>
                <w:szCs w:val="20"/>
              </w:rPr>
            </w:pPr>
            <w:r w:rsidRPr="00604294">
              <w:rPr>
                <w:rFonts w:ascii="Times New Roman" w:hAnsi="Times New Roman"/>
                <w:b/>
                <w:color w:val="000000"/>
              </w:rPr>
              <w:t>IGUWF</w:t>
            </w:r>
            <w:r w:rsidRPr="00604294">
              <w:rPr>
                <w:rFonts w:ascii="Times New Roman" w:hAnsi="Times New Roman"/>
                <w:color w:val="000000"/>
              </w:rPr>
              <w:t xml:space="preserve"> (</w:t>
            </w:r>
            <w:r w:rsidRPr="00604294">
              <w:rPr>
                <w:rFonts w:ascii="Times New Roman" w:hAnsi="Times New Roman"/>
                <w:i/>
                <w:iCs/>
                <w:color w:val="000000"/>
              </w:rPr>
              <w:t>unsecured wholesale funding obtained from intragroup counterparties</w:t>
            </w:r>
            <w:r w:rsidRPr="00604294">
              <w:rPr>
                <w:rFonts w:ascii="Times New Roman" w:hAnsi="Times New Roman"/>
                <w:color w:val="000000"/>
              </w:rPr>
              <w:t xml:space="preserve"> – niezabezpieczone finansowanie hurtowe uzyskane od kontrahentów wchodzących</w:t>
            </w:r>
            <w:r w:rsidR="00604294" w:rsidRPr="00604294">
              <w:rPr>
                <w:rFonts w:ascii="Times New Roman" w:hAnsi="Times New Roman"/>
                <w:color w:val="000000"/>
              </w:rPr>
              <w:t xml:space="preserve"> w</w:t>
            </w:r>
            <w:r w:rsidR="00604294">
              <w:rPr>
                <w:rFonts w:ascii="Times New Roman" w:hAnsi="Times New Roman"/>
                <w:color w:val="000000"/>
              </w:rPr>
              <w:t> </w:t>
            </w:r>
            <w:r w:rsidR="00604294" w:rsidRPr="00604294">
              <w:rPr>
                <w:rFonts w:ascii="Times New Roman" w:hAnsi="Times New Roman"/>
                <w:color w:val="000000"/>
              </w:rPr>
              <w:t>skł</w:t>
            </w:r>
            <w:r w:rsidRPr="00604294">
              <w:rPr>
                <w:rFonts w:ascii="Times New Roman" w:hAnsi="Times New Roman"/>
                <w:color w:val="000000"/>
              </w:rPr>
              <w:t>ad grupy)</w:t>
            </w:r>
          </w:p>
          <w:p w14:paraId="5C6BB4C4" w14:textId="4AEDC99B" w:rsidR="00F7385A" w:rsidRPr="00604294" w:rsidRDefault="00F7385A" w:rsidP="003A2647">
            <w:pPr>
              <w:spacing w:before="0" w:after="0"/>
              <w:ind w:left="108"/>
              <w:rPr>
                <w:rFonts w:ascii="Times New Roman" w:hAnsi="Times New Roman"/>
                <w:b/>
                <w:color w:val="000000"/>
                <w:szCs w:val="20"/>
                <w:lang w:eastAsia="en-GB"/>
              </w:rPr>
            </w:pPr>
          </w:p>
          <w:p w14:paraId="1F5C23B7" w14:textId="30A5AA69" w:rsidR="00F7385A" w:rsidRPr="00604294" w:rsidRDefault="00F7385A" w:rsidP="003A2647">
            <w:pPr>
              <w:spacing w:before="0" w:after="0"/>
              <w:ind w:left="108"/>
              <w:rPr>
                <w:rFonts w:ascii="Times New Roman" w:hAnsi="Times New Roman"/>
                <w:b/>
                <w:color w:val="000000"/>
                <w:szCs w:val="20"/>
              </w:rPr>
            </w:pPr>
            <w:r w:rsidRPr="00604294">
              <w:rPr>
                <w:rFonts w:ascii="Times New Roman" w:hAnsi="Times New Roman"/>
                <w:b/>
                <w:color w:val="000000"/>
              </w:rPr>
              <w:t>IGSWF</w:t>
            </w:r>
            <w:r w:rsidRPr="00604294">
              <w:rPr>
                <w:rFonts w:ascii="Times New Roman" w:hAnsi="Times New Roman"/>
                <w:color w:val="000000"/>
              </w:rPr>
              <w:t xml:space="preserve"> (</w:t>
            </w:r>
            <w:r w:rsidRPr="00604294">
              <w:rPr>
                <w:rFonts w:ascii="Times New Roman" w:hAnsi="Times New Roman"/>
                <w:i/>
                <w:iCs/>
                <w:color w:val="000000"/>
              </w:rPr>
              <w:t>secured wholesale funding obtained from intragroup counterparties</w:t>
            </w:r>
            <w:r w:rsidRPr="00604294">
              <w:rPr>
                <w:rFonts w:ascii="Times New Roman" w:hAnsi="Times New Roman"/>
                <w:color w:val="000000"/>
              </w:rPr>
              <w:t xml:space="preserve"> – zabezpieczone finansowanie hurtowe uzyskane od kontrahentów wchodzących</w:t>
            </w:r>
            <w:r w:rsidR="00604294" w:rsidRPr="00604294">
              <w:rPr>
                <w:rFonts w:ascii="Times New Roman" w:hAnsi="Times New Roman"/>
                <w:color w:val="000000"/>
              </w:rPr>
              <w:t xml:space="preserve"> w</w:t>
            </w:r>
            <w:r w:rsidR="00604294">
              <w:rPr>
                <w:rFonts w:ascii="Times New Roman" w:hAnsi="Times New Roman"/>
                <w:color w:val="000000"/>
              </w:rPr>
              <w:t> </w:t>
            </w:r>
            <w:r w:rsidR="00604294" w:rsidRPr="00604294">
              <w:rPr>
                <w:rFonts w:ascii="Times New Roman" w:hAnsi="Times New Roman"/>
                <w:color w:val="000000"/>
              </w:rPr>
              <w:t>skł</w:t>
            </w:r>
            <w:r w:rsidRPr="00604294">
              <w:rPr>
                <w:rFonts w:ascii="Times New Roman" w:hAnsi="Times New Roman"/>
                <w:color w:val="000000"/>
              </w:rPr>
              <w:t>ad grupy)</w:t>
            </w:r>
          </w:p>
          <w:p w14:paraId="5F469B51" w14:textId="77777777" w:rsidR="00F7385A" w:rsidRPr="00604294" w:rsidRDefault="00F7385A" w:rsidP="003A2647">
            <w:pPr>
              <w:spacing w:before="0" w:after="0"/>
              <w:ind w:left="108"/>
              <w:rPr>
                <w:rFonts w:ascii="Times New Roman" w:hAnsi="Times New Roman"/>
                <w:b/>
                <w:color w:val="000000"/>
                <w:szCs w:val="20"/>
                <w:lang w:eastAsia="en-GB"/>
              </w:rPr>
            </w:pPr>
          </w:p>
          <w:p w14:paraId="59575FF6" w14:textId="77777777" w:rsidR="00A344AA" w:rsidRPr="00604294" w:rsidRDefault="00A344AA" w:rsidP="003A2647">
            <w:pPr>
              <w:spacing w:before="0" w:after="0"/>
              <w:ind w:left="108"/>
              <w:rPr>
                <w:rFonts w:ascii="Times New Roman" w:hAnsi="Times New Roman"/>
                <w:color w:val="000000"/>
                <w:szCs w:val="20"/>
                <w:lang w:eastAsia="en-GB"/>
              </w:rPr>
            </w:pPr>
          </w:p>
          <w:p w14:paraId="0809393C" w14:textId="77777777" w:rsidR="00A344AA" w:rsidRPr="00604294" w:rsidRDefault="00A344AA" w:rsidP="003A2647">
            <w:pPr>
              <w:spacing w:before="0" w:after="0"/>
              <w:ind w:left="108"/>
              <w:rPr>
                <w:rFonts w:ascii="Times New Roman" w:hAnsi="Times New Roman"/>
                <w:color w:val="000000"/>
                <w:szCs w:val="20"/>
              </w:rPr>
            </w:pPr>
            <w:r w:rsidRPr="00604294">
              <w:rPr>
                <w:rFonts w:ascii="Times New Roman" w:hAnsi="Times New Roman"/>
                <w:b/>
                <w:color w:val="000000"/>
              </w:rPr>
              <w:t>OSWF</w:t>
            </w:r>
            <w:r w:rsidRPr="00604294">
              <w:rPr>
                <w:rFonts w:ascii="Times New Roman" w:hAnsi="Times New Roman"/>
                <w:color w:val="000000"/>
              </w:rPr>
              <w:t xml:space="preserve"> (</w:t>
            </w:r>
            <w:r w:rsidRPr="00604294">
              <w:rPr>
                <w:rFonts w:ascii="Times New Roman" w:hAnsi="Times New Roman"/>
                <w:i/>
                <w:iCs/>
                <w:color w:val="000000"/>
              </w:rPr>
              <w:t>other secured wholesale funding</w:t>
            </w:r>
            <w:r w:rsidRPr="00604294">
              <w:rPr>
                <w:rFonts w:ascii="Times New Roman" w:hAnsi="Times New Roman"/>
                <w:color w:val="000000"/>
              </w:rPr>
              <w:t xml:space="preserve"> – inne zabezpieczone finansowanie hurtowe)</w:t>
            </w:r>
          </w:p>
          <w:p w14:paraId="64E5769B" w14:textId="77777777" w:rsidR="00A344AA" w:rsidRPr="00604294" w:rsidRDefault="00A344AA" w:rsidP="003A2647">
            <w:pPr>
              <w:spacing w:before="0" w:after="0"/>
              <w:ind w:left="108"/>
              <w:rPr>
                <w:rFonts w:ascii="Times New Roman" w:hAnsi="Times New Roman"/>
                <w:color w:val="000000"/>
                <w:szCs w:val="20"/>
                <w:lang w:eastAsia="en-GB"/>
              </w:rPr>
            </w:pPr>
          </w:p>
          <w:p w14:paraId="520400E8" w14:textId="25BE2DB2" w:rsidR="00A344AA" w:rsidRPr="00604294" w:rsidRDefault="00A344AA" w:rsidP="003A2647">
            <w:pPr>
              <w:spacing w:before="0" w:after="0"/>
              <w:ind w:left="108"/>
              <w:rPr>
                <w:rFonts w:ascii="Times New Roman" w:hAnsi="Times New Roman"/>
                <w:color w:val="000000"/>
                <w:szCs w:val="20"/>
              </w:rPr>
            </w:pPr>
            <w:r w:rsidRPr="00604294">
              <w:rPr>
                <w:rFonts w:ascii="Times New Roman" w:hAnsi="Times New Roman"/>
                <w:b/>
                <w:color w:val="000000"/>
              </w:rPr>
              <w:t>OFP</w:t>
            </w:r>
            <w:r w:rsidRPr="00604294">
              <w:rPr>
                <w:rFonts w:ascii="Times New Roman" w:hAnsi="Times New Roman"/>
                <w:color w:val="000000"/>
              </w:rPr>
              <w:t xml:space="preserve"> (</w:t>
            </w:r>
            <w:r w:rsidRPr="00604294">
              <w:rPr>
                <w:rFonts w:ascii="Times New Roman" w:hAnsi="Times New Roman"/>
                <w:i/>
                <w:iCs/>
                <w:color w:val="000000"/>
              </w:rPr>
              <w:t>other funding products, e.g. retail funding</w:t>
            </w:r>
            <w:r w:rsidRPr="00604294">
              <w:rPr>
                <w:rFonts w:ascii="Times New Roman" w:hAnsi="Times New Roman"/>
                <w:color w:val="000000"/>
              </w:rPr>
              <w:t xml:space="preserve"> – inne produkty</w:t>
            </w:r>
            <w:r w:rsidR="00604294" w:rsidRPr="00604294">
              <w:rPr>
                <w:rFonts w:ascii="Times New Roman" w:hAnsi="Times New Roman"/>
                <w:color w:val="000000"/>
              </w:rPr>
              <w:t xml:space="preserve"> z</w:t>
            </w:r>
            <w:r w:rsidR="00604294">
              <w:rPr>
                <w:rFonts w:ascii="Times New Roman" w:hAnsi="Times New Roman"/>
                <w:color w:val="000000"/>
              </w:rPr>
              <w:t> </w:t>
            </w:r>
            <w:r w:rsidR="00604294" w:rsidRPr="00604294">
              <w:rPr>
                <w:rFonts w:ascii="Times New Roman" w:hAnsi="Times New Roman"/>
                <w:color w:val="000000"/>
              </w:rPr>
              <w:t>zak</w:t>
            </w:r>
            <w:r w:rsidRPr="00604294">
              <w:rPr>
                <w:rFonts w:ascii="Times New Roman" w:hAnsi="Times New Roman"/>
                <w:color w:val="000000"/>
              </w:rPr>
              <w:t>resu finansowania, np. finansowanie detaliczne)</w:t>
            </w:r>
          </w:p>
          <w:p w14:paraId="7EA3B3FF" w14:textId="77777777" w:rsidR="00A344AA" w:rsidRPr="00604294" w:rsidRDefault="00A344AA" w:rsidP="008E720B">
            <w:pPr>
              <w:spacing w:before="0" w:after="0"/>
              <w:rPr>
                <w:rFonts w:ascii="Times New Roman" w:hAnsi="Times New Roman"/>
                <w:b/>
                <w:szCs w:val="20"/>
                <w:u w:val="single"/>
                <w:lang w:eastAsia="en-GB"/>
              </w:rPr>
            </w:pPr>
          </w:p>
        </w:tc>
      </w:tr>
      <w:tr w:rsidR="00A344AA" w:rsidRPr="00604294" w14:paraId="5F88F47E" w14:textId="77777777" w:rsidTr="003D0976">
        <w:trPr>
          <w:trHeight w:val="510"/>
        </w:trPr>
        <w:tc>
          <w:tcPr>
            <w:tcW w:w="729" w:type="pct"/>
            <w:shd w:val="clear" w:color="auto" w:fill="auto"/>
            <w:noWrap/>
          </w:tcPr>
          <w:p w14:paraId="6C7A5E49" w14:textId="77705D92" w:rsidR="00A344AA" w:rsidRPr="00604294" w:rsidRDefault="00A344AA" w:rsidP="000B288B">
            <w:pPr>
              <w:spacing w:before="0" w:after="0"/>
              <w:jc w:val="left"/>
              <w:rPr>
                <w:rFonts w:ascii="Times New Roman" w:hAnsi="Times New Roman"/>
                <w:color w:val="000000"/>
                <w:szCs w:val="20"/>
              </w:rPr>
            </w:pPr>
            <w:r w:rsidRPr="00604294">
              <w:rPr>
                <w:rFonts w:ascii="Times New Roman" w:hAnsi="Times New Roman"/>
                <w:color w:val="000000"/>
              </w:rPr>
              <w:lastRenderedPageBreak/>
              <w:t>0060</w:t>
            </w:r>
          </w:p>
        </w:tc>
        <w:tc>
          <w:tcPr>
            <w:tcW w:w="4271" w:type="pct"/>
            <w:gridSpan w:val="2"/>
            <w:tcBorders>
              <w:top w:val="single" w:sz="4" w:space="0" w:color="auto"/>
            </w:tcBorders>
            <w:shd w:val="clear" w:color="auto" w:fill="auto"/>
          </w:tcPr>
          <w:p w14:paraId="2D80056A" w14:textId="77777777" w:rsidR="00A344AA" w:rsidRPr="00604294" w:rsidRDefault="00A344AA" w:rsidP="003A2647">
            <w:pPr>
              <w:spacing w:before="0" w:after="0"/>
              <w:rPr>
                <w:rFonts w:ascii="Times New Roman" w:hAnsi="Times New Roman"/>
                <w:b/>
                <w:szCs w:val="20"/>
                <w:u w:val="single"/>
              </w:rPr>
            </w:pPr>
            <w:r w:rsidRPr="00604294">
              <w:rPr>
                <w:rFonts w:ascii="Times New Roman" w:hAnsi="Times New Roman"/>
                <w:b/>
                <w:u w:val="single"/>
              </w:rPr>
              <w:t>Otrzymana kwota</w:t>
            </w:r>
          </w:p>
          <w:p w14:paraId="235C86C1" w14:textId="77777777" w:rsidR="00A344AA" w:rsidRPr="00604294" w:rsidRDefault="00A344AA" w:rsidP="003A2647">
            <w:pPr>
              <w:spacing w:before="0" w:after="0"/>
              <w:rPr>
                <w:rFonts w:ascii="Times New Roman" w:hAnsi="Times New Roman"/>
                <w:b/>
                <w:szCs w:val="20"/>
                <w:u w:val="single"/>
                <w:lang w:eastAsia="en-GB"/>
              </w:rPr>
            </w:pPr>
          </w:p>
          <w:p w14:paraId="2FAA6C63" w14:textId="33804A6C" w:rsidR="00A344AA" w:rsidRPr="00604294" w:rsidRDefault="00A344AA" w:rsidP="00763448">
            <w:pPr>
              <w:spacing w:before="0" w:after="0"/>
              <w:rPr>
                <w:rFonts w:ascii="Times New Roman" w:hAnsi="Times New Roman"/>
                <w:szCs w:val="20"/>
              </w:rPr>
            </w:pPr>
            <w:r w:rsidRPr="00604294">
              <w:rPr>
                <w:rFonts w:ascii="Times New Roman" w:hAnsi="Times New Roman"/>
              </w:rPr>
              <w:t>W kolumnie 0060 zgłaszana jest całkowita kwota finansowania otrzymanego od kontrahentów zgłoszonych</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 xml:space="preserve">umnie 0010; instytucje zgłaszają wartości bilansowe. </w:t>
            </w:r>
          </w:p>
          <w:p w14:paraId="380CD660" w14:textId="77777777" w:rsidR="00A344AA" w:rsidRPr="00604294" w:rsidRDefault="00A344AA" w:rsidP="00831507">
            <w:pPr>
              <w:spacing w:before="0" w:after="0"/>
              <w:jc w:val="center"/>
              <w:rPr>
                <w:rFonts w:ascii="Times New Roman" w:hAnsi="Times New Roman"/>
                <w:b/>
                <w:szCs w:val="20"/>
                <w:u w:val="single"/>
                <w:lang w:eastAsia="en-GB"/>
              </w:rPr>
            </w:pPr>
          </w:p>
        </w:tc>
      </w:tr>
      <w:tr w:rsidR="00A344AA" w:rsidRPr="00604294" w14:paraId="12BAF631" w14:textId="77777777" w:rsidTr="005B086D">
        <w:trPr>
          <w:trHeight w:val="2537"/>
        </w:trPr>
        <w:tc>
          <w:tcPr>
            <w:tcW w:w="729" w:type="pct"/>
            <w:shd w:val="clear" w:color="auto" w:fill="auto"/>
            <w:noWrap/>
          </w:tcPr>
          <w:p w14:paraId="24187AE3" w14:textId="56CE1847" w:rsidR="00A344AA" w:rsidRPr="00604294" w:rsidRDefault="00A344AA" w:rsidP="000B288B">
            <w:pPr>
              <w:spacing w:before="0" w:after="0"/>
              <w:jc w:val="left"/>
              <w:rPr>
                <w:rFonts w:ascii="Times New Roman" w:hAnsi="Times New Roman"/>
                <w:color w:val="000000"/>
                <w:szCs w:val="20"/>
              </w:rPr>
            </w:pPr>
            <w:r w:rsidRPr="00604294">
              <w:rPr>
                <w:rFonts w:ascii="Times New Roman" w:hAnsi="Times New Roman"/>
                <w:color w:val="000000"/>
              </w:rPr>
              <w:t>0070</w:t>
            </w:r>
          </w:p>
        </w:tc>
        <w:tc>
          <w:tcPr>
            <w:tcW w:w="4271" w:type="pct"/>
            <w:gridSpan w:val="2"/>
            <w:shd w:val="clear" w:color="auto" w:fill="auto"/>
          </w:tcPr>
          <w:p w14:paraId="5A2F2CA2" w14:textId="7DA0BFAE" w:rsidR="00A344AA" w:rsidRPr="00604294" w:rsidRDefault="00A344AA" w:rsidP="003A2647">
            <w:pPr>
              <w:spacing w:before="0" w:after="0"/>
              <w:rPr>
                <w:rFonts w:ascii="Times New Roman" w:hAnsi="Times New Roman"/>
                <w:b/>
                <w:szCs w:val="20"/>
                <w:u w:val="single"/>
              </w:rPr>
            </w:pPr>
            <w:r w:rsidRPr="00604294">
              <w:rPr>
                <w:rFonts w:ascii="Times New Roman" w:hAnsi="Times New Roman"/>
                <w:b/>
                <w:u w:val="single"/>
              </w:rPr>
              <w:t>Średni ważony pierwotny termin zapadalności</w:t>
            </w:r>
          </w:p>
          <w:p w14:paraId="5ED01858" w14:textId="77777777" w:rsidR="00A344AA" w:rsidRPr="00604294" w:rsidRDefault="00A344AA" w:rsidP="003A2647">
            <w:pPr>
              <w:spacing w:before="0" w:after="0"/>
              <w:rPr>
                <w:rFonts w:ascii="Times New Roman" w:hAnsi="Times New Roman"/>
                <w:b/>
                <w:szCs w:val="20"/>
                <w:u w:val="single"/>
                <w:lang w:eastAsia="en-GB"/>
              </w:rPr>
            </w:pPr>
          </w:p>
          <w:p w14:paraId="7042CB79" w14:textId="2A8DB3D7" w:rsidR="00A344AA" w:rsidRPr="00604294" w:rsidRDefault="00A344AA" w:rsidP="003A2647">
            <w:pPr>
              <w:spacing w:before="0" w:after="0"/>
              <w:rPr>
                <w:rFonts w:ascii="Times New Roman" w:hAnsi="Times New Roman"/>
                <w:szCs w:val="20"/>
              </w:rPr>
            </w:pPr>
            <w:r w:rsidRPr="00604294">
              <w:rPr>
                <w:rFonts w:ascii="Times New Roman" w:hAnsi="Times New Roman"/>
              </w:rPr>
              <w:t>W odniesieniu do kwoty otrzymanego finansowania zgłoszonego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0060, od kontrahenta zgłoszonego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0010,</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0070 zgłasza się średni ważony pierwotny termin zapadalności (w dniach) dla tego finansowania.</w:t>
            </w:r>
          </w:p>
          <w:p w14:paraId="4D84C330" w14:textId="77777777" w:rsidR="00A344AA" w:rsidRPr="00604294" w:rsidRDefault="00A344AA" w:rsidP="003A2647">
            <w:pPr>
              <w:spacing w:before="0" w:after="0"/>
              <w:rPr>
                <w:rFonts w:ascii="Times New Roman" w:hAnsi="Times New Roman"/>
                <w:szCs w:val="20"/>
                <w:lang w:eastAsia="en-GB"/>
              </w:rPr>
            </w:pPr>
          </w:p>
          <w:p w14:paraId="61704F47" w14:textId="6B10177D" w:rsidR="005B086D" w:rsidRPr="00604294" w:rsidRDefault="008563C0" w:rsidP="005B086D">
            <w:pPr>
              <w:spacing w:before="0" w:after="0"/>
              <w:rPr>
                <w:rFonts w:ascii="Times New Roman" w:hAnsi="Times New Roman"/>
                <w:szCs w:val="20"/>
              </w:rPr>
            </w:pPr>
            <w:r w:rsidRPr="00604294">
              <w:rPr>
                <w:rFonts w:ascii="Times New Roman" w:hAnsi="Times New Roman"/>
              </w:rPr>
              <w:t>Średni ważony pierwotny termin zapadalności oblicza się jako średni pierwotny termin zapadalności (w dniach) finansowania otrzymanego od danego kontrahenta. Ten średni termin zapadalności jest ważony wielkością, na podstawie wielkości różnych kwot otrzymanego finansowania</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sto</w:t>
            </w:r>
            <w:r w:rsidRPr="00604294">
              <w:rPr>
                <w:rFonts w:ascii="Times New Roman" w:hAnsi="Times New Roman"/>
              </w:rPr>
              <w:t>sunku do całkowitego finansowania otrzymanego od danego kontrahenta.</w:t>
            </w:r>
          </w:p>
          <w:p w14:paraId="1DDE8E57" w14:textId="77777777" w:rsidR="00381AA0" w:rsidRPr="00604294" w:rsidRDefault="00381AA0" w:rsidP="005B086D">
            <w:pPr>
              <w:spacing w:before="0" w:after="0"/>
              <w:rPr>
                <w:rFonts w:ascii="Times New Roman" w:hAnsi="Times New Roman"/>
                <w:szCs w:val="20"/>
                <w:lang w:eastAsia="en-GB"/>
              </w:rPr>
            </w:pPr>
          </w:p>
          <w:p w14:paraId="33D52360" w14:textId="60205C69" w:rsidR="00381AA0" w:rsidRPr="00604294" w:rsidRDefault="00381AA0" w:rsidP="009C2EFD">
            <w:pPr>
              <w:spacing w:before="0" w:after="0"/>
              <w:rPr>
                <w:rFonts w:ascii="Times New Roman" w:hAnsi="Times New Roman"/>
                <w:szCs w:val="20"/>
              </w:rPr>
            </w:pPr>
            <w:r w:rsidRPr="00604294">
              <w:rPr>
                <w:rFonts w:ascii="Times New Roman" w:hAnsi="Times New Roman"/>
              </w:rPr>
              <w:t>W przypadku zobowiązań bez określonego terminu zapadalności instytucje uwzględniają ustalony dwudziestoletni termin zapadalności</w:t>
            </w:r>
            <w:r w:rsidR="00604294" w:rsidRPr="00604294">
              <w:rPr>
                <w:rFonts w:ascii="Times New Roman" w:hAnsi="Times New Roman"/>
              </w:rPr>
              <w:t xml:space="preserve"> i</w:t>
            </w:r>
            <w:r w:rsidR="00604294">
              <w:rPr>
                <w:rFonts w:ascii="Times New Roman" w:hAnsi="Times New Roman"/>
              </w:rPr>
              <w:t> </w:t>
            </w:r>
            <w:r w:rsidR="00604294" w:rsidRPr="00604294">
              <w:rPr>
                <w:rFonts w:ascii="Times New Roman" w:hAnsi="Times New Roman"/>
              </w:rPr>
              <w:t>ter</w:t>
            </w:r>
            <w:r w:rsidRPr="00604294">
              <w:rPr>
                <w:rFonts w:ascii="Times New Roman" w:hAnsi="Times New Roman"/>
              </w:rPr>
              <w:t>min zapadalności wynoszący 1 dzień</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prz</w:t>
            </w:r>
            <w:r w:rsidRPr="00604294">
              <w:rPr>
                <w:rFonts w:ascii="Times New Roman" w:hAnsi="Times New Roman"/>
              </w:rPr>
              <w:t>ypadku depozytów płatnych na żądanie.</w:t>
            </w:r>
          </w:p>
        </w:tc>
      </w:tr>
      <w:tr w:rsidR="00A344AA" w:rsidRPr="00604294" w14:paraId="3227884A" w14:textId="77777777" w:rsidTr="005B086D">
        <w:trPr>
          <w:trHeight w:val="460"/>
        </w:trPr>
        <w:tc>
          <w:tcPr>
            <w:tcW w:w="729" w:type="pct"/>
            <w:tcBorders>
              <w:bottom w:val="single" w:sz="4" w:space="0" w:color="auto"/>
            </w:tcBorders>
            <w:shd w:val="clear" w:color="auto" w:fill="auto"/>
            <w:noWrap/>
          </w:tcPr>
          <w:p w14:paraId="298360E3" w14:textId="16A27D44" w:rsidR="00A344AA" w:rsidRPr="00604294" w:rsidRDefault="00A344AA" w:rsidP="000B288B">
            <w:pPr>
              <w:spacing w:before="0" w:after="0"/>
              <w:jc w:val="left"/>
              <w:rPr>
                <w:rFonts w:ascii="Times New Roman" w:hAnsi="Times New Roman"/>
                <w:color w:val="000000"/>
                <w:szCs w:val="20"/>
              </w:rPr>
            </w:pPr>
            <w:r w:rsidRPr="00604294">
              <w:rPr>
                <w:rFonts w:ascii="Times New Roman" w:hAnsi="Times New Roman"/>
                <w:color w:val="000000"/>
              </w:rPr>
              <w:t>0080</w:t>
            </w:r>
          </w:p>
        </w:tc>
        <w:tc>
          <w:tcPr>
            <w:tcW w:w="4271" w:type="pct"/>
            <w:gridSpan w:val="2"/>
            <w:tcBorders>
              <w:bottom w:val="single" w:sz="4" w:space="0" w:color="auto"/>
            </w:tcBorders>
            <w:shd w:val="clear" w:color="auto" w:fill="auto"/>
          </w:tcPr>
          <w:p w14:paraId="3028A8F3" w14:textId="77777777" w:rsidR="00A344AA" w:rsidRPr="00604294" w:rsidRDefault="00A344AA" w:rsidP="003A2647">
            <w:pPr>
              <w:spacing w:before="0" w:after="0"/>
              <w:rPr>
                <w:rFonts w:ascii="Times New Roman" w:hAnsi="Times New Roman"/>
                <w:b/>
                <w:szCs w:val="20"/>
                <w:u w:val="single"/>
              </w:rPr>
            </w:pPr>
            <w:r w:rsidRPr="00604294">
              <w:rPr>
                <w:rFonts w:ascii="Times New Roman" w:hAnsi="Times New Roman"/>
                <w:b/>
                <w:u w:val="single"/>
              </w:rPr>
              <w:t>Średni ważony rezydualny termin zapadalności</w:t>
            </w:r>
          </w:p>
          <w:p w14:paraId="22E64CDE" w14:textId="77777777" w:rsidR="00A344AA" w:rsidRPr="00604294" w:rsidRDefault="00A344AA" w:rsidP="003A2647">
            <w:pPr>
              <w:spacing w:before="0" w:after="0"/>
              <w:rPr>
                <w:rFonts w:ascii="Times New Roman" w:hAnsi="Times New Roman"/>
                <w:b/>
                <w:szCs w:val="20"/>
                <w:u w:val="single"/>
                <w:lang w:eastAsia="en-GB"/>
              </w:rPr>
            </w:pPr>
          </w:p>
          <w:p w14:paraId="781FAB46" w14:textId="10F7775D" w:rsidR="00A344AA" w:rsidRPr="00604294" w:rsidRDefault="00A344AA" w:rsidP="003A2647">
            <w:pPr>
              <w:spacing w:before="0" w:after="0"/>
              <w:rPr>
                <w:rFonts w:ascii="Times New Roman" w:hAnsi="Times New Roman"/>
                <w:szCs w:val="20"/>
              </w:rPr>
            </w:pPr>
            <w:r w:rsidRPr="00604294">
              <w:rPr>
                <w:rFonts w:ascii="Times New Roman" w:hAnsi="Times New Roman"/>
              </w:rPr>
              <w:t>W odniesieniu do kwoty otrzymanego finansowania zgłoszonego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0060, od kontrahenta zgłoszonego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0010,</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0080 zgłasza się średni ważony rezydualny termin zapadalności (w dniach) dla tego finansowania.</w:t>
            </w:r>
          </w:p>
          <w:p w14:paraId="71FA9955" w14:textId="77777777" w:rsidR="00A344AA" w:rsidRPr="00604294" w:rsidRDefault="00A344AA" w:rsidP="003A2647">
            <w:pPr>
              <w:spacing w:before="0" w:after="0"/>
              <w:rPr>
                <w:rFonts w:ascii="Times New Roman" w:hAnsi="Times New Roman"/>
                <w:szCs w:val="20"/>
                <w:lang w:eastAsia="en-GB"/>
              </w:rPr>
            </w:pPr>
          </w:p>
          <w:p w14:paraId="5C2654B2" w14:textId="03487B98" w:rsidR="00A344AA" w:rsidRPr="00604294" w:rsidRDefault="009C059B" w:rsidP="003A2647">
            <w:pPr>
              <w:spacing w:before="0" w:after="0"/>
              <w:rPr>
                <w:rFonts w:ascii="Times New Roman" w:hAnsi="Times New Roman"/>
                <w:szCs w:val="20"/>
              </w:rPr>
            </w:pPr>
            <w:r w:rsidRPr="00604294">
              <w:rPr>
                <w:rFonts w:ascii="Times New Roman" w:hAnsi="Times New Roman"/>
              </w:rPr>
              <w:t>Średni ważony rezydualny termin zapadalności oblicza się jako średni rezydualny termin zapadalności (w pozostających dniach) finansowania otrzymanego od danego kontrahenta. Ten średni termin zapadalności jest ważony wielkością, na podstawie wielkości różnych kwot otrzymanego finansowania</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sto</w:t>
            </w:r>
            <w:r w:rsidRPr="00604294">
              <w:rPr>
                <w:rFonts w:ascii="Times New Roman" w:hAnsi="Times New Roman"/>
              </w:rPr>
              <w:t>sunku do całkowitego finansowania otrzymanego od danego kontrahenta.</w:t>
            </w:r>
          </w:p>
          <w:p w14:paraId="0A2CCAEF" w14:textId="77777777" w:rsidR="00381AA0" w:rsidRPr="00604294" w:rsidRDefault="00381AA0" w:rsidP="003A2647">
            <w:pPr>
              <w:spacing w:before="0" w:after="0"/>
              <w:rPr>
                <w:rFonts w:ascii="Times New Roman" w:hAnsi="Times New Roman"/>
                <w:szCs w:val="20"/>
                <w:lang w:eastAsia="en-GB"/>
              </w:rPr>
            </w:pPr>
          </w:p>
          <w:p w14:paraId="4CB0B549" w14:textId="184AA175" w:rsidR="00381AA0" w:rsidRPr="00604294" w:rsidRDefault="00381AA0" w:rsidP="009C2EFD">
            <w:pPr>
              <w:spacing w:before="0" w:after="0"/>
              <w:rPr>
                <w:rFonts w:ascii="Times New Roman" w:hAnsi="Times New Roman"/>
                <w:szCs w:val="20"/>
              </w:rPr>
            </w:pPr>
            <w:r w:rsidRPr="00604294">
              <w:rPr>
                <w:rFonts w:ascii="Times New Roman" w:hAnsi="Times New Roman"/>
              </w:rPr>
              <w:t>W przypadku zobowiązań bez określonego terminu zapadalności instytucje uwzględniają ustalony dwudziestoletni termin zapadalności</w:t>
            </w:r>
            <w:r w:rsidR="00604294" w:rsidRPr="00604294">
              <w:rPr>
                <w:rFonts w:ascii="Times New Roman" w:hAnsi="Times New Roman"/>
              </w:rPr>
              <w:t xml:space="preserve"> i</w:t>
            </w:r>
            <w:r w:rsidR="00604294">
              <w:rPr>
                <w:rFonts w:ascii="Times New Roman" w:hAnsi="Times New Roman"/>
              </w:rPr>
              <w:t> </w:t>
            </w:r>
            <w:r w:rsidR="00604294" w:rsidRPr="00604294">
              <w:rPr>
                <w:rFonts w:ascii="Times New Roman" w:hAnsi="Times New Roman"/>
              </w:rPr>
              <w:t>ter</w:t>
            </w:r>
            <w:r w:rsidRPr="00604294">
              <w:rPr>
                <w:rFonts w:ascii="Times New Roman" w:hAnsi="Times New Roman"/>
              </w:rPr>
              <w:t>min zapadalności wynoszący 1 dzień</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prz</w:t>
            </w:r>
            <w:r w:rsidRPr="00604294">
              <w:rPr>
                <w:rFonts w:ascii="Times New Roman" w:hAnsi="Times New Roman"/>
              </w:rPr>
              <w:t>ypadku depozytów płatnych na żądanie.</w:t>
            </w:r>
          </w:p>
        </w:tc>
      </w:tr>
    </w:tbl>
    <w:p w14:paraId="0520EE98" w14:textId="77777777" w:rsidR="00A344AA" w:rsidRPr="00604294" w:rsidRDefault="00A344AA" w:rsidP="00A344AA">
      <w:pPr>
        <w:pStyle w:val="Instructionsberschrift2"/>
        <w:numPr>
          <w:ilvl w:val="1"/>
          <w:numId w:val="2"/>
        </w:numPr>
        <w:spacing w:before="0"/>
        <w:rPr>
          <w:rFonts w:ascii="Times New Roman" w:hAnsi="Times New Roman" w:cs="Times New Roman"/>
          <w:szCs w:val="20"/>
        </w:rPr>
      </w:pPr>
      <w:r w:rsidRPr="00604294">
        <w:rPr>
          <w:rFonts w:ascii="Times New Roman" w:hAnsi="Times New Roman"/>
        </w:rPr>
        <w:lastRenderedPageBreak/>
        <w:t>Koncentracja finansowania według rodzaju produktu (C 68.00)</w:t>
      </w:r>
    </w:p>
    <w:p w14:paraId="5B6DFC15" w14:textId="68B752DB" w:rsidR="00A344AA" w:rsidRPr="00604294" w:rsidRDefault="00A344AA" w:rsidP="00CC3091">
      <w:pPr>
        <w:pStyle w:val="InstructionsText2"/>
        <w:numPr>
          <w:ilvl w:val="0"/>
          <w:numId w:val="13"/>
        </w:numPr>
        <w:rPr>
          <w:u w:val="none"/>
        </w:rPr>
      </w:pPr>
      <w:r w:rsidRPr="00604294">
        <w:rPr>
          <w:u w:val="none"/>
        </w:rPr>
        <w:t>Wzór ten służy gromadzeniu informacji</w:t>
      </w:r>
      <w:r w:rsidR="00604294" w:rsidRPr="00604294">
        <w:rPr>
          <w:u w:val="none"/>
        </w:rPr>
        <w:t xml:space="preserve"> o</w:t>
      </w:r>
      <w:r w:rsidR="00604294">
        <w:rPr>
          <w:u w:val="none"/>
        </w:rPr>
        <w:t> </w:t>
      </w:r>
      <w:r w:rsidR="00604294" w:rsidRPr="00604294">
        <w:rPr>
          <w:u w:val="none"/>
        </w:rPr>
        <w:t>kon</w:t>
      </w:r>
      <w:r w:rsidRPr="00604294">
        <w:rPr>
          <w:u w:val="none"/>
        </w:rPr>
        <w:t>centracji finansowania instytucji sprawozdających według rodzaju produktu,</w:t>
      </w:r>
      <w:r w:rsidR="00604294" w:rsidRPr="00604294">
        <w:rPr>
          <w:u w:val="none"/>
        </w:rPr>
        <w:t xml:space="preserve"> w</w:t>
      </w:r>
      <w:r w:rsidR="00604294">
        <w:rPr>
          <w:u w:val="none"/>
        </w:rPr>
        <w:t> </w:t>
      </w:r>
      <w:r w:rsidR="00604294" w:rsidRPr="00604294">
        <w:rPr>
          <w:u w:val="none"/>
        </w:rPr>
        <w:t>pod</w:t>
      </w:r>
      <w:r w:rsidRPr="00604294">
        <w:rPr>
          <w:u w:val="none"/>
        </w:rPr>
        <w:t>ziale na rodzaje finansowania określone</w:t>
      </w:r>
      <w:r w:rsidR="00604294" w:rsidRPr="00604294">
        <w:rPr>
          <w:u w:val="none"/>
        </w:rPr>
        <w:t xml:space="preserve"> w</w:t>
      </w:r>
      <w:r w:rsidR="00604294">
        <w:rPr>
          <w:u w:val="none"/>
        </w:rPr>
        <w:t> </w:t>
      </w:r>
      <w:r w:rsidR="00604294" w:rsidRPr="00604294">
        <w:rPr>
          <w:u w:val="none"/>
        </w:rPr>
        <w:t>pon</w:t>
      </w:r>
      <w:r w:rsidRPr="00604294">
        <w:rPr>
          <w:u w:val="none"/>
        </w:rPr>
        <w:t>iższych instrukcjach dotyczących wierszy: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604294"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604294" w:rsidRDefault="003439C5" w:rsidP="00D75947">
            <w:pPr>
              <w:spacing w:before="0" w:after="0"/>
              <w:jc w:val="left"/>
              <w:rPr>
                <w:rStyle w:val="InstructionsTabelleText"/>
                <w:rFonts w:ascii="Times New Roman" w:hAnsi="Times New Roman"/>
                <w:szCs w:val="20"/>
              </w:rPr>
            </w:pPr>
            <w:r w:rsidRPr="00604294">
              <w:rPr>
                <w:rStyle w:val="InstructionsTabelleText"/>
                <w:rFonts w:ascii="Times New Roman" w:hAnsi="Times New Roman"/>
              </w:rPr>
              <w:t>Wiersz</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1BAD7558" w:rsidR="003439C5" w:rsidRPr="00604294" w:rsidRDefault="003439C5" w:rsidP="00D75947">
            <w:pPr>
              <w:spacing w:before="0" w:after="0"/>
              <w:jc w:val="left"/>
              <w:rPr>
                <w:rStyle w:val="InstructionsTabelleText"/>
                <w:rFonts w:ascii="Times New Roman" w:hAnsi="Times New Roman"/>
                <w:szCs w:val="20"/>
              </w:rPr>
            </w:pPr>
            <w:r w:rsidRPr="00604294">
              <w:rPr>
                <w:rStyle w:val="InstructionsTabelleText"/>
                <w:rFonts w:ascii="Times New Roman" w:hAnsi="Times New Roman"/>
              </w:rPr>
              <w:t>Odniesienia prawne</w:t>
            </w:r>
            <w:r w:rsidR="00604294" w:rsidRPr="00604294">
              <w:rPr>
                <w:rStyle w:val="InstructionsTabelleText"/>
                <w:rFonts w:ascii="Times New Roman" w:hAnsi="Times New Roman"/>
              </w:rPr>
              <w:t xml:space="preserve"> i</w:t>
            </w:r>
            <w:r w:rsidR="00604294">
              <w:rPr>
                <w:rStyle w:val="InstructionsTabelleText"/>
                <w:rFonts w:ascii="Times New Roman" w:hAnsi="Times New Roman"/>
              </w:rPr>
              <w:t> </w:t>
            </w:r>
            <w:r w:rsidR="00604294" w:rsidRPr="00604294">
              <w:rPr>
                <w:rStyle w:val="InstructionsTabelleText"/>
                <w:rFonts w:ascii="Times New Roman" w:hAnsi="Times New Roman"/>
              </w:rPr>
              <w:t>ins</w:t>
            </w:r>
            <w:r w:rsidRPr="00604294">
              <w:rPr>
                <w:rStyle w:val="InstructionsTabelleText"/>
                <w:rFonts w:ascii="Times New Roman" w:hAnsi="Times New Roman"/>
              </w:rPr>
              <w:t>trukcje</w:t>
            </w:r>
          </w:p>
        </w:tc>
      </w:tr>
      <w:tr w:rsidR="003439C5" w:rsidRPr="00604294"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4EF2990" w:rsidR="003439C5" w:rsidRPr="00604294" w:rsidRDefault="003439C5" w:rsidP="00D75947">
            <w:pPr>
              <w:spacing w:before="0" w:after="0"/>
              <w:jc w:val="left"/>
              <w:rPr>
                <w:rFonts w:ascii="Times New Roman" w:hAnsi="Times New Roman"/>
                <w:color w:val="000000"/>
                <w:szCs w:val="20"/>
              </w:rPr>
            </w:pPr>
            <w:r w:rsidRPr="00604294">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604294" w:rsidRDefault="003439C5" w:rsidP="00D75947">
            <w:pPr>
              <w:spacing w:before="0" w:after="0"/>
              <w:rPr>
                <w:rFonts w:ascii="Times New Roman" w:hAnsi="Times New Roman"/>
                <w:b/>
                <w:szCs w:val="20"/>
                <w:u w:val="single"/>
              </w:rPr>
            </w:pPr>
            <w:r w:rsidRPr="00604294">
              <w:rPr>
                <w:rFonts w:ascii="Times New Roman" w:hAnsi="Times New Roman"/>
                <w:b/>
                <w:u w:val="single"/>
              </w:rPr>
              <w:t>1.</w:t>
            </w:r>
            <w:r w:rsidRPr="00604294">
              <w:tab/>
            </w:r>
            <w:r w:rsidRPr="00604294">
              <w:rPr>
                <w:rFonts w:ascii="Times New Roman" w:hAnsi="Times New Roman"/>
                <w:b/>
                <w:u w:val="single"/>
              </w:rPr>
              <w:t>Finansowanie detaliczne</w:t>
            </w:r>
          </w:p>
          <w:p w14:paraId="7762E5FB" w14:textId="77777777" w:rsidR="003439C5" w:rsidRPr="00604294" w:rsidRDefault="003439C5" w:rsidP="00D75947">
            <w:pPr>
              <w:spacing w:before="0" w:after="0"/>
              <w:rPr>
                <w:rFonts w:ascii="Times New Roman" w:hAnsi="Times New Roman"/>
                <w:b/>
                <w:szCs w:val="20"/>
                <w:u w:val="single"/>
                <w:lang w:eastAsia="en-GB"/>
              </w:rPr>
            </w:pPr>
          </w:p>
          <w:p w14:paraId="281DC3E6" w14:textId="1704832C" w:rsidR="003439C5" w:rsidRPr="00604294" w:rsidRDefault="00E87A50" w:rsidP="00D75947">
            <w:pPr>
              <w:spacing w:before="0" w:after="0"/>
              <w:rPr>
                <w:szCs w:val="20"/>
              </w:rPr>
            </w:pPr>
            <w:r w:rsidRPr="00604294">
              <w:rPr>
                <w:rFonts w:ascii="Times New Roman" w:hAnsi="Times New Roman"/>
              </w:rPr>
              <w:t>Depozyty detaliczne zdefiniowane</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art</w:t>
            </w:r>
            <w:r w:rsidRPr="00604294">
              <w:rPr>
                <w:rFonts w:ascii="Times New Roman" w:hAnsi="Times New Roman"/>
              </w:rPr>
              <w:t>. 411 pkt</w:t>
            </w:r>
            <w:r w:rsidR="00604294" w:rsidRPr="00604294">
              <w:rPr>
                <w:rFonts w:ascii="Times New Roman" w:hAnsi="Times New Roman"/>
              </w:rPr>
              <w:t> </w:t>
            </w:r>
            <w:r w:rsidRPr="00604294">
              <w:rPr>
                <w:rFonts w:ascii="Times New Roman" w:hAnsi="Times New Roman"/>
              </w:rPr>
              <w:t>2 rozporządzenia (UE) nr</w:t>
            </w:r>
            <w:r w:rsidR="00604294" w:rsidRPr="00604294">
              <w:rPr>
                <w:rFonts w:ascii="Times New Roman" w:hAnsi="Times New Roman"/>
              </w:rPr>
              <w:t> </w:t>
            </w:r>
            <w:r w:rsidRPr="00604294">
              <w:rPr>
                <w:rFonts w:ascii="Times New Roman" w:hAnsi="Times New Roman"/>
              </w:rPr>
              <w:t>575/2013 oraz obligacje detaliczne,</w:t>
            </w:r>
            <w:r w:rsidR="00604294" w:rsidRPr="00604294">
              <w:rPr>
                <w:rFonts w:ascii="Times New Roman" w:hAnsi="Times New Roman"/>
              </w:rPr>
              <w:t xml:space="preserve"> o</w:t>
            </w:r>
            <w:r w:rsidR="00604294">
              <w:rPr>
                <w:rFonts w:ascii="Times New Roman" w:hAnsi="Times New Roman"/>
              </w:rPr>
              <w:t> </w:t>
            </w:r>
            <w:r w:rsidR="00604294" w:rsidRPr="00604294">
              <w:rPr>
                <w:rFonts w:ascii="Times New Roman" w:hAnsi="Times New Roman"/>
              </w:rPr>
              <w:t>któ</w:t>
            </w:r>
            <w:r w:rsidRPr="00604294">
              <w:rPr>
                <w:rFonts w:ascii="Times New Roman" w:hAnsi="Times New Roman"/>
              </w:rPr>
              <w:t>rych mowa</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art</w:t>
            </w:r>
            <w:r w:rsidRPr="00604294">
              <w:rPr>
                <w:rFonts w:ascii="Times New Roman" w:hAnsi="Times New Roman"/>
              </w:rPr>
              <w:t>. 28 ust. 6 rozporządzenia delegowanego Komisji (UE) 2015/61.</w:t>
            </w:r>
          </w:p>
          <w:p w14:paraId="18F10FD2" w14:textId="77777777" w:rsidR="003439C5" w:rsidRPr="00604294" w:rsidRDefault="003439C5" w:rsidP="00D75947">
            <w:pPr>
              <w:spacing w:before="0" w:after="0"/>
              <w:rPr>
                <w:rFonts w:ascii="Times New Roman" w:hAnsi="Times New Roman"/>
                <w:b/>
                <w:szCs w:val="20"/>
                <w:u w:val="single"/>
                <w:lang w:eastAsia="en-GB"/>
              </w:rPr>
            </w:pPr>
          </w:p>
        </w:tc>
      </w:tr>
      <w:tr w:rsidR="003439C5" w:rsidRPr="00604294"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4372E3C7" w:rsidR="003439C5" w:rsidRPr="00604294" w:rsidRDefault="003439C5" w:rsidP="00D75947">
            <w:pPr>
              <w:spacing w:before="0" w:after="0"/>
              <w:jc w:val="left"/>
              <w:rPr>
                <w:rFonts w:ascii="Times New Roman" w:hAnsi="Times New Roman"/>
                <w:color w:val="000000"/>
                <w:szCs w:val="20"/>
              </w:rPr>
            </w:pPr>
            <w:r w:rsidRPr="00604294">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604294" w:rsidRDefault="00F40FD4" w:rsidP="003439C5">
            <w:pPr>
              <w:spacing w:before="0" w:after="0"/>
              <w:rPr>
                <w:rFonts w:ascii="Times New Roman" w:hAnsi="Times New Roman"/>
                <w:b/>
                <w:szCs w:val="20"/>
                <w:u w:val="single"/>
              </w:rPr>
            </w:pPr>
            <w:r w:rsidRPr="00604294">
              <w:rPr>
                <w:rFonts w:ascii="Times New Roman" w:hAnsi="Times New Roman"/>
                <w:b/>
                <w:u w:val="single"/>
              </w:rPr>
              <w:t>1.1</w:t>
            </w:r>
            <w:r w:rsidRPr="00604294">
              <w:tab/>
            </w:r>
            <w:r w:rsidRPr="00604294">
              <w:rPr>
                <w:rFonts w:ascii="Times New Roman" w:hAnsi="Times New Roman"/>
                <w:b/>
                <w:u w:val="single"/>
              </w:rPr>
              <w:t>W tym depozyty na żądanie</w:t>
            </w:r>
          </w:p>
          <w:p w14:paraId="3D85DAFF" w14:textId="77777777" w:rsidR="003439C5" w:rsidRPr="00604294" w:rsidRDefault="003439C5" w:rsidP="00D75947">
            <w:pPr>
              <w:spacing w:before="0" w:after="0"/>
              <w:rPr>
                <w:rFonts w:ascii="Times New Roman" w:hAnsi="Times New Roman"/>
                <w:b/>
                <w:szCs w:val="20"/>
                <w:u w:val="single"/>
                <w:lang w:eastAsia="en-GB"/>
              </w:rPr>
            </w:pPr>
          </w:p>
          <w:p w14:paraId="6F473929" w14:textId="05C1AC34" w:rsidR="003439C5" w:rsidRPr="00604294" w:rsidRDefault="003439C5" w:rsidP="00E87A50">
            <w:pPr>
              <w:spacing w:before="0" w:after="0"/>
              <w:rPr>
                <w:rFonts w:ascii="Times New Roman" w:hAnsi="Times New Roman"/>
                <w:b/>
                <w:szCs w:val="20"/>
                <w:u w:val="single"/>
              </w:rPr>
            </w:pPr>
            <w:r w:rsidRPr="00604294">
              <w:rPr>
                <w:rFonts w:ascii="Times New Roman" w:hAnsi="Times New Roman"/>
              </w:rPr>
              <w:t>Depozyty na żądanie wchodzące</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skł</w:t>
            </w:r>
            <w:r w:rsidRPr="00604294">
              <w:rPr>
                <w:rFonts w:ascii="Times New Roman" w:hAnsi="Times New Roman"/>
              </w:rPr>
              <w:t>ad finansowania detalicznego zgłoszonego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wie</w:t>
            </w:r>
            <w:r w:rsidRPr="00604294">
              <w:rPr>
                <w:rFonts w:ascii="Times New Roman" w:hAnsi="Times New Roman"/>
              </w:rPr>
              <w:t>rszu 0010.</w:t>
            </w:r>
          </w:p>
        </w:tc>
      </w:tr>
      <w:tr w:rsidR="003439C5" w:rsidRPr="00604294"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E175E40" w:rsidR="003439C5" w:rsidRPr="00604294" w:rsidRDefault="003439C5" w:rsidP="00D75947">
            <w:pPr>
              <w:spacing w:before="0" w:after="0"/>
              <w:jc w:val="left"/>
              <w:rPr>
                <w:rFonts w:ascii="Times New Roman" w:hAnsi="Times New Roman"/>
                <w:color w:val="000000"/>
                <w:szCs w:val="20"/>
              </w:rPr>
            </w:pPr>
            <w:r w:rsidRPr="00604294">
              <w:rPr>
                <w:rFonts w:ascii="Times New Roman" w:hAnsi="Times New Roman"/>
                <w:color w:val="000000"/>
              </w:rPr>
              <w:t>0031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218AFFC" w:rsidR="003439C5" w:rsidRPr="00604294" w:rsidRDefault="00F40FD4" w:rsidP="003439C5">
            <w:pPr>
              <w:spacing w:before="0" w:after="0"/>
              <w:rPr>
                <w:rFonts w:ascii="Times New Roman" w:hAnsi="Times New Roman"/>
                <w:b/>
                <w:szCs w:val="20"/>
                <w:u w:val="single"/>
              </w:rPr>
            </w:pPr>
            <w:r w:rsidRPr="00604294">
              <w:rPr>
                <w:rFonts w:ascii="Times New Roman" w:hAnsi="Times New Roman"/>
                <w:b/>
                <w:u w:val="single"/>
              </w:rPr>
              <w:t>1.2</w:t>
            </w:r>
            <w:r w:rsidRPr="00604294">
              <w:tab/>
            </w:r>
            <w:r w:rsidRPr="00604294">
              <w:rPr>
                <w:rFonts w:ascii="Times New Roman" w:hAnsi="Times New Roman"/>
                <w:b/>
                <w:u w:val="single"/>
              </w:rPr>
              <w:t>W tym depozyty terminowe bez możliwości wycofania</w:t>
            </w:r>
            <w:r w:rsidR="00604294" w:rsidRPr="00604294">
              <w:rPr>
                <w:rFonts w:ascii="Times New Roman" w:hAnsi="Times New Roman"/>
                <w:b/>
                <w:u w:val="single"/>
              </w:rPr>
              <w:t xml:space="preserve"> w</w:t>
            </w:r>
            <w:r w:rsidR="00604294">
              <w:rPr>
                <w:rFonts w:ascii="Times New Roman" w:hAnsi="Times New Roman"/>
                <w:b/>
                <w:u w:val="single"/>
              </w:rPr>
              <w:t> </w:t>
            </w:r>
            <w:r w:rsidR="00604294" w:rsidRPr="00604294">
              <w:rPr>
                <w:rFonts w:ascii="Times New Roman" w:hAnsi="Times New Roman"/>
                <w:b/>
                <w:u w:val="single"/>
              </w:rPr>
              <w:t>cią</w:t>
            </w:r>
            <w:r w:rsidRPr="00604294">
              <w:rPr>
                <w:rFonts w:ascii="Times New Roman" w:hAnsi="Times New Roman"/>
                <w:b/>
                <w:u w:val="single"/>
              </w:rPr>
              <w:t>gu następnych 30 dni</w:t>
            </w:r>
          </w:p>
          <w:p w14:paraId="664C04FE" w14:textId="77777777" w:rsidR="003439C5" w:rsidRPr="00604294" w:rsidRDefault="003439C5" w:rsidP="00D75947">
            <w:pPr>
              <w:spacing w:before="0" w:after="0"/>
              <w:rPr>
                <w:rFonts w:ascii="Times New Roman" w:hAnsi="Times New Roman"/>
                <w:b/>
                <w:szCs w:val="20"/>
                <w:u w:val="single"/>
                <w:lang w:eastAsia="en-GB"/>
              </w:rPr>
            </w:pPr>
          </w:p>
          <w:p w14:paraId="3F7154EA" w14:textId="085F443C" w:rsidR="003439C5" w:rsidRPr="00604294" w:rsidRDefault="003439C5" w:rsidP="00F40FD4">
            <w:pPr>
              <w:spacing w:before="0" w:after="0"/>
              <w:rPr>
                <w:rFonts w:ascii="Times New Roman" w:hAnsi="Times New Roman"/>
                <w:b/>
                <w:szCs w:val="20"/>
                <w:u w:val="single"/>
              </w:rPr>
            </w:pPr>
            <w:r w:rsidRPr="00604294">
              <w:rPr>
                <w:rFonts w:ascii="Times New Roman" w:hAnsi="Times New Roman"/>
              </w:rPr>
              <w:t>Depozyty terminowe bez możliwości wycofania</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cią</w:t>
            </w:r>
            <w:r w:rsidRPr="00604294">
              <w:rPr>
                <w:rFonts w:ascii="Times New Roman" w:hAnsi="Times New Roman"/>
              </w:rPr>
              <w:t>gu następnych 30 dni, wchodzące</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skł</w:t>
            </w:r>
            <w:r w:rsidRPr="00604294">
              <w:rPr>
                <w:rFonts w:ascii="Times New Roman" w:hAnsi="Times New Roman"/>
              </w:rPr>
              <w:t>ad finansowania detalicznego zgłoszonego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wie</w:t>
            </w:r>
            <w:r w:rsidRPr="00604294">
              <w:rPr>
                <w:rFonts w:ascii="Times New Roman" w:hAnsi="Times New Roman"/>
              </w:rPr>
              <w:t>rszu 0010.</w:t>
            </w:r>
          </w:p>
        </w:tc>
      </w:tr>
      <w:tr w:rsidR="003439C5" w:rsidRPr="00604294" w14:paraId="69E1811C" w14:textId="77777777" w:rsidTr="00D75947">
        <w:trPr>
          <w:trHeight w:val="1020"/>
        </w:trPr>
        <w:tc>
          <w:tcPr>
            <w:tcW w:w="729" w:type="pct"/>
            <w:shd w:val="clear" w:color="auto" w:fill="auto"/>
            <w:noWrap/>
          </w:tcPr>
          <w:p w14:paraId="3DFA3BE5" w14:textId="66C47E24" w:rsidR="003439C5" w:rsidRPr="00604294" w:rsidRDefault="003439C5" w:rsidP="00D75947">
            <w:pPr>
              <w:spacing w:before="0" w:after="0"/>
              <w:jc w:val="left"/>
              <w:rPr>
                <w:rFonts w:ascii="Times New Roman" w:hAnsi="Times New Roman"/>
                <w:color w:val="000000"/>
                <w:szCs w:val="20"/>
              </w:rPr>
            </w:pPr>
            <w:r w:rsidRPr="00604294">
              <w:rPr>
                <w:rFonts w:ascii="Times New Roman" w:hAnsi="Times New Roman"/>
                <w:color w:val="000000"/>
              </w:rPr>
              <w:t>0041</w:t>
            </w:r>
          </w:p>
        </w:tc>
        <w:tc>
          <w:tcPr>
            <w:tcW w:w="4271" w:type="pct"/>
            <w:shd w:val="clear" w:color="auto" w:fill="auto"/>
          </w:tcPr>
          <w:p w14:paraId="155ED8D2" w14:textId="368D432B" w:rsidR="003439C5" w:rsidRPr="00604294" w:rsidRDefault="00F40FD4" w:rsidP="003439C5">
            <w:pPr>
              <w:spacing w:before="0" w:after="0"/>
              <w:rPr>
                <w:rFonts w:ascii="Times New Roman" w:hAnsi="Times New Roman"/>
                <w:b/>
                <w:szCs w:val="20"/>
                <w:u w:val="single"/>
              </w:rPr>
            </w:pPr>
            <w:r w:rsidRPr="00604294">
              <w:rPr>
                <w:rFonts w:ascii="Times New Roman" w:hAnsi="Times New Roman"/>
                <w:b/>
                <w:u w:val="single"/>
              </w:rPr>
              <w:t>1.3</w:t>
            </w:r>
            <w:r w:rsidRPr="00604294">
              <w:tab/>
            </w:r>
            <w:r w:rsidRPr="00604294">
              <w:rPr>
                <w:rFonts w:ascii="Times New Roman" w:hAnsi="Times New Roman"/>
                <w:b/>
                <w:u w:val="single"/>
              </w:rPr>
              <w:t>W tym depozyty terminowe</w:t>
            </w:r>
            <w:r w:rsidR="00604294" w:rsidRPr="00604294">
              <w:rPr>
                <w:rFonts w:ascii="Times New Roman" w:hAnsi="Times New Roman"/>
                <w:b/>
                <w:u w:val="single"/>
              </w:rPr>
              <w:t xml:space="preserve"> z</w:t>
            </w:r>
            <w:r w:rsidR="00604294">
              <w:rPr>
                <w:rFonts w:ascii="Times New Roman" w:hAnsi="Times New Roman"/>
                <w:b/>
                <w:u w:val="single"/>
              </w:rPr>
              <w:t> </w:t>
            </w:r>
            <w:r w:rsidR="00604294" w:rsidRPr="00604294">
              <w:rPr>
                <w:rFonts w:ascii="Times New Roman" w:hAnsi="Times New Roman"/>
                <w:b/>
                <w:u w:val="single"/>
              </w:rPr>
              <w:t>moż</w:t>
            </w:r>
            <w:r w:rsidRPr="00604294">
              <w:rPr>
                <w:rFonts w:ascii="Times New Roman" w:hAnsi="Times New Roman"/>
                <w:b/>
                <w:u w:val="single"/>
              </w:rPr>
              <w:t>liwością wycofania</w:t>
            </w:r>
            <w:r w:rsidR="00604294" w:rsidRPr="00604294">
              <w:rPr>
                <w:rFonts w:ascii="Times New Roman" w:hAnsi="Times New Roman"/>
                <w:b/>
                <w:u w:val="single"/>
              </w:rPr>
              <w:t xml:space="preserve"> w</w:t>
            </w:r>
            <w:r w:rsidR="00604294">
              <w:rPr>
                <w:rFonts w:ascii="Times New Roman" w:hAnsi="Times New Roman"/>
                <w:b/>
                <w:u w:val="single"/>
              </w:rPr>
              <w:t> </w:t>
            </w:r>
            <w:r w:rsidR="00604294" w:rsidRPr="00604294">
              <w:rPr>
                <w:rFonts w:ascii="Times New Roman" w:hAnsi="Times New Roman"/>
                <w:b/>
                <w:u w:val="single"/>
              </w:rPr>
              <w:t>cią</w:t>
            </w:r>
            <w:r w:rsidRPr="00604294">
              <w:rPr>
                <w:rFonts w:ascii="Times New Roman" w:hAnsi="Times New Roman"/>
                <w:b/>
                <w:u w:val="single"/>
              </w:rPr>
              <w:t>gu następnych 30 dni</w:t>
            </w:r>
          </w:p>
          <w:p w14:paraId="16BCACF7" w14:textId="77777777" w:rsidR="003439C5" w:rsidRPr="00604294" w:rsidRDefault="003439C5" w:rsidP="003439C5">
            <w:pPr>
              <w:spacing w:before="0" w:after="0"/>
              <w:rPr>
                <w:rFonts w:ascii="Times New Roman" w:hAnsi="Times New Roman"/>
                <w:b/>
                <w:szCs w:val="20"/>
                <w:u w:val="single"/>
                <w:lang w:eastAsia="en-GB"/>
              </w:rPr>
            </w:pPr>
          </w:p>
          <w:p w14:paraId="291A1D44" w14:textId="64B5F8AB" w:rsidR="003439C5" w:rsidRPr="00604294" w:rsidRDefault="00F40FD4" w:rsidP="00F40FD4">
            <w:pPr>
              <w:spacing w:before="0" w:after="0"/>
              <w:rPr>
                <w:rFonts w:ascii="Times New Roman" w:hAnsi="Times New Roman"/>
                <w:szCs w:val="20"/>
              </w:rPr>
            </w:pPr>
            <w:r w:rsidRPr="00604294">
              <w:rPr>
                <w:rFonts w:ascii="Times New Roman" w:hAnsi="Times New Roman"/>
              </w:rPr>
              <w:t>Depozyty terminowe</w:t>
            </w:r>
            <w:r w:rsidR="00604294" w:rsidRPr="00604294">
              <w:rPr>
                <w:rFonts w:ascii="Times New Roman" w:hAnsi="Times New Roman"/>
              </w:rPr>
              <w:t xml:space="preserve"> z</w:t>
            </w:r>
            <w:r w:rsidR="00604294">
              <w:rPr>
                <w:rFonts w:ascii="Times New Roman" w:hAnsi="Times New Roman"/>
              </w:rPr>
              <w:t> </w:t>
            </w:r>
            <w:r w:rsidR="00604294" w:rsidRPr="00604294">
              <w:rPr>
                <w:rFonts w:ascii="Times New Roman" w:hAnsi="Times New Roman"/>
              </w:rPr>
              <w:t>moż</w:t>
            </w:r>
            <w:r w:rsidRPr="00604294">
              <w:rPr>
                <w:rFonts w:ascii="Times New Roman" w:hAnsi="Times New Roman"/>
              </w:rPr>
              <w:t>liwością wycofania</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cią</w:t>
            </w:r>
            <w:r w:rsidRPr="00604294">
              <w:rPr>
                <w:rFonts w:ascii="Times New Roman" w:hAnsi="Times New Roman"/>
              </w:rPr>
              <w:t>gu następnych 30 dni, wchodzące</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skł</w:t>
            </w:r>
            <w:r w:rsidRPr="00604294">
              <w:rPr>
                <w:rFonts w:ascii="Times New Roman" w:hAnsi="Times New Roman"/>
              </w:rPr>
              <w:t>ad finansowania detalicznego zgłoszonego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wie</w:t>
            </w:r>
            <w:r w:rsidRPr="00604294">
              <w:rPr>
                <w:rFonts w:ascii="Times New Roman" w:hAnsi="Times New Roman"/>
              </w:rPr>
              <w:t>rszu 0010.</w:t>
            </w:r>
          </w:p>
        </w:tc>
      </w:tr>
      <w:tr w:rsidR="003439C5" w:rsidRPr="00604294" w14:paraId="10740494" w14:textId="77777777" w:rsidTr="00D75947">
        <w:trPr>
          <w:trHeight w:val="1020"/>
        </w:trPr>
        <w:tc>
          <w:tcPr>
            <w:tcW w:w="729" w:type="pct"/>
            <w:shd w:val="clear" w:color="auto" w:fill="auto"/>
            <w:noWrap/>
          </w:tcPr>
          <w:p w14:paraId="0B22ECFC" w14:textId="2FEC79EB" w:rsidR="003439C5" w:rsidRPr="00604294" w:rsidRDefault="003439C5" w:rsidP="00DD136C">
            <w:pPr>
              <w:spacing w:before="0" w:after="0"/>
              <w:jc w:val="left"/>
              <w:rPr>
                <w:rFonts w:ascii="Times New Roman" w:hAnsi="Times New Roman"/>
                <w:color w:val="000000"/>
                <w:szCs w:val="20"/>
              </w:rPr>
            </w:pPr>
            <w:r w:rsidRPr="00604294">
              <w:rPr>
                <w:rFonts w:ascii="Times New Roman" w:hAnsi="Times New Roman"/>
                <w:color w:val="000000"/>
              </w:rPr>
              <w:t>0070</w:t>
            </w:r>
          </w:p>
        </w:tc>
        <w:tc>
          <w:tcPr>
            <w:tcW w:w="4271" w:type="pct"/>
            <w:shd w:val="clear" w:color="auto" w:fill="auto"/>
          </w:tcPr>
          <w:p w14:paraId="7A9B7AD4" w14:textId="22B42302" w:rsidR="003439C5" w:rsidRPr="00604294" w:rsidRDefault="00F40FD4" w:rsidP="003439C5">
            <w:pPr>
              <w:spacing w:before="0" w:after="0"/>
              <w:rPr>
                <w:rFonts w:ascii="Times New Roman" w:hAnsi="Times New Roman"/>
                <w:b/>
                <w:szCs w:val="20"/>
                <w:u w:val="single"/>
              </w:rPr>
            </w:pPr>
            <w:r w:rsidRPr="00604294">
              <w:rPr>
                <w:rFonts w:ascii="Times New Roman" w:hAnsi="Times New Roman"/>
                <w:b/>
                <w:u w:val="single"/>
              </w:rPr>
              <w:t>1.4</w:t>
            </w:r>
            <w:r w:rsidRPr="00604294">
              <w:tab/>
            </w:r>
            <w:r w:rsidRPr="00604294">
              <w:rPr>
                <w:rFonts w:ascii="Times New Roman" w:hAnsi="Times New Roman"/>
                <w:b/>
                <w:u w:val="single"/>
              </w:rPr>
              <w:t>Rachunki oszczędnościowe</w:t>
            </w:r>
          </w:p>
          <w:p w14:paraId="1715A370" w14:textId="77777777" w:rsidR="003439C5" w:rsidRPr="00604294" w:rsidRDefault="003439C5" w:rsidP="00D75947">
            <w:pPr>
              <w:spacing w:before="0" w:after="0"/>
              <w:rPr>
                <w:rFonts w:ascii="Times New Roman" w:hAnsi="Times New Roman"/>
                <w:b/>
                <w:szCs w:val="20"/>
                <w:u w:val="single"/>
                <w:lang w:eastAsia="en-GB"/>
              </w:rPr>
            </w:pPr>
          </w:p>
          <w:p w14:paraId="1F5A77EE" w14:textId="70B9DF12" w:rsidR="00F40FD4" w:rsidRPr="00604294" w:rsidRDefault="00F40FD4" w:rsidP="00E87A50">
            <w:pPr>
              <w:spacing w:before="0" w:after="0"/>
              <w:rPr>
                <w:rFonts w:ascii="Times New Roman" w:hAnsi="Times New Roman"/>
                <w:szCs w:val="20"/>
              </w:rPr>
            </w:pPr>
            <w:r w:rsidRPr="00604294">
              <w:rPr>
                <w:rFonts w:ascii="Times New Roman" w:hAnsi="Times New Roman"/>
              </w:rPr>
              <w:t>Rachunki oszczędnościowe posiadające jedną</w:t>
            </w:r>
            <w:r w:rsidR="00604294" w:rsidRPr="00604294">
              <w:rPr>
                <w:rFonts w:ascii="Times New Roman" w:hAnsi="Times New Roman"/>
              </w:rPr>
              <w:t xml:space="preserve"> z</w:t>
            </w:r>
            <w:r w:rsidR="00604294">
              <w:rPr>
                <w:rFonts w:ascii="Times New Roman" w:hAnsi="Times New Roman"/>
              </w:rPr>
              <w:t> </w:t>
            </w:r>
            <w:r w:rsidR="00604294" w:rsidRPr="00604294">
              <w:rPr>
                <w:rFonts w:ascii="Times New Roman" w:hAnsi="Times New Roman"/>
              </w:rPr>
              <w:t>nas</w:t>
            </w:r>
            <w:r w:rsidRPr="00604294">
              <w:rPr>
                <w:rFonts w:ascii="Times New Roman" w:hAnsi="Times New Roman"/>
              </w:rPr>
              <w:t>tępujących cech, wchodzące</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skł</w:t>
            </w:r>
            <w:r w:rsidRPr="00604294">
              <w:rPr>
                <w:rFonts w:ascii="Times New Roman" w:hAnsi="Times New Roman"/>
              </w:rPr>
              <w:t>ad finansowania detalicznego zgłoszonego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wie</w:t>
            </w:r>
            <w:r w:rsidRPr="00604294">
              <w:rPr>
                <w:rFonts w:ascii="Times New Roman" w:hAnsi="Times New Roman"/>
              </w:rPr>
              <w:t>rszu 0010:</w:t>
            </w:r>
          </w:p>
          <w:p w14:paraId="7001BAD2" w14:textId="54B5A121" w:rsidR="003439C5" w:rsidRPr="00604294" w:rsidRDefault="00F40FD4" w:rsidP="00E87A50">
            <w:pPr>
              <w:spacing w:before="0" w:after="0"/>
              <w:rPr>
                <w:rFonts w:ascii="Times New Roman" w:hAnsi="Times New Roman"/>
                <w:szCs w:val="20"/>
              </w:rPr>
            </w:pPr>
            <w:r w:rsidRPr="00604294">
              <w:rPr>
                <w:rFonts w:ascii="Times New Roman" w:hAnsi="Times New Roman"/>
              </w:rPr>
              <w:t>–</w:t>
            </w:r>
            <w:r w:rsidR="00604294" w:rsidRPr="00604294">
              <w:rPr>
                <w:rFonts w:ascii="Times New Roman" w:hAnsi="Times New Roman"/>
              </w:rPr>
              <w:t xml:space="preserve"> z</w:t>
            </w:r>
            <w:r w:rsidR="00604294">
              <w:rPr>
                <w:rFonts w:ascii="Times New Roman" w:hAnsi="Times New Roman"/>
              </w:rPr>
              <w:t> </w:t>
            </w:r>
            <w:r w:rsidR="00604294" w:rsidRPr="00604294">
              <w:rPr>
                <w:rFonts w:ascii="Times New Roman" w:hAnsi="Times New Roman"/>
              </w:rPr>
              <w:t>okr</w:t>
            </w:r>
            <w:r w:rsidRPr="00604294">
              <w:rPr>
                <w:rFonts w:ascii="Times New Roman" w:hAnsi="Times New Roman"/>
              </w:rPr>
              <w:t>esem wypowiedzenia dotyczącym wycofania wynoszącym ponad 30 dni</w:t>
            </w:r>
          </w:p>
          <w:p w14:paraId="471376E8" w14:textId="6B5CE87D" w:rsidR="00F40FD4" w:rsidRPr="00604294" w:rsidRDefault="00F40FD4" w:rsidP="00E87A50">
            <w:pPr>
              <w:spacing w:before="0" w:after="0"/>
              <w:rPr>
                <w:rFonts w:ascii="Times New Roman" w:hAnsi="Times New Roman"/>
                <w:szCs w:val="20"/>
              </w:rPr>
            </w:pPr>
            <w:r w:rsidRPr="00604294">
              <w:rPr>
                <w:rFonts w:ascii="Times New Roman" w:hAnsi="Times New Roman"/>
              </w:rPr>
              <w:t xml:space="preserve">– bez okresu wypowiedzenia dotyczącego wycofania wynoszącego ponad 30 dni. </w:t>
            </w:r>
          </w:p>
          <w:p w14:paraId="73B00647" w14:textId="77777777" w:rsidR="00B96DDB" w:rsidRPr="00604294" w:rsidRDefault="00B96DDB" w:rsidP="00E87A50">
            <w:pPr>
              <w:spacing w:before="0" w:after="0"/>
              <w:rPr>
                <w:rFonts w:ascii="Times New Roman" w:hAnsi="Times New Roman"/>
                <w:szCs w:val="20"/>
                <w:lang w:eastAsia="en-GB"/>
              </w:rPr>
            </w:pPr>
          </w:p>
          <w:p w14:paraId="393C0E32" w14:textId="77777777" w:rsidR="00B96DDB" w:rsidRPr="00604294" w:rsidRDefault="00B96DDB" w:rsidP="00B96DDB">
            <w:pPr>
              <w:spacing w:before="0" w:after="0"/>
              <w:rPr>
                <w:szCs w:val="20"/>
              </w:rPr>
            </w:pPr>
            <w:r w:rsidRPr="00604294">
              <w:rPr>
                <w:rFonts w:ascii="Times New Roman" w:hAnsi="Times New Roman"/>
              </w:rPr>
              <w:t>Tego wiersza nie zgłasza się.</w:t>
            </w:r>
          </w:p>
          <w:p w14:paraId="0D6901BA" w14:textId="77777777" w:rsidR="003439C5" w:rsidRPr="00604294" w:rsidRDefault="003439C5" w:rsidP="00D75947">
            <w:pPr>
              <w:spacing w:before="0" w:after="0"/>
              <w:rPr>
                <w:rFonts w:ascii="Times New Roman" w:hAnsi="Times New Roman"/>
                <w:b/>
                <w:szCs w:val="20"/>
                <w:u w:val="single"/>
                <w:lang w:eastAsia="en-GB"/>
              </w:rPr>
            </w:pPr>
          </w:p>
        </w:tc>
      </w:tr>
      <w:tr w:rsidR="003439C5" w:rsidRPr="00604294" w14:paraId="36C0FB22" w14:textId="77777777" w:rsidTr="00D75947">
        <w:trPr>
          <w:trHeight w:val="1020"/>
        </w:trPr>
        <w:tc>
          <w:tcPr>
            <w:tcW w:w="729" w:type="pct"/>
            <w:shd w:val="clear" w:color="auto" w:fill="auto"/>
            <w:noWrap/>
          </w:tcPr>
          <w:p w14:paraId="167C152B" w14:textId="69E87A8C" w:rsidR="003439C5" w:rsidRPr="00604294" w:rsidRDefault="003439C5" w:rsidP="00DD136C">
            <w:pPr>
              <w:spacing w:before="0" w:after="0"/>
              <w:jc w:val="left"/>
              <w:rPr>
                <w:rFonts w:ascii="Times New Roman" w:hAnsi="Times New Roman"/>
                <w:color w:val="000000"/>
                <w:szCs w:val="20"/>
              </w:rPr>
            </w:pPr>
            <w:r w:rsidRPr="00604294">
              <w:rPr>
                <w:rFonts w:ascii="Times New Roman" w:hAnsi="Times New Roman"/>
                <w:color w:val="000000"/>
              </w:rPr>
              <w:t>0080</w:t>
            </w:r>
          </w:p>
        </w:tc>
        <w:tc>
          <w:tcPr>
            <w:tcW w:w="4271" w:type="pct"/>
            <w:shd w:val="clear" w:color="auto" w:fill="auto"/>
          </w:tcPr>
          <w:p w14:paraId="208924A1" w14:textId="4E469B33" w:rsidR="003439C5" w:rsidRPr="00604294" w:rsidRDefault="00F40FD4" w:rsidP="003439C5">
            <w:pPr>
              <w:spacing w:before="0" w:after="0"/>
              <w:rPr>
                <w:rFonts w:ascii="Times New Roman" w:hAnsi="Times New Roman"/>
                <w:b/>
                <w:szCs w:val="20"/>
                <w:u w:val="single"/>
              </w:rPr>
            </w:pPr>
            <w:r w:rsidRPr="00604294">
              <w:rPr>
                <w:rFonts w:ascii="Times New Roman" w:hAnsi="Times New Roman"/>
                <w:b/>
                <w:u w:val="single"/>
              </w:rPr>
              <w:t xml:space="preserve">1.4.1 </w:t>
            </w:r>
            <w:r w:rsidRPr="00604294">
              <w:tab/>
            </w:r>
            <w:r w:rsidRPr="00604294">
              <w:rPr>
                <w:rFonts w:ascii="Times New Roman" w:hAnsi="Times New Roman"/>
                <w:b/>
                <w:u w:val="single"/>
              </w:rPr>
              <w:t>Z okresem wypowiedzenia dotyczącym wycofania wynoszącym ponad 30 dni</w:t>
            </w:r>
          </w:p>
          <w:p w14:paraId="2CB5668A" w14:textId="34A01DC2" w:rsidR="00F40FD4" w:rsidRPr="00604294" w:rsidRDefault="00F40FD4" w:rsidP="00F40FD4">
            <w:pPr>
              <w:spacing w:before="0" w:after="0"/>
              <w:rPr>
                <w:rFonts w:ascii="Times New Roman" w:hAnsi="Times New Roman"/>
                <w:szCs w:val="20"/>
              </w:rPr>
            </w:pPr>
            <w:r w:rsidRPr="00604294">
              <w:rPr>
                <w:rFonts w:ascii="Times New Roman" w:hAnsi="Times New Roman"/>
              </w:rPr>
              <w:t>Rachunki oszczędnościowe</w:t>
            </w:r>
            <w:r w:rsidR="00604294" w:rsidRPr="00604294">
              <w:rPr>
                <w:rFonts w:ascii="Times New Roman" w:hAnsi="Times New Roman"/>
              </w:rPr>
              <w:t xml:space="preserve"> z</w:t>
            </w:r>
            <w:r w:rsidR="00604294">
              <w:rPr>
                <w:rFonts w:ascii="Times New Roman" w:hAnsi="Times New Roman"/>
              </w:rPr>
              <w:t> </w:t>
            </w:r>
            <w:r w:rsidR="00604294" w:rsidRPr="00604294">
              <w:rPr>
                <w:rFonts w:ascii="Times New Roman" w:hAnsi="Times New Roman"/>
              </w:rPr>
              <w:t>okr</w:t>
            </w:r>
            <w:r w:rsidRPr="00604294">
              <w:rPr>
                <w:rFonts w:ascii="Times New Roman" w:hAnsi="Times New Roman"/>
              </w:rPr>
              <w:t>esem wypowiedzenia dotyczącym wycofania wynoszącym ponad 30 dni, wchodzące</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skł</w:t>
            </w:r>
            <w:r w:rsidRPr="00604294">
              <w:rPr>
                <w:rFonts w:ascii="Times New Roman" w:hAnsi="Times New Roman"/>
              </w:rPr>
              <w:t>ad finansowania detalicznego zgłoszonego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wie</w:t>
            </w:r>
            <w:r w:rsidRPr="00604294">
              <w:rPr>
                <w:rFonts w:ascii="Times New Roman" w:hAnsi="Times New Roman"/>
              </w:rPr>
              <w:t>rszu 0010.</w:t>
            </w:r>
          </w:p>
          <w:p w14:paraId="3144C832" w14:textId="3416971B" w:rsidR="003439C5" w:rsidRPr="00604294" w:rsidRDefault="003439C5" w:rsidP="00E87A50">
            <w:pPr>
              <w:spacing w:before="0" w:after="0"/>
              <w:rPr>
                <w:rFonts w:ascii="Times New Roman" w:hAnsi="Times New Roman"/>
                <w:b/>
                <w:szCs w:val="20"/>
                <w:u w:val="single"/>
                <w:lang w:eastAsia="en-GB"/>
              </w:rPr>
            </w:pPr>
          </w:p>
        </w:tc>
      </w:tr>
      <w:tr w:rsidR="003439C5" w:rsidRPr="00604294" w14:paraId="29C0B503" w14:textId="77777777" w:rsidTr="00D75947">
        <w:trPr>
          <w:trHeight w:val="1020"/>
        </w:trPr>
        <w:tc>
          <w:tcPr>
            <w:tcW w:w="729" w:type="pct"/>
            <w:shd w:val="clear" w:color="auto" w:fill="auto"/>
            <w:noWrap/>
          </w:tcPr>
          <w:p w14:paraId="6665A670" w14:textId="25FC6790" w:rsidR="003439C5" w:rsidRPr="00604294" w:rsidRDefault="003439C5" w:rsidP="00DD136C">
            <w:pPr>
              <w:spacing w:before="0" w:after="0"/>
              <w:jc w:val="left"/>
              <w:rPr>
                <w:rFonts w:ascii="Times New Roman" w:hAnsi="Times New Roman"/>
                <w:color w:val="000000"/>
                <w:szCs w:val="20"/>
              </w:rPr>
            </w:pPr>
            <w:r w:rsidRPr="00604294">
              <w:rPr>
                <w:rFonts w:ascii="Times New Roman" w:hAnsi="Times New Roman"/>
                <w:color w:val="000000"/>
              </w:rPr>
              <w:t>0090</w:t>
            </w:r>
          </w:p>
        </w:tc>
        <w:tc>
          <w:tcPr>
            <w:tcW w:w="4271" w:type="pct"/>
            <w:shd w:val="clear" w:color="auto" w:fill="auto"/>
          </w:tcPr>
          <w:p w14:paraId="41FDDED5" w14:textId="0D19B3DF" w:rsidR="003439C5" w:rsidRPr="00604294" w:rsidRDefault="00F40FD4" w:rsidP="003439C5">
            <w:pPr>
              <w:spacing w:before="0" w:after="0"/>
              <w:rPr>
                <w:rFonts w:ascii="Times New Roman" w:hAnsi="Times New Roman"/>
                <w:b/>
                <w:szCs w:val="20"/>
                <w:u w:val="single"/>
              </w:rPr>
            </w:pPr>
            <w:r w:rsidRPr="00604294">
              <w:rPr>
                <w:rFonts w:ascii="Times New Roman" w:hAnsi="Times New Roman"/>
                <w:b/>
                <w:u w:val="single"/>
              </w:rPr>
              <w:t xml:space="preserve">1.4.2 </w:t>
            </w:r>
            <w:r w:rsidRPr="00604294">
              <w:tab/>
            </w:r>
            <w:r w:rsidRPr="00604294">
              <w:rPr>
                <w:rFonts w:ascii="Times New Roman" w:hAnsi="Times New Roman"/>
                <w:b/>
                <w:u w:val="single"/>
              </w:rPr>
              <w:t>Bez okresu wypowiedzenia dotyczącego wycofania wynoszącego ponad 30 dni.</w:t>
            </w:r>
          </w:p>
          <w:p w14:paraId="435A673F" w14:textId="77777777" w:rsidR="003439C5" w:rsidRPr="00604294" w:rsidRDefault="003439C5" w:rsidP="003439C5">
            <w:pPr>
              <w:spacing w:before="0" w:after="0"/>
              <w:rPr>
                <w:rFonts w:ascii="Times New Roman" w:hAnsi="Times New Roman"/>
                <w:b/>
                <w:szCs w:val="20"/>
                <w:u w:val="single"/>
                <w:lang w:eastAsia="en-GB"/>
              </w:rPr>
            </w:pPr>
          </w:p>
          <w:p w14:paraId="1B1078F3" w14:textId="1975F856" w:rsidR="003439C5" w:rsidRPr="00604294" w:rsidRDefault="00F40FD4" w:rsidP="00E87A50">
            <w:pPr>
              <w:spacing w:before="0" w:after="0"/>
              <w:rPr>
                <w:rFonts w:ascii="Times New Roman" w:hAnsi="Times New Roman"/>
                <w:szCs w:val="20"/>
              </w:rPr>
            </w:pPr>
            <w:r w:rsidRPr="00604294">
              <w:rPr>
                <w:rFonts w:ascii="Times New Roman" w:hAnsi="Times New Roman"/>
              </w:rPr>
              <w:t>Rachunki oszczędnościowe bez okresu wypowiedzenia dotyczącego wycofania wynoszącego ponad 30 dni, wchodzące</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skł</w:t>
            </w:r>
            <w:r w:rsidRPr="00604294">
              <w:rPr>
                <w:rFonts w:ascii="Times New Roman" w:hAnsi="Times New Roman"/>
              </w:rPr>
              <w:t>ad finansowania detalicznego zgłoszonego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wie</w:t>
            </w:r>
            <w:r w:rsidRPr="00604294">
              <w:rPr>
                <w:rFonts w:ascii="Times New Roman" w:hAnsi="Times New Roman"/>
              </w:rPr>
              <w:t>rszu 0010.</w:t>
            </w:r>
          </w:p>
          <w:p w14:paraId="64AF0787" w14:textId="77777777" w:rsidR="003439C5" w:rsidRPr="00604294" w:rsidRDefault="003439C5" w:rsidP="003439C5">
            <w:pPr>
              <w:spacing w:before="0" w:after="0"/>
              <w:rPr>
                <w:rFonts w:ascii="Times New Roman" w:hAnsi="Times New Roman"/>
                <w:b/>
                <w:szCs w:val="20"/>
                <w:u w:val="single"/>
                <w:lang w:eastAsia="en-GB"/>
              </w:rPr>
            </w:pPr>
          </w:p>
        </w:tc>
      </w:tr>
      <w:tr w:rsidR="003439C5" w:rsidRPr="00604294" w14:paraId="3EAE3ABC" w14:textId="77777777" w:rsidTr="00D75947">
        <w:trPr>
          <w:trHeight w:val="1020"/>
        </w:trPr>
        <w:tc>
          <w:tcPr>
            <w:tcW w:w="729" w:type="pct"/>
            <w:shd w:val="clear" w:color="auto" w:fill="auto"/>
            <w:noWrap/>
          </w:tcPr>
          <w:p w14:paraId="45013687" w14:textId="492AA72C" w:rsidR="003439C5" w:rsidRPr="00604294" w:rsidRDefault="00C90DF5" w:rsidP="003439C5">
            <w:pPr>
              <w:spacing w:before="0" w:after="0"/>
              <w:jc w:val="left"/>
              <w:rPr>
                <w:rFonts w:ascii="Times New Roman" w:hAnsi="Times New Roman"/>
                <w:color w:val="000000"/>
                <w:szCs w:val="20"/>
              </w:rPr>
            </w:pPr>
            <w:r w:rsidRPr="00604294">
              <w:rPr>
                <w:rFonts w:ascii="Times New Roman" w:hAnsi="Times New Roman"/>
                <w:color w:val="000000"/>
              </w:rPr>
              <w:t>0100</w:t>
            </w:r>
          </w:p>
        </w:tc>
        <w:tc>
          <w:tcPr>
            <w:tcW w:w="4271" w:type="pct"/>
            <w:shd w:val="clear" w:color="auto" w:fill="auto"/>
          </w:tcPr>
          <w:p w14:paraId="25CD6A22" w14:textId="3A5B71CD" w:rsidR="00F900C8" w:rsidRPr="00604294" w:rsidRDefault="00E87A50" w:rsidP="00F900C8">
            <w:pPr>
              <w:pStyle w:val="ListParagraph"/>
              <w:numPr>
                <w:ilvl w:val="0"/>
                <w:numId w:val="13"/>
              </w:numPr>
              <w:spacing w:before="0" w:after="0"/>
              <w:rPr>
                <w:rFonts w:ascii="Times New Roman" w:hAnsi="Times New Roman"/>
                <w:b/>
                <w:szCs w:val="20"/>
                <w:u w:val="single"/>
              </w:rPr>
            </w:pPr>
            <w:r w:rsidRPr="00604294">
              <w:rPr>
                <w:rFonts w:ascii="Times New Roman" w:hAnsi="Times New Roman"/>
                <w:b/>
                <w:u w:val="single"/>
              </w:rPr>
              <w:t xml:space="preserve">Finansowanie hurtowe </w:t>
            </w:r>
          </w:p>
          <w:p w14:paraId="2A1113B0" w14:textId="3A3E1DF0" w:rsidR="006624FA" w:rsidRPr="00604294" w:rsidRDefault="006624FA" w:rsidP="006624FA">
            <w:pPr>
              <w:spacing w:before="0" w:after="0"/>
              <w:rPr>
                <w:rFonts w:ascii="Times New Roman" w:hAnsi="Times New Roman"/>
                <w:szCs w:val="20"/>
              </w:rPr>
            </w:pPr>
            <w:r w:rsidRPr="00604294">
              <w:rPr>
                <w:rFonts w:ascii="Times New Roman" w:hAnsi="Times New Roman"/>
              </w:rPr>
              <w:t>Wszyscy kontrahenci inni niż kontrahenci depozytów detalicznych zdefiniowanych</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art</w:t>
            </w:r>
            <w:r w:rsidRPr="00604294">
              <w:rPr>
                <w:rFonts w:ascii="Times New Roman" w:hAnsi="Times New Roman"/>
              </w:rPr>
              <w:t>. 411 pkt</w:t>
            </w:r>
            <w:r w:rsidR="00604294" w:rsidRPr="00604294">
              <w:rPr>
                <w:rFonts w:ascii="Times New Roman" w:hAnsi="Times New Roman"/>
              </w:rPr>
              <w:t> </w:t>
            </w:r>
            <w:r w:rsidRPr="00604294">
              <w:rPr>
                <w:rFonts w:ascii="Times New Roman" w:hAnsi="Times New Roman"/>
              </w:rPr>
              <w:t>2 rozporządzenia (UE) nr</w:t>
            </w:r>
            <w:r w:rsidR="00604294" w:rsidRPr="00604294">
              <w:rPr>
                <w:rFonts w:ascii="Times New Roman" w:hAnsi="Times New Roman"/>
              </w:rPr>
              <w:t> </w:t>
            </w:r>
            <w:r w:rsidRPr="00604294">
              <w:rPr>
                <w:rFonts w:ascii="Times New Roman" w:hAnsi="Times New Roman"/>
              </w:rPr>
              <w:t xml:space="preserve">575/2013. </w:t>
            </w:r>
          </w:p>
          <w:p w14:paraId="70E19694" w14:textId="77777777" w:rsidR="00D75947" w:rsidRPr="00604294" w:rsidRDefault="00D75947" w:rsidP="006624FA">
            <w:pPr>
              <w:spacing w:before="0" w:after="0"/>
              <w:rPr>
                <w:rFonts w:ascii="Times New Roman" w:hAnsi="Times New Roman"/>
                <w:szCs w:val="20"/>
                <w:lang w:eastAsia="en-GB"/>
              </w:rPr>
            </w:pPr>
          </w:p>
          <w:p w14:paraId="195A99EA" w14:textId="4C20BC3D" w:rsidR="00D75947" w:rsidRPr="00604294" w:rsidRDefault="00D75947" w:rsidP="006624FA">
            <w:pPr>
              <w:spacing w:before="0" w:after="0"/>
              <w:rPr>
                <w:szCs w:val="20"/>
              </w:rPr>
            </w:pPr>
            <w:r w:rsidRPr="00604294">
              <w:rPr>
                <w:rFonts w:ascii="Times New Roman" w:hAnsi="Times New Roman"/>
              </w:rPr>
              <w:t>Tego wiersza nie zgłasza się.</w:t>
            </w:r>
          </w:p>
          <w:p w14:paraId="5A95C4DD" w14:textId="50C842AE" w:rsidR="003439C5" w:rsidRPr="00604294" w:rsidRDefault="003439C5" w:rsidP="003439C5">
            <w:pPr>
              <w:spacing w:before="0" w:after="0"/>
              <w:rPr>
                <w:rFonts w:ascii="Times New Roman" w:hAnsi="Times New Roman"/>
                <w:b/>
                <w:szCs w:val="20"/>
                <w:u w:val="single"/>
                <w:lang w:eastAsia="en-GB"/>
              </w:rPr>
            </w:pPr>
          </w:p>
        </w:tc>
      </w:tr>
      <w:tr w:rsidR="003439C5" w:rsidRPr="00604294" w14:paraId="0F613C49" w14:textId="77777777" w:rsidTr="00D75947">
        <w:trPr>
          <w:trHeight w:val="1020"/>
        </w:trPr>
        <w:tc>
          <w:tcPr>
            <w:tcW w:w="729" w:type="pct"/>
            <w:shd w:val="clear" w:color="auto" w:fill="auto"/>
            <w:noWrap/>
          </w:tcPr>
          <w:p w14:paraId="4517EFDE" w14:textId="2E66E8FE" w:rsidR="003439C5" w:rsidRPr="00604294" w:rsidRDefault="00C90DF5" w:rsidP="003439C5">
            <w:pPr>
              <w:spacing w:before="0" w:after="0"/>
              <w:jc w:val="left"/>
              <w:rPr>
                <w:rFonts w:ascii="Times New Roman" w:hAnsi="Times New Roman"/>
                <w:color w:val="000000"/>
                <w:szCs w:val="20"/>
              </w:rPr>
            </w:pPr>
            <w:r w:rsidRPr="00604294">
              <w:rPr>
                <w:rFonts w:ascii="Times New Roman" w:hAnsi="Times New Roman"/>
                <w:color w:val="000000"/>
              </w:rPr>
              <w:lastRenderedPageBreak/>
              <w:t>0110</w:t>
            </w:r>
          </w:p>
        </w:tc>
        <w:tc>
          <w:tcPr>
            <w:tcW w:w="4271" w:type="pct"/>
            <w:shd w:val="clear" w:color="auto" w:fill="auto"/>
          </w:tcPr>
          <w:p w14:paraId="123E76B1" w14:textId="5627B13B" w:rsidR="003439C5" w:rsidRPr="00604294" w:rsidRDefault="00F40FD4" w:rsidP="00D75947">
            <w:pPr>
              <w:spacing w:before="0" w:after="0"/>
              <w:rPr>
                <w:rFonts w:ascii="Times New Roman" w:hAnsi="Times New Roman"/>
                <w:b/>
                <w:szCs w:val="20"/>
                <w:u w:val="single"/>
              </w:rPr>
            </w:pPr>
            <w:r w:rsidRPr="00604294">
              <w:rPr>
                <w:rFonts w:ascii="Times New Roman" w:hAnsi="Times New Roman"/>
                <w:b/>
                <w:u w:val="single"/>
              </w:rPr>
              <w:t>2.1</w:t>
            </w:r>
            <w:r w:rsidRPr="00604294">
              <w:tab/>
            </w:r>
            <w:r w:rsidRPr="00604294">
              <w:rPr>
                <w:rFonts w:ascii="Times New Roman" w:hAnsi="Times New Roman"/>
                <w:b/>
                <w:u w:val="single"/>
              </w:rPr>
              <w:t>Niezabezpieczone finansowanie hurtowe</w:t>
            </w:r>
          </w:p>
          <w:p w14:paraId="08EF0039" w14:textId="77777777" w:rsidR="00E87A50" w:rsidRPr="00604294" w:rsidRDefault="00E87A50" w:rsidP="00D75947">
            <w:pPr>
              <w:spacing w:before="0" w:after="0"/>
              <w:rPr>
                <w:rFonts w:ascii="Times New Roman" w:hAnsi="Times New Roman"/>
                <w:b/>
                <w:szCs w:val="20"/>
                <w:u w:val="single"/>
                <w:lang w:eastAsia="en-GB"/>
              </w:rPr>
            </w:pPr>
          </w:p>
          <w:p w14:paraId="765487C0" w14:textId="7865180C" w:rsidR="00AD3ACF" w:rsidRPr="00604294" w:rsidRDefault="00AD3ACF" w:rsidP="00AD3ACF">
            <w:pPr>
              <w:spacing w:before="0" w:after="0"/>
              <w:rPr>
                <w:szCs w:val="20"/>
              </w:rPr>
            </w:pPr>
            <w:r w:rsidRPr="00604294">
              <w:rPr>
                <w:rFonts w:ascii="Times New Roman" w:hAnsi="Times New Roman"/>
              </w:rPr>
              <w:t>Wszyscy kontrahenci inni niż kontrahenci depozytów detalicznych zdefiniowanych</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art</w:t>
            </w:r>
            <w:r w:rsidRPr="00604294">
              <w:rPr>
                <w:rFonts w:ascii="Times New Roman" w:hAnsi="Times New Roman"/>
              </w:rPr>
              <w:t>. 411 pkt</w:t>
            </w:r>
            <w:r w:rsidR="00604294" w:rsidRPr="00604294">
              <w:rPr>
                <w:rFonts w:ascii="Times New Roman" w:hAnsi="Times New Roman"/>
              </w:rPr>
              <w:t> </w:t>
            </w:r>
            <w:r w:rsidRPr="00604294">
              <w:rPr>
                <w:rFonts w:ascii="Times New Roman" w:hAnsi="Times New Roman"/>
              </w:rPr>
              <w:t>2 rozporządzenia (UE) nr</w:t>
            </w:r>
            <w:r w:rsidR="00604294" w:rsidRPr="00604294">
              <w:rPr>
                <w:rFonts w:ascii="Times New Roman" w:hAnsi="Times New Roman"/>
              </w:rPr>
              <w:t> </w:t>
            </w:r>
            <w:r w:rsidRPr="00604294">
              <w:rPr>
                <w:rFonts w:ascii="Times New Roman" w:hAnsi="Times New Roman"/>
              </w:rPr>
              <w:t>575/2013,</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prz</w:t>
            </w:r>
            <w:r w:rsidRPr="00604294">
              <w:rPr>
                <w:rFonts w:ascii="Times New Roman" w:hAnsi="Times New Roman"/>
              </w:rPr>
              <w:t>ypadku gdy finansowanie jest niezabezpieczone.</w:t>
            </w:r>
          </w:p>
          <w:p w14:paraId="4259F037" w14:textId="77777777" w:rsidR="003439C5" w:rsidRPr="00604294" w:rsidRDefault="003439C5" w:rsidP="003439C5">
            <w:pPr>
              <w:spacing w:before="0" w:after="0"/>
              <w:rPr>
                <w:rFonts w:ascii="Times New Roman" w:hAnsi="Times New Roman"/>
                <w:b/>
                <w:szCs w:val="20"/>
                <w:u w:val="single"/>
                <w:lang w:eastAsia="en-GB"/>
              </w:rPr>
            </w:pPr>
          </w:p>
        </w:tc>
      </w:tr>
      <w:tr w:rsidR="003439C5" w:rsidRPr="00604294" w14:paraId="53E051F8" w14:textId="77777777" w:rsidTr="00D75947">
        <w:trPr>
          <w:trHeight w:val="1020"/>
        </w:trPr>
        <w:tc>
          <w:tcPr>
            <w:tcW w:w="729" w:type="pct"/>
            <w:shd w:val="clear" w:color="auto" w:fill="auto"/>
            <w:noWrap/>
          </w:tcPr>
          <w:p w14:paraId="6B94D89A" w14:textId="260867F6" w:rsidR="003439C5" w:rsidRPr="00604294" w:rsidRDefault="00C90DF5" w:rsidP="003439C5">
            <w:pPr>
              <w:spacing w:before="0" w:after="0"/>
              <w:jc w:val="left"/>
              <w:rPr>
                <w:rFonts w:ascii="Times New Roman" w:hAnsi="Times New Roman"/>
                <w:color w:val="000000"/>
                <w:szCs w:val="20"/>
              </w:rPr>
            </w:pPr>
            <w:r w:rsidRPr="00604294">
              <w:rPr>
                <w:rFonts w:ascii="Times New Roman" w:hAnsi="Times New Roman"/>
                <w:color w:val="000000"/>
              </w:rPr>
              <w:t>0120</w:t>
            </w:r>
          </w:p>
        </w:tc>
        <w:tc>
          <w:tcPr>
            <w:tcW w:w="4271" w:type="pct"/>
            <w:shd w:val="clear" w:color="auto" w:fill="auto"/>
          </w:tcPr>
          <w:p w14:paraId="6C6FDC97" w14:textId="19A37790" w:rsidR="003439C5" w:rsidRPr="00604294" w:rsidRDefault="00F40FD4" w:rsidP="00D75947">
            <w:pPr>
              <w:spacing w:before="0" w:after="0"/>
              <w:rPr>
                <w:rFonts w:ascii="Times New Roman" w:hAnsi="Times New Roman"/>
                <w:b/>
                <w:szCs w:val="20"/>
                <w:u w:val="single"/>
              </w:rPr>
            </w:pPr>
            <w:r w:rsidRPr="00604294">
              <w:rPr>
                <w:rFonts w:ascii="Times New Roman" w:hAnsi="Times New Roman"/>
                <w:b/>
                <w:u w:val="single"/>
              </w:rPr>
              <w:t>2.1.1</w:t>
            </w:r>
            <w:r w:rsidRPr="00604294">
              <w:tab/>
            </w:r>
            <w:r w:rsidRPr="00604294">
              <w:rPr>
                <w:rFonts w:ascii="Times New Roman" w:hAnsi="Times New Roman"/>
                <w:b/>
                <w:u w:val="single"/>
              </w:rPr>
              <w:t>W tym kredyty</w:t>
            </w:r>
            <w:r w:rsidR="00604294" w:rsidRPr="00604294">
              <w:rPr>
                <w:rFonts w:ascii="Times New Roman" w:hAnsi="Times New Roman"/>
                <w:b/>
                <w:u w:val="single"/>
              </w:rPr>
              <w:t xml:space="preserve"> i</w:t>
            </w:r>
            <w:r w:rsidR="00604294">
              <w:rPr>
                <w:rFonts w:ascii="Times New Roman" w:hAnsi="Times New Roman"/>
                <w:b/>
                <w:u w:val="single"/>
              </w:rPr>
              <w:t> </w:t>
            </w:r>
            <w:r w:rsidR="00604294" w:rsidRPr="00604294">
              <w:rPr>
                <w:rFonts w:ascii="Times New Roman" w:hAnsi="Times New Roman"/>
                <w:b/>
                <w:u w:val="single"/>
              </w:rPr>
              <w:t>dep</w:t>
            </w:r>
            <w:r w:rsidRPr="00604294">
              <w:rPr>
                <w:rFonts w:ascii="Times New Roman" w:hAnsi="Times New Roman"/>
                <w:b/>
                <w:u w:val="single"/>
              </w:rPr>
              <w:t>ozyty od klientów finansowych</w:t>
            </w:r>
          </w:p>
          <w:p w14:paraId="3BB695C9" w14:textId="77777777" w:rsidR="003439C5" w:rsidRPr="00604294" w:rsidRDefault="003439C5" w:rsidP="00D75947">
            <w:pPr>
              <w:spacing w:before="0" w:after="0"/>
              <w:rPr>
                <w:rFonts w:ascii="Times New Roman" w:hAnsi="Times New Roman"/>
                <w:b/>
                <w:szCs w:val="20"/>
                <w:u w:val="single"/>
                <w:lang w:eastAsia="en-GB"/>
              </w:rPr>
            </w:pPr>
          </w:p>
          <w:p w14:paraId="0788F5FB" w14:textId="4F1462C7" w:rsidR="00AD3ACF" w:rsidRPr="00604294" w:rsidRDefault="00AD3ACF" w:rsidP="00AD3ACF">
            <w:pPr>
              <w:spacing w:before="0" w:after="0"/>
              <w:rPr>
                <w:rFonts w:ascii="Times New Roman" w:hAnsi="Times New Roman"/>
                <w:szCs w:val="20"/>
              </w:rPr>
            </w:pPr>
            <w:r w:rsidRPr="00604294">
              <w:rPr>
                <w:rFonts w:ascii="Times New Roman" w:hAnsi="Times New Roman"/>
              </w:rPr>
              <w:t>Kredyty</w:t>
            </w:r>
            <w:r w:rsidR="00604294" w:rsidRPr="00604294">
              <w:rPr>
                <w:rFonts w:ascii="Times New Roman" w:hAnsi="Times New Roman"/>
              </w:rPr>
              <w:t xml:space="preserve"> i</w:t>
            </w:r>
            <w:r w:rsidR="00604294">
              <w:rPr>
                <w:rFonts w:ascii="Times New Roman" w:hAnsi="Times New Roman"/>
              </w:rPr>
              <w:t> </w:t>
            </w:r>
            <w:r w:rsidR="00604294" w:rsidRPr="00604294">
              <w:rPr>
                <w:rFonts w:ascii="Times New Roman" w:hAnsi="Times New Roman"/>
              </w:rPr>
              <w:t>dep</w:t>
            </w:r>
            <w:r w:rsidRPr="00604294">
              <w:rPr>
                <w:rFonts w:ascii="Times New Roman" w:hAnsi="Times New Roman"/>
              </w:rPr>
              <w:t>ozyty od klientów finansowych, wchodzące</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skł</w:t>
            </w:r>
            <w:r w:rsidRPr="00604294">
              <w:rPr>
                <w:rFonts w:ascii="Times New Roman" w:hAnsi="Times New Roman"/>
              </w:rPr>
              <w:t>ad finansowania zgłoszonego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wie</w:t>
            </w:r>
            <w:r w:rsidRPr="00604294">
              <w:rPr>
                <w:rFonts w:ascii="Times New Roman" w:hAnsi="Times New Roman"/>
              </w:rPr>
              <w:t>rszu 0110.</w:t>
            </w:r>
          </w:p>
          <w:p w14:paraId="1EBF28E1" w14:textId="77777777" w:rsidR="00D75947" w:rsidRPr="00604294" w:rsidRDefault="00D75947" w:rsidP="00AD3ACF">
            <w:pPr>
              <w:spacing w:before="0" w:after="0"/>
              <w:rPr>
                <w:rFonts w:ascii="Times New Roman" w:hAnsi="Times New Roman"/>
                <w:szCs w:val="20"/>
                <w:lang w:eastAsia="en-GB"/>
              </w:rPr>
            </w:pPr>
          </w:p>
          <w:p w14:paraId="268FF204" w14:textId="60AA5C50" w:rsidR="00D75947" w:rsidRPr="00604294" w:rsidRDefault="00D75947" w:rsidP="00AD3ACF">
            <w:pPr>
              <w:spacing w:before="0" w:after="0"/>
              <w:rPr>
                <w:rFonts w:ascii="Times New Roman" w:hAnsi="Times New Roman"/>
                <w:szCs w:val="20"/>
              </w:rPr>
            </w:pPr>
            <w:r w:rsidRPr="00604294">
              <w:rPr>
                <w:rFonts w:ascii="Times New Roman" w:hAnsi="Times New Roman"/>
              </w:rPr>
              <w:t xml:space="preserve">W wierszu tym nie uwzględnia się finansowania od banków centralnych. </w:t>
            </w:r>
          </w:p>
          <w:p w14:paraId="4846816F" w14:textId="4CB99B55" w:rsidR="003439C5" w:rsidRPr="00604294" w:rsidRDefault="003439C5" w:rsidP="003439C5">
            <w:pPr>
              <w:spacing w:before="0" w:after="0"/>
              <w:rPr>
                <w:rFonts w:ascii="Times New Roman" w:hAnsi="Times New Roman"/>
                <w:b/>
                <w:szCs w:val="20"/>
                <w:u w:val="single"/>
                <w:lang w:eastAsia="en-GB"/>
              </w:rPr>
            </w:pPr>
          </w:p>
        </w:tc>
      </w:tr>
      <w:tr w:rsidR="003439C5" w:rsidRPr="00604294" w14:paraId="63BC41F1" w14:textId="77777777" w:rsidTr="00D75947">
        <w:trPr>
          <w:trHeight w:val="1020"/>
        </w:trPr>
        <w:tc>
          <w:tcPr>
            <w:tcW w:w="729" w:type="pct"/>
            <w:shd w:val="clear" w:color="auto" w:fill="auto"/>
            <w:noWrap/>
          </w:tcPr>
          <w:p w14:paraId="7837B5F4" w14:textId="14167C7E" w:rsidR="003439C5" w:rsidRPr="00604294" w:rsidRDefault="00C90DF5" w:rsidP="00DD136C">
            <w:pPr>
              <w:spacing w:before="0" w:after="0"/>
              <w:jc w:val="left"/>
              <w:rPr>
                <w:rFonts w:ascii="Times New Roman" w:hAnsi="Times New Roman"/>
                <w:color w:val="000000"/>
                <w:szCs w:val="20"/>
              </w:rPr>
            </w:pPr>
            <w:r w:rsidRPr="00604294">
              <w:rPr>
                <w:rFonts w:ascii="Times New Roman" w:hAnsi="Times New Roman"/>
                <w:color w:val="000000"/>
              </w:rPr>
              <w:t>0130</w:t>
            </w:r>
          </w:p>
        </w:tc>
        <w:tc>
          <w:tcPr>
            <w:tcW w:w="4271" w:type="pct"/>
            <w:shd w:val="clear" w:color="auto" w:fill="auto"/>
          </w:tcPr>
          <w:p w14:paraId="06A755FB" w14:textId="0EC6D48E" w:rsidR="003439C5" w:rsidRPr="00604294" w:rsidRDefault="00F40FD4" w:rsidP="00D75947">
            <w:pPr>
              <w:spacing w:before="0" w:after="0"/>
              <w:rPr>
                <w:rFonts w:ascii="Times New Roman" w:hAnsi="Times New Roman"/>
                <w:b/>
                <w:szCs w:val="20"/>
                <w:u w:val="single"/>
              </w:rPr>
            </w:pPr>
            <w:r w:rsidRPr="00604294">
              <w:rPr>
                <w:rFonts w:ascii="Times New Roman" w:hAnsi="Times New Roman"/>
                <w:b/>
                <w:u w:val="single"/>
              </w:rPr>
              <w:t>2.1.2</w:t>
            </w:r>
            <w:r w:rsidRPr="00604294">
              <w:tab/>
            </w:r>
            <w:r w:rsidRPr="00604294">
              <w:rPr>
                <w:rFonts w:ascii="Times New Roman" w:hAnsi="Times New Roman"/>
                <w:b/>
                <w:u w:val="single"/>
              </w:rPr>
              <w:t>W tym kredyty</w:t>
            </w:r>
            <w:r w:rsidR="00604294" w:rsidRPr="00604294">
              <w:rPr>
                <w:rFonts w:ascii="Times New Roman" w:hAnsi="Times New Roman"/>
                <w:b/>
                <w:u w:val="single"/>
              </w:rPr>
              <w:t xml:space="preserve"> i</w:t>
            </w:r>
            <w:r w:rsidR="00604294">
              <w:rPr>
                <w:rFonts w:ascii="Times New Roman" w:hAnsi="Times New Roman"/>
                <w:b/>
                <w:u w:val="single"/>
              </w:rPr>
              <w:t> </w:t>
            </w:r>
            <w:r w:rsidR="00604294" w:rsidRPr="00604294">
              <w:rPr>
                <w:rFonts w:ascii="Times New Roman" w:hAnsi="Times New Roman"/>
                <w:b/>
                <w:u w:val="single"/>
              </w:rPr>
              <w:t>dep</w:t>
            </w:r>
            <w:r w:rsidRPr="00604294">
              <w:rPr>
                <w:rFonts w:ascii="Times New Roman" w:hAnsi="Times New Roman"/>
                <w:b/>
                <w:u w:val="single"/>
              </w:rPr>
              <w:t>ozyty od klientów niefinansowych</w:t>
            </w:r>
          </w:p>
          <w:p w14:paraId="02E65316" w14:textId="77777777" w:rsidR="003439C5" w:rsidRPr="00604294" w:rsidRDefault="003439C5" w:rsidP="00D75947">
            <w:pPr>
              <w:spacing w:before="0" w:after="0"/>
              <w:rPr>
                <w:rFonts w:ascii="Times New Roman" w:hAnsi="Times New Roman"/>
                <w:b/>
                <w:szCs w:val="20"/>
                <w:u w:val="single"/>
                <w:lang w:eastAsia="en-GB"/>
              </w:rPr>
            </w:pPr>
          </w:p>
          <w:p w14:paraId="6E637B97" w14:textId="4457207F" w:rsidR="00AD3ACF" w:rsidRPr="00604294" w:rsidRDefault="00AD3ACF" w:rsidP="00AD3ACF">
            <w:pPr>
              <w:spacing w:before="0" w:after="0"/>
              <w:rPr>
                <w:rFonts w:ascii="Times New Roman" w:hAnsi="Times New Roman"/>
                <w:szCs w:val="20"/>
              </w:rPr>
            </w:pPr>
            <w:r w:rsidRPr="00604294">
              <w:rPr>
                <w:rFonts w:ascii="Times New Roman" w:hAnsi="Times New Roman"/>
              </w:rPr>
              <w:t>Kredyty</w:t>
            </w:r>
            <w:r w:rsidR="00604294" w:rsidRPr="00604294">
              <w:rPr>
                <w:rFonts w:ascii="Times New Roman" w:hAnsi="Times New Roman"/>
              </w:rPr>
              <w:t xml:space="preserve"> i</w:t>
            </w:r>
            <w:r w:rsidR="00604294">
              <w:rPr>
                <w:rFonts w:ascii="Times New Roman" w:hAnsi="Times New Roman"/>
              </w:rPr>
              <w:t> </w:t>
            </w:r>
            <w:r w:rsidR="00604294" w:rsidRPr="00604294">
              <w:rPr>
                <w:rFonts w:ascii="Times New Roman" w:hAnsi="Times New Roman"/>
              </w:rPr>
              <w:t>dep</w:t>
            </w:r>
            <w:r w:rsidRPr="00604294">
              <w:rPr>
                <w:rFonts w:ascii="Times New Roman" w:hAnsi="Times New Roman"/>
              </w:rPr>
              <w:t>ozyty od klientów niefinansowych, wchodzące</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skł</w:t>
            </w:r>
            <w:r w:rsidRPr="00604294">
              <w:rPr>
                <w:rFonts w:ascii="Times New Roman" w:hAnsi="Times New Roman"/>
              </w:rPr>
              <w:t>ad finansowania zgłoszonego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wie</w:t>
            </w:r>
            <w:r w:rsidRPr="00604294">
              <w:rPr>
                <w:rFonts w:ascii="Times New Roman" w:hAnsi="Times New Roman"/>
              </w:rPr>
              <w:t>rszu 0110.</w:t>
            </w:r>
          </w:p>
          <w:p w14:paraId="4A6E9ABD" w14:textId="77777777" w:rsidR="00D75947" w:rsidRPr="00604294" w:rsidRDefault="00D75947" w:rsidP="00AD3ACF">
            <w:pPr>
              <w:spacing w:before="0" w:after="0"/>
              <w:rPr>
                <w:rFonts w:ascii="Times New Roman" w:hAnsi="Times New Roman"/>
                <w:szCs w:val="20"/>
                <w:lang w:eastAsia="en-GB"/>
              </w:rPr>
            </w:pPr>
          </w:p>
          <w:p w14:paraId="1033118A" w14:textId="655EE402" w:rsidR="00D75947" w:rsidRPr="00604294" w:rsidRDefault="00D75947" w:rsidP="00AD3ACF">
            <w:pPr>
              <w:spacing w:before="0" w:after="0"/>
              <w:rPr>
                <w:rFonts w:ascii="Times New Roman" w:hAnsi="Times New Roman"/>
                <w:szCs w:val="20"/>
              </w:rPr>
            </w:pPr>
            <w:r w:rsidRPr="00604294">
              <w:rPr>
                <w:rFonts w:ascii="Times New Roman" w:hAnsi="Times New Roman"/>
              </w:rPr>
              <w:t>W wierszu tym nie uwzględnia się finansowania od banków centralnych.</w:t>
            </w:r>
          </w:p>
          <w:p w14:paraId="0C4C3C91" w14:textId="4533C6EE" w:rsidR="003439C5" w:rsidRPr="00604294" w:rsidRDefault="003439C5" w:rsidP="003439C5">
            <w:pPr>
              <w:spacing w:before="0" w:after="0"/>
              <w:rPr>
                <w:rFonts w:ascii="Times New Roman" w:hAnsi="Times New Roman"/>
                <w:b/>
                <w:szCs w:val="20"/>
                <w:u w:val="single"/>
                <w:lang w:eastAsia="en-GB"/>
              </w:rPr>
            </w:pPr>
          </w:p>
        </w:tc>
      </w:tr>
      <w:tr w:rsidR="003439C5" w:rsidRPr="00604294" w14:paraId="445F9D74" w14:textId="77777777" w:rsidTr="00D75947">
        <w:trPr>
          <w:trHeight w:val="1020"/>
        </w:trPr>
        <w:tc>
          <w:tcPr>
            <w:tcW w:w="729" w:type="pct"/>
            <w:shd w:val="clear" w:color="auto" w:fill="auto"/>
            <w:noWrap/>
          </w:tcPr>
          <w:p w14:paraId="6F6E6B72" w14:textId="4656ED36" w:rsidR="003439C5" w:rsidRPr="00604294" w:rsidRDefault="00C90DF5" w:rsidP="003439C5">
            <w:pPr>
              <w:spacing w:before="0" w:after="0"/>
              <w:jc w:val="left"/>
              <w:rPr>
                <w:rFonts w:ascii="Times New Roman" w:hAnsi="Times New Roman"/>
                <w:color w:val="000000"/>
                <w:szCs w:val="20"/>
              </w:rPr>
            </w:pPr>
            <w:r w:rsidRPr="00604294">
              <w:rPr>
                <w:rFonts w:ascii="Times New Roman" w:hAnsi="Times New Roman"/>
                <w:color w:val="000000"/>
              </w:rPr>
              <w:t>0140</w:t>
            </w:r>
          </w:p>
        </w:tc>
        <w:tc>
          <w:tcPr>
            <w:tcW w:w="4271" w:type="pct"/>
            <w:shd w:val="clear" w:color="auto" w:fill="auto"/>
          </w:tcPr>
          <w:p w14:paraId="08468F41" w14:textId="5203BE24" w:rsidR="003439C5" w:rsidRPr="00604294" w:rsidRDefault="00F40FD4" w:rsidP="00D75947">
            <w:pPr>
              <w:spacing w:before="0" w:after="0"/>
              <w:rPr>
                <w:rFonts w:ascii="Times New Roman" w:hAnsi="Times New Roman"/>
                <w:b/>
                <w:szCs w:val="20"/>
                <w:u w:val="single"/>
              </w:rPr>
            </w:pPr>
            <w:r w:rsidRPr="00604294">
              <w:rPr>
                <w:rFonts w:ascii="Times New Roman" w:hAnsi="Times New Roman"/>
                <w:b/>
                <w:u w:val="single"/>
              </w:rPr>
              <w:t>2.1.3</w:t>
            </w:r>
            <w:r w:rsidRPr="00604294">
              <w:tab/>
            </w:r>
            <w:r w:rsidRPr="00604294">
              <w:rPr>
                <w:rFonts w:ascii="Times New Roman" w:hAnsi="Times New Roman"/>
                <w:b/>
                <w:u w:val="single"/>
              </w:rPr>
              <w:t>W tym kredyty</w:t>
            </w:r>
            <w:r w:rsidR="00604294" w:rsidRPr="00604294">
              <w:rPr>
                <w:rFonts w:ascii="Times New Roman" w:hAnsi="Times New Roman"/>
                <w:b/>
                <w:u w:val="single"/>
              </w:rPr>
              <w:t xml:space="preserve"> i</w:t>
            </w:r>
            <w:r w:rsidR="00604294">
              <w:rPr>
                <w:rFonts w:ascii="Times New Roman" w:hAnsi="Times New Roman"/>
                <w:b/>
                <w:u w:val="single"/>
              </w:rPr>
              <w:t> </w:t>
            </w:r>
            <w:r w:rsidR="00604294" w:rsidRPr="00604294">
              <w:rPr>
                <w:rFonts w:ascii="Times New Roman" w:hAnsi="Times New Roman"/>
                <w:b/>
                <w:u w:val="single"/>
              </w:rPr>
              <w:t>dep</w:t>
            </w:r>
            <w:r w:rsidRPr="00604294">
              <w:rPr>
                <w:rFonts w:ascii="Times New Roman" w:hAnsi="Times New Roman"/>
                <w:b/>
                <w:u w:val="single"/>
              </w:rPr>
              <w:t>ozyty od podmiotów wchodzących</w:t>
            </w:r>
            <w:r w:rsidR="00604294" w:rsidRPr="00604294">
              <w:rPr>
                <w:rFonts w:ascii="Times New Roman" w:hAnsi="Times New Roman"/>
                <w:b/>
                <w:u w:val="single"/>
              </w:rPr>
              <w:t xml:space="preserve"> w</w:t>
            </w:r>
            <w:r w:rsidR="00604294">
              <w:rPr>
                <w:rFonts w:ascii="Times New Roman" w:hAnsi="Times New Roman"/>
                <w:b/>
                <w:u w:val="single"/>
              </w:rPr>
              <w:t> </w:t>
            </w:r>
            <w:r w:rsidR="00604294" w:rsidRPr="00604294">
              <w:rPr>
                <w:rFonts w:ascii="Times New Roman" w:hAnsi="Times New Roman"/>
                <w:b/>
                <w:u w:val="single"/>
              </w:rPr>
              <w:t>skł</w:t>
            </w:r>
            <w:r w:rsidRPr="00604294">
              <w:rPr>
                <w:rFonts w:ascii="Times New Roman" w:hAnsi="Times New Roman"/>
                <w:b/>
                <w:u w:val="single"/>
              </w:rPr>
              <w:t>ad grupy</w:t>
            </w:r>
          </w:p>
          <w:p w14:paraId="19D87853" w14:textId="77777777" w:rsidR="00AD3ACF" w:rsidRPr="00604294" w:rsidRDefault="00AD3ACF" w:rsidP="00AD3ACF">
            <w:pPr>
              <w:spacing w:before="0" w:after="0"/>
              <w:rPr>
                <w:rFonts w:ascii="Times New Roman" w:hAnsi="Times New Roman"/>
                <w:szCs w:val="20"/>
                <w:lang w:eastAsia="en-GB"/>
              </w:rPr>
            </w:pPr>
          </w:p>
          <w:p w14:paraId="1FDA6EC6" w14:textId="4509BF48" w:rsidR="00AD3ACF" w:rsidRPr="00604294" w:rsidRDefault="00AD3ACF" w:rsidP="008E720B">
            <w:pPr>
              <w:spacing w:before="0" w:after="0"/>
              <w:rPr>
                <w:rFonts w:ascii="Times New Roman" w:hAnsi="Times New Roman"/>
                <w:szCs w:val="20"/>
              </w:rPr>
            </w:pPr>
            <w:r w:rsidRPr="00604294">
              <w:rPr>
                <w:rFonts w:ascii="Times New Roman" w:hAnsi="Times New Roman"/>
              </w:rPr>
              <w:t>Kredyty</w:t>
            </w:r>
            <w:r w:rsidR="00604294" w:rsidRPr="00604294">
              <w:rPr>
                <w:rFonts w:ascii="Times New Roman" w:hAnsi="Times New Roman"/>
              </w:rPr>
              <w:t xml:space="preserve"> i</w:t>
            </w:r>
            <w:r w:rsidR="00604294">
              <w:rPr>
                <w:rFonts w:ascii="Times New Roman" w:hAnsi="Times New Roman"/>
              </w:rPr>
              <w:t> </w:t>
            </w:r>
            <w:r w:rsidR="00604294" w:rsidRPr="00604294">
              <w:rPr>
                <w:rFonts w:ascii="Times New Roman" w:hAnsi="Times New Roman"/>
              </w:rPr>
              <w:t>dep</w:t>
            </w:r>
            <w:r w:rsidRPr="00604294">
              <w:rPr>
                <w:rFonts w:ascii="Times New Roman" w:hAnsi="Times New Roman"/>
              </w:rPr>
              <w:t>ozyty od podmiotów wchodzących</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skł</w:t>
            </w:r>
            <w:r w:rsidRPr="00604294">
              <w:rPr>
                <w:rFonts w:ascii="Times New Roman" w:hAnsi="Times New Roman"/>
              </w:rPr>
              <w:t>ad grupy,</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prz</w:t>
            </w:r>
            <w:r w:rsidRPr="00604294">
              <w:rPr>
                <w:rFonts w:ascii="Times New Roman" w:hAnsi="Times New Roman"/>
              </w:rPr>
              <w:t>ypadku gdy kontrahent jest instytucją dominującą lub zależną instytucji lub inną instytucją zależną tej samej instytucji dominującej lub jest powiązany</w:t>
            </w:r>
            <w:r w:rsidR="00604294" w:rsidRPr="00604294">
              <w:rPr>
                <w:rFonts w:ascii="Times New Roman" w:hAnsi="Times New Roman"/>
              </w:rPr>
              <w:t xml:space="preserve"> z</w:t>
            </w:r>
            <w:r w:rsidR="00604294">
              <w:rPr>
                <w:rFonts w:ascii="Times New Roman" w:hAnsi="Times New Roman"/>
              </w:rPr>
              <w:t> </w:t>
            </w:r>
            <w:r w:rsidR="00604294" w:rsidRPr="00604294">
              <w:rPr>
                <w:rFonts w:ascii="Times New Roman" w:hAnsi="Times New Roman"/>
              </w:rPr>
              <w:t>ins</w:t>
            </w:r>
            <w:r w:rsidRPr="00604294">
              <w:rPr>
                <w:rFonts w:ascii="Times New Roman" w:hAnsi="Times New Roman"/>
              </w:rPr>
              <w:t>tytucją kredytową stosunkiem</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roz</w:t>
            </w:r>
            <w:r w:rsidRPr="00604294">
              <w:rPr>
                <w:rFonts w:ascii="Times New Roman" w:hAnsi="Times New Roman"/>
              </w:rPr>
              <w:t>umieniu art. 22 ust. 7 dyrektywy 2013/34/UE, wchodzące</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skł</w:t>
            </w:r>
            <w:r w:rsidRPr="00604294">
              <w:rPr>
                <w:rFonts w:ascii="Times New Roman" w:hAnsi="Times New Roman"/>
              </w:rPr>
              <w:t>ad finansowania zgłoszonego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wie</w:t>
            </w:r>
            <w:r w:rsidRPr="00604294">
              <w:rPr>
                <w:rFonts w:ascii="Times New Roman" w:hAnsi="Times New Roman"/>
              </w:rPr>
              <w:t>rszu 0110.</w:t>
            </w:r>
          </w:p>
          <w:p w14:paraId="2FC0AC9F" w14:textId="77777777" w:rsidR="00274EE9" w:rsidRPr="00604294" w:rsidRDefault="00274EE9" w:rsidP="00AD3ACF">
            <w:pPr>
              <w:spacing w:before="0" w:after="0"/>
              <w:rPr>
                <w:rFonts w:ascii="Times New Roman" w:hAnsi="Times New Roman"/>
                <w:szCs w:val="20"/>
                <w:lang w:eastAsia="en-GB"/>
              </w:rPr>
            </w:pPr>
          </w:p>
          <w:p w14:paraId="7A1CF7E9" w14:textId="5FA39C4B" w:rsidR="003439C5" w:rsidRPr="00604294" w:rsidRDefault="00274EE9" w:rsidP="00274EE9">
            <w:pPr>
              <w:spacing w:before="0" w:after="0"/>
              <w:rPr>
                <w:rFonts w:ascii="Times New Roman" w:hAnsi="Times New Roman"/>
                <w:b/>
                <w:szCs w:val="20"/>
                <w:u w:val="single"/>
              </w:rPr>
            </w:pPr>
            <w:r w:rsidRPr="00604294">
              <w:rPr>
                <w:rFonts w:ascii="Times New Roman" w:hAnsi="Times New Roman"/>
              </w:rPr>
              <w:t>Finansowanie hurtowe od podmiotów wchodzących</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skł</w:t>
            </w:r>
            <w:r w:rsidRPr="00604294">
              <w:rPr>
                <w:rFonts w:ascii="Times New Roman" w:hAnsi="Times New Roman"/>
              </w:rPr>
              <w:t>ad grupy zgłasza się wyłącznie na zasadzie nieskonsolidowanej lub subskonsolidowanej.</w:t>
            </w:r>
          </w:p>
        </w:tc>
      </w:tr>
      <w:tr w:rsidR="003439C5" w:rsidRPr="00604294" w14:paraId="658E2622" w14:textId="77777777" w:rsidTr="00D75947">
        <w:trPr>
          <w:trHeight w:val="1020"/>
        </w:trPr>
        <w:tc>
          <w:tcPr>
            <w:tcW w:w="729" w:type="pct"/>
            <w:shd w:val="clear" w:color="auto" w:fill="auto"/>
            <w:noWrap/>
          </w:tcPr>
          <w:p w14:paraId="1089A569" w14:textId="0B1D3526" w:rsidR="003439C5" w:rsidRPr="00604294" w:rsidRDefault="00C90DF5" w:rsidP="003439C5">
            <w:pPr>
              <w:spacing w:before="0" w:after="0"/>
              <w:jc w:val="left"/>
              <w:rPr>
                <w:rFonts w:ascii="Times New Roman" w:hAnsi="Times New Roman"/>
                <w:color w:val="000000"/>
                <w:szCs w:val="20"/>
              </w:rPr>
            </w:pPr>
            <w:r w:rsidRPr="00604294">
              <w:rPr>
                <w:rFonts w:ascii="Times New Roman" w:hAnsi="Times New Roman"/>
                <w:color w:val="000000"/>
              </w:rPr>
              <w:t>0150</w:t>
            </w:r>
          </w:p>
        </w:tc>
        <w:tc>
          <w:tcPr>
            <w:tcW w:w="4271" w:type="pct"/>
            <w:shd w:val="clear" w:color="auto" w:fill="auto"/>
          </w:tcPr>
          <w:p w14:paraId="46EF8EC5" w14:textId="56C23DBB" w:rsidR="003439C5" w:rsidRPr="00604294" w:rsidRDefault="00F40FD4" w:rsidP="003439C5">
            <w:pPr>
              <w:spacing w:before="0" w:after="0"/>
              <w:rPr>
                <w:rFonts w:ascii="Times New Roman" w:hAnsi="Times New Roman"/>
                <w:b/>
                <w:szCs w:val="20"/>
                <w:u w:val="single"/>
              </w:rPr>
            </w:pPr>
            <w:r w:rsidRPr="00604294">
              <w:rPr>
                <w:rFonts w:ascii="Times New Roman" w:hAnsi="Times New Roman"/>
                <w:b/>
                <w:u w:val="single"/>
              </w:rPr>
              <w:t>2.2</w:t>
            </w:r>
            <w:r w:rsidRPr="00604294">
              <w:tab/>
            </w:r>
            <w:r w:rsidRPr="00604294">
              <w:rPr>
                <w:rFonts w:ascii="Times New Roman" w:hAnsi="Times New Roman"/>
                <w:b/>
                <w:u w:val="single"/>
              </w:rPr>
              <w:t xml:space="preserve">Zabezpieczone finansowanie hurtowe </w:t>
            </w:r>
          </w:p>
          <w:p w14:paraId="4AE66107" w14:textId="77777777" w:rsidR="00274EE9" w:rsidRPr="00604294" w:rsidRDefault="00274EE9" w:rsidP="00274EE9">
            <w:pPr>
              <w:spacing w:before="0" w:after="0"/>
              <w:rPr>
                <w:rFonts w:ascii="Times New Roman" w:hAnsi="Times New Roman"/>
                <w:szCs w:val="20"/>
                <w:lang w:eastAsia="en-GB"/>
              </w:rPr>
            </w:pPr>
          </w:p>
          <w:p w14:paraId="235C9947" w14:textId="76D3EE0B" w:rsidR="00274EE9" w:rsidRPr="00604294" w:rsidRDefault="00274EE9" w:rsidP="00274EE9">
            <w:pPr>
              <w:spacing w:before="0" w:after="0"/>
              <w:rPr>
                <w:szCs w:val="20"/>
              </w:rPr>
            </w:pPr>
            <w:r w:rsidRPr="00604294">
              <w:rPr>
                <w:rFonts w:ascii="Times New Roman" w:hAnsi="Times New Roman"/>
              </w:rPr>
              <w:t>Wszyscy kontrahenci inni niż kontrahenci depozytów detalicznych zdefiniowanych</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art</w:t>
            </w:r>
            <w:r w:rsidRPr="00604294">
              <w:rPr>
                <w:rFonts w:ascii="Times New Roman" w:hAnsi="Times New Roman"/>
              </w:rPr>
              <w:t>. 411 pkt</w:t>
            </w:r>
            <w:r w:rsidR="00604294" w:rsidRPr="00604294">
              <w:rPr>
                <w:rFonts w:ascii="Times New Roman" w:hAnsi="Times New Roman"/>
              </w:rPr>
              <w:t> </w:t>
            </w:r>
            <w:r w:rsidRPr="00604294">
              <w:rPr>
                <w:rFonts w:ascii="Times New Roman" w:hAnsi="Times New Roman"/>
              </w:rPr>
              <w:t>2 rozporządzenia (UE) nr</w:t>
            </w:r>
            <w:r w:rsidR="00604294" w:rsidRPr="00604294">
              <w:rPr>
                <w:rFonts w:ascii="Times New Roman" w:hAnsi="Times New Roman"/>
              </w:rPr>
              <w:t> </w:t>
            </w:r>
            <w:r w:rsidRPr="00604294">
              <w:rPr>
                <w:rFonts w:ascii="Times New Roman" w:hAnsi="Times New Roman"/>
              </w:rPr>
              <w:t>575/2013,</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prz</w:t>
            </w:r>
            <w:r w:rsidRPr="00604294">
              <w:rPr>
                <w:rFonts w:ascii="Times New Roman" w:hAnsi="Times New Roman"/>
              </w:rPr>
              <w:t>ypadku gdy finansowanie jest zabezpieczone.</w:t>
            </w:r>
          </w:p>
          <w:p w14:paraId="0B9B72C2" w14:textId="273E7D60" w:rsidR="003439C5" w:rsidRPr="00604294" w:rsidRDefault="003439C5" w:rsidP="003439C5">
            <w:pPr>
              <w:spacing w:before="0" w:after="0"/>
              <w:rPr>
                <w:rFonts w:ascii="Times New Roman" w:hAnsi="Times New Roman"/>
                <w:b/>
                <w:szCs w:val="20"/>
                <w:u w:val="single"/>
                <w:lang w:eastAsia="en-GB"/>
              </w:rPr>
            </w:pPr>
          </w:p>
        </w:tc>
      </w:tr>
      <w:tr w:rsidR="003439C5" w:rsidRPr="00604294" w14:paraId="2EB68234" w14:textId="77777777" w:rsidTr="00D75947">
        <w:trPr>
          <w:trHeight w:val="1020"/>
        </w:trPr>
        <w:tc>
          <w:tcPr>
            <w:tcW w:w="729" w:type="pct"/>
            <w:shd w:val="clear" w:color="auto" w:fill="auto"/>
            <w:noWrap/>
          </w:tcPr>
          <w:p w14:paraId="62D3C328" w14:textId="25E885A9" w:rsidR="003439C5" w:rsidRPr="00604294" w:rsidRDefault="00C90DF5" w:rsidP="003439C5">
            <w:pPr>
              <w:spacing w:before="0" w:after="0"/>
              <w:jc w:val="left"/>
              <w:rPr>
                <w:rFonts w:ascii="Times New Roman" w:hAnsi="Times New Roman"/>
                <w:color w:val="000000"/>
                <w:szCs w:val="20"/>
              </w:rPr>
            </w:pPr>
            <w:r w:rsidRPr="00604294">
              <w:rPr>
                <w:rFonts w:ascii="Times New Roman" w:hAnsi="Times New Roman"/>
                <w:color w:val="000000"/>
              </w:rPr>
              <w:t>0160</w:t>
            </w:r>
          </w:p>
        </w:tc>
        <w:tc>
          <w:tcPr>
            <w:tcW w:w="4271" w:type="pct"/>
            <w:shd w:val="clear" w:color="auto" w:fill="auto"/>
          </w:tcPr>
          <w:p w14:paraId="26450696" w14:textId="45F6C437" w:rsidR="003439C5" w:rsidRPr="00604294" w:rsidRDefault="00F40FD4" w:rsidP="003439C5">
            <w:pPr>
              <w:spacing w:before="0" w:after="0"/>
              <w:rPr>
                <w:rFonts w:ascii="Times New Roman" w:hAnsi="Times New Roman"/>
                <w:b/>
                <w:szCs w:val="20"/>
                <w:u w:val="single"/>
              </w:rPr>
            </w:pPr>
            <w:r w:rsidRPr="00604294">
              <w:rPr>
                <w:rFonts w:ascii="Times New Roman" w:hAnsi="Times New Roman"/>
                <w:b/>
                <w:u w:val="single"/>
              </w:rPr>
              <w:t>2.2.1</w:t>
            </w:r>
            <w:r w:rsidRPr="00604294">
              <w:tab/>
            </w:r>
            <w:r w:rsidRPr="00604294">
              <w:rPr>
                <w:rFonts w:ascii="Times New Roman" w:hAnsi="Times New Roman"/>
                <w:b/>
                <w:u w:val="single"/>
              </w:rPr>
              <w:t>W tym SFT (transakcje finansowane</w:t>
            </w:r>
            <w:r w:rsidR="00604294" w:rsidRPr="00604294">
              <w:rPr>
                <w:rFonts w:ascii="Times New Roman" w:hAnsi="Times New Roman"/>
                <w:b/>
                <w:u w:val="single"/>
              </w:rPr>
              <w:t xml:space="preserve"> z</w:t>
            </w:r>
            <w:r w:rsidR="00604294">
              <w:rPr>
                <w:rFonts w:ascii="Times New Roman" w:hAnsi="Times New Roman"/>
                <w:b/>
                <w:u w:val="single"/>
              </w:rPr>
              <w:t> </w:t>
            </w:r>
            <w:r w:rsidR="00604294" w:rsidRPr="00604294">
              <w:rPr>
                <w:rFonts w:ascii="Times New Roman" w:hAnsi="Times New Roman"/>
                <w:b/>
                <w:u w:val="single"/>
              </w:rPr>
              <w:t>uży</w:t>
            </w:r>
            <w:r w:rsidRPr="00604294">
              <w:rPr>
                <w:rFonts w:ascii="Times New Roman" w:hAnsi="Times New Roman"/>
                <w:b/>
                <w:u w:val="single"/>
              </w:rPr>
              <w:t>ciem papierów wartościowych)</w:t>
            </w:r>
          </w:p>
          <w:p w14:paraId="07691F9D" w14:textId="77777777" w:rsidR="00274EE9" w:rsidRPr="00604294" w:rsidRDefault="00274EE9" w:rsidP="00274EE9">
            <w:pPr>
              <w:spacing w:before="0" w:after="0"/>
              <w:rPr>
                <w:rFonts w:ascii="Times New Roman" w:hAnsi="Times New Roman"/>
                <w:szCs w:val="20"/>
                <w:lang w:eastAsia="en-GB"/>
              </w:rPr>
            </w:pPr>
          </w:p>
          <w:p w14:paraId="56E76DB8" w14:textId="378151C3" w:rsidR="00274EE9" w:rsidRPr="00604294" w:rsidRDefault="00274EE9" w:rsidP="00274EE9">
            <w:pPr>
              <w:spacing w:before="0" w:after="0"/>
              <w:rPr>
                <w:szCs w:val="20"/>
              </w:rPr>
            </w:pPr>
            <w:r w:rsidRPr="00604294">
              <w:rPr>
                <w:rFonts w:ascii="Times New Roman" w:hAnsi="Times New Roman"/>
              </w:rPr>
              <w:t>Finansowanie uzyskane</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ram</w:t>
            </w:r>
            <w:r w:rsidRPr="00604294">
              <w:rPr>
                <w:rFonts w:ascii="Times New Roman" w:hAnsi="Times New Roman"/>
              </w:rPr>
              <w:t>ach umów</w:t>
            </w:r>
            <w:r w:rsidR="00604294" w:rsidRPr="00604294">
              <w:rPr>
                <w:rFonts w:ascii="Times New Roman" w:hAnsi="Times New Roman"/>
              </w:rPr>
              <w:t xml:space="preserve"> z</w:t>
            </w:r>
            <w:r w:rsidR="00604294">
              <w:rPr>
                <w:rFonts w:ascii="Times New Roman" w:hAnsi="Times New Roman"/>
              </w:rPr>
              <w:t> </w:t>
            </w:r>
            <w:r w:rsidR="00604294" w:rsidRPr="00604294">
              <w:rPr>
                <w:rFonts w:ascii="Times New Roman" w:hAnsi="Times New Roman"/>
              </w:rPr>
              <w:t>udz</w:t>
            </w:r>
            <w:r w:rsidRPr="00604294">
              <w:rPr>
                <w:rFonts w:ascii="Times New Roman" w:hAnsi="Times New Roman"/>
              </w:rPr>
              <w:t>ielonym przyrzeczeniem odkupu określonych</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art</w:t>
            </w:r>
            <w:r w:rsidRPr="00604294">
              <w:rPr>
                <w:rFonts w:ascii="Times New Roman" w:hAnsi="Times New Roman"/>
              </w:rPr>
              <w:t>. 4 ust. 1 pkt</w:t>
            </w:r>
            <w:r w:rsidR="00604294" w:rsidRPr="00604294">
              <w:rPr>
                <w:rFonts w:ascii="Times New Roman" w:hAnsi="Times New Roman"/>
              </w:rPr>
              <w:t> </w:t>
            </w:r>
            <w:r w:rsidRPr="00604294">
              <w:rPr>
                <w:rFonts w:ascii="Times New Roman" w:hAnsi="Times New Roman"/>
              </w:rPr>
              <w:t>82 rozporządzenia (UE) nr</w:t>
            </w:r>
            <w:r w:rsidR="00604294" w:rsidRPr="00604294">
              <w:rPr>
                <w:rFonts w:ascii="Times New Roman" w:hAnsi="Times New Roman"/>
              </w:rPr>
              <w:t> </w:t>
            </w:r>
            <w:r w:rsidRPr="00604294">
              <w:rPr>
                <w:rFonts w:ascii="Times New Roman" w:hAnsi="Times New Roman"/>
              </w:rPr>
              <w:t>575/2013, wchodzące</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skł</w:t>
            </w:r>
            <w:r w:rsidRPr="00604294">
              <w:rPr>
                <w:rFonts w:ascii="Times New Roman" w:hAnsi="Times New Roman"/>
              </w:rPr>
              <w:t>ad finansowania zgłoszonego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wie</w:t>
            </w:r>
            <w:r w:rsidRPr="00604294">
              <w:rPr>
                <w:rFonts w:ascii="Times New Roman" w:hAnsi="Times New Roman"/>
              </w:rPr>
              <w:t>rszu 0150.</w:t>
            </w:r>
          </w:p>
          <w:p w14:paraId="70F2D3DC" w14:textId="6524FC14" w:rsidR="003439C5" w:rsidRPr="00604294" w:rsidRDefault="003439C5" w:rsidP="003439C5">
            <w:pPr>
              <w:spacing w:before="0" w:after="0"/>
              <w:rPr>
                <w:rFonts w:ascii="Times New Roman" w:hAnsi="Times New Roman"/>
                <w:b/>
                <w:szCs w:val="20"/>
                <w:u w:val="single"/>
                <w:lang w:eastAsia="en-GB"/>
              </w:rPr>
            </w:pPr>
          </w:p>
        </w:tc>
      </w:tr>
      <w:tr w:rsidR="003439C5" w:rsidRPr="00604294" w14:paraId="1B268195" w14:textId="77777777" w:rsidTr="00D75947">
        <w:trPr>
          <w:trHeight w:val="1020"/>
        </w:trPr>
        <w:tc>
          <w:tcPr>
            <w:tcW w:w="729" w:type="pct"/>
            <w:shd w:val="clear" w:color="auto" w:fill="auto"/>
            <w:noWrap/>
          </w:tcPr>
          <w:p w14:paraId="636EECA5" w14:textId="6E8B1E7F" w:rsidR="003439C5" w:rsidRPr="00604294" w:rsidRDefault="00C90DF5" w:rsidP="003439C5">
            <w:pPr>
              <w:spacing w:before="0" w:after="0"/>
              <w:jc w:val="left"/>
              <w:rPr>
                <w:rFonts w:ascii="Times New Roman" w:hAnsi="Times New Roman"/>
                <w:color w:val="000000"/>
                <w:szCs w:val="20"/>
              </w:rPr>
            </w:pPr>
            <w:r w:rsidRPr="00604294">
              <w:rPr>
                <w:rFonts w:ascii="Times New Roman" w:hAnsi="Times New Roman"/>
                <w:color w:val="000000"/>
              </w:rPr>
              <w:t>0170</w:t>
            </w:r>
          </w:p>
        </w:tc>
        <w:tc>
          <w:tcPr>
            <w:tcW w:w="4271" w:type="pct"/>
            <w:shd w:val="clear" w:color="auto" w:fill="auto"/>
          </w:tcPr>
          <w:p w14:paraId="3FE9A1CB" w14:textId="355DF6A4" w:rsidR="003439C5" w:rsidRPr="00604294" w:rsidRDefault="00F40FD4" w:rsidP="00D75947">
            <w:pPr>
              <w:spacing w:before="0" w:after="0"/>
              <w:rPr>
                <w:rFonts w:ascii="Times New Roman" w:hAnsi="Times New Roman"/>
                <w:b/>
                <w:szCs w:val="20"/>
                <w:u w:val="single"/>
              </w:rPr>
            </w:pPr>
            <w:r w:rsidRPr="00604294">
              <w:rPr>
                <w:rFonts w:ascii="Times New Roman" w:hAnsi="Times New Roman"/>
                <w:b/>
                <w:u w:val="single"/>
              </w:rPr>
              <w:t>2.2.2</w:t>
            </w:r>
            <w:r w:rsidRPr="00604294">
              <w:tab/>
            </w:r>
            <w:r w:rsidRPr="00604294">
              <w:rPr>
                <w:rFonts w:ascii="Times New Roman" w:hAnsi="Times New Roman"/>
                <w:b/>
                <w:u w:val="single"/>
              </w:rPr>
              <w:t>W tym emisje obligacji zabezpieczonych</w:t>
            </w:r>
          </w:p>
          <w:p w14:paraId="00F0B9AC" w14:textId="77777777" w:rsidR="003439C5" w:rsidRPr="00604294" w:rsidRDefault="003439C5" w:rsidP="00D75947">
            <w:pPr>
              <w:spacing w:before="0" w:after="0"/>
              <w:rPr>
                <w:rFonts w:ascii="Times New Roman" w:hAnsi="Times New Roman"/>
                <w:b/>
                <w:szCs w:val="20"/>
                <w:u w:val="single"/>
                <w:lang w:eastAsia="en-GB"/>
              </w:rPr>
            </w:pPr>
          </w:p>
          <w:p w14:paraId="31797266" w14:textId="450D32FB" w:rsidR="003439C5" w:rsidRPr="00604294" w:rsidRDefault="00274EE9">
            <w:pPr>
              <w:spacing w:before="0" w:after="0"/>
              <w:rPr>
                <w:rFonts w:ascii="Times New Roman" w:hAnsi="Times New Roman"/>
                <w:b/>
                <w:szCs w:val="20"/>
                <w:u w:val="single"/>
              </w:rPr>
            </w:pPr>
            <w:r w:rsidRPr="00604294">
              <w:rPr>
                <w:rFonts w:ascii="Times New Roman" w:hAnsi="Times New Roman"/>
              </w:rPr>
              <w:t>Finansowanie uzyskane</w:t>
            </w:r>
            <w:r w:rsidR="00604294" w:rsidRPr="00604294">
              <w:rPr>
                <w:rFonts w:ascii="Times New Roman" w:hAnsi="Times New Roman"/>
              </w:rPr>
              <w:t xml:space="preserve"> z</w:t>
            </w:r>
            <w:r w:rsidR="00604294">
              <w:rPr>
                <w:rFonts w:ascii="Times New Roman" w:hAnsi="Times New Roman"/>
              </w:rPr>
              <w:t> </w:t>
            </w:r>
            <w:r w:rsidR="00604294" w:rsidRPr="00604294">
              <w:rPr>
                <w:rFonts w:ascii="Times New Roman" w:hAnsi="Times New Roman"/>
              </w:rPr>
              <w:t>emi</w:t>
            </w:r>
            <w:r w:rsidRPr="00604294">
              <w:rPr>
                <w:rFonts w:ascii="Times New Roman" w:hAnsi="Times New Roman"/>
              </w:rPr>
              <w:t>sji obligacji zabezpieczonych określonych</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art</w:t>
            </w:r>
            <w:r w:rsidRPr="00604294">
              <w:rPr>
                <w:rFonts w:ascii="Times New Roman" w:hAnsi="Times New Roman"/>
              </w:rPr>
              <w:t>. 129 ust. 4 lub</w:t>
            </w:r>
            <w:r w:rsidR="00604294" w:rsidRPr="00604294">
              <w:rPr>
                <w:rFonts w:ascii="Times New Roman" w:hAnsi="Times New Roman"/>
              </w:rPr>
              <w:t> </w:t>
            </w:r>
            <w:r w:rsidRPr="00604294">
              <w:rPr>
                <w:rFonts w:ascii="Times New Roman" w:hAnsi="Times New Roman"/>
              </w:rPr>
              <w:t>5 rozporządzenia (UE) nr</w:t>
            </w:r>
            <w:r w:rsidR="00604294" w:rsidRPr="00604294">
              <w:rPr>
                <w:rFonts w:ascii="Times New Roman" w:hAnsi="Times New Roman"/>
              </w:rPr>
              <w:t> </w:t>
            </w:r>
            <w:r w:rsidRPr="00604294">
              <w:rPr>
                <w:rFonts w:ascii="Times New Roman" w:hAnsi="Times New Roman"/>
              </w:rPr>
              <w:t>575/2013 lub</w:t>
            </w:r>
            <w:r w:rsidR="00604294" w:rsidRPr="00604294">
              <w:rPr>
                <w:rFonts w:ascii="Times New Roman" w:hAnsi="Times New Roman"/>
              </w:rPr>
              <w:t xml:space="preserve"> o</w:t>
            </w:r>
            <w:r w:rsidR="00604294">
              <w:rPr>
                <w:rFonts w:ascii="Times New Roman" w:hAnsi="Times New Roman"/>
              </w:rPr>
              <w:t> </w:t>
            </w:r>
            <w:r w:rsidR="00604294" w:rsidRPr="00604294">
              <w:rPr>
                <w:rFonts w:ascii="Times New Roman" w:hAnsi="Times New Roman"/>
              </w:rPr>
              <w:t>któ</w:t>
            </w:r>
            <w:r w:rsidRPr="00604294">
              <w:rPr>
                <w:rFonts w:ascii="Times New Roman" w:hAnsi="Times New Roman"/>
              </w:rPr>
              <w:t>rych mowa</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art</w:t>
            </w:r>
            <w:r w:rsidRPr="00604294">
              <w:rPr>
                <w:rFonts w:ascii="Times New Roman" w:hAnsi="Times New Roman"/>
              </w:rPr>
              <w:t>. 52 ust. 4 dyrektywy 2009/65/WE, wchodzące</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skł</w:t>
            </w:r>
            <w:r w:rsidRPr="00604294">
              <w:rPr>
                <w:rFonts w:ascii="Times New Roman" w:hAnsi="Times New Roman"/>
              </w:rPr>
              <w:t>ad finansowania zgłoszonego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wie</w:t>
            </w:r>
            <w:r w:rsidRPr="00604294">
              <w:rPr>
                <w:rFonts w:ascii="Times New Roman" w:hAnsi="Times New Roman"/>
              </w:rPr>
              <w:t>rszu 0150.</w:t>
            </w:r>
          </w:p>
        </w:tc>
      </w:tr>
      <w:tr w:rsidR="003439C5" w:rsidRPr="00604294" w14:paraId="03D91A24" w14:textId="77777777" w:rsidTr="00D75947">
        <w:trPr>
          <w:trHeight w:val="1020"/>
        </w:trPr>
        <w:tc>
          <w:tcPr>
            <w:tcW w:w="729" w:type="pct"/>
            <w:shd w:val="clear" w:color="auto" w:fill="auto"/>
            <w:noWrap/>
          </w:tcPr>
          <w:p w14:paraId="66BC9574" w14:textId="42D0EA61" w:rsidR="003439C5" w:rsidRPr="00604294" w:rsidRDefault="00C90DF5" w:rsidP="003439C5">
            <w:pPr>
              <w:spacing w:before="0" w:after="0"/>
              <w:jc w:val="left"/>
              <w:rPr>
                <w:rFonts w:ascii="Times New Roman" w:hAnsi="Times New Roman"/>
                <w:color w:val="000000"/>
                <w:szCs w:val="20"/>
              </w:rPr>
            </w:pPr>
            <w:r w:rsidRPr="00604294">
              <w:rPr>
                <w:rFonts w:ascii="Times New Roman" w:hAnsi="Times New Roman"/>
                <w:color w:val="000000"/>
              </w:rPr>
              <w:t>0180</w:t>
            </w:r>
          </w:p>
        </w:tc>
        <w:tc>
          <w:tcPr>
            <w:tcW w:w="4271" w:type="pct"/>
            <w:shd w:val="clear" w:color="auto" w:fill="auto"/>
          </w:tcPr>
          <w:p w14:paraId="6F3DFEBC" w14:textId="161D0230" w:rsidR="003439C5" w:rsidRPr="00604294" w:rsidRDefault="00F40FD4" w:rsidP="00D75947">
            <w:pPr>
              <w:spacing w:before="0" w:after="0"/>
              <w:rPr>
                <w:rFonts w:ascii="Times New Roman" w:hAnsi="Times New Roman"/>
                <w:b/>
                <w:szCs w:val="20"/>
                <w:u w:val="single"/>
              </w:rPr>
            </w:pPr>
            <w:r w:rsidRPr="00604294">
              <w:rPr>
                <w:rFonts w:ascii="Times New Roman" w:hAnsi="Times New Roman"/>
                <w:b/>
                <w:u w:val="single"/>
              </w:rPr>
              <w:t>2.2.3</w:t>
            </w:r>
            <w:r w:rsidRPr="00604294">
              <w:tab/>
            </w:r>
            <w:r w:rsidRPr="00604294">
              <w:rPr>
                <w:rFonts w:ascii="Times New Roman" w:hAnsi="Times New Roman"/>
                <w:b/>
                <w:u w:val="single"/>
              </w:rPr>
              <w:t>W tym emisje papierów wartościowych zabezpieczonych aktywami</w:t>
            </w:r>
          </w:p>
          <w:p w14:paraId="38626DC8" w14:textId="77777777" w:rsidR="003439C5" w:rsidRPr="00604294" w:rsidRDefault="003439C5" w:rsidP="00D75947">
            <w:pPr>
              <w:spacing w:before="0" w:after="0"/>
              <w:rPr>
                <w:rFonts w:ascii="Times New Roman" w:hAnsi="Times New Roman"/>
                <w:b/>
                <w:szCs w:val="20"/>
                <w:u w:val="single"/>
                <w:lang w:eastAsia="en-GB"/>
              </w:rPr>
            </w:pPr>
          </w:p>
          <w:p w14:paraId="6BBE6FEF" w14:textId="089F0590" w:rsidR="003439C5" w:rsidRPr="00604294" w:rsidRDefault="00274EE9" w:rsidP="00A84FD7">
            <w:pPr>
              <w:spacing w:before="0" w:after="0"/>
              <w:rPr>
                <w:rFonts w:ascii="Times New Roman" w:hAnsi="Times New Roman"/>
                <w:b/>
                <w:szCs w:val="20"/>
                <w:u w:val="single"/>
              </w:rPr>
            </w:pPr>
            <w:r w:rsidRPr="00604294">
              <w:rPr>
                <w:rFonts w:ascii="Times New Roman" w:hAnsi="Times New Roman"/>
              </w:rPr>
              <w:t>Finansowanie uzyskane</w:t>
            </w:r>
            <w:r w:rsidR="00604294" w:rsidRPr="00604294">
              <w:rPr>
                <w:rFonts w:ascii="Times New Roman" w:hAnsi="Times New Roman"/>
              </w:rPr>
              <w:t xml:space="preserve"> z</w:t>
            </w:r>
            <w:r w:rsidR="00604294">
              <w:rPr>
                <w:rFonts w:ascii="Times New Roman" w:hAnsi="Times New Roman"/>
              </w:rPr>
              <w:t> </w:t>
            </w:r>
            <w:r w:rsidR="00604294" w:rsidRPr="00604294">
              <w:rPr>
                <w:rFonts w:ascii="Times New Roman" w:hAnsi="Times New Roman"/>
              </w:rPr>
              <w:t>emi</w:t>
            </w:r>
            <w:r w:rsidRPr="00604294">
              <w:rPr>
                <w:rFonts w:ascii="Times New Roman" w:hAnsi="Times New Roman"/>
              </w:rPr>
              <w:t>sji papierów wartościowych zabezpieczonych aktywami,</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tym</w:t>
            </w:r>
            <w:r w:rsidRPr="00604294">
              <w:rPr>
                <w:rFonts w:ascii="Times New Roman" w:hAnsi="Times New Roman"/>
              </w:rPr>
              <w:t xml:space="preserve"> papierów dłużnych przedsiębiorstw zabezpieczonych aktywami, wchodzące</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skł</w:t>
            </w:r>
            <w:r w:rsidRPr="00604294">
              <w:rPr>
                <w:rFonts w:ascii="Times New Roman" w:hAnsi="Times New Roman"/>
              </w:rPr>
              <w:t>ad finansowania zgłoszonego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wie</w:t>
            </w:r>
            <w:r w:rsidRPr="00604294">
              <w:rPr>
                <w:rFonts w:ascii="Times New Roman" w:hAnsi="Times New Roman"/>
              </w:rPr>
              <w:t>rszu 0150.</w:t>
            </w:r>
          </w:p>
        </w:tc>
      </w:tr>
      <w:tr w:rsidR="003439C5" w:rsidRPr="00604294" w14:paraId="597FCB34" w14:textId="77777777" w:rsidTr="00D75947">
        <w:trPr>
          <w:trHeight w:val="1020"/>
        </w:trPr>
        <w:tc>
          <w:tcPr>
            <w:tcW w:w="729" w:type="pct"/>
            <w:shd w:val="clear" w:color="auto" w:fill="auto"/>
            <w:noWrap/>
          </w:tcPr>
          <w:p w14:paraId="4E4276DD" w14:textId="58DC3FC3" w:rsidR="003439C5" w:rsidRPr="00604294" w:rsidRDefault="00C90DF5" w:rsidP="003439C5">
            <w:pPr>
              <w:spacing w:before="0" w:after="0"/>
              <w:jc w:val="left"/>
              <w:rPr>
                <w:rFonts w:ascii="Times New Roman" w:hAnsi="Times New Roman"/>
                <w:color w:val="000000"/>
                <w:szCs w:val="20"/>
              </w:rPr>
            </w:pPr>
            <w:r w:rsidRPr="00604294">
              <w:rPr>
                <w:rFonts w:ascii="Times New Roman" w:hAnsi="Times New Roman"/>
                <w:color w:val="000000"/>
              </w:rPr>
              <w:t>0190</w:t>
            </w:r>
          </w:p>
        </w:tc>
        <w:tc>
          <w:tcPr>
            <w:tcW w:w="4271" w:type="pct"/>
            <w:shd w:val="clear" w:color="auto" w:fill="auto"/>
          </w:tcPr>
          <w:p w14:paraId="4610D9F3" w14:textId="149091F1" w:rsidR="003439C5" w:rsidRPr="00604294" w:rsidRDefault="00F40FD4" w:rsidP="00D75947">
            <w:pPr>
              <w:spacing w:before="0" w:after="0"/>
              <w:rPr>
                <w:rFonts w:ascii="Times New Roman" w:hAnsi="Times New Roman"/>
                <w:b/>
                <w:szCs w:val="20"/>
                <w:u w:val="single"/>
              </w:rPr>
            </w:pPr>
            <w:r w:rsidRPr="00604294">
              <w:rPr>
                <w:rFonts w:ascii="Times New Roman" w:hAnsi="Times New Roman"/>
                <w:b/>
                <w:u w:val="single"/>
              </w:rPr>
              <w:t>2.2.4</w:t>
            </w:r>
            <w:r w:rsidRPr="00604294">
              <w:tab/>
            </w:r>
            <w:r w:rsidRPr="00604294">
              <w:rPr>
                <w:rFonts w:ascii="Times New Roman" w:hAnsi="Times New Roman"/>
                <w:b/>
                <w:u w:val="single"/>
              </w:rPr>
              <w:t>W tym zobowiązania finansowe inne niż instrumenty pochodne</w:t>
            </w:r>
            <w:r w:rsidR="00604294" w:rsidRPr="00604294">
              <w:rPr>
                <w:rFonts w:ascii="Times New Roman" w:hAnsi="Times New Roman"/>
                <w:b/>
                <w:u w:val="single"/>
              </w:rPr>
              <w:t xml:space="preserve"> i</w:t>
            </w:r>
            <w:r w:rsidR="00604294">
              <w:rPr>
                <w:rFonts w:ascii="Times New Roman" w:hAnsi="Times New Roman"/>
                <w:b/>
                <w:u w:val="single"/>
              </w:rPr>
              <w:t> </w:t>
            </w:r>
            <w:r w:rsidR="00604294" w:rsidRPr="00604294">
              <w:rPr>
                <w:rFonts w:ascii="Times New Roman" w:hAnsi="Times New Roman"/>
                <w:b/>
                <w:u w:val="single"/>
              </w:rPr>
              <w:t>poz</w:t>
            </w:r>
            <w:r w:rsidRPr="00604294">
              <w:rPr>
                <w:rFonts w:ascii="Times New Roman" w:hAnsi="Times New Roman"/>
                <w:b/>
                <w:u w:val="single"/>
              </w:rPr>
              <w:t>ycje krótkie od podmiotów wchodzących</w:t>
            </w:r>
            <w:r w:rsidR="00604294" w:rsidRPr="00604294">
              <w:rPr>
                <w:rFonts w:ascii="Times New Roman" w:hAnsi="Times New Roman"/>
                <w:b/>
                <w:u w:val="single"/>
              </w:rPr>
              <w:t xml:space="preserve"> w</w:t>
            </w:r>
            <w:r w:rsidR="00604294">
              <w:rPr>
                <w:rFonts w:ascii="Times New Roman" w:hAnsi="Times New Roman"/>
                <w:b/>
                <w:u w:val="single"/>
              </w:rPr>
              <w:t> </w:t>
            </w:r>
            <w:r w:rsidR="00604294" w:rsidRPr="00604294">
              <w:rPr>
                <w:rFonts w:ascii="Times New Roman" w:hAnsi="Times New Roman"/>
                <w:b/>
                <w:u w:val="single"/>
              </w:rPr>
              <w:t>skł</w:t>
            </w:r>
            <w:r w:rsidRPr="00604294">
              <w:rPr>
                <w:rFonts w:ascii="Times New Roman" w:hAnsi="Times New Roman"/>
                <w:b/>
                <w:u w:val="single"/>
              </w:rPr>
              <w:t>ad grupy</w:t>
            </w:r>
          </w:p>
          <w:p w14:paraId="39B4FABF" w14:textId="77777777" w:rsidR="003439C5" w:rsidRPr="00604294" w:rsidRDefault="003439C5" w:rsidP="00D75947">
            <w:pPr>
              <w:spacing w:before="0" w:after="0"/>
              <w:rPr>
                <w:rFonts w:ascii="Times New Roman" w:hAnsi="Times New Roman"/>
                <w:b/>
                <w:szCs w:val="20"/>
                <w:u w:val="single"/>
                <w:lang w:eastAsia="en-GB"/>
              </w:rPr>
            </w:pPr>
          </w:p>
          <w:p w14:paraId="10DC82D6" w14:textId="2FA63C75" w:rsidR="003439C5" w:rsidRPr="00604294" w:rsidRDefault="00274EE9" w:rsidP="003439C5">
            <w:pPr>
              <w:spacing w:before="0" w:after="0"/>
              <w:rPr>
                <w:rFonts w:ascii="Times New Roman" w:hAnsi="Times New Roman"/>
                <w:szCs w:val="20"/>
              </w:rPr>
            </w:pPr>
            <w:r w:rsidRPr="00604294">
              <w:rPr>
                <w:rFonts w:ascii="Times New Roman" w:hAnsi="Times New Roman"/>
              </w:rPr>
              <w:t>Finansowanie uzyskane od podmiotów wchodzących</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skł</w:t>
            </w:r>
            <w:r w:rsidRPr="00604294">
              <w:rPr>
                <w:rFonts w:ascii="Times New Roman" w:hAnsi="Times New Roman"/>
              </w:rPr>
              <w:t>ad grupy,</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prz</w:t>
            </w:r>
            <w:r w:rsidRPr="00604294">
              <w:rPr>
                <w:rFonts w:ascii="Times New Roman" w:hAnsi="Times New Roman"/>
              </w:rPr>
              <w:t>ypadku gdy kontrahent jest instytucją dominującą lub zależną instytucji lub inną instytucją zależną tej samej instytucji dominującej lub jest powiązany</w:t>
            </w:r>
            <w:r w:rsidR="00604294" w:rsidRPr="00604294">
              <w:rPr>
                <w:rFonts w:ascii="Times New Roman" w:hAnsi="Times New Roman"/>
              </w:rPr>
              <w:t xml:space="preserve"> z</w:t>
            </w:r>
            <w:r w:rsidR="00604294">
              <w:rPr>
                <w:rFonts w:ascii="Times New Roman" w:hAnsi="Times New Roman"/>
              </w:rPr>
              <w:t> </w:t>
            </w:r>
            <w:r w:rsidR="00604294" w:rsidRPr="00604294">
              <w:rPr>
                <w:rFonts w:ascii="Times New Roman" w:hAnsi="Times New Roman"/>
              </w:rPr>
              <w:t>ins</w:t>
            </w:r>
            <w:r w:rsidRPr="00604294">
              <w:rPr>
                <w:rFonts w:ascii="Times New Roman" w:hAnsi="Times New Roman"/>
              </w:rPr>
              <w:t>tytucją kredytową stosunkiem</w:t>
            </w:r>
            <w:r w:rsidR="00604294" w:rsidRPr="00604294">
              <w:rPr>
                <w:rFonts w:ascii="Times New Roman" w:hAnsi="Times New Roman"/>
              </w:rPr>
              <w:t xml:space="preserve"> </w:t>
            </w:r>
            <w:r w:rsidR="00604294" w:rsidRPr="00604294">
              <w:rPr>
                <w:rFonts w:ascii="Times New Roman" w:hAnsi="Times New Roman"/>
              </w:rPr>
              <w:lastRenderedPageBreak/>
              <w:t>w</w:t>
            </w:r>
            <w:r w:rsidR="00604294">
              <w:rPr>
                <w:rFonts w:ascii="Times New Roman" w:hAnsi="Times New Roman"/>
              </w:rPr>
              <w:t> </w:t>
            </w:r>
            <w:r w:rsidR="00604294" w:rsidRPr="00604294">
              <w:rPr>
                <w:rFonts w:ascii="Times New Roman" w:hAnsi="Times New Roman"/>
              </w:rPr>
              <w:t>roz</w:t>
            </w:r>
            <w:r w:rsidRPr="00604294">
              <w:rPr>
                <w:rFonts w:ascii="Times New Roman" w:hAnsi="Times New Roman"/>
              </w:rPr>
              <w:t>umieniu art. 22 ust. 7 dyrektywy 2013/34/UE, wchodzące</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skł</w:t>
            </w:r>
            <w:r w:rsidRPr="00604294">
              <w:rPr>
                <w:rFonts w:ascii="Times New Roman" w:hAnsi="Times New Roman"/>
              </w:rPr>
              <w:t>ad finansowania zgłoszonego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wie</w:t>
            </w:r>
            <w:r w:rsidRPr="00604294">
              <w:rPr>
                <w:rFonts w:ascii="Times New Roman" w:hAnsi="Times New Roman"/>
              </w:rPr>
              <w:t xml:space="preserve">rszu 0150. </w:t>
            </w:r>
          </w:p>
          <w:p w14:paraId="7693FB65" w14:textId="77777777" w:rsidR="00274EE9" w:rsidRPr="00604294" w:rsidRDefault="00274EE9" w:rsidP="003439C5">
            <w:pPr>
              <w:spacing w:before="0" w:after="0"/>
              <w:rPr>
                <w:rFonts w:ascii="Times New Roman" w:hAnsi="Times New Roman"/>
                <w:szCs w:val="20"/>
                <w:lang w:eastAsia="en-GB"/>
              </w:rPr>
            </w:pPr>
          </w:p>
          <w:p w14:paraId="2A9F2247" w14:textId="430F8603" w:rsidR="00274EE9" w:rsidRPr="00604294" w:rsidRDefault="00274EE9" w:rsidP="003439C5">
            <w:pPr>
              <w:spacing w:before="0" w:after="0"/>
              <w:rPr>
                <w:rFonts w:ascii="Times New Roman" w:hAnsi="Times New Roman"/>
                <w:szCs w:val="20"/>
              </w:rPr>
            </w:pPr>
            <w:r w:rsidRPr="00604294">
              <w:rPr>
                <w:rFonts w:ascii="Times New Roman" w:hAnsi="Times New Roman"/>
              </w:rPr>
              <w:t>Finansowanie hurtowe od podmiotów wchodzących</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skł</w:t>
            </w:r>
            <w:r w:rsidRPr="00604294">
              <w:rPr>
                <w:rFonts w:ascii="Times New Roman" w:hAnsi="Times New Roman"/>
              </w:rPr>
              <w:t>ad grupy zgłasza się wyłącznie na zasadzie nieskonsolidowanej lub subskonsolidowanej.</w:t>
            </w:r>
          </w:p>
          <w:p w14:paraId="66D6CCE8" w14:textId="326011FF" w:rsidR="00274EE9" w:rsidRPr="00604294" w:rsidRDefault="00274EE9" w:rsidP="003439C5">
            <w:pPr>
              <w:spacing w:before="0" w:after="0"/>
              <w:rPr>
                <w:rFonts w:ascii="Times New Roman" w:hAnsi="Times New Roman"/>
                <w:b/>
                <w:szCs w:val="20"/>
                <w:u w:val="single"/>
                <w:lang w:eastAsia="en-GB"/>
              </w:rPr>
            </w:pPr>
          </w:p>
        </w:tc>
      </w:tr>
    </w:tbl>
    <w:p w14:paraId="7D6D2F2B" w14:textId="77777777" w:rsidR="003439C5" w:rsidRPr="00604294" w:rsidRDefault="003439C5" w:rsidP="00927DCB">
      <w:pPr>
        <w:pStyle w:val="InstructionsText2"/>
        <w:numPr>
          <w:ilvl w:val="0"/>
          <w:numId w:val="0"/>
        </w:numPr>
        <w:ind w:left="714"/>
      </w:pPr>
    </w:p>
    <w:p w14:paraId="4C97EC73" w14:textId="6B8BA840" w:rsidR="00A344AA" w:rsidRPr="00604294" w:rsidRDefault="00A344AA" w:rsidP="00927DCB">
      <w:pPr>
        <w:pStyle w:val="InstructionsText2"/>
        <w:numPr>
          <w:ilvl w:val="0"/>
          <w:numId w:val="13"/>
        </w:numPr>
        <w:rPr>
          <w:u w:val="none"/>
        </w:rPr>
      </w:pPr>
      <w:r w:rsidRPr="00604294">
        <w:rPr>
          <w:u w:val="none"/>
        </w:rPr>
        <w:t>W odniesieniu do każdego rodzaju produktu instytucje zgłaszają wszystkie kolumny od</w:t>
      </w:r>
      <w:r w:rsidR="00604294" w:rsidRPr="00604294">
        <w:rPr>
          <w:u w:val="none"/>
        </w:rPr>
        <w:t> </w:t>
      </w:r>
      <w:r w:rsidRPr="00604294">
        <w:rPr>
          <w:u w:val="none"/>
        </w:rPr>
        <w:t>0010 do</w:t>
      </w:r>
      <w:r w:rsidR="00604294" w:rsidRPr="00604294">
        <w:rPr>
          <w:u w:val="none"/>
        </w:rPr>
        <w:t> </w:t>
      </w:r>
      <w:r w:rsidRPr="00604294">
        <w:rPr>
          <w:u w:val="none"/>
        </w:rPr>
        <w:t>0050.</w:t>
      </w:r>
    </w:p>
    <w:p w14:paraId="2935E76B" w14:textId="3A5CF3B9" w:rsidR="00792E65" w:rsidRPr="00604294" w:rsidRDefault="00792E65" w:rsidP="00927DCB">
      <w:pPr>
        <w:pStyle w:val="InstructionsText2"/>
        <w:numPr>
          <w:ilvl w:val="0"/>
          <w:numId w:val="13"/>
        </w:numPr>
        <w:rPr>
          <w:u w:val="none"/>
        </w:rPr>
      </w:pPr>
      <w:r w:rsidRPr="00604294">
        <w:rPr>
          <w:u w:val="none"/>
        </w:rPr>
        <w:t>Wartości zgłaszane</w:t>
      </w:r>
      <w:r w:rsidR="00604294" w:rsidRPr="00604294">
        <w:rPr>
          <w:u w:val="none"/>
        </w:rPr>
        <w:t xml:space="preserve"> w</w:t>
      </w:r>
      <w:r w:rsidR="00604294">
        <w:rPr>
          <w:u w:val="none"/>
        </w:rPr>
        <w:t> </w:t>
      </w:r>
      <w:r w:rsidR="00604294" w:rsidRPr="00604294">
        <w:rPr>
          <w:u w:val="none"/>
        </w:rPr>
        <w:t>wie</w:t>
      </w:r>
      <w:r w:rsidRPr="00604294">
        <w:rPr>
          <w:u w:val="none"/>
        </w:rPr>
        <w:t>rszach 1. „Finansowanie detaliczne”, 2.1 „Niezabezpieczone finansowanie hurtowe”</w:t>
      </w:r>
      <w:r w:rsidR="00604294" w:rsidRPr="00604294">
        <w:rPr>
          <w:u w:val="none"/>
        </w:rPr>
        <w:t xml:space="preserve"> i</w:t>
      </w:r>
      <w:r w:rsidR="00604294">
        <w:rPr>
          <w:u w:val="none"/>
        </w:rPr>
        <w:t> </w:t>
      </w:r>
      <w:r w:rsidR="00604294" w:rsidRPr="00604294">
        <w:rPr>
          <w:u w:val="none"/>
        </w:rPr>
        <w:t>2</w:t>
      </w:r>
      <w:r w:rsidRPr="00604294">
        <w:rPr>
          <w:u w:val="none"/>
        </w:rPr>
        <w:t>.2 „Zabezpieczone finansowanie hurtowe” mogą obejmować więcej rodzajów produktów niż wchodzące</w:t>
      </w:r>
      <w:r w:rsidR="00604294" w:rsidRPr="00604294">
        <w:rPr>
          <w:u w:val="none"/>
        </w:rPr>
        <w:t xml:space="preserve"> w</w:t>
      </w:r>
      <w:r w:rsidR="00604294">
        <w:rPr>
          <w:u w:val="none"/>
        </w:rPr>
        <w:t> </w:t>
      </w:r>
      <w:r w:rsidR="00604294" w:rsidRPr="00604294">
        <w:rPr>
          <w:u w:val="none"/>
        </w:rPr>
        <w:t>ich</w:t>
      </w:r>
      <w:r w:rsidRPr="00604294">
        <w:rPr>
          <w:u w:val="none"/>
        </w:rPr>
        <w:t xml:space="preserve"> skład pozycje „w tym”. </w:t>
      </w:r>
    </w:p>
    <w:p w14:paraId="5C94FB4A" w14:textId="649B48DC" w:rsidR="008E720B" w:rsidRPr="00604294" w:rsidRDefault="008E720B" w:rsidP="008E720B">
      <w:pPr>
        <w:pStyle w:val="InstructionsText2"/>
        <w:numPr>
          <w:ilvl w:val="0"/>
          <w:numId w:val="13"/>
        </w:numPr>
        <w:rPr>
          <w:u w:val="none"/>
        </w:rPr>
      </w:pPr>
      <w:r w:rsidRPr="00604294">
        <w:rPr>
          <w:u w:val="none"/>
        </w:rPr>
        <w:t>W niniejszym wzorze nie zgłasza się akcji.</w:t>
      </w:r>
    </w:p>
    <w:p w14:paraId="2FED639D" w14:textId="77777777" w:rsidR="00A344AA" w:rsidRPr="00604294" w:rsidRDefault="00A344AA" w:rsidP="00927DCB">
      <w:pPr>
        <w:pStyle w:val="InstructionsText2"/>
        <w:numPr>
          <w:ilvl w:val="0"/>
          <w:numId w:val="13"/>
        </w:numPr>
        <w:rPr>
          <w:u w:val="none"/>
        </w:rPr>
      </w:pPr>
      <w:r w:rsidRPr="00604294">
        <w:rPr>
          <w:u w:val="none"/>
        </w:rPr>
        <w:t>Instrukcje dotyczące poszczególnych kolumn: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604294"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604294" w:rsidRDefault="00A344AA" w:rsidP="00ED2EE2">
            <w:pPr>
              <w:spacing w:before="0" w:after="0"/>
              <w:jc w:val="left"/>
              <w:rPr>
                <w:rStyle w:val="InstructionsTabelleText"/>
                <w:rFonts w:ascii="Times New Roman" w:hAnsi="Times New Roman"/>
                <w:szCs w:val="20"/>
              </w:rPr>
            </w:pPr>
            <w:r w:rsidRPr="00604294">
              <w:rPr>
                <w:rStyle w:val="InstructionsTabelleText"/>
                <w:rFonts w:ascii="Times New Roman" w:hAnsi="Times New Roman"/>
              </w:rPr>
              <w:t>Kolumna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27D09493" w:rsidR="00A344AA" w:rsidRPr="00604294" w:rsidRDefault="00A344AA" w:rsidP="00ED2EE2">
            <w:pPr>
              <w:spacing w:before="0" w:after="0"/>
              <w:jc w:val="left"/>
              <w:rPr>
                <w:rStyle w:val="InstructionsTabelleText"/>
                <w:rFonts w:ascii="Times New Roman" w:hAnsi="Times New Roman"/>
                <w:szCs w:val="20"/>
              </w:rPr>
            </w:pPr>
            <w:r w:rsidRPr="00604294">
              <w:rPr>
                <w:rStyle w:val="InstructionsTabelleText"/>
                <w:rFonts w:ascii="Times New Roman" w:hAnsi="Times New Roman"/>
              </w:rPr>
              <w:t>Odniesienia prawne</w:t>
            </w:r>
            <w:r w:rsidR="00604294" w:rsidRPr="00604294">
              <w:rPr>
                <w:rStyle w:val="InstructionsTabelleText"/>
                <w:rFonts w:ascii="Times New Roman" w:hAnsi="Times New Roman"/>
              </w:rPr>
              <w:t xml:space="preserve"> i</w:t>
            </w:r>
            <w:r w:rsidR="00604294">
              <w:rPr>
                <w:rStyle w:val="InstructionsTabelleText"/>
                <w:rFonts w:ascii="Times New Roman" w:hAnsi="Times New Roman"/>
              </w:rPr>
              <w:t> </w:t>
            </w:r>
            <w:r w:rsidR="00604294" w:rsidRPr="00604294">
              <w:rPr>
                <w:rStyle w:val="InstructionsTabelleText"/>
                <w:rFonts w:ascii="Times New Roman" w:hAnsi="Times New Roman"/>
              </w:rPr>
              <w:t>ins</w:t>
            </w:r>
            <w:r w:rsidRPr="00604294">
              <w:rPr>
                <w:rStyle w:val="InstructionsTabelleText"/>
                <w:rFonts w:ascii="Times New Roman" w:hAnsi="Times New Roman"/>
              </w:rPr>
              <w:t>trukcje</w:t>
            </w:r>
          </w:p>
        </w:tc>
      </w:tr>
      <w:tr w:rsidR="00A344AA" w:rsidRPr="00604294"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C6D4669" w:rsidR="00A344AA" w:rsidRPr="00604294" w:rsidRDefault="00C90DF5">
            <w:pPr>
              <w:spacing w:before="0" w:after="0"/>
              <w:jc w:val="left"/>
              <w:rPr>
                <w:rFonts w:ascii="Times New Roman" w:hAnsi="Times New Roman"/>
                <w:color w:val="000000"/>
                <w:szCs w:val="20"/>
              </w:rPr>
            </w:pPr>
            <w:r w:rsidRPr="00604294">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604294" w:rsidRDefault="00A344AA" w:rsidP="00476C32">
            <w:pPr>
              <w:spacing w:before="0" w:after="0"/>
              <w:rPr>
                <w:rFonts w:ascii="Times New Roman" w:hAnsi="Times New Roman"/>
                <w:b/>
                <w:szCs w:val="20"/>
                <w:u w:val="single"/>
              </w:rPr>
            </w:pPr>
            <w:r w:rsidRPr="00604294">
              <w:rPr>
                <w:rFonts w:ascii="Times New Roman" w:hAnsi="Times New Roman"/>
                <w:b/>
                <w:u w:val="single"/>
              </w:rPr>
              <w:t>Otrzymana wartość bilansowa</w:t>
            </w:r>
          </w:p>
          <w:p w14:paraId="08CE1037" w14:textId="77777777" w:rsidR="00A344AA" w:rsidRPr="00604294" w:rsidRDefault="00A344AA" w:rsidP="00476C32">
            <w:pPr>
              <w:spacing w:before="0" w:after="0"/>
              <w:rPr>
                <w:rFonts w:ascii="Times New Roman" w:hAnsi="Times New Roman"/>
                <w:b/>
                <w:szCs w:val="20"/>
                <w:u w:val="single"/>
                <w:lang w:eastAsia="en-GB"/>
              </w:rPr>
            </w:pPr>
          </w:p>
          <w:p w14:paraId="3436EC68" w14:textId="7F38F850" w:rsidR="00A344AA" w:rsidRPr="00604294" w:rsidRDefault="00A344AA" w:rsidP="00476C32">
            <w:pPr>
              <w:spacing w:before="0" w:after="0"/>
              <w:rPr>
                <w:szCs w:val="20"/>
              </w:rPr>
            </w:pPr>
            <w:r w:rsidRPr="00604294">
              <w:rPr>
                <w:rFonts w:ascii="Times New Roman" w:hAnsi="Times New Roman"/>
              </w:rPr>
              <w:t>Wartość bilansową finansowania otrzymanego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ram</w:t>
            </w:r>
            <w:r w:rsidRPr="00604294">
              <w:rPr>
                <w:rFonts w:ascii="Times New Roman" w:hAnsi="Times New Roman"/>
              </w:rPr>
              <w:t>ach każdego rodzaju produktów wymienionych</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„Nazwa produktu” zgłasza się</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 xml:space="preserve">umnie 0010 wzoru. </w:t>
            </w:r>
          </w:p>
          <w:p w14:paraId="6450D0D1" w14:textId="583458BA" w:rsidR="00FC506E" w:rsidRPr="00604294" w:rsidRDefault="00FC506E" w:rsidP="00476C32">
            <w:pPr>
              <w:spacing w:before="0" w:after="0"/>
              <w:rPr>
                <w:rFonts w:ascii="Times New Roman" w:hAnsi="Times New Roman"/>
                <w:b/>
                <w:szCs w:val="20"/>
                <w:u w:val="single"/>
                <w:lang w:eastAsia="en-GB"/>
              </w:rPr>
            </w:pPr>
          </w:p>
        </w:tc>
      </w:tr>
      <w:tr w:rsidR="00A344AA" w:rsidRPr="00604294"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1008E594" w:rsidR="00A344AA" w:rsidRPr="00604294" w:rsidRDefault="00C90DF5">
            <w:pPr>
              <w:spacing w:before="0" w:after="0"/>
              <w:jc w:val="left"/>
              <w:rPr>
                <w:rFonts w:ascii="Times New Roman" w:hAnsi="Times New Roman"/>
                <w:color w:val="000000"/>
                <w:szCs w:val="20"/>
              </w:rPr>
            </w:pPr>
            <w:r w:rsidRPr="00604294">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BFB6702" w:rsidR="00A344AA" w:rsidRPr="00604294" w:rsidRDefault="00A344AA" w:rsidP="00476C32">
            <w:pPr>
              <w:spacing w:before="0" w:after="0"/>
              <w:rPr>
                <w:rFonts w:ascii="Times New Roman" w:hAnsi="Times New Roman"/>
                <w:b/>
                <w:szCs w:val="20"/>
                <w:u w:val="single"/>
              </w:rPr>
            </w:pPr>
            <w:r w:rsidRPr="00604294">
              <w:rPr>
                <w:rFonts w:ascii="Times New Roman" w:hAnsi="Times New Roman"/>
                <w:b/>
                <w:u w:val="single"/>
              </w:rPr>
              <w:t>Kwota objęta systemem gwarancji depozytów zgodnie</w:t>
            </w:r>
            <w:r w:rsidR="00604294" w:rsidRPr="00604294">
              <w:rPr>
                <w:rFonts w:ascii="Times New Roman" w:hAnsi="Times New Roman"/>
                <w:b/>
                <w:u w:val="single"/>
              </w:rPr>
              <w:t xml:space="preserve"> z</w:t>
            </w:r>
            <w:r w:rsidR="00604294">
              <w:rPr>
                <w:rFonts w:ascii="Times New Roman" w:hAnsi="Times New Roman"/>
                <w:b/>
                <w:u w:val="single"/>
              </w:rPr>
              <w:t> </w:t>
            </w:r>
            <w:r w:rsidR="00604294" w:rsidRPr="00604294">
              <w:rPr>
                <w:rFonts w:ascii="Times New Roman" w:hAnsi="Times New Roman"/>
                <w:b/>
                <w:u w:val="single"/>
              </w:rPr>
              <w:t>dyr</w:t>
            </w:r>
            <w:r w:rsidRPr="00604294">
              <w:rPr>
                <w:rFonts w:ascii="Times New Roman" w:hAnsi="Times New Roman"/>
                <w:b/>
                <w:u w:val="single"/>
              </w:rPr>
              <w:t>ektywą 2014/49/UE lub równoważnym systemem gwarancji depozytów</w:t>
            </w:r>
            <w:r w:rsidR="00604294" w:rsidRPr="00604294">
              <w:rPr>
                <w:rFonts w:ascii="Times New Roman" w:hAnsi="Times New Roman"/>
                <w:b/>
                <w:u w:val="single"/>
              </w:rPr>
              <w:t xml:space="preserve"> w</w:t>
            </w:r>
            <w:r w:rsidR="00604294">
              <w:rPr>
                <w:rFonts w:ascii="Times New Roman" w:hAnsi="Times New Roman"/>
                <w:b/>
                <w:u w:val="single"/>
              </w:rPr>
              <w:t> </w:t>
            </w:r>
            <w:r w:rsidR="00604294" w:rsidRPr="00604294">
              <w:rPr>
                <w:rFonts w:ascii="Times New Roman" w:hAnsi="Times New Roman"/>
                <w:b/>
                <w:u w:val="single"/>
              </w:rPr>
              <w:t>pań</w:t>
            </w:r>
            <w:r w:rsidRPr="00604294">
              <w:rPr>
                <w:rFonts w:ascii="Times New Roman" w:hAnsi="Times New Roman"/>
                <w:b/>
                <w:u w:val="single"/>
              </w:rPr>
              <w:t>stwie trzecim</w:t>
            </w:r>
          </w:p>
          <w:p w14:paraId="3404C8DD" w14:textId="77777777" w:rsidR="00A344AA" w:rsidRPr="00604294" w:rsidRDefault="00A344AA" w:rsidP="00763448">
            <w:pPr>
              <w:spacing w:before="0" w:after="0"/>
              <w:rPr>
                <w:rFonts w:ascii="Times New Roman" w:hAnsi="Times New Roman"/>
                <w:b/>
                <w:szCs w:val="20"/>
                <w:u w:val="single"/>
                <w:lang w:eastAsia="en-GB"/>
              </w:rPr>
            </w:pPr>
          </w:p>
          <w:p w14:paraId="369A8E24" w14:textId="4293B025" w:rsidR="00A344AA" w:rsidRPr="00604294" w:rsidRDefault="00A344AA" w:rsidP="00490B62">
            <w:pPr>
              <w:spacing w:before="0" w:after="0"/>
              <w:rPr>
                <w:rFonts w:ascii="Times New Roman" w:hAnsi="Times New Roman"/>
                <w:szCs w:val="20"/>
              </w:rPr>
            </w:pPr>
            <w:r w:rsidRPr="00604294">
              <w:rPr>
                <w:rFonts w:ascii="Times New Roman" w:hAnsi="Times New Roman"/>
              </w:rPr>
              <w:t>Kwota objęta systemem gwarancji depozytów zgodnie</w:t>
            </w:r>
            <w:r w:rsidR="00604294" w:rsidRPr="00604294">
              <w:rPr>
                <w:rFonts w:ascii="Times New Roman" w:hAnsi="Times New Roman"/>
              </w:rPr>
              <w:t xml:space="preserve"> z</w:t>
            </w:r>
            <w:r w:rsidR="00604294">
              <w:rPr>
                <w:rFonts w:ascii="Times New Roman" w:hAnsi="Times New Roman"/>
              </w:rPr>
              <w:t> </w:t>
            </w:r>
            <w:r w:rsidR="00604294" w:rsidRPr="00604294">
              <w:rPr>
                <w:rFonts w:ascii="Times New Roman" w:hAnsi="Times New Roman"/>
              </w:rPr>
              <w:t>dyr</w:t>
            </w:r>
            <w:r w:rsidRPr="00604294">
              <w:rPr>
                <w:rFonts w:ascii="Times New Roman" w:hAnsi="Times New Roman"/>
              </w:rPr>
              <w:t>ektywą 2014/49/UE lub równoważnym systemem gwarancji depozytów</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pań</w:t>
            </w:r>
            <w:r w:rsidRPr="00604294">
              <w:rPr>
                <w:rFonts w:ascii="Times New Roman" w:hAnsi="Times New Roman"/>
              </w:rPr>
              <w:t>stwie trzecim, wchodząca</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skł</w:t>
            </w:r>
            <w:r w:rsidRPr="00604294">
              <w:rPr>
                <w:rFonts w:ascii="Times New Roman" w:hAnsi="Times New Roman"/>
              </w:rPr>
              <w:t>ad całkowitej kwoty finansowania otrzymanego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ram</w:t>
            </w:r>
            <w:r w:rsidRPr="00604294">
              <w:rPr>
                <w:rFonts w:ascii="Times New Roman" w:hAnsi="Times New Roman"/>
              </w:rPr>
              <w:t>ach każdego rodzaju produktów wymienionych</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„Nazwa produktu” zgłoszonego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 xml:space="preserve">umnie 0010. </w:t>
            </w:r>
          </w:p>
          <w:p w14:paraId="624BDC55" w14:textId="77777777" w:rsidR="00A344AA" w:rsidRPr="00604294" w:rsidRDefault="00A344AA" w:rsidP="00490B62">
            <w:pPr>
              <w:spacing w:before="0" w:after="0"/>
              <w:rPr>
                <w:rFonts w:ascii="Times New Roman" w:hAnsi="Times New Roman"/>
                <w:szCs w:val="20"/>
                <w:lang w:eastAsia="en-GB"/>
              </w:rPr>
            </w:pPr>
          </w:p>
          <w:p w14:paraId="1350A03E" w14:textId="110D64D0" w:rsidR="00A344AA" w:rsidRPr="00604294" w:rsidRDefault="00A344AA" w:rsidP="00FA63BD">
            <w:pPr>
              <w:spacing w:before="0" w:after="0"/>
              <w:rPr>
                <w:rFonts w:ascii="Times New Roman" w:hAnsi="Times New Roman"/>
                <w:szCs w:val="20"/>
              </w:rPr>
            </w:pPr>
            <w:r w:rsidRPr="00604294">
              <w:rPr>
                <w:rFonts w:ascii="Times New Roman" w:hAnsi="Times New Roman"/>
              </w:rPr>
              <w:t>Uwaga: kwoty zgłoszone</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0020</w:t>
            </w:r>
            <w:r w:rsidR="00604294" w:rsidRPr="00604294">
              <w:rPr>
                <w:rFonts w:ascii="Times New Roman" w:hAnsi="Times New Roman"/>
              </w:rPr>
              <w:t xml:space="preserve"> i</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0030,</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odn</w:t>
            </w:r>
            <w:r w:rsidRPr="00604294">
              <w:rPr>
                <w:rFonts w:ascii="Times New Roman" w:hAnsi="Times New Roman"/>
              </w:rPr>
              <w:t>iesieniu do każdego rodzaju produktów wymienionych</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„Nazwa produktu”, są równe całkowitej otrzymanej kwocie zgłoszonej</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0010.</w:t>
            </w:r>
          </w:p>
          <w:p w14:paraId="17202B90" w14:textId="77777777" w:rsidR="00A344AA" w:rsidRPr="00604294" w:rsidRDefault="00A344AA" w:rsidP="00476C32">
            <w:pPr>
              <w:spacing w:before="0" w:after="0"/>
              <w:rPr>
                <w:rFonts w:ascii="Times New Roman" w:hAnsi="Times New Roman"/>
                <w:b/>
                <w:szCs w:val="20"/>
                <w:u w:val="single"/>
                <w:lang w:eastAsia="en-GB"/>
              </w:rPr>
            </w:pPr>
          </w:p>
        </w:tc>
      </w:tr>
      <w:tr w:rsidR="00A344AA" w:rsidRPr="00604294"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52775B77" w:rsidR="00A344AA" w:rsidRPr="00604294" w:rsidRDefault="00A344AA">
            <w:pPr>
              <w:spacing w:before="0" w:after="0"/>
              <w:jc w:val="left"/>
              <w:rPr>
                <w:rFonts w:ascii="Times New Roman" w:hAnsi="Times New Roman"/>
                <w:color w:val="000000"/>
                <w:szCs w:val="20"/>
              </w:rPr>
            </w:pPr>
            <w:r w:rsidRPr="00604294">
              <w:rPr>
                <w:rFonts w:ascii="Times New Roman" w:hAnsi="Times New Roman"/>
                <w:color w:val="000000"/>
              </w:rPr>
              <w:t>0030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4EA6E1D8" w:rsidR="00A344AA" w:rsidRPr="00604294" w:rsidRDefault="00A344AA" w:rsidP="00476C32">
            <w:pPr>
              <w:spacing w:before="0" w:after="0"/>
              <w:rPr>
                <w:rFonts w:ascii="Times New Roman" w:hAnsi="Times New Roman"/>
                <w:b/>
                <w:szCs w:val="20"/>
                <w:u w:val="single"/>
              </w:rPr>
            </w:pPr>
            <w:r w:rsidRPr="00604294">
              <w:rPr>
                <w:rFonts w:ascii="Times New Roman" w:hAnsi="Times New Roman"/>
                <w:b/>
                <w:u w:val="single"/>
              </w:rPr>
              <w:t>Kwota nieobjęta systemem gwarancji depozytów zgodnie</w:t>
            </w:r>
            <w:r w:rsidR="00604294" w:rsidRPr="00604294">
              <w:rPr>
                <w:rFonts w:ascii="Times New Roman" w:hAnsi="Times New Roman"/>
                <w:b/>
                <w:u w:val="single"/>
              </w:rPr>
              <w:t xml:space="preserve"> z</w:t>
            </w:r>
            <w:r w:rsidR="00604294">
              <w:rPr>
                <w:rFonts w:ascii="Times New Roman" w:hAnsi="Times New Roman"/>
                <w:b/>
                <w:u w:val="single"/>
              </w:rPr>
              <w:t> </w:t>
            </w:r>
            <w:r w:rsidR="00604294" w:rsidRPr="00604294">
              <w:rPr>
                <w:rFonts w:ascii="Times New Roman" w:hAnsi="Times New Roman"/>
                <w:b/>
                <w:u w:val="single"/>
              </w:rPr>
              <w:t>dyr</w:t>
            </w:r>
            <w:r w:rsidRPr="00604294">
              <w:rPr>
                <w:rFonts w:ascii="Times New Roman" w:hAnsi="Times New Roman"/>
                <w:b/>
                <w:u w:val="single"/>
              </w:rPr>
              <w:t>ektywą 2014/49/UE lub równoważnym systemem gwarancji depozytów</w:t>
            </w:r>
            <w:r w:rsidR="00604294" w:rsidRPr="00604294">
              <w:rPr>
                <w:rFonts w:ascii="Times New Roman" w:hAnsi="Times New Roman"/>
                <w:b/>
                <w:u w:val="single"/>
              </w:rPr>
              <w:t xml:space="preserve"> w</w:t>
            </w:r>
            <w:r w:rsidR="00604294">
              <w:rPr>
                <w:rFonts w:ascii="Times New Roman" w:hAnsi="Times New Roman"/>
                <w:b/>
                <w:u w:val="single"/>
              </w:rPr>
              <w:t> </w:t>
            </w:r>
            <w:r w:rsidR="00604294" w:rsidRPr="00604294">
              <w:rPr>
                <w:rFonts w:ascii="Times New Roman" w:hAnsi="Times New Roman"/>
                <w:b/>
                <w:u w:val="single"/>
              </w:rPr>
              <w:t>pań</w:t>
            </w:r>
            <w:r w:rsidRPr="00604294">
              <w:rPr>
                <w:rFonts w:ascii="Times New Roman" w:hAnsi="Times New Roman"/>
                <w:b/>
                <w:u w:val="single"/>
              </w:rPr>
              <w:t>stwie trzecim</w:t>
            </w:r>
          </w:p>
          <w:p w14:paraId="5D57127C" w14:textId="77777777" w:rsidR="00A344AA" w:rsidRPr="00604294" w:rsidRDefault="00A344AA" w:rsidP="00476C32">
            <w:pPr>
              <w:spacing w:before="0" w:after="0"/>
              <w:rPr>
                <w:rFonts w:ascii="Times New Roman" w:hAnsi="Times New Roman"/>
                <w:b/>
                <w:szCs w:val="20"/>
                <w:u w:val="single"/>
                <w:lang w:eastAsia="en-GB"/>
              </w:rPr>
            </w:pPr>
          </w:p>
          <w:p w14:paraId="706D0911" w14:textId="6DDEF625" w:rsidR="00A344AA" w:rsidRPr="00604294" w:rsidRDefault="00A344AA" w:rsidP="00763448">
            <w:pPr>
              <w:spacing w:before="0" w:after="0"/>
              <w:rPr>
                <w:rFonts w:ascii="Times New Roman" w:hAnsi="Times New Roman"/>
                <w:szCs w:val="20"/>
              </w:rPr>
            </w:pPr>
            <w:r w:rsidRPr="00604294">
              <w:rPr>
                <w:rFonts w:ascii="Times New Roman" w:hAnsi="Times New Roman"/>
              </w:rPr>
              <w:t xml:space="preserve">Kwota, która </w:t>
            </w:r>
            <w:r w:rsidRPr="00604294">
              <w:rPr>
                <w:rFonts w:ascii="Times New Roman" w:hAnsi="Times New Roman"/>
                <w:u w:val="single"/>
              </w:rPr>
              <w:t>nie</w:t>
            </w:r>
            <w:r w:rsidRPr="00604294">
              <w:rPr>
                <w:rFonts w:ascii="Times New Roman" w:hAnsi="Times New Roman"/>
              </w:rPr>
              <w:t xml:space="preserve"> jest objęta systemem gwarancji depozytów zgodnie</w:t>
            </w:r>
            <w:r w:rsidR="00604294" w:rsidRPr="00604294">
              <w:rPr>
                <w:rFonts w:ascii="Times New Roman" w:hAnsi="Times New Roman"/>
              </w:rPr>
              <w:t xml:space="preserve"> z</w:t>
            </w:r>
            <w:r w:rsidR="00604294">
              <w:rPr>
                <w:rFonts w:ascii="Times New Roman" w:hAnsi="Times New Roman"/>
              </w:rPr>
              <w:t> </w:t>
            </w:r>
            <w:r w:rsidR="00604294" w:rsidRPr="00604294">
              <w:rPr>
                <w:rFonts w:ascii="Times New Roman" w:hAnsi="Times New Roman"/>
              </w:rPr>
              <w:t>dyr</w:t>
            </w:r>
            <w:r w:rsidRPr="00604294">
              <w:rPr>
                <w:rFonts w:ascii="Times New Roman" w:hAnsi="Times New Roman"/>
              </w:rPr>
              <w:t>ektywą 2014/49/UE ani równoważnym systemem gwarancji depozytów</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pań</w:t>
            </w:r>
            <w:r w:rsidRPr="00604294">
              <w:rPr>
                <w:rFonts w:ascii="Times New Roman" w:hAnsi="Times New Roman"/>
              </w:rPr>
              <w:t>stwie trzecim, wchodząca</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skł</w:t>
            </w:r>
            <w:r w:rsidRPr="00604294">
              <w:rPr>
                <w:rFonts w:ascii="Times New Roman" w:hAnsi="Times New Roman"/>
              </w:rPr>
              <w:t>ad całkowitej kwoty finansowania otrzymanego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ram</w:t>
            </w:r>
            <w:r w:rsidRPr="00604294">
              <w:rPr>
                <w:rFonts w:ascii="Times New Roman" w:hAnsi="Times New Roman"/>
              </w:rPr>
              <w:t>ach każdego rodzaju produktów wymienionych</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„Nazwa produktu” zgłoszonego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 xml:space="preserve">umnie 0010. </w:t>
            </w:r>
          </w:p>
          <w:p w14:paraId="2201D234" w14:textId="77777777" w:rsidR="00A344AA" w:rsidRPr="00604294" w:rsidRDefault="00A344AA" w:rsidP="00490B62">
            <w:pPr>
              <w:spacing w:before="0" w:after="0"/>
              <w:rPr>
                <w:rFonts w:ascii="Times New Roman" w:hAnsi="Times New Roman"/>
                <w:szCs w:val="20"/>
                <w:lang w:eastAsia="en-GB"/>
              </w:rPr>
            </w:pPr>
          </w:p>
          <w:p w14:paraId="3AE9E67D" w14:textId="43250304" w:rsidR="00A344AA" w:rsidRPr="00604294" w:rsidRDefault="00A344AA" w:rsidP="00490B62">
            <w:pPr>
              <w:spacing w:before="0" w:after="0"/>
              <w:rPr>
                <w:rFonts w:ascii="Times New Roman" w:hAnsi="Times New Roman"/>
                <w:szCs w:val="20"/>
              </w:rPr>
            </w:pPr>
            <w:r w:rsidRPr="00604294">
              <w:rPr>
                <w:rFonts w:ascii="Times New Roman" w:hAnsi="Times New Roman"/>
              </w:rPr>
              <w:t>Uwaga: kwoty zgłoszone</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0020</w:t>
            </w:r>
            <w:r w:rsidR="00604294" w:rsidRPr="00604294">
              <w:rPr>
                <w:rFonts w:ascii="Times New Roman" w:hAnsi="Times New Roman"/>
              </w:rPr>
              <w:t xml:space="preserve"> i</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0030,</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odn</w:t>
            </w:r>
            <w:r w:rsidRPr="00604294">
              <w:rPr>
                <w:rFonts w:ascii="Times New Roman" w:hAnsi="Times New Roman"/>
              </w:rPr>
              <w:t>iesieniu do każdego rodzaju produktów wymienionych</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„Nazwa produktu”, są równe całkowitej otrzymanej kwocie zgłoszonej</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0010.</w:t>
            </w:r>
          </w:p>
          <w:p w14:paraId="3A3C1BD5" w14:textId="77777777" w:rsidR="00A344AA" w:rsidRPr="00604294" w:rsidRDefault="00A344AA" w:rsidP="00476C32">
            <w:pPr>
              <w:spacing w:before="0" w:after="0"/>
              <w:rPr>
                <w:rFonts w:ascii="Times New Roman" w:hAnsi="Times New Roman"/>
                <w:b/>
                <w:szCs w:val="20"/>
                <w:u w:val="single"/>
                <w:lang w:eastAsia="en-GB"/>
              </w:rPr>
            </w:pPr>
          </w:p>
        </w:tc>
      </w:tr>
      <w:tr w:rsidR="00A344AA" w:rsidRPr="00604294" w14:paraId="451E213E" w14:textId="77777777" w:rsidTr="005B086D">
        <w:trPr>
          <w:trHeight w:val="459"/>
        </w:trPr>
        <w:tc>
          <w:tcPr>
            <w:tcW w:w="729" w:type="pct"/>
            <w:shd w:val="clear" w:color="auto" w:fill="auto"/>
            <w:noWrap/>
          </w:tcPr>
          <w:p w14:paraId="5C9786F2" w14:textId="69D66EDF" w:rsidR="00A344AA" w:rsidRPr="00604294" w:rsidRDefault="00C90DF5" w:rsidP="00ED2EE2">
            <w:pPr>
              <w:spacing w:before="0" w:after="0"/>
              <w:jc w:val="left"/>
              <w:rPr>
                <w:rFonts w:ascii="Times New Roman" w:hAnsi="Times New Roman"/>
                <w:color w:val="000000"/>
                <w:szCs w:val="20"/>
              </w:rPr>
            </w:pPr>
            <w:r w:rsidRPr="00604294">
              <w:rPr>
                <w:rFonts w:ascii="Times New Roman" w:hAnsi="Times New Roman"/>
                <w:color w:val="000000"/>
              </w:rPr>
              <w:t>0040</w:t>
            </w:r>
          </w:p>
        </w:tc>
        <w:tc>
          <w:tcPr>
            <w:tcW w:w="4271" w:type="pct"/>
            <w:shd w:val="clear" w:color="auto" w:fill="auto"/>
          </w:tcPr>
          <w:p w14:paraId="3C20E7C7" w14:textId="1D00688B" w:rsidR="00A344AA" w:rsidRPr="00604294" w:rsidRDefault="00A344AA" w:rsidP="00476C32">
            <w:pPr>
              <w:spacing w:before="0" w:after="0"/>
              <w:rPr>
                <w:rFonts w:ascii="Times New Roman" w:hAnsi="Times New Roman"/>
                <w:b/>
                <w:szCs w:val="20"/>
                <w:u w:val="single"/>
              </w:rPr>
            </w:pPr>
            <w:r w:rsidRPr="00604294">
              <w:rPr>
                <w:rFonts w:ascii="Times New Roman" w:hAnsi="Times New Roman"/>
                <w:b/>
                <w:u w:val="single"/>
              </w:rPr>
              <w:t>Średni ważony pierwotny termin zapadalności</w:t>
            </w:r>
          </w:p>
          <w:p w14:paraId="55688C6B" w14:textId="77777777" w:rsidR="00A344AA" w:rsidRPr="00604294" w:rsidRDefault="00A344AA" w:rsidP="00476C32">
            <w:pPr>
              <w:spacing w:before="0" w:after="0"/>
              <w:rPr>
                <w:rFonts w:ascii="Times New Roman" w:hAnsi="Times New Roman"/>
                <w:b/>
                <w:szCs w:val="20"/>
                <w:u w:val="single"/>
                <w:lang w:eastAsia="en-GB"/>
              </w:rPr>
            </w:pPr>
          </w:p>
          <w:p w14:paraId="26DFB785" w14:textId="0D1002DD" w:rsidR="00A344AA" w:rsidRPr="00604294" w:rsidRDefault="00A344AA" w:rsidP="00763448">
            <w:pPr>
              <w:spacing w:before="0" w:after="0"/>
              <w:rPr>
                <w:rFonts w:ascii="Times New Roman" w:hAnsi="Times New Roman"/>
                <w:szCs w:val="20"/>
              </w:rPr>
            </w:pPr>
            <w:r w:rsidRPr="00604294">
              <w:rPr>
                <w:rFonts w:ascii="Times New Roman" w:hAnsi="Times New Roman"/>
              </w:rPr>
              <w:t>W odniesieniu do kwoty otrzymanego finansowania zgłoszonej</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0010,</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ram</w:t>
            </w:r>
            <w:r w:rsidRPr="00604294">
              <w:rPr>
                <w:rFonts w:ascii="Times New Roman" w:hAnsi="Times New Roman"/>
              </w:rPr>
              <w:t>ach rodzajów produktów wymienionych</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„Nazwa produktu”,</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0040 zgłasza się średni ważony pierwotny termin zapadalności (w dniach) dla tego finansowania.</w:t>
            </w:r>
          </w:p>
          <w:p w14:paraId="6F902A34" w14:textId="77777777" w:rsidR="00A344AA" w:rsidRPr="00604294" w:rsidRDefault="00A344AA" w:rsidP="00490B62">
            <w:pPr>
              <w:spacing w:before="0" w:after="0"/>
              <w:rPr>
                <w:rFonts w:ascii="Times New Roman" w:hAnsi="Times New Roman"/>
                <w:szCs w:val="20"/>
                <w:lang w:eastAsia="en-GB"/>
              </w:rPr>
            </w:pPr>
          </w:p>
          <w:p w14:paraId="4993C5F5" w14:textId="20137C82" w:rsidR="00A344AA" w:rsidRPr="00604294" w:rsidRDefault="00B06740" w:rsidP="00476C32">
            <w:pPr>
              <w:spacing w:before="0" w:after="0"/>
              <w:rPr>
                <w:rFonts w:ascii="Times New Roman" w:hAnsi="Times New Roman"/>
                <w:szCs w:val="20"/>
              </w:rPr>
            </w:pPr>
            <w:r w:rsidRPr="00604294">
              <w:rPr>
                <w:rFonts w:ascii="Times New Roman" w:hAnsi="Times New Roman"/>
              </w:rPr>
              <w:lastRenderedPageBreak/>
              <w:t>Średni ważony pierwotny termin zapadalności oblicza się jako średni pierwotny termin zapadalności (w dniach) finansowania otrzymanego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ram</w:t>
            </w:r>
            <w:r w:rsidRPr="00604294">
              <w:rPr>
                <w:rFonts w:ascii="Times New Roman" w:hAnsi="Times New Roman"/>
              </w:rPr>
              <w:t>ach danego rodzaju produktu. Ten średni termin zapadalności jest ważony wielkością, na podstawie wielkości różnych kwot otrzymanego finansowania</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sto</w:t>
            </w:r>
            <w:r w:rsidRPr="00604294">
              <w:rPr>
                <w:rFonts w:ascii="Times New Roman" w:hAnsi="Times New Roman"/>
              </w:rPr>
              <w:t>sunku do całkowitego finansowania otrzymanego</w:t>
            </w:r>
            <w:r w:rsidR="00604294" w:rsidRPr="00604294">
              <w:rPr>
                <w:rFonts w:ascii="Times New Roman" w:hAnsi="Times New Roman"/>
              </w:rPr>
              <w:t xml:space="preserve"> z</w:t>
            </w:r>
            <w:r w:rsidR="00604294">
              <w:rPr>
                <w:rFonts w:ascii="Times New Roman" w:hAnsi="Times New Roman"/>
              </w:rPr>
              <w:t> </w:t>
            </w:r>
            <w:r w:rsidR="00604294" w:rsidRPr="00604294">
              <w:rPr>
                <w:rFonts w:ascii="Times New Roman" w:hAnsi="Times New Roman"/>
              </w:rPr>
              <w:t>wsz</w:t>
            </w:r>
            <w:r w:rsidRPr="00604294">
              <w:rPr>
                <w:rFonts w:ascii="Times New Roman" w:hAnsi="Times New Roman"/>
              </w:rPr>
              <w:t>ystkich emisji danego rodzaju produktu.</w:t>
            </w:r>
          </w:p>
        </w:tc>
      </w:tr>
      <w:tr w:rsidR="00A344AA" w:rsidRPr="00604294" w14:paraId="42EE78BF" w14:textId="77777777" w:rsidTr="00ED2EE2">
        <w:trPr>
          <w:trHeight w:val="1020"/>
        </w:trPr>
        <w:tc>
          <w:tcPr>
            <w:tcW w:w="729" w:type="pct"/>
            <w:shd w:val="clear" w:color="auto" w:fill="auto"/>
            <w:noWrap/>
          </w:tcPr>
          <w:p w14:paraId="2FEE2E2D" w14:textId="0191775C" w:rsidR="00A344AA" w:rsidRPr="00604294" w:rsidRDefault="00A344AA" w:rsidP="00ED2EE2">
            <w:pPr>
              <w:spacing w:before="0" w:after="0"/>
              <w:jc w:val="left"/>
              <w:rPr>
                <w:rFonts w:ascii="Times New Roman" w:hAnsi="Times New Roman"/>
                <w:color w:val="000000"/>
                <w:szCs w:val="20"/>
              </w:rPr>
            </w:pPr>
            <w:r w:rsidRPr="00604294">
              <w:rPr>
                <w:rFonts w:ascii="Times New Roman" w:hAnsi="Times New Roman"/>
                <w:color w:val="000000"/>
              </w:rPr>
              <w:lastRenderedPageBreak/>
              <w:t>0050</w:t>
            </w:r>
          </w:p>
        </w:tc>
        <w:tc>
          <w:tcPr>
            <w:tcW w:w="4271" w:type="pct"/>
            <w:shd w:val="clear" w:color="auto" w:fill="auto"/>
          </w:tcPr>
          <w:p w14:paraId="5F6E4857" w14:textId="77777777" w:rsidR="00A344AA" w:rsidRPr="00604294" w:rsidRDefault="00A344AA" w:rsidP="00476C32">
            <w:pPr>
              <w:spacing w:before="0" w:after="0"/>
              <w:rPr>
                <w:rFonts w:ascii="Times New Roman" w:hAnsi="Times New Roman"/>
                <w:b/>
                <w:szCs w:val="20"/>
                <w:u w:val="single"/>
              </w:rPr>
            </w:pPr>
            <w:r w:rsidRPr="00604294">
              <w:rPr>
                <w:rFonts w:ascii="Times New Roman" w:hAnsi="Times New Roman"/>
                <w:b/>
                <w:u w:val="single"/>
              </w:rPr>
              <w:t>Średni ważony rezydualny termin zapadalności</w:t>
            </w:r>
          </w:p>
          <w:p w14:paraId="24DA2333" w14:textId="77777777" w:rsidR="00A344AA" w:rsidRPr="00604294" w:rsidRDefault="00A344AA" w:rsidP="00476C32">
            <w:pPr>
              <w:spacing w:before="0" w:after="0"/>
              <w:rPr>
                <w:rFonts w:ascii="Times New Roman" w:hAnsi="Times New Roman"/>
                <w:b/>
                <w:szCs w:val="20"/>
                <w:u w:val="single"/>
                <w:lang w:eastAsia="en-GB"/>
              </w:rPr>
            </w:pPr>
          </w:p>
          <w:p w14:paraId="5F851D17" w14:textId="5402DB57" w:rsidR="00A344AA" w:rsidRPr="00604294" w:rsidRDefault="00A344AA" w:rsidP="00763448">
            <w:pPr>
              <w:spacing w:before="0" w:after="0"/>
              <w:rPr>
                <w:rFonts w:ascii="Times New Roman" w:hAnsi="Times New Roman"/>
                <w:szCs w:val="20"/>
              </w:rPr>
            </w:pPr>
            <w:r w:rsidRPr="00604294">
              <w:rPr>
                <w:rFonts w:ascii="Times New Roman" w:hAnsi="Times New Roman"/>
              </w:rPr>
              <w:t>W odniesieniu do kwoty otrzymanego finansowania zgłoszonej</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0010,</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ram</w:t>
            </w:r>
            <w:r w:rsidRPr="00604294">
              <w:rPr>
                <w:rFonts w:ascii="Times New Roman" w:hAnsi="Times New Roman"/>
              </w:rPr>
              <w:t>ach rodzajów produktów wymienionych</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„Nazwa produktu”,</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0050 zgłasza się średni ważony rezydualny termin zapadalności (w dniach) dla tego finansowania.</w:t>
            </w:r>
          </w:p>
          <w:p w14:paraId="10B9D2BA" w14:textId="77777777" w:rsidR="00A344AA" w:rsidRPr="00604294" w:rsidRDefault="00A344AA" w:rsidP="00490B62">
            <w:pPr>
              <w:spacing w:before="0" w:after="0"/>
              <w:rPr>
                <w:rFonts w:ascii="Times New Roman" w:hAnsi="Times New Roman"/>
                <w:szCs w:val="20"/>
                <w:lang w:eastAsia="en-GB"/>
              </w:rPr>
            </w:pPr>
          </w:p>
          <w:p w14:paraId="7D5D34BD" w14:textId="04012EAE" w:rsidR="00A344AA" w:rsidRPr="00604294" w:rsidRDefault="00B06740" w:rsidP="00476C32">
            <w:pPr>
              <w:spacing w:before="0" w:after="0"/>
              <w:rPr>
                <w:rFonts w:ascii="Times New Roman" w:hAnsi="Times New Roman"/>
                <w:szCs w:val="20"/>
              </w:rPr>
            </w:pPr>
            <w:r w:rsidRPr="00604294">
              <w:rPr>
                <w:rFonts w:ascii="Times New Roman" w:hAnsi="Times New Roman"/>
              </w:rPr>
              <w:t>Średni ważony rezydualny termin zapadalności oblicza się jako średni pozostały do zapadalności termin (w dniach) dla finansowania otrzymanego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ram</w:t>
            </w:r>
            <w:r w:rsidRPr="00604294">
              <w:rPr>
                <w:rFonts w:ascii="Times New Roman" w:hAnsi="Times New Roman"/>
              </w:rPr>
              <w:t>ach danego rodzaju produktu. Ten średni termin zapadalności jest ważony wielkością, na podstawie wielkości różnych kwot otrzymanego finansowania</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sto</w:t>
            </w:r>
            <w:r w:rsidRPr="00604294">
              <w:rPr>
                <w:rFonts w:ascii="Times New Roman" w:hAnsi="Times New Roman"/>
              </w:rPr>
              <w:t>sunku do całkowitego finansowania otrzymanego</w:t>
            </w:r>
            <w:r w:rsidR="00604294" w:rsidRPr="00604294">
              <w:rPr>
                <w:rFonts w:ascii="Times New Roman" w:hAnsi="Times New Roman"/>
              </w:rPr>
              <w:t xml:space="preserve"> z</w:t>
            </w:r>
            <w:r w:rsidR="00604294">
              <w:rPr>
                <w:rFonts w:ascii="Times New Roman" w:hAnsi="Times New Roman"/>
              </w:rPr>
              <w:t> </w:t>
            </w:r>
            <w:r w:rsidR="00604294" w:rsidRPr="00604294">
              <w:rPr>
                <w:rFonts w:ascii="Times New Roman" w:hAnsi="Times New Roman"/>
              </w:rPr>
              <w:t>wsz</w:t>
            </w:r>
            <w:r w:rsidRPr="00604294">
              <w:rPr>
                <w:rFonts w:ascii="Times New Roman" w:hAnsi="Times New Roman"/>
              </w:rPr>
              <w:t>ystkich emisji danego rodzaju produktu.</w:t>
            </w:r>
          </w:p>
          <w:p w14:paraId="7FC1A546" w14:textId="77777777" w:rsidR="00A344AA" w:rsidRPr="00604294" w:rsidRDefault="00A344AA" w:rsidP="00476C32">
            <w:pPr>
              <w:spacing w:before="0" w:after="0"/>
              <w:rPr>
                <w:rFonts w:ascii="Times New Roman" w:hAnsi="Times New Roman"/>
                <w:b/>
                <w:szCs w:val="20"/>
                <w:u w:val="single"/>
                <w:lang w:eastAsia="en-GB"/>
              </w:rPr>
            </w:pPr>
          </w:p>
        </w:tc>
      </w:tr>
    </w:tbl>
    <w:p w14:paraId="46B6DB4F" w14:textId="77777777" w:rsidR="00A344AA" w:rsidRPr="00604294" w:rsidRDefault="00A344AA"/>
    <w:p w14:paraId="079161C6" w14:textId="77777777" w:rsidR="00D02FE4" w:rsidRPr="00604294" w:rsidRDefault="00181260" w:rsidP="00DD5897">
      <w:pPr>
        <w:pStyle w:val="Instructionsberschrift2"/>
        <w:numPr>
          <w:ilvl w:val="1"/>
          <w:numId w:val="2"/>
        </w:numPr>
        <w:spacing w:before="0"/>
        <w:rPr>
          <w:rFonts w:ascii="Times New Roman" w:hAnsi="Times New Roman" w:cs="Times New Roman"/>
          <w:szCs w:val="20"/>
        </w:rPr>
      </w:pPr>
      <w:r w:rsidRPr="00604294">
        <w:rPr>
          <w:rFonts w:ascii="Times New Roman" w:hAnsi="Times New Roman"/>
        </w:rPr>
        <w:t>Ceny za różne okresy finansowania (C 69.00)</w:t>
      </w:r>
    </w:p>
    <w:p w14:paraId="691ACAEA" w14:textId="65862744" w:rsidR="002C154A" w:rsidRPr="00604294" w:rsidRDefault="00DD76F0" w:rsidP="00927DCB">
      <w:pPr>
        <w:pStyle w:val="InstructionsText2"/>
        <w:numPr>
          <w:ilvl w:val="0"/>
          <w:numId w:val="7"/>
        </w:numPr>
        <w:rPr>
          <w:u w:val="none"/>
        </w:rPr>
      </w:pPr>
      <w:r w:rsidRPr="00604294">
        <w:rPr>
          <w:u w:val="none"/>
        </w:rPr>
        <w:t>Instytucje zgłaszają we wzorze C 69.00 informacje</w:t>
      </w:r>
      <w:r w:rsidR="00604294" w:rsidRPr="00604294">
        <w:rPr>
          <w:u w:val="none"/>
        </w:rPr>
        <w:t xml:space="preserve"> o</w:t>
      </w:r>
      <w:r w:rsidR="00604294">
        <w:rPr>
          <w:u w:val="none"/>
        </w:rPr>
        <w:t> </w:t>
      </w:r>
      <w:r w:rsidR="00604294" w:rsidRPr="00604294">
        <w:rPr>
          <w:u w:val="none"/>
        </w:rPr>
        <w:t>wol</w:t>
      </w:r>
      <w:r w:rsidRPr="00604294">
        <w:rPr>
          <w:u w:val="none"/>
        </w:rPr>
        <w:t>umenie transakcji</w:t>
      </w:r>
      <w:r w:rsidR="00604294" w:rsidRPr="00604294">
        <w:rPr>
          <w:u w:val="none"/>
        </w:rPr>
        <w:t xml:space="preserve"> i</w:t>
      </w:r>
      <w:r w:rsidR="00604294">
        <w:rPr>
          <w:u w:val="none"/>
        </w:rPr>
        <w:t> </w:t>
      </w:r>
      <w:r w:rsidR="00604294" w:rsidRPr="00604294">
        <w:rPr>
          <w:u w:val="none"/>
        </w:rPr>
        <w:t>cen</w:t>
      </w:r>
      <w:r w:rsidRPr="00604294">
        <w:rPr>
          <w:u w:val="none"/>
        </w:rPr>
        <w:t>ach płaconych przez instytucje za finansowanie uzyskane</w:t>
      </w:r>
      <w:r w:rsidR="00604294" w:rsidRPr="00604294">
        <w:rPr>
          <w:u w:val="none"/>
        </w:rPr>
        <w:t xml:space="preserve"> w</w:t>
      </w:r>
      <w:r w:rsidR="00604294">
        <w:rPr>
          <w:u w:val="none"/>
        </w:rPr>
        <w:t> </w:t>
      </w:r>
      <w:r w:rsidR="00604294" w:rsidRPr="00604294">
        <w:rPr>
          <w:u w:val="none"/>
        </w:rPr>
        <w:t>okr</w:t>
      </w:r>
      <w:r w:rsidRPr="00604294">
        <w:rPr>
          <w:u w:val="none"/>
        </w:rPr>
        <w:t>esie sprawozdawczym</w:t>
      </w:r>
      <w:r w:rsidR="00604294" w:rsidRPr="00604294">
        <w:rPr>
          <w:u w:val="none"/>
        </w:rPr>
        <w:t xml:space="preserve"> i</w:t>
      </w:r>
      <w:r w:rsidR="00604294">
        <w:rPr>
          <w:u w:val="none"/>
        </w:rPr>
        <w:t> </w:t>
      </w:r>
      <w:r w:rsidR="00604294" w:rsidRPr="00604294">
        <w:rPr>
          <w:u w:val="none"/>
        </w:rPr>
        <w:t>nad</w:t>
      </w:r>
      <w:r w:rsidRPr="00604294">
        <w:rPr>
          <w:u w:val="none"/>
        </w:rPr>
        <w:t>al istniejące na koniec okresu sprawozdawczego, zgodnie</w:t>
      </w:r>
      <w:r w:rsidR="00604294" w:rsidRPr="00604294">
        <w:rPr>
          <w:u w:val="none"/>
        </w:rPr>
        <w:t xml:space="preserve"> z</w:t>
      </w:r>
      <w:r w:rsidR="00604294">
        <w:rPr>
          <w:u w:val="none"/>
        </w:rPr>
        <w:t> </w:t>
      </w:r>
      <w:r w:rsidR="00604294" w:rsidRPr="00604294">
        <w:rPr>
          <w:u w:val="none"/>
        </w:rPr>
        <w:t>nas</w:t>
      </w:r>
      <w:r w:rsidRPr="00604294">
        <w:rPr>
          <w:u w:val="none"/>
        </w:rPr>
        <w:t>tępującymi pierwotnymi terminami zapadalności:</w:t>
      </w:r>
    </w:p>
    <w:p w14:paraId="43E76F50" w14:textId="4F595A36" w:rsidR="0019013A" w:rsidRPr="00604294" w:rsidRDefault="00C13077" w:rsidP="00927DCB">
      <w:pPr>
        <w:pStyle w:val="InstructionsText2"/>
        <w:numPr>
          <w:ilvl w:val="1"/>
          <w:numId w:val="13"/>
        </w:numPr>
        <w:ind w:left="993" w:hanging="284"/>
        <w:rPr>
          <w:u w:val="none"/>
        </w:rPr>
      </w:pPr>
      <w:r w:rsidRPr="00604294">
        <w:tab/>
      </w:r>
      <w:r w:rsidRPr="00604294">
        <w:rPr>
          <w:u w:val="none"/>
        </w:rPr>
        <w:t>overnight</w:t>
      </w:r>
      <w:r w:rsidR="00604294" w:rsidRPr="00604294">
        <w:rPr>
          <w:u w:val="none"/>
        </w:rPr>
        <w:t xml:space="preserve"> w</w:t>
      </w:r>
      <w:r w:rsidR="00604294">
        <w:rPr>
          <w:u w:val="none"/>
        </w:rPr>
        <w:t> </w:t>
      </w:r>
      <w:r w:rsidR="00604294" w:rsidRPr="00604294">
        <w:rPr>
          <w:u w:val="none"/>
        </w:rPr>
        <w:t>kol</w:t>
      </w:r>
      <w:r w:rsidRPr="00604294">
        <w:rPr>
          <w:u w:val="none"/>
        </w:rPr>
        <w:t>umnach 0010</w:t>
      </w:r>
      <w:r w:rsidR="00604294" w:rsidRPr="00604294">
        <w:rPr>
          <w:u w:val="none"/>
        </w:rPr>
        <w:t xml:space="preserve"> i</w:t>
      </w:r>
      <w:r w:rsidR="00604294">
        <w:rPr>
          <w:u w:val="none"/>
        </w:rPr>
        <w:t> </w:t>
      </w:r>
      <w:r w:rsidR="00604294" w:rsidRPr="00604294">
        <w:rPr>
          <w:u w:val="none"/>
        </w:rPr>
        <w:t>0</w:t>
      </w:r>
      <w:r w:rsidRPr="00604294">
        <w:rPr>
          <w:u w:val="none"/>
        </w:rPr>
        <w:t>020;</w:t>
      </w:r>
    </w:p>
    <w:p w14:paraId="20A63704" w14:textId="760AF169" w:rsidR="0019013A" w:rsidRPr="00604294" w:rsidRDefault="00325582" w:rsidP="00927DCB">
      <w:pPr>
        <w:pStyle w:val="InstructionsText2"/>
        <w:numPr>
          <w:ilvl w:val="0"/>
          <w:numId w:val="0"/>
        </w:numPr>
        <w:ind w:left="714"/>
        <w:rPr>
          <w:u w:val="none"/>
        </w:rPr>
      </w:pPr>
      <w:r w:rsidRPr="00604294">
        <w:rPr>
          <w:u w:val="none"/>
        </w:rPr>
        <w:t>b)</w:t>
      </w:r>
      <w:r w:rsidRPr="00604294">
        <w:tab/>
      </w:r>
      <w:r w:rsidRPr="00604294">
        <w:rPr>
          <w:u w:val="none"/>
        </w:rPr>
        <w:t>powyżej overnight i do</w:t>
      </w:r>
      <w:r w:rsidR="00604294" w:rsidRPr="00604294">
        <w:rPr>
          <w:u w:val="none"/>
        </w:rPr>
        <w:t> </w:t>
      </w:r>
      <w:r w:rsidRPr="00604294">
        <w:rPr>
          <w:u w:val="none"/>
        </w:rPr>
        <w:t>1 tygodnia (włącznie)</w:t>
      </w:r>
      <w:r w:rsidR="00604294" w:rsidRPr="00604294">
        <w:rPr>
          <w:u w:val="none"/>
        </w:rPr>
        <w:t xml:space="preserve"> w</w:t>
      </w:r>
      <w:r w:rsidR="00604294">
        <w:rPr>
          <w:u w:val="none"/>
        </w:rPr>
        <w:t> </w:t>
      </w:r>
      <w:r w:rsidR="00604294" w:rsidRPr="00604294">
        <w:rPr>
          <w:u w:val="none"/>
        </w:rPr>
        <w:t>kol</w:t>
      </w:r>
      <w:r w:rsidRPr="00604294">
        <w:rPr>
          <w:u w:val="none"/>
        </w:rPr>
        <w:t>umnach 0030</w:t>
      </w:r>
      <w:r w:rsidR="00604294" w:rsidRPr="00604294">
        <w:rPr>
          <w:u w:val="none"/>
        </w:rPr>
        <w:t xml:space="preserve"> i</w:t>
      </w:r>
      <w:r w:rsidR="00604294">
        <w:rPr>
          <w:u w:val="none"/>
        </w:rPr>
        <w:t> </w:t>
      </w:r>
      <w:r w:rsidR="00604294" w:rsidRPr="00604294">
        <w:rPr>
          <w:u w:val="none"/>
        </w:rPr>
        <w:t>0</w:t>
      </w:r>
      <w:r w:rsidRPr="00604294">
        <w:rPr>
          <w:u w:val="none"/>
        </w:rPr>
        <w:t>040;</w:t>
      </w:r>
    </w:p>
    <w:p w14:paraId="23995DF6" w14:textId="523740F1" w:rsidR="0019013A" w:rsidRPr="00604294" w:rsidRDefault="00325582" w:rsidP="00927DCB">
      <w:pPr>
        <w:pStyle w:val="InstructionsText2"/>
        <w:numPr>
          <w:ilvl w:val="0"/>
          <w:numId w:val="0"/>
        </w:numPr>
        <w:ind w:left="714"/>
        <w:rPr>
          <w:u w:val="none"/>
        </w:rPr>
      </w:pPr>
      <w:r w:rsidRPr="00604294">
        <w:rPr>
          <w:u w:val="none"/>
        </w:rPr>
        <w:t>c)</w:t>
      </w:r>
      <w:r w:rsidRPr="00604294">
        <w:tab/>
      </w:r>
      <w:r w:rsidRPr="00604294">
        <w:rPr>
          <w:u w:val="none"/>
        </w:rPr>
        <w:t>powyżej 1 tygodnia i do</w:t>
      </w:r>
      <w:r w:rsidR="00604294" w:rsidRPr="00604294">
        <w:rPr>
          <w:u w:val="none"/>
        </w:rPr>
        <w:t> </w:t>
      </w:r>
      <w:r w:rsidRPr="00604294">
        <w:rPr>
          <w:u w:val="none"/>
        </w:rPr>
        <w:t>1 miesiąca (włącznie)</w:t>
      </w:r>
      <w:r w:rsidR="00604294" w:rsidRPr="00604294">
        <w:rPr>
          <w:u w:val="none"/>
        </w:rPr>
        <w:t xml:space="preserve"> w</w:t>
      </w:r>
      <w:r w:rsidR="00604294">
        <w:rPr>
          <w:u w:val="none"/>
        </w:rPr>
        <w:t> </w:t>
      </w:r>
      <w:r w:rsidR="00604294" w:rsidRPr="00604294">
        <w:rPr>
          <w:u w:val="none"/>
        </w:rPr>
        <w:t>kol</w:t>
      </w:r>
      <w:r w:rsidRPr="00604294">
        <w:rPr>
          <w:u w:val="none"/>
        </w:rPr>
        <w:t>umnach 0050</w:t>
      </w:r>
      <w:r w:rsidR="00604294" w:rsidRPr="00604294">
        <w:rPr>
          <w:u w:val="none"/>
        </w:rPr>
        <w:t xml:space="preserve"> i</w:t>
      </w:r>
      <w:r w:rsidR="00604294">
        <w:rPr>
          <w:u w:val="none"/>
        </w:rPr>
        <w:t> </w:t>
      </w:r>
      <w:r w:rsidR="00604294" w:rsidRPr="00604294">
        <w:rPr>
          <w:u w:val="none"/>
        </w:rPr>
        <w:t>0</w:t>
      </w:r>
      <w:r w:rsidRPr="00604294">
        <w:rPr>
          <w:u w:val="none"/>
        </w:rPr>
        <w:t>060;</w:t>
      </w:r>
    </w:p>
    <w:p w14:paraId="4DB6611C" w14:textId="3DC7A31B" w:rsidR="0019013A" w:rsidRPr="00604294" w:rsidRDefault="00325582" w:rsidP="00927DCB">
      <w:pPr>
        <w:pStyle w:val="InstructionsText2"/>
        <w:numPr>
          <w:ilvl w:val="0"/>
          <w:numId w:val="0"/>
        </w:numPr>
        <w:ind w:left="714"/>
        <w:rPr>
          <w:u w:val="none"/>
        </w:rPr>
      </w:pPr>
      <w:r w:rsidRPr="00604294">
        <w:rPr>
          <w:u w:val="none"/>
        </w:rPr>
        <w:t>d)</w:t>
      </w:r>
      <w:r w:rsidRPr="00604294">
        <w:tab/>
      </w:r>
      <w:r w:rsidRPr="00604294">
        <w:rPr>
          <w:u w:val="none"/>
        </w:rPr>
        <w:t>powyżej 1 miesiąca i do</w:t>
      </w:r>
      <w:r w:rsidR="00604294" w:rsidRPr="00604294">
        <w:rPr>
          <w:u w:val="none"/>
        </w:rPr>
        <w:t> </w:t>
      </w:r>
      <w:r w:rsidRPr="00604294">
        <w:rPr>
          <w:u w:val="none"/>
        </w:rPr>
        <w:t>3 miesięcy (włącznie)</w:t>
      </w:r>
      <w:r w:rsidR="00604294" w:rsidRPr="00604294">
        <w:rPr>
          <w:u w:val="none"/>
        </w:rPr>
        <w:t xml:space="preserve"> w</w:t>
      </w:r>
      <w:r w:rsidR="00604294">
        <w:rPr>
          <w:u w:val="none"/>
        </w:rPr>
        <w:t> </w:t>
      </w:r>
      <w:r w:rsidR="00604294" w:rsidRPr="00604294">
        <w:rPr>
          <w:u w:val="none"/>
        </w:rPr>
        <w:t>kol</w:t>
      </w:r>
      <w:r w:rsidRPr="00604294">
        <w:rPr>
          <w:u w:val="none"/>
        </w:rPr>
        <w:t>umnach 0070</w:t>
      </w:r>
      <w:r w:rsidR="00604294" w:rsidRPr="00604294">
        <w:rPr>
          <w:u w:val="none"/>
        </w:rPr>
        <w:t xml:space="preserve"> i</w:t>
      </w:r>
      <w:r w:rsidR="00604294">
        <w:rPr>
          <w:u w:val="none"/>
        </w:rPr>
        <w:t> </w:t>
      </w:r>
      <w:r w:rsidR="00604294" w:rsidRPr="00604294">
        <w:rPr>
          <w:u w:val="none"/>
        </w:rPr>
        <w:t>0</w:t>
      </w:r>
      <w:r w:rsidRPr="00604294">
        <w:rPr>
          <w:u w:val="none"/>
        </w:rPr>
        <w:t>080;</w:t>
      </w:r>
    </w:p>
    <w:p w14:paraId="68B85898" w14:textId="225C7960" w:rsidR="0019013A" w:rsidRPr="00604294" w:rsidRDefault="00325582" w:rsidP="00927DCB">
      <w:pPr>
        <w:pStyle w:val="InstructionsText2"/>
        <w:numPr>
          <w:ilvl w:val="0"/>
          <w:numId w:val="0"/>
        </w:numPr>
        <w:ind w:left="714"/>
        <w:rPr>
          <w:u w:val="none"/>
        </w:rPr>
      </w:pPr>
      <w:r w:rsidRPr="00604294">
        <w:rPr>
          <w:u w:val="none"/>
        </w:rPr>
        <w:t>e)</w:t>
      </w:r>
      <w:r w:rsidRPr="00604294">
        <w:tab/>
      </w:r>
      <w:r w:rsidRPr="00604294">
        <w:rPr>
          <w:u w:val="none"/>
        </w:rPr>
        <w:t>powyżej 3 miesięcy i do</w:t>
      </w:r>
      <w:r w:rsidR="00604294" w:rsidRPr="00604294">
        <w:rPr>
          <w:u w:val="none"/>
        </w:rPr>
        <w:t> </w:t>
      </w:r>
      <w:r w:rsidRPr="00604294">
        <w:rPr>
          <w:u w:val="none"/>
        </w:rPr>
        <w:t>6 miesięcy (włącznie)</w:t>
      </w:r>
      <w:r w:rsidR="00604294" w:rsidRPr="00604294">
        <w:rPr>
          <w:u w:val="none"/>
        </w:rPr>
        <w:t xml:space="preserve"> w</w:t>
      </w:r>
      <w:r w:rsidR="00604294">
        <w:rPr>
          <w:u w:val="none"/>
        </w:rPr>
        <w:t> </w:t>
      </w:r>
      <w:r w:rsidR="00604294" w:rsidRPr="00604294">
        <w:rPr>
          <w:u w:val="none"/>
        </w:rPr>
        <w:t>kol</w:t>
      </w:r>
      <w:r w:rsidRPr="00604294">
        <w:rPr>
          <w:u w:val="none"/>
        </w:rPr>
        <w:t>umnach 0090</w:t>
      </w:r>
      <w:r w:rsidR="00604294" w:rsidRPr="00604294">
        <w:rPr>
          <w:u w:val="none"/>
        </w:rPr>
        <w:t xml:space="preserve"> i</w:t>
      </w:r>
      <w:r w:rsidR="00604294">
        <w:rPr>
          <w:u w:val="none"/>
        </w:rPr>
        <w:t> </w:t>
      </w:r>
      <w:r w:rsidR="00604294" w:rsidRPr="00604294">
        <w:rPr>
          <w:u w:val="none"/>
        </w:rPr>
        <w:t>0</w:t>
      </w:r>
      <w:r w:rsidRPr="00604294">
        <w:rPr>
          <w:u w:val="none"/>
        </w:rPr>
        <w:t>100;</w:t>
      </w:r>
    </w:p>
    <w:p w14:paraId="032BAEDE" w14:textId="3C9D1278" w:rsidR="00172727" w:rsidRPr="00604294" w:rsidRDefault="00325582" w:rsidP="00927DCB">
      <w:pPr>
        <w:pStyle w:val="InstructionsText2"/>
        <w:numPr>
          <w:ilvl w:val="0"/>
          <w:numId w:val="0"/>
        </w:numPr>
        <w:ind w:left="714"/>
        <w:rPr>
          <w:u w:val="none"/>
        </w:rPr>
      </w:pPr>
      <w:r w:rsidRPr="00604294">
        <w:rPr>
          <w:u w:val="none"/>
        </w:rPr>
        <w:t>f)</w:t>
      </w:r>
      <w:r w:rsidRPr="00604294">
        <w:tab/>
      </w:r>
      <w:r w:rsidRPr="00604294">
        <w:rPr>
          <w:u w:val="none"/>
        </w:rPr>
        <w:t>powyżej 6 miesięcy i do</w:t>
      </w:r>
      <w:r w:rsidR="00604294" w:rsidRPr="00604294">
        <w:rPr>
          <w:u w:val="none"/>
        </w:rPr>
        <w:t> </w:t>
      </w:r>
      <w:r w:rsidRPr="00604294">
        <w:rPr>
          <w:u w:val="none"/>
        </w:rPr>
        <w:t>1 roku (włącznie)</w:t>
      </w:r>
      <w:r w:rsidR="00604294" w:rsidRPr="00604294">
        <w:rPr>
          <w:u w:val="none"/>
        </w:rPr>
        <w:t xml:space="preserve"> w</w:t>
      </w:r>
      <w:r w:rsidR="00604294">
        <w:rPr>
          <w:u w:val="none"/>
        </w:rPr>
        <w:t> </w:t>
      </w:r>
      <w:r w:rsidR="00604294" w:rsidRPr="00604294">
        <w:rPr>
          <w:u w:val="none"/>
        </w:rPr>
        <w:t>kol</w:t>
      </w:r>
      <w:r w:rsidRPr="00604294">
        <w:rPr>
          <w:u w:val="none"/>
        </w:rPr>
        <w:t>umnach 0110</w:t>
      </w:r>
      <w:r w:rsidR="00604294" w:rsidRPr="00604294">
        <w:rPr>
          <w:u w:val="none"/>
        </w:rPr>
        <w:t xml:space="preserve"> i</w:t>
      </w:r>
      <w:r w:rsidR="00604294">
        <w:rPr>
          <w:u w:val="none"/>
        </w:rPr>
        <w:t> </w:t>
      </w:r>
      <w:r w:rsidR="00604294" w:rsidRPr="00604294">
        <w:rPr>
          <w:u w:val="none"/>
        </w:rPr>
        <w:t>0</w:t>
      </w:r>
      <w:r w:rsidRPr="00604294">
        <w:rPr>
          <w:u w:val="none"/>
        </w:rPr>
        <w:t>120;</w:t>
      </w:r>
    </w:p>
    <w:p w14:paraId="3DE0207D" w14:textId="123CB8EE" w:rsidR="0019013A" w:rsidRPr="00604294" w:rsidRDefault="00325582" w:rsidP="00927DCB">
      <w:pPr>
        <w:pStyle w:val="InstructionsText2"/>
        <w:numPr>
          <w:ilvl w:val="0"/>
          <w:numId w:val="0"/>
        </w:numPr>
        <w:ind w:left="714"/>
        <w:rPr>
          <w:u w:val="none"/>
        </w:rPr>
      </w:pPr>
      <w:r w:rsidRPr="00604294">
        <w:rPr>
          <w:u w:val="none"/>
        </w:rPr>
        <w:t>g)</w:t>
      </w:r>
      <w:r w:rsidRPr="00604294">
        <w:tab/>
      </w:r>
      <w:r w:rsidRPr="00604294">
        <w:rPr>
          <w:u w:val="none"/>
        </w:rPr>
        <w:t>powyżej 1 roku i do</w:t>
      </w:r>
      <w:r w:rsidR="00604294" w:rsidRPr="00604294">
        <w:rPr>
          <w:u w:val="none"/>
        </w:rPr>
        <w:t> </w:t>
      </w:r>
      <w:r w:rsidRPr="00604294">
        <w:rPr>
          <w:u w:val="none"/>
        </w:rPr>
        <w:t>2 lat (włącznie)</w:t>
      </w:r>
      <w:r w:rsidR="00604294" w:rsidRPr="00604294">
        <w:rPr>
          <w:u w:val="none"/>
        </w:rPr>
        <w:t xml:space="preserve"> w</w:t>
      </w:r>
      <w:r w:rsidR="00604294">
        <w:rPr>
          <w:u w:val="none"/>
        </w:rPr>
        <w:t> </w:t>
      </w:r>
      <w:r w:rsidR="00604294" w:rsidRPr="00604294">
        <w:rPr>
          <w:u w:val="none"/>
        </w:rPr>
        <w:t>kol</w:t>
      </w:r>
      <w:r w:rsidRPr="00604294">
        <w:rPr>
          <w:u w:val="none"/>
        </w:rPr>
        <w:t>umnach 0130</w:t>
      </w:r>
      <w:r w:rsidR="00604294" w:rsidRPr="00604294">
        <w:rPr>
          <w:u w:val="none"/>
        </w:rPr>
        <w:t xml:space="preserve"> i</w:t>
      </w:r>
      <w:r w:rsidR="00604294">
        <w:rPr>
          <w:u w:val="none"/>
        </w:rPr>
        <w:t> </w:t>
      </w:r>
      <w:r w:rsidR="00604294" w:rsidRPr="00604294">
        <w:rPr>
          <w:u w:val="none"/>
        </w:rPr>
        <w:t>0</w:t>
      </w:r>
      <w:r w:rsidRPr="00604294">
        <w:rPr>
          <w:u w:val="none"/>
        </w:rPr>
        <w:t>140;</w:t>
      </w:r>
    </w:p>
    <w:p w14:paraId="5A4B2AD6" w14:textId="6FD423F5" w:rsidR="0019013A" w:rsidRPr="00604294" w:rsidRDefault="00325582" w:rsidP="00927DCB">
      <w:pPr>
        <w:pStyle w:val="InstructionsText2"/>
        <w:numPr>
          <w:ilvl w:val="0"/>
          <w:numId w:val="0"/>
        </w:numPr>
        <w:ind w:left="714"/>
        <w:rPr>
          <w:u w:val="none"/>
        </w:rPr>
      </w:pPr>
      <w:r w:rsidRPr="00604294">
        <w:rPr>
          <w:u w:val="none"/>
        </w:rPr>
        <w:t>h)</w:t>
      </w:r>
      <w:r w:rsidRPr="00604294">
        <w:tab/>
      </w:r>
      <w:r w:rsidRPr="00604294">
        <w:rPr>
          <w:u w:val="none"/>
        </w:rPr>
        <w:t>powyżej 2 lat i do</w:t>
      </w:r>
      <w:r w:rsidR="00604294" w:rsidRPr="00604294">
        <w:rPr>
          <w:u w:val="none"/>
        </w:rPr>
        <w:t> </w:t>
      </w:r>
      <w:r w:rsidRPr="00604294">
        <w:rPr>
          <w:u w:val="none"/>
        </w:rPr>
        <w:t>5 lat (włącznie)</w:t>
      </w:r>
      <w:r w:rsidR="00604294" w:rsidRPr="00604294">
        <w:rPr>
          <w:u w:val="none"/>
        </w:rPr>
        <w:t xml:space="preserve"> w</w:t>
      </w:r>
      <w:r w:rsidR="00604294">
        <w:rPr>
          <w:u w:val="none"/>
        </w:rPr>
        <w:t> </w:t>
      </w:r>
      <w:r w:rsidR="00604294" w:rsidRPr="00604294">
        <w:rPr>
          <w:u w:val="none"/>
        </w:rPr>
        <w:t>kol</w:t>
      </w:r>
      <w:r w:rsidRPr="00604294">
        <w:rPr>
          <w:u w:val="none"/>
        </w:rPr>
        <w:t>umnach 0150</w:t>
      </w:r>
      <w:r w:rsidR="00604294" w:rsidRPr="00604294">
        <w:rPr>
          <w:u w:val="none"/>
        </w:rPr>
        <w:t xml:space="preserve"> i</w:t>
      </w:r>
      <w:r w:rsidR="00604294">
        <w:rPr>
          <w:u w:val="none"/>
        </w:rPr>
        <w:t> </w:t>
      </w:r>
      <w:r w:rsidR="00604294" w:rsidRPr="00604294">
        <w:rPr>
          <w:u w:val="none"/>
        </w:rPr>
        <w:t>0</w:t>
      </w:r>
      <w:r w:rsidRPr="00604294">
        <w:rPr>
          <w:u w:val="none"/>
        </w:rPr>
        <w:t>160;</w:t>
      </w:r>
    </w:p>
    <w:p w14:paraId="10B732E8" w14:textId="4B7A3A54" w:rsidR="0019013A" w:rsidRPr="00604294" w:rsidRDefault="00325582" w:rsidP="00927DCB">
      <w:pPr>
        <w:pStyle w:val="InstructionsText2"/>
        <w:numPr>
          <w:ilvl w:val="0"/>
          <w:numId w:val="0"/>
        </w:numPr>
        <w:ind w:left="714"/>
        <w:rPr>
          <w:u w:val="none"/>
        </w:rPr>
      </w:pPr>
      <w:r w:rsidRPr="00604294">
        <w:rPr>
          <w:u w:val="none"/>
        </w:rPr>
        <w:t>i)</w:t>
      </w:r>
      <w:r w:rsidRPr="00604294">
        <w:tab/>
      </w:r>
      <w:r w:rsidRPr="00604294">
        <w:rPr>
          <w:u w:val="none"/>
        </w:rPr>
        <w:t>powyżej 5 lat i do</w:t>
      </w:r>
      <w:r w:rsidR="00604294" w:rsidRPr="00604294">
        <w:rPr>
          <w:u w:val="none"/>
        </w:rPr>
        <w:t> </w:t>
      </w:r>
      <w:r w:rsidRPr="00604294">
        <w:rPr>
          <w:u w:val="none"/>
        </w:rPr>
        <w:t>10 lat (włącznie)</w:t>
      </w:r>
      <w:r w:rsidR="00604294" w:rsidRPr="00604294">
        <w:rPr>
          <w:u w:val="none"/>
        </w:rPr>
        <w:t xml:space="preserve"> w</w:t>
      </w:r>
      <w:r w:rsidR="00604294">
        <w:rPr>
          <w:u w:val="none"/>
        </w:rPr>
        <w:t> </w:t>
      </w:r>
      <w:r w:rsidR="00604294" w:rsidRPr="00604294">
        <w:rPr>
          <w:u w:val="none"/>
        </w:rPr>
        <w:t>kol</w:t>
      </w:r>
      <w:r w:rsidRPr="00604294">
        <w:rPr>
          <w:u w:val="none"/>
        </w:rPr>
        <w:t>umnach 0170</w:t>
      </w:r>
      <w:r w:rsidR="00604294" w:rsidRPr="00604294">
        <w:rPr>
          <w:u w:val="none"/>
        </w:rPr>
        <w:t xml:space="preserve"> i</w:t>
      </w:r>
      <w:r w:rsidR="00604294">
        <w:rPr>
          <w:u w:val="none"/>
        </w:rPr>
        <w:t> </w:t>
      </w:r>
      <w:r w:rsidR="00604294" w:rsidRPr="00604294">
        <w:rPr>
          <w:u w:val="none"/>
        </w:rPr>
        <w:t>0</w:t>
      </w:r>
      <w:r w:rsidRPr="00604294">
        <w:rPr>
          <w:u w:val="none"/>
        </w:rPr>
        <w:t>180.</w:t>
      </w:r>
    </w:p>
    <w:p w14:paraId="6F09AB94" w14:textId="632A68C5" w:rsidR="003B2555" w:rsidRPr="00604294" w:rsidRDefault="003B2555" w:rsidP="00927DCB">
      <w:pPr>
        <w:pStyle w:val="InstructionsText2"/>
        <w:numPr>
          <w:ilvl w:val="0"/>
          <w:numId w:val="0"/>
        </w:numPr>
        <w:ind w:left="714"/>
        <w:rPr>
          <w:u w:val="none"/>
        </w:rPr>
      </w:pPr>
      <w:r w:rsidRPr="00604294">
        <w:rPr>
          <w:u w:val="none"/>
        </w:rPr>
        <w:t>W przypadku przeszacowania walut nie uzyskuje się nowego finansowania</w:t>
      </w:r>
      <w:r w:rsidR="00604294" w:rsidRPr="00604294">
        <w:rPr>
          <w:u w:val="none"/>
        </w:rPr>
        <w:t xml:space="preserve"> w</w:t>
      </w:r>
      <w:r w:rsidR="00604294">
        <w:rPr>
          <w:u w:val="none"/>
        </w:rPr>
        <w:t> </w:t>
      </w:r>
      <w:r w:rsidR="00604294" w:rsidRPr="00604294">
        <w:rPr>
          <w:u w:val="none"/>
        </w:rPr>
        <w:t>wal</w:t>
      </w:r>
      <w:r w:rsidRPr="00604294">
        <w:rPr>
          <w:u w:val="none"/>
        </w:rPr>
        <w:t>ucie pierwotnej,</w:t>
      </w:r>
      <w:r w:rsidR="00604294" w:rsidRPr="00604294">
        <w:rPr>
          <w:u w:val="none"/>
        </w:rPr>
        <w:t xml:space="preserve"> a</w:t>
      </w:r>
      <w:r w:rsidR="00604294">
        <w:rPr>
          <w:u w:val="none"/>
        </w:rPr>
        <w:t> </w:t>
      </w:r>
      <w:r w:rsidR="00604294" w:rsidRPr="00604294">
        <w:rPr>
          <w:u w:val="none"/>
        </w:rPr>
        <w:t>ins</w:t>
      </w:r>
      <w:r w:rsidRPr="00604294">
        <w:rPr>
          <w:u w:val="none"/>
        </w:rPr>
        <w:t>tytucja sprawozdająca nie zapłaciła żadnej dodatkowej kwoty powyżej pierwotnej ceny obowiązującej</w:t>
      </w:r>
      <w:r w:rsidR="00604294" w:rsidRPr="00604294">
        <w:rPr>
          <w:u w:val="none"/>
        </w:rPr>
        <w:t xml:space="preserve"> w</w:t>
      </w:r>
      <w:r w:rsidR="00604294">
        <w:rPr>
          <w:u w:val="none"/>
        </w:rPr>
        <w:t> </w:t>
      </w:r>
      <w:r w:rsidR="00604294" w:rsidRPr="00604294">
        <w:rPr>
          <w:u w:val="none"/>
        </w:rPr>
        <w:t>mom</w:t>
      </w:r>
      <w:r w:rsidRPr="00604294">
        <w:rPr>
          <w:u w:val="none"/>
        </w:rPr>
        <w:t>encie początkowego zdeponowania środków</w:t>
      </w:r>
      <w:r w:rsidR="00604294" w:rsidRPr="00604294">
        <w:rPr>
          <w:u w:val="none"/>
        </w:rPr>
        <w:t>. W</w:t>
      </w:r>
      <w:r w:rsidR="00604294">
        <w:rPr>
          <w:u w:val="none"/>
        </w:rPr>
        <w:t> </w:t>
      </w:r>
      <w:r w:rsidR="00604294" w:rsidRPr="00604294">
        <w:rPr>
          <w:u w:val="none"/>
        </w:rPr>
        <w:t>zwi</w:t>
      </w:r>
      <w:r w:rsidRPr="00604294">
        <w:rPr>
          <w:u w:val="none"/>
        </w:rPr>
        <w:t>ązku</w:t>
      </w:r>
      <w:r w:rsidR="00604294" w:rsidRPr="00604294">
        <w:rPr>
          <w:u w:val="none"/>
        </w:rPr>
        <w:t xml:space="preserve"> z</w:t>
      </w:r>
      <w:r w:rsidR="00604294">
        <w:rPr>
          <w:u w:val="none"/>
        </w:rPr>
        <w:t> </w:t>
      </w:r>
      <w:r w:rsidR="00604294" w:rsidRPr="00604294">
        <w:rPr>
          <w:u w:val="none"/>
        </w:rPr>
        <w:t>tym w</w:t>
      </w:r>
      <w:r w:rsidR="00604294">
        <w:rPr>
          <w:u w:val="none"/>
        </w:rPr>
        <w:t> </w:t>
      </w:r>
      <w:r w:rsidR="00604294" w:rsidRPr="00604294">
        <w:rPr>
          <w:u w:val="none"/>
        </w:rPr>
        <w:t>nin</w:t>
      </w:r>
      <w:r w:rsidRPr="00604294">
        <w:rPr>
          <w:u w:val="none"/>
        </w:rPr>
        <w:t>iejszym wzorze nie zgłasza się dodatniego przyrostu spowodowanego przeszacowaniem walut.</w:t>
      </w:r>
    </w:p>
    <w:p w14:paraId="4BB7D4B6" w14:textId="0DE1E277" w:rsidR="00A156BF" w:rsidRPr="00604294" w:rsidRDefault="00A156BF" w:rsidP="00927DCB">
      <w:pPr>
        <w:pStyle w:val="InstructionsText2"/>
        <w:numPr>
          <w:ilvl w:val="0"/>
          <w:numId w:val="0"/>
        </w:numPr>
        <w:ind w:left="714"/>
        <w:rPr>
          <w:u w:val="none"/>
        </w:rPr>
      </w:pPr>
      <w:r w:rsidRPr="00604294">
        <w:rPr>
          <w:u w:val="none"/>
        </w:rPr>
        <w:t>Nie zgłasza się źródeł finansowania</w:t>
      </w:r>
      <w:r w:rsidR="00604294" w:rsidRPr="00604294">
        <w:rPr>
          <w:u w:val="none"/>
        </w:rPr>
        <w:t xml:space="preserve"> o</w:t>
      </w:r>
      <w:r w:rsidR="00604294">
        <w:rPr>
          <w:u w:val="none"/>
        </w:rPr>
        <w:t> </w:t>
      </w:r>
      <w:r w:rsidR="00604294" w:rsidRPr="00604294">
        <w:rPr>
          <w:u w:val="none"/>
        </w:rPr>
        <w:t>pie</w:t>
      </w:r>
      <w:r w:rsidRPr="00604294">
        <w:rPr>
          <w:u w:val="none"/>
        </w:rPr>
        <w:t>rwotnym terminie zapadalności powyżej 10 lat.</w:t>
      </w:r>
    </w:p>
    <w:p w14:paraId="5F28959E" w14:textId="49FA8E68" w:rsidR="0019013A" w:rsidRPr="00604294" w:rsidRDefault="0019013A" w:rsidP="00927DCB">
      <w:pPr>
        <w:pStyle w:val="InstructionsText2"/>
        <w:numPr>
          <w:ilvl w:val="0"/>
          <w:numId w:val="20"/>
        </w:numPr>
        <w:rPr>
          <w:u w:val="none"/>
        </w:rPr>
      </w:pPr>
      <w:r w:rsidRPr="00604294">
        <w:rPr>
          <w:u w:val="none"/>
        </w:rPr>
        <w:t>Na potrzeby ustalenia terminu zapadalności otrzymanego finansowania instytucje pomijają okres między datą zawarcia transakcji</w:t>
      </w:r>
      <w:r w:rsidR="00604294" w:rsidRPr="00604294">
        <w:rPr>
          <w:u w:val="none"/>
        </w:rPr>
        <w:t xml:space="preserve"> a</w:t>
      </w:r>
      <w:r w:rsidR="00604294">
        <w:rPr>
          <w:u w:val="none"/>
        </w:rPr>
        <w:t> </w:t>
      </w:r>
      <w:r w:rsidR="00604294" w:rsidRPr="00604294">
        <w:rPr>
          <w:u w:val="none"/>
        </w:rPr>
        <w:t>dat</w:t>
      </w:r>
      <w:r w:rsidRPr="00604294">
        <w:rPr>
          <w:u w:val="none"/>
        </w:rPr>
        <w:t>ą rozliczenia, na przykład trzymiesięczne zobowiązanie rozliczone</w:t>
      </w:r>
      <w:r w:rsidR="00604294" w:rsidRPr="00604294">
        <w:rPr>
          <w:u w:val="none"/>
        </w:rPr>
        <w:t xml:space="preserve"> w</w:t>
      </w:r>
      <w:r w:rsidR="00604294">
        <w:rPr>
          <w:u w:val="none"/>
        </w:rPr>
        <w:t> </w:t>
      </w:r>
      <w:r w:rsidR="00604294" w:rsidRPr="00604294">
        <w:rPr>
          <w:u w:val="none"/>
        </w:rPr>
        <w:t>cią</w:t>
      </w:r>
      <w:r w:rsidRPr="00604294">
        <w:rPr>
          <w:u w:val="none"/>
        </w:rPr>
        <w:t>gu dwóch tygodni zgłasza się</w:t>
      </w:r>
      <w:r w:rsidR="00604294" w:rsidRPr="00604294">
        <w:rPr>
          <w:u w:val="none"/>
        </w:rPr>
        <w:t xml:space="preserve"> z</w:t>
      </w:r>
      <w:r w:rsidR="00604294">
        <w:rPr>
          <w:u w:val="none"/>
        </w:rPr>
        <w:t> </w:t>
      </w:r>
      <w:r w:rsidR="00604294" w:rsidRPr="00604294">
        <w:rPr>
          <w:u w:val="none"/>
        </w:rPr>
        <w:t>ter</w:t>
      </w:r>
      <w:r w:rsidRPr="00604294">
        <w:rPr>
          <w:u w:val="none"/>
        </w:rPr>
        <w:t>minem zapadalności wynoszącym 3 miesiące (kolumny 0070</w:t>
      </w:r>
      <w:r w:rsidR="00604294" w:rsidRPr="00604294">
        <w:rPr>
          <w:u w:val="none"/>
        </w:rPr>
        <w:t xml:space="preserve"> i</w:t>
      </w:r>
      <w:r w:rsidR="00604294">
        <w:rPr>
          <w:u w:val="none"/>
        </w:rPr>
        <w:t> </w:t>
      </w:r>
      <w:r w:rsidR="00604294" w:rsidRPr="00604294">
        <w:rPr>
          <w:u w:val="none"/>
        </w:rPr>
        <w:t>0</w:t>
      </w:r>
      <w:r w:rsidRPr="00604294">
        <w:rPr>
          <w:u w:val="none"/>
        </w:rPr>
        <w:t>080).</w:t>
      </w:r>
    </w:p>
    <w:p w14:paraId="3300B61A" w14:textId="7BD85840" w:rsidR="00A211F3" w:rsidRPr="00604294" w:rsidRDefault="002C154A" w:rsidP="009077D3">
      <w:pPr>
        <w:pStyle w:val="InstructionsText2"/>
        <w:numPr>
          <w:ilvl w:val="0"/>
          <w:numId w:val="20"/>
        </w:numPr>
        <w:rPr>
          <w:u w:val="none"/>
        </w:rPr>
      </w:pPr>
      <w:r w:rsidRPr="00604294">
        <w:rPr>
          <w:u w:val="none"/>
        </w:rPr>
        <w:lastRenderedPageBreak/>
        <w:t>Spread zgłaszany</w:t>
      </w:r>
      <w:r w:rsidR="00604294" w:rsidRPr="00604294">
        <w:rPr>
          <w:u w:val="none"/>
        </w:rPr>
        <w:t xml:space="preserve"> w</w:t>
      </w:r>
      <w:r w:rsidR="00604294">
        <w:rPr>
          <w:u w:val="none"/>
        </w:rPr>
        <w:t> </w:t>
      </w:r>
      <w:r w:rsidR="00604294" w:rsidRPr="00604294">
        <w:rPr>
          <w:u w:val="none"/>
        </w:rPr>
        <w:t>lew</w:t>
      </w:r>
      <w:r w:rsidRPr="00604294">
        <w:rPr>
          <w:u w:val="none"/>
        </w:rPr>
        <w:t>ej kolumnie każdego przedziału czasowego jest określany</w:t>
      </w:r>
      <w:r w:rsidR="00604294" w:rsidRPr="00604294">
        <w:rPr>
          <w:u w:val="none"/>
        </w:rPr>
        <w:t xml:space="preserve"> w</w:t>
      </w:r>
      <w:r w:rsidR="00604294">
        <w:rPr>
          <w:u w:val="none"/>
        </w:rPr>
        <w:t> </w:t>
      </w:r>
      <w:r w:rsidR="00604294" w:rsidRPr="00604294">
        <w:rPr>
          <w:u w:val="none"/>
        </w:rPr>
        <w:t>jed</w:t>
      </w:r>
      <w:r w:rsidRPr="00604294">
        <w:rPr>
          <w:u w:val="none"/>
        </w:rPr>
        <w:t>en</w:t>
      </w:r>
      <w:r w:rsidR="00604294" w:rsidRPr="00604294">
        <w:rPr>
          <w:u w:val="none"/>
        </w:rPr>
        <w:t xml:space="preserve"> z</w:t>
      </w:r>
      <w:r w:rsidR="00604294">
        <w:rPr>
          <w:u w:val="none"/>
        </w:rPr>
        <w:t> </w:t>
      </w:r>
      <w:r w:rsidR="00604294" w:rsidRPr="00604294">
        <w:rPr>
          <w:u w:val="none"/>
        </w:rPr>
        <w:t>nas</w:t>
      </w:r>
      <w:r w:rsidRPr="00604294">
        <w:rPr>
          <w:u w:val="none"/>
        </w:rPr>
        <w:t>tępujących sposobów:</w:t>
      </w:r>
    </w:p>
    <w:p w14:paraId="3D56C5E8" w14:textId="2FA364E8" w:rsidR="0050708F" w:rsidRPr="00604294" w:rsidRDefault="0050708F" w:rsidP="00AE6A00">
      <w:pPr>
        <w:pStyle w:val="InstructionsText2"/>
        <w:numPr>
          <w:ilvl w:val="0"/>
          <w:numId w:val="20"/>
        </w:numPr>
        <w:rPr>
          <w:u w:val="none"/>
        </w:rPr>
      </w:pPr>
      <w:r w:rsidRPr="00604294">
        <w:rPr>
          <w:u w:val="none"/>
        </w:rPr>
        <w:t>spread do zapłaty przez instytucję</w:t>
      </w:r>
      <w:r w:rsidR="00604294" w:rsidRPr="00604294">
        <w:rPr>
          <w:u w:val="none"/>
        </w:rPr>
        <w:t xml:space="preserve"> z</w:t>
      </w:r>
      <w:r w:rsidR="00604294">
        <w:rPr>
          <w:u w:val="none"/>
        </w:rPr>
        <w:t> </w:t>
      </w:r>
      <w:r w:rsidR="00604294" w:rsidRPr="00604294">
        <w:rPr>
          <w:u w:val="none"/>
        </w:rPr>
        <w:t>tyt</w:t>
      </w:r>
      <w:r w:rsidRPr="00604294">
        <w:rPr>
          <w:u w:val="none"/>
        </w:rPr>
        <w:t>ułu zobowiązań nieprzekraczających jednego roku, jeżeli byłyby one przedmiotem wymiany według referencyjnego wskaźnika overnight dla odpowiedniej waluty nie później niż do końca dnia roboczego</w:t>
      </w:r>
      <w:r w:rsidR="00604294" w:rsidRPr="00604294">
        <w:rPr>
          <w:u w:val="none"/>
        </w:rPr>
        <w:t xml:space="preserve"> w</w:t>
      </w:r>
      <w:r w:rsidR="00604294">
        <w:rPr>
          <w:u w:val="none"/>
        </w:rPr>
        <w:t> </w:t>
      </w:r>
      <w:r w:rsidR="00604294" w:rsidRPr="00604294">
        <w:rPr>
          <w:u w:val="none"/>
        </w:rPr>
        <w:t>dni</w:t>
      </w:r>
      <w:r w:rsidRPr="00604294">
        <w:rPr>
          <w:u w:val="none"/>
        </w:rPr>
        <w:t xml:space="preserve">u transakcji; </w:t>
      </w:r>
    </w:p>
    <w:p w14:paraId="44F3338B" w14:textId="3C7DD387" w:rsidR="0050708F" w:rsidRPr="00604294" w:rsidRDefault="0050708F" w:rsidP="00AE6A00">
      <w:pPr>
        <w:pStyle w:val="InstructionsText2"/>
        <w:numPr>
          <w:ilvl w:val="0"/>
          <w:numId w:val="20"/>
        </w:numPr>
        <w:rPr>
          <w:u w:val="none"/>
        </w:rPr>
      </w:pPr>
      <w:r w:rsidRPr="00604294">
        <w:rPr>
          <w:u w:val="none"/>
        </w:rPr>
        <w:t>spread do zapłaty przez instytucję</w:t>
      </w:r>
      <w:r w:rsidR="00604294" w:rsidRPr="00604294">
        <w:rPr>
          <w:u w:val="none"/>
        </w:rPr>
        <w:t xml:space="preserve"> w</w:t>
      </w:r>
      <w:r w:rsidR="00604294">
        <w:rPr>
          <w:u w:val="none"/>
        </w:rPr>
        <w:t> </w:t>
      </w:r>
      <w:r w:rsidR="00604294" w:rsidRPr="00604294">
        <w:rPr>
          <w:u w:val="none"/>
        </w:rPr>
        <w:t>mom</w:t>
      </w:r>
      <w:r w:rsidRPr="00604294">
        <w:rPr>
          <w:u w:val="none"/>
        </w:rPr>
        <w:t>encie emisji</w:t>
      </w:r>
      <w:r w:rsidR="00604294" w:rsidRPr="00604294">
        <w:rPr>
          <w:u w:val="none"/>
        </w:rPr>
        <w:t xml:space="preserve"> z</w:t>
      </w:r>
      <w:r w:rsidR="00604294">
        <w:rPr>
          <w:u w:val="none"/>
        </w:rPr>
        <w:t> </w:t>
      </w:r>
      <w:r w:rsidR="00604294" w:rsidRPr="00604294">
        <w:rPr>
          <w:u w:val="none"/>
        </w:rPr>
        <w:t>tyt</w:t>
      </w:r>
      <w:r w:rsidRPr="00604294">
        <w:rPr>
          <w:u w:val="none"/>
        </w:rPr>
        <w:t>ułu zobowiązań</w:t>
      </w:r>
      <w:r w:rsidR="00604294" w:rsidRPr="00604294">
        <w:rPr>
          <w:u w:val="none"/>
        </w:rPr>
        <w:t xml:space="preserve"> o</w:t>
      </w:r>
      <w:r w:rsidR="00604294">
        <w:rPr>
          <w:u w:val="none"/>
        </w:rPr>
        <w:t> </w:t>
      </w:r>
      <w:r w:rsidR="00604294" w:rsidRPr="00604294">
        <w:rPr>
          <w:u w:val="none"/>
        </w:rPr>
        <w:t>pie</w:t>
      </w:r>
      <w:r w:rsidRPr="00604294">
        <w:rPr>
          <w:u w:val="none"/>
        </w:rPr>
        <w:t>rwotnym terminie zapadalności przekraczającym jeden rok, jeżeli byłyby one przedmiotem wymiany według właściwego trzymiesięcznego wskaźnika referencyjnego dla odpowiedniej waluty (np. trzymiesięczny EURIBOR dla EUR), nie później niż do końca dnia roboczego</w:t>
      </w:r>
      <w:r w:rsidR="00604294" w:rsidRPr="00604294">
        <w:rPr>
          <w:u w:val="none"/>
        </w:rPr>
        <w:t xml:space="preserve"> w</w:t>
      </w:r>
      <w:r w:rsidR="00604294">
        <w:rPr>
          <w:u w:val="none"/>
        </w:rPr>
        <w:t> </w:t>
      </w:r>
      <w:r w:rsidR="00604294" w:rsidRPr="00604294">
        <w:rPr>
          <w:u w:val="none"/>
        </w:rPr>
        <w:t>dni</w:t>
      </w:r>
      <w:r w:rsidRPr="00604294">
        <w:rPr>
          <w:u w:val="none"/>
        </w:rPr>
        <w:t>u transakcji.</w:t>
      </w:r>
    </w:p>
    <w:p w14:paraId="0C9A9801" w14:textId="259A8061" w:rsidR="006661EC" w:rsidRPr="00604294" w:rsidRDefault="006661EC" w:rsidP="00AE6A00">
      <w:pPr>
        <w:pStyle w:val="InstructionsText2"/>
        <w:numPr>
          <w:ilvl w:val="0"/>
          <w:numId w:val="20"/>
        </w:numPr>
        <w:rPr>
          <w:u w:val="none"/>
        </w:rPr>
      </w:pPr>
      <w:r w:rsidRPr="00604294">
        <w:rPr>
          <w:u w:val="none"/>
        </w:rPr>
        <w:t>Wyłącznie do celów obliczania spreadu zgodnie</w:t>
      </w:r>
      <w:r w:rsidR="00604294" w:rsidRPr="00604294">
        <w:rPr>
          <w:u w:val="none"/>
        </w:rPr>
        <w:t xml:space="preserve"> z</w:t>
      </w:r>
      <w:r w:rsidR="00604294">
        <w:rPr>
          <w:u w:val="none"/>
        </w:rPr>
        <w:t> </w:t>
      </w:r>
      <w:r w:rsidR="00604294" w:rsidRPr="00604294">
        <w:rPr>
          <w:u w:val="none"/>
        </w:rPr>
        <w:t>lit</w:t>
      </w:r>
      <w:r w:rsidRPr="00604294">
        <w:rPr>
          <w:u w:val="none"/>
        </w:rPr>
        <w:t>. a) i b) powyżej, na podstawie doświadczeń</w:t>
      </w:r>
      <w:r w:rsidR="00604294" w:rsidRPr="00604294">
        <w:rPr>
          <w:u w:val="none"/>
        </w:rPr>
        <w:t xml:space="preserve"> z</w:t>
      </w:r>
      <w:r w:rsidR="00604294">
        <w:rPr>
          <w:u w:val="none"/>
        </w:rPr>
        <w:t> </w:t>
      </w:r>
      <w:r w:rsidR="00604294" w:rsidRPr="00604294">
        <w:rPr>
          <w:u w:val="none"/>
        </w:rPr>
        <w:t>prz</w:t>
      </w:r>
      <w:r w:rsidRPr="00604294">
        <w:rPr>
          <w:u w:val="none"/>
        </w:rPr>
        <w:t>eszłości instytucja może określić pierwotny termin zapadalności</w:t>
      </w:r>
      <w:r w:rsidR="00604294" w:rsidRPr="00604294">
        <w:rPr>
          <w:u w:val="none"/>
        </w:rPr>
        <w:t xml:space="preserve"> z</w:t>
      </w:r>
      <w:r w:rsidR="00604294">
        <w:rPr>
          <w:u w:val="none"/>
        </w:rPr>
        <w:t> </w:t>
      </w:r>
      <w:r w:rsidR="00604294" w:rsidRPr="00604294">
        <w:rPr>
          <w:u w:val="none"/>
        </w:rPr>
        <w:t>uwz</w:t>
      </w:r>
      <w:r w:rsidRPr="00604294">
        <w:rPr>
          <w:u w:val="none"/>
        </w:rPr>
        <w:t>ględnieniem opcjonalności lub bez jej uwzględniania, stosownie do przypadku.</w:t>
      </w:r>
    </w:p>
    <w:p w14:paraId="5EBCC42F" w14:textId="46427DE7" w:rsidR="00A211F3" w:rsidRPr="00604294" w:rsidRDefault="0019013A" w:rsidP="006000AE">
      <w:pPr>
        <w:pStyle w:val="InstructionsText2"/>
        <w:numPr>
          <w:ilvl w:val="0"/>
          <w:numId w:val="20"/>
        </w:numPr>
        <w:rPr>
          <w:u w:val="none"/>
        </w:rPr>
      </w:pPr>
      <w:r w:rsidRPr="00604294">
        <w:rPr>
          <w:u w:val="none"/>
        </w:rPr>
        <w:t>Spready zgłasza się</w:t>
      </w:r>
      <w:r w:rsidR="00604294" w:rsidRPr="00604294">
        <w:rPr>
          <w:u w:val="none"/>
        </w:rPr>
        <w:t xml:space="preserve"> w</w:t>
      </w:r>
      <w:r w:rsidR="00604294">
        <w:rPr>
          <w:u w:val="none"/>
        </w:rPr>
        <w:t> </w:t>
      </w:r>
      <w:r w:rsidR="00604294" w:rsidRPr="00604294">
        <w:rPr>
          <w:u w:val="none"/>
        </w:rPr>
        <w:t>pun</w:t>
      </w:r>
      <w:r w:rsidRPr="00604294">
        <w:rPr>
          <w:u w:val="none"/>
        </w:rPr>
        <w:t>ktach bazowych ze znakiem ujemnym,</w:t>
      </w:r>
      <w:r w:rsidR="00604294" w:rsidRPr="00604294">
        <w:rPr>
          <w:u w:val="none"/>
        </w:rPr>
        <w:t xml:space="preserve"> w</w:t>
      </w:r>
      <w:r w:rsidR="00604294">
        <w:rPr>
          <w:u w:val="none"/>
        </w:rPr>
        <w:t> </w:t>
      </w:r>
      <w:r w:rsidR="00604294" w:rsidRPr="00604294">
        <w:rPr>
          <w:u w:val="none"/>
        </w:rPr>
        <w:t>prz</w:t>
      </w:r>
      <w:r w:rsidRPr="00604294">
        <w:rPr>
          <w:u w:val="none"/>
        </w:rPr>
        <w:t>ypadku gdy nowe finansowanie jest tańsze od finansowania</w:t>
      </w:r>
      <w:r w:rsidR="00604294" w:rsidRPr="00604294">
        <w:rPr>
          <w:u w:val="none"/>
        </w:rPr>
        <w:t xml:space="preserve"> z</w:t>
      </w:r>
      <w:r w:rsidR="00604294">
        <w:rPr>
          <w:u w:val="none"/>
        </w:rPr>
        <w:t> </w:t>
      </w:r>
      <w:r w:rsidR="00604294" w:rsidRPr="00604294">
        <w:rPr>
          <w:u w:val="none"/>
        </w:rPr>
        <w:t>odp</w:t>
      </w:r>
      <w:r w:rsidRPr="00604294">
        <w:rPr>
          <w:u w:val="none"/>
        </w:rPr>
        <w:t xml:space="preserve">owiednią stopą referencyjną. Spready oblicza się na zasadzie średniej ważonej. </w:t>
      </w:r>
    </w:p>
    <w:p w14:paraId="0ABF1B64" w14:textId="431E7A92" w:rsidR="0050708F" w:rsidRPr="00604294" w:rsidRDefault="0050708F" w:rsidP="00927DCB">
      <w:pPr>
        <w:pStyle w:val="InstructionsText2"/>
        <w:numPr>
          <w:ilvl w:val="0"/>
          <w:numId w:val="20"/>
        </w:numPr>
        <w:rPr>
          <w:u w:val="none"/>
        </w:rPr>
      </w:pPr>
      <w:r w:rsidRPr="00604294">
        <w:rPr>
          <w:u w:val="none"/>
        </w:rPr>
        <w:t>Na potrzeby obliczenia średniego spreadu przypadającego do zapłaty</w:t>
      </w:r>
      <w:r w:rsidR="00604294" w:rsidRPr="00604294">
        <w:rPr>
          <w:u w:val="none"/>
        </w:rPr>
        <w:t xml:space="preserve"> w</w:t>
      </w:r>
      <w:r w:rsidR="00604294">
        <w:rPr>
          <w:u w:val="none"/>
        </w:rPr>
        <w:t> </w:t>
      </w:r>
      <w:r w:rsidR="00604294" w:rsidRPr="00604294">
        <w:rPr>
          <w:u w:val="none"/>
        </w:rPr>
        <w:t>ram</w:t>
      </w:r>
      <w:r w:rsidRPr="00604294">
        <w:rPr>
          <w:u w:val="none"/>
        </w:rPr>
        <w:t>ach wielu emisji/depozytów/kredytów instytucje obliczają całkowity koszt</w:t>
      </w:r>
      <w:r w:rsidR="00604294" w:rsidRPr="00604294">
        <w:rPr>
          <w:u w:val="none"/>
        </w:rPr>
        <w:t xml:space="preserve"> w</w:t>
      </w:r>
      <w:r w:rsidR="00604294">
        <w:rPr>
          <w:u w:val="none"/>
        </w:rPr>
        <w:t> </w:t>
      </w:r>
      <w:r w:rsidR="00604294" w:rsidRPr="00604294">
        <w:rPr>
          <w:u w:val="none"/>
        </w:rPr>
        <w:t>wal</w:t>
      </w:r>
      <w:r w:rsidRPr="00604294">
        <w:rPr>
          <w:u w:val="none"/>
        </w:rPr>
        <w:t>ucie emisji, pomijając wszelkie swapy walutowe, ale uwzględniają wszelkie premie lub dyskonta oraz opłaty do zapłaty lub otrzymania, przy czym okres teoretycznego lub rzeczywistego swapu stóp procentowych ma odpowiadać okresowi zobowiązania. Spread jest równy stopie zobowiązania pomniejszonej</w:t>
      </w:r>
      <w:r w:rsidR="00604294" w:rsidRPr="00604294">
        <w:rPr>
          <w:u w:val="none"/>
        </w:rPr>
        <w:t xml:space="preserve"> o</w:t>
      </w:r>
      <w:r w:rsidR="00604294">
        <w:rPr>
          <w:u w:val="none"/>
        </w:rPr>
        <w:t> </w:t>
      </w:r>
      <w:r w:rsidR="00604294" w:rsidRPr="00604294">
        <w:rPr>
          <w:u w:val="none"/>
        </w:rPr>
        <w:t>sto</w:t>
      </w:r>
      <w:r w:rsidRPr="00604294">
        <w:rPr>
          <w:u w:val="none"/>
        </w:rPr>
        <w:t>pę swap.</w:t>
      </w:r>
    </w:p>
    <w:p w14:paraId="608A7669" w14:textId="6E9219AF" w:rsidR="00DD5897" w:rsidRPr="00604294" w:rsidRDefault="0019013A" w:rsidP="00927DCB">
      <w:pPr>
        <w:pStyle w:val="InstructionsText2"/>
        <w:numPr>
          <w:ilvl w:val="0"/>
          <w:numId w:val="20"/>
        </w:numPr>
        <w:rPr>
          <w:u w:val="none"/>
        </w:rPr>
      </w:pPr>
      <w:r w:rsidRPr="00604294">
        <w:rPr>
          <w:u w:val="none"/>
        </w:rPr>
        <w:t>Kwota finansowania otrzymanego</w:t>
      </w:r>
      <w:r w:rsidR="00604294" w:rsidRPr="00604294">
        <w:rPr>
          <w:u w:val="none"/>
        </w:rPr>
        <w:t xml:space="preserve"> w</w:t>
      </w:r>
      <w:r w:rsidR="00604294">
        <w:rPr>
          <w:u w:val="none"/>
        </w:rPr>
        <w:t> </w:t>
      </w:r>
      <w:r w:rsidR="00604294" w:rsidRPr="00604294">
        <w:rPr>
          <w:u w:val="none"/>
        </w:rPr>
        <w:t>ram</w:t>
      </w:r>
      <w:r w:rsidRPr="00604294">
        <w:rPr>
          <w:u w:val="none"/>
        </w:rPr>
        <w:t>ach kategorii finansowania wymienionych</w:t>
      </w:r>
      <w:r w:rsidR="00604294" w:rsidRPr="00604294">
        <w:rPr>
          <w:u w:val="none"/>
        </w:rPr>
        <w:t xml:space="preserve"> w</w:t>
      </w:r>
      <w:r w:rsidR="00604294">
        <w:rPr>
          <w:u w:val="none"/>
        </w:rPr>
        <w:t> </w:t>
      </w:r>
      <w:r w:rsidR="00604294" w:rsidRPr="00604294">
        <w:rPr>
          <w:u w:val="none"/>
        </w:rPr>
        <w:t>kol</w:t>
      </w:r>
      <w:r w:rsidRPr="00604294">
        <w:rPr>
          <w:u w:val="none"/>
        </w:rPr>
        <w:t>umnie „Pozycja” jest zgłaszana</w:t>
      </w:r>
      <w:r w:rsidR="00604294" w:rsidRPr="00604294">
        <w:rPr>
          <w:u w:val="none"/>
        </w:rPr>
        <w:t xml:space="preserve"> w</w:t>
      </w:r>
      <w:r w:rsidR="00604294">
        <w:rPr>
          <w:u w:val="none"/>
        </w:rPr>
        <w:t> </w:t>
      </w:r>
      <w:r w:rsidR="00604294" w:rsidRPr="00604294">
        <w:rPr>
          <w:u w:val="none"/>
        </w:rPr>
        <w:t>kol</w:t>
      </w:r>
      <w:r w:rsidRPr="00604294">
        <w:rPr>
          <w:u w:val="none"/>
        </w:rPr>
        <w:t xml:space="preserve">umnie „Wolumen” odpowiedniego przedziału czasowego. </w:t>
      </w:r>
    </w:p>
    <w:p w14:paraId="3AED84FE" w14:textId="491BD3F5" w:rsidR="004B3AC2" w:rsidRPr="00604294" w:rsidRDefault="004B3AC2" w:rsidP="00927DCB">
      <w:pPr>
        <w:pStyle w:val="InstructionsText2"/>
        <w:numPr>
          <w:ilvl w:val="0"/>
          <w:numId w:val="20"/>
        </w:numPr>
        <w:rPr>
          <w:u w:val="none"/>
        </w:rPr>
      </w:pPr>
      <w:r w:rsidRPr="00604294">
        <w:rPr>
          <w:u w:val="none"/>
        </w:rPr>
        <w:t>W kolumnie „Wolumen” instytucje zgłaszają,</w:t>
      </w:r>
      <w:r w:rsidR="00604294" w:rsidRPr="00604294">
        <w:rPr>
          <w:u w:val="none"/>
        </w:rPr>
        <w:t xml:space="preserve"> w</w:t>
      </w:r>
      <w:r w:rsidR="00604294">
        <w:rPr>
          <w:u w:val="none"/>
        </w:rPr>
        <w:t> </w:t>
      </w:r>
      <w:r w:rsidR="00604294" w:rsidRPr="00604294">
        <w:rPr>
          <w:u w:val="none"/>
        </w:rPr>
        <w:t>odp</w:t>
      </w:r>
      <w:r w:rsidRPr="00604294">
        <w:rPr>
          <w:u w:val="none"/>
        </w:rPr>
        <w:t>owiednim przedziale czasowym zgodnym</w:t>
      </w:r>
      <w:r w:rsidR="00604294" w:rsidRPr="00604294">
        <w:rPr>
          <w:u w:val="none"/>
        </w:rPr>
        <w:t xml:space="preserve"> z</w:t>
      </w:r>
      <w:r w:rsidR="00604294">
        <w:rPr>
          <w:u w:val="none"/>
        </w:rPr>
        <w:t> </w:t>
      </w:r>
      <w:r w:rsidR="00604294" w:rsidRPr="00604294">
        <w:rPr>
          <w:u w:val="none"/>
        </w:rPr>
        <w:t>pie</w:t>
      </w:r>
      <w:r w:rsidRPr="00604294">
        <w:rPr>
          <w:u w:val="none"/>
        </w:rPr>
        <w:t>rwotnym terminem zapadalności, kwoty odpowiadające wartości bilansowej nowo pozyskanego finansowania.</w:t>
      </w:r>
    </w:p>
    <w:p w14:paraId="4513DEDD" w14:textId="50AAEA2F" w:rsidR="004B3AC2" w:rsidRPr="00604294" w:rsidRDefault="00144FB8" w:rsidP="00927DCB">
      <w:pPr>
        <w:pStyle w:val="InstructionsText2"/>
        <w:numPr>
          <w:ilvl w:val="0"/>
          <w:numId w:val="20"/>
        </w:numPr>
        <w:rPr>
          <w:u w:val="none"/>
        </w:rPr>
      </w:pPr>
      <w:r w:rsidRPr="00604294">
        <w:rPr>
          <w:u w:val="none"/>
        </w:rPr>
        <w:t>Podobnie jak</w:t>
      </w:r>
      <w:r w:rsidR="00604294" w:rsidRPr="00604294">
        <w:rPr>
          <w:u w:val="none"/>
        </w:rPr>
        <w:t xml:space="preserve"> w</w:t>
      </w:r>
      <w:r w:rsidR="00604294">
        <w:rPr>
          <w:u w:val="none"/>
        </w:rPr>
        <w:t> </w:t>
      </w:r>
      <w:r w:rsidR="00604294" w:rsidRPr="00604294">
        <w:rPr>
          <w:u w:val="none"/>
        </w:rPr>
        <w:t>prz</w:t>
      </w:r>
      <w:r w:rsidRPr="00604294">
        <w:rPr>
          <w:u w:val="none"/>
        </w:rPr>
        <w:t>ypadku wszystkich pozycji również</w:t>
      </w:r>
      <w:r w:rsidR="00604294" w:rsidRPr="00604294">
        <w:rPr>
          <w:u w:val="none"/>
        </w:rPr>
        <w:t xml:space="preserve"> w</w:t>
      </w:r>
      <w:r w:rsidR="00604294">
        <w:rPr>
          <w:u w:val="none"/>
        </w:rPr>
        <w:t> </w:t>
      </w:r>
      <w:r w:rsidR="00604294" w:rsidRPr="00604294">
        <w:rPr>
          <w:u w:val="none"/>
        </w:rPr>
        <w:t>odn</w:t>
      </w:r>
      <w:r w:rsidRPr="00604294">
        <w:rPr>
          <w:u w:val="none"/>
        </w:rPr>
        <w:t>iesieniu do zobowiązań pozabilansowych instytucje zgłaszają wyłącznie stosowne kwoty ujęte</w:t>
      </w:r>
      <w:r w:rsidR="00604294" w:rsidRPr="00604294">
        <w:rPr>
          <w:u w:val="none"/>
        </w:rPr>
        <w:t xml:space="preserve"> w</w:t>
      </w:r>
      <w:r w:rsidR="00604294">
        <w:rPr>
          <w:u w:val="none"/>
        </w:rPr>
        <w:t> </w:t>
      </w:r>
      <w:r w:rsidR="00604294" w:rsidRPr="00604294">
        <w:rPr>
          <w:u w:val="none"/>
        </w:rPr>
        <w:t>bil</w:t>
      </w:r>
      <w:r w:rsidRPr="00604294">
        <w:rPr>
          <w:u w:val="none"/>
        </w:rPr>
        <w:t>ansie. Finansowanie udzielone na rzecz instytucji stanowiące jej zobowiązanie pozabilansowe zgłasza się</w:t>
      </w:r>
      <w:r w:rsidR="00604294" w:rsidRPr="00604294">
        <w:rPr>
          <w:u w:val="none"/>
        </w:rPr>
        <w:t xml:space="preserve"> w</w:t>
      </w:r>
      <w:r w:rsidR="00604294">
        <w:rPr>
          <w:u w:val="none"/>
        </w:rPr>
        <w:t> </w:t>
      </w:r>
      <w:r w:rsidR="00604294" w:rsidRPr="00604294">
        <w:rPr>
          <w:u w:val="none"/>
        </w:rPr>
        <w:t>for</w:t>
      </w:r>
      <w:r w:rsidRPr="00604294">
        <w:rPr>
          <w:u w:val="none"/>
        </w:rPr>
        <w:t>mularzu C 69.00 dopiero po jego wykorzystaniu</w:t>
      </w:r>
      <w:r w:rsidR="00604294" w:rsidRPr="00604294">
        <w:rPr>
          <w:u w:val="none"/>
        </w:rPr>
        <w:t>. W</w:t>
      </w:r>
      <w:r w:rsidR="00604294">
        <w:rPr>
          <w:u w:val="none"/>
        </w:rPr>
        <w:t> </w:t>
      </w:r>
      <w:r w:rsidR="00604294" w:rsidRPr="00604294">
        <w:rPr>
          <w:u w:val="none"/>
        </w:rPr>
        <w:t>prz</w:t>
      </w:r>
      <w:r w:rsidRPr="00604294">
        <w:rPr>
          <w:u w:val="none"/>
        </w:rPr>
        <w:t>ypadku wykorzystania wolumen</w:t>
      </w:r>
      <w:r w:rsidR="00604294" w:rsidRPr="00604294">
        <w:rPr>
          <w:u w:val="none"/>
        </w:rPr>
        <w:t xml:space="preserve"> i</w:t>
      </w:r>
      <w:r w:rsidR="00604294">
        <w:rPr>
          <w:u w:val="none"/>
        </w:rPr>
        <w:t> </w:t>
      </w:r>
      <w:r w:rsidR="00604294" w:rsidRPr="00604294">
        <w:rPr>
          <w:u w:val="none"/>
        </w:rPr>
        <w:t>spr</w:t>
      </w:r>
      <w:r w:rsidRPr="00604294">
        <w:rPr>
          <w:u w:val="none"/>
        </w:rPr>
        <w:t>ead, które należy zgłosić, odpowiadają wykorzystanej kwocie</w:t>
      </w:r>
      <w:r w:rsidR="00604294" w:rsidRPr="00604294">
        <w:rPr>
          <w:u w:val="none"/>
        </w:rPr>
        <w:t xml:space="preserve"> i</w:t>
      </w:r>
      <w:r w:rsidR="00604294">
        <w:rPr>
          <w:u w:val="none"/>
        </w:rPr>
        <w:t> </w:t>
      </w:r>
      <w:r w:rsidR="00604294" w:rsidRPr="00604294">
        <w:rPr>
          <w:u w:val="none"/>
        </w:rPr>
        <w:t>spr</w:t>
      </w:r>
      <w:r w:rsidRPr="00604294">
        <w:rPr>
          <w:u w:val="none"/>
        </w:rPr>
        <w:t>eadowi obowiązującemu na koniec okresu sprawozdawczego</w:t>
      </w:r>
      <w:r w:rsidR="00604294" w:rsidRPr="00604294">
        <w:rPr>
          <w:u w:val="none"/>
        </w:rPr>
        <w:t>. W</w:t>
      </w:r>
      <w:r w:rsidR="00604294">
        <w:rPr>
          <w:u w:val="none"/>
        </w:rPr>
        <w:t> </w:t>
      </w:r>
      <w:r w:rsidR="00604294" w:rsidRPr="00604294">
        <w:rPr>
          <w:u w:val="none"/>
        </w:rPr>
        <w:t>prz</w:t>
      </w:r>
      <w:r w:rsidRPr="00604294">
        <w:rPr>
          <w:u w:val="none"/>
        </w:rPr>
        <w:t>ypadku gdy instytucja uzna, że wykorzystanego finansowania nie można prolongować, zgłasza się rzeczywisty termin zapadalności wykorzystanego finansowania</w:t>
      </w:r>
      <w:r w:rsidR="00604294" w:rsidRPr="00604294">
        <w:rPr>
          <w:u w:val="none"/>
        </w:rPr>
        <w:t>. W</w:t>
      </w:r>
      <w:r w:rsidR="00604294">
        <w:rPr>
          <w:u w:val="none"/>
        </w:rPr>
        <w:t> </w:t>
      </w:r>
      <w:r w:rsidR="00604294" w:rsidRPr="00604294">
        <w:rPr>
          <w:u w:val="none"/>
        </w:rPr>
        <w:t>prz</w:t>
      </w:r>
      <w:r w:rsidRPr="00604294">
        <w:rPr>
          <w:u w:val="none"/>
        </w:rPr>
        <w:t>ypadku gdy instytucja skorzystała już</w:t>
      </w:r>
      <w:r w:rsidR="00604294" w:rsidRPr="00604294">
        <w:rPr>
          <w:u w:val="none"/>
        </w:rPr>
        <w:t xml:space="preserve"> z</w:t>
      </w:r>
      <w:r w:rsidR="00604294">
        <w:rPr>
          <w:u w:val="none"/>
        </w:rPr>
        <w:t> </w:t>
      </w:r>
      <w:r w:rsidR="00604294" w:rsidRPr="00604294">
        <w:rPr>
          <w:u w:val="none"/>
        </w:rPr>
        <w:t>dan</w:t>
      </w:r>
      <w:r w:rsidRPr="00604294">
        <w:rPr>
          <w:u w:val="none"/>
        </w:rPr>
        <w:t>ego instrumentu na koniec poprzedniego okresu sprawozdawczego</w:t>
      </w:r>
      <w:r w:rsidR="00604294" w:rsidRPr="00604294">
        <w:rPr>
          <w:u w:val="none"/>
        </w:rPr>
        <w:t xml:space="preserve"> i</w:t>
      </w:r>
      <w:r w:rsidR="00604294">
        <w:rPr>
          <w:u w:val="none"/>
        </w:rPr>
        <w:t> </w:t>
      </w:r>
      <w:r w:rsidR="00604294" w:rsidRPr="00604294">
        <w:rPr>
          <w:u w:val="none"/>
        </w:rPr>
        <w:t>gdy</w:t>
      </w:r>
      <w:r w:rsidRPr="00604294">
        <w:rPr>
          <w:u w:val="none"/>
        </w:rPr>
        <w:t xml:space="preserve"> instytucja zwiększyła wykorzystanie danego instrumentu, zgłasza się wyłącznie dodatkową wykorzystaną kwotę. </w:t>
      </w:r>
    </w:p>
    <w:p w14:paraId="26598EEA" w14:textId="3B0FD41C" w:rsidR="00473407" w:rsidRPr="00604294" w:rsidRDefault="00473407" w:rsidP="00927DCB">
      <w:pPr>
        <w:pStyle w:val="InstructionsText2"/>
        <w:numPr>
          <w:ilvl w:val="0"/>
          <w:numId w:val="20"/>
        </w:numPr>
        <w:rPr>
          <w:u w:val="none"/>
        </w:rPr>
      </w:pPr>
      <w:r w:rsidRPr="00604294">
        <w:rPr>
          <w:u w:val="none"/>
        </w:rPr>
        <w:t>Depozyty wniesione przez klientów detalicznych obejmują depozyty zdefiniowane</w:t>
      </w:r>
      <w:r w:rsidR="00604294" w:rsidRPr="00604294">
        <w:rPr>
          <w:u w:val="none"/>
        </w:rPr>
        <w:t xml:space="preserve"> w</w:t>
      </w:r>
      <w:r w:rsidR="00604294">
        <w:rPr>
          <w:u w:val="none"/>
        </w:rPr>
        <w:t> </w:t>
      </w:r>
      <w:r w:rsidR="00604294" w:rsidRPr="00604294">
        <w:rPr>
          <w:u w:val="none"/>
        </w:rPr>
        <w:t>art</w:t>
      </w:r>
      <w:r w:rsidRPr="00604294">
        <w:rPr>
          <w:u w:val="none"/>
        </w:rPr>
        <w:t>. 411 pkt</w:t>
      </w:r>
      <w:r w:rsidR="00604294" w:rsidRPr="00604294">
        <w:rPr>
          <w:u w:val="none"/>
        </w:rPr>
        <w:t> </w:t>
      </w:r>
      <w:r w:rsidRPr="00604294">
        <w:rPr>
          <w:u w:val="none"/>
        </w:rPr>
        <w:t>2 rozporządzenia (UE) nr</w:t>
      </w:r>
      <w:r w:rsidR="00604294" w:rsidRPr="00604294">
        <w:rPr>
          <w:u w:val="none"/>
        </w:rPr>
        <w:t> </w:t>
      </w:r>
      <w:r w:rsidRPr="00604294">
        <w:rPr>
          <w:u w:val="none"/>
        </w:rPr>
        <w:t>575/2013.</w:t>
      </w:r>
    </w:p>
    <w:p w14:paraId="54CC7D8D" w14:textId="1E82A967" w:rsidR="00B96CA8" w:rsidRPr="00604294" w:rsidRDefault="00287BD7" w:rsidP="00927DCB">
      <w:pPr>
        <w:pStyle w:val="InstructionsText2"/>
        <w:numPr>
          <w:ilvl w:val="0"/>
          <w:numId w:val="20"/>
        </w:numPr>
        <w:rPr>
          <w:u w:val="none"/>
        </w:rPr>
      </w:pPr>
      <w:r w:rsidRPr="00604294">
        <w:rPr>
          <w:u w:val="none"/>
        </w:rPr>
        <w:t>W odniesieniu do finansowania prolongowanego</w:t>
      </w:r>
      <w:r w:rsidR="00604294" w:rsidRPr="00604294">
        <w:rPr>
          <w:u w:val="none"/>
        </w:rPr>
        <w:t xml:space="preserve"> w</w:t>
      </w:r>
      <w:r w:rsidR="00604294">
        <w:rPr>
          <w:u w:val="none"/>
        </w:rPr>
        <w:t> </w:t>
      </w:r>
      <w:r w:rsidR="00604294" w:rsidRPr="00604294">
        <w:rPr>
          <w:u w:val="none"/>
        </w:rPr>
        <w:t>tra</w:t>
      </w:r>
      <w:r w:rsidRPr="00604294">
        <w:rPr>
          <w:u w:val="none"/>
        </w:rPr>
        <w:t>kcie okresu sprawozdawczego, które na koniec okresu sprawozdawczego</w:t>
      </w:r>
      <w:r w:rsidR="00604294" w:rsidRPr="00604294">
        <w:rPr>
          <w:u w:val="none"/>
        </w:rPr>
        <w:t xml:space="preserve"> w</w:t>
      </w:r>
      <w:r w:rsidR="00604294">
        <w:rPr>
          <w:u w:val="none"/>
        </w:rPr>
        <w:t> </w:t>
      </w:r>
      <w:r w:rsidR="00604294" w:rsidRPr="00604294">
        <w:rPr>
          <w:u w:val="none"/>
        </w:rPr>
        <w:t>dal</w:t>
      </w:r>
      <w:r w:rsidRPr="00604294">
        <w:rPr>
          <w:u w:val="none"/>
        </w:rPr>
        <w:t>szym ciągu pozostaje do spłaty, zgłasza się średnią spreadów obowiązujących</w:t>
      </w:r>
      <w:r w:rsidR="00604294" w:rsidRPr="00604294">
        <w:rPr>
          <w:u w:val="none"/>
        </w:rPr>
        <w:t xml:space="preserve"> w</w:t>
      </w:r>
      <w:r w:rsidR="00604294">
        <w:rPr>
          <w:u w:val="none"/>
        </w:rPr>
        <w:t> </w:t>
      </w:r>
      <w:r w:rsidR="00604294" w:rsidRPr="00604294">
        <w:rPr>
          <w:u w:val="none"/>
        </w:rPr>
        <w:t>tym</w:t>
      </w:r>
      <w:r w:rsidRPr="00604294">
        <w:rPr>
          <w:u w:val="none"/>
        </w:rPr>
        <w:t xml:space="preserve"> momencie (tj. na koniec okresu sprawozdawczego). Do celów wzoru C 69.00 finansowanie prolongowane</w:t>
      </w:r>
      <w:r w:rsidR="00604294" w:rsidRPr="00604294">
        <w:rPr>
          <w:u w:val="none"/>
        </w:rPr>
        <w:t xml:space="preserve"> i</w:t>
      </w:r>
      <w:r w:rsidR="00604294">
        <w:rPr>
          <w:u w:val="none"/>
        </w:rPr>
        <w:t> </w:t>
      </w:r>
      <w:r w:rsidR="00604294" w:rsidRPr="00604294">
        <w:rPr>
          <w:u w:val="none"/>
        </w:rPr>
        <w:t>nad</w:t>
      </w:r>
      <w:r w:rsidRPr="00604294">
        <w:rPr>
          <w:u w:val="none"/>
        </w:rPr>
        <w:t>al istniejące na koniec okresu sprawozdawczego uznaje się za stanowiące nowe finansowanie.</w:t>
      </w:r>
    </w:p>
    <w:p w14:paraId="43F95C32" w14:textId="2D15FEC0" w:rsidR="00BB3757" w:rsidRPr="00604294" w:rsidRDefault="00CD20D9" w:rsidP="00927DCB">
      <w:pPr>
        <w:pStyle w:val="InstructionsText2"/>
        <w:numPr>
          <w:ilvl w:val="0"/>
          <w:numId w:val="20"/>
        </w:numPr>
        <w:rPr>
          <w:u w:val="none"/>
        </w:rPr>
      </w:pPr>
      <w:r w:rsidRPr="00604294">
        <w:rPr>
          <w:u w:val="none"/>
        </w:rPr>
        <w:t>Na zasadzie odstępstwa od pozostałych instrukcji</w:t>
      </w:r>
      <w:r w:rsidR="00604294" w:rsidRPr="00604294">
        <w:rPr>
          <w:u w:val="none"/>
        </w:rPr>
        <w:t xml:space="preserve"> w</w:t>
      </w:r>
      <w:r w:rsidR="00604294">
        <w:rPr>
          <w:u w:val="none"/>
        </w:rPr>
        <w:t> </w:t>
      </w:r>
      <w:r w:rsidR="00604294" w:rsidRPr="00604294">
        <w:rPr>
          <w:u w:val="none"/>
        </w:rPr>
        <w:t>sek</w:t>
      </w:r>
      <w:r w:rsidRPr="00604294">
        <w:rPr>
          <w:u w:val="none"/>
        </w:rPr>
        <w:t>cji 1.4 wolumen</w:t>
      </w:r>
      <w:r w:rsidR="00604294" w:rsidRPr="00604294">
        <w:rPr>
          <w:u w:val="none"/>
        </w:rPr>
        <w:t xml:space="preserve"> i</w:t>
      </w:r>
      <w:r w:rsidR="00604294">
        <w:rPr>
          <w:u w:val="none"/>
        </w:rPr>
        <w:t> </w:t>
      </w:r>
      <w:r w:rsidR="00604294" w:rsidRPr="00604294">
        <w:rPr>
          <w:u w:val="none"/>
        </w:rPr>
        <w:t>spr</w:t>
      </w:r>
      <w:r w:rsidRPr="00604294">
        <w:rPr>
          <w:u w:val="none"/>
        </w:rPr>
        <w:t>ead depozytów na żądanie zgłasza się wyłącznie</w:t>
      </w:r>
      <w:r w:rsidR="00604294" w:rsidRPr="00604294">
        <w:rPr>
          <w:u w:val="none"/>
        </w:rPr>
        <w:t xml:space="preserve"> w</w:t>
      </w:r>
      <w:r w:rsidR="00604294">
        <w:rPr>
          <w:u w:val="none"/>
        </w:rPr>
        <w:t> </w:t>
      </w:r>
      <w:r w:rsidR="00604294" w:rsidRPr="00604294">
        <w:rPr>
          <w:u w:val="none"/>
        </w:rPr>
        <w:t>prz</w:t>
      </w:r>
      <w:r w:rsidRPr="00604294">
        <w:rPr>
          <w:u w:val="none"/>
        </w:rPr>
        <w:t>ypadku, gdy deponent nie posiadał depozytu na żądanie</w:t>
      </w:r>
      <w:r w:rsidR="00604294" w:rsidRPr="00604294">
        <w:rPr>
          <w:u w:val="none"/>
        </w:rPr>
        <w:t xml:space="preserve"> w</w:t>
      </w:r>
      <w:r w:rsidR="00604294">
        <w:rPr>
          <w:u w:val="none"/>
        </w:rPr>
        <w:t> </w:t>
      </w:r>
      <w:r w:rsidR="00604294" w:rsidRPr="00604294">
        <w:rPr>
          <w:u w:val="none"/>
        </w:rPr>
        <w:t>pop</w:t>
      </w:r>
      <w:r w:rsidRPr="00604294">
        <w:rPr>
          <w:u w:val="none"/>
        </w:rPr>
        <w:t>rzednim okresie sprawozdawczym lub gdy nastąpiło zwiększenie kwoty depozytu</w:t>
      </w:r>
      <w:r w:rsidR="00604294" w:rsidRPr="00604294">
        <w:rPr>
          <w:u w:val="none"/>
        </w:rPr>
        <w:t xml:space="preserve"> </w:t>
      </w:r>
      <w:r w:rsidR="00604294" w:rsidRPr="00604294">
        <w:rPr>
          <w:u w:val="none"/>
        </w:rPr>
        <w:lastRenderedPageBreak/>
        <w:t>w</w:t>
      </w:r>
      <w:r w:rsidR="00604294">
        <w:rPr>
          <w:u w:val="none"/>
        </w:rPr>
        <w:t> </w:t>
      </w:r>
      <w:r w:rsidR="00604294" w:rsidRPr="00604294">
        <w:rPr>
          <w:u w:val="none"/>
        </w:rPr>
        <w:t>por</w:t>
      </w:r>
      <w:r w:rsidRPr="00604294">
        <w:rPr>
          <w:u w:val="none"/>
        </w:rPr>
        <w:t>ównaniu</w:t>
      </w:r>
      <w:r w:rsidR="00604294" w:rsidRPr="00604294">
        <w:rPr>
          <w:u w:val="none"/>
        </w:rPr>
        <w:t xml:space="preserve"> z</w:t>
      </w:r>
      <w:r w:rsidR="00604294">
        <w:rPr>
          <w:u w:val="none"/>
        </w:rPr>
        <w:t> </w:t>
      </w:r>
      <w:r w:rsidR="00604294" w:rsidRPr="00604294">
        <w:rPr>
          <w:u w:val="none"/>
        </w:rPr>
        <w:t>pop</w:t>
      </w:r>
      <w:r w:rsidRPr="00604294">
        <w:rPr>
          <w:u w:val="none"/>
        </w:rPr>
        <w:t>rzednim dniem odniesienia,</w:t>
      </w:r>
      <w:r w:rsidR="00604294" w:rsidRPr="00604294">
        <w:rPr>
          <w:u w:val="none"/>
        </w:rPr>
        <w:t xml:space="preserve"> w</w:t>
      </w:r>
      <w:r w:rsidR="00604294">
        <w:rPr>
          <w:u w:val="none"/>
        </w:rPr>
        <w:t> </w:t>
      </w:r>
      <w:r w:rsidR="00604294" w:rsidRPr="00604294">
        <w:rPr>
          <w:u w:val="none"/>
        </w:rPr>
        <w:t>któ</w:t>
      </w:r>
      <w:r w:rsidRPr="00604294">
        <w:rPr>
          <w:u w:val="none"/>
        </w:rPr>
        <w:t>rym to przypadku zwiększenie to traktuje się jako nowe finansowanie. Spread zgłasza się</w:t>
      </w:r>
      <w:r w:rsidR="00604294" w:rsidRPr="00604294">
        <w:rPr>
          <w:u w:val="none"/>
        </w:rPr>
        <w:t xml:space="preserve"> w</w:t>
      </w:r>
      <w:r w:rsidR="00604294">
        <w:rPr>
          <w:u w:val="none"/>
        </w:rPr>
        <w:t> </w:t>
      </w:r>
      <w:r w:rsidR="00604294" w:rsidRPr="00604294">
        <w:rPr>
          <w:u w:val="none"/>
        </w:rPr>
        <w:t>war</w:t>
      </w:r>
      <w:r w:rsidRPr="00604294">
        <w:rPr>
          <w:u w:val="none"/>
        </w:rPr>
        <w:t xml:space="preserve">tości na koniec okresu. </w:t>
      </w:r>
    </w:p>
    <w:p w14:paraId="10927EEB" w14:textId="01546635" w:rsidR="00270986" w:rsidRPr="00604294" w:rsidRDefault="00270986" w:rsidP="00927DCB">
      <w:pPr>
        <w:pStyle w:val="InstructionsText2"/>
        <w:numPr>
          <w:ilvl w:val="0"/>
          <w:numId w:val="20"/>
        </w:numPr>
        <w:rPr>
          <w:u w:val="none"/>
        </w:rPr>
      </w:pPr>
      <w:r w:rsidRPr="00604294">
        <w:rPr>
          <w:u w:val="none"/>
        </w:rPr>
        <w:t>W przypadku braku danych do zgłoszenia komórki dotyczące spreadów pozostają puste.</w:t>
      </w:r>
    </w:p>
    <w:p w14:paraId="5031E50C" w14:textId="2A8C8C44" w:rsidR="00A156BF" w:rsidRPr="00604294" w:rsidRDefault="00A156BF" w:rsidP="00A156BF">
      <w:pPr>
        <w:pStyle w:val="InstructionsText2"/>
        <w:numPr>
          <w:ilvl w:val="0"/>
          <w:numId w:val="20"/>
        </w:numPr>
        <w:rPr>
          <w:u w:val="none"/>
        </w:rPr>
      </w:pPr>
      <w:r w:rsidRPr="00604294">
        <w:rPr>
          <w:u w:val="none"/>
        </w:rPr>
        <w:t xml:space="preserve">W niniejszym wzorze nie zgłasza się akcji. </w:t>
      </w:r>
    </w:p>
    <w:p w14:paraId="5F1BCA9F" w14:textId="77777777" w:rsidR="002C154A" w:rsidRPr="00604294" w:rsidRDefault="002C154A" w:rsidP="00927DCB">
      <w:pPr>
        <w:pStyle w:val="InstructionsText2"/>
        <w:numPr>
          <w:ilvl w:val="0"/>
          <w:numId w:val="20"/>
        </w:numPr>
        <w:rPr>
          <w:u w:val="none"/>
        </w:rPr>
      </w:pPr>
      <w:r w:rsidRPr="00604294">
        <w:rPr>
          <w:u w:val="none"/>
        </w:rPr>
        <w:t>Instrukcje dotyczące poszczególnych wierszy:</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604294" w14:paraId="3147FD97" w14:textId="77777777" w:rsidTr="00A37629">
        <w:trPr>
          <w:trHeight w:val="567"/>
        </w:trPr>
        <w:tc>
          <w:tcPr>
            <w:tcW w:w="817" w:type="dxa"/>
            <w:shd w:val="clear" w:color="auto" w:fill="E0E0E0"/>
            <w:noWrap/>
            <w:vAlign w:val="center"/>
          </w:tcPr>
          <w:p w14:paraId="48391A04" w14:textId="77777777" w:rsidR="002C154A" w:rsidRPr="00604294" w:rsidRDefault="002C154A" w:rsidP="00ED41A4">
            <w:pPr>
              <w:spacing w:before="0" w:after="0"/>
              <w:jc w:val="left"/>
              <w:rPr>
                <w:rFonts w:ascii="Times New Roman" w:hAnsi="Times New Roman"/>
                <w:szCs w:val="20"/>
              </w:rPr>
            </w:pPr>
            <w:r w:rsidRPr="00604294">
              <w:rPr>
                <w:rStyle w:val="InstructionsTabelleText"/>
                <w:rFonts w:ascii="Times New Roman" w:hAnsi="Times New Roman"/>
              </w:rPr>
              <w:t>Wiersz</w:t>
            </w:r>
          </w:p>
        </w:tc>
        <w:tc>
          <w:tcPr>
            <w:tcW w:w="7705" w:type="dxa"/>
            <w:shd w:val="clear" w:color="auto" w:fill="E0E0E0"/>
            <w:noWrap/>
            <w:vAlign w:val="center"/>
          </w:tcPr>
          <w:p w14:paraId="51A7E6A4" w14:textId="2D82E724" w:rsidR="002C154A" w:rsidRPr="00604294" w:rsidRDefault="002C154A" w:rsidP="00ED41A4">
            <w:pPr>
              <w:spacing w:before="0" w:after="0"/>
              <w:jc w:val="left"/>
              <w:rPr>
                <w:rFonts w:ascii="Times New Roman" w:hAnsi="Times New Roman"/>
                <w:szCs w:val="20"/>
              </w:rPr>
            </w:pPr>
            <w:r w:rsidRPr="00604294">
              <w:rPr>
                <w:rStyle w:val="InstructionsTabelleText"/>
                <w:rFonts w:ascii="Times New Roman" w:hAnsi="Times New Roman"/>
              </w:rPr>
              <w:t>Odniesienia prawne</w:t>
            </w:r>
            <w:r w:rsidR="00604294" w:rsidRPr="00604294">
              <w:rPr>
                <w:rStyle w:val="InstructionsTabelleText"/>
                <w:rFonts w:ascii="Times New Roman" w:hAnsi="Times New Roman"/>
              </w:rPr>
              <w:t xml:space="preserve"> i</w:t>
            </w:r>
            <w:r w:rsidR="00604294">
              <w:rPr>
                <w:rStyle w:val="InstructionsTabelleText"/>
                <w:rFonts w:ascii="Times New Roman" w:hAnsi="Times New Roman"/>
              </w:rPr>
              <w:t> </w:t>
            </w:r>
            <w:r w:rsidR="00604294" w:rsidRPr="00604294">
              <w:rPr>
                <w:rStyle w:val="InstructionsTabelleText"/>
                <w:rFonts w:ascii="Times New Roman" w:hAnsi="Times New Roman"/>
              </w:rPr>
              <w:t>ins</w:t>
            </w:r>
            <w:r w:rsidRPr="00604294">
              <w:rPr>
                <w:rStyle w:val="InstructionsTabelleText"/>
                <w:rFonts w:ascii="Times New Roman" w:hAnsi="Times New Roman"/>
              </w:rPr>
              <w:t>trukcje</w:t>
            </w:r>
          </w:p>
        </w:tc>
      </w:tr>
      <w:tr w:rsidR="00E332B3" w:rsidRPr="00604294" w14:paraId="5B055368" w14:textId="77777777" w:rsidTr="00A37629">
        <w:trPr>
          <w:trHeight w:val="255"/>
        </w:trPr>
        <w:tc>
          <w:tcPr>
            <w:tcW w:w="817" w:type="dxa"/>
            <w:shd w:val="clear" w:color="auto" w:fill="auto"/>
            <w:noWrap/>
          </w:tcPr>
          <w:p w14:paraId="31D865CB" w14:textId="4D326AD6" w:rsidR="002C154A" w:rsidRPr="00604294" w:rsidRDefault="00C90DF5" w:rsidP="00ED41A4">
            <w:pPr>
              <w:spacing w:before="0" w:after="0"/>
              <w:jc w:val="left"/>
              <w:rPr>
                <w:rFonts w:ascii="Times New Roman" w:hAnsi="Times New Roman"/>
                <w:szCs w:val="20"/>
              </w:rPr>
            </w:pPr>
            <w:r w:rsidRPr="00604294">
              <w:rPr>
                <w:rFonts w:ascii="Times New Roman" w:hAnsi="Times New Roman"/>
              </w:rPr>
              <w:t>0010</w:t>
            </w:r>
          </w:p>
        </w:tc>
        <w:tc>
          <w:tcPr>
            <w:tcW w:w="7705" w:type="dxa"/>
            <w:shd w:val="clear" w:color="auto" w:fill="auto"/>
            <w:noWrap/>
          </w:tcPr>
          <w:p w14:paraId="55C5F1B7" w14:textId="77777777" w:rsidR="002C154A" w:rsidRPr="00604294" w:rsidRDefault="002C154A" w:rsidP="008E1558">
            <w:pPr>
              <w:rPr>
                <w:rFonts w:ascii="Times New Roman" w:hAnsi="Times New Roman"/>
                <w:b/>
                <w:szCs w:val="20"/>
                <w:u w:val="single"/>
              </w:rPr>
            </w:pPr>
            <w:r w:rsidRPr="00604294">
              <w:rPr>
                <w:rFonts w:ascii="Times New Roman" w:hAnsi="Times New Roman"/>
                <w:b/>
                <w:u w:val="single"/>
              </w:rPr>
              <w:t>1. Finansowanie razem</w:t>
            </w:r>
          </w:p>
          <w:p w14:paraId="25D6D292" w14:textId="3BAE7962" w:rsidR="002C154A" w:rsidRPr="00604294" w:rsidRDefault="00E42487" w:rsidP="008E1558">
            <w:pPr>
              <w:rPr>
                <w:rFonts w:ascii="Times New Roman" w:hAnsi="Times New Roman"/>
                <w:szCs w:val="20"/>
              </w:rPr>
            </w:pPr>
            <w:r w:rsidRPr="00604294">
              <w:rPr>
                <w:rFonts w:ascii="Times New Roman" w:hAnsi="Times New Roman"/>
              </w:rPr>
              <w:t>Całkowity wolumen</w:t>
            </w:r>
            <w:r w:rsidR="00604294" w:rsidRPr="00604294">
              <w:rPr>
                <w:rFonts w:ascii="Times New Roman" w:hAnsi="Times New Roman"/>
              </w:rPr>
              <w:t xml:space="preserve"> i</w:t>
            </w:r>
            <w:r w:rsidR="00604294">
              <w:rPr>
                <w:rFonts w:ascii="Times New Roman" w:hAnsi="Times New Roman"/>
              </w:rPr>
              <w:t> </w:t>
            </w:r>
            <w:r w:rsidR="00604294" w:rsidRPr="00604294">
              <w:rPr>
                <w:rFonts w:ascii="Times New Roman" w:hAnsi="Times New Roman"/>
              </w:rPr>
              <w:t>śre</w:t>
            </w:r>
            <w:r w:rsidRPr="00604294">
              <w:rPr>
                <w:rFonts w:ascii="Times New Roman" w:hAnsi="Times New Roman"/>
              </w:rPr>
              <w:t>dni ważony spread łącznego finansowania oblicza się</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odn</w:t>
            </w:r>
            <w:r w:rsidRPr="00604294">
              <w:rPr>
                <w:rFonts w:ascii="Times New Roman" w:hAnsi="Times New Roman"/>
              </w:rPr>
              <w:t>iesieniu do wszystkich następujących przedziałów czasowych, zgodnie</w:t>
            </w:r>
            <w:r w:rsidR="00604294" w:rsidRPr="00604294">
              <w:rPr>
                <w:rFonts w:ascii="Times New Roman" w:hAnsi="Times New Roman"/>
              </w:rPr>
              <w:t xml:space="preserve"> z</w:t>
            </w:r>
            <w:r w:rsidR="00604294">
              <w:rPr>
                <w:rFonts w:ascii="Times New Roman" w:hAnsi="Times New Roman"/>
              </w:rPr>
              <w:t> </w:t>
            </w:r>
            <w:r w:rsidR="00604294" w:rsidRPr="00604294">
              <w:rPr>
                <w:rFonts w:ascii="Times New Roman" w:hAnsi="Times New Roman"/>
              </w:rPr>
              <w:t>pon</w:t>
            </w:r>
            <w:r w:rsidRPr="00604294">
              <w:rPr>
                <w:rFonts w:ascii="Times New Roman" w:hAnsi="Times New Roman"/>
              </w:rPr>
              <w:t>iższym:</w:t>
            </w:r>
          </w:p>
          <w:p w14:paraId="3D5903C1" w14:textId="2AAA3094" w:rsidR="007778A0" w:rsidRPr="00604294" w:rsidRDefault="00CD20D9" w:rsidP="00CC3091">
            <w:pPr>
              <w:pStyle w:val="InstructionsText2"/>
              <w:numPr>
                <w:ilvl w:val="1"/>
                <w:numId w:val="12"/>
              </w:numPr>
              <w:rPr>
                <w:u w:val="none"/>
              </w:rPr>
            </w:pPr>
            <w:r w:rsidRPr="00604294">
              <w:rPr>
                <w:u w:val="none"/>
              </w:rPr>
              <w:t>overnight</w:t>
            </w:r>
            <w:r w:rsidR="00604294" w:rsidRPr="00604294">
              <w:rPr>
                <w:u w:val="none"/>
              </w:rPr>
              <w:t xml:space="preserve"> w</w:t>
            </w:r>
            <w:r w:rsidR="00604294">
              <w:rPr>
                <w:u w:val="none"/>
              </w:rPr>
              <w:t> </w:t>
            </w:r>
            <w:r w:rsidR="00604294" w:rsidRPr="00604294">
              <w:rPr>
                <w:u w:val="none"/>
              </w:rPr>
              <w:t>kol</w:t>
            </w:r>
            <w:r w:rsidRPr="00604294">
              <w:rPr>
                <w:u w:val="none"/>
              </w:rPr>
              <w:t>umnach 0010</w:t>
            </w:r>
            <w:r w:rsidR="00604294" w:rsidRPr="00604294">
              <w:rPr>
                <w:u w:val="none"/>
              </w:rPr>
              <w:t xml:space="preserve"> i</w:t>
            </w:r>
            <w:r w:rsidR="00604294">
              <w:rPr>
                <w:u w:val="none"/>
              </w:rPr>
              <w:t> </w:t>
            </w:r>
            <w:r w:rsidR="00604294" w:rsidRPr="00604294">
              <w:rPr>
                <w:u w:val="none"/>
              </w:rPr>
              <w:t>0</w:t>
            </w:r>
            <w:r w:rsidRPr="00604294">
              <w:rPr>
                <w:u w:val="none"/>
              </w:rPr>
              <w:t>020;</w:t>
            </w:r>
          </w:p>
          <w:p w14:paraId="1AF1DF5A" w14:textId="4C7229CF" w:rsidR="007778A0" w:rsidRPr="00604294" w:rsidRDefault="00CD20D9" w:rsidP="00927DCB">
            <w:pPr>
              <w:pStyle w:val="InstructionsText2"/>
              <w:numPr>
                <w:ilvl w:val="1"/>
                <w:numId w:val="12"/>
              </w:numPr>
              <w:rPr>
                <w:u w:val="none"/>
              </w:rPr>
            </w:pPr>
            <w:r w:rsidRPr="00604294">
              <w:rPr>
                <w:u w:val="none"/>
              </w:rPr>
              <w:t>powyżej overnight i do</w:t>
            </w:r>
            <w:r w:rsidR="00604294" w:rsidRPr="00604294">
              <w:rPr>
                <w:u w:val="none"/>
              </w:rPr>
              <w:t> </w:t>
            </w:r>
            <w:r w:rsidRPr="00604294">
              <w:rPr>
                <w:u w:val="none"/>
              </w:rPr>
              <w:t>1 tygodnia (włącznie)</w:t>
            </w:r>
            <w:r w:rsidR="00604294" w:rsidRPr="00604294">
              <w:rPr>
                <w:u w:val="none"/>
              </w:rPr>
              <w:t xml:space="preserve"> w</w:t>
            </w:r>
            <w:r w:rsidR="00604294">
              <w:rPr>
                <w:u w:val="none"/>
              </w:rPr>
              <w:t> </w:t>
            </w:r>
            <w:r w:rsidR="00604294" w:rsidRPr="00604294">
              <w:rPr>
                <w:u w:val="none"/>
              </w:rPr>
              <w:t>kol</w:t>
            </w:r>
            <w:r w:rsidRPr="00604294">
              <w:rPr>
                <w:u w:val="none"/>
              </w:rPr>
              <w:t>umnach 0030</w:t>
            </w:r>
            <w:r w:rsidR="00604294" w:rsidRPr="00604294">
              <w:rPr>
                <w:u w:val="none"/>
              </w:rPr>
              <w:t xml:space="preserve"> i</w:t>
            </w:r>
            <w:r w:rsidR="00604294">
              <w:rPr>
                <w:u w:val="none"/>
              </w:rPr>
              <w:t> </w:t>
            </w:r>
            <w:r w:rsidR="00604294" w:rsidRPr="00604294">
              <w:rPr>
                <w:u w:val="none"/>
              </w:rPr>
              <w:t>0</w:t>
            </w:r>
            <w:r w:rsidRPr="00604294">
              <w:rPr>
                <w:u w:val="none"/>
              </w:rPr>
              <w:t>040;</w:t>
            </w:r>
          </w:p>
          <w:p w14:paraId="4C124A2C" w14:textId="742F2CF6" w:rsidR="007778A0" w:rsidRPr="00604294" w:rsidRDefault="00CD20D9" w:rsidP="00CC3091">
            <w:pPr>
              <w:pStyle w:val="InstructionsText2"/>
              <w:numPr>
                <w:ilvl w:val="1"/>
                <w:numId w:val="12"/>
              </w:numPr>
              <w:rPr>
                <w:u w:val="none"/>
              </w:rPr>
            </w:pPr>
            <w:r w:rsidRPr="00604294">
              <w:rPr>
                <w:u w:val="none"/>
              </w:rPr>
              <w:t>powyżej 1 tygodnia i do</w:t>
            </w:r>
            <w:r w:rsidR="00604294" w:rsidRPr="00604294">
              <w:rPr>
                <w:u w:val="none"/>
              </w:rPr>
              <w:t> </w:t>
            </w:r>
            <w:r w:rsidRPr="00604294">
              <w:rPr>
                <w:u w:val="none"/>
              </w:rPr>
              <w:t>1 miesiąca (włącznie)</w:t>
            </w:r>
            <w:r w:rsidR="00604294" w:rsidRPr="00604294">
              <w:rPr>
                <w:u w:val="none"/>
              </w:rPr>
              <w:t xml:space="preserve"> w</w:t>
            </w:r>
            <w:r w:rsidR="00604294">
              <w:rPr>
                <w:u w:val="none"/>
              </w:rPr>
              <w:t> </w:t>
            </w:r>
            <w:r w:rsidR="00604294" w:rsidRPr="00604294">
              <w:rPr>
                <w:u w:val="none"/>
              </w:rPr>
              <w:t>kol</w:t>
            </w:r>
            <w:r w:rsidRPr="00604294">
              <w:rPr>
                <w:u w:val="none"/>
              </w:rPr>
              <w:t>umnach 0050</w:t>
            </w:r>
            <w:r w:rsidR="00604294" w:rsidRPr="00604294">
              <w:rPr>
                <w:u w:val="none"/>
              </w:rPr>
              <w:t xml:space="preserve"> i</w:t>
            </w:r>
            <w:r w:rsidR="00604294">
              <w:rPr>
                <w:u w:val="none"/>
              </w:rPr>
              <w:t> </w:t>
            </w:r>
            <w:r w:rsidR="00604294" w:rsidRPr="00604294">
              <w:rPr>
                <w:u w:val="none"/>
              </w:rPr>
              <w:t>0</w:t>
            </w:r>
            <w:r w:rsidRPr="00604294">
              <w:rPr>
                <w:u w:val="none"/>
              </w:rPr>
              <w:t>060;</w:t>
            </w:r>
          </w:p>
          <w:p w14:paraId="74B468F3" w14:textId="41DC64EA" w:rsidR="007778A0" w:rsidRPr="00604294" w:rsidRDefault="00CD20D9" w:rsidP="00927DCB">
            <w:pPr>
              <w:pStyle w:val="InstructionsText2"/>
              <w:numPr>
                <w:ilvl w:val="1"/>
                <w:numId w:val="12"/>
              </w:numPr>
              <w:rPr>
                <w:u w:val="none"/>
              </w:rPr>
            </w:pPr>
            <w:r w:rsidRPr="00604294">
              <w:rPr>
                <w:u w:val="none"/>
              </w:rPr>
              <w:t>powyżej 1 miesiąca i do</w:t>
            </w:r>
            <w:r w:rsidR="00604294" w:rsidRPr="00604294">
              <w:rPr>
                <w:u w:val="none"/>
              </w:rPr>
              <w:t> </w:t>
            </w:r>
            <w:r w:rsidRPr="00604294">
              <w:rPr>
                <w:u w:val="none"/>
              </w:rPr>
              <w:t>3 miesięcy (włącznie)</w:t>
            </w:r>
            <w:r w:rsidR="00604294" w:rsidRPr="00604294">
              <w:rPr>
                <w:u w:val="none"/>
              </w:rPr>
              <w:t xml:space="preserve"> w</w:t>
            </w:r>
            <w:r w:rsidR="00604294">
              <w:rPr>
                <w:u w:val="none"/>
              </w:rPr>
              <w:t> </w:t>
            </w:r>
            <w:r w:rsidR="00604294" w:rsidRPr="00604294">
              <w:rPr>
                <w:u w:val="none"/>
              </w:rPr>
              <w:t>kol</w:t>
            </w:r>
            <w:r w:rsidRPr="00604294">
              <w:rPr>
                <w:u w:val="none"/>
              </w:rPr>
              <w:t>umnach 0070</w:t>
            </w:r>
            <w:r w:rsidR="00604294" w:rsidRPr="00604294">
              <w:rPr>
                <w:u w:val="none"/>
              </w:rPr>
              <w:t xml:space="preserve"> i</w:t>
            </w:r>
            <w:r w:rsidR="00604294">
              <w:rPr>
                <w:u w:val="none"/>
              </w:rPr>
              <w:t> </w:t>
            </w:r>
            <w:r w:rsidR="00604294" w:rsidRPr="00604294">
              <w:rPr>
                <w:u w:val="none"/>
              </w:rPr>
              <w:t>0</w:t>
            </w:r>
            <w:r w:rsidRPr="00604294">
              <w:rPr>
                <w:u w:val="none"/>
              </w:rPr>
              <w:t>080;</w:t>
            </w:r>
          </w:p>
          <w:p w14:paraId="482B32DB" w14:textId="533A8162" w:rsidR="007778A0" w:rsidRPr="00604294" w:rsidRDefault="00CD20D9" w:rsidP="00927DCB">
            <w:pPr>
              <w:pStyle w:val="InstructionsText2"/>
              <w:numPr>
                <w:ilvl w:val="1"/>
                <w:numId w:val="12"/>
              </w:numPr>
              <w:rPr>
                <w:u w:val="none"/>
              </w:rPr>
            </w:pPr>
            <w:r w:rsidRPr="00604294">
              <w:rPr>
                <w:u w:val="none"/>
              </w:rPr>
              <w:t>powyżej 3 miesięcy i do</w:t>
            </w:r>
            <w:r w:rsidR="00604294" w:rsidRPr="00604294">
              <w:rPr>
                <w:u w:val="none"/>
              </w:rPr>
              <w:t> </w:t>
            </w:r>
            <w:r w:rsidRPr="00604294">
              <w:rPr>
                <w:u w:val="none"/>
              </w:rPr>
              <w:t>6 miesięcy (włącznie)</w:t>
            </w:r>
            <w:r w:rsidR="00604294" w:rsidRPr="00604294">
              <w:rPr>
                <w:u w:val="none"/>
              </w:rPr>
              <w:t xml:space="preserve"> w</w:t>
            </w:r>
            <w:r w:rsidR="00604294">
              <w:rPr>
                <w:u w:val="none"/>
              </w:rPr>
              <w:t> </w:t>
            </w:r>
            <w:r w:rsidR="00604294" w:rsidRPr="00604294">
              <w:rPr>
                <w:u w:val="none"/>
              </w:rPr>
              <w:t>kol</w:t>
            </w:r>
            <w:r w:rsidRPr="00604294">
              <w:rPr>
                <w:u w:val="none"/>
              </w:rPr>
              <w:t>umnach 0090</w:t>
            </w:r>
            <w:r w:rsidR="00604294" w:rsidRPr="00604294">
              <w:rPr>
                <w:u w:val="none"/>
              </w:rPr>
              <w:t xml:space="preserve"> i</w:t>
            </w:r>
            <w:r w:rsidR="00604294">
              <w:rPr>
                <w:u w:val="none"/>
              </w:rPr>
              <w:t> </w:t>
            </w:r>
            <w:r w:rsidR="00604294" w:rsidRPr="00604294">
              <w:rPr>
                <w:u w:val="none"/>
              </w:rPr>
              <w:t>0</w:t>
            </w:r>
            <w:r w:rsidRPr="00604294">
              <w:rPr>
                <w:u w:val="none"/>
              </w:rPr>
              <w:t>100;</w:t>
            </w:r>
          </w:p>
          <w:p w14:paraId="3C4AC9B6" w14:textId="2292C6FF" w:rsidR="007778A0" w:rsidRPr="00604294" w:rsidRDefault="00CD20D9" w:rsidP="00927DCB">
            <w:pPr>
              <w:pStyle w:val="InstructionsText2"/>
              <w:numPr>
                <w:ilvl w:val="1"/>
                <w:numId w:val="12"/>
              </w:numPr>
              <w:rPr>
                <w:u w:val="none"/>
              </w:rPr>
            </w:pPr>
            <w:r w:rsidRPr="00604294">
              <w:rPr>
                <w:u w:val="none"/>
              </w:rPr>
              <w:t>powyżej 6 miesięcy i do</w:t>
            </w:r>
            <w:r w:rsidR="00604294" w:rsidRPr="00604294">
              <w:rPr>
                <w:u w:val="none"/>
              </w:rPr>
              <w:t> </w:t>
            </w:r>
            <w:r w:rsidRPr="00604294">
              <w:rPr>
                <w:u w:val="none"/>
              </w:rPr>
              <w:t>1 roku (włącznie)</w:t>
            </w:r>
            <w:r w:rsidR="00604294" w:rsidRPr="00604294">
              <w:rPr>
                <w:u w:val="none"/>
              </w:rPr>
              <w:t xml:space="preserve"> w</w:t>
            </w:r>
            <w:r w:rsidR="00604294">
              <w:rPr>
                <w:u w:val="none"/>
              </w:rPr>
              <w:t> </w:t>
            </w:r>
            <w:r w:rsidR="00604294" w:rsidRPr="00604294">
              <w:rPr>
                <w:u w:val="none"/>
              </w:rPr>
              <w:t>kol</w:t>
            </w:r>
            <w:r w:rsidRPr="00604294">
              <w:rPr>
                <w:u w:val="none"/>
              </w:rPr>
              <w:t>umnach 0110</w:t>
            </w:r>
            <w:r w:rsidR="00604294" w:rsidRPr="00604294">
              <w:rPr>
                <w:u w:val="none"/>
              </w:rPr>
              <w:t xml:space="preserve"> i</w:t>
            </w:r>
            <w:r w:rsidR="00604294">
              <w:rPr>
                <w:u w:val="none"/>
              </w:rPr>
              <w:t> </w:t>
            </w:r>
            <w:r w:rsidR="00604294" w:rsidRPr="00604294">
              <w:rPr>
                <w:u w:val="none"/>
              </w:rPr>
              <w:t>0</w:t>
            </w:r>
            <w:r w:rsidRPr="00604294">
              <w:rPr>
                <w:u w:val="none"/>
              </w:rPr>
              <w:t>120;</w:t>
            </w:r>
          </w:p>
          <w:p w14:paraId="1C290FE7" w14:textId="7AF7E0CC" w:rsidR="007778A0" w:rsidRPr="00604294" w:rsidRDefault="00CD20D9" w:rsidP="00927DCB">
            <w:pPr>
              <w:pStyle w:val="InstructionsText2"/>
              <w:numPr>
                <w:ilvl w:val="1"/>
                <w:numId w:val="12"/>
              </w:numPr>
              <w:rPr>
                <w:u w:val="none"/>
              </w:rPr>
            </w:pPr>
            <w:r w:rsidRPr="00604294">
              <w:rPr>
                <w:u w:val="none"/>
              </w:rPr>
              <w:t>powyżej 1 roku i do</w:t>
            </w:r>
            <w:r w:rsidR="00604294" w:rsidRPr="00604294">
              <w:rPr>
                <w:u w:val="none"/>
              </w:rPr>
              <w:t> </w:t>
            </w:r>
            <w:r w:rsidRPr="00604294">
              <w:rPr>
                <w:u w:val="none"/>
              </w:rPr>
              <w:t>2 lat (włącznie)</w:t>
            </w:r>
            <w:r w:rsidR="00604294" w:rsidRPr="00604294">
              <w:rPr>
                <w:u w:val="none"/>
              </w:rPr>
              <w:t xml:space="preserve"> w</w:t>
            </w:r>
            <w:r w:rsidR="00604294">
              <w:rPr>
                <w:u w:val="none"/>
              </w:rPr>
              <w:t> </w:t>
            </w:r>
            <w:r w:rsidR="00604294" w:rsidRPr="00604294">
              <w:rPr>
                <w:u w:val="none"/>
              </w:rPr>
              <w:t>kol</w:t>
            </w:r>
            <w:r w:rsidRPr="00604294">
              <w:rPr>
                <w:u w:val="none"/>
              </w:rPr>
              <w:t>umnach 0130</w:t>
            </w:r>
            <w:r w:rsidR="00604294" w:rsidRPr="00604294">
              <w:rPr>
                <w:u w:val="none"/>
              </w:rPr>
              <w:t xml:space="preserve"> i</w:t>
            </w:r>
            <w:r w:rsidR="00604294">
              <w:rPr>
                <w:u w:val="none"/>
              </w:rPr>
              <w:t> </w:t>
            </w:r>
            <w:r w:rsidR="00604294" w:rsidRPr="00604294">
              <w:rPr>
                <w:u w:val="none"/>
              </w:rPr>
              <w:t>0</w:t>
            </w:r>
            <w:r w:rsidRPr="00604294">
              <w:rPr>
                <w:u w:val="none"/>
              </w:rPr>
              <w:t>140;</w:t>
            </w:r>
          </w:p>
          <w:p w14:paraId="6E53E104" w14:textId="7CB26718" w:rsidR="007778A0" w:rsidRPr="00604294" w:rsidRDefault="00CD20D9" w:rsidP="00927DCB">
            <w:pPr>
              <w:pStyle w:val="InstructionsText2"/>
              <w:numPr>
                <w:ilvl w:val="1"/>
                <w:numId w:val="12"/>
              </w:numPr>
              <w:rPr>
                <w:u w:val="none"/>
              </w:rPr>
            </w:pPr>
            <w:r w:rsidRPr="00604294">
              <w:rPr>
                <w:u w:val="none"/>
              </w:rPr>
              <w:t>powyżej 2 lat i do</w:t>
            </w:r>
            <w:r w:rsidR="00604294" w:rsidRPr="00604294">
              <w:rPr>
                <w:u w:val="none"/>
              </w:rPr>
              <w:t> </w:t>
            </w:r>
            <w:r w:rsidRPr="00604294">
              <w:rPr>
                <w:u w:val="none"/>
              </w:rPr>
              <w:t>5 lat (włącznie)</w:t>
            </w:r>
            <w:r w:rsidR="00604294" w:rsidRPr="00604294">
              <w:rPr>
                <w:u w:val="none"/>
              </w:rPr>
              <w:t xml:space="preserve"> w</w:t>
            </w:r>
            <w:r w:rsidR="00604294">
              <w:rPr>
                <w:u w:val="none"/>
              </w:rPr>
              <w:t> </w:t>
            </w:r>
            <w:r w:rsidR="00604294" w:rsidRPr="00604294">
              <w:rPr>
                <w:u w:val="none"/>
              </w:rPr>
              <w:t>kol</w:t>
            </w:r>
            <w:r w:rsidRPr="00604294">
              <w:rPr>
                <w:u w:val="none"/>
              </w:rPr>
              <w:t>umnach 0150</w:t>
            </w:r>
            <w:r w:rsidR="00604294" w:rsidRPr="00604294">
              <w:rPr>
                <w:u w:val="none"/>
              </w:rPr>
              <w:t xml:space="preserve"> i</w:t>
            </w:r>
            <w:r w:rsidR="00604294">
              <w:rPr>
                <w:u w:val="none"/>
              </w:rPr>
              <w:t> </w:t>
            </w:r>
            <w:r w:rsidR="00604294" w:rsidRPr="00604294">
              <w:rPr>
                <w:u w:val="none"/>
              </w:rPr>
              <w:t>0</w:t>
            </w:r>
            <w:r w:rsidRPr="00604294">
              <w:rPr>
                <w:u w:val="none"/>
              </w:rPr>
              <w:t>160;</w:t>
            </w:r>
          </w:p>
          <w:p w14:paraId="22EC36F6" w14:textId="0E2397D8" w:rsidR="00CE333E" w:rsidRPr="00604294" w:rsidRDefault="00CD20D9" w:rsidP="00927DCB">
            <w:pPr>
              <w:pStyle w:val="InstructionsText2"/>
              <w:numPr>
                <w:ilvl w:val="1"/>
                <w:numId w:val="12"/>
              </w:numPr>
            </w:pPr>
            <w:r w:rsidRPr="00604294">
              <w:rPr>
                <w:u w:val="none"/>
              </w:rPr>
              <w:t>powyżej 5 lat i do</w:t>
            </w:r>
            <w:r w:rsidR="00604294" w:rsidRPr="00604294">
              <w:rPr>
                <w:u w:val="none"/>
              </w:rPr>
              <w:t> </w:t>
            </w:r>
            <w:r w:rsidRPr="00604294">
              <w:rPr>
                <w:u w:val="none"/>
              </w:rPr>
              <w:t>10 lat (włącznie)</w:t>
            </w:r>
            <w:r w:rsidR="00604294" w:rsidRPr="00604294">
              <w:rPr>
                <w:u w:val="none"/>
              </w:rPr>
              <w:t xml:space="preserve"> w</w:t>
            </w:r>
            <w:r w:rsidR="00604294">
              <w:rPr>
                <w:u w:val="none"/>
              </w:rPr>
              <w:t> </w:t>
            </w:r>
            <w:r w:rsidR="00604294" w:rsidRPr="00604294">
              <w:rPr>
                <w:u w:val="none"/>
              </w:rPr>
              <w:t>kol</w:t>
            </w:r>
            <w:r w:rsidRPr="00604294">
              <w:rPr>
                <w:u w:val="none"/>
              </w:rPr>
              <w:t>umnach 0170</w:t>
            </w:r>
            <w:r w:rsidR="00604294" w:rsidRPr="00604294">
              <w:rPr>
                <w:u w:val="none"/>
              </w:rPr>
              <w:t xml:space="preserve"> i</w:t>
            </w:r>
            <w:r w:rsidR="00604294">
              <w:rPr>
                <w:u w:val="none"/>
              </w:rPr>
              <w:t> </w:t>
            </w:r>
            <w:r w:rsidR="00604294" w:rsidRPr="00604294">
              <w:rPr>
                <w:u w:val="none"/>
              </w:rPr>
              <w:t>0</w:t>
            </w:r>
            <w:r w:rsidRPr="00604294">
              <w:rPr>
                <w:u w:val="none"/>
              </w:rPr>
              <w:t>180.</w:t>
            </w:r>
          </w:p>
        </w:tc>
      </w:tr>
      <w:tr w:rsidR="00E332B3" w:rsidRPr="00604294" w14:paraId="2F05E0FC" w14:textId="77777777" w:rsidTr="00A37629">
        <w:trPr>
          <w:trHeight w:val="255"/>
        </w:trPr>
        <w:tc>
          <w:tcPr>
            <w:tcW w:w="817" w:type="dxa"/>
            <w:shd w:val="clear" w:color="auto" w:fill="auto"/>
            <w:noWrap/>
          </w:tcPr>
          <w:p w14:paraId="765DA707" w14:textId="3CB74DD0" w:rsidR="002C154A" w:rsidRPr="00604294" w:rsidRDefault="00AF1439">
            <w:pPr>
              <w:spacing w:before="0" w:after="0"/>
              <w:jc w:val="left"/>
              <w:rPr>
                <w:rFonts w:ascii="Times New Roman" w:hAnsi="Times New Roman"/>
                <w:szCs w:val="20"/>
              </w:rPr>
            </w:pPr>
            <w:r w:rsidRPr="00604294">
              <w:rPr>
                <w:rFonts w:ascii="Times New Roman" w:hAnsi="Times New Roman"/>
              </w:rPr>
              <w:t>0020</w:t>
            </w:r>
          </w:p>
        </w:tc>
        <w:tc>
          <w:tcPr>
            <w:tcW w:w="7705" w:type="dxa"/>
            <w:shd w:val="clear" w:color="auto" w:fill="auto"/>
            <w:noWrap/>
          </w:tcPr>
          <w:p w14:paraId="01DDA71E" w14:textId="357AA4E4" w:rsidR="002C154A" w:rsidRPr="00604294" w:rsidRDefault="002C154A" w:rsidP="008E1558">
            <w:pPr>
              <w:rPr>
                <w:rFonts w:ascii="Times New Roman" w:hAnsi="Times New Roman"/>
                <w:b/>
                <w:szCs w:val="20"/>
                <w:u w:val="single"/>
              </w:rPr>
            </w:pPr>
            <w:r w:rsidRPr="00604294">
              <w:rPr>
                <w:rFonts w:ascii="Times New Roman" w:hAnsi="Times New Roman"/>
                <w:b/>
                <w:u w:val="single"/>
              </w:rPr>
              <w:t>1.1. Finansowanie detaliczne</w:t>
            </w:r>
          </w:p>
          <w:p w14:paraId="2F60C8D8" w14:textId="0008D8D9" w:rsidR="002C154A" w:rsidRPr="00604294" w:rsidRDefault="00CE333E" w:rsidP="005E4F4B">
            <w:pPr>
              <w:rPr>
                <w:rFonts w:ascii="Times New Roman" w:hAnsi="Times New Roman"/>
                <w:szCs w:val="20"/>
              </w:rPr>
            </w:pPr>
            <w:r w:rsidRPr="00604294">
              <w:rPr>
                <w:rFonts w:ascii="Times New Roman" w:hAnsi="Times New Roman"/>
              </w:rPr>
              <w:t>Całkowity wolumen</w:t>
            </w:r>
            <w:r w:rsidR="00604294" w:rsidRPr="00604294">
              <w:rPr>
                <w:rFonts w:ascii="Times New Roman" w:hAnsi="Times New Roman"/>
              </w:rPr>
              <w:t xml:space="preserve"> i</w:t>
            </w:r>
            <w:r w:rsidR="00604294">
              <w:rPr>
                <w:rFonts w:ascii="Times New Roman" w:hAnsi="Times New Roman"/>
              </w:rPr>
              <w:t> </w:t>
            </w:r>
            <w:r w:rsidR="00604294" w:rsidRPr="00604294">
              <w:rPr>
                <w:rFonts w:ascii="Times New Roman" w:hAnsi="Times New Roman"/>
              </w:rPr>
              <w:t>śre</w:t>
            </w:r>
            <w:r w:rsidRPr="00604294">
              <w:rPr>
                <w:rFonts w:ascii="Times New Roman" w:hAnsi="Times New Roman"/>
              </w:rPr>
              <w:t>dni ważony spread uzyskanego finansowania detalicznego, wchodzącego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skł</w:t>
            </w:r>
            <w:r w:rsidRPr="00604294">
              <w:rPr>
                <w:rFonts w:ascii="Times New Roman" w:hAnsi="Times New Roman"/>
              </w:rPr>
              <w:t>ad finansowania razem zgłoszonego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poz</w:t>
            </w:r>
            <w:r w:rsidRPr="00604294">
              <w:rPr>
                <w:rFonts w:ascii="Times New Roman" w:hAnsi="Times New Roman"/>
              </w:rPr>
              <w:t>ycji 1.</w:t>
            </w:r>
          </w:p>
        </w:tc>
      </w:tr>
      <w:tr w:rsidR="00AF1439" w:rsidRPr="00604294" w14:paraId="2AEBF8C4" w14:textId="77777777" w:rsidTr="00A37629">
        <w:trPr>
          <w:trHeight w:val="255"/>
        </w:trPr>
        <w:tc>
          <w:tcPr>
            <w:tcW w:w="817" w:type="dxa"/>
            <w:shd w:val="clear" w:color="auto" w:fill="auto"/>
            <w:noWrap/>
          </w:tcPr>
          <w:p w14:paraId="0F94FE37" w14:textId="2769A710" w:rsidR="00AF1439" w:rsidRPr="00604294" w:rsidRDefault="00AF1439" w:rsidP="00ED41A4">
            <w:pPr>
              <w:spacing w:before="0" w:after="0"/>
              <w:jc w:val="left"/>
              <w:rPr>
                <w:rFonts w:ascii="Times New Roman" w:hAnsi="Times New Roman"/>
                <w:szCs w:val="20"/>
              </w:rPr>
            </w:pPr>
            <w:r w:rsidRPr="00604294">
              <w:rPr>
                <w:rFonts w:ascii="Times New Roman" w:hAnsi="Times New Roman"/>
              </w:rPr>
              <w:t>0030</w:t>
            </w:r>
          </w:p>
        </w:tc>
        <w:tc>
          <w:tcPr>
            <w:tcW w:w="7705" w:type="dxa"/>
            <w:shd w:val="clear" w:color="auto" w:fill="auto"/>
            <w:noWrap/>
          </w:tcPr>
          <w:p w14:paraId="61E92F36" w14:textId="3D1490F3" w:rsidR="00AF1439" w:rsidRPr="00604294" w:rsidRDefault="00AF1439" w:rsidP="008E1558">
            <w:pPr>
              <w:rPr>
                <w:rFonts w:ascii="Times New Roman" w:hAnsi="Times New Roman"/>
                <w:b/>
                <w:szCs w:val="20"/>
                <w:u w:val="single"/>
              </w:rPr>
            </w:pPr>
            <w:r w:rsidRPr="00604294">
              <w:rPr>
                <w:rFonts w:ascii="Times New Roman" w:hAnsi="Times New Roman"/>
                <w:b/>
                <w:u w:val="single"/>
              </w:rPr>
              <w:t>1.2. Niezabezpieczone finansowanie hurtowe</w:t>
            </w:r>
          </w:p>
          <w:p w14:paraId="49C52367" w14:textId="5616F430" w:rsidR="00AF1439" w:rsidRPr="00604294" w:rsidRDefault="00AF1439" w:rsidP="001C1BA1">
            <w:pPr>
              <w:rPr>
                <w:rFonts w:ascii="Times New Roman" w:hAnsi="Times New Roman"/>
                <w:szCs w:val="20"/>
              </w:rPr>
            </w:pPr>
            <w:r w:rsidRPr="00604294">
              <w:rPr>
                <w:rFonts w:ascii="Times New Roman" w:hAnsi="Times New Roman"/>
              </w:rPr>
              <w:t>Całkowity wolumen</w:t>
            </w:r>
            <w:r w:rsidR="00604294" w:rsidRPr="00604294">
              <w:rPr>
                <w:rFonts w:ascii="Times New Roman" w:hAnsi="Times New Roman"/>
              </w:rPr>
              <w:t xml:space="preserve"> i</w:t>
            </w:r>
            <w:r w:rsidR="00604294">
              <w:rPr>
                <w:rFonts w:ascii="Times New Roman" w:hAnsi="Times New Roman"/>
              </w:rPr>
              <w:t> </w:t>
            </w:r>
            <w:r w:rsidR="00604294" w:rsidRPr="00604294">
              <w:rPr>
                <w:rFonts w:ascii="Times New Roman" w:hAnsi="Times New Roman"/>
              </w:rPr>
              <w:t>śre</w:t>
            </w:r>
            <w:r w:rsidRPr="00604294">
              <w:rPr>
                <w:rFonts w:ascii="Times New Roman" w:hAnsi="Times New Roman"/>
              </w:rPr>
              <w:t>dni ważony spread uzyskanego niezabezpieczonego finansowania hurtowego, wchodzącego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skł</w:t>
            </w:r>
            <w:r w:rsidRPr="00604294">
              <w:rPr>
                <w:rFonts w:ascii="Times New Roman" w:hAnsi="Times New Roman"/>
              </w:rPr>
              <w:t>ad finansowania razem zgłoszonego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poz</w:t>
            </w:r>
            <w:r w:rsidRPr="00604294">
              <w:rPr>
                <w:rFonts w:ascii="Times New Roman" w:hAnsi="Times New Roman"/>
              </w:rPr>
              <w:t>ycji 1.</w:t>
            </w:r>
          </w:p>
        </w:tc>
      </w:tr>
      <w:tr w:rsidR="00F7385A" w:rsidRPr="00604294" w14:paraId="75B65C2C" w14:textId="77777777" w:rsidTr="004963F1">
        <w:trPr>
          <w:trHeight w:val="255"/>
        </w:trPr>
        <w:tc>
          <w:tcPr>
            <w:tcW w:w="817" w:type="dxa"/>
            <w:shd w:val="clear" w:color="auto" w:fill="auto"/>
            <w:noWrap/>
          </w:tcPr>
          <w:p w14:paraId="0B985CB4" w14:textId="5FF70F65" w:rsidR="00F7385A" w:rsidRPr="00604294" w:rsidRDefault="00F7385A" w:rsidP="00576AAA">
            <w:pPr>
              <w:spacing w:before="0" w:after="0"/>
              <w:jc w:val="left"/>
              <w:rPr>
                <w:rFonts w:ascii="Times New Roman" w:hAnsi="Times New Roman"/>
                <w:szCs w:val="20"/>
              </w:rPr>
            </w:pPr>
            <w:r w:rsidRPr="00604294">
              <w:rPr>
                <w:rFonts w:ascii="Times New Roman" w:hAnsi="Times New Roman"/>
              </w:rPr>
              <w:t>0035</w:t>
            </w:r>
          </w:p>
        </w:tc>
        <w:tc>
          <w:tcPr>
            <w:tcW w:w="7705" w:type="dxa"/>
            <w:shd w:val="clear" w:color="auto" w:fill="auto"/>
            <w:noWrap/>
          </w:tcPr>
          <w:p w14:paraId="6F29157E" w14:textId="16406665" w:rsidR="00F7385A" w:rsidRPr="00604294" w:rsidRDefault="00F7385A" w:rsidP="004963F1">
            <w:pPr>
              <w:rPr>
                <w:rFonts w:ascii="Times New Roman" w:hAnsi="Times New Roman"/>
                <w:b/>
                <w:szCs w:val="20"/>
                <w:u w:val="single"/>
              </w:rPr>
            </w:pPr>
            <w:r w:rsidRPr="00604294">
              <w:rPr>
                <w:rFonts w:ascii="Times New Roman" w:hAnsi="Times New Roman"/>
                <w:b/>
                <w:u w:val="single"/>
              </w:rPr>
              <w:t>1.2.1</w:t>
            </w:r>
            <w:r w:rsidR="00604294" w:rsidRPr="00604294">
              <w:rPr>
                <w:rFonts w:ascii="Times New Roman" w:hAnsi="Times New Roman"/>
                <w:b/>
                <w:u w:val="single"/>
              </w:rPr>
              <w:t>. W</w:t>
            </w:r>
            <w:r w:rsidR="00604294">
              <w:rPr>
                <w:rFonts w:ascii="Times New Roman" w:hAnsi="Times New Roman"/>
                <w:b/>
                <w:u w:val="single"/>
              </w:rPr>
              <w:t> </w:t>
            </w:r>
            <w:r w:rsidR="00604294" w:rsidRPr="00604294">
              <w:rPr>
                <w:rFonts w:ascii="Times New Roman" w:hAnsi="Times New Roman"/>
                <w:b/>
                <w:u w:val="single"/>
              </w:rPr>
              <w:t>tym</w:t>
            </w:r>
            <w:r w:rsidRPr="00604294">
              <w:rPr>
                <w:rFonts w:ascii="Times New Roman" w:hAnsi="Times New Roman"/>
                <w:b/>
                <w:u w:val="single"/>
              </w:rPr>
              <w:t>: niezabezpieczone uprzywilejowane papiery wartościowe</w:t>
            </w:r>
          </w:p>
          <w:p w14:paraId="162A7425" w14:textId="7E3E40C4" w:rsidR="00F7385A" w:rsidRPr="00604294" w:rsidRDefault="00F7385A" w:rsidP="004963F1">
            <w:pPr>
              <w:rPr>
                <w:rFonts w:ascii="Times New Roman" w:hAnsi="Times New Roman"/>
                <w:b/>
                <w:szCs w:val="20"/>
                <w:u w:val="single"/>
              </w:rPr>
            </w:pPr>
            <w:r w:rsidRPr="00604294">
              <w:rPr>
                <w:rFonts w:ascii="Times New Roman" w:hAnsi="Times New Roman"/>
              </w:rPr>
              <w:t>Całkowity wolumen</w:t>
            </w:r>
            <w:r w:rsidR="00604294" w:rsidRPr="00604294">
              <w:rPr>
                <w:rFonts w:ascii="Times New Roman" w:hAnsi="Times New Roman"/>
              </w:rPr>
              <w:t xml:space="preserve"> i</w:t>
            </w:r>
            <w:r w:rsidR="00604294">
              <w:rPr>
                <w:rFonts w:ascii="Times New Roman" w:hAnsi="Times New Roman"/>
              </w:rPr>
              <w:t> </w:t>
            </w:r>
            <w:r w:rsidR="00604294" w:rsidRPr="00604294">
              <w:rPr>
                <w:rFonts w:ascii="Times New Roman" w:hAnsi="Times New Roman"/>
              </w:rPr>
              <w:t>śre</w:t>
            </w:r>
            <w:r w:rsidRPr="00604294">
              <w:rPr>
                <w:rFonts w:ascii="Times New Roman" w:hAnsi="Times New Roman"/>
              </w:rPr>
              <w:t>dnia ważona stopa spreadu uzyskanych niezabezpieczonych uprzywilejowanych papierów wartościowych, wchodzących</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skł</w:t>
            </w:r>
            <w:r w:rsidRPr="00604294">
              <w:rPr>
                <w:rFonts w:ascii="Times New Roman" w:hAnsi="Times New Roman"/>
              </w:rPr>
              <w:t>ad niezabezpieczonego finansowania hurtowego zgłoszonego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poz</w:t>
            </w:r>
            <w:r w:rsidRPr="00604294">
              <w:rPr>
                <w:rFonts w:ascii="Times New Roman" w:hAnsi="Times New Roman"/>
              </w:rPr>
              <w:t>ycji 1.2.</w:t>
            </w:r>
          </w:p>
        </w:tc>
      </w:tr>
      <w:tr w:rsidR="00DD5897" w:rsidRPr="00604294" w14:paraId="6186F1AE" w14:textId="77777777" w:rsidTr="00A37629">
        <w:trPr>
          <w:trHeight w:val="255"/>
        </w:trPr>
        <w:tc>
          <w:tcPr>
            <w:tcW w:w="817" w:type="dxa"/>
            <w:shd w:val="clear" w:color="auto" w:fill="auto"/>
            <w:noWrap/>
          </w:tcPr>
          <w:p w14:paraId="39B34295" w14:textId="0225D43C" w:rsidR="00DD5897" w:rsidRPr="00604294" w:rsidRDefault="00391D31" w:rsidP="00576AAA">
            <w:pPr>
              <w:spacing w:before="0" w:after="0"/>
              <w:jc w:val="left"/>
              <w:rPr>
                <w:rFonts w:ascii="Times New Roman" w:hAnsi="Times New Roman"/>
                <w:szCs w:val="20"/>
              </w:rPr>
            </w:pPr>
            <w:r w:rsidRPr="00604294">
              <w:rPr>
                <w:rFonts w:ascii="Times New Roman" w:hAnsi="Times New Roman"/>
              </w:rPr>
              <w:t>0045</w:t>
            </w:r>
          </w:p>
        </w:tc>
        <w:tc>
          <w:tcPr>
            <w:tcW w:w="7705" w:type="dxa"/>
            <w:shd w:val="clear" w:color="auto" w:fill="auto"/>
            <w:noWrap/>
          </w:tcPr>
          <w:p w14:paraId="2D0E1DA1" w14:textId="004BBDAB" w:rsidR="00DD5897" w:rsidRPr="00604294" w:rsidRDefault="00DD5897" w:rsidP="00193B6D">
            <w:pPr>
              <w:rPr>
                <w:rFonts w:ascii="Times New Roman" w:hAnsi="Times New Roman"/>
                <w:b/>
                <w:szCs w:val="20"/>
                <w:u w:val="single"/>
              </w:rPr>
            </w:pPr>
            <w:r w:rsidRPr="00604294">
              <w:rPr>
                <w:rFonts w:ascii="Times New Roman" w:hAnsi="Times New Roman"/>
                <w:b/>
                <w:u w:val="single"/>
              </w:rPr>
              <w:t>1.3. Finansowanie zabezpieczone (uzyskane od podmiotu innego niż bank centralny)</w:t>
            </w:r>
          </w:p>
          <w:p w14:paraId="1193789E" w14:textId="5DB320FD" w:rsidR="00DD5897" w:rsidRPr="00604294" w:rsidRDefault="00CE333E" w:rsidP="008914E0">
            <w:pPr>
              <w:rPr>
                <w:rFonts w:ascii="Times New Roman" w:hAnsi="Times New Roman"/>
                <w:b/>
                <w:szCs w:val="20"/>
                <w:u w:val="single"/>
              </w:rPr>
            </w:pPr>
            <w:r w:rsidRPr="00604294">
              <w:rPr>
                <w:rFonts w:ascii="Times New Roman" w:hAnsi="Times New Roman"/>
              </w:rPr>
              <w:t>Całkowity wolumen</w:t>
            </w:r>
            <w:r w:rsidR="00604294" w:rsidRPr="00604294">
              <w:rPr>
                <w:rFonts w:ascii="Times New Roman" w:hAnsi="Times New Roman"/>
              </w:rPr>
              <w:t xml:space="preserve"> i</w:t>
            </w:r>
            <w:r w:rsidR="00604294">
              <w:rPr>
                <w:rFonts w:ascii="Times New Roman" w:hAnsi="Times New Roman"/>
              </w:rPr>
              <w:t> </w:t>
            </w:r>
            <w:r w:rsidR="00604294" w:rsidRPr="00604294">
              <w:rPr>
                <w:rFonts w:ascii="Times New Roman" w:hAnsi="Times New Roman"/>
              </w:rPr>
              <w:t>śre</w:t>
            </w:r>
            <w:r w:rsidRPr="00604294">
              <w:rPr>
                <w:rFonts w:ascii="Times New Roman" w:hAnsi="Times New Roman"/>
              </w:rPr>
              <w:t>dni ważony spread finansowania zabezpieczonego uzyskanego od kontrahenta niebędącego bankiem centralnym, wchodzącego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skł</w:t>
            </w:r>
            <w:r w:rsidRPr="00604294">
              <w:rPr>
                <w:rFonts w:ascii="Times New Roman" w:hAnsi="Times New Roman"/>
              </w:rPr>
              <w:t>ad finansowania razem zgłoszonego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poz</w:t>
            </w:r>
            <w:r w:rsidRPr="00604294">
              <w:rPr>
                <w:rFonts w:ascii="Times New Roman" w:hAnsi="Times New Roman"/>
              </w:rPr>
              <w:t xml:space="preserve">ycji 1. </w:t>
            </w:r>
          </w:p>
        </w:tc>
      </w:tr>
      <w:tr w:rsidR="00A37629" w:rsidRPr="00604294" w14:paraId="28F41CB6" w14:textId="77777777" w:rsidTr="00A37629">
        <w:trPr>
          <w:trHeight w:val="255"/>
        </w:trPr>
        <w:tc>
          <w:tcPr>
            <w:tcW w:w="817" w:type="dxa"/>
            <w:shd w:val="clear" w:color="auto" w:fill="auto"/>
            <w:noWrap/>
          </w:tcPr>
          <w:p w14:paraId="27FBC55D" w14:textId="5222F996" w:rsidR="00A37629" w:rsidRPr="00604294" w:rsidRDefault="00A37629" w:rsidP="00A37629">
            <w:pPr>
              <w:spacing w:before="0" w:after="0"/>
              <w:jc w:val="left"/>
              <w:rPr>
                <w:rFonts w:ascii="Times New Roman" w:hAnsi="Times New Roman"/>
                <w:szCs w:val="20"/>
              </w:rPr>
            </w:pPr>
            <w:r w:rsidRPr="00604294">
              <w:rPr>
                <w:rFonts w:ascii="Times New Roman" w:hAnsi="Times New Roman"/>
              </w:rPr>
              <w:t>0065</w:t>
            </w:r>
          </w:p>
        </w:tc>
        <w:tc>
          <w:tcPr>
            <w:tcW w:w="7705" w:type="dxa"/>
            <w:shd w:val="clear" w:color="auto" w:fill="auto"/>
            <w:noWrap/>
          </w:tcPr>
          <w:p w14:paraId="00CF474C" w14:textId="1EA13258" w:rsidR="00A37629" w:rsidRPr="00604294" w:rsidRDefault="00A37629" w:rsidP="00A37629">
            <w:pPr>
              <w:rPr>
                <w:rFonts w:ascii="Times New Roman" w:hAnsi="Times New Roman"/>
                <w:b/>
                <w:szCs w:val="20"/>
                <w:u w:val="single"/>
              </w:rPr>
            </w:pPr>
            <w:r w:rsidRPr="00604294">
              <w:rPr>
                <w:rFonts w:ascii="Times New Roman" w:hAnsi="Times New Roman"/>
                <w:b/>
                <w:u w:val="single"/>
              </w:rPr>
              <w:t>1.3.1</w:t>
            </w:r>
            <w:r w:rsidR="00604294" w:rsidRPr="00604294">
              <w:rPr>
                <w:rFonts w:ascii="Times New Roman" w:hAnsi="Times New Roman"/>
                <w:b/>
                <w:u w:val="single"/>
              </w:rPr>
              <w:t>. W</w:t>
            </w:r>
            <w:r w:rsidR="00604294">
              <w:rPr>
                <w:rFonts w:ascii="Times New Roman" w:hAnsi="Times New Roman"/>
                <w:b/>
                <w:u w:val="single"/>
              </w:rPr>
              <w:t> </w:t>
            </w:r>
            <w:r w:rsidR="00604294" w:rsidRPr="00604294">
              <w:rPr>
                <w:rFonts w:ascii="Times New Roman" w:hAnsi="Times New Roman"/>
                <w:b/>
                <w:u w:val="single"/>
              </w:rPr>
              <w:t>tym</w:t>
            </w:r>
            <w:r w:rsidRPr="00604294">
              <w:rPr>
                <w:rFonts w:ascii="Times New Roman" w:hAnsi="Times New Roman"/>
                <w:b/>
                <w:u w:val="single"/>
              </w:rPr>
              <w:t>: obligacje zabezpieczone</w:t>
            </w:r>
          </w:p>
          <w:p w14:paraId="2AEEDF2A" w14:textId="7C61A58E" w:rsidR="00A37629" w:rsidRPr="00604294" w:rsidRDefault="00A37629" w:rsidP="00F7385A">
            <w:pPr>
              <w:rPr>
                <w:rFonts w:ascii="Times New Roman" w:hAnsi="Times New Roman"/>
                <w:b/>
                <w:szCs w:val="20"/>
                <w:u w:val="single"/>
              </w:rPr>
            </w:pPr>
            <w:r w:rsidRPr="00604294">
              <w:rPr>
                <w:rFonts w:ascii="Times New Roman" w:hAnsi="Times New Roman"/>
              </w:rPr>
              <w:lastRenderedPageBreak/>
              <w:t>Całkowity wolumen</w:t>
            </w:r>
            <w:r w:rsidR="00604294" w:rsidRPr="00604294">
              <w:rPr>
                <w:rFonts w:ascii="Times New Roman" w:hAnsi="Times New Roman"/>
              </w:rPr>
              <w:t xml:space="preserve"> i</w:t>
            </w:r>
            <w:r w:rsidR="00604294">
              <w:rPr>
                <w:rFonts w:ascii="Times New Roman" w:hAnsi="Times New Roman"/>
              </w:rPr>
              <w:t> </w:t>
            </w:r>
            <w:r w:rsidR="00604294" w:rsidRPr="00604294">
              <w:rPr>
                <w:rFonts w:ascii="Times New Roman" w:hAnsi="Times New Roman"/>
              </w:rPr>
              <w:t>śre</w:t>
            </w:r>
            <w:r w:rsidRPr="00604294">
              <w:rPr>
                <w:rFonts w:ascii="Times New Roman" w:hAnsi="Times New Roman"/>
              </w:rPr>
              <w:t>dni ważony spread wszystkich emisji obligacji zabezpieczonych obciążających aktywa własne instytucji, wchodzących</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skł</w:t>
            </w:r>
            <w:r w:rsidRPr="00604294">
              <w:rPr>
                <w:rFonts w:ascii="Times New Roman" w:hAnsi="Times New Roman"/>
              </w:rPr>
              <w:t>ad finansowania zabezpieczonego zgłoszonego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poz</w:t>
            </w:r>
            <w:r w:rsidRPr="00604294">
              <w:rPr>
                <w:rFonts w:ascii="Times New Roman" w:hAnsi="Times New Roman"/>
              </w:rPr>
              <w:t>ycji 1.3.</w:t>
            </w:r>
          </w:p>
        </w:tc>
      </w:tr>
      <w:tr w:rsidR="00A37629" w:rsidRPr="00604294" w14:paraId="7E2EC114" w14:textId="77777777" w:rsidTr="00A37629">
        <w:trPr>
          <w:trHeight w:val="255"/>
        </w:trPr>
        <w:tc>
          <w:tcPr>
            <w:tcW w:w="817" w:type="dxa"/>
            <w:shd w:val="clear" w:color="auto" w:fill="auto"/>
            <w:noWrap/>
          </w:tcPr>
          <w:p w14:paraId="37FE37EA" w14:textId="412A822D" w:rsidR="00A37629" w:rsidRPr="00604294" w:rsidRDefault="00A37629" w:rsidP="00A37629">
            <w:pPr>
              <w:spacing w:before="0" w:after="0"/>
              <w:jc w:val="left"/>
              <w:rPr>
                <w:rFonts w:ascii="Times New Roman" w:hAnsi="Times New Roman"/>
                <w:szCs w:val="20"/>
              </w:rPr>
            </w:pPr>
            <w:r w:rsidRPr="00604294">
              <w:rPr>
                <w:rFonts w:ascii="Times New Roman" w:hAnsi="Times New Roman"/>
              </w:rPr>
              <w:lastRenderedPageBreak/>
              <w:t>0075</w:t>
            </w:r>
          </w:p>
        </w:tc>
        <w:tc>
          <w:tcPr>
            <w:tcW w:w="7705" w:type="dxa"/>
            <w:shd w:val="clear" w:color="auto" w:fill="auto"/>
            <w:noWrap/>
          </w:tcPr>
          <w:p w14:paraId="2EB3DA46" w14:textId="39E324C6" w:rsidR="00A37629" w:rsidRPr="00604294" w:rsidRDefault="00A37629" w:rsidP="00A37629">
            <w:pPr>
              <w:rPr>
                <w:rFonts w:ascii="Times New Roman" w:hAnsi="Times New Roman"/>
                <w:b/>
                <w:szCs w:val="20"/>
                <w:u w:val="single"/>
              </w:rPr>
            </w:pPr>
            <w:r w:rsidRPr="00604294">
              <w:rPr>
                <w:rFonts w:ascii="Times New Roman" w:hAnsi="Times New Roman"/>
                <w:b/>
                <w:u w:val="single"/>
              </w:rPr>
              <w:t>1.3.2</w:t>
            </w:r>
            <w:r w:rsidR="00604294" w:rsidRPr="00604294">
              <w:rPr>
                <w:rFonts w:ascii="Times New Roman" w:hAnsi="Times New Roman"/>
                <w:b/>
                <w:u w:val="single"/>
              </w:rPr>
              <w:t>. W</w:t>
            </w:r>
            <w:r w:rsidR="00604294">
              <w:rPr>
                <w:rFonts w:ascii="Times New Roman" w:hAnsi="Times New Roman"/>
                <w:b/>
                <w:u w:val="single"/>
              </w:rPr>
              <w:t> </w:t>
            </w:r>
            <w:r w:rsidR="00604294" w:rsidRPr="00604294">
              <w:rPr>
                <w:rFonts w:ascii="Times New Roman" w:hAnsi="Times New Roman"/>
                <w:b/>
                <w:u w:val="single"/>
              </w:rPr>
              <w:t>tym</w:t>
            </w:r>
            <w:r w:rsidRPr="00604294">
              <w:rPr>
                <w:rFonts w:ascii="Times New Roman" w:hAnsi="Times New Roman"/>
                <w:b/>
                <w:u w:val="single"/>
              </w:rPr>
              <w:t>: papiery wartościowe zabezpieczone aktywami,</w:t>
            </w:r>
            <w:r w:rsidR="00604294" w:rsidRPr="00604294">
              <w:rPr>
                <w:rFonts w:ascii="Times New Roman" w:hAnsi="Times New Roman"/>
                <w:b/>
                <w:u w:val="single"/>
              </w:rPr>
              <w:t xml:space="preserve"> w</w:t>
            </w:r>
            <w:r w:rsidR="00604294">
              <w:rPr>
                <w:rFonts w:ascii="Times New Roman" w:hAnsi="Times New Roman"/>
                <w:b/>
                <w:u w:val="single"/>
              </w:rPr>
              <w:t> </w:t>
            </w:r>
            <w:r w:rsidR="00604294" w:rsidRPr="00604294">
              <w:rPr>
                <w:rFonts w:ascii="Times New Roman" w:hAnsi="Times New Roman"/>
                <w:b/>
                <w:u w:val="single"/>
              </w:rPr>
              <w:t>tym</w:t>
            </w:r>
            <w:r w:rsidRPr="00604294">
              <w:rPr>
                <w:rFonts w:ascii="Times New Roman" w:hAnsi="Times New Roman"/>
                <w:b/>
                <w:u w:val="single"/>
              </w:rPr>
              <w:t xml:space="preserve"> ABCP</w:t>
            </w:r>
          </w:p>
          <w:p w14:paraId="44C96B86" w14:textId="09646AB4" w:rsidR="00A37629" w:rsidRPr="00604294" w:rsidRDefault="00A37629" w:rsidP="00F7385A">
            <w:pPr>
              <w:rPr>
                <w:rFonts w:ascii="Times New Roman" w:hAnsi="Times New Roman"/>
                <w:b/>
                <w:szCs w:val="20"/>
                <w:u w:val="single"/>
              </w:rPr>
            </w:pPr>
            <w:r w:rsidRPr="00604294">
              <w:rPr>
                <w:rFonts w:ascii="Times New Roman" w:hAnsi="Times New Roman"/>
              </w:rPr>
              <w:t>Całkowity wolumen</w:t>
            </w:r>
            <w:r w:rsidR="00604294" w:rsidRPr="00604294">
              <w:rPr>
                <w:rFonts w:ascii="Times New Roman" w:hAnsi="Times New Roman"/>
              </w:rPr>
              <w:t xml:space="preserve"> i</w:t>
            </w:r>
            <w:r w:rsidR="00604294">
              <w:rPr>
                <w:rFonts w:ascii="Times New Roman" w:hAnsi="Times New Roman"/>
              </w:rPr>
              <w:t> </w:t>
            </w:r>
            <w:r w:rsidR="00604294" w:rsidRPr="00604294">
              <w:rPr>
                <w:rFonts w:ascii="Times New Roman" w:hAnsi="Times New Roman"/>
              </w:rPr>
              <w:t>śre</w:t>
            </w:r>
            <w:r w:rsidRPr="00604294">
              <w:rPr>
                <w:rFonts w:ascii="Times New Roman" w:hAnsi="Times New Roman"/>
              </w:rPr>
              <w:t>dni ważony spread papierów wartościowych zabezpieczonych aktywami,</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tym</w:t>
            </w:r>
            <w:r w:rsidRPr="00604294">
              <w:rPr>
                <w:rFonts w:ascii="Times New Roman" w:hAnsi="Times New Roman"/>
              </w:rPr>
              <w:t xml:space="preserve"> papierów dłużnych przedsiębiorstw zabezpieczonych aktywami, wchodzących</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skł</w:t>
            </w:r>
            <w:r w:rsidRPr="00604294">
              <w:rPr>
                <w:rFonts w:ascii="Times New Roman" w:hAnsi="Times New Roman"/>
              </w:rPr>
              <w:t>ad finansowania zabezpieczonego zgłoszonego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poz</w:t>
            </w:r>
            <w:r w:rsidRPr="00604294">
              <w:rPr>
                <w:rFonts w:ascii="Times New Roman" w:hAnsi="Times New Roman"/>
              </w:rPr>
              <w:t>ycji 1.3.</w:t>
            </w:r>
          </w:p>
        </w:tc>
      </w:tr>
      <w:tr w:rsidR="00A37629" w:rsidRPr="00604294" w14:paraId="5B114A6D" w14:textId="77777777" w:rsidTr="00A37629">
        <w:trPr>
          <w:trHeight w:val="255"/>
        </w:trPr>
        <w:tc>
          <w:tcPr>
            <w:tcW w:w="817" w:type="dxa"/>
            <w:shd w:val="clear" w:color="auto" w:fill="auto"/>
            <w:noWrap/>
          </w:tcPr>
          <w:p w14:paraId="39524A45" w14:textId="1D264C45" w:rsidR="00A37629" w:rsidRPr="00604294" w:rsidRDefault="00A37629" w:rsidP="00A37629">
            <w:pPr>
              <w:spacing w:before="0" w:after="0"/>
              <w:jc w:val="left"/>
              <w:rPr>
                <w:rFonts w:ascii="Times New Roman" w:hAnsi="Times New Roman"/>
                <w:szCs w:val="20"/>
              </w:rPr>
            </w:pPr>
            <w:r w:rsidRPr="00604294">
              <w:rPr>
                <w:rFonts w:ascii="Times New Roman" w:hAnsi="Times New Roman"/>
              </w:rPr>
              <w:t>0080</w:t>
            </w:r>
          </w:p>
        </w:tc>
        <w:tc>
          <w:tcPr>
            <w:tcW w:w="7705" w:type="dxa"/>
            <w:shd w:val="clear" w:color="auto" w:fill="auto"/>
            <w:noWrap/>
          </w:tcPr>
          <w:p w14:paraId="09FACF40" w14:textId="5DA98A55" w:rsidR="00A37629" w:rsidRPr="00604294" w:rsidRDefault="00A37629" w:rsidP="00A37629">
            <w:pPr>
              <w:rPr>
                <w:rFonts w:ascii="Times New Roman" w:hAnsi="Times New Roman"/>
                <w:b/>
                <w:szCs w:val="20"/>
                <w:u w:val="single"/>
              </w:rPr>
            </w:pPr>
            <w:r w:rsidRPr="00604294">
              <w:rPr>
                <w:rFonts w:ascii="Times New Roman" w:hAnsi="Times New Roman"/>
                <w:b/>
                <w:u w:val="single"/>
              </w:rPr>
              <w:t>1.4. Pozostałe finansowanie</w:t>
            </w:r>
          </w:p>
          <w:p w14:paraId="24F80CD7" w14:textId="341E949F" w:rsidR="00A37629" w:rsidRPr="00604294" w:rsidRDefault="00A37629" w:rsidP="00A37629">
            <w:pPr>
              <w:rPr>
                <w:rFonts w:ascii="Times New Roman" w:hAnsi="Times New Roman"/>
                <w:b/>
                <w:szCs w:val="20"/>
                <w:u w:val="single"/>
              </w:rPr>
            </w:pPr>
            <w:r w:rsidRPr="00604294">
              <w:rPr>
                <w:rFonts w:ascii="Times New Roman" w:hAnsi="Times New Roman"/>
              </w:rPr>
              <w:t>Całkowity wolumen</w:t>
            </w:r>
            <w:r w:rsidR="00604294" w:rsidRPr="00604294">
              <w:rPr>
                <w:rFonts w:ascii="Times New Roman" w:hAnsi="Times New Roman"/>
              </w:rPr>
              <w:t xml:space="preserve"> i</w:t>
            </w:r>
            <w:r w:rsidR="00604294">
              <w:rPr>
                <w:rFonts w:ascii="Times New Roman" w:hAnsi="Times New Roman"/>
              </w:rPr>
              <w:t> </w:t>
            </w:r>
            <w:r w:rsidR="00604294" w:rsidRPr="00604294">
              <w:rPr>
                <w:rFonts w:ascii="Times New Roman" w:hAnsi="Times New Roman"/>
              </w:rPr>
              <w:t>śre</w:t>
            </w:r>
            <w:r w:rsidRPr="00604294">
              <w:rPr>
                <w:rFonts w:ascii="Times New Roman" w:hAnsi="Times New Roman"/>
              </w:rPr>
              <w:t>dni ważony spread finansowania nieuwzględnionego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poz</w:t>
            </w:r>
            <w:r w:rsidRPr="00604294">
              <w:rPr>
                <w:rFonts w:ascii="Times New Roman" w:hAnsi="Times New Roman"/>
              </w:rPr>
              <w:t>ycjach 1.1–1.3,</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tym</w:t>
            </w:r>
            <w:r w:rsidRPr="00604294">
              <w:rPr>
                <w:rFonts w:ascii="Times New Roman" w:hAnsi="Times New Roman"/>
              </w:rPr>
              <w:t xml:space="preserve"> finansowania zabezpieczonego uzyskanego od banku centralnego, wchodzącego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skł</w:t>
            </w:r>
            <w:r w:rsidRPr="00604294">
              <w:rPr>
                <w:rFonts w:ascii="Times New Roman" w:hAnsi="Times New Roman"/>
              </w:rPr>
              <w:t>ad finansowania razem zgłoszonego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poz</w:t>
            </w:r>
            <w:r w:rsidRPr="00604294">
              <w:rPr>
                <w:rFonts w:ascii="Times New Roman" w:hAnsi="Times New Roman"/>
              </w:rPr>
              <w:t>ycji 1.</w:t>
            </w:r>
          </w:p>
        </w:tc>
      </w:tr>
    </w:tbl>
    <w:p w14:paraId="5029EEE5" w14:textId="77777777" w:rsidR="00953ED6" w:rsidRPr="00604294" w:rsidRDefault="00953ED6" w:rsidP="00CC3091">
      <w:pPr>
        <w:pStyle w:val="InstructionsText"/>
        <w:rPr>
          <w:rStyle w:val="InstructionsTabelleText"/>
          <w:rFonts w:ascii="Times New Roman" w:hAnsi="Times New Roman"/>
          <w:u w:val="none"/>
        </w:rPr>
      </w:pPr>
    </w:p>
    <w:p w14:paraId="63E17173" w14:textId="77777777" w:rsidR="00181260" w:rsidRPr="00604294" w:rsidRDefault="006000DF" w:rsidP="00DD5897">
      <w:pPr>
        <w:pStyle w:val="Instructionsberschrift2"/>
        <w:numPr>
          <w:ilvl w:val="1"/>
          <w:numId w:val="2"/>
        </w:numPr>
        <w:spacing w:before="0"/>
        <w:rPr>
          <w:rFonts w:ascii="Times New Roman" w:hAnsi="Times New Roman" w:cs="Times New Roman"/>
          <w:szCs w:val="20"/>
        </w:rPr>
      </w:pPr>
      <w:r w:rsidRPr="00604294">
        <w:rPr>
          <w:rFonts w:ascii="Times New Roman" w:hAnsi="Times New Roman"/>
        </w:rPr>
        <w:t>Prolongowanie finansowania (C 70.00)</w:t>
      </w:r>
    </w:p>
    <w:p w14:paraId="5ACA258A" w14:textId="4D8DAFC9" w:rsidR="00DD5897" w:rsidRPr="00604294" w:rsidRDefault="00DD5897" w:rsidP="00CC3091">
      <w:pPr>
        <w:pStyle w:val="InstructionsText2"/>
        <w:numPr>
          <w:ilvl w:val="0"/>
          <w:numId w:val="8"/>
        </w:numPr>
        <w:rPr>
          <w:u w:val="none"/>
        </w:rPr>
      </w:pPr>
      <w:bookmarkStart w:id="2" w:name="_Toc308175821"/>
      <w:bookmarkStart w:id="3" w:name="_Toc310414968"/>
      <w:r w:rsidRPr="00604294">
        <w:rPr>
          <w:u w:val="none"/>
        </w:rPr>
        <w:t>Wzór ten służy gromadzeniu informacji</w:t>
      </w:r>
      <w:r w:rsidR="00604294" w:rsidRPr="00604294">
        <w:rPr>
          <w:u w:val="none"/>
        </w:rPr>
        <w:t xml:space="preserve"> o</w:t>
      </w:r>
      <w:r w:rsidR="00604294">
        <w:rPr>
          <w:u w:val="none"/>
        </w:rPr>
        <w:t> </w:t>
      </w:r>
      <w:r w:rsidR="00604294" w:rsidRPr="00604294">
        <w:rPr>
          <w:u w:val="none"/>
        </w:rPr>
        <w:t>wol</w:t>
      </w:r>
      <w:r w:rsidRPr="00604294">
        <w:rPr>
          <w:u w:val="none"/>
        </w:rPr>
        <w:t>umenie zapadających środków finansowych oraz nowo pozyskanego finansowania, tj.</w:t>
      </w:r>
      <w:r w:rsidR="00604294" w:rsidRPr="00604294">
        <w:rPr>
          <w:u w:val="none"/>
        </w:rPr>
        <w:t xml:space="preserve"> o</w:t>
      </w:r>
      <w:r w:rsidR="00604294">
        <w:rPr>
          <w:u w:val="none"/>
        </w:rPr>
        <w:t> </w:t>
      </w:r>
      <w:r w:rsidR="00604294" w:rsidRPr="00604294">
        <w:rPr>
          <w:u w:val="none"/>
        </w:rPr>
        <w:t>cod</w:t>
      </w:r>
      <w:r w:rsidRPr="00604294">
        <w:rPr>
          <w:u w:val="none"/>
        </w:rPr>
        <w:t>ziennym „prolongowaniu finansowania”</w:t>
      </w:r>
      <w:r w:rsidR="00604294" w:rsidRPr="00604294">
        <w:rPr>
          <w:u w:val="none"/>
        </w:rPr>
        <w:t xml:space="preserve"> w</w:t>
      </w:r>
      <w:r w:rsidR="00604294">
        <w:rPr>
          <w:u w:val="none"/>
        </w:rPr>
        <w:t> </w:t>
      </w:r>
      <w:r w:rsidR="00604294" w:rsidRPr="00604294">
        <w:rPr>
          <w:u w:val="none"/>
        </w:rPr>
        <w:t>tra</w:t>
      </w:r>
      <w:r w:rsidRPr="00604294">
        <w:rPr>
          <w:u w:val="none"/>
        </w:rPr>
        <w:t>kcie miesiąca poprzedzającego dzień sprawozdawczy.</w:t>
      </w:r>
    </w:p>
    <w:p w14:paraId="180EF408" w14:textId="0C706208" w:rsidR="00DB3C37" w:rsidRPr="00604294" w:rsidRDefault="00DB3C37" w:rsidP="00927DCB">
      <w:pPr>
        <w:pStyle w:val="InstructionsText2"/>
        <w:numPr>
          <w:ilvl w:val="0"/>
          <w:numId w:val="8"/>
        </w:numPr>
        <w:rPr>
          <w:u w:val="none"/>
        </w:rPr>
      </w:pPr>
      <w:r w:rsidRPr="00604294">
        <w:rPr>
          <w:u w:val="none"/>
        </w:rPr>
        <w:t>Instytucje zgłaszają,</w:t>
      </w:r>
      <w:r w:rsidR="00604294" w:rsidRPr="00604294">
        <w:rPr>
          <w:u w:val="none"/>
        </w:rPr>
        <w:t xml:space="preserve"> w</w:t>
      </w:r>
      <w:r w:rsidR="00604294">
        <w:rPr>
          <w:u w:val="none"/>
        </w:rPr>
        <w:t> </w:t>
      </w:r>
      <w:r w:rsidR="00604294" w:rsidRPr="00604294">
        <w:rPr>
          <w:u w:val="none"/>
        </w:rPr>
        <w:t>dni</w:t>
      </w:r>
      <w:r w:rsidRPr="00604294">
        <w:rPr>
          <w:u w:val="none"/>
        </w:rPr>
        <w:t>ach kalendarzowych, zapadające finansowanie zgodnie</w:t>
      </w:r>
      <w:r w:rsidR="00604294" w:rsidRPr="00604294">
        <w:rPr>
          <w:u w:val="none"/>
        </w:rPr>
        <w:t xml:space="preserve"> z</w:t>
      </w:r>
      <w:r w:rsidR="00604294">
        <w:rPr>
          <w:u w:val="none"/>
        </w:rPr>
        <w:t> </w:t>
      </w:r>
      <w:r w:rsidR="00604294" w:rsidRPr="00604294">
        <w:rPr>
          <w:u w:val="none"/>
        </w:rPr>
        <w:t>nas</w:t>
      </w:r>
      <w:r w:rsidRPr="00604294">
        <w:rPr>
          <w:u w:val="none"/>
        </w:rPr>
        <w:t>tępującymi przedziałami czasowymi zgodnie</w:t>
      </w:r>
      <w:r w:rsidR="00604294" w:rsidRPr="00604294">
        <w:rPr>
          <w:u w:val="none"/>
        </w:rPr>
        <w:t xml:space="preserve"> z</w:t>
      </w:r>
      <w:r w:rsidR="00604294">
        <w:rPr>
          <w:u w:val="none"/>
        </w:rPr>
        <w:t> </w:t>
      </w:r>
      <w:r w:rsidR="00604294" w:rsidRPr="00604294">
        <w:rPr>
          <w:u w:val="none"/>
        </w:rPr>
        <w:t>pie</w:t>
      </w:r>
      <w:r w:rsidRPr="00604294">
        <w:rPr>
          <w:u w:val="none"/>
        </w:rPr>
        <w:t>rwotnym terminem zapadalności:</w:t>
      </w:r>
    </w:p>
    <w:p w14:paraId="10B482AB" w14:textId="70B6D5E3" w:rsidR="00DB3C37" w:rsidRPr="00604294" w:rsidRDefault="00237D15" w:rsidP="00927DCB">
      <w:pPr>
        <w:pStyle w:val="InstructionsText2"/>
        <w:numPr>
          <w:ilvl w:val="1"/>
          <w:numId w:val="5"/>
        </w:numPr>
        <w:ind w:left="1276" w:hanging="283"/>
        <w:rPr>
          <w:u w:val="none"/>
        </w:rPr>
      </w:pPr>
      <w:r w:rsidRPr="00604294">
        <w:rPr>
          <w:u w:val="none"/>
        </w:rPr>
        <w:t>overnight</w:t>
      </w:r>
      <w:r w:rsidR="00604294" w:rsidRPr="00604294">
        <w:rPr>
          <w:u w:val="none"/>
        </w:rPr>
        <w:t xml:space="preserve"> w</w:t>
      </w:r>
      <w:r w:rsidR="00604294">
        <w:rPr>
          <w:u w:val="none"/>
        </w:rPr>
        <w:t> </w:t>
      </w:r>
      <w:r w:rsidR="00604294" w:rsidRPr="00604294">
        <w:rPr>
          <w:u w:val="none"/>
        </w:rPr>
        <w:t>kol</w:t>
      </w:r>
      <w:r w:rsidRPr="00604294">
        <w:rPr>
          <w:u w:val="none"/>
        </w:rPr>
        <w:t>umnach od</w:t>
      </w:r>
      <w:r w:rsidR="00604294" w:rsidRPr="00604294">
        <w:rPr>
          <w:u w:val="none"/>
        </w:rPr>
        <w:t> </w:t>
      </w:r>
      <w:r w:rsidRPr="00604294">
        <w:rPr>
          <w:u w:val="none"/>
        </w:rPr>
        <w:t>0010 do</w:t>
      </w:r>
      <w:r w:rsidR="00604294" w:rsidRPr="00604294">
        <w:rPr>
          <w:u w:val="none"/>
        </w:rPr>
        <w:t> </w:t>
      </w:r>
      <w:r w:rsidRPr="00604294">
        <w:rPr>
          <w:u w:val="none"/>
        </w:rPr>
        <w:t>0040;</w:t>
      </w:r>
    </w:p>
    <w:p w14:paraId="78059097" w14:textId="1513D1EA" w:rsidR="00DB3C37" w:rsidRPr="00604294" w:rsidRDefault="00237D15" w:rsidP="00927DCB">
      <w:pPr>
        <w:pStyle w:val="InstructionsText2"/>
        <w:numPr>
          <w:ilvl w:val="1"/>
          <w:numId w:val="5"/>
        </w:numPr>
        <w:ind w:left="1276" w:hanging="283"/>
        <w:rPr>
          <w:u w:val="none"/>
        </w:rPr>
      </w:pPr>
      <w:r w:rsidRPr="00604294">
        <w:rPr>
          <w:u w:val="none"/>
        </w:rPr>
        <w:t>powyżej 1 dnia i do</w:t>
      </w:r>
      <w:r w:rsidR="00604294" w:rsidRPr="00604294">
        <w:rPr>
          <w:u w:val="none"/>
        </w:rPr>
        <w:t> </w:t>
      </w:r>
      <w:r w:rsidRPr="00604294">
        <w:rPr>
          <w:u w:val="none"/>
        </w:rPr>
        <w:t>7 dni</w:t>
      </w:r>
      <w:r w:rsidR="00604294" w:rsidRPr="00604294">
        <w:rPr>
          <w:u w:val="none"/>
        </w:rPr>
        <w:t xml:space="preserve"> w</w:t>
      </w:r>
      <w:r w:rsidR="00604294">
        <w:rPr>
          <w:u w:val="none"/>
        </w:rPr>
        <w:t> </w:t>
      </w:r>
      <w:r w:rsidR="00604294" w:rsidRPr="00604294">
        <w:rPr>
          <w:u w:val="none"/>
        </w:rPr>
        <w:t>kol</w:t>
      </w:r>
      <w:r w:rsidRPr="00604294">
        <w:rPr>
          <w:u w:val="none"/>
        </w:rPr>
        <w:t>umnach od</w:t>
      </w:r>
      <w:r w:rsidR="00604294" w:rsidRPr="00604294">
        <w:rPr>
          <w:u w:val="none"/>
        </w:rPr>
        <w:t> </w:t>
      </w:r>
      <w:r w:rsidRPr="00604294">
        <w:rPr>
          <w:u w:val="none"/>
        </w:rPr>
        <w:t>0050 do</w:t>
      </w:r>
      <w:r w:rsidR="00604294" w:rsidRPr="00604294">
        <w:rPr>
          <w:u w:val="none"/>
        </w:rPr>
        <w:t> </w:t>
      </w:r>
      <w:r w:rsidRPr="00604294">
        <w:rPr>
          <w:u w:val="none"/>
        </w:rPr>
        <w:t>0080;</w:t>
      </w:r>
    </w:p>
    <w:p w14:paraId="0888F316" w14:textId="79EBAB2D" w:rsidR="00DB3C37" w:rsidRPr="00604294" w:rsidRDefault="00237D15" w:rsidP="00927DCB">
      <w:pPr>
        <w:pStyle w:val="InstructionsText2"/>
        <w:numPr>
          <w:ilvl w:val="1"/>
          <w:numId w:val="5"/>
        </w:numPr>
        <w:ind w:left="1276" w:hanging="283"/>
        <w:rPr>
          <w:u w:val="none"/>
        </w:rPr>
      </w:pPr>
      <w:r w:rsidRPr="00604294">
        <w:rPr>
          <w:u w:val="none"/>
        </w:rPr>
        <w:t>powyżej 7 dni i do</w:t>
      </w:r>
      <w:r w:rsidR="00604294" w:rsidRPr="00604294">
        <w:rPr>
          <w:u w:val="none"/>
        </w:rPr>
        <w:t> </w:t>
      </w:r>
      <w:r w:rsidRPr="00604294">
        <w:rPr>
          <w:u w:val="none"/>
        </w:rPr>
        <w:t>14 dni</w:t>
      </w:r>
      <w:r w:rsidR="00604294" w:rsidRPr="00604294">
        <w:rPr>
          <w:u w:val="none"/>
        </w:rPr>
        <w:t xml:space="preserve"> w</w:t>
      </w:r>
      <w:r w:rsidR="00604294">
        <w:rPr>
          <w:u w:val="none"/>
        </w:rPr>
        <w:t> </w:t>
      </w:r>
      <w:r w:rsidR="00604294" w:rsidRPr="00604294">
        <w:rPr>
          <w:u w:val="none"/>
        </w:rPr>
        <w:t>kol</w:t>
      </w:r>
      <w:r w:rsidRPr="00604294">
        <w:rPr>
          <w:u w:val="none"/>
        </w:rPr>
        <w:t>umnach od</w:t>
      </w:r>
      <w:r w:rsidR="00604294" w:rsidRPr="00604294">
        <w:rPr>
          <w:u w:val="none"/>
        </w:rPr>
        <w:t> </w:t>
      </w:r>
      <w:r w:rsidRPr="00604294">
        <w:rPr>
          <w:u w:val="none"/>
        </w:rPr>
        <w:t>0090 do</w:t>
      </w:r>
      <w:r w:rsidR="00604294" w:rsidRPr="00604294">
        <w:rPr>
          <w:u w:val="none"/>
        </w:rPr>
        <w:t> </w:t>
      </w:r>
      <w:r w:rsidRPr="00604294">
        <w:rPr>
          <w:u w:val="none"/>
        </w:rPr>
        <w:t>0120;</w:t>
      </w:r>
    </w:p>
    <w:p w14:paraId="08E23AA2" w14:textId="4013A2E1" w:rsidR="00DB3C37" w:rsidRPr="00604294" w:rsidRDefault="00237D15" w:rsidP="00927DCB">
      <w:pPr>
        <w:pStyle w:val="InstructionsText2"/>
        <w:numPr>
          <w:ilvl w:val="1"/>
          <w:numId w:val="5"/>
        </w:numPr>
        <w:ind w:left="1276" w:hanging="283"/>
        <w:rPr>
          <w:u w:val="none"/>
        </w:rPr>
      </w:pPr>
      <w:r w:rsidRPr="00604294">
        <w:rPr>
          <w:u w:val="none"/>
        </w:rPr>
        <w:t>powyżej 14 dni i do</w:t>
      </w:r>
      <w:r w:rsidR="00604294" w:rsidRPr="00604294">
        <w:rPr>
          <w:u w:val="none"/>
        </w:rPr>
        <w:t> </w:t>
      </w:r>
      <w:r w:rsidRPr="00604294">
        <w:rPr>
          <w:u w:val="none"/>
        </w:rPr>
        <w:t>1 miesiąca</w:t>
      </w:r>
      <w:r w:rsidR="00604294" w:rsidRPr="00604294">
        <w:rPr>
          <w:u w:val="none"/>
        </w:rPr>
        <w:t xml:space="preserve"> w</w:t>
      </w:r>
      <w:r w:rsidR="00604294">
        <w:rPr>
          <w:u w:val="none"/>
        </w:rPr>
        <w:t> </w:t>
      </w:r>
      <w:r w:rsidR="00604294" w:rsidRPr="00604294">
        <w:rPr>
          <w:u w:val="none"/>
        </w:rPr>
        <w:t>kol</w:t>
      </w:r>
      <w:r w:rsidRPr="00604294">
        <w:rPr>
          <w:u w:val="none"/>
        </w:rPr>
        <w:t>umnach od</w:t>
      </w:r>
      <w:r w:rsidR="00604294" w:rsidRPr="00604294">
        <w:rPr>
          <w:u w:val="none"/>
        </w:rPr>
        <w:t> </w:t>
      </w:r>
      <w:r w:rsidRPr="00604294">
        <w:rPr>
          <w:u w:val="none"/>
        </w:rPr>
        <w:t>0130 do</w:t>
      </w:r>
      <w:r w:rsidR="00604294" w:rsidRPr="00604294">
        <w:rPr>
          <w:u w:val="none"/>
        </w:rPr>
        <w:t> </w:t>
      </w:r>
      <w:r w:rsidRPr="00604294">
        <w:rPr>
          <w:u w:val="none"/>
        </w:rPr>
        <w:t>0160;</w:t>
      </w:r>
    </w:p>
    <w:p w14:paraId="69F00FB2" w14:textId="169005FA" w:rsidR="00DB3C37" w:rsidRPr="00604294" w:rsidRDefault="00237D15" w:rsidP="00927DCB">
      <w:pPr>
        <w:pStyle w:val="InstructionsText2"/>
        <w:numPr>
          <w:ilvl w:val="1"/>
          <w:numId w:val="5"/>
        </w:numPr>
        <w:ind w:left="1276" w:hanging="283"/>
        <w:rPr>
          <w:u w:val="none"/>
        </w:rPr>
      </w:pPr>
      <w:r w:rsidRPr="00604294">
        <w:rPr>
          <w:u w:val="none"/>
        </w:rPr>
        <w:t>powyżej 1 miesiąca i do</w:t>
      </w:r>
      <w:r w:rsidR="00604294" w:rsidRPr="00604294">
        <w:rPr>
          <w:u w:val="none"/>
        </w:rPr>
        <w:t> </w:t>
      </w:r>
      <w:r w:rsidRPr="00604294">
        <w:rPr>
          <w:u w:val="none"/>
        </w:rPr>
        <w:t>3 miesięcy</w:t>
      </w:r>
      <w:r w:rsidR="00604294" w:rsidRPr="00604294">
        <w:rPr>
          <w:u w:val="none"/>
        </w:rPr>
        <w:t xml:space="preserve"> w</w:t>
      </w:r>
      <w:r w:rsidR="00604294">
        <w:rPr>
          <w:u w:val="none"/>
        </w:rPr>
        <w:t> </w:t>
      </w:r>
      <w:r w:rsidR="00604294" w:rsidRPr="00604294">
        <w:rPr>
          <w:u w:val="none"/>
        </w:rPr>
        <w:t>kol</w:t>
      </w:r>
      <w:r w:rsidRPr="00604294">
        <w:rPr>
          <w:u w:val="none"/>
        </w:rPr>
        <w:t>umnach od</w:t>
      </w:r>
      <w:r w:rsidR="00604294" w:rsidRPr="00604294">
        <w:rPr>
          <w:u w:val="none"/>
        </w:rPr>
        <w:t> </w:t>
      </w:r>
      <w:r w:rsidRPr="00604294">
        <w:rPr>
          <w:u w:val="none"/>
        </w:rPr>
        <w:t>0170 do</w:t>
      </w:r>
      <w:r w:rsidR="00604294" w:rsidRPr="00604294">
        <w:rPr>
          <w:u w:val="none"/>
        </w:rPr>
        <w:t> </w:t>
      </w:r>
      <w:r w:rsidRPr="00604294">
        <w:rPr>
          <w:u w:val="none"/>
        </w:rPr>
        <w:t>0200;</w:t>
      </w:r>
    </w:p>
    <w:p w14:paraId="39971E5E" w14:textId="0D6FDBC7" w:rsidR="00DB3C37" w:rsidRPr="00604294" w:rsidRDefault="00237D15" w:rsidP="00927DCB">
      <w:pPr>
        <w:pStyle w:val="InstructionsText2"/>
        <w:numPr>
          <w:ilvl w:val="1"/>
          <w:numId w:val="5"/>
        </w:numPr>
        <w:ind w:left="1276" w:hanging="283"/>
        <w:rPr>
          <w:u w:val="none"/>
        </w:rPr>
      </w:pPr>
      <w:r w:rsidRPr="00604294">
        <w:rPr>
          <w:u w:val="none"/>
        </w:rPr>
        <w:t>powyżej 3 miesięcy i do</w:t>
      </w:r>
      <w:r w:rsidR="00604294" w:rsidRPr="00604294">
        <w:rPr>
          <w:u w:val="none"/>
        </w:rPr>
        <w:t> </w:t>
      </w:r>
      <w:r w:rsidRPr="00604294">
        <w:rPr>
          <w:u w:val="none"/>
        </w:rPr>
        <w:t>6 miesięcy</w:t>
      </w:r>
      <w:r w:rsidR="00604294" w:rsidRPr="00604294">
        <w:rPr>
          <w:u w:val="none"/>
        </w:rPr>
        <w:t xml:space="preserve"> w</w:t>
      </w:r>
      <w:r w:rsidR="00604294">
        <w:rPr>
          <w:u w:val="none"/>
        </w:rPr>
        <w:t> </w:t>
      </w:r>
      <w:r w:rsidR="00604294" w:rsidRPr="00604294">
        <w:rPr>
          <w:u w:val="none"/>
        </w:rPr>
        <w:t>kol</w:t>
      </w:r>
      <w:r w:rsidRPr="00604294">
        <w:rPr>
          <w:u w:val="none"/>
        </w:rPr>
        <w:t>umnach od</w:t>
      </w:r>
      <w:r w:rsidR="00604294" w:rsidRPr="00604294">
        <w:rPr>
          <w:u w:val="none"/>
        </w:rPr>
        <w:t> </w:t>
      </w:r>
      <w:r w:rsidRPr="00604294">
        <w:rPr>
          <w:u w:val="none"/>
        </w:rPr>
        <w:t>0210 do</w:t>
      </w:r>
      <w:r w:rsidR="00604294" w:rsidRPr="00604294">
        <w:rPr>
          <w:u w:val="none"/>
        </w:rPr>
        <w:t> </w:t>
      </w:r>
      <w:r w:rsidRPr="00604294">
        <w:rPr>
          <w:u w:val="none"/>
        </w:rPr>
        <w:t>0240;</w:t>
      </w:r>
    </w:p>
    <w:p w14:paraId="7574DBE7" w14:textId="2284AFBB" w:rsidR="009A329A" w:rsidRPr="00604294" w:rsidRDefault="00144FB8" w:rsidP="00927DCB">
      <w:pPr>
        <w:pStyle w:val="InstructionsText2"/>
        <w:numPr>
          <w:ilvl w:val="1"/>
          <w:numId w:val="5"/>
        </w:numPr>
        <w:ind w:left="1276" w:hanging="283"/>
        <w:rPr>
          <w:u w:val="none"/>
        </w:rPr>
      </w:pPr>
      <w:r w:rsidRPr="00604294">
        <w:rPr>
          <w:u w:val="none"/>
        </w:rPr>
        <w:t>powyżej 6 miesięcy</w:t>
      </w:r>
      <w:r w:rsidR="00604294" w:rsidRPr="00604294">
        <w:rPr>
          <w:u w:val="none"/>
        </w:rPr>
        <w:t xml:space="preserve"> w</w:t>
      </w:r>
      <w:r w:rsidR="00604294">
        <w:rPr>
          <w:u w:val="none"/>
        </w:rPr>
        <w:t> </w:t>
      </w:r>
      <w:r w:rsidR="00604294" w:rsidRPr="00604294">
        <w:rPr>
          <w:u w:val="none"/>
        </w:rPr>
        <w:t>kol</w:t>
      </w:r>
      <w:r w:rsidRPr="00604294">
        <w:rPr>
          <w:u w:val="none"/>
        </w:rPr>
        <w:t>umnach od</w:t>
      </w:r>
      <w:r w:rsidR="00604294" w:rsidRPr="00604294">
        <w:rPr>
          <w:u w:val="none"/>
        </w:rPr>
        <w:t> </w:t>
      </w:r>
      <w:r w:rsidRPr="00604294">
        <w:rPr>
          <w:u w:val="none"/>
        </w:rPr>
        <w:t>0250 do</w:t>
      </w:r>
      <w:r w:rsidR="00604294" w:rsidRPr="00604294">
        <w:rPr>
          <w:u w:val="none"/>
        </w:rPr>
        <w:t> </w:t>
      </w:r>
      <w:r w:rsidRPr="00604294">
        <w:rPr>
          <w:u w:val="none"/>
        </w:rPr>
        <w:t>0280.</w:t>
      </w:r>
    </w:p>
    <w:p w14:paraId="1F25325E" w14:textId="272E6B3C" w:rsidR="00DB3C37" w:rsidRPr="00604294" w:rsidRDefault="00DB3C37" w:rsidP="00927DCB">
      <w:pPr>
        <w:pStyle w:val="InstructionsText2"/>
        <w:numPr>
          <w:ilvl w:val="0"/>
          <w:numId w:val="8"/>
        </w:numPr>
        <w:rPr>
          <w:u w:val="none"/>
        </w:rPr>
      </w:pPr>
      <w:r w:rsidRPr="00604294">
        <w:rPr>
          <w:u w:val="none"/>
        </w:rPr>
        <w:t>Dla każdego przedziału czasowego opisanego</w:t>
      </w:r>
      <w:r w:rsidR="00604294" w:rsidRPr="00604294">
        <w:rPr>
          <w:u w:val="none"/>
        </w:rPr>
        <w:t xml:space="preserve"> w</w:t>
      </w:r>
      <w:r w:rsidR="00604294">
        <w:rPr>
          <w:u w:val="none"/>
        </w:rPr>
        <w:t> </w:t>
      </w:r>
      <w:r w:rsidR="00604294" w:rsidRPr="00604294">
        <w:rPr>
          <w:u w:val="none"/>
        </w:rPr>
        <w:t>pkt </w:t>
      </w:r>
      <w:r w:rsidRPr="00604294">
        <w:rPr>
          <w:u w:val="none"/>
        </w:rPr>
        <w:t>2 kwota środków zapadających jest zgłaszana</w:t>
      </w:r>
      <w:r w:rsidR="00604294" w:rsidRPr="00604294">
        <w:rPr>
          <w:u w:val="none"/>
        </w:rPr>
        <w:t xml:space="preserve"> w</w:t>
      </w:r>
      <w:r w:rsidR="00604294">
        <w:rPr>
          <w:u w:val="none"/>
        </w:rPr>
        <w:t> </w:t>
      </w:r>
      <w:r w:rsidR="00604294" w:rsidRPr="00604294">
        <w:rPr>
          <w:u w:val="none"/>
        </w:rPr>
        <w:t>lew</w:t>
      </w:r>
      <w:r w:rsidRPr="00604294">
        <w:rPr>
          <w:u w:val="none"/>
        </w:rPr>
        <w:t>ej kolumnie, kwota środków prolongowanych jest zgłaszana</w:t>
      </w:r>
      <w:r w:rsidR="00604294" w:rsidRPr="00604294">
        <w:rPr>
          <w:u w:val="none"/>
        </w:rPr>
        <w:t xml:space="preserve"> w</w:t>
      </w:r>
      <w:r w:rsidR="00604294">
        <w:rPr>
          <w:u w:val="none"/>
        </w:rPr>
        <w:t> </w:t>
      </w:r>
      <w:r w:rsidR="00604294" w:rsidRPr="00604294">
        <w:rPr>
          <w:u w:val="none"/>
        </w:rPr>
        <w:t>kol</w:t>
      </w:r>
      <w:r w:rsidRPr="00604294">
        <w:rPr>
          <w:u w:val="none"/>
        </w:rPr>
        <w:t>umnie „Prolongowane”, nowo pozyskane środki są zgłaszane</w:t>
      </w:r>
      <w:r w:rsidR="00604294" w:rsidRPr="00604294">
        <w:rPr>
          <w:u w:val="none"/>
        </w:rPr>
        <w:t xml:space="preserve"> w</w:t>
      </w:r>
      <w:r w:rsidR="00604294">
        <w:rPr>
          <w:u w:val="none"/>
        </w:rPr>
        <w:t> </w:t>
      </w:r>
      <w:r w:rsidR="00604294" w:rsidRPr="00604294">
        <w:rPr>
          <w:u w:val="none"/>
        </w:rPr>
        <w:t>kol</w:t>
      </w:r>
      <w:r w:rsidRPr="00604294">
        <w:rPr>
          <w:u w:val="none"/>
        </w:rPr>
        <w:t>umnie „Nowe środki”,</w:t>
      </w:r>
      <w:r w:rsidR="00604294" w:rsidRPr="00604294">
        <w:rPr>
          <w:u w:val="none"/>
        </w:rPr>
        <w:t xml:space="preserve"> a</w:t>
      </w:r>
      <w:r w:rsidR="00604294">
        <w:rPr>
          <w:u w:val="none"/>
        </w:rPr>
        <w:t> </w:t>
      </w:r>
      <w:r w:rsidR="00604294" w:rsidRPr="00604294">
        <w:rPr>
          <w:u w:val="none"/>
        </w:rPr>
        <w:t>róż</w:t>
      </w:r>
      <w:r w:rsidRPr="00604294">
        <w:rPr>
          <w:u w:val="none"/>
        </w:rPr>
        <w:t>nica netto między nowymi środkami</w:t>
      </w:r>
      <w:r w:rsidR="00604294" w:rsidRPr="00604294">
        <w:rPr>
          <w:u w:val="none"/>
        </w:rPr>
        <w:t xml:space="preserve"> a</w:t>
      </w:r>
      <w:r w:rsidR="00604294">
        <w:rPr>
          <w:u w:val="none"/>
        </w:rPr>
        <w:t> </w:t>
      </w:r>
      <w:r w:rsidR="00604294" w:rsidRPr="00604294">
        <w:rPr>
          <w:u w:val="none"/>
        </w:rPr>
        <w:t>śro</w:t>
      </w:r>
      <w:r w:rsidRPr="00604294">
        <w:rPr>
          <w:u w:val="none"/>
        </w:rPr>
        <w:t>dkami prolongowanymi pomniejszonymi</w:t>
      </w:r>
      <w:r w:rsidR="00604294" w:rsidRPr="00604294">
        <w:rPr>
          <w:u w:val="none"/>
        </w:rPr>
        <w:t xml:space="preserve"> o</w:t>
      </w:r>
      <w:r w:rsidR="00604294">
        <w:rPr>
          <w:u w:val="none"/>
        </w:rPr>
        <w:t> </w:t>
      </w:r>
      <w:r w:rsidR="00604294" w:rsidRPr="00604294">
        <w:rPr>
          <w:u w:val="none"/>
        </w:rPr>
        <w:t>śro</w:t>
      </w:r>
      <w:r w:rsidRPr="00604294">
        <w:rPr>
          <w:u w:val="none"/>
        </w:rPr>
        <w:t>dki zapadające jest zgłaszana</w:t>
      </w:r>
      <w:r w:rsidR="00604294" w:rsidRPr="00604294">
        <w:rPr>
          <w:u w:val="none"/>
        </w:rPr>
        <w:t xml:space="preserve"> w</w:t>
      </w:r>
      <w:r w:rsidR="00604294">
        <w:rPr>
          <w:u w:val="none"/>
        </w:rPr>
        <w:t> </w:t>
      </w:r>
      <w:r w:rsidR="00604294" w:rsidRPr="00604294">
        <w:rPr>
          <w:u w:val="none"/>
        </w:rPr>
        <w:t>pra</w:t>
      </w:r>
      <w:r w:rsidRPr="00604294">
        <w:rPr>
          <w:u w:val="none"/>
        </w:rPr>
        <w:t>wej kolumnie.</w:t>
      </w:r>
      <w:r w:rsidRPr="00604294">
        <w:rPr>
          <w:rFonts w:ascii="Verdana" w:hAnsi="Verdana"/>
          <w:u w:val="none"/>
        </w:rPr>
        <w:t xml:space="preserve"> </w:t>
      </w:r>
    </w:p>
    <w:p w14:paraId="710A06F4" w14:textId="6F901FAB" w:rsidR="00DB3C37" w:rsidRPr="00604294" w:rsidRDefault="00DB3C37" w:rsidP="00927DCB">
      <w:pPr>
        <w:pStyle w:val="InstructionsText2"/>
        <w:numPr>
          <w:ilvl w:val="0"/>
          <w:numId w:val="8"/>
        </w:numPr>
        <w:rPr>
          <w:u w:val="none"/>
        </w:rPr>
      </w:pPr>
      <w:r w:rsidRPr="00604294">
        <w:rPr>
          <w:u w:val="none"/>
        </w:rPr>
        <w:t>Całkowite przepływy środków pieniężnych netto zgłasza się</w:t>
      </w:r>
      <w:r w:rsidR="00604294" w:rsidRPr="00604294">
        <w:rPr>
          <w:u w:val="none"/>
        </w:rPr>
        <w:t xml:space="preserve"> w</w:t>
      </w:r>
      <w:r w:rsidR="00604294">
        <w:rPr>
          <w:u w:val="none"/>
        </w:rPr>
        <w:t> </w:t>
      </w:r>
      <w:r w:rsidR="00604294" w:rsidRPr="00604294">
        <w:rPr>
          <w:u w:val="none"/>
        </w:rPr>
        <w:t>kol</w:t>
      </w:r>
      <w:r w:rsidRPr="00604294">
        <w:rPr>
          <w:u w:val="none"/>
        </w:rPr>
        <w:t>umnie 290 i są one równe sumie wszystkich kolumn „Netto”, tj. kolumn</w:t>
      </w:r>
      <w:r w:rsidR="00604294" w:rsidRPr="00604294">
        <w:rPr>
          <w:u w:val="none"/>
        </w:rPr>
        <w:t xml:space="preserve"> o</w:t>
      </w:r>
      <w:r w:rsidR="00604294">
        <w:rPr>
          <w:u w:val="none"/>
        </w:rPr>
        <w:t> </w:t>
      </w:r>
      <w:r w:rsidR="00604294" w:rsidRPr="00604294">
        <w:rPr>
          <w:u w:val="none"/>
        </w:rPr>
        <w:t>num</w:t>
      </w:r>
      <w:r w:rsidRPr="00604294">
        <w:rPr>
          <w:u w:val="none"/>
        </w:rPr>
        <w:t>erach 0040, 0080, 0120, 0160, 0200, 0240</w:t>
      </w:r>
      <w:r w:rsidR="00604294" w:rsidRPr="00604294">
        <w:rPr>
          <w:u w:val="none"/>
        </w:rPr>
        <w:t xml:space="preserve"> i</w:t>
      </w:r>
      <w:r w:rsidR="00604294">
        <w:rPr>
          <w:u w:val="none"/>
        </w:rPr>
        <w:t> </w:t>
      </w:r>
      <w:r w:rsidR="00604294" w:rsidRPr="00604294">
        <w:rPr>
          <w:u w:val="none"/>
        </w:rPr>
        <w:t>0</w:t>
      </w:r>
      <w:r w:rsidRPr="00604294">
        <w:rPr>
          <w:u w:val="none"/>
        </w:rPr>
        <w:t>280.</w:t>
      </w:r>
    </w:p>
    <w:p w14:paraId="28B9B16F" w14:textId="1DA9120E" w:rsidR="00BD24C1" w:rsidRPr="00604294" w:rsidRDefault="00DB3C37" w:rsidP="00927DCB">
      <w:pPr>
        <w:pStyle w:val="InstructionsText2"/>
        <w:numPr>
          <w:ilvl w:val="0"/>
          <w:numId w:val="8"/>
        </w:numPr>
        <w:rPr>
          <w:u w:val="none"/>
        </w:rPr>
      </w:pPr>
      <w:r w:rsidRPr="00604294">
        <w:rPr>
          <w:u w:val="none"/>
        </w:rPr>
        <w:t>Średni termin finansowania (w dniach)</w:t>
      </w:r>
      <w:r w:rsidR="00604294" w:rsidRPr="00604294">
        <w:rPr>
          <w:u w:val="none"/>
        </w:rPr>
        <w:t xml:space="preserve"> w</w:t>
      </w:r>
      <w:r w:rsidR="00604294">
        <w:rPr>
          <w:u w:val="none"/>
        </w:rPr>
        <w:t> </w:t>
      </w:r>
      <w:r w:rsidR="00604294" w:rsidRPr="00604294">
        <w:rPr>
          <w:u w:val="none"/>
        </w:rPr>
        <w:t>odn</w:t>
      </w:r>
      <w:r w:rsidRPr="00604294">
        <w:rPr>
          <w:u w:val="none"/>
        </w:rPr>
        <w:t>iesieniu do środków zapadających zgłasza się</w:t>
      </w:r>
      <w:r w:rsidR="00604294" w:rsidRPr="00604294">
        <w:rPr>
          <w:u w:val="none"/>
        </w:rPr>
        <w:t xml:space="preserve"> w</w:t>
      </w:r>
      <w:r w:rsidR="00604294">
        <w:rPr>
          <w:u w:val="none"/>
        </w:rPr>
        <w:t> </w:t>
      </w:r>
      <w:r w:rsidR="00604294" w:rsidRPr="00604294">
        <w:rPr>
          <w:u w:val="none"/>
        </w:rPr>
        <w:t>kol</w:t>
      </w:r>
      <w:r w:rsidRPr="00604294">
        <w:rPr>
          <w:u w:val="none"/>
        </w:rPr>
        <w:t>umnie 0300.</w:t>
      </w:r>
    </w:p>
    <w:p w14:paraId="76D8AD49" w14:textId="664F2AFC" w:rsidR="003E371A" w:rsidRPr="00604294" w:rsidRDefault="003E371A" w:rsidP="00927DCB">
      <w:pPr>
        <w:pStyle w:val="InstructionsText2"/>
        <w:numPr>
          <w:ilvl w:val="0"/>
          <w:numId w:val="8"/>
        </w:numPr>
        <w:rPr>
          <w:u w:val="none"/>
        </w:rPr>
      </w:pPr>
      <w:r w:rsidRPr="00604294">
        <w:rPr>
          <w:u w:val="none"/>
        </w:rPr>
        <w:t>Średni termin finansowania (w dniach)</w:t>
      </w:r>
      <w:r w:rsidR="00604294" w:rsidRPr="00604294">
        <w:rPr>
          <w:u w:val="none"/>
        </w:rPr>
        <w:t xml:space="preserve"> w</w:t>
      </w:r>
      <w:r w:rsidR="00604294">
        <w:rPr>
          <w:u w:val="none"/>
        </w:rPr>
        <w:t> </w:t>
      </w:r>
      <w:r w:rsidR="00604294" w:rsidRPr="00604294">
        <w:rPr>
          <w:u w:val="none"/>
        </w:rPr>
        <w:t>odn</w:t>
      </w:r>
      <w:r w:rsidRPr="00604294">
        <w:rPr>
          <w:u w:val="none"/>
        </w:rPr>
        <w:t>iesieniu do środków prolongowanych zgłasza się</w:t>
      </w:r>
      <w:r w:rsidR="00604294" w:rsidRPr="00604294">
        <w:rPr>
          <w:u w:val="none"/>
        </w:rPr>
        <w:t xml:space="preserve"> w</w:t>
      </w:r>
      <w:r w:rsidR="00604294">
        <w:rPr>
          <w:u w:val="none"/>
        </w:rPr>
        <w:t> </w:t>
      </w:r>
      <w:r w:rsidR="00604294" w:rsidRPr="00604294">
        <w:rPr>
          <w:u w:val="none"/>
        </w:rPr>
        <w:t>kol</w:t>
      </w:r>
      <w:r w:rsidRPr="00604294">
        <w:rPr>
          <w:u w:val="none"/>
        </w:rPr>
        <w:t>umnie 0310.</w:t>
      </w:r>
    </w:p>
    <w:p w14:paraId="717CD209" w14:textId="3E9DFA5A" w:rsidR="00BD24C1" w:rsidRPr="00604294" w:rsidRDefault="00DB3C37" w:rsidP="00927DCB">
      <w:pPr>
        <w:pStyle w:val="InstructionsText2"/>
        <w:numPr>
          <w:ilvl w:val="0"/>
          <w:numId w:val="8"/>
        </w:numPr>
        <w:rPr>
          <w:u w:val="none"/>
        </w:rPr>
      </w:pPr>
      <w:r w:rsidRPr="00604294">
        <w:rPr>
          <w:u w:val="none"/>
        </w:rPr>
        <w:t>Średni termin finansowania (w dniach)</w:t>
      </w:r>
      <w:r w:rsidR="00604294" w:rsidRPr="00604294">
        <w:rPr>
          <w:u w:val="none"/>
        </w:rPr>
        <w:t xml:space="preserve"> w</w:t>
      </w:r>
      <w:r w:rsidR="00604294">
        <w:rPr>
          <w:u w:val="none"/>
        </w:rPr>
        <w:t> </w:t>
      </w:r>
      <w:r w:rsidR="00604294" w:rsidRPr="00604294">
        <w:rPr>
          <w:u w:val="none"/>
        </w:rPr>
        <w:t>odn</w:t>
      </w:r>
      <w:r w:rsidRPr="00604294">
        <w:rPr>
          <w:u w:val="none"/>
        </w:rPr>
        <w:t>iesieniu do nowych środków zgłasza się</w:t>
      </w:r>
      <w:r w:rsidR="00604294" w:rsidRPr="00604294">
        <w:rPr>
          <w:u w:val="none"/>
        </w:rPr>
        <w:t xml:space="preserve"> w</w:t>
      </w:r>
      <w:r w:rsidR="00604294">
        <w:rPr>
          <w:u w:val="none"/>
        </w:rPr>
        <w:t> </w:t>
      </w:r>
      <w:r w:rsidR="00604294" w:rsidRPr="00604294">
        <w:rPr>
          <w:u w:val="none"/>
        </w:rPr>
        <w:t>kol</w:t>
      </w:r>
      <w:r w:rsidRPr="00604294">
        <w:rPr>
          <w:u w:val="none"/>
        </w:rPr>
        <w:t>umnie 0320.</w:t>
      </w:r>
    </w:p>
    <w:p w14:paraId="5C92A186" w14:textId="039694F9" w:rsidR="00A7751A" w:rsidRPr="00604294" w:rsidRDefault="00A7751A" w:rsidP="00927DCB">
      <w:pPr>
        <w:pStyle w:val="InstructionsText2"/>
        <w:numPr>
          <w:ilvl w:val="0"/>
          <w:numId w:val="8"/>
        </w:numPr>
        <w:rPr>
          <w:u w:val="none"/>
        </w:rPr>
      </w:pPr>
      <w:r w:rsidRPr="00604294">
        <w:rPr>
          <w:u w:val="none"/>
        </w:rPr>
        <w:lastRenderedPageBreak/>
        <w:t>Kwota</w:t>
      </w:r>
      <w:r w:rsidR="00604294" w:rsidRPr="00604294">
        <w:rPr>
          <w:u w:val="none"/>
        </w:rPr>
        <w:t xml:space="preserve"> w</w:t>
      </w:r>
      <w:r w:rsidR="00604294">
        <w:rPr>
          <w:u w:val="none"/>
        </w:rPr>
        <w:t> </w:t>
      </w:r>
      <w:r w:rsidR="00604294" w:rsidRPr="00604294">
        <w:rPr>
          <w:u w:val="none"/>
        </w:rPr>
        <w:t>kol</w:t>
      </w:r>
      <w:r w:rsidRPr="00604294">
        <w:rPr>
          <w:u w:val="none"/>
        </w:rPr>
        <w:t>umnie „Zapadające” obejmuje wszystkie zobowiązania, które zgodnie</w:t>
      </w:r>
      <w:r w:rsidR="00604294" w:rsidRPr="00604294">
        <w:rPr>
          <w:u w:val="none"/>
        </w:rPr>
        <w:t xml:space="preserve"> z</w:t>
      </w:r>
      <w:r w:rsidR="00604294">
        <w:rPr>
          <w:u w:val="none"/>
        </w:rPr>
        <w:t> </w:t>
      </w:r>
      <w:r w:rsidR="00604294" w:rsidRPr="00604294">
        <w:rPr>
          <w:u w:val="none"/>
        </w:rPr>
        <w:t>umo</w:t>
      </w:r>
      <w:r w:rsidRPr="00604294">
        <w:rPr>
          <w:u w:val="none"/>
        </w:rPr>
        <w:t>wą mogły być wycofane przez dostawcę finansowania lub które były wymagalne</w:t>
      </w:r>
      <w:r w:rsidR="00604294" w:rsidRPr="00604294">
        <w:rPr>
          <w:u w:val="none"/>
        </w:rPr>
        <w:t xml:space="preserve"> w</w:t>
      </w:r>
      <w:r w:rsidR="00604294">
        <w:rPr>
          <w:u w:val="none"/>
        </w:rPr>
        <w:t> </w:t>
      </w:r>
      <w:r w:rsidR="00604294" w:rsidRPr="00604294">
        <w:rPr>
          <w:u w:val="none"/>
        </w:rPr>
        <w:t>dan</w:t>
      </w:r>
      <w:r w:rsidRPr="00604294">
        <w:rPr>
          <w:u w:val="none"/>
        </w:rPr>
        <w:t>ym dniu</w:t>
      </w:r>
      <w:r w:rsidR="00604294" w:rsidRPr="00604294">
        <w:rPr>
          <w:u w:val="none"/>
        </w:rPr>
        <w:t xml:space="preserve"> w</w:t>
      </w:r>
      <w:r w:rsidR="00604294">
        <w:rPr>
          <w:u w:val="none"/>
        </w:rPr>
        <w:t> </w:t>
      </w:r>
      <w:r w:rsidR="00604294" w:rsidRPr="00604294">
        <w:rPr>
          <w:u w:val="none"/>
        </w:rPr>
        <w:t>okr</w:t>
      </w:r>
      <w:r w:rsidRPr="00604294">
        <w:rPr>
          <w:u w:val="none"/>
        </w:rPr>
        <w:t>esie sprawozdawczym. Zgłasza się ją zawsze ze znakiem dodatnim.</w:t>
      </w:r>
    </w:p>
    <w:p w14:paraId="004B6E12" w14:textId="7C161F42" w:rsidR="00A7751A" w:rsidRPr="00604294" w:rsidRDefault="00A7751A" w:rsidP="00927DCB">
      <w:pPr>
        <w:pStyle w:val="InstructionsText2"/>
        <w:numPr>
          <w:ilvl w:val="0"/>
          <w:numId w:val="8"/>
        </w:numPr>
        <w:rPr>
          <w:u w:val="none"/>
        </w:rPr>
      </w:pPr>
      <w:r w:rsidRPr="00604294">
        <w:rPr>
          <w:u w:val="none"/>
        </w:rPr>
        <w:t>Kwota</w:t>
      </w:r>
      <w:r w:rsidR="00604294" w:rsidRPr="00604294">
        <w:rPr>
          <w:u w:val="none"/>
        </w:rPr>
        <w:t xml:space="preserve"> w</w:t>
      </w:r>
      <w:r w:rsidR="00604294">
        <w:rPr>
          <w:u w:val="none"/>
        </w:rPr>
        <w:t> </w:t>
      </w:r>
      <w:r w:rsidR="00604294" w:rsidRPr="00604294">
        <w:rPr>
          <w:u w:val="none"/>
        </w:rPr>
        <w:t>kol</w:t>
      </w:r>
      <w:r w:rsidRPr="00604294">
        <w:rPr>
          <w:u w:val="none"/>
        </w:rPr>
        <w:t>umnie „Prolongowane” obejmuje kwotę środków zapadających zdefiniowanych</w:t>
      </w:r>
      <w:r w:rsidR="00604294" w:rsidRPr="00604294">
        <w:rPr>
          <w:u w:val="none"/>
        </w:rPr>
        <w:t xml:space="preserve"> w</w:t>
      </w:r>
      <w:r w:rsidR="00604294">
        <w:rPr>
          <w:u w:val="none"/>
        </w:rPr>
        <w:t> </w:t>
      </w:r>
      <w:r w:rsidR="00604294" w:rsidRPr="00604294">
        <w:rPr>
          <w:u w:val="none"/>
        </w:rPr>
        <w:t>pkt </w:t>
      </w:r>
      <w:r w:rsidRPr="00604294">
        <w:rPr>
          <w:u w:val="none"/>
        </w:rPr>
        <w:t>2</w:t>
      </w:r>
      <w:r w:rsidR="00604294" w:rsidRPr="00604294">
        <w:rPr>
          <w:u w:val="none"/>
        </w:rPr>
        <w:t xml:space="preserve"> i</w:t>
      </w:r>
      <w:r w:rsidR="00604294">
        <w:rPr>
          <w:u w:val="none"/>
        </w:rPr>
        <w:t> </w:t>
      </w:r>
      <w:r w:rsidR="00604294" w:rsidRPr="00604294">
        <w:rPr>
          <w:u w:val="none"/>
        </w:rPr>
        <w:t>3</w:t>
      </w:r>
      <w:r w:rsidRPr="00604294">
        <w:rPr>
          <w:u w:val="none"/>
        </w:rPr>
        <w:t>, która pozostaje</w:t>
      </w:r>
      <w:r w:rsidR="00604294" w:rsidRPr="00604294">
        <w:rPr>
          <w:u w:val="none"/>
        </w:rPr>
        <w:t xml:space="preserve"> w</w:t>
      </w:r>
      <w:r w:rsidR="00604294">
        <w:rPr>
          <w:u w:val="none"/>
        </w:rPr>
        <w:t> </w:t>
      </w:r>
      <w:r w:rsidR="00604294" w:rsidRPr="00604294">
        <w:rPr>
          <w:u w:val="none"/>
        </w:rPr>
        <w:t>ins</w:t>
      </w:r>
      <w:r w:rsidRPr="00604294">
        <w:rPr>
          <w:u w:val="none"/>
        </w:rPr>
        <w:t>tytucji na odpowiedni dzień</w:t>
      </w:r>
      <w:r w:rsidR="00604294" w:rsidRPr="00604294">
        <w:rPr>
          <w:u w:val="none"/>
        </w:rPr>
        <w:t xml:space="preserve"> w</w:t>
      </w:r>
      <w:r w:rsidR="00604294">
        <w:rPr>
          <w:u w:val="none"/>
        </w:rPr>
        <w:t> </w:t>
      </w:r>
      <w:r w:rsidR="00604294" w:rsidRPr="00604294">
        <w:rPr>
          <w:u w:val="none"/>
        </w:rPr>
        <w:t>okr</w:t>
      </w:r>
      <w:r w:rsidRPr="00604294">
        <w:rPr>
          <w:u w:val="none"/>
        </w:rPr>
        <w:t>esie sprawozdawczym. Zgłasza się ją zawsze ze znakiem dodatnim</w:t>
      </w:r>
      <w:r w:rsidR="00604294" w:rsidRPr="00604294">
        <w:rPr>
          <w:u w:val="none"/>
        </w:rPr>
        <w:t>. W</w:t>
      </w:r>
      <w:r w:rsidR="00604294">
        <w:rPr>
          <w:u w:val="none"/>
        </w:rPr>
        <w:t> </w:t>
      </w:r>
      <w:r w:rsidR="00604294" w:rsidRPr="00604294">
        <w:rPr>
          <w:u w:val="none"/>
        </w:rPr>
        <w:t>prz</w:t>
      </w:r>
      <w:r w:rsidRPr="00604294">
        <w:rPr>
          <w:u w:val="none"/>
        </w:rPr>
        <w:t>ypadku gdy</w:t>
      </w:r>
      <w:r w:rsidR="00604294" w:rsidRPr="00604294">
        <w:rPr>
          <w:u w:val="none"/>
        </w:rPr>
        <w:t xml:space="preserve"> w</w:t>
      </w:r>
      <w:r w:rsidR="00604294">
        <w:rPr>
          <w:u w:val="none"/>
        </w:rPr>
        <w:t> </w:t>
      </w:r>
      <w:r w:rsidR="00604294" w:rsidRPr="00604294">
        <w:rPr>
          <w:u w:val="none"/>
        </w:rPr>
        <w:t>wyn</w:t>
      </w:r>
      <w:r w:rsidRPr="00604294">
        <w:rPr>
          <w:u w:val="none"/>
        </w:rPr>
        <w:t>iku prolongowania termin zapadalności finansowania uległ zmianie, kwotę „prolongowaną” zgłasza się</w:t>
      </w:r>
      <w:r w:rsidR="00604294" w:rsidRPr="00604294">
        <w:rPr>
          <w:u w:val="none"/>
        </w:rPr>
        <w:t xml:space="preserve"> w</w:t>
      </w:r>
      <w:r w:rsidR="00604294">
        <w:rPr>
          <w:u w:val="none"/>
        </w:rPr>
        <w:t> </w:t>
      </w:r>
      <w:r w:rsidR="00604294" w:rsidRPr="00604294">
        <w:rPr>
          <w:u w:val="none"/>
        </w:rPr>
        <w:t>prz</w:t>
      </w:r>
      <w:r w:rsidRPr="00604294">
        <w:rPr>
          <w:u w:val="none"/>
        </w:rPr>
        <w:t>edziale czasowym zgodnie</w:t>
      </w:r>
      <w:r w:rsidR="00604294" w:rsidRPr="00604294">
        <w:rPr>
          <w:u w:val="none"/>
        </w:rPr>
        <w:t xml:space="preserve"> z</w:t>
      </w:r>
      <w:r w:rsidR="00604294">
        <w:rPr>
          <w:u w:val="none"/>
        </w:rPr>
        <w:t> </w:t>
      </w:r>
      <w:r w:rsidR="00604294" w:rsidRPr="00604294">
        <w:rPr>
          <w:u w:val="none"/>
        </w:rPr>
        <w:t>now</w:t>
      </w:r>
      <w:r w:rsidRPr="00604294">
        <w:rPr>
          <w:u w:val="none"/>
        </w:rPr>
        <w:t>ym terminem zapadalności.</w:t>
      </w:r>
    </w:p>
    <w:p w14:paraId="68CA5A97" w14:textId="067011B7" w:rsidR="00A7751A" w:rsidRPr="00604294" w:rsidRDefault="00A7751A" w:rsidP="00927DCB">
      <w:pPr>
        <w:pStyle w:val="InstructionsText2"/>
        <w:numPr>
          <w:ilvl w:val="0"/>
          <w:numId w:val="8"/>
        </w:numPr>
        <w:rPr>
          <w:u w:val="none"/>
        </w:rPr>
      </w:pPr>
      <w:r w:rsidRPr="00604294">
        <w:rPr>
          <w:u w:val="none"/>
        </w:rPr>
        <w:t>Kwota</w:t>
      </w:r>
      <w:r w:rsidR="00604294" w:rsidRPr="00604294">
        <w:rPr>
          <w:u w:val="none"/>
        </w:rPr>
        <w:t xml:space="preserve"> w</w:t>
      </w:r>
      <w:r w:rsidR="00604294">
        <w:rPr>
          <w:u w:val="none"/>
        </w:rPr>
        <w:t> </w:t>
      </w:r>
      <w:r w:rsidR="00604294" w:rsidRPr="00604294">
        <w:rPr>
          <w:u w:val="none"/>
        </w:rPr>
        <w:t>kol</w:t>
      </w:r>
      <w:r w:rsidRPr="00604294">
        <w:rPr>
          <w:u w:val="none"/>
        </w:rPr>
        <w:t>umnie „Nowe środki” obejmuje faktyczne wpływy finansowania</w:t>
      </w:r>
      <w:r w:rsidR="00604294" w:rsidRPr="00604294">
        <w:rPr>
          <w:u w:val="none"/>
        </w:rPr>
        <w:t xml:space="preserve"> w</w:t>
      </w:r>
      <w:r w:rsidR="00604294">
        <w:rPr>
          <w:u w:val="none"/>
        </w:rPr>
        <w:t> </w:t>
      </w:r>
      <w:r w:rsidR="00604294" w:rsidRPr="00604294">
        <w:rPr>
          <w:u w:val="none"/>
        </w:rPr>
        <w:t>dan</w:t>
      </w:r>
      <w:r w:rsidRPr="00604294">
        <w:rPr>
          <w:u w:val="none"/>
        </w:rPr>
        <w:t>ym dniu</w:t>
      </w:r>
      <w:r w:rsidR="00604294" w:rsidRPr="00604294">
        <w:rPr>
          <w:u w:val="none"/>
        </w:rPr>
        <w:t xml:space="preserve"> w</w:t>
      </w:r>
      <w:r w:rsidR="00604294">
        <w:rPr>
          <w:u w:val="none"/>
        </w:rPr>
        <w:t> </w:t>
      </w:r>
      <w:r w:rsidR="00604294" w:rsidRPr="00604294">
        <w:rPr>
          <w:u w:val="none"/>
        </w:rPr>
        <w:t>okr</w:t>
      </w:r>
      <w:r w:rsidRPr="00604294">
        <w:rPr>
          <w:u w:val="none"/>
        </w:rPr>
        <w:t>esie sprawozdawczym. Zgłasza się ją zawsze ze znakiem dodatnim.</w:t>
      </w:r>
    </w:p>
    <w:p w14:paraId="36023996" w14:textId="2728AFD3" w:rsidR="00A7751A" w:rsidRPr="00604294" w:rsidRDefault="00A7751A" w:rsidP="00927DCB">
      <w:pPr>
        <w:pStyle w:val="InstructionsText2"/>
        <w:numPr>
          <w:ilvl w:val="0"/>
          <w:numId w:val="8"/>
        </w:numPr>
        <w:rPr>
          <w:u w:val="none"/>
        </w:rPr>
      </w:pPr>
      <w:r w:rsidRPr="00604294">
        <w:rPr>
          <w:u w:val="none"/>
        </w:rPr>
        <w:t>Kwotę</w:t>
      </w:r>
      <w:r w:rsidR="00604294" w:rsidRPr="00604294">
        <w:rPr>
          <w:u w:val="none"/>
        </w:rPr>
        <w:t xml:space="preserve"> w</w:t>
      </w:r>
      <w:r w:rsidR="00604294">
        <w:rPr>
          <w:u w:val="none"/>
        </w:rPr>
        <w:t> </w:t>
      </w:r>
      <w:r w:rsidR="00604294" w:rsidRPr="00604294">
        <w:rPr>
          <w:u w:val="none"/>
        </w:rPr>
        <w:t>kol</w:t>
      </w:r>
      <w:r w:rsidRPr="00604294">
        <w:rPr>
          <w:u w:val="none"/>
        </w:rPr>
        <w:t>umnie „Netto” uznaje się za zmianę finansowania</w:t>
      </w:r>
      <w:r w:rsidR="00604294" w:rsidRPr="00604294">
        <w:rPr>
          <w:u w:val="none"/>
        </w:rPr>
        <w:t xml:space="preserve"> w</w:t>
      </w:r>
      <w:r w:rsidR="00604294">
        <w:rPr>
          <w:u w:val="none"/>
        </w:rPr>
        <w:t> </w:t>
      </w:r>
      <w:r w:rsidR="00604294" w:rsidRPr="00604294">
        <w:rPr>
          <w:u w:val="none"/>
        </w:rPr>
        <w:t>obr</w:t>
      </w:r>
      <w:r w:rsidRPr="00604294">
        <w:rPr>
          <w:u w:val="none"/>
        </w:rPr>
        <w:t>ębie określonego przedziału czasowego pierwotnego terminu zapadalności</w:t>
      </w:r>
      <w:r w:rsidR="00604294" w:rsidRPr="00604294">
        <w:rPr>
          <w:u w:val="none"/>
        </w:rPr>
        <w:t xml:space="preserve"> w</w:t>
      </w:r>
      <w:r w:rsidR="00604294">
        <w:rPr>
          <w:u w:val="none"/>
        </w:rPr>
        <w:t> </w:t>
      </w:r>
      <w:r w:rsidR="00604294" w:rsidRPr="00604294">
        <w:rPr>
          <w:u w:val="none"/>
        </w:rPr>
        <w:t>odp</w:t>
      </w:r>
      <w:r w:rsidRPr="00604294">
        <w:rPr>
          <w:u w:val="none"/>
        </w:rPr>
        <w:t>owiednim dniu okresu sprawozdawczego; oblicza się ją przez zsumowanie nowych środków</w:t>
      </w:r>
      <w:r w:rsidR="00604294" w:rsidRPr="00604294">
        <w:rPr>
          <w:u w:val="none"/>
        </w:rPr>
        <w:t xml:space="preserve"> i</w:t>
      </w:r>
      <w:r w:rsidR="00604294">
        <w:rPr>
          <w:u w:val="none"/>
        </w:rPr>
        <w:t> </w:t>
      </w:r>
      <w:r w:rsidR="00604294" w:rsidRPr="00604294">
        <w:rPr>
          <w:u w:val="none"/>
        </w:rPr>
        <w:t>śro</w:t>
      </w:r>
      <w:r w:rsidRPr="00604294">
        <w:rPr>
          <w:u w:val="none"/>
        </w:rPr>
        <w:t>dków prolongowanych</w:t>
      </w:r>
      <w:r w:rsidR="00604294" w:rsidRPr="00604294">
        <w:rPr>
          <w:u w:val="none"/>
        </w:rPr>
        <w:t xml:space="preserve"> i</w:t>
      </w:r>
      <w:r w:rsidR="00604294">
        <w:rPr>
          <w:u w:val="none"/>
        </w:rPr>
        <w:t> </w:t>
      </w:r>
      <w:r w:rsidR="00604294" w:rsidRPr="00604294">
        <w:rPr>
          <w:u w:val="none"/>
        </w:rPr>
        <w:t>odj</w:t>
      </w:r>
      <w:r w:rsidRPr="00604294">
        <w:rPr>
          <w:u w:val="none"/>
        </w:rPr>
        <w:t xml:space="preserve">ęcie od tej sumy środków zapadających. </w:t>
      </w:r>
    </w:p>
    <w:bookmarkEnd w:id="2"/>
    <w:bookmarkEnd w:id="3"/>
    <w:p w14:paraId="0E67F27B" w14:textId="64F4C758" w:rsidR="00ED41A4" w:rsidRPr="00604294" w:rsidRDefault="00ED41A4" w:rsidP="00CC3091">
      <w:pPr>
        <w:pStyle w:val="InstructionsText2"/>
        <w:numPr>
          <w:ilvl w:val="0"/>
          <w:numId w:val="8"/>
        </w:numPr>
        <w:rPr>
          <w:u w:val="none"/>
        </w:rPr>
      </w:pPr>
      <w:r w:rsidRPr="00604294">
        <w:rPr>
          <w:u w:val="none"/>
        </w:rPr>
        <w:t>Instrukcje dotyczące poszczególnych kolumn: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6"/>
        <w:gridCol w:w="6980"/>
      </w:tblGrid>
      <w:tr w:rsidR="00ED41A4" w:rsidRPr="00604294" w14:paraId="24A3446B" w14:textId="77777777" w:rsidTr="005F4FE0">
        <w:trPr>
          <w:trHeight w:val="548"/>
        </w:trPr>
        <w:tc>
          <w:tcPr>
            <w:tcW w:w="729" w:type="pct"/>
            <w:shd w:val="clear" w:color="auto" w:fill="D9D9D9"/>
            <w:noWrap/>
            <w:vAlign w:val="center"/>
          </w:tcPr>
          <w:p w14:paraId="44CE1AFF" w14:textId="77777777" w:rsidR="00ED41A4" w:rsidRPr="00604294" w:rsidRDefault="00ED41A4" w:rsidP="005F4FE0">
            <w:pPr>
              <w:spacing w:before="0" w:after="0"/>
              <w:jc w:val="left"/>
              <w:rPr>
                <w:rFonts w:ascii="Times New Roman" w:hAnsi="Times New Roman"/>
                <w:color w:val="000000"/>
                <w:szCs w:val="20"/>
              </w:rPr>
            </w:pPr>
            <w:r w:rsidRPr="00604294">
              <w:rPr>
                <w:rStyle w:val="InstructionsTabelleText"/>
                <w:rFonts w:ascii="Times New Roman" w:hAnsi="Times New Roman"/>
                <w:color w:val="000000"/>
              </w:rPr>
              <w:t>Kolumna</w:t>
            </w:r>
          </w:p>
        </w:tc>
        <w:tc>
          <w:tcPr>
            <w:tcW w:w="4271" w:type="pct"/>
            <w:shd w:val="clear" w:color="auto" w:fill="D9D9D9"/>
            <w:vAlign w:val="center"/>
          </w:tcPr>
          <w:p w14:paraId="31EE78F6" w14:textId="3F3458B3" w:rsidR="00ED41A4" w:rsidRPr="00604294" w:rsidRDefault="00ED41A4" w:rsidP="005F4FE0">
            <w:pPr>
              <w:spacing w:before="0" w:after="0"/>
              <w:jc w:val="left"/>
              <w:rPr>
                <w:rFonts w:ascii="Times New Roman" w:hAnsi="Times New Roman"/>
                <w:szCs w:val="20"/>
              </w:rPr>
            </w:pPr>
            <w:r w:rsidRPr="00604294">
              <w:rPr>
                <w:rStyle w:val="InstructionsTabelleText"/>
                <w:rFonts w:ascii="Times New Roman" w:hAnsi="Times New Roman"/>
              </w:rPr>
              <w:t>Odniesienia prawne</w:t>
            </w:r>
            <w:r w:rsidR="00604294" w:rsidRPr="00604294">
              <w:rPr>
                <w:rStyle w:val="InstructionsTabelleText"/>
                <w:rFonts w:ascii="Times New Roman" w:hAnsi="Times New Roman"/>
              </w:rPr>
              <w:t xml:space="preserve"> i</w:t>
            </w:r>
            <w:r w:rsidR="00604294">
              <w:rPr>
                <w:rStyle w:val="InstructionsTabelleText"/>
                <w:rFonts w:ascii="Times New Roman" w:hAnsi="Times New Roman"/>
              </w:rPr>
              <w:t> </w:t>
            </w:r>
            <w:r w:rsidR="00604294" w:rsidRPr="00604294">
              <w:rPr>
                <w:rStyle w:val="InstructionsTabelleText"/>
                <w:rFonts w:ascii="Times New Roman" w:hAnsi="Times New Roman"/>
              </w:rPr>
              <w:t>ins</w:t>
            </w:r>
            <w:r w:rsidRPr="00604294">
              <w:rPr>
                <w:rStyle w:val="InstructionsTabelleText"/>
                <w:rFonts w:ascii="Times New Roman" w:hAnsi="Times New Roman"/>
              </w:rPr>
              <w:t>trukcje</w:t>
            </w:r>
          </w:p>
        </w:tc>
      </w:tr>
      <w:tr w:rsidR="00ED41A4" w:rsidRPr="00604294" w14:paraId="1F75C2D4" w14:textId="77777777" w:rsidTr="00ED41A4">
        <w:trPr>
          <w:trHeight w:val="765"/>
        </w:trPr>
        <w:tc>
          <w:tcPr>
            <w:tcW w:w="729" w:type="pct"/>
            <w:shd w:val="clear" w:color="auto" w:fill="auto"/>
            <w:noWrap/>
          </w:tcPr>
          <w:p w14:paraId="2684888D" w14:textId="5651450A" w:rsidR="00ED41A4" w:rsidRPr="00604294" w:rsidRDefault="00BD24C1" w:rsidP="00BD24C1">
            <w:pPr>
              <w:spacing w:before="0" w:after="0"/>
              <w:jc w:val="left"/>
              <w:rPr>
                <w:rFonts w:ascii="Times New Roman" w:hAnsi="Times New Roman"/>
                <w:color w:val="000000"/>
                <w:szCs w:val="20"/>
              </w:rPr>
            </w:pPr>
            <w:r w:rsidRPr="00604294">
              <w:rPr>
                <w:rFonts w:ascii="Times New Roman" w:hAnsi="Times New Roman"/>
                <w:color w:val="000000"/>
              </w:rPr>
              <w:t>0010 do</w:t>
            </w:r>
            <w:r w:rsidR="00604294" w:rsidRPr="00604294">
              <w:rPr>
                <w:rFonts w:ascii="Times New Roman" w:hAnsi="Times New Roman"/>
                <w:color w:val="000000"/>
              </w:rPr>
              <w:t> </w:t>
            </w:r>
            <w:r w:rsidRPr="00604294">
              <w:rPr>
                <w:rFonts w:ascii="Times New Roman" w:hAnsi="Times New Roman"/>
                <w:color w:val="000000"/>
              </w:rPr>
              <w:t>0040</w:t>
            </w:r>
          </w:p>
        </w:tc>
        <w:tc>
          <w:tcPr>
            <w:tcW w:w="4271" w:type="pct"/>
            <w:shd w:val="clear" w:color="auto" w:fill="auto"/>
          </w:tcPr>
          <w:p w14:paraId="45774E3B" w14:textId="77777777" w:rsidR="00ED41A4" w:rsidRPr="00604294" w:rsidRDefault="00BD24C1" w:rsidP="00193B6D">
            <w:pPr>
              <w:rPr>
                <w:rFonts w:ascii="Times New Roman" w:hAnsi="Times New Roman"/>
                <w:b/>
                <w:szCs w:val="20"/>
                <w:u w:val="single"/>
              </w:rPr>
            </w:pPr>
            <w:r w:rsidRPr="00604294">
              <w:rPr>
                <w:rFonts w:ascii="Times New Roman" w:hAnsi="Times New Roman"/>
                <w:b/>
                <w:u w:val="single"/>
              </w:rPr>
              <w:t>Overnight</w:t>
            </w:r>
          </w:p>
          <w:p w14:paraId="0D011271" w14:textId="790F7361" w:rsidR="00B83BF9" w:rsidRPr="00604294" w:rsidRDefault="00ED41A4" w:rsidP="00193B6D">
            <w:pPr>
              <w:rPr>
                <w:rFonts w:ascii="Times New Roman" w:hAnsi="Times New Roman"/>
                <w:szCs w:val="20"/>
              </w:rPr>
            </w:pPr>
            <w:r w:rsidRPr="00604294">
              <w:rPr>
                <w:rFonts w:ascii="Times New Roman" w:hAnsi="Times New Roman"/>
              </w:rPr>
              <w:t>Całkowita kwota finansowania zapadającego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dan</w:t>
            </w:r>
            <w:r w:rsidRPr="00604294">
              <w:rPr>
                <w:rFonts w:ascii="Times New Roman" w:hAnsi="Times New Roman"/>
              </w:rPr>
              <w:t>ym dniu okresu sprawozdawczego</w:t>
            </w:r>
            <w:r w:rsidR="00604294" w:rsidRPr="00604294">
              <w:rPr>
                <w:rFonts w:ascii="Times New Roman" w:hAnsi="Times New Roman"/>
              </w:rPr>
              <w:t xml:space="preserve"> z</w:t>
            </w:r>
            <w:r w:rsidR="00604294">
              <w:rPr>
                <w:rFonts w:ascii="Times New Roman" w:hAnsi="Times New Roman"/>
              </w:rPr>
              <w:t> </w:t>
            </w:r>
            <w:r w:rsidR="00604294" w:rsidRPr="00604294">
              <w:rPr>
                <w:rFonts w:ascii="Times New Roman" w:hAnsi="Times New Roman"/>
              </w:rPr>
              <w:t>pie</w:t>
            </w:r>
            <w:r w:rsidRPr="00604294">
              <w:rPr>
                <w:rFonts w:ascii="Times New Roman" w:hAnsi="Times New Roman"/>
              </w:rPr>
              <w:t>rwotnym terminem zapadalności overnight jest zgłaszana</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0010 w pozycjach 1.1–1.31</w:t>
            </w:r>
            <w:r w:rsidR="00604294" w:rsidRPr="00604294">
              <w:rPr>
                <w:rFonts w:ascii="Times New Roman" w:hAnsi="Times New Roman"/>
              </w:rPr>
              <w:t>. W</w:t>
            </w:r>
            <w:r w:rsidR="00604294">
              <w:rPr>
                <w:rFonts w:ascii="Times New Roman" w:hAnsi="Times New Roman"/>
              </w:rPr>
              <w:t> </w:t>
            </w:r>
            <w:r w:rsidR="00604294" w:rsidRPr="00604294">
              <w:rPr>
                <w:rFonts w:ascii="Times New Roman" w:hAnsi="Times New Roman"/>
              </w:rPr>
              <w:t>prz</w:t>
            </w:r>
            <w:r w:rsidRPr="00604294">
              <w:rPr>
                <w:rFonts w:ascii="Times New Roman" w:hAnsi="Times New Roman"/>
              </w:rPr>
              <w:t>ypadku miesięcy,</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któ</w:t>
            </w:r>
            <w:r w:rsidRPr="00604294">
              <w:rPr>
                <w:rFonts w:ascii="Times New Roman" w:hAnsi="Times New Roman"/>
              </w:rPr>
              <w:t>rych jest mniej niż 31 dni, oraz</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prz</w:t>
            </w:r>
            <w:r w:rsidRPr="00604294">
              <w:rPr>
                <w:rFonts w:ascii="Times New Roman" w:hAnsi="Times New Roman"/>
              </w:rPr>
              <w:t>ypadku weekendów wiersze niemające zastosowania należy pozostawić puste.</w:t>
            </w:r>
          </w:p>
          <w:p w14:paraId="7D2D26D4" w14:textId="526D39AD" w:rsidR="003E371A" w:rsidRPr="00604294" w:rsidRDefault="003E371A" w:rsidP="00193B6D">
            <w:pPr>
              <w:rPr>
                <w:rFonts w:ascii="Times New Roman" w:hAnsi="Times New Roman"/>
                <w:szCs w:val="20"/>
              </w:rPr>
            </w:pPr>
            <w:r w:rsidRPr="00604294">
              <w:rPr>
                <w:rFonts w:ascii="Times New Roman" w:hAnsi="Times New Roman"/>
              </w:rPr>
              <w:t>Całkowita kwota finansowania prolongowanego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dan</w:t>
            </w:r>
            <w:r w:rsidRPr="00604294">
              <w:rPr>
                <w:rFonts w:ascii="Times New Roman" w:hAnsi="Times New Roman"/>
              </w:rPr>
              <w:t>ym dniu okresu sprawozdawczego</w:t>
            </w:r>
            <w:r w:rsidR="00604294" w:rsidRPr="00604294">
              <w:rPr>
                <w:rFonts w:ascii="Times New Roman" w:hAnsi="Times New Roman"/>
              </w:rPr>
              <w:t xml:space="preserve"> z</w:t>
            </w:r>
            <w:r w:rsidR="00604294">
              <w:rPr>
                <w:rFonts w:ascii="Times New Roman" w:hAnsi="Times New Roman"/>
              </w:rPr>
              <w:t> </w:t>
            </w:r>
            <w:r w:rsidR="00604294" w:rsidRPr="00604294">
              <w:rPr>
                <w:rFonts w:ascii="Times New Roman" w:hAnsi="Times New Roman"/>
              </w:rPr>
              <w:t>pie</w:t>
            </w:r>
            <w:r w:rsidRPr="00604294">
              <w:rPr>
                <w:rFonts w:ascii="Times New Roman" w:hAnsi="Times New Roman"/>
              </w:rPr>
              <w:t>rwotnym terminem zapadalności overnight jest zgłaszana</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0020 w pozycjach 1.1–1.31.</w:t>
            </w:r>
          </w:p>
          <w:p w14:paraId="4837928B" w14:textId="3A2346AB" w:rsidR="00ED41A4" w:rsidRPr="00604294" w:rsidRDefault="00ED41A4" w:rsidP="00193B6D">
            <w:pPr>
              <w:rPr>
                <w:rFonts w:ascii="Times New Roman" w:hAnsi="Times New Roman"/>
                <w:szCs w:val="20"/>
              </w:rPr>
            </w:pPr>
            <w:r w:rsidRPr="00604294">
              <w:rPr>
                <w:rFonts w:ascii="Times New Roman" w:hAnsi="Times New Roman"/>
              </w:rPr>
              <w:t>Całkowita kwota nowego finansowania pozyskanego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dan</w:t>
            </w:r>
            <w:r w:rsidRPr="00604294">
              <w:rPr>
                <w:rFonts w:ascii="Times New Roman" w:hAnsi="Times New Roman"/>
              </w:rPr>
              <w:t>ym dniu okresu sprawozdawczego</w:t>
            </w:r>
            <w:r w:rsidR="00604294" w:rsidRPr="00604294">
              <w:rPr>
                <w:rFonts w:ascii="Times New Roman" w:hAnsi="Times New Roman"/>
              </w:rPr>
              <w:t xml:space="preserve"> z</w:t>
            </w:r>
            <w:r w:rsidR="00604294">
              <w:rPr>
                <w:rFonts w:ascii="Times New Roman" w:hAnsi="Times New Roman"/>
              </w:rPr>
              <w:t> </w:t>
            </w:r>
            <w:r w:rsidR="00604294" w:rsidRPr="00604294">
              <w:rPr>
                <w:rFonts w:ascii="Times New Roman" w:hAnsi="Times New Roman"/>
              </w:rPr>
              <w:t>pie</w:t>
            </w:r>
            <w:r w:rsidRPr="00604294">
              <w:rPr>
                <w:rFonts w:ascii="Times New Roman" w:hAnsi="Times New Roman"/>
              </w:rPr>
              <w:t>rwotnym terminem zapadalności overnight jest zgłaszana</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0030 w pozycjach 1.1–1.31.</w:t>
            </w:r>
          </w:p>
          <w:p w14:paraId="16FDBE2F" w14:textId="3D05E1A3" w:rsidR="00ED41A4" w:rsidRPr="00604294" w:rsidRDefault="00ED41A4" w:rsidP="00193B6D">
            <w:pPr>
              <w:rPr>
                <w:rFonts w:ascii="Times New Roman" w:hAnsi="Times New Roman"/>
                <w:szCs w:val="20"/>
              </w:rPr>
            </w:pPr>
            <w:r w:rsidRPr="00604294">
              <w:rPr>
                <w:rFonts w:ascii="Times New Roman" w:hAnsi="Times New Roman"/>
              </w:rPr>
              <w:t>Różnica netto między zapadającym finansowaniem</w:t>
            </w:r>
            <w:r w:rsidR="00604294" w:rsidRPr="00604294">
              <w:rPr>
                <w:rFonts w:ascii="Times New Roman" w:hAnsi="Times New Roman"/>
              </w:rPr>
              <w:t xml:space="preserve"> z</w:t>
            </w:r>
            <w:r w:rsidR="00604294">
              <w:rPr>
                <w:rFonts w:ascii="Times New Roman" w:hAnsi="Times New Roman"/>
              </w:rPr>
              <w:t> </w:t>
            </w:r>
            <w:r w:rsidR="00604294" w:rsidRPr="00604294">
              <w:rPr>
                <w:rFonts w:ascii="Times New Roman" w:hAnsi="Times New Roman"/>
              </w:rPr>
              <w:t>ter</w:t>
            </w:r>
            <w:r w:rsidRPr="00604294">
              <w:rPr>
                <w:rFonts w:ascii="Times New Roman" w:hAnsi="Times New Roman"/>
              </w:rPr>
              <w:t>minem zapadalności wynoszącym jeden dzień oraz sumą finansowania prolongowanego</w:t>
            </w:r>
            <w:r w:rsidR="00604294" w:rsidRPr="00604294">
              <w:rPr>
                <w:rFonts w:ascii="Times New Roman" w:hAnsi="Times New Roman"/>
              </w:rPr>
              <w:t xml:space="preserve"> i</w:t>
            </w:r>
            <w:r w:rsidR="00604294">
              <w:rPr>
                <w:rFonts w:ascii="Times New Roman" w:hAnsi="Times New Roman"/>
              </w:rPr>
              <w:t> </w:t>
            </w:r>
            <w:r w:rsidR="00604294" w:rsidRPr="00604294">
              <w:rPr>
                <w:rFonts w:ascii="Times New Roman" w:hAnsi="Times New Roman"/>
              </w:rPr>
              <w:t>now</w:t>
            </w:r>
            <w:r w:rsidRPr="00604294">
              <w:rPr>
                <w:rFonts w:ascii="Times New Roman" w:hAnsi="Times New Roman"/>
              </w:rPr>
              <w:t>o pozyskanego finansowania</w:t>
            </w:r>
            <w:r w:rsidR="00604294" w:rsidRPr="00604294">
              <w:rPr>
                <w:rFonts w:ascii="Times New Roman" w:hAnsi="Times New Roman"/>
              </w:rPr>
              <w:t xml:space="preserve"> z</w:t>
            </w:r>
            <w:r w:rsidR="00604294">
              <w:rPr>
                <w:rFonts w:ascii="Times New Roman" w:hAnsi="Times New Roman"/>
              </w:rPr>
              <w:t> </w:t>
            </w:r>
            <w:r w:rsidR="00604294" w:rsidRPr="00604294">
              <w:rPr>
                <w:rFonts w:ascii="Times New Roman" w:hAnsi="Times New Roman"/>
              </w:rPr>
              <w:t>ter</w:t>
            </w:r>
            <w:r w:rsidRPr="00604294">
              <w:rPr>
                <w:rFonts w:ascii="Times New Roman" w:hAnsi="Times New Roman"/>
              </w:rPr>
              <w:t>minem zapadalności wynoszącym jeden dzień jest zgłaszana</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0040 w pozycjach 1.1–1.31.</w:t>
            </w:r>
          </w:p>
        </w:tc>
      </w:tr>
      <w:tr w:rsidR="00ED41A4" w:rsidRPr="00604294" w14:paraId="66A496F1" w14:textId="77777777" w:rsidTr="00ED41A4">
        <w:trPr>
          <w:trHeight w:val="765"/>
        </w:trPr>
        <w:tc>
          <w:tcPr>
            <w:tcW w:w="729" w:type="pct"/>
            <w:shd w:val="clear" w:color="auto" w:fill="auto"/>
            <w:noWrap/>
          </w:tcPr>
          <w:p w14:paraId="03C009DF" w14:textId="5436D401" w:rsidR="00ED41A4" w:rsidRPr="00604294" w:rsidRDefault="00BD24C1" w:rsidP="00BD24C1">
            <w:pPr>
              <w:spacing w:before="0" w:after="0"/>
              <w:jc w:val="left"/>
              <w:rPr>
                <w:rFonts w:ascii="Times New Roman" w:hAnsi="Times New Roman"/>
                <w:color w:val="000000"/>
                <w:szCs w:val="20"/>
              </w:rPr>
            </w:pPr>
            <w:r w:rsidRPr="00604294">
              <w:rPr>
                <w:rFonts w:ascii="Times New Roman" w:hAnsi="Times New Roman"/>
                <w:color w:val="000000"/>
              </w:rPr>
              <w:t>0050 do</w:t>
            </w:r>
            <w:r w:rsidR="00604294" w:rsidRPr="00604294">
              <w:rPr>
                <w:rFonts w:ascii="Times New Roman" w:hAnsi="Times New Roman"/>
                <w:color w:val="000000"/>
              </w:rPr>
              <w:t> </w:t>
            </w:r>
            <w:r w:rsidRPr="00604294">
              <w:rPr>
                <w:rFonts w:ascii="Times New Roman" w:hAnsi="Times New Roman"/>
                <w:color w:val="000000"/>
              </w:rPr>
              <w:t>0080</w:t>
            </w:r>
          </w:p>
        </w:tc>
        <w:tc>
          <w:tcPr>
            <w:tcW w:w="4271" w:type="pct"/>
            <w:shd w:val="clear" w:color="auto" w:fill="auto"/>
          </w:tcPr>
          <w:p w14:paraId="79477518" w14:textId="77777777" w:rsidR="00ED41A4" w:rsidRPr="00604294" w:rsidRDefault="00ED41A4" w:rsidP="00193B6D">
            <w:pPr>
              <w:rPr>
                <w:rFonts w:ascii="Times New Roman" w:hAnsi="Times New Roman"/>
                <w:b/>
                <w:szCs w:val="20"/>
                <w:u w:val="single"/>
              </w:rPr>
            </w:pPr>
            <w:r w:rsidRPr="00604294">
              <w:rPr>
                <w:rFonts w:ascii="Times New Roman" w:hAnsi="Times New Roman"/>
                <w:b/>
                <w:u w:val="single"/>
              </w:rPr>
              <w:t>&gt; 1 dni ≤ 7 dni</w:t>
            </w:r>
          </w:p>
          <w:p w14:paraId="456405B1" w14:textId="1BA738BC" w:rsidR="00ED41A4" w:rsidRPr="00604294" w:rsidRDefault="00ED41A4" w:rsidP="00193B6D">
            <w:pPr>
              <w:rPr>
                <w:rFonts w:ascii="Times New Roman" w:hAnsi="Times New Roman"/>
                <w:szCs w:val="20"/>
              </w:rPr>
            </w:pPr>
            <w:r w:rsidRPr="00604294">
              <w:rPr>
                <w:rFonts w:ascii="Times New Roman" w:hAnsi="Times New Roman"/>
              </w:rPr>
              <w:t>Całkowita kwota finansowania zapadającego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dan</w:t>
            </w:r>
            <w:r w:rsidRPr="00604294">
              <w:rPr>
                <w:rFonts w:ascii="Times New Roman" w:hAnsi="Times New Roman"/>
              </w:rPr>
              <w:t>ym dniu okresu sprawozdawczego</w:t>
            </w:r>
            <w:r w:rsidR="00604294" w:rsidRPr="00604294">
              <w:rPr>
                <w:rFonts w:ascii="Times New Roman" w:hAnsi="Times New Roman"/>
              </w:rPr>
              <w:t xml:space="preserve"> z</w:t>
            </w:r>
            <w:r w:rsidR="00604294">
              <w:rPr>
                <w:rFonts w:ascii="Times New Roman" w:hAnsi="Times New Roman"/>
              </w:rPr>
              <w:t> </w:t>
            </w:r>
            <w:r w:rsidR="00604294" w:rsidRPr="00604294">
              <w:rPr>
                <w:rFonts w:ascii="Times New Roman" w:hAnsi="Times New Roman"/>
              </w:rPr>
              <w:t>pie</w:t>
            </w:r>
            <w:r w:rsidRPr="00604294">
              <w:rPr>
                <w:rFonts w:ascii="Times New Roman" w:hAnsi="Times New Roman"/>
              </w:rPr>
              <w:t>rwotnym terminem zapadalności wynoszącym więcej niż jeden dzień</w:t>
            </w:r>
            <w:r w:rsidR="00604294" w:rsidRPr="00604294">
              <w:rPr>
                <w:rFonts w:ascii="Times New Roman" w:hAnsi="Times New Roman"/>
              </w:rPr>
              <w:t xml:space="preserve"> i</w:t>
            </w:r>
            <w:r w:rsidR="00604294">
              <w:rPr>
                <w:rFonts w:ascii="Times New Roman" w:hAnsi="Times New Roman"/>
              </w:rPr>
              <w:t> </w:t>
            </w:r>
            <w:r w:rsidR="00604294" w:rsidRPr="00604294">
              <w:rPr>
                <w:rFonts w:ascii="Times New Roman" w:hAnsi="Times New Roman"/>
              </w:rPr>
              <w:t>nie</w:t>
            </w:r>
            <w:r w:rsidRPr="00604294">
              <w:rPr>
                <w:rFonts w:ascii="Times New Roman" w:hAnsi="Times New Roman"/>
              </w:rPr>
              <w:t xml:space="preserve"> więcej niż jeden tydzień jest zgłaszana</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0050 w pozycjach 1.1–1.31</w:t>
            </w:r>
            <w:r w:rsidR="00604294" w:rsidRPr="00604294">
              <w:rPr>
                <w:rFonts w:ascii="Times New Roman" w:hAnsi="Times New Roman"/>
              </w:rPr>
              <w:t>. W</w:t>
            </w:r>
            <w:r w:rsidR="00604294">
              <w:rPr>
                <w:rFonts w:ascii="Times New Roman" w:hAnsi="Times New Roman"/>
              </w:rPr>
              <w:t> </w:t>
            </w:r>
            <w:r w:rsidR="00604294" w:rsidRPr="00604294">
              <w:rPr>
                <w:rFonts w:ascii="Times New Roman" w:hAnsi="Times New Roman"/>
              </w:rPr>
              <w:t>prz</w:t>
            </w:r>
            <w:r w:rsidRPr="00604294">
              <w:rPr>
                <w:rFonts w:ascii="Times New Roman" w:hAnsi="Times New Roman"/>
              </w:rPr>
              <w:t>ypadku miesięcy,</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któ</w:t>
            </w:r>
            <w:r w:rsidRPr="00604294">
              <w:rPr>
                <w:rFonts w:ascii="Times New Roman" w:hAnsi="Times New Roman"/>
              </w:rPr>
              <w:t>rych jest mniej niż 31 dni, oraz</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prz</w:t>
            </w:r>
            <w:r w:rsidRPr="00604294">
              <w:rPr>
                <w:rFonts w:ascii="Times New Roman" w:hAnsi="Times New Roman"/>
              </w:rPr>
              <w:t>ypadku weekendów wiersze niemające zastosowania należy pozostawić puste.</w:t>
            </w:r>
          </w:p>
          <w:p w14:paraId="293B2767" w14:textId="64379B04" w:rsidR="003E371A" w:rsidRPr="00604294" w:rsidRDefault="003E371A" w:rsidP="00193B6D">
            <w:pPr>
              <w:rPr>
                <w:rFonts w:ascii="Times New Roman" w:hAnsi="Times New Roman"/>
                <w:szCs w:val="20"/>
              </w:rPr>
            </w:pPr>
            <w:r w:rsidRPr="00604294">
              <w:rPr>
                <w:rFonts w:ascii="Times New Roman" w:hAnsi="Times New Roman"/>
              </w:rPr>
              <w:t>Całkowita kwota finansowania prolongowanego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dan</w:t>
            </w:r>
            <w:r w:rsidRPr="00604294">
              <w:rPr>
                <w:rFonts w:ascii="Times New Roman" w:hAnsi="Times New Roman"/>
              </w:rPr>
              <w:t>ym dniu okresu sprawozdawczego</w:t>
            </w:r>
            <w:r w:rsidR="00604294" w:rsidRPr="00604294">
              <w:rPr>
                <w:rFonts w:ascii="Times New Roman" w:hAnsi="Times New Roman"/>
              </w:rPr>
              <w:t xml:space="preserve"> z</w:t>
            </w:r>
            <w:r w:rsidR="00604294">
              <w:rPr>
                <w:rFonts w:ascii="Times New Roman" w:hAnsi="Times New Roman"/>
              </w:rPr>
              <w:t> </w:t>
            </w:r>
            <w:r w:rsidR="00604294" w:rsidRPr="00604294">
              <w:rPr>
                <w:rFonts w:ascii="Times New Roman" w:hAnsi="Times New Roman"/>
              </w:rPr>
              <w:t>pie</w:t>
            </w:r>
            <w:r w:rsidRPr="00604294">
              <w:rPr>
                <w:rFonts w:ascii="Times New Roman" w:hAnsi="Times New Roman"/>
              </w:rPr>
              <w:t>rwotnym terminem zapadalności wynoszącym więcej niż jeden dzień</w:t>
            </w:r>
            <w:r w:rsidR="00604294" w:rsidRPr="00604294">
              <w:rPr>
                <w:rFonts w:ascii="Times New Roman" w:hAnsi="Times New Roman"/>
              </w:rPr>
              <w:t xml:space="preserve"> i</w:t>
            </w:r>
            <w:r w:rsidR="00604294">
              <w:rPr>
                <w:rFonts w:ascii="Times New Roman" w:hAnsi="Times New Roman"/>
              </w:rPr>
              <w:t> </w:t>
            </w:r>
            <w:r w:rsidR="00604294" w:rsidRPr="00604294">
              <w:rPr>
                <w:rFonts w:ascii="Times New Roman" w:hAnsi="Times New Roman"/>
              </w:rPr>
              <w:t>nie</w:t>
            </w:r>
            <w:r w:rsidRPr="00604294">
              <w:rPr>
                <w:rFonts w:ascii="Times New Roman" w:hAnsi="Times New Roman"/>
              </w:rPr>
              <w:t xml:space="preserve"> więcej niż jeden tydzień jest zgłaszana</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0060 w pozycjach 1.1–1.31.</w:t>
            </w:r>
          </w:p>
          <w:p w14:paraId="5D635490" w14:textId="7BF5E366" w:rsidR="00ED41A4" w:rsidRPr="00604294" w:rsidRDefault="00ED41A4" w:rsidP="00193B6D">
            <w:pPr>
              <w:rPr>
                <w:rFonts w:ascii="Times New Roman" w:hAnsi="Times New Roman"/>
                <w:szCs w:val="20"/>
              </w:rPr>
            </w:pPr>
            <w:r w:rsidRPr="00604294">
              <w:rPr>
                <w:rFonts w:ascii="Times New Roman" w:hAnsi="Times New Roman"/>
              </w:rPr>
              <w:t>Całkowita kwota nowego finansowania pozyskanego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dan</w:t>
            </w:r>
            <w:r w:rsidRPr="00604294">
              <w:rPr>
                <w:rFonts w:ascii="Times New Roman" w:hAnsi="Times New Roman"/>
              </w:rPr>
              <w:t>ym dniu okresu sprawozdawczego</w:t>
            </w:r>
            <w:r w:rsidR="00604294" w:rsidRPr="00604294">
              <w:rPr>
                <w:rFonts w:ascii="Times New Roman" w:hAnsi="Times New Roman"/>
              </w:rPr>
              <w:t xml:space="preserve"> z</w:t>
            </w:r>
            <w:r w:rsidR="00604294">
              <w:rPr>
                <w:rFonts w:ascii="Times New Roman" w:hAnsi="Times New Roman"/>
              </w:rPr>
              <w:t> </w:t>
            </w:r>
            <w:r w:rsidR="00604294" w:rsidRPr="00604294">
              <w:rPr>
                <w:rFonts w:ascii="Times New Roman" w:hAnsi="Times New Roman"/>
              </w:rPr>
              <w:t>pie</w:t>
            </w:r>
            <w:r w:rsidRPr="00604294">
              <w:rPr>
                <w:rFonts w:ascii="Times New Roman" w:hAnsi="Times New Roman"/>
              </w:rPr>
              <w:t>rwotnym terminem zapadalności wynoszącym więcej niż jeden dzień</w:t>
            </w:r>
            <w:r w:rsidR="00604294" w:rsidRPr="00604294">
              <w:rPr>
                <w:rFonts w:ascii="Times New Roman" w:hAnsi="Times New Roman"/>
              </w:rPr>
              <w:t xml:space="preserve"> i</w:t>
            </w:r>
            <w:r w:rsidR="00604294">
              <w:rPr>
                <w:rFonts w:ascii="Times New Roman" w:hAnsi="Times New Roman"/>
              </w:rPr>
              <w:t> </w:t>
            </w:r>
            <w:r w:rsidR="00604294" w:rsidRPr="00604294">
              <w:rPr>
                <w:rFonts w:ascii="Times New Roman" w:hAnsi="Times New Roman"/>
              </w:rPr>
              <w:t>nie</w:t>
            </w:r>
            <w:r w:rsidRPr="00604294">
              <w:rPr>
                <w:rFonts w:ascii="Times New Roman" w:hAnsi="Times New Roman"/>
              </w:rPr>
              <w:t xml:space="preserve"> więcej niż jeden tydzień jest zgłaszana</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0070 w pozycjach 1.1–1.31.</w:t>
            </w:r>
          </w:p>
          <w:p w14:paraId="46AFF05A" w14:textId="779B7110" w:rsidR="00ED41A4" w:rsidRPr="00604294" w:rsidRDefault="00ED41A4" w:rsidP="00193B6D">
            <w:pPr>
              <w:rPr>
                <w:rFonts w:ascii="Times New Roman" w:hAnsi="Times New Roman"/>
                <w:b/>
                <w:szCs w:val="20"/>
                <w:u w:val="single"/>
              </w:rPr>
            </w:pPr>
            <w:r w:rsidRPr="00604294">
              <w:rPr>
                <w:rFonts w:ascii="Times New Roman" w:hAnsi="Times New Roman"/>
              </w:rPr>
              <w:lastRenderedPageBreak/>
              <w:t>Różnica netto między zapadającym finansowaniem oraz sumą finansowania prolongowanego</w:t>
            </w:r>
            <w:r w:rsidR="00604294" w:rsidRPr="00604294">
              <w:rPr>
                <w:rFonts w:ascii="Times New Roman" w:hAnsi="Times New Roman"/>
              </w:rPr>
              <w:t xml:space="preserve"> i</w:t>
            </w:r>
            <w:r w:rsidR="00604294">
              <w:rPr>
                <w:rFonts w:ascii="Times New Roman" w:hAnsi="Times New Roman"/>
              </w:rPr>
              <w:t> </w:t>
            </w:r>
            <w:r w:rsidR="00604294" w:rsidRPr="00604294">
              <w:rPr>
                <w:rFonts w:ascii="Times New Roman" w:hAnsi="Times New Roman"/>
              </w:rPr>
              <w:t>now</w:t>
            </w:r>
            <w:r w:rsidRPr="00604294">
              <w:rPr>
                <w:rFonts w:ascii="Times New Roman" w:hAnsi="Times New Roman"/>
              </w:rPr>
              <w:t>o pozyskanego finansowania jest zgłaszana</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0080 w pozycjach 1.1–1.31.</w:t>
            </w:r>
          </w:p>
        </w:tc>
      </w:tr>
      <w:tr w:rsidR="00ED41A4" w:rsidRPr="00604294" w14:paraId="7A4EE419" w14:textId="77777777" w:rsidTr="00ED41A4">
        <w:trPr>
          <w:trHeight w:val="765"/>
        </w:trPr>
        <w:tc>
          <w:tcPr>
            <w:tcW w:w="729" w:type="pct"/>
            <w:shd w:val="clear" w:color="auto" w:fill="auto"/>
            <w:noWrap/>
          </w:tcPr>
          <w:p w14:paraId="533F8B1E" w14:textId="22B44CAF" w:rsidR="00ED41A4" w:rsidRPr="00604294" w:rsidRDefault="00C90DF5" w:rsidP="00BD24C1">
            <w:pPr>
              <w:spacing w:before="0" w:after="0"/>
              <w:jc w:val="left"/>
              <w:rPr>
                <w:rFonts w:ascii="Times New Roman" w:hAnsi="Times New Roman"/>
                <w:color w:val="000000"/>
                <w:szCs w:val="20"/>
              </w:rPr>
            </w:pPr>
            <w:r w:rsidRPr="00604294">
              <w:rPr>
                <w:rFonts w:ascii="Times New Roman" w:hAnsi="Times New Roman"/>
                <w:color w:val="000000"/>
              </w:rPr>
              <w:lastRenderedPageBreak/>
              <w:t>0090 do</w:t>
            </w:r>
            <w:r w:rsidR="00604294" w:rsidRPr="00604294">
              <w:rPr>
                <w:rFonts w:ascii="Times New Roman" w:hAnsi="Times New Roman"/>
                <w:color w:val="000000"/>
              </w:rPr>
              <w:t> </w:t>
            </w:r>
            <w:r w:rsidRPr="00604294">
              <w:rPr>
                <w:rFonts w:ascii="Times New Roman" w:hAnsi="Times New Roman"/>
                <w:color w:val="000000"/>
              </w:rPr>
              <w:t>0120</w:t>
            </w:r>
          </w:p>
        </w:tc>
        <w:tc>
          <w:tcPr>
            <w:tcW w:w="4271" w:type="pct"/>
            <w:shd w:val="clear" w:color="auto" w:fill="auto"/>
          </w:tcPr>
          <w:p w14:paraId="47C8E97F" w14:textId="77777777" w:rsidR="00ED41A4" w:rsidRPr="00604294" w:rsidRDefault="00ED41A4" w:rsidP="00193B6D">
            <w:pPr>
              <w:rPr>
                <w:rFonts w:ascii="Times New Roman" w:hAnsi="Times New Roman"/>
                <w:b/>
                <w:szCs w:val="20"/>
                <w:u w:val="single"/>
              </w:rPr>
            </w:pPr>
            <w:r w:rsidRPr="00604294">
              <w:rPr>
                <w:rFonts w:ascii="Times New Roman" w:hAnsi="Times New Roman"/>
                <w:b/>
                <w:u w:val="single"/>
              </w:rPr>
              <w:t>&gt; 7 dni ≤ 14 dni</w:t>
            </w:r>
          </w:p>
          <w:p w14:paraId="01B280B0" w14:textId="572C47DC" w:rsidR="007C6B89" w:rsidRPr="00604294" w:rsidRDefault="007C6B89" w:rsidP="00193B6D">
            <w:pPr>
              <w:rPr>
                <w:rFonts w:ascii="Times New Roman" w:hAnsi="Times New Roman"/>
                <w:szCs w:val="20"/>
              </w:rPr>
            </w:pPr>
            <w:r w:rsidRPr="00604294">
              <w:rPr>
                <w:rFonts w:ascii="Times New Roman" w:hAnsi="Times New Roman"/>
              </w:rPr>
              <w:t>Całkowita kwota finansowania zapadającego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dan</w:t>
            </w:r>
            <w:r w:rsidRPr="00604294">
              <w:rPr>
                <w:rFonts w:ascii="Times New Roman" w:hAnsi="Times New Roman"/>
              </w:rPr>
              <w:t>ym dniu okresu sprawozdawczego</w:t>
            </w:r>
            <w:r w:rsidR="00604294" w:rsidRPr="00604294">
              <w:rPr>
                <w:rFonts w:ascii="Times New Roman" w:hAnsi="Times New Roman"/>
              </w:rPr>
              <w:t xml:space="preserve"> z</w:t>
            </w:r>
            <w:r w:rsidR="00604294">
              <w:rPr>
                <w:rFonts w:ascii="Times New Roman" w:hAnsi="Times New Roman"/>
              </w:rPr>
              <w:t> </w:t>
            </w:r>
            <w:r w:rsidR="00604294" w:rsidRPr="00604294">
              <w:rPr>
                <w:rFonts w:ascii="Times New Roman" w:hAnsi="Times New Roman"/>
              </w:rPr>
              <w:t>pie</w:t>
            </w:r>
            <w:r w:rsidRPr="00604294">
              <w:rPr>
                <w:rFonts w:ascii="Times New Roman" w:hAnsi="Times New Roman"/>
              </w:rPr>
              <w:t>rwotnym terminem zapadalności wynoszącym więcej niż jeden tydzień</w:t>
            </w:r>
            <w:r w:rsidR="00604294" w:rsidRPr="00604294">
              <w:rPr>
                <w:rFonts w:ascii="Times New Roman" w:hAnsi="Times New Roman"/>
              </w:rPr>
              <w:t xml:space="preserve"> i</w:t>
            </w:r>
            <w:r w:rsidR="00604294">
              <w:rPr>
                <w:rFonts w:ascii="Times New Roman" w:hAnsi="Times New Roman"/>
              </w:rPr>
              <w:t> </w:t>
            </w:r>
            <w:r w:rsidR="00604294" w:rsidRPr="00604294">
              <w:rPr>
                <w:rFonts w:ascii="Times New Roman" w:hAnsi="Times New Roman"/>
              </w:rPr>
              <w:t>nie</w:t>
            </w:r>
            <w:r w:rsidRPr="00604294">
              <w:rPr>
                <w:rFonts w:ascii="Times New Roman" w:hAnsi="Times New Roman"/>
              </w:rPr>
              <w:t xml:space="preserve"> więcej niż dwa tygodnie jest zgłaszana</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0090 w pozycjach 1.1–1.31</w:t>
            </w:r>
            <w:r w:rsidR="00604294" w:rsidRPr="00604294">
              <w:rPr>
                <w:rFonts w:ascii="Times New Roman" w:hAnsi="Times New Roman"/>
              </w:rPr>
              <w:t>. W</w:t>
            </w:r>
            <w:r w:rsidR="00604294">
              <w:rPr>
                <w:rFonts w:ascii="Times New Roman" w:hAnsi="Times New Roman"/>
              </w:rPr>
              <w:t> </w:t>
            </w:r>
            <w:r w:rsidR="00604294" w:rsidRPr="00604294">
              <w:rPr>
                <w:rFonts w:ascii="Times New Roman" w:hAnsi="Times New Roman"/>
              </w:rPr>
              <w:t>prz</w:t>
            </w:r>
            <w:r w:rsidRPr="00604294">
              <w:rPr>
                <w:rFonts w:ascii="Times New Roman" w:hAnsi="Times New Roman"/>
              </w:rPr>
              <w:t>ypadku miesięcy,</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któ</w:t>
            </w:r>
            <w:r w:rsidRPr="00604294">
              <w:rPr>
                <w:rFonts w:ascii="Times New Roman" w:hAnsi="Times New Roman"/>
              </w:rPr>
              <w:t>rych jest mniej niż 31 dni, oraz</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prz</w:t>
            </w:r>
            <w:r w:rsidRPr="00604294">
              <w:rPr>
                <w:rFonts w:ascii="Times New Roman" w:hAnsi="Times New Roman"/>
              </w:rPr>
              <w:t>ypadku weekendów wiersze niemające zastosowania należy pozostawić puste.</w:t>
            </w:r>
          </w:p>
          <w:p w14:paraId="37FF815B" w14:textId="16C78DD4" w:rsidR="003E371A" w:rsidRPr="00604294" w:rsidRDefault="003E371A" w:rsidP="00193B6D">
            <w:pPr>
              <w:rPr>
                <w:rFonts w:ascii="Times New Roman" w:hAnsi="Times New Roman"/>
                <w:szCs w:val="20"/>
              </w:rPr>
            </w:pPr>
            <w:r w:rsidRPr="00604294">
              <w:rPr>
                <w:rFonts w:ascii="Times New Roman" w:hAnsi="Times New Roman"/>
              </w:rPr>
              <w:t>Całkowita kwota finansowania prolongowanego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dan</w:t>
            </w:r>
            <w:r w:rsidRPr="00604294">
              <w:rPr>
                <w:rFonts w:ascii="Times New Roman" w:hAnsi="Times New Roman"/>
              </w:rPr>
              <w:t>ym dniu okresu sprawozdawczego</w:t>
            </w:r>
            <w:r w:rsidR="00604294" w:rsidRPr="00604294">
              <w:rPr>
                <w:rFonts w:ascii="Times New Roman" w:hAnsi="Times New Roman"/>
              </w:rPr>
              <w:t xml:space="preserve"> z</w:t>
            </w:r>
            <w:r w:rsidR="00604294">
              <w:rPr>
                <w:rFonts w:ascii="Times New Roman" w:hAnsi="Times New Roman"/>
              </w:rPr>
              <w:t> </w:t>
            </w:r>
            <w:r w:rsidR="00604294" w:rsidRPr="00604294">
              <w:rPr>
                <w:rFonts w:ascii="Times New Roman" w:hAnsi="Times New Roman"/>
              </w:rPr>
              <w:t>pie</w:t>
            </w:r>
            <w:r w:rsidRPr="00604294">
              <w:rPr>
                <w:rFonts w:ascii="Times New Roman" w:hAnsi="Times New Roman"/>
              </w:rPr>
              <w:t>rwotnym terminem zapadalności wynoszącym więcej niż jeden tydzień</w:t>
            </w:r>
            <w:r w:rsidR="00604294" w:rsidRPr="00604294">
              <w:rPr>
                <w:rFonts w:ascii="Times New Roman" w:hAnsi="Times New Roman"/>
              </w:rPr>
              <w:t xml:space="preserve"> i</w:t>
            </w:r>
            <w:r w:rsidR="00604294">
              <w:rPr>
                <w:rFonts w:ascii="Times New Roman" w:hAnsi="Times New Roman"/>
              </w:rPr>
              <w:t> </w:t>
            </w:r>
            <w:r w:rsidR="00604294" w:rsidRPr="00604294">
              <w:rPr>
                <w:rFonts w:ascii="Times New Roman" w:hAnsi="Times New Roman"/>
              </w:rPr>
              <w:t>nie</w:t>
            </w:r>
            <w:r w:rsidRPr="00604294">
              <w:rPr>
                <w:rFonts w:ascii="Times New Roman" w:hAnsi="Times New Roman"/>
              </w:rPr>
              <w:t xml:space="preserve"> więcej niż dwa tygodnie jest zgłaszana</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0100 w pozycjach 1.1–1.31.</w:t>
            </w:r>
          </w:p>
          <w:p w14:paraId="60125A59" w14:textId="59B3C21C" w:rsidR="007C6B89" w:rsidRPr="00604294" w:rsidRDefault="007C6B89" w:rsidP="00193B6D">
            <w:pPr>
              <w:rPr>
                <w:rFonts w:ascii="Times New Roman" w:hAnsi="Times New Roman"/>
                <w:szCs w:val="20"/>
              </w:rPr>
            </w:pPr>
            <w:r w:rsidRPr="00604294">
              <w:rPr>
                <w:rFonts w:ascii="Times New Roman" w:hAnsi="Times New Roman"/>
              </w:rPr>
              <w:t>Całkowita kwota nowego finansowania pozyskanego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dan</w:t>
            </w:r>
            <w:r w:rsidRPr="00604294">
              <w:rPr>
                <w:rFonts w:ascii="Times New Roman" w:hAnsi="Times New Roman"/>
              </w:rPr>
              <w:t>ym dniu okresu sprawozdawczego</w:t>
            </w:r>
            <w:r w:rsidR="00604294" w:rsidRPr="00604294">
              <w:rPr>
                <w:rFonts w:ascii="Times New Roman" w:hAnsi="Times New Roman"/>
              </w:rPr>
              <w:t xml:space="preserve"> z</w:t>
            </w:r>
            <w:r w:rsidR="00604294">
              <w:rPr>
                <w:rFonts w:ascii="Times New Roman" w:hAnsi="Times New Roman"/>
              </w:rPr>
              <w:t> </w:t>
            </w:r>
            <w:r w:rsidR="00604294" w:rsidRPr="00604294">
              <w:rPr>
                <w:rFonts w:ascii="Times New Roman" w:hAnsi="Times New Roman"/>
              </w:rPr>
              <w:t>pie</w:t>
            </w:r>
            <w:r w:rsidRPr="00604294">
              <w:rPr>
                <w:rFonts w:ascii="Times New Roman" w:hAnsi="Times New Roman"/>
              </w:rPr>
              <w:t>rwotnym terminem zapadalności wynoszącym więcej niż jeden tydzień</w:t>
            </w:r>
            <w:r w:rsidR="00604294" w:rsidRPr="00604294">
              <w:rPr>
                <w:rFonts w:ascii="Times New Roman" w:hAnsi="Times New Roman"/>
              </w:rPr>
              <w:t xml:space="preserve"> i</w:t>
            </w:r>
            <w:r w:rsidR="00604294">
              <w:rPr>
                <w:rFonts w:ascii="Times New Roman" w:hAnsi="Times New Roman"/>
              </w:rPr>
              <w:t> </w:t>
            </w:r>
            <w:r w:rsidR="00604294" w:rsidRPr="00604294">
              <w:rPr>
                <w:rFonts w:ascii="Times New Roman" w:hAnsi="Times New Roman"/>
              </w:rPr>
              <w:t>nie</w:t>
            </w:r>
            <w:r w:rsidRPr="00604294">
              <w:rPr>
                <w:rFonts w:ascii="Times New Roman" w:hAnsi="Times New Roman"/>
              </w:rPr>
              <w:t xml:space="preserve"> więcej niż dwa tygodnie jest zgłaszana</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0110 w pozycjach 1.1–1.31.</w:t>
            </w:r>
          </w:p>
          <w:p w14:paraId="3B20F474" w14:textId="36A8D7CE" w:rsidR="00ED41A4" w:rsidRPr="00604294" w:rsidRDefault="007C6B89" w:rsidP="00193B6D">
            <w:pPr>
              <w:rPr>
                <w:rFonts w:ascii="Times New Roman" w:hAnsi="Times New Roman"/>
                <w:b/>
                <w:szCs w:val="20"/>
                <w:u w:val="single"/>
              </w:rPr>
            </w:pPr>
            <w:r w:rsidRPr="00604294">
              <w:rPr>
                <w:rFonts w:ascii="Times New Roman" w:hAnsi="Times New Roman"/>
              </w:rPr>
              <w:t>Różnica netto między zapadającym finansowaniem oraz sumą finansowania prolongowanego</w:t>
            </w:r>
            <w:r w:rsidR="00604294" w:rsidRPr="00604294">
              <w:rPr>
                <w:rFonts w:ascii="Times New Roman" w:hAnsi="Times New Roman"/>
              </w:rPr>
              <w:t xml:space="preserve"> i</w:t>
            </w:r>
            <w:r w:rsidR="00604294">
              <w:rPr>
                <w:rFonts w:ascii="Times New Roman" w:hAnsi="Times New Roman"/>
              </w:rPr>
              <w:t> </w:t>
            </w:r>
            <w:r w:rsidR="00604294" w:rsidRPr="00604294">
              <w:rPr>
                <w:rFonts w:ascii="Times New Roman" w:hAnsi="Times New Roman"/>
              </w:rPr>
              <w:t>now</w:t>
            </w:r>
            <w:r w:rsidRPr="00604294">
              <w:rPr>
                <w:rFonts w:ascii="Times New Roman" w:hAnsi="Times New Roman"/>
              </w:rPr>
              <w:t>o pozyskanego finansowania jest zgłaszana</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0120 w pozycjach 1.1–1.31.</w:t>
            </w:r>
          </w:p>
        </w:tc>
      </w:tr>
      <w:tr w:rsidR="00ED41A4" w:rsidRPr="00604294" w14:paraId="4111D590" w14:textId="77777777" w:rsidTr="00ED41A4">
        <w:trPr>
          <w:trHeight w:val="765"/>
        </w:trPr>
        <w:tc>
          <w:tcPr>
            <w:tcW w:w="729" w:type="pct"/>
            <w:shd w:val="clear" w:color="auto" w:fill="auto"/>
            <w:noWrap/>
          </w:tcPr>
          <w:p w14:paraId="3F918ABE" w14:textId="537356B3" w:rsidR="00ED41A4" w:rsidRPr="00604294" w:rsidRDefault="00C90DF5" w:rsidP="00BD24C1">
            <w:pPr>
              <w:spacing w:before="0" w:after="0"/>
              <w:jc w:val="left"/>
              <w:rPr>
                <w:rFonts w:ascii="Times New Roman" w:hAnsi="Times New Roman"/>
                <w:color w:val="000000"/>
                <w:szCs w:val="20"/>
              </w:rPr>
            </w:pPr>
            <w:r w:rsidRPr="00604294">
              <w:rPr>
                <w:rFonts w:ascii="Times New Roman" w:hAnsi="Times New Roman"/>
                <w:color w:val="000000"/>
              </w:rPr>
              <w:t>0130 do</w:t>
            </w:r>
            <w:r w:rsidR="00604294" w:rsidRPr="00604294">
              <w:rPr>
                <w:rFonts w:ascii="Times New Roman" w:hAnsi="Times New Roman"/>
                <w:color w:val="000000"/>
              </w:rPr>
              <w:t> </w:t>
            </w:r>
            <w:r w:rsidRPr="00604294">
              <w:rPr>
                <w:rFonts w:ascii="Times New Roman" w:hAnsi="Times New Roman"/>
                <w:color w:val="000000"/>
              </w:rPr>
              <w:t>0160</w:t>
            </w:r>
          </w:p>
        </w:tc>
        <w:tc>
          <w:tcPr>
            <w:tcW w:w="4271" w:type="pct"/>
            <w:shd w:val="clear" w:color="auto" w:fill="auto"/>
          </w:tcPr>
          <w:p w14:paraId="4D847802" w14:textId="77777777" w:rsidR="00ED41A4" w:rsidRPr="00604294" w:rsidRDefault="00ED41A4" w:rsidP="00193B6D">
            <w:pPr>
              <w:rPr>
                <w:rFonts w:ascii="Times New Roman" w:hAnsi="Times New Roman"/>
                <w:b/>
                <w:szCs w:val="20"/>
                <w:u w:val="single"/>
              </w:rPr>
            </w:pPr>
            <w:r w:rsidRPr="00604294">
              <w:rPr>
                <w:rFonts w:ascii="Times New Roman" w:hAnsi="Times New Roman"/>
                <w:b/>
                <w:u w:val="single"/>
              </w:rPr>
              <w:t>&gt; 14 dni ≤ 1 miesiąc</w:t>
            </w:r>
          </w:p>
          <w:p w14:paraId="6DFCCE86" w14:textId="5004CFA7" w:rsidR="007C6B89" w:rsidRPr="00604294" w:rsidRDefault="007C6B89" w:rsidP="00193B6D">
            <w:pPr>
              <w:rPr>
                <w:rFonts w:ascii="Times New Roman" w:hAnsi="Times New Roman"/>
                <w:szCs w:val="20"/>
              </w:rPr>
            </w:pPr>
            <w:r w:rsidRPr="00604294">
              <w:rPr>
                <w:rFonts w:ascii="Times New Roman" w:hAnsi="Times New Roman"/>
              </w:rPr>
              <w:t>Całkowita kwota finansowania zapadającego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dan</w:t>
            </w:r>
            <w:r w:rsidRPr="00604294">
              <w:rPr>
                <w:rFonts w:ascii="Times New Roman" w:hAnsi="Times New Roman"/>
              </w:rPr>
              <w:t>ym dniu okresu sprawozdawczego</w:t>
            </w:r>
            <w:r w:rsidR="00604294" w:rsidRPr="00604294">
              <w:rPr>
                <w:rFonts w:ascii="Times New Roman" w:hAnsi="Times New Roman"/>
              </w:rPr>
              <w:t xml:space="preserve"> z</w:t>
            </w:r>
            <w:r w:rsidR="00604294">
              <w:rPr>
                <w:rFonts w:ascii="Times New Roman" w:hAnsi="Times New Roman"/>
              </w:rPr>
              <w:t> </w:t>
            </w:r>
            <w:r w:rsidR="00604294" w:rsidRPr="00604294">
              <w:rPr>
                <w:rFonts w:ascii="Times New Roman" w:hAnsi="Times New Roman"/>
              </w:rPr>
              <w:t>pie</w:t>
            </w:r>
            <w:r w:rsidRPr="00604294">
              <w:rPr>
                <w:rFonts w:ascii="Times New Roman" w:hAnsi="Times New Roman"/>
              </w:rPr>
              <w:t>rwotnym terminem zapadalności wynoszącym więcej niż dwa tygodnie</w:t>
            </w:r>
            <w:r w:rsidR="00604294" w:rsidRPr="00604294">
              <w:rPr>
                <w:rFonts w:ascii="Times New Roman" w:hAnsi="Times New Roman"/>
              </w:rPr>
              <w:t xml:space="preserve"> i</w:t>
            </w:r>
            <w:r w:rsidR="00604294">
              <w:rPr>
                <w:rFonts w:ascii="Times New Roman" w:hAnsi="Times New Roman"/>
              </w:rPr>
              <w:t> </w:t>
            </w:r>
            <w:r w:rsidR="00604294" w:rsidRPr="00604294">
              <w:rPr>
                <w:rFonts w:ascii="Times New Roman" w:hAnsi="Times New Roman"/>
              </w:rPr>
              <w:t>nie</w:t>
            </w:r>
            <w:r w:rsidRPr="00604294">
              <w:rPr>
                <w:rFonts w:ascii="Times New Roman" w:hAnsi="Times New Roman"/>
              </w:rPr>
              <w:t xml:space="preserve"> więcej niż jeden miesiąc jest zgłaszana</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0130 w pozycjach 1.1–1.31</w:t>
            </w:r>
            <w:r w:rsidR="00604294" w:rsidRPr="00604294">
              <w:rPr>
                <w:rFonts w:ascii="Times New Roman" w:hAnsi="Times New Roman"/>
              </w:rPr>
              <w:t>. W</w:t>
            </w:r>
            <w:r w:rsidR="00604294">
              <w:rPr>
                <w:rFonts w:ascii="Times New Roman" w:hAnsi="Times New Roman"/>
              </w:rPr>
              <w:t> </w:t>
            </w:r>
            <w:r w:rsidR="00604294" w:rsidRPr="00604294">
              <w:rPr>
                <w:rFonts w:ascii="Times New Roman" w:hAnsi="Times New Roman"/>
              </w:rPr>
              <w:t>prz</w:t>
            </w:r>
            <w:r w:rsidRPr="00604294">
              <w:rPr>
                <w:rFonts w:ascii="Times New Roman" w:hAnsi="Times New Roman"/>
              </w:rPr>
              <w:t>ypadku miesięcy,</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któ</w:t>
            </w:r>
            <w:r w:rsidRPr="00604294">
              <w:rPr>
                <w:rFonts w:ascii="Times New Roman" w:hAnsi="Times New Roman"/>
              </w:rPr>
              <w:t>rych jest mniej niż 31 dni, oraz</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prz</w:t>
            </w:r>
            <w:r w:rsidRPr="00604294">
              <w:rPr>
                <w:rFonts w:ascii="Times New Roman" w:hAnsi="Times New Roman"/>
              </w:rPr>
              <w:t>ypadku weekendów wiersze niemające zastosowania należy pozostawić puste.</w:t>
            </w:r>
          </w:p>
          <w:p w14:paraId="168BD6CE" w14:textId="186F2319" w:rsidR="003E371A" w:rsidRPr="00604294" w:rsidRDefault="003E371A" w:rsidP="00193B6D">
            <w:pPr>
              <w:rPr>
                <w:rFonts w:ascii="Times New Roman" w:hAnsi="Times New Roman"/>
                <w:szCs w:val="20"/>
              </w:rPr>
            </w:pPr>
            <w:r w:rsidRPr="00604294">
              <w:rPr>
                <w:rFonts w:ascii="Times New Roman" w:hAnsi="Times New Roman"/>
              </w:rPr>
              <w:t>Całkowita kwota finansowania prolongowanego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dan</w:t>
            </w:r>
            <w:r w:rsidRPr="00604294">
              <w:rPr>
                <w:rFonts w:ascii="Times New Roman" w:hAnsi="Times New Roman"/>
              </w:rPr>
              <w:t>ym dniu okresu sprawozdawczego</w:t>
            </w:r>
            <w:r w:rsidR="00604294" w:rsidRPr="00604294">
              <w:rPr>
                <w:rFonts w:ascii="Times New Roman" w:hAnsi="Times New Roman"/>
              </w:rPr>
              <w:t xml:space="preserve"> z</w:t>
            </w:r>
            <w:r w:rsidR="00604294">
              <w:rPr>
                <w:rFonts w:ascii="Times New Roman" w:hAnsi="Times New Roman"/>
              </w:rPr>
              <w:t> </w:t>
            </w:r>
            <w:r w:rsidR="00604294" w:rsidRPr="00604294">
              <w:rPr>
                <w:rFonts w:ascii="Times New Roman" w:hAnsi="Times New Roman"/>
              </w:rPr>
              <w:t>pie</w:t>
            </w:r>
            <w:r w:rsidRPr="00604294">
              <w:rPr>
                <w:rFonts w:ascii="Times New Roman" w:hAnsi="Times New Roman"/>
              </w:rPr>
              <w:t>rwotnym terminem zapadalności wynoszącym więcej niż dwa tygodnie</w:t>
            </w:r>
            <w:r w:rsidR="00604294" w:rsidRPr="00604294">
              <w:rPr>
                <w:rFonts w:ascii="Times New Roman" w:hAnsi="Times New Roman"/>
              </w:rPr>
              <w:t xml:space="preserve"> i</w:t>
            </w:r>
            <w:r w:rsidR="00604294">
              <w:rPr>
                <w:rFonts w:ascii="Times New Roman" w:hAnsi="Times New Roman"/>
              </w:rPr>
              <w:t> </w:t>
            </w:r>
            <w:r w:rsidR="00604294" w:rsidRPr="00604294">
              <w:rPr>
                <w:rFonts w:ascii="Times New Roman" w:hAnsi="Times New Roman"/>
              </w:rPr>
              <w:t>nie</w:t>
            </w:r>
            <w:r w:rsidRPr="00604294">
              <w:rPr>
                <w:rFonts w:ascii="Times New Roman" w:hAnsi="Times New Roman"/>
              </w:rPr>
              <w:t xml:space="preserve"> więcej niż jeden miesiąc jest zgłaszana</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0140 w pozycjach 1.1–1.31.</w:t>
            </w:r>
          </w:p>
          <w:p w14:paraId="0DBC5483" w14:textId="25EF9DE9" w:rsidR="007C6B89" w:rsidRPr="00604294" w:rsidRDefault="007C6B89" w:rsidP="00193B6D">
            <w:pPr>
              <w:rPr>
                <w:rFonts w:ascii="Times New Roman" w:hAnsi="Times New Roman"/>
                <w:szCs w:val="20"/>
              </w:rPr>
            </w:pPr>
            <w:r w:rsidRPr="00604294">
              <w:rPr>
                <w:rFonts w:ascii="Times New Roman" w:hAnsi="Times New Roman"/>
              </w:rPr>
              <w:t>Całkowita kwota nowego finansowania pozyskanego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dan</w:t>
            </w:r>
            <w:r w:rsidRPr="00604294">
              <w:rPr>
                <w:rFonts w:ascii="Times New Roman" w:hAnsi="Times New Roman"/>
              </w:rPr>
              <w:t>ym dniu okresu sprawozdawczego</w:t>
            </w:r>
            <w:r w:rsidR="00604294" w:rsidRPr="00604294">
              <w:rPr>
                <w:rFonts w:ascii="Times New Roman" w:hAnsi="Times New Roman"/>
              </w:rPr>
              <w:t xml:space="preserve"> z</w:t>
            </w:r>
            <w:r w:rsidR="00604294">
              <w:rPr>
                <w:rFonts w:ascii="Times New Roman" w:hAnsi="Times New Roman"/>
              </w:rPr>
              <w:t> </w:t>
            </w:r>
            <w:r w:rsidR="00604294" w:rsidRPr="00604294">
              <w:rPr>
                <w:rFonts w:ascii="Times New Roman" w:hAnsi="Times New Roman"/>
              </w:rPr>
              <w:t>pie</w:t>
            </w:r>
            <w:r w:rsidRPr="00604294">
              <w:rPr>
                <w:rFonts w:ascii="Times New Roman" w:hAnsi="Times New Roman"/>
              </w:rPr>
              <w:t>rwotnym terminem zapadalności wynoszącym więcej niż dwa tygodnie</w:t>
            </w:r>
            <w:r w:rsidR="00604294" w:rsidRPr="00604294">
              <w:rPr>
                <w:rFonts w:ascii="Times New Roman" w:hAnsi="Times New Roman"/>
              </w:rPr>
              <w:t xml:space="preserve"> i</w:t>
            </w:r>
            <w:r w:rsidR="00604294">
              <w:rPr>
                <w:rFonts w:ascii="Times New Roman" w:hAnsi="Times New Roman"/>
              </w:rPr>
              <w:t> </w:t>
            </w:r>
            <w:r w:rsidR="00604294" w:rsidRPr="00604294">
              <w:rPr>
                <w:rFonts w:ascii="Times New Roman" w:hAnsi="Times New Roman"/>
              </w:rPr>
              <w:t>nie</w:t>
            </w:r>
            <w:r w:rsidRPr="00604294">
              <w:rPr>
                <w:rFonts w:ascii="Times New Roman" w:hAnsi="Times New Roman"/>
              </w:rPr>
              <w:t xml:space="preserve"> więcej niż jeden miesiąc jest zgłaszana</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0150 w pozycjach 1.1–1.31.</w:t>
            </w:r>
          </w:p>
          <w:p w14:paraId="0D02D77F" w14:textId="058350AE" w:rsidR="00ED41A4" w:rsidRPr="00604294" w:rsidRDefault="007C6B89" w:rsidP="00193B6D">
            <w:pPr>
              <w:rPr>
                <w:rFonts w:ascii="Times New Roman" w:hAnsi="Times New Roman"/>
                <w:b/>
                <w:szCs w:val="20"/>
                <w:u w:val="single"/>
              </w:rPr>
            </w:pPr>
            <w:r w:rsidRPr="00604294">
              <w:rPr>
                <w:rFonts w:ascii="Times New Roman" w:hAnsi="Times New Roman"/>
              </w:rPr>
              <w:t>Różnica netto między zapadającym finansowaniem oraz sumą finansowania prolongowanego</w:t>
            </w:r>
            <w:r w:rsidR="00604294" w:rsidRPr="00604294">
              <w:rPr>
                <w:rFonts w:ascii="Times New Roman" w:hAnsi="Times New Roman"/>
              </w:rPr>
              <w:t xml:space="preserve"> i</w:t>
            </w:r>
            <w:r w:rsidR="00604294">
              <w:rPr>
                <w:rFonts w:ascii="Times New Roman" w:hAnsi="Times New Roman"/>
              </w:rPr>
              <w:t> </w:t>
            </w:r>
            <w:r w:rsidR="00604294" w:rsidRPr="00604294">
              <w:rPr>
                <w:rFonts w:ascii="Times New Roman" w:hAnsi="Times New Roman"/>
              </w:rPr>
              <w:t>now</w:t>
            </w:r>
            <w:r w:rsidRPr="00604294">
              <w:rPr>
                <w:rFonts w:ascii="Times New Roman" w:hAnsi="Times New Roman"/>
              </w:rPr>
              <w:t>o pozyskanego finansowania jest zgłaszana</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0160 w pozycjach 1.1–1.31.</w:t>
            </w:r>
          </w:p>
        </w:tc>
      </w:tr>
      <w:tr w:rsidR="00ED41A4" w:rsidRPr="00604294" w14:paraId="0A45C671" w14:textId="77777777" w:rsidTr="00ED41A4">
        <w:trPr>
          <w:trHeight w:val="765"/>
        </w:trPr>
        <w:tc>
          <w:tcPr>
            <w:tcW w:w="729" w:type="pct"/>
            <w:shd w:val="clear" w:color="auto" w:fill="auto"/>
            <w:noWrap/>
          </w:tcPr>
          <w:p w14:paraId="643AD884" w14:textId="317FA015" w:rsidR="00ED41A4" w:rsidRPr="00604294" w:rsidRDefault="00C90DF5" w:rsidP="00BD24C1">
            <w:pPr>
              <w:spacing w:before="0" w:after="0"/>
              <w:jc w:val="left"/>
              <w:rPr>
                <w:rFonts w:ascii="Times New Roman" w:hAnsi="Times New Roman"/>
                <w:color w:val="000000"/>
                <w:szCs w:val="20"/>
              </w:rPr>
            </w:pPr>
            <w:r w:rsidRPr="00604294">
              <w:rPr>
                <w:rFonts w:ascii="Times New Roman" w:hAnsi="Times New Roman"/>
                <w:color w:val="000000"/>
              </w:rPr>
              <w:t>0170 do</w:t>
            </w:r>
            <w:r w:rsidR="00604294" w:rsidRPr="00604294">
              <w:rPr>
                <w:rFonts w:ascii="Times New Roman" w:hAnsi="Times New Roman"/>
                <w:color w:val="000000"/>
              </w:rPr>
              <w:t> </w:t>
            </w:r>
            <w:r w:rsidRPr="00604294">
              <w:rPr>
                <w:rFonts w:ascii="Times New Roman" w:hAnsi="Times New Roman"/>
                <w:color w:val="000000"/>
              </w:rPr>
              <w:t>0200</w:t>
            </w:r>
          </w:p>
        </w:tc>
        <w:tc>
          <w:tcPr>
            <w:tcW w:w="4271" w:type="pct"/>
            <w:shd w:val="clear" w:color="auto" w:fill="auto"/>
          </w:tcPr>
          <w:p w14:paraId="40912CAD" w14:textId="77777777" w:rsidR="00ED41A4" w:rsidRPr="00604294" w:rsidRDefault="00ED41A4" w:rsidP="00193B6D">
            <w:pPr>
              <w:rPr>
                <w:rFonts w:ascii="Times New Roman" w:hAnsi="Times New Roman"/>
                <w:b/>
                <w:szCs w:val="20"/>
                <w:u w:val="single"/>
              </w:rPr>
            </w:pPr>
            <w:r w:rsidRPr="00604294">
              <w:rPr>
                <w:rFonts w:ascii="Times New Roman" w:hAnsi="Times New Roman"/>
                <w:b/>
                <w:u w:val="single"/>
              </w:rPr>
              <w:t>&gt; 1 miesiąc ≤ 3 miesiące</w:t>
            </w:r>
          </w:p>
          <w:p w14:paraId="1C6BB1D5" w14:textId="3844B368" w:rsidR="007C6B89" w:rsidRPr="00604294" w:rsidRDefault="007C6B89" w:rsidP="00193B6D">
            <w:pPr>
              <w:rPr>
                <w:rFonts w:ascii="Times New Roman" w:hAnsi="Times New Roman"/>
                <w:szCs w:val="20"/>
              </w:rPr>
            </w:pPr>
            <w:r w:rsidRPr="00604294">
              <w:rPr>
                <w:rFonts w:ascii="Times New Roman" w:hAnsi="Times New Roman"/>
              </w:rPr>
              <w:t>Całkowita kwota finansowania zapadającego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dan</w:t>
            </w:r>
            <w:r w:rsidRPr="00604294">
              <w:rPr>
                <w:rFonts w:ascii="Times New Roman" w:hAnsi="Times New Roman"/>
              </w:rPr>
              <w:t>ym dniu okresu sprawozdawczego</w:t>
            </w:r>
            <w:r w:rsidR="00604294" w:rsidRPr="00604294">
              <w:rPr>
                <w:rFonts w:ascii="Times New Roman" w:hAnsi="Times New Roman"/>
              </w:rPr>
              <w:t xml:space="preserve"> z</w:t>
            </w:r>
            <w:r w:rsidR="00604294">
              <w:rPr>
                <w:rFonts w:ascii="Times New Roman" w:hAnsi="Times New Roman"/>
              </w:rPr>
              <w:t> </w:t>
            </w:r>
            <w:r w:rsidR="00604294" w:rsidRPr="00604294">
              <w:rPr>
                <w:rFonts w:ascii="Times New Roman" w:hAnsi="Times New Roman"/>
              </w:rPr>
              <w:t>pie</w:t>
            </w:r>
            <w:r w:rsidRPr="00604294">
              <w:rPr>
                <w:rFonts w:ascii="Times New Roman" w:hAnsi="Times New Roman"/>
              </w:rPr>
              <w:t>rwotnym terminem zapadalności wynoszącym więcej niż jeden miesiąc</w:t>
            </w:r>
            <w:r w:rsidR="00604294" w:rsidRPr="00604294">
              <w:rPr>
                <w:rFonts w:ascii="Times New Roman" w:hAnsi="Times New Roman"/>
              </w:rPr>
              <w:t xml:space="preserve"> i</w:t>
            </w:r>
            <w:r w:rsidR="00604294">
              <w:rPr>
                <w:rFonts w:ascii="Times New Roman" w:hAnsi="Times New Roman"/>
              </w:rPr>
              <w:t> </w:t>
            </w:r>
            <w:r w:rsidR="00604294" w:rsidRPr="00604294">
              <w:rPr>
                <w:rFonts w:ascii="Times New Roman" w:hAnsi="Times New Roman"/>
              </w:rPr>
              <w:t>nie</w:t>
            </w:r>
            <w:r w:rsidRPr="00604294">
              <w:rPr>
                <w:rFonts w:ascii="Times New Roman" w:hAnsi="Times New Roman"/>
              </w:rPr>
              <w:t xml:space="preserve"> więcej niż trzy miesiące jest zgłaszana</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0170 w pozycjach 1.1–1.31</w:t>
            </w:r>
            <w:r w:rsidR="00604294" w:rsidRPr="00604294">
              <w:rPr>
                <w:rFonts w:ascii="Times New Roman" w:hAnsi="Times New Roman"/>
              </w:rPr>
              <w:t>. W</w:t>
            </w:r>
            <w:r w:rsidR="00604294">
              <w:rPr>
                <w:rFonts w:ascii="Times New Roman" w:hAnsi="Times New Roman"/>
              </w:rPr>
              <w:t> </w:t>
            </w:r>
            <w:r w:rsidR="00604294" w:rsidRPr="00604294">
              <w:rPr>
                <w:rFonts w:ascii="Times New Roman" w:hAnsi="Times New Roman"/>
              </w:rPr>
              <w:t>prz</w:t>
            </w:r>
            <w:r w:rsidRPr="00604294">
              <w:rPr>
                <w:rFonts w:ascii="Times New Roman" w:hAnsi="Times New Roman"/>
              </w:rPr>
              <w:t>ypadku miesięcy,</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któ</w:t>
            </w:r>
            <w:r w:rsidRPr="00604294">
              <w:rPr>
                <w:rFonts w:ascii="Times New Roman" w:hAnsi="Times New Roman"/>
              </w:rPr>
              <w:t>rych jest mniej niż 31 dni, oraz</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prz</w:t>
            </w:r>
            <w:r w:rsidRPr="00604294">
              <w:rPr>
                <w:rFonts w:ascii="Times New Roman" w:hAnsi="Times New Roman"/>
              </w:rPr>
              <w:t>ypadku weekendów wiersze niemające zastosowania należy pozostawić puste.</w:t>
            </w:r>
          </w:p>
          <w:p w14:paraId="6A91E8B5" w14:textId="65886C40" w:rsidR="003E371A" w:rsidRPr="00604294" w:rsidRDefault="003E371A" w:rsidP="00193B6D">
            <w:pPr>
              <w:rPr>
                <w:rFonts w:ascii="Times New Roman" w:hAnsi="Times New Roman"/>
                <w:szCs w:val="20"/>
              </w:rPr>
            </w:pPr>
            <w:r w:rsidRPr="00604294">
              <w:rPr>
                <w:rFonts w:ascii="Times New Roman" w:hAnsi="Times New Roman"/>
              </w:rPr>
              <w:t>Całkowita kwota finansowania prolongowanego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dan</w:t>
            </w:r>
            <w:r w:rsidRPr="00604294">
              <w:rPr>
                <w:rFonts w:ascii="Times New Roman" w:hAnsi="Times New Roman"/>
              </w:rPr>
              <w:t>ym dniu okresu sprawozdawczego</w:t>
            </w:r>
            <w:r w:rsidR="00604294" w:rsidRPr="00604294">
              <w:rPr>
                <w:rFonts w:ascii="Times New Roman" w:hAnsi="Times New Roman"/>
              </w:rPr>
              <w:t xml:space="preserve"> z</w:t>
            </w:r>
            <w:r w:rsidR="00604294">
              <w:rPr>
                <w:rFonts w:ascii="Times New Roman" w:hAnsi="Times New Roman"/>
              </w:rPr>
              <w:t> </w:t>
            </w:r>
            <w:r w:rsidR="00604294" w:rsidRPr="00604294">
              <w:rPr>
                <w:rFonts w:ascii="Times New Roman" w:hAnsi="Times New Roman"/>
              </w:rPr>
              <w:t>pie</w:t>
            </w:r>
            <w:r w:rsidRPr="00604294">
              <w:rPr>
                <w:rFonts w:ascii="Times New Roman" w:hAnsi="Times New Roman"/>
              </w:rPr>
              <w:t>rwotnym terminem zapadalności wynoszącym więcej niż jeden miesiąc</w:t>
            </w:r>
            <w:r w:rsidR="00604294" w:rsidRPr="00604294">
              <w:rPr>
                <w:rFonts w:ascii="Times New Roman" w:hAnsi="Times New Roman"/>
              </w:rPr>
              <w:t xml:space="preserve"> i</w:t>
            </w:r>
            <w:r w:rsidR="00604294">
              <w:rPr>
                <w:rFonts w:ascii="Times New Roman" w:hAnsi="Times New Roman"/>
              </w:rPr>
              <w:t> </w:t>
            </w:r>
            <w:r w:rsidR="00604294" w:rsidRPr="00604294">
              <w:rPr>
                <w:rFonts w:ascii="Times New Roman" w:hAnsi="Times New Roman"/>
              </w:rPr>
              <w:t>nie</w:t>
            </w:r>
            <w:r w:rsidRPr="00604294">
              <w:rPr>
                <w:rFonts w:ascii="Times New Roman" w:hAnsi="Times New Roman"/>
              </w:rPr>
              <w:t xml:space="preserve"> więcej niż trzy miesiące jest zgłaszana</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0180 w pozycjach 1.1–1.31.</w:t>
            </w:r>
          </w:p>
          <w:p w14:paraId="7A9947A9" w14:textId="46489420" w:rsidR="007C6B89" w:rsidRPr="00604294" w:rsidRDefault="007C6B89" w:rsidP="00193B6D">
            <w:pPr>
              <w:rPr>
                <w:rFonts w:ascii="Times New Roman" w:hAnsi="Times New Roman"/>
                <w:szCs w:val="20"/>
              </w:rPr>
            </w:pPr>
            <w:r w:rsidRPr="00604294">
              <w:rPr>
                <w:rFonts w:ascii="Times New Roman" w:hAnsi="Times New Roman"/>
              </w:rPr>
              <w:t>Całkowita kwota nowego finansowania pozyskanego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dan</w:t>
            </w:r>
            <w:r w:rsidRPr="00604294">
              <w:rPr>
                <w:rFonts w:ascii="Times New Roman" w:hAnsi="Times New Roman"/>
              </w:rPr>
              <w:t>ym dniu okresu sprawozdawczego</w:t>
            </w:r>
            <w:r w:rsidR="00604294" w:rsidRPr="00604294">
              <w:rPr>
                <w:rFonts w:ascii="Times New Roman" w:hAnsi="Times New Roman"/>
              </w:rPr>
              <w:t xml:space="preserve"> z</w:t>
            </w:r>
            <w:r w:rsidR="00604294">
              <w:rPr>
                <w:rFonts w:ascii="Times New Roman" w:hAnsi="Times New Roman"/>
              </w:rPr>
              <w:t> </w:t>
            </w:r>
            <w:r w:rsidR="00604294" w:rsidRPr="00604294">
              <w:rPr>
                <w:rFonts w:ascii="Times New Roman" w:hAnsi="Times New Roman"/>
              </w:rPr>
              <w:t>pie</w:t>
            </w:r>
            <w:r w:rsidRPr="00604294">
              <w:rPr>
                <w:rFonts w:ascii="Times New Roman" w:hAnsi="Times New Roman"/>
              </w:rPr>
              <w:t>rwotnym terminem zapadalności wynoszącym więcej niż jeden miesiąc</w:t>
            </w:r>
            <w:r w:rsidR="00604294" w:rsidRPr="00604294">
              <w:rPr>
                <w:rFonts w:ascii="Times New Roman" w:hAnsi="Times New Roman"/>
              </w:rPr>
              <w:t xml:space="preserve"> i</w:t>
            </w:r>
            <w:r w:rsidR="00604294">
              <w:rPr>
                <w:rFonts w:ascii="Times New Roman" w:hAnsi="Times New Roman"/>
              </w:rPr>
              <w:t> </w:t>
            </w:r>
            <w:r w:rsidR="00604294" w:rsidRPr="00604294">
              <w:rPr>
                <w:rFonts w:ascii="Times New Roman" w:hAnsi="Times New Roman"/>
              </w:rPr>
              <w:t>nie</w:t>
            </w:r>
            <w:r w:rsidRPr="00604294">
              <w:rPr>
                <w:rFonts w:ascii="Times New Roman" w:hAnsi="Times New Roman"/>
              </w:rPr>
              <w:t xml:space="preserve"> więcej niż trzy miesiące jest zgłaszana</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0190 w pozycjach 1.1–1.31.</w:t>
            </w:r>
          </w:p>
          <w:p w14:paraId="655F0B6A" w14:textId="1EC4459F" w:rsidR="00ED41A4" w:rsidRPr="00604294" w:rsidRDefault="007C6B89" w:rsidP="00193B6D">
            <w:pPr>
              <w:rPr>
                <w:rFonts w:ascii="Times New Roman" w:hAnsi="Times New Roman"/>
                <w:b/>
                <w:szCs w:val="20"/>
                <w:u w:val="single"/>
              </w:rPr>
            </w:pPr>
            <w:r w:rsidRPr="00604294">
              <w:rPr>
                <w:rFonts w:ascii="Times New Roman" w:hAnsi="Times New Roman"/>
              </w:rPr>
              <w:lastRenderedPageBreak/>
              <w:t>Różnica netto między zapadającym finansowaniem oraz sumą finansowania prolongowanego</w:t>
            </w:r>
            <w:r w:rsidR="00604294" w:rsidRPr="00604294">
              <w:rPr>
                <w:rFonts w:ascii="Times New Roman" w:hAnsi="Times New Roman"/>
              </w:rPr>
              <w:t xml:space="preserve"> i</w:t>
            </w:r>
            <w:r w:rsidR="00604294">
              <w:rPr>
                <w:rFonts w:ascii="Times New Roman" w:hAnsi="Times New Roman"/>
              </w:rPr>
              <w:t> </w:t>
            </w:r>
            <w:r w:rsidR="00604294" w:rsidRPr="00604294">
              <w:rPr>
                <w:rFonts w:ascii="Times New Roman" w:hAnsi="Times New Roman"/>
              </w:rPr>
              <w:t>now</w:t>
            </w:r>
            <w:r w:rsidRPr="00604294">
              <w:rPr>
                <w:rFonts w:ascii="Times New Roman" w:hAnsi="Times New Roman"/>
              </w:rPr>
              <w:t>o pozyskanego finansowania jest zgłaszana</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0200 w pozycjach 1.1–1.31.</w:t>
            </w:r>
          </w:p>
        </w:tc>
      </w:tr>
      <w:tr w:rsidR="00ED41A4" w:rsidRPr="00604294" w14:paraId="0C7B73A0" w14:textId="77777777" w:rsidTr="00ED41A4">
        <w:trPr>
          <w:trHeight w:val="765"/>
        </w:trPr>
        <w:tc>
          <w:tcPr>
            <w:tcW w:w="729" w:type="pct"/>
            <w:shd w:val="clear" w:color="auto" w:fill="auto"/>
            <w:noWrap/>
          </w:tcPr>
          <w:p w14:paraId="31DA83DD" w14:textId="42DB75C5" w:rsidR="00ED41A4" w:rsidRPr="00604294" w:rsidRDefault="00C90DF5" w:rsidP="00BD24C1">
            <w:pPr>
              <w:spacing w:before="0" w:after="0"/>
              <w:jc w:val="left"/>
              <w:rPr>
                <w:rFonts w:ascii="Times New Roman" w:hAnsi="Times New Roman"/>
                <w:color w:val="000000"/>
                <w:szCs w:val="20"/>
              </w:rPr>
            </w:pPr>
            <w:r w:rsidRPr="00604294">
              <w:rPr>
                <w:rFonts w:ascii="Times New Roman" w:hAnsi="Times New Roman"/>
                <w:color w:val="000000"/>
              </w:rPr>
              <w:lastRenderedPageBreak/>
              <w:t>0210 do</w:t>
            </w:r>
            <w:r w:rsidR="00604294" w:rsidRPr="00604294">
              <w:rPr>
                <w:rFonts w:ascii="Times New Roman" w:hAnsi="Times New Roman"/>
                <w:color w:val="000000"/>
              </w:rPr>
              <w:t> </w:t>
            </w:r>
            <w:r w:rsidRPr="00604294">
              <w:rPr>
                <w:rFonts w:ascii="Times New Roman" w:hAnsi="Times New Roman"/>
                <w:color w:val="000000"/>
              </w:rPr>
              <w:t>0240</w:t>
            </w:r>
          </w:p>
        </w:tc>
        <w:tc>
          <w:tcPr>
            <w:tcW w:w="4271" w:type="pct"/>
            <w:shd w:val="clear" w:color="auto" w:fill="auto"/>
          </w:tcPr>
          <w:p w14:paraId="27019293" w14:textId="77777777" w:rsidR="005A40BE" w:rsidRPr="00604294" w:rsidRDefault="005A40BE" w:rsidP="00193B6D">
            <w:pPr>
              <w:rPr>
                <w:rFonts w:ascii="Times New Roman" w:hAnsi="Times New Roman"/>
                <w:b/>
                <w:szCs w:val="20"/>
                <w:u w:val="single"/>
              </w:rPr>
            </w:pPr>
            <w:r w:rsidRPr="00604294">
              <w:rPr>
                <w:rFonts w:ascii="Times New Roman" w:hAnsi="Times New Roman"/>
                <w:b/>
                <w:u w:val="single"/>
              </w:rPr>
              <w:t>&gt; 3 miesiące ≤ 6 miesięcy</w:t>
            </w:r>
          </w:p>
          <w:p w14:paraId="0260CA5A" w14:textId="74A86B1B" w:rsidR="006044FF" w:rsidRPr="00604294" w:rsidRDefault="005A40BE" w:rsidP="00193B6D">
            <w:pPr>
              <w:rPr>
                <w:rFonts w:ascii="Times New Roman" w:hAnsi="Times New Roman"/>
                <w:szCs w:val="20"/>
              </w:rPr>
            </w:pPr>
            <w:r w:rsidRPr="00604294">
              <w:rPr>
                <w:rFonts w:ascii="Times New Roman" w:hAnsi="Times New Roman"/>
              </w:rPr>
              <w:t>Całkowita kwota finansowania zapadającego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dan</w:t>
            </w:r>
            <w:r w:rsidRPr="00604294">
              <w:rPr>
                <w:rFonts w:ascii="Times New Roman" w:hAnsi="Times New Roman"/>
              </w:rPr>
              <w:t>ym dniu okresu sprawozdawczego</w:t>
            </w:r>
            <w:r w:rsidR="00604294" w:rsidRPr="00604294">
              <w:rPr>
                <w:rFonts w:ascii="Times New Roman" w:hAnsi="Times New Roman"/>
              </w:rPr>
              <w:t xml:space="preserve"> z</w:t>
            </w:r>
            <w:r w:rsidR="00604294">
              <w:rPr>
                <w:rFonts w:ascii="Times New Roman" w:hAnsi="Times New Roman"/>
              </w:rPr>
              <w:t> </w:t>
            </w:r>
            <w:r w:rsidR="00604294" w:rsidRPr="00604294">
              <w:rPr>
                <w:rFonts w:ascii="Times New Roman" w:hAnsi="Times New Roman"/>
              </w:rPr>
              <w:t>pie</w:t>
            </w:r>
            <w:r w:rsidRPr="00604294">
              <w:rPr>
                <w:rFonts w:ascii="Times New Roman" w:hAnsi="Times New Roman"/>
              </w:rPr>
              <w:t>rwotnym terminem zapadalności wynoszącym więcej niż trzy miesiące</w:t>
            </w:r>
            <w:r w:rsidR="00604294" w:rsidRPr="00604294">
              <w:rPr>
                <w:rFonts w:ascii="Times New Roman" w:hAnsi="Times New Roman"/>
              </w:rPr>
              <w:t xml:space="preserve"> i</w:t>
            </w:r>
            <w:r w:rsidR="00604294">
              <w:rPr>
                <w:rFonts w:ascii="Times New Roman" w:hAnsi="Times New Roman"/>
              </w:rPr>
              <w:t> </w:t>
            </w:r>
            <w:r w:rsidR="00604294" w:rsidRPr="00604294">
              <w:rPr>
                <w:rFonts w:ascii="Times New Roman" w:hAnsi="Times New Roman"/>
              </w:rPr>
              <w:t>nie</w:t>
            </w:r>
            <w:r w:rsidRPr="00604294">
              <w:rPr>
                <w:rFonts w:ascii="Times New Roman" w:hAnsi="Times New Roman"/>
              </w:rPr>
              <w:t xml:space="preserve"> więcej niż sześć miesięcy jest zgłaszana</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0210 w pozycjach 1.1–1.31</w:t>
            </w:r>
            <w:r w:rsidR="00604294" w:rsidRPr="00604294">
              <w:rPr>
                <w:rFonts w:ascii="Times New Roman" w:hAnsi="Times New Roman"/>
              </w:rPr>
              <w:t>. W</w:t>
            </w:r>
            <w:r w:rsidR="00604294">
              <w:rPr>
                <w:rFonts w:ascii="Times New Roman" w:hAnsi="Times New Roman"/>
              </w:rPr>
              <w:t> </w:t>
            </w:r>
            <w:r w:rsidR="00604294" w:rsidRPr="00604294">
              <w:rPr>
                <w:rFonts w:ascii="Times New Roman" w:hAnsi="Times New Roman"/>
              </w:rPr>
              <w:t>prz</w:t>
            </w:r>
            <w:r w:rsidRPr="00604294">
              <w:rPr>
                <w:rFonts w:ascii="Times New Roman" w:hAnsi="Times New Roman"/>
              </w:rPr>
              <w:t>ypadku miesięcy,</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któ</w:t>
            </w:r>
            <w:r w:rsidRPr="00604294">
              <w:rPr>
                <w:rFonts w:ascii="Times New Roman" w:hAnsi="Times New Roman"/>
              </w:rPr>
              <w:t>rych jest mniej niż 31 dni, oraz</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prz</w:t>
            </w:r>
            <w:r w:rsidRPr="00604294">
              <w:rPr>
                <w:rFonts w:ascii="Times New Roman" w:hAnsi="Times New Roman"/>
              </w:rPr>
              <w:t>ypadku weekendów wiersze niemające zastosowania należy pozostawić puste.</w:t>
            </w:r>
          </w:p>
          <w:p w14:paraId="563F93F8" w14:textId="7D91920E" w:rsidR="003E371A" w:rsidRPr="00604294" w:rsidRDefault="003E371A" w:rsidP="00193B6D">
            <w:pPr>
              <w:rPr>
                <w:rFonts w:ascii="Times New Roman" w:hAnsi="Times New Roman"/>
                <w:szCs w:val="20"/>
              </w:rPr>
            </w:pPr>
            <w:r w:rsidRPr="00604294">
              <w:rPr>
                <w:rFonts w:ascii="Times New Roman" w:hAnsi="Times New Roman"/>
              </w:rPr>
              <w:t>Całkowita kwota finansowania prolongowanego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dan</w:t>
            </w:r>
            <w:r w:rsidRPr="00604294">
              <w:rPr>
                <w:rFonts w:ascii="Times New Roman" w:hAnsi="Times New Roman"/>
              </w:rPr>
              <w:t>ym dniu okresu sprawozdawczego</w:t>
            </w:r>
            <w:r w:rsidR="00604294" w:rsidRPr="00604294">
              <w:rPr>
                <w:rFonts w:ascii="Times New Roman" w:hAnsi="Times New Roman"/>
              </w:rPr>
              <w:t xml:space="preserve"> z</w:t>
            </w:r>
            <w:r w:rsidR="00604294">
              <w:rPr>
                <w:rFonts w:ascii="Times New Roman" w:hAnsi="Times New Roman"/>
              </w:rPr>
              <w:t> </w:t>
            </w:r>
            <w:r w:rsidR="00604294" w:rsidRPr="00604294">
              <w:rPr>
                <w:rFonts w:ascii="Times New Roman" w:hAnsi="Times New Roman"/>
              </w:rPr>
              <w:t>pie</w:t>
            </w:r>
            <w:r w:rsidRPr="00604294">
              <w:rPr>
                <w:rFonts w:ascii="Times New Roman" w:hAnsi="Times New Roman"/>
              </w:rPr>
              <w:t>rwotnym terminem zapadalności wynoszącym więcej niż trzy miesiące</w:t>
            </w:r>
            <w:r w:rsidR="00604294" w:rsidRPr="00604294">
              <w:rPr>
                <w:rFonts w:ascii="Times New Roman" w:hAnsi="Times New Roman"/>
              </w:rPr>
              <w:t xml:space="preserve"> i</w:t>
            </w:r>
            <w:r w:rsidR="00604294">
              <w:rPr>
                <w:rFonts w:ascii="Times New Roman" w:hAnsi="Times New Roman"/>
              </w:rPr>
              <w:t> </w:t>
            </w:r>
            <w:r w:rsidR="00604294" w:rsidRPr="00604294">
              <w:rPr>
                <w:rFonts w:ascii="Times New Roman" w:hAnsi="Times New Roman"/>
              </w:rPr>
              <w:t>nie</w:t>
            </w:r>
            <w:r w:rsidRPr="00604294">
              <w:rPr>
                <w:rFonts w:ascii="Times New Roman" w:hAnsi="Times New Roman"/>
              </w:rPr>
              <w:t xml:space="preserve"> więcej niż sześć miesięcy jest zgłaszana</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0220 w pozycjach 1.1–1.31.</w:t>
            </w:r>
          </w:p>
          <w:p w14:paraId="601C708E" w14:textId="36A58455" w:rsidR="005A40BE" w:rsidRPr="00604294" w:rsidRDefault="005A40BE" w:rsidP="00193B6D">
            <w:pPr>
              <w:rPr>
                <w:rFonts w:ascii="Times New Roman" w:hAnsi="Times New Roman"/>
                <w:szCs w:val="20"/>
              </w:rPr>
            </w:pPr>
            <w:r w:rsidRPr="00604294">
              <w:rPr>
                <w:rFonts w:ascii="Times New Roman" w:hAnsi="Times New Roman"/>
              </w:rPr>
              <w:t>Całkowita kwota nowego finansowania pozyskanego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dan</w:t>
            </w:r>
            <w:r w:rsidRPr="00604294">
              <w:rPr>
                <w:rFonts w:ascii="Times New Roman" w:hAnsi="Times New Roman"/>
              </w:rPr>
              <w:t>ym dniu okresu sprawozdawczego</w:t>
            </w:r>
            <w:r w:rsidR="00604294" w:rsidRPr="00604294">
              <w:rPr>
                <w:rFonts w:ascii="Times New Roman" w:hAnsi="Times New Roman"/>
              </w:rPr>
              <w:t xml:space="preserve"> z</w:t>
            </w:r>
            <w:r w:rsidR="00604294">
              <w:rPr>
                <w:rFonts w:ascii="Times New Roman" w:hAnsi="Times New Roman"/>
              </w:rPr>
              <w:t> </w:t>
            </w:r>
            <w:r w:rsidR="00604294" w:rsidRPr="00604294">
              <w:rPr>
                <w:rFonts w:ascii="Times New Roman" w:hAnsi="Times New Roman"/>
              </w:rPr>
              <w:t>pie</w:t>
            </w:r>
            <w:r w:rsidRPr="00604294">
              <w:rPr>
                <w:rFonts w:ascii="Times New Roman" w:hAnsi="Times New Roman"/>
              </w:rPr>
              <w:t>rwotnym terminem zapadalności wynoszącym więcej niż trzy miesiące</w:t>
            </w:r>
            <w:r w:rsidR="00604294" w:rsidRPr="00604294">
              <w:rPr>
                <w:rFonts w:ascii="Times New Roman" w:hAnsi="Times New Roman"/>
              </w:rPr>
              <w:t xml:space="preserve"> i</w:t>
            </w:r>
            <w:r w:rsidR="00604294">
              <w:rPr>
                <w:rFonts w:ascii="Times New Roman" w:hAnsi="Times New Roman"/>
              </w:rPr>
              <w:t> </w:t>
            </w:r>
            <w:r w:rsidR="00604294" w:rsidRPr="00604294">
              <w:rPr>
                <w:rFonts w:ascii="Times New Roman" w:hAnsi="Times New Roman"/>
              </w:rPr>
              <w:t>nie</w:t>
            </w:r>
            <w:r w:rsidRPr="00604294">
              <w:rPr>
                <w:rFonts w:ascii="Times New Roman" w:hAnsi="Times New Roman"/>
              </w:rPr>
              <w:t xml:space="preserve"> więcej niż sześć miesięcy jest zgłaszana</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0230 w pozycjach 1.1–1.31.</w:t>
            </w:r>
          </w:p>
          <w:p w14:paraId="3E16D1CD" w14:textId="57250EDA" w:rsidR="00ED41A4" w:rsidRPr="00604294" w:rsidRDefault="005A40BE" w:rsidP="00193B6D">
            <w:pPr>
              <w:rPr>
                <w:rFonts w:ascii="Times New Roman" w:hAnsi="Times New Roman"/>
                <w:b/>
                <w:szCs w:val="20"/>
                <w:u w:val="single"/>
              </w:rPr>
            </w:pPr>
            <w:r w:rsidRPr="00604294">
              <w:rPr>
                <w:rFonts w:ascii="Times New Roman" w:hAnsi="Times New Roman"/>
              </w:rPr>
              <w:t>Różnica netto między zapadającym finansowaniem oraz sumą finansowania prolongowanego</w:t>
            </w:r>
            <w:r w:rsidR="00604294" w:rsidRPr="00604294">
              <w:rPr>
                <w:rFonts w:ascii="Times New Roman" w:hAnsi="Times New Roman"/>
              </w:rPr>
              <w:t xml:space="preserve"> i</w:t>
            </w:r>
            <w:r w:rsidR="00604294">
              <w:rPr>
                <w:rFonts w:ascii="Times New Roman" w:hAnsi="Times New Roman"/>
              </w:rPr>
              <w:t> </w:t>
            </w:r>
            <w:r w:rsidR="00604294" w:rsidRPr="00604294">
              <w:rPr>
                <w:rFonts w:ascii="Times New Roman" w:hAnsi="Times New Roman"/>
              </w:rPr>
              <w:t>now</w:t>
            </w:r>
            <w:r w:rsidRPr="00604294">
              <w:rPr>
                <w:rFonts w:ascii="Times New Roman" w:hAnsi="Times New Roman"/>
              </w:rPr>
              <w:t>o pozyskanego finansowania jest zgłaszana</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0240 w pozycjach 1.1–1.31.</w:t>
            </w:r>
          </w:p>
        </w:tc>
      </w:tr>
      <w:tr w:rsidR="00ED41A4" w:rsidRPr="00604294" w14:paraId="3D6EC655" w14:textId="77777777" w:rsidTr="00ED41A4">
        <w:trPr>
          <w:trHeight w:val="765"/>
        </w:trPr>
        <w:tc>
          <w:tcPr>
            <w:tcW w:w="729" w:type="pct"/>
            <w:shd w:val="clear" w:color="auto" w:fill="auto"/>
            <w:noWrap/>
          </w:tcPr>
          <w:p w14:paraId="770F85E8" w14:textId="1319BE25" w:rsidR="00ED41A4" w:rsidRPr="00604294" w:rsidRDefault="00C90DF5" w:rsidP="00BD24C1">
            <w:pPr>
              <w:spacing w:before="0" w:after="0"/>
              <w:jc w:val="left"/>
              <w:rPr>
                <w:rFonts w:ascii="Times New Roman" w:hAnsi="Times New Roman"/>
                <w:color w:val="000000"/>
                <w:szCs w:val="20"/>
              </w:rPr>
            </w:pPr>
            <w:r w:rsidRPr="00604294">
              <w:rPr>
                <w:rFonts w:ascii="Times New Roman" w:hAnsi="Times New Roman"/>
                <w:color w:val="000000"/>
              </w:rPr>
              <w:t>0250 do</w:t>
            </w:r>
            <w:r w:rsidR="00604294" w:rsidRPr="00604294">
              <w:rPr>
                <w:rFonts w:ascii="Times New Roman" w:hAnsi="Times New Roman"/>
                <w:color w:val="000000"/>
              </w:rPr>
              <w:t> </w:t>
            </w:r>
            <w:r w:rsidRPr="00604294">
              <w:rPr>
                <w:rFonts w:ascii="Times New Roman" w:hAnsi="Times New Roman"/>
                <w:color w:val="000000"/>
              </w:rPr>
              <w:t>0280</w:t>
            </w:r>
          </w:p>
        </w:tc>
        <w:tc>
          <w:tcPr>
            <w:tcW w:w="4271" w:type="pct"/>
            <w:shd w:val="clear" w:color="auto" w:fill="auto"/>
          </w:tcPr>
          <w:p w14:paraId="29910BBF" w14:textId="77777777" w:rsidR="00ED41A4" w:rsidRPr="00604294" w:rsidRDefault="005A40BE" w:rsidP="00193B6D">
            <w:pPr>
              <w:rPr>
                <w:rFonts w:ascii="Times New Roman" w:hAnsi="Times New Roman"/>
                <w:b/>
                <w:szCs w:val="20"/>
                <w:u w:val="single"/>
              </w:rPr>
            </w:pPr>
            <w:r w:rsidRPr="00604294">
              <w:rPr>
                <w:rFonts w:ascii="Times New Roman" w:hAnsi="Times New Roman"/>
                <w:b/>
                <w:u w:val="single"/>
              </w:rPr>
              <w:t>&gt; 6 miesięcy</w:t>
            </w:r>
          </w:p>
          <w:p w14:paraId="3C7C589B" w14:textId="1C369459" w:rsidR="007C6B89" w:rsidRPr="00604294" w:rsidRDefault="007C6B89" w:rsidP="00193B6D">
            <w:pPr>
              <w:rPr>
                <w:rFonts w:ascii="Times New Roman" w:hAnsi="Times New Roman"/>
                <w:szCs w:val="20"/>
              </w:rPr>
            </w:pPr>
            <w:r w:rsidRPr="00604294">
              <w:rPr>
                <w:rFonts w:ascii="Times New Roman" w:hAnsi="Times New Roman"/>
              </w:rPr>
              <w:t>Całkowita kwota finansowania zapadającego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dan</w:t>
            </w:r>
            <w:r w:rsidRPr="00604294">
              <w:rPr>
                <w:rFonts w:ascii="Times New Roman" w:hAnsi="Times New Roman"/>
              </w:rPr>
              <w:t>ym dniu okresu sprawozdawczego</w:t>
            </w:r>
            <w:r w:rsidR="00604294" w:rsidRPr="00604294">
              <w:rPr>
                <w:rFonts w:ascii="Times New Roman" w:hAnsi="Times New Roman"/>
              </w:rPr>
              <w:t xml:space="preserve"> z</w:t>
            </w:r>
            <w:r w:rsidR="00604294">
              <w:rPr>
                <w:rFonts w:ascii="Times New Roman" w:hAnsi="Times New Roman"/>
              </w:rPr>
              <w:t> </w:t>
            </w:r>
            <w:r w:rsidR="00604294" w:rsidRPr="00604294">
              <w:rPr>
                <w:rFonts w:ascii="Times New Roman" w:hAnsi="Times New Roman"/>
              </w:rPr>
              <w:t>pie</w:t>
            </w:r>
            <w:r w:rsidRPr="00604294">
              <w:rPr>
                <w:rFonts w:ascii="Times New Roman" w:hAnsi="Times New Roman"/>
              </w:rPr>
              <w:t>rwotnym terminem zapadalności wynoszącym więcej niż sześć miesięcy jest zgłaszana</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0250 w pozycjach 1.1–1.31</w:t>
            </w:r>
            <w:r w:rsidR="00604294" w:rsidRPr="00604294">
              <w:rPr>
                <w:rFonts w:ascii="Times New Roman" w:hAnsi="Times New Roman"/>
              </w:rPr>
              <w:t>. W</w:t>
            </w:r>
            <w:r w:rsidR="00604294">
              <w:rPr>
                <w:rFonts w:ascii="Times New Roman" w:hAnsi="Times New Roman"/>
              </w:rPr>
              <w:t> </w:t>
            </w:r>
            <w:r w:rsidR="00604294" w:rsidRPr="00604294">
              <w:rPr>
                <w:rFonts w:ascii="Times New Roman" w:hAnsi="Times New Roman"/>
              </w:rPr>
              <w:t>prz</w:t>
            </w:r>
            <w:r w:rsidRPr="00604294">
              <w:rPr>
                <w:rFonts w:ascii="Times New Roman" w:hAnsi="Times New Roman"/>
              </w:rPr>
              <w:t>ypadku miesięcy,</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któ</w:t>
            </w:r>
            <w:r w:rsidRPr="00604294">
              <w:rPr>
                <w:rFonts w:ascii="Times New Roman" w:hAnsi="Times New Roman"/>
              </w:rPr>
              <w:t>rych jest mniej niż 31 dni, oraz</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prz</w:t>
            </w:r>
            <w:r w:rsidRPr="00604294">
              <w:rPr>
                <w:rFonts w:ascii="Times New Roman" w:hAnsi="Times New Roman"/>
              </w:rPr>
              <w:t>ypadku weekendów wiersze niemające zastosowania należy pozostawić puste.</w:t>
            </w:r>
          </w:p>
          <w:p w14:paraId="09601152" w14:textId="43E67101" w:rsidR="003E371A" w:rsidRPr="00604294" w:rsidRDefault="003E371A" w:rsidP="00193B6D">
            <w:pPr>
              <w:rPr>
                <w:rFonts w:ascii="Times New Roman" w:hAnsi="Times New Roman"/>
                <w:szCs w:val="20"/>
              </w:rPr>
            </w:pPr>
            <w:r w:rsidRPr="00604294">
              <w:rPr>
                <w:rFonts w:ascii="Times New Roman" w:hAnsi="Times New Roman"/>
              </w:rPr>
              <w:t>Całkowita kwota finansowania prolongowanego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dan</w:t>
            </w:r>
            <w:r w:rsidRPr="00604294">
              <w:rPr>
                <w:rFonts w:ascii="Times New Roman" w:hAnsi="Times New Roman"/>
              </w:rPr>
              <w:t>ym dniu okresu sprawozdawczego</w:t>
            </w:r>
            <w:r w:rsidR="00604294" w:rsidRPr="00604294">
              <w:rPr>
                <w:rFonts w:ascii="Times New Roman" w:hAnsi="Times New Roman"/>
              </w:rPr>
              <w:t xml:space="preserve"> z</w:t>
            </w:r>
            <w:r w:rsidR="00604294">
              <w:rPr>
                <w:rFonts w:ascii="Times New Roman" w:hAnsi="Times New Roman"/>
              </w:rPr>
              <w:t> </w:t>
            </w:r>
            <w:r w:rsidR="00604294" w:rsidRPr="00604294">
              <w:rPr>
                <w:rFonts w:ascii="Times New Roman" w:hAnsi="Times New Roman"/>
              </w:rPr>
              <w:t>pie</w:t>
            </w:r>
            <w:r w:rsidRPr="00604294">
              <w:rPr>
                <w:rFonts w:ascii="Times New Roman" w:hAnsi="Times New Roman"/>
              </w:rPr>
              <w:t>rwotnym terminem zapadalności wynoszącym więcej niż sześć miesięcy jest zgłaszana</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0260 w pozycjach 1.1–1.31.</w:t>
            </w:r>
          </w:p>
          <w:p w14:paraId="4585368E" w14:textId="003B03E4" w:rsidR="007C6B89" w:rsidRPr="00604294" w:rsidRDefault="007C6B89" w:rsidP="00193B6D">
            <w:pPr>
              <w:rPr>
                <w:rFonts w:ascii="Times New Roman" w:hAnsi="Times New Roman"/>
                <w:szCs w:val="20"/>
              </w:rPr>
            </w:pPr>
            <w:r w:rsidRPr="00604294">
              <w:rPr>
                <w:rFonts w:ascii="Times New Roman" w:hAnsi="Times New Roman"/>
              </w:rPr>
              <w:t>Całkowita kwota nowego finansowania pozyskanego</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dan</w:t>
            </w:r>
            <w:r w:rsidRPr="00604294">
              <w:rPr>
                <w:rFonts w:ascii="Times New Roman" w:hAnsi="Times New Roman"/>
              </w:rPr>
              <w:t>ym dniu okresu sprawozdawczego</w:t>
            </w:r>
            <w:r w:rsidR="00604294" w:rsidRPr="00604294">
              <w:rPr>
                <w:rFonts w:ascii="Times New Roman" w:hAnsi="Times New Roman"/>
              </w:rPr>
              <w:t xml:space="preserve"> z</w:t>
            </w:r>
            <w:r w:rsidR="00604294">
              <w:rPr>
                <w:rFonts w:ascii="Times New Roman" w:hAnsi="Times New Roman"/>
              </w:rPr>
              <w:t> </w:t>
            </w:r>
            <w:r w:rsidR="00604294" w:rsidRPr="00604294">
              <w:rPr>
                <w:rFonts w:ascii="Times New Roman" w:hAnsi="Times New Roman"/>
              </w:rPr>
              <w:t>pie</w:t>
            </w:r>
            <w:r w:rsidRPr="00604294">
              <w:rPr>
                <w:rFonts w:ascii="Times New Roman" w:hAnsi="Times New Roman"/>
              </w:rPr>
              <w:t>rwotnym terminem zapadalności wynoszącym więcej niż sześć miesięcy jest zgłaszana</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0270 w pozycjach 1.1–1.31.</w:t>
            </w:r>
          </w:p>
          <w:p w14:paraId="228AAF2B" w14:textId="3ADD6167" w:rsidR="00ED41A4" w:rsidRPr="00604294" w:rsidRDefault="007C6B89" w:rsidP="00193B6D">
            <w:pPr>
              <w:rPr>
                <w:rFonts w:ascii="Times New Roman" w:hAnsi="Times New Roman"/>
                <w:b/>
                <w:szCs w:val="20"/>
                <w:u w:val="single"/>
              </w:rPr>
            </w:pPr>
            <w:r w:rsidRPr="00604294">
              <w:rPr>
                <w:rFonts w:ascii="Times New Roman" w:hAnsi="Times New Roman"/>
              </w:rPr>
              <w:t>Różnica netto między zapadającym finansowaniem oraz sumą finansowania prolongowanego</w:t>
            </w:r>
            <w:r w:rsidR="00604294" w:rsidRPr="00604294">
              <w:rPr>
                <w:rFonts w:ascii="Times New Roman" w:hAnsi="Times New Roman"/>
              </w:rPr>
              <w:t xml:space="preserve"> i</w:t>
            </w:r>
            <w:r w:rsidR="00604294">
              <w:rPr>
                <w:rFonts w:ascii="Times New Roman" w:hAnsi="Times New Roman"/>
              </w:rPr>
              <w:t> </w:t>
            </w:r>
            <w:r w:rsidR="00604294" w:rsidRPr="00604294">
              <w:rPr>
                <w:rFonts w:ascii="Times New Roman" w:hAnsi="Times New Roman"/>
              </w:rPr>
              <w:t>now</w:t>
            </w:r>
            <w:r w:rsidRPr="00604294">
              <w:rPr>
                <w:rFonts w:ascii="Times New Roman" w:hAnsi="Times New Roman"/>
              </w:rPr>
              <w:t>o pozyskanego finansowania jest zgłaszana</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0280 w pozycjach 1.1–1.31.</w:t>
            </w:r>
          </w:p>
        </w:tc>
      </w:tr>
      <w:tr w:rsidR="00ED41A4" w:rsidRPr="00604294" w14:paraId="26CA8238" w14:textId="77777777" w:rsidTr="00ED41A4">
        <w:trPr>
          <w:trHeight w:val="765"/>
        </w:trPr>
        <w:tc>
          <w:tcPr>
            <w:tcW w:w="729" w:type="pct"/>
            <w:shd w:val="clear" w:color="auto" w:fill="auto"/>
            <w:noWrap/>
          </w:tcPr>
          <w:p w14:paraId="5DBB902E" w14:textId="2A70BAFE" w:rsidR="00ED41A4" w:rsidRPr="00604294" w:rsidRDefault="00C90DF5" w:rsidP="00BD24C1">
            <w:pPr>
              <w:spacing w:before="0" w:after="0"/>
              <w:jc w:val="left"/>
              <w:rPr>
                <w:rFonts w:ascii="Times New Roman" w:hAnsi="Times New Roman"/>
                <w:color w:val="000000"/>
                <w:szCs w:val="20"/>
              </w:rPr>
            </w:pPr>
            <w:r w:rsidRPr="00604294">
              <w:rPr>
                <w:rFonts w:ascii="Times New Roman" w:hAnsi="Times New Roman"/>
                <w:color w:val="000000"/>
              </w:rPr>
              <w:t>0290</w:t>
            </w:r>
          </w:p>
        </w:tc>
        <w:tc>
          <w:tcPr>
            <w:tcW w:w="4271" w:type="pct"/>
            <w:shd w:val="clear" w:color="auto" w:fill="auto"/>
          </w:tcPr>
          <w:p w14:paraId="7F9724BA" w14:textId="77777777" w:rsidR="00ED41A4" w:rsidRPr="00604294" w:rsidRDefault="00ED41A4" w:rsidP="00193B6D">
            <w:pPr>
              <w:rPr>
                <w:rFonts w:ascii="Times New Roman" w:hAnsi="Times New Roman"/>
                <w:b/>
                <w:szCs w:val="20"/>
                <w:u w:val="single"/>
              </w:rPr>
            </w:pPr>
            <w:r w:rsidRPr="00604294">
              <w:rPr>
                <w:rFonts w:ascii="Times New Roman" w:hAnsi="Times New Roman"/>
                <w:b/>
                <w:u w:val="single"/>
              </w:rPr>
              <w:t>Całkowite przepływy środków pieniężnych netto</w:t>
            </w:r>
          </w:p>
          <w:p w14:paraId="6468E29D" w14:textId="2437DBFE" w:rsidR="007C6B89" w:rsidRPr="00604294" w:rsidRDefault="007C6B89" w:rsidP="001861B7">
            <w:pPr>
              <w:rPr>
                <w:rFonts w:ascii="Times New Roman" w:hAnsi="Times New Roman"/>
                <w:b/>
                <w:szCs w:val="20"/>
                <w:u w:val="single"/>
              </w:rPr>
            </w:pPr>
            <w:r w:rsidRPr="00604294">
              <w:rPr>
                <w:rFonts w:ascii="Times New Roman" w:hAnsi="Times New Roman"/>
              </w:rPr>
              <w:t>Całkowite przepływy środków pieniężnych netto równe sumie wszystkich kolumn „Netto”, tj. kolumn</w:t>
            </w:r>
            <w:r w:rsidR="00604294" w:rsidRPr="00604294">
              <w:rPr>
                <w:rFonts w:ascii="Times New Roman" w:hAnsi="Times New Roman"/>
              </w:rPr>
              <w:t xml:space="preserve"> o</w:t>
            </w:r>
            <w:r w:rsidR="00604294">
              <w:rPr>
                <w:rFonts w:ascii="Times New Roman" w:hAnsi="Times New Roman"/>
              </w:rPr>
              <w:t> </w:t>
            </w:r>
            <w:r w:rsidR="00604294" w:rsidRPr="00604294">
              <w:rPr>
                <w:rFonts w:ascii="Times New Roman" w:hAnsi="Times New Roman"/>
              </w:rPr>
              <w:t>num</w:t>
            </w:r>
            <w:r w:rsidRPr="00604294">
              <w:rPr>
                <w:rFonts w:ascii="Times New Roman" w:hAnsi="Times New Roman"/>
              </w:rPr>
              <w:t>erach 0040, 0080, 0120, 0160, 0200, 0240</w:t>
            </w:r>
            <w:r w:rsidR="00604294" w:rsidRPr="00604294">
              <w:rPr>
                <w:rFonts w:ascii="Times New Roman" w:hAnsi="Times New Roman"/>
              </w:rPr>
              <w:t xml:space="preserve"> i</w:t>
            </w:r>
            <w:r w:rsidR="00604294">
              <w:rPr>
                <w:rFonts w:ascii="Times New Roman" w:hAnsi="Times New Roman"/>
              </w:rPr>
              <w:t> </w:t>
            </w:r>
            <w:r w:rsidR="00604294" w:rsidRPr="00604294">
              <w:rPr>
                <w:rFonts w:ascii="Times New Roman" w:hAnsi="Times New Roman"/>
              </w:rPr>
              <w:t>0</w:t>
            </w:r>
            <w:r w:rsidRPr="00604294">
              <w:rPr>
                <w:rFonts w:ascii="Times New Roman" w:hAnsi="Times New Roman"/>
              </w:rPr>
              <w:t>280, są zgłaszane</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0290.</w:t>
            </w:r>
          </w:p>
        </w:tc>
      </w:tr>
      <w:tr w:rsidR="00ED41A4" w:rsidRPr="00604294" w14:paraId="18A531BD" w14:textId="77777777" w:rsidTr="00ED41A4">
        <w:trPr>
          <w:trHeight w:val="765"/>
        </w:trPr>
        <w:tc>
          <w:tcPr>
            <w:tcW w:w="729" w:type="pct"/>
            <w:shd w:val="clear" w:color="auto" w:fill="auto"/>
            <w:noWrap/>
          </w:tcPr>
          <w:p w14:paraId="41F26860" w14:textId="69FC2BF8" w:rsidR="00ED41A4" w:rsidRPr="00604294" w:rsidRDefault="00C90DF5" w:rsidP="002C0AF3">
            <w:pPr>
              <w:spacing w:before="0" w:after="0"/>
              <w:jc w:val="left"/>
              <w:rPr>
                <w:rFonts w:ascii="Times New Roman" w:hAnsi="Times New Roman"/>
                <w:color w:val="000000"/>
                <w:szCs w:val="20"/>
              </w:rPr>
            </w:pPr>
            <w:r w:rsidRPr="00604294">
              <w:rPr>
                <w:rFonts w:ascii="Times New Roman" w:hAnsi="Times New Roman"/>
                <w:color w:val="000000"/>
              </w:rPr>
              <w:t>0300 do</w:t>
            </w:r>
            <w:r w:rsidR="00604294" w:rsidRPr="00604294">
              <w:rPr>
                <w:rFonts w:ascii="Times New Roman" w:hAnsi="Times New Roman"/>
                <w:color w:val="000000"/>
              </w:rPr>
              <w:t> </w:t>
            </w:r>
            <w:r w:rsidRPr="00604294">
              <w:rPr>
                <w:rFonts w:ascii="Times New Roman" w:hAnsi="Times New Roman"/>
                <w:color w:val="000000"/>
              </w:rPr>
              <w:t>0320</w:t>
            </w:r>
          </w:p>
        </w:tc>
        <w:tc>
          <w:tcPr>
            <w:tcW w:w="4271" w:type="pct"/>
            <w:shd w:val="clear" w:color="auto" w:fill="auto"/>
          </w:tcPr>
          <w:p w14:paraId="0B9AF00A" w14:textId="77777777" w:rsidR="00ED41A4" w:rsidRPr="00604294" w:rsidRDefault="00ED41A4" w:rsidP="00193B6D">
            <w:pPr>
              <w:rPr>
                <w:rFonts w:ascii="Times New Roman" w:hAnsi="Times New Roman"/>
                <w:b/>
                <w:szCs w:val="20"/>
                <w:u w:val="single"/>
              </w:rPr>
            </w:pPr>
            <w:r w:rsidRPr="00604294">
              <w:rPr>
                <w:rFonts w:ascii="Times New Roman" w:hAnsi="Times New Roman"/>
                <w:b/>
                <w:u w:val="single"/>
              </w:rPr>
              <w:t>Średni termin (w dniach)</w:t>
            </w:r>
          </w:p>
          <w:p w14:paraId="51F755D8" w14:textId="69FCEB29" w:rsidR="007C6B89" w:rsidRPr="00604294" w:rsidRDefault="007C6B89" w:rsidP="00193B6D">
            <w:pPr>
              <w:rPr>
                <w:rFonts w:ascii="Times New Roman" w:hAnsi="Times New Roman"/>
                <w:b/>
                <w:szCs w:val="20"/>
                <w:u w:val="single"/>
              </w:rPr>
            </w:pPr>
            <w:r w:rsidRPr="00604294">
              <w:rPr>
                <w:rFonts w:ascii="Times New Roman" w:hAnsi="Times New Roman"/>
              </w:rPr>
              <w:t>Średni ważony termin (w dniach) wszystkich zapadających środków finansowych jest zgłaszany</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0300. Średni ważony termin (w dniach) wszystkich prolongowanych środków finansowych jest zgłaszany</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0310, średni ważony termin (w dniach) wszystkich nowych środków finansowych jest zgłaszany</w:t>
            </w:r>
            <w:r w:rsidR="00604294" w:rsidRPr="00604294">
              <w:rPr>
                <w:rFonts w:ascii="Times New Roman" w:hAnsi="Times New Roman"/>
              </w:rPr>
              <w:t xml:space="preserve"> w</w:t>
            </w:r>
            <w:r w:rsidR="00604294">
              <w:rPr>
                <w:rFonts w:ascii="Times New Roman" w:hAnsi="Times New Roman"/>
              </w:rPr>
              <w:t> </w:t>
            </w:r>
            <w:r w:rsidR="00604294" w:rsidRPr="00604294">
              <w:rPr>
                <w:rFonts w:ascii="Times New Roman" w:hAnsi="Times New Roman"/>
              </w:rPr>
              <w:t>kol</w:t>
            </w:r>
            <w:r w:rsidRPr="00604294">
              <w:rPr>
                <w:rFonts w:ascii="Times New Roman" w:hAnsi="Times New Roman"/>
              </w:rPr>
              <w:t>umnie 0320.</w:t>
            </w:r>
          </w:p>
        </w:tc>
      </w:tr>
    </w:tbl>
    <w:p w14:paraId="1471D337" w14:textId="02B89222" w:rsidR="00ED41A4" w:rsidRPr="00604294" w:rsidRDefault="008E1DE8" w:rsidP="004E79EF">
      <w:pPr>
        <w:pStyle w:val="InstructionsText2"/>
        <w:numPr>
          <w:ilvl w:val="0"/>
          <w:numId w:val="0"/>
        </w:numPr>
        <w:ind w:left="720"/>
        <w:rPr>
          <w:u w:val="none"/>
        </w:rPr>
      </w:pPr>
      <w:r w:rsidRPr="00604294">
        <w:rPr>
          <w:u w:val="none"/>
        </w:rPr>
        <w:t>”</w:t>
      </w:r>
    </w:p>
    <w:sectPr w:rsidR="00ED41A4" w:rsidRPr="00604294" w:rsidSect="00EA0D1D">
      <w:headerReference w:type="even" r:id="rId8"/>
      <w:footerReference w:type="default" r:id="rId9"/>
      <w:headerReference w:type="first" r:id="rId10"/>
      <w:footerReference w:type="first" r:id="rId11"/>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75964" w14:textId="77777777" w:rsidR="004963F1" w:rsidRPr="00604294" w:rsidRDefault="004963F1">
      <w:r w:rsidRPr="00604294">
        <w:separator/>
      </w:r>
    </w:p>
  </w:endnote>
  <w:endnote w:type="continuationSeparator" w:id="0">
    <w:p w14:paraId="57434B03" w14:textId="77777777" w:rsidR="004963F1" w:rsidRPr="00604294" w:rsidRDefault="004963F1">
      <w:r w:rsidRPr="00604294">
        <w:continuationSeparator/>
      </w:r>
    </w:p>
  </w:endnote>
  <w:endnote w:type="continuationNotice" w:id="1">
    <w:p w14:paraId="13420FF1" w14:textId="77777777" w:rsidR="004963F1" w:rsidRPr="00604294" w:rsidRDefault="004963F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7624507"/>
      <w:docPartObj>
        <w:docPartGallery w:val="Page Numbers (Bottom of Page)"/>
        <w:docPartUnique/>
      </w:docPartObj>
    </w:sdtPr>
    <w:sdtEndPr/>
    <w:sdtContent>
      <w:p w14:paraId="211434C3" w14:textId="1844C8E9" w:rsidR="004963F1" w:rsidRPr="00604294" w:rsidRDefault="004963F1">
        <w:pPr>
          <w:pStyle w:val="Footer"/>
          <w:jc w:val="center"/>
        </w:pPr>
        <w:r w:rsidRPr="00604294">
          <w:fldChar w:fldCharType="begin"/>
        </w:r>
        <w:r w:rsidRPr="00604294">
          <w:instrText xml:space="preserve"> PAGE   \* MERGEFORMAT </w:instrText>
        </w:r>
        <w:r w:rsidRPr="00604294">
          <w:fldChar w:fldCharType="separate"/>
        </w:r>
        <w:r w:rsidRPr="00604294">
          <w:t>13</w:t>
        </w:r>
        <w:r w:rsidRPr="00604294">
          <w:fldChar w:fldCharType="end"/>
        </w:r>
      </w:p>
    </w:sdtContent>
  </w:sdt>
  <w:p w14:paraId="4D75317D" w14:textId="77777777" w:rsidR="004963F1" w:rsidRPr="00604294" w:rsidRDefault="004963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1974065"/>
      <w:docPartObj>
        <w:docPartGallery w:val="Page Numbers (Bottom of Page)"/>
        <w:docPartUnique/>
      </w:docPartObj>
    </w:sdtPr>
    <w:sdtEndPr/>
    <w:sdtContent>
      <w:p w14:paraId="0BAAC0BA" w14:textId="02E833B2" w:rsidR="004963F1" w:rsidRPr="00604294" w:rsidRDefault="004963F1">
        <w:pPr>
          <w:pStyle w:val="Footer"/>
          <w:jc w:val="center"/>
        </w:pPr>
        <w:r w:rsidRPr="00604294">
          <w:fldChar w:fldCharType="begin"/>
        </w:r>
        <w:r w:rsidRPr="00604294">
          <w:instrText xml:space="preserve"> PAGE   \* MERGEFORMAT </w:instrText>
        </w:r>
        <w:r w:rsidRPr="00604294">
          <w:fldChar w:fldCharType="separate"/>
        </w:r>
        <w:r w:rsidRPr="00604294">
          <w:t>1</w:t>
        </w:r>
        <w:r w:rsidRPr="00604294">
          <w:fldChar w:fldCharType="end"/>
        </w:r>
      </w:p>
    </w:sdtContent>
  </w:sdt>
  <w:p w14:paraId="40D79854" w14:textId="77777777" w:rsidR="004963F1" w:rsidRPr="00604294" w:rsidRDefault="004963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5782E" w14:textId="77777777" w:rsidR="004963F1" w:rsidRPr="00604294" w:rsidRDefault="004963F1">
      <w:r w:rsidRPr="00604294">
        <w:separator/>
      </w:r>
    </w:p>
  </w:footnote>
  <w:footnote w:type="continuationSeparator" w:id="0">
    <w:p w14:paraId="0A42EA43" w14:textId="77777777" w:rsidR="004963F1" w:rsidRPr="00604294" w:rsidRDefault="004963F1">
      <w:r w:rsidRPr="00604294">
        <w:continuationSeparator/>
      </w:r>
    </w:p>
  </w:footnote>
  <w:footnote w:type="continuationNotice" w:id="1">
    <w:p w14:paraId="5F0A781D" w14:textId="77777777" w:rsidR="004963F1" w:rsidRPr="00604294" w:rsidRDefault="004963F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9CCF2" w14:textId="4A3CD16F" w:rsidR="00AC71EB" w:rsidRPr="00604294" w:rsidRDefault="00AC71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B6303" w14:textId="51D76668" w:rsidR="00AC71EB" w:rsidRPr="00604294" w:rsidRDefault="00AC71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DF24277C"/>
    <w:lvl w:ilvl="0">
      <w:start w:val="1"/>
      <w:numFmt w:val="decimal"/>
      <w:lvlText w:val="%1."/>
      <w:lvlJc w:val="left"/>
      <w:pPr>
        <w:ind w:left="714" w:hanging="357"/>
      </w:pPr>
      <w:rPr>
        <w:rFonts w:hint="default"/>
      </w:rPr>
    </w:lvl>
    <w:lvl w:ilvl="1">
      <w:start w:val="1"/>
      <w:numFmt w:val="lowerLetter"/>
      <w:lvlText w:val="%2)"/>
      <w:lvlJc w:val="left"/>
      <w:pPr>
        <w:ind w:left="717" w:hanging="360"/>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4C70C0E4"/>
    <w:lvl w:ilvl="0">
      <w:start w:val="1"/>
      <w:numFmt w:val="decimal"/>
      <w:lvlText w:val="%1."/>
      <w:lvlJc w:val="left"/>
      <w:pPr>
        <w:ind w:left="714" w:hanging="357"/>
      </w:pPr>
      <w:rPr>
        <w:rFonts w:hint="default"/>
      </w:rPr>
    </w:lvl>
    <w:lvl w:ilvl="1">
      <w:start w:val="1"/>
      <w:numFmt w:val="lowerLetter"/>
      <w:lvlText w:val="%2)"/>
      <w:lvlJc w:val="left"/>
      <w:pPr>
        <w:ind w:left="717" w:hanging="360"/>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2DCA1CCE"/>
    <w:lvl w:ilvl="0">
      <w:start w:val="1"/>
      <w:numFmt w:val="decimal"/>
      <w:lvlText w:val="%1."/>
      <w:lvlJc w:val="left"/>
      <w:pPr>
        <w:ind w:left="714" w:hanging="357"/>
      </w:pPr>
      <w:rPr>
        <w:rFonts w:hint="default"/>
      </w:rPr>
    </w:lvl>
    <w:lvl w:ilvl="1">
      <w:start w:val="1"/>
      <w:numFmt w:val="lowerLetter"/>
      <w:lvlText w:val="%2)"/>
      <w:lvlJc w:val="left"/>
      <w:pPr>
        <w:ind w:left="717" w:hanging="360"/>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16cid:durableId="1615865047">
    <w:abstractNumId w:val="31"/>
  </w:num>
  <w:num w:numId="2" w16cid:durableId="1131090597">
    <w:abstractNumId w:val="30"/>
  </w:num>
  <w:num w:numId="3" w16cid:durableId="1424571409">
    <w:abstractNumId w:val="23"/>
  </w:num>
  <w:num w:numId="4" w16cid:durableId="1189413815">
    <w:abstractNumId w:val="39"/>
  </w:num>
  <w:num w:numId="5" w16cid:durableId="1803645476">
    <w:abstractNumId w:val="37"/>
  </w:num>
  <w:num w:numId="6" w16cid:durableId="431319602">
    <w:abstractNumId w:val="26"/>
  </w:num>
  <w:num w:numId="7" w16cid:durableId="1324549350">
    <w:abstractNumId w:val="13"/>
  </w:num>
  <w:num w:numId="8" w16cid:durableId="1463380524">
    <w:abstractNumId w:val="24"/>
  </w:num>
  <w:num w:numId="9" w16cid:durableId="704869968">
    <w:abstractNumId w:val="20"/>
  </w:num>
  <w:num w:numId="10" w16cid:durableId="1040979684">
    <w:abstractNumId w:val="35"/>
  </w:num>
  <w:num w:numId="11" w16cid:durableId="2047370258">
    <w:abstractNumId w:val="27"/>
  </w:num>
  <w:num w:numId="12" w16cid:durableId="848720861">
    <w:abstractNumId w:val="18"/>
  </w:num>
  <w:num w:numId="13" w16cid:durableId="451637641">
    <w:abstractNumId w:val="21"/>
  </w:num>
  <w:num w:numId="14" w16cid:durableId="652564266">
    <w:abstractNumId w:val="34"/>
  </w:num>
  <w:num w:numId="15" w16cid:durableId="1900703074">
    <w:abstractNumId w:val="12"/>
  </w:num>
  <w:num w:numId="16" w16cid:durableId="1796093404">
    <w:abstractNumId w:val="17"/>
  </w:num>
  <w:num w:numId="17" w16cid:durableId="433093388">
    <w:abstractNumId w:val="29"/>
  </w:num>
  <w:num w:numId="18" w16cid:durableId="1215124397">
    <w:abstractNumId w:val="36"/>
  </w:num>
  <w:num w:numId="19" w16cid:durableId="1282952698">
    <w:abstractNumId w:val="38"/>
  </w:num>
  <w:num w:numId="20" w16cid:durableId="536894952">
    <w:abstractNumId w:val="32"/>
  </w:num>
  <w:num w:numId="21" w16cid:durableId="1930706">
    <w:abstractNumId w:val="33"/>
  </w:num>
  <w:num w:numId="22" w16cid:durableId="1308973953">
    <w:abstractNumId w:val="14"/>
  </w:num>
  <w:num w:numId="23" w16cid:durableId="2046128907">
    <w:abstractNumId w:val="22"/>
  </w:num>
  <w:num w:numId="24" w16cid:durableId="234702416">
    <w:abstractNumId w:val="25"/>
  </w:num>
  <w:num w:numId="25" w16cid:durableId="2101875942">
    <w:abstractNumId w:val="23"/>
  </w:num>
  <w:num w:numId="26" w16cid:durableId="1024788601">
    <w:abstractNumId w:val="23"/>
  </w:num>
  <w:num w:numId="27" w16cid:durableId="135150791">
    <w:abstractNumId w:val="23"/>
  </w:num>
  <w:num w:numId="28" w16cid:durableId="351997883">
    <w:abstractNumId w:val="19"/>
  </w:num>
  <w:num w:numId="29" w16cid:durableId="1447046053">
    <w:abstractNumId w:val="28"/>
  </w:num>
  <w:num w:numId="30" w16cid:durableId="195698450">
    <w:abstractNumId w:val="23"/>
  </w:num>
  <w:num w:numId="31" w16cid:durableId="1048070891">
    <w:abstractNumId w:val="11"/>
  </w:num>
  <w:num w:numId="32" w16cid:durableId="472793501">
    <w:abstractNumId w:val="10"/>
  </w:num>
  <w:num w:numId="33" w16cid:durableId="733040974">
    <w:abstractNumId w:val="16"/>
  </w:num>
  <w:num w:numId="34" w16cid:durableId="2132017941">
    <w:abstractNumId w:val="15"/>
  </w:num>
  <w:num w:numId="35" w16cid:durableId="39508336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72558901">
    <w:abstractNumId w:val="9"/>
  </w:num>
  <w:num w:numId="37" w16cid:durableId="1020934685">
    <w:abstractNumId w:val="7"/>
  </w:num>
  <w:num w:numId="38" w16cid:durableId="1296256966">
    <w:abstractNumId w:val="6"/>
  </w:num>
  <w:num w:numId="39" w16cid:durableId="883063104">
    <w:abstractNumId w:val="5"/>
  </w:num>
  <w:num w:numId="40" w16cid:durableId="2003854301">
    <w:abstractNumId w:val="4"/>
  </w:num>
  <w:num w:numId="41" w16cid:durableId="606012514">
    <w:abstractNumId w:val="8"/>
  </w:num>
  <w:num w:numId="42" w16cid:durableId="710693502">
    <w:abstractNumId w:val="3"/>
  </w:num>
  <w:num w:numId="43" w16cid:durableId="1932541503">
    <w:abstractNumId w:val="2"/>
  </w:num>
  <w:num w:numId="44" w16cid:durableId="48652960">
    <w:abstractNumId w:val="1"/>
  </w:num>
  <w:num w:numId="45" w16cid:durableId="245502831">
    <w:abstractNumId w:val="0"/>
  </w:num>
  <w:num w:numId="46" w16cid:durableId="930816154">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8F90A0E3"/>
  </w:docVars>
  <w:rsids>
    <w:rsidRoot w:val="00D02FE4"/>
    <w:rsid w:val="0000240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17E1"/>
    <w:rsid w:val="0005230B"/>
    <w:rsid w:val="00055633"/>
    <w:rsid w:val="00055E1B"/>
    <w:rsid w:val="00060360"/>
    <w:rsid w:val="00060467"/>
    <w:rsid w:val="000617CC"/>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4EA8"/>
    <w:rsid w:val="000B5A28"/>
    <w:rsid w:val="000B7D7C"/>
    <w:rsid w:val="000B7DC9"/>
    <w:rsid w:val="000C2E6E"/>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1AD8"/>
    <w:rsid w:val="001126F1"/>
    <w:rsid w:val="001128AA"/>
    <w:rsid w:val="00112DBB"/>
    <w:rsid w:val="00121D11"/>
    <w:rsid w:val="00124814"/>
    <w:rsid w:val="0012571F"/>
    <w:rsid w:val="00126802"/>
    <w:rsid w:val="0013252E"/>
    <w:rsid w:val="0013515D"/>
    <w:rsid w:val="00143B75"/>
    <w:rsid w:val="00144FB8"/>
    <w:rsid w:val="001456E6"/>
    <w:rsid w:val="00145AF1"/>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1F7D9E"/>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1CDD"/>
    <w:rsid w:val="00262B14"/>
    <w:rsid w:val="0026454F"/>
    <w:rsid w:val="00270986"/>
    <w:rsid w:val="002717D7"/>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07FD5"/>
    <w:rsid w:val="00313B00"/>
    <w:rsid w:val="00314E4D"/>
    <w:rsid w:val="00315C5E"/>
    <w:rsid w:val="00317DC4"/>
    <w:rsid w:val="00324A53"/>
    <w:rsid w:val="00325582"/>
    <w:rsid w:val="00327A13"/>
    <w:rsid w:val="00331993"/>
    <w:rsid w:val="0033279C"/>
    <w:rsid w:val="00335372"/>
    <w:rsid w:val="003354A5"/>
    <w:rsid w:val="00340393"/>
    <w:rsid w:val="003412B3"/>
    <w:rsid w:val="00341376"/>
    <w:rsid w:val="003439C5"/>
    <w:rsid w:val="00344C22"/>
    <w:rsid w:val="00350137"/>
    <w:rsid w:val="00351993"/>
    <w:rsid w:val="0035239A"/>
    <w:rsid w:val="00366EC4"/>
    <w:rsid w:val="003719B4"/>
    <w:rsid w:val="00380C76"/>
    <w:rsid w:val="00381264"/>
    <w:rsid w:val="00381AA0"/>
    <w:rsid w:val="00385DC8"/>
    <w:rsid w:val="0038768C"/>
    <w:rsid w:val="00391740"/>
    <w:rsid w:val="00391D31"/>
    <w:rsid w:val="00392C32"/>
    <w:rsid w:val="00397ABE"/>
    <w:rsid w:val="003A0314"/>
    <w:rsid w:val="003A05A8"/>
    <w:rsid w:val="003A0D73"/>
    <w:rsid w:val="003A1E85"/>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1446"/>
    <w:rsid w:val="003F37A5"/>
    <w:rsid w:val="003F3ABA"/>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812"/>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63F1"/>
    <w:rsid w:val="00497AF4"/>
    <w:rsid w:val="004A3BCA"/>
    <w:rsid w:val="004A3C6D"/>
    <w:rsid w:val="004A584F"/>
    <w:rsid w:val="004A5A92"/>
    <w:rsid w:val="004A6491"/>
    <w:rsid w:val="004B0626"/>
    <w:rsid w:val="004B0B5A"/>
    <w:rsid w:val="004B0C66"/>
    <w:rsid w:val="004B11F8"/>
    <w:rsid w:val="004B1998"/>
    <w:rsid w:val="004B3AC2"/>
    <w:rsid w:val="004B4004"/>
    <w:rsid w:val="004B4083"/>
    <w:rsid w:val="004B5FB9"/>
    <w:rsid w:val="004B7BE6"/>
    <w:rsid w:val="004C07D7"/>
    <w:rsid w:val="004C2178"/>
    <w:rsid w:val="004C3B19"/>
    <w:rsid w:val="004C3E5C"/>
    <w:rsid w:val="004C6B4F"/>
    <w:rsid w:val="004C7F74"/>
    <w:rsid w:val="004D0CA9"/>
    <w:rsid w:val="004D32CD"/>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2C94"/>
    <w:rsid w:val="00574D81"/>
    <w:rsid w:val="00576AAA"/>
    <w:rsid w:val="0057741E"/>
    <w:rsid w:val="005815BE"/>
    <w:rsid w:val="005816E8"/>
    <w:rsid w:val="00584AF0"/>
    <w:rsid w:val="00584B70"/>
    <w:rsid w:val="00584FCE"/>
    <w:rsid w:val="00585C03"/>
    <w:rsid w:val="005870D3"/>
    <w:rsid w:val="005873D9"/>
    <w:rsid w:val="00590EE7"/>
    <w:rsid w:val="005923E9"/>
    <w:rsid w:val="005A1A44"/>
    <w:rsid w:val="005A40BE"/>
    <w:rsid w:val="005A6A8A"/>
    <w:rsid w:val="005B086D"/>
    <w:rsid w:val="005B0C3C"/>
    <w:rsid w:val="005B3F16"/>
    <w:rsid w:val="005B47BD"/>
    <w:rsid w:val="005B58D2"/>
    <w:rsid w:val="005B6F53"/>
    <w:rsid w:val="005C0634"/>
    <w:rsid w:val="005C26CD"/>
    <w:rsid w:val="005C49A7"/>
    <w:rsid w:val="005D249C"/>
    <w:rsid w:val="005D3964"/>
    <w:rsid w:val="005D5337"/>
    <w:rsid w:val="005D5C0B"/>
    <w:rsid w:val="005E07FE"/>
    <w:rsid w:val="005E3727"/>
    <w:rsid w:val="005E4F4B"/>
    <w:rsid w:val="005E6140"/>
    <w:rsid w:val="005E6B42"/>
    <w:rsid w:val="005E719C"/>
    <w:rsid w:val="005E7F28"/>
    <w:rsid w:val="005F15EF"/>
    <w:rsid w:val="005F3E51"/>
    <w:rsid w:val="005F4FE0"/>
    <w:rsid w:val="006000AE"/>
    <w:rsid w:val="006000DF"/>
    <w:rsid w:val="00600B36"/>
    <w:rsid w:val="00604294"/>
    <w:rsid w:val="006044FF"/>
    <w:rsid w:val="00606AA5"/>
    <w:rsid w:val="00607141"/>
    <w:rsid w:val="00610C25"/>
    <w:rsid w:val="00611852"/>
    <w:rsid w:val="0061365F"/>
    <w:rsid w:val="00613F86"/>
    <w:rsid w:val="00613FC0"/>
    <w:rsid w:val="00615E05"/>
    <w:rsid w:val="00616BFA"/>
    <w:rsid w:val="00616D31"/>
    <w:rsid w:val="0062073A"/>
    <w:rsid w:val="006242C9"/>
    <w:rsid w:val="00633228"/>
    <w:rsid w:val="006339CC"/>
    <w:rsid w:val="00633C7F"/>
    <w:rsid w:val="00635DC7"/>
    <w:rsid w:val="00636713"/>
    <w:rsid w:val="00640F5C"/>
    <w:rsid w:val="0064308D"/>
    <w:rsid w:val="006508B3"/>
    <w:rsid w:val="00652C73"/>
    <w:rsid w:val="00652D30"/>
    <w:rsid w:val="00657CA9"/>
    <w:rsid w:val="006624FA"/>
    <w:rsid w:val="00665B17"/>
    <w:rsid w:val="006661EC"/>
    <w:rsid w:val="00667FEE"/>
    <w:rsid w:val="0067111B"/>
    <w:rsid w:val="00671D57"/>
    <w:rsid w:val="00672AAC"/>
    <w:rsid w:val="006761DC"/>
    <w:rsid w:val="00680C97"/>
    <w:rsid w:val="00681960"/>
    <w:rsid w:val="00683C2D"/>
    <w:rsid w:val="00684947"/>
    <w:rsid w:val="00684EB5"/>
    <w:rsid w:val="00685C79"/>
    <w:rsid w:val="00687C6A"/>
    <w:rsid w:val="006935AA"/>
    <w:rsid w:val="006942B2"/>
    <w:rsid w:val="00696661"/>
    <w:rsid w:val="006A0084"/>
    <w:rsid w:val="006A0264"/>
    <w:rsid w:val="006A5806"/>
    <w:rsid w:val="006A7234"/>
    <w:rsid w:val="006B2EB0"/>
    <w:rsid w:val="006B3AAE"/>
    <w:rsid w:val="006B55D9"/>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4B04"/>
    <w:rsid w:val="007352EA"/>
    <w:rsid w:val="007359FE"/>
    <w:rsid w:val="00735EFC"/>
    <w:rsid w:val="007363DF"/>
    <w:rsid w:val="00737FA8"/>
    <w:rsid w:val="007462FE"/>
    <w:rsid w:val="00751C9B"/>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1FAA"/>
    <w:rsid w:val="007B5DF6"/>
    <w:rsid w:val="007B6E8C"/>
    <w:rsid w:val="007C1380"/>
    <w:rsid w:val="007C2CF7"/>
    <w:rsid w:val="007C6B89"/>
    <w:rsid w:val="007D3E81"/>
    <w:rsid w:val="007D7732"/>
    <w:rsid w:val="007E0FDF"/>
    <w:rsid w:val="007E1D00"/>
    <w:rsid w:val="007E35CC"/>
    <w:rsid w:val="007E4564"/>
    <w:rsid w:val="007E45CF"/>
    <w:rsid w:val="007E5FBD"/>
    <w:rsid w:val="007E60E5"/>
    <w:rsid w:val="007F1A5A"/>
    <w:rsid w:val="007F2A5B"/>
    <w:rsid w:val="007F5684"/>
    <w:rsid w:val="0080226A"/>
    <w:rsid w:val="0081105A"/>
    <w:rsid w:val="00811DBC"/>
    <w:rsid w:val="00811F18"/>
    <w:rsid w:val="00822C02"/>
    <w:rsid w:val="00822CBC"/>
    <w:rsid w:val="0082643B"/>
    <w:rsid w:val="00830614"/>
    <w:rsid w:val="00830C80"/>
    <w:rsid w:val="00831507"/>
    <w:rsid w:val="0083376D"/>
    <w:rsid w:val="00834FEF"/>
    <w:rsid w:val="0084065D"/>
    <w:rsid w:val="008450BB"/>
    <w:rsid w:val="00845767"/>
    <w:rsid w:val="00847047"/>
    <w:rsid w:val="00847872"/>
    <w:rsid w:val="008509FB"/>
    <w:rsid w:val="00850B28"/>
    <w:rsid w:val="008533BA"/>
    <w:rsid w:val="00853590"/>
    <w:rsid w:val="0085361D"/>
    <w:rsid w:val="008563C0"/>
    <w:rsid w:val="00856DF7"/>
    <w:rsid w:val="008572F0"/>
    <w:rsid w:val="00860F92"/>
    <w:rsid w:val="00861C38"/>
    <w:rsid w:val="00861F0B"/>
    <w:rsid w:val="00874AD1"/>
    <w:rsid w:val="0087541C"/>
    <w:rsid w:val="008805C2"/>
    <w:rsid w:val="00882C3B"/>
    <w:rsid w:val="008866F8"/>
    <w:rsid w:val="008914E0"/>
    <w:rsid w:val="00895D8D"/>
    <w:rsid w:val="008A2179"/>
    <w:rsid w:val="008A3AEA"/>
    <w:rsid w:val="008A5A8E"/>
    <w:rsid w:val="008A6BEE"/>
    <w:rsid w:val="008A6DB0"/>
    <w:rsid w:val="008A7BBD"/>
    <w:rsid w:val="008B0FFF"/>
    <w:rsid w:val="008B5E16"/>
    <w:rsid w:val="008B6F84"/>
    <w:rsid w:val="008C0684"/>
    <w:rsid w:val="008C1765"/>
    <w:rsid w:val="008C2A4F"/>
    <w:rsid w:val="008C5FE9"/>
    <w:rsid w:val="008C6044"/>
    <w:rsid w:val="008C6E36"/>
    <w:rsid w:val="008C7508"/>
    <w:rsid w:val="008D06D7"/>
    <w:rsid w:val="008E0EF1"/>
    <w:rsid w:val="008E1558"/>
    <w:rsid w:val="008E1DE8"/>
    <w:rsid w:val="008E246F"/>
    <w:rsid w:val="008E6F7E"/>
    <w:rsid w:val="008E720B"/>
    <w:rsid w:val="008F1100"/>
    <w:rsid w:val="008F713F"/>
    <w:rsid w:val="008F741B"/>
    <w:rsid w:val="009032C6"/>
    <w:rsid w:val="009033C4"/>
    <w:rsid w:val="00903920"/>
    <w:rsid w:val="00905BEA"/>
    <w:rsid w:val="009077D3"/>
    <w:rsid w:val="00915FB9"/>
    <w:rsid w:val="00917EBF"/>
    <w:rsid w:val="00923DAF"/>
    <w:rsid w:val="00924773"/>
    <w:rsid w:val="00927DCB"/>
    <w:rsid w:val="0093588E"/>
    <w:rsid w:val="009406E9"/>
    <w:rsid w:val="00941293"/>
    <w:rsid w:val="00942656"/>
    <w:rsid w:val="009439F8"/>
    <w:rsid w:val="0094416B"/>
    <w:rsid w:val="0095349A"/>
    <w:rsid w:val="00953ED6"/>
    <w:rsid w:val="00967FEB"/>
    <w:rsid w:val="009716FC"/>
    <w:rsid w:val="00973AB9"/>
    <w:rsid w:val="00980392"/>
    <w:rsid w:val="00984332"/>
    <w:rsid w:val="00984E98"/>
    <w:rsid w:val="009858E2"/>
    <w:rsid w:val="00993639"/>
    <w:rsid w:val="00993FD7"/>
    <w:rsid w:val="00996171"/>
    <w:rsid w:val="00997FF8"/>
    <w:rsid w:val="009A007E"/>
    <w:rsid w:val="009A1AF1"/>
    <w:rsid w:val="009A1C01"/>
    <w:rsid w:val="009A329A"/>
    <w:rsid w:val="009A3908"/>
    <w:rsid w:val="009A3C44"/>
    <w:rsid w:val="009A6003"/>
    <w:rsid w:val="009A7D3C"/>
    <w:rsid w:val="009B3023"/>
    <w:rsid w:val="009B6ECF"/>
    <w:rsid w:val="009C0493"/>
    <w:rsid w:val="009C059B"/>
    <w:rsid w:val="009C1A02"/>
    <w:rsid w:val="009C2EFD"/>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00"/>
    <w:rsid w:val="00A12862"/>
    <w:rsid w:val="00A14235"/>
    <w:rsid w:val="00A156BF"/>
    <w:rsid w:val="00A16318"/>
    <w:rsid w:val="00A170B7"/>
    <w:rsid w:val="00A17921"/>
    <w:rsid w:val="00A20F92"/>
    <w:rsid w:val="00A211F3"/>
    <w:rsid w:val="00A22B53"/>
    <w:rsid w:val="00A344AA"/>
    <w:rsid w:val="00A34A28"/>
    <w:rsid w:val="00A366AF"/>
    <w:rsid w:val="00A37110"/>
    <w:rsid w:val="00A37629"/>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1DF6"/>
    <w:rsid w:val="00AA444D"/>
    <w:rsid w:val="00AB115A"/>
    <w:rsid w:val="00AB3F48"/>
    <w:rsid w:val="00AB511C"/>
    <w:rsid w:val="00AB5368"/>
    <w:rsid w:val="00AB571E"/>
    <w:rsid w:val="00AB5B18"/>
    <w:rsid w:val="00AC0317"/>
    <w:rsid w:val="00AC22EE"/>
    <w:rsid w:val="00AC39DB"/>
    <w:rsid w:val="00AC3BFE"/>
    <w:rsid w:val="00AC4973"/>
    <w:rsid w:val="00AC59C8"/>
    <w:rsid w:val="00AC71EB"/>
    <w:rsid w:val="00AD2381"/>
    <w:rsid w:val="00AD3ACF"/>
    <w:rsid w:val="00AE0498"/>
    <w:rsid w:val="00AE1776"/>
    <w:rsid w:val="00AE4DC6"/>
    <w:rsid w:val="00AE57CE"/>
    <w:rsid w:val="00AE6A00"/>
    <w:rsid w:val="00AE6CE2"/>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27433"/>
    <w:rsid w:val="00B35074"/>
    <w:rsid w:val="00B36E31"/>
    <w:rsid w:val="00B37656"/>
    <w:rsid w:val="00B4190D"/>
    <w:rsid w:val="00B42977"/>
    <w:rsid w:val="00B438C1"/>
    <w:rsid w:val="00B44BEB"/>
    <w:rsid w:val="00B46A1C"/>
    <w:rsid w:val="00B47B29"/>
    <w:rsid w:val="00B5260F"/>
    <w:rsid w:val="00B53634"/>
    <w:rsid w:val="00B53EFA"/>
    <w:rsid w:val="00B57EE3"/>
    <w:rsid w:val="00B61B93"/>
    <w:rsid w:val="00B664FB"/>
    <w:rsid w:val="00B7256A"/>
    <w:rsid w:val="00B75B03"/>
    <w:rsid w:val="00B77BC1"/>
    <w:rsid w:val="00B80BC8"/>
    <w:rsid w:val="00B83A09"/>
    <w:rsid w:val="00B83BF9"/>
    <w:rsid w:val="00B8464D"/>
    <w:rsid w:val="00B86EF3"/>
    <w:rsid w:val="00B8775C"/>
    <w:rsid w:val="00B90134"/>
    <w:rsid w:val="00B91AC8"/>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20BC"/>
    <w:rsid w:val="00C439B6"/>
    <w:rsid w:val="00C43AE5"/>
    <w:rsid w:val="00C4472D"/>
    <w:rsid w:val="00C46001"/>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0DF5"/>
    <w:rsid w:val="00C93CDB"/>
    <w:rsid w:val="00CA22C7"/>
    <w:rsid w:val="00CA44A9"/>
    <w:rsid w:val="00CB458B"/>
    <w:rsid w:val="00CB4B2D"/>
    <w:rsid w:val="00CB5391"/>
    <w:rsid w:val="00CC075F"/>
    <w:rsid w:val="00CC3091"/>
    <w:rsid w:val="00CC4622"/>
    <w:rsid w:val="00CC4773"/>
    <w:rsid w:val="00CC5F0C"/>
    <w:rsid w:val="00CC72E1"/>
    <w:rsid w:val="00CD0CF5"/>
    <w:rsid w:val="00CD20D9"/>
    <w:rsid w:val="00CD37EB"/>
    <w:rsid w:val="00CD413A"/>
    <w:rsid w:val="00CD5D3A"/>
    <w:rsid w:val="00CD6485"/>
    <w:rsid w:val="00CD7B74"/>
    <w:rsid w:val="00CD7EDA"/>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B41D2"/>
    <w:rsid w:val="00DC0505"/>
    <w:rsid w:val="00DC14B6"/>
    <w:rsid w:val="00DC3860"/>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272B2"/>
    <w:rsid w:val="00E332B3"/>
    <w:rsid w:val="00E37FBE"/>
    <w:rsid w:val="00E40009"/>
    <w:rsid w:val="00E42487"/>
    <w:rsid w:val="00E438CE"/>
    <w:rsid w:val="00E45292"/>
    <w:rsid w:val="00E47DCC"/>
    <w:rsid w:val="00E53421"/>
    <w:rsid w:val="00E5380D"/>
    <w:rsid w:val="00E542C4"/>
    <w:rsid w:val="00E600BD"/>
    <w:rsid w:val="00E60FCF"/>
    <w:rsid w:val="00E61B2A"/>
    <w:rsid w:val="00E6690A"/>
    <w:rsid w:val="00E7382F"/>
    <w:rsid w:val="00E82B0B"/>
    <w:rsid w:val="00E83154"/>
    <w:rsid w:val="00E851E7"/>
    <w:rsid w:val="00E872E3"/>
    <w:rsid w:val="00E8757D"/>
    <w:rsid w:val="00E87718"/>
    <w:rsid w:val="00E87A50"/>
    <w:rsid w:val="00E930DD"/>
    <w:rsid w:val="00E95ABE"/>
    <w:rsid w:val="00EA0D1D"/>
    <w:rsid w:val="00EA16D9"/>
    <w:rsid w:val="00EA295B"/>
    <w:rsid w:val="00EB2AD3"/>
    <w:rsid w:val="00EB3391"/>
    <w:rsid w:val="00EB6257"/>
    <w:rsid w:val="00EB74E5"/>
    <w:rsid w:val="00EC49B0"/>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E3A"/>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85A"/>
    <w:rsid w:val="00F73C93"/>
    <w:rsid w:val="00F8179F"/>
    <w:rsid w:val="00F82329"/>
    <w:rsid w:val="00F900C8"/>
    <w:rsid w:val="00F90BC3"/>
    <w:rsid w:val="00F90EC0"/>
    <w:rsid w:val="00F930B6"/>
    <w:rsid w:val="00F9633E"/>
    <w:rsid w:val="00F9747D"/>
    <w:rsid w:val="00F976A1"/>
    <w:rsid w:val="00FA3DF6"/>
    <w:rsid w:val="00FA4B50"/>
    <w:rsid w:val="00FA63BD"/>
    <w:rsid w:val="00FB19FD"/>
    <w:rsid w:val="00FB23B6"/>
    <w:rsid w:val="00FB62A2"/>
    <w:rsid w:val="00FB6A85"/>
    <w:rsid w:val="00FB793B"/>
    <w:rsid w:val="00FB7D8F"/>
    <w:rsid w:val="00FB7E07"/>
    <w:rsid w:val="00FC0D7C"/>
    <w:rsid w:val="00FC39B7"/>
    <w:rsid w:val="00FC506E"/>
    <w:rsid w:val="00FC5A4F"/>
    <w:rsid w:val="00FD0B99"/>
    <w:rsid w:val="00FD1CD2"/>
    <w:rsid w:val="00FD240F"/>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pl-PL"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pl-PL"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pl-PL"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pl-PL" w:eastAsia="en-US" w:bidi="ar-SA"/>
    </w:rPr>
  </w:style>
  <w:style w:type="character" w:customStyle="1" w:styleId="FunoteChar">
    <w:name w:val="Fußnote Char"/>
    <w:aliases w:val=" Char Char Char"/>
    <w:semiHidden/>
    <w:rsid w:val="009D253B"/>
    <w:rPr>
      <w:rFonts w:ascii="Arial" w:hAnsi="Arial"/>
      <w:sz w:val="18"/>
      <w:lang w:val="pl-PL"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pl-PL"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pl-PL"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pl-PL"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pl-PL"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pl-PL" w:eastAsia="de-AT"/>
    </w:rPr>
  </w:style>
  <w:style w:type="character" w:customStyle="1" w:styleId="BalloonTextChar">
    <w:name w:val="Balloon Text Char"/>
    <w:link w:val="BalloonText"/>
    <w:semiHidden/>
    <w:rsid w:val="00167536"/>
    <w:rPr>
      <w:rFonts w:ascii="Tahoma" w:hAnsi="Tahoma" w:cs="Tahoma"/>
      <w:sz w:val="16"/>
      <w:szCs w:val="16"/>
      <w:lang w:val="pl-PL" w:eastAsia="en-US"/>
    </w:rPr>
  </w:style>
  <w:style w:type="character" w:customStyle="1" w:styleId="PlainTextChar">
    <w:name w:val="Plain Text Char"/>
    <w:link w:val="PlainText"/>
    <w:semiHidden/>
    <w:rsid w:val="00167536"/>
    <w:rPr>
      <w:rFonts w:ascii="Consolas" w:hAnsi="Consolas"/>
      <w:sz w:val="21"/>
      <w:szCs w:val="21"/>
      <w:lang w:val="pl-PL"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pl-PL" w:eastAsia="en-US"/>
    </w:rPr>
  </w:style>
  <w:style w:type="character" w:customStyle="1" w:styleId="FooterCoverPageChar">
    <w:name w:val="Footer Cover Page Char"/>
    <w:link w:val="FooterCoverPage"/>
    <w:rsid w:val="00167536"/>
    <w:rPr>
      <w:color w:val="4F81BD"/>
      <w:sz w:val="24"/>
      <w:szCs w:val="24"/>
      <w:lang w:val="pl-PL"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pl-PL"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pl-P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1812088056">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C56F59-E35F-4DD3-823C-9851D7732A8B}">
  <ds:schemaRefs>
    <ds:schemaRef ds:uri="http://schemas.openxmlformats.org/officeDocument/2006/bibliography"/>
  </ds:schemaRefs>
</ds:datastoreItem>
</file>

<file path=customXml/itemProps2.xml><?xml version="1.0" encoding="utf-8"?>
<ds:datastoreItem xmlns:ds="http://schemas.openxmlformats.org/officeDocument/2006/customXml" ds:itemID="{1332E724-7A84-4883-ACCB-D7545066D7CF}"/>
</file>

<file path=customXml/itemProps3.xml><?xml version="1.0" encoding="utf-8"?>
<ds:datastoreItem xmlns:ds="http://schemas.openxmlformats.org/officeDocument/2006/customXml" ds:itemID="{AC12E79B-7BA7-4DAB-8EEA-1C4700D6F9CF}"/>
</file>

<file path=customXml/itemProps4.xml><?xml version="1.0" encoding="utf-8"?>
<ds:datastoreItem xmlns:ds="http://schemas.openxmlformats.org/officeDocument/2006/customXml" ds:itemID="{8100CCC5-E0D0-4BBA-91CB-57D0B9F8278F}"/>
</file>

<file path=docProps/app.xml><?xml version="1.0" encoding="utf-8"?>
<Properties xmlns="http://schemas.openxmlformats.org/officeDocument/2006/extended-properties" xmlns:vt="http://schemas.openxmlformats.org/officeDocument/2006/docPropsVTypes">
  <Template>Normal</Template>
  <TotalTime>0</TotalTime>
  <Pages>14</Pages>
  <Words>5181</Words>
  <Characters>33043</Characters>
  <Application>Microsoft Office Word</Application>
  <DocSecurity>0</DocSecurity>
  <Lines>734</Lines>
  <Paragraphs>341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37883</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2022-07-08T07:29:00Z</dcterms:created>
  <dcterms:modified xsi:type="dcterms:W3CDTF">2025-01-27T14:38:00Z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e66ba66e-8b7b-475b-ae81-4aab15d5f212_Enabled">
    <vt:lpwstr>true</vt:lpwstr>
  </property>
  <property fmtid="{D5CDD505-2E9C-101B-9397-08002B2CF9AE}" pid="6" name="MSIP_Label_e66ba66e-8b7b-475b-ae81-4aab15d5f212_SetDate">
    <vt:lpwstr>2022-03-03T13:14:31Z</vt:lpwstr>
  </property>
  <property fmtid="{D5CDD505-2E9C-101B-9397-08002B2CF9AE}" pid="7" name="MSIP_Label_e66ba66e-8b7b-475b-ae81-4aab15d5f212_Method">
    <vt:lpwstr>Privileged</vt:lpwstr>
  </property>
  <property fmtid="{D5CDD505-2E9C-101B-9397-08002B2CF9AE}" pid="8" name="MSIP_Label_e66ba66e-8b7b-475b-ae81-4aab15d5f212_Name">
    <vt:lpwstr>No Label</vt:lpwstr>
  </property>
  <property fmtid="{D5CDD505-2E9C-101B-9397-08002B2CF9AE}" pid="9" name="MSIP_Label_e66ba66e-8b7b-475b-ae81-4aab15d5f212_SiteId">
    <vt:lpwstr>3bacb4ff-f1a2-4c92-b96c-e99fec826b68</vt:lpwstr>
  </property>
  <property fmtid="{D5CDD505-2E9C-101B-9397-08002B2CF9AE}" pid="10" name="MSIP_Label_e66ba66e-8b7b-475b-ae81-4aab15d5f212_ActionId">
    <vt:lpwstr>b0528036-be46-433f-85dd-64ecd5a252fe</vt:lpwstr>
  </property>
  <property fmtid="{D5CDD505-2E9C-101B-9397-08002B2CF9AE}" pid="11" name="MSIP_Label_e66ba66e-8b7b-475b-ae81-4aab15d5f212_ContentBits">
    <vt:lpwstr>0</vt:lpwstr>
  </property>
  <property fmtid="{D5CDD505-2E9C-101B-9397-08002B2CF9AE}" pid="12" name="MSIP_Label_6bd9ddd1-4d20-43f6-abfa-fc3c07406f94_Enabled">
    <vt:lpwstr>true</vt:lpwstr>
  </property>
  <property fmtid="{D5CDD505-2E9C-101B-9397-08002B2CF9AE}" pid="13" name="MSIP_Label_6bd9ddd1-4d20-43f6-abfa-fc3c07406f94_SetDate">
    <vt:lpwstr>2025-01-23T18:07:44Z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32b665e3-c4dc-4a87-b04e-63325a092c98</vt:lpwstr>
  </property>
  <property fmtid="{D5CDD505-2E9C-101B-9397-08002B2CF9AE}" pid="18" name="MSIP_Label_6bd9ddd1-4d20-43f6-abfa-fc3c07406f94_ContentBits">
    <vt:lpwstr>0</vt:lpwstr>
  </property>
  <property fmtid="{D5CDD505-2E9C-101B-9397-08002B2CF9AE}" pid="19" name="ContentTypeId">
    <vt:lpwstr>0x010100A640DC13EB184F4EBE5AA21BE9F247DB</vt:lpwstr>
  </property>
</Properties>
</file>