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Pr="000644D4" w:rsidRDefault="00AB3AA8" w:rsidP="00AB3AA8">
      <w:pPr>
        <w:jc w:val="center"/>
        <w:rPr>
          <w:rFonts w:ascii="Times New Roman" w:hAnsi="Times New Roman"/>
          <w:sz w:val="24"/>
          <w:szCs w:val="22"/>
        </w:rPr>
      </w:pPr>
      <w:r w:rsidRPr="000644D4">
        <w:rPr>
          <w:rFonts w:ascii="Times New Roman" w:hAnsi="Times New Roman"/>
          <w:sz w:val="24"/>
        </w:rPr>
        <w:t>PL</w:t>
      </w:r>
    </w:p>
    <w:p w14:paraId="21950E32" w14:textId="77777777" w:rsidR="00AB3AA8" w:rsidRPr="000644D4" w:rsidRDefault="00AB3AA8" w:rsidP="00AB3AA8">
      <w:pPr>
        <w:rPr>
          <w:rFonts w:asciiTheme="minorHAnsi" w:hAnsiTheme="minorHAnsi"/>
          <w:sz w:val="22"/>
        </w:rPr>
      </w:pPr>
    </w:p>
    <w:p w14:paraId="7630D4F1" w14:textId="77777777" w:rsidR="00393F1E" w:rsidRPr="000644D4" w:rsidRDefault="00393F1E" w:rsidP="00393F1E">
      <w:pPr>
        <w:jc w:val="center"/>
        <w:rPr>
          <w:rFonts w:ascii="Times New Roman" w:hAnsi="Times New Roman"/>
          <w:sz w:val="24"/>
        </w:rPr>
      </w:pPr>
      <w:r w:rsidRPr="000644D4">
        <w:rPr>
          <w:rFonts w:ascii="Times New Roman" w:hAnsi="Times New Roman"/>
          <w:sz w:val="24"/>
        </w:rPr>
        <w:t>ZAŁĄCZNIK II</w:t>
      </w:r>
    </w:p>
    <w:p w14:paraId="4A662760" w14:textId="77777777" w:rsidR="00393F1E" w:rsidRPr="000644D4" w:rsidRDefault="00393F1E" w:rsidP="00393F1E">
      <w:pPr>
        <w:jc w:val="center"/>
        <w:rPr>
          <w:rFonts w:ascii="Times New Roman" w:hAnsi="Times New Roman"/>
          <w:sz w:val="24"/>
        </w:rPr>
      </w:pPr>
      <w:r w:rsidRPr="000644D4">
        <w:rPr>
          <w:rFonts w:ascii="Times New Roman" w:hAnsi="Times New Roman"/>
          <w:sz w:val="24"/>
        </w:rPr>
        <w:t>„ZAŁĄCZNIK II</w:t>
      </w:r>
    </w:p>
    <w:p w14:paraId="4C01682A" w14:textId="77777777" w:rsidR="00393F1E" w:rsidRPr="000644D4" w:rsidRDefault="00393F1E" w:rsidP="00393F1E">
      <w:pPr>
        <w:jc w:val="center"/>
        <w:rPr>
          <w:rFonts w:ascii="Times New Roman" w:hAnsi="Times New Roman"/>
          <w:b/>
          <w:sz w:val="24"/>
        </w:rPr>
      </w:pPr>
      <w:r w:rsidRPr="000644D4">
        <w:rPr>
          <w:rFonts w:ascii="Times New Roman" w:hAnsi="Times New Roman"/>
          <w:b/>
          <w:sz w:val="24"/>
        </w:rPr>
        <w:t>INSTRUKCJE DOTYCZĄCE SPRAWOZDAWCZOŚCI W ZAKRESIE FUNDUSZY WŁASNYCH ORAZ WYMOGÓW W ZAKRESIE FUNDUSZY WŁASNYCH</w:t>
      </w:r>
    </w:p>
    <w:p w14:paraId="6B9B322A" w14:textId="77777777" w:rsidR="00E26A90" w:rsidRPr="000644D4" w:rsidRDefault="00E26A90"/>
    <w:p w14:paraId="0A62D0FD" w14:textId="77777777" w:rsidR="00626DD7" w:rsidRPr="000644D4" w:rsidRDefault="00626DD7" w:rsidP="00626DD7">
      <w:pPr>
        <w:spacing w:before="0" w:after="0"/>
        <w:jc w:val="left"/>
        <w:rPr>
          <w:rStyle w:val="InstructionsTabelleText"/>
          <w:rFonts w:ascii="Times New Roman" w:hAnsi="Times New Roman"/>
          <w:b/>
          <w:bCs/>
          <w:sz w:val="24"/>
          <w:u w:val="single"/>
        </w:rPr>
      </w:pPr>
      <w:r w:rsidRPr="000644D4">
        <w:rPr>
          <w:rStyle w:val="InstructionsTabelleText"/>
          <w:rFonts w:ascii="Times New Roman" w:hAnsi="Times New Roman"/>
          <w:b/>
          <w:sz w:val="24"/>
          <w:u w:val="single"/>
        </w:rPr>
        <w:t>CZĘŚĆ II: INSTRUKCJE DOTYCZĄCE WZORÓW</w:t>
      </w:r>
    </w:p>
    <w:p w14:paraId="0BF83CF9" w14:textId="77777777" w:rsidR="00626DD7" w:rsidRPr="000644D4" w:rsidRDefault="00626DD7" w:rsidP="00626DD7">
      <w:pPr>
        <w:spacing w:before="0" w:after="0"/>
        <w:jc w:val="left"/>
        <w:rPr>
          <w:rStyle w:val="InstructionsTabelleText"/>
          <w:rFonts w:ascii="Times New Roman" w:hAnsi="Times New Roman"/>
          <w:sz w:val="24"/>
        </w:rPr>
      </w:pPr>
      <w:r w:rsidRPr="000644D4">
        <w:rPr>
          <w:rStyle w:val="InstructionsTabelleText"/>
          <w:rFonts w:ascii="Times New Roman" w:hAnsi="Times New Roman"/>
          <w:sz w:val="24"/>
        </w:rPr>
        <w:t xml:space="preserve"> </w:t>
      </w:r>
    </w:p>
    <w:p w14:paraId="4D47E5BD" w14:textId="77777777" w:rsidR="00626DD7" w:rsidRPr="000644D4" w:rsidRDefault="00626DD7" w:rsidP="00626DD7">
      <w:pPr>
        <w:spacing w:before="0" w:after="0"/>
        <w:jc w:val="left"/>
        <w:rPr>
          <w:rStyle w:val="InstructionsTabelleText"/>
          <w:rFonts w:ascii="Times New Roman" w:hAnsi="Times New Roman"/>
          <w:sz w:val="24"/>
        </w:rPr>
      </w:pPr>
      <w:r w:rsidRPr="000644D4">
        <w:rPr>
          <w:rStyle w:val="InstructionsTabelleText"/>
          <w:rFonts w:ascii="Times New Roman" w:hAnsi="Times New Roman"/>
          <w:sz w:val="24"/>
        </w:rPr>
        <w:t>(…)</w:t>
      </w:r>
    </w:p>
    <w:p w14:paraId="19E744EA" w14:textId="77777777" w:rsidR="00626DD7" w:rsidRPr="000644D4" w:rsidRDefault="00626DD7"/>
    <w:p w14:paraId="3B628AE5" w14:textId="39A45B09" w:rsidR="00FB3D09" w:rsidRPr="000644D4" w:rsidRDefault="00582B0D" w:rsidP="00FB3D09">
      <w:pPr>
        <w:pStyle w:val="Instructionsberschrift2"/>
        <w:numPr>
          <w:ilvl w:val="0"/>
          <w:numId w:val="0"/>
        </w:numPr>
        <w:ind w:left="357" w:hanging="357"/>
        <w:rPr>
          <w:rFonts w:ascii="Times New Roman" w:hAnsi="Times New Roman" w:cs="Times New Roman"/>
          <w:sz w:val="24"/>
        </w:rPr>
      </w:pPr>
      <w:r w:rsidRPr="000644D4">
        <w:rPr>
          <w:rFonts w:ascii="Times New Roman" w:hAnsi="Times New Roman"/>
          <w:sz w:val="24"/>
        </w:rPr>
        <w:t>3.3 Ryzyko kredytowe</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yko kredytowe kontrahenta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zak</w:t>
      </w:r>
      <w:r w:rsidRPr="000644D4">
        <w:rPr>
          <w:rFonts w:ascii="Times New Roman" w:hAnsi="Times New Roman"/>
          <w:sz w:val="24"/>
        </w:rPr>
        <w:t>resie funduszy własnych według metody IRB (CR IRB)</w:t>
      </w:r>
    </w:p>
    <w:p w14:paraId="4E7759A8" w14:textId="77777777" w:rsidR="00FB3D09" w:rsidRPr="000644D4"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0644D4">
        <w:rPr>
          <w:rFonts w:ascii="Times New Roman" w:hAnsi="Times New Roman"/>
          <w:sz w:val="24"/>
          <w:u w:val="none"/>
        </w:rPr>
        <w:t>3.3.1.</w:t>
      </w:r>
      <w:r w:rsidRPr="000644D4">
        <w:tab/>
      </w:r>
      <w:r w:rsidRPr="000644D4">
        <w:rPr>
          <w:rFonts w:ascii="Times New Roman" w:hAnsi="Times New Roman"/>
          <w:sz w:val="24"/>
        </w:rPr>
        <w:t>Zakres wzoru CR IRB</w:t>
      </w:r>
      <w:bookmarkEnd w:id="0"/>
      <w:bookmarkEnd w:id="1"/>
      <w:bookmarkEnd w:id="2"/>
    </w:p>
    <w:p w14:paraId="53B757C0" w14:textId="77777777" w:rsidR="00FB3D09" w:rsidRPr="000644D4" w:rsidRDefault="00FB3D09" w:rsidP="00FB3D09">
      <w:pPr>
        <w:pStyle w:val="InstructionsText2"/>
        <w:numPr>
          <w:ilvl w:val="0"/>
          <w:numId w:val="0"/>
        </w:numPr>
        <w:ind w:left="993"/>
      </w:pPr>
      <w:r w:rsidRPr="000644D4">
        <w:fldChar w:fldCharType="begin"/>
      </w:r>
      <w:r w:rsidRPr="000644D4">
        <w:instrText xml:space="preserve"> seq paragraphs </w:instrText>
      </w:r>
      <w:r w:rsidRPr="000644D4">
        <w:fldChar w:fldCharType="separate"/>
      </w:r>
      <w:r w:rsidRPr="000644D4">
        <w:t>72</w:t>
      </w:r>
      <w:r w:rsidRPr="000644D4">
        <w:fldChar w:fldCharType="end"/>
      </w:r>
      <w:r w:rsidRPr="000644D4">
        <w:t>.</w:t>
      </w:r>
      <w:r w:rsidRPr="000644D4">
        <w:tab/>
        <w:t>Zakres wzoru CR IRB obejmuje:</w:t>
      </w:r>
    </w:p>
    <w:p w14:paraId="3BAE32CC" w14:textId="4EE68A9F" w:rsidR="00FB3D09" w:rsidRPr="000644D4" w:rsidRDefault="00FB3D09" w:rsidP="00FB3D09">
      <w:pPr>
        <w:pStyle w:val="InstructionsText2"/>
        <w:numPr>
          <w:ilvl w:val="0"/>
          <w:numId w:val="0"/>
        </w:numPr>
        <w:ind w:left="993"/>
      </w:pPr>
      <w:r w:rsidRPr="000644D4">
        <w:t>i.</w:t>
      </w:r>
      <w:r w:rsidRPr="000644D4">
        <w:tab/>
        <w:t>ryzyko kredytowe</w:t>
      </w:r>
      <w:r w:rsidR="000644D4" w:rsidRPr="000644D4">
        <w:t xml:space="preserve"> w</w:t>
      </w:r>
      <w:r w:rsidR="000644D4">
        <w:t> </w:t>
      </w:r>
      <w:r w:rsidR="000644D4" w:rsidRPr="000644D4">
        <w:t>por</w:t>
      </w:r>
      <w:r w:rsidRPr="000644D4">
        <w:t>tfelu bankowym,</w:t>
      </w:r>
      <w:r w:rsidR="000644D4" w:rsidRPr="000644D4">
        <w:t xml:space="preserve"> w</w:t>
      </w:r>
      <w:r w:rsidR="000644D4">
        <w:t> </w:t>
      </w:r>
      <w:r w:rsidR="000644D4" w:rsidRPr="000644D4">
        <w:t>tym</w:t>
      </w:r>
      <w:r w:rsidRPr="000644D4">
        <w:t>:</w:t>
      </w:r>
    </w:p>
    <w:p w14:paraId="24DF91FB" w14:textId="2448673A" w:rsidR="00FB3D09" w:rsidRPr="000644D4" w:rsidRDefault="00FB3D09" w:rsidP="00FB3D09">
      <w:pPr>
        <w:pStyle w:val="InstructionsText2"/>
        <w:numPr>
          <w:ilvl w:val="0"/>
          <w:numId w:val="0"/>
        </w:numPr>
        <w:ind w:left="993"/>
      </w:pPr>
      <w:r w:rsidRPr="000644D4">
        <w:t>ryzyko kredytowe kontrahenta</w:t>
      </w:r>
      <w:r w:rsidR="000644D4" w:rsidRPr="000644D4">
        <w:t xml:space="preserve"> w</w:t>
      </w:r>
      <w:r w:rsidR="000644D4">
        <w:t> </w:t>
      </w:r>
      <w:r w:rsidR="000644D4" w:rsidRPr="000644D4">
        <w:t>por</w:t>
      </w:r>
      <w:r w:rsidRPr="000644D4">
        <w:t>tfelu bankowym;</w:t>
      </w:r>
    </w:p>
    <w:p w14:paraId="2FF003CE" w14:textId="77777777" w:rsidR="00FB3D09" w:rsidRPr="000644D4" w:rsidRDefault="00FB3D09" w:rsidP="00FB3D09">
      <w:pPr>
        <w:pStyle w:val="InstructionsText2"/>
        <w:numPr>
          <w:ilvl w:val="0"/>
          <w:numId w:val="0"/>
        </w:numPr>
        <w:ind w:left="993"/>
      </w:pPr>
      <w:r w:rsidRPr="000644D4">
        <w:t>ryzyko rozmycia dotyczące nabytych wierzytelności;</w:t>
      </w:r>
    </w:p>
    <w:p w14:paraId="25CEC377" w14:textId="7B434F29" w:rsidR="00FB3D09" w:rsidRPr="000644D4" w:rsidRDefault="00FB3D09" w:rsidP="00FB3D09">
      <w:pPr>
        <w:pStyle w:val="InstructionsText2"/>
        <w:numPr>
          <w:ilvl w:val="0"/>
          <w:numId w:val="0"/>
        </w:numPr>
        <w:ind w:left="993"/>
      </w:pPr>
      <w:r w:rsidRPr="000644D4">
        <w:t>ii.</w:t>
      </w:r>
      <w:r w:rsidRPr="000644D4">
        <w:tab/>
        <w:t>ryzyko kredytowe kontrahenta</w:t>
      </w:r>
      <w:r w:rsidR="000644D4" w:rsidRPr="000644D4">
        <w:t xml:space="preserve"> w</w:t>
      </w:r>
      <w:r w:rsidR="000644D4">
        <w:t> </w:t>
      </w:r>
      <w:r w:rsidR="000644D4" w:rsidRPr="000644D4">
        <w:t>por</w:t>
      </w:r>
      <w:r w:rsidRPr="000644D4">
        <w:t>tfelu handlowym;</w:t>
      </w:r>
    </w:p>
    <w:p w14:paraId="082D669A" w14:textId="183B89B3" w:rsidR="00FB3D09" w:rsidRPr="000644D4" w:rsidRDefault="00FB3D09" w:rsidP="00FB3D09">
      <w:pPr>
        <w:pStyle w:val="InstructionsText2"/>
        <w:numPr>
          <w:ilvl w:val="0"/>
          <w:numId w:val="0"/>
        </w:numPr>
        <w:ind w:left="993"/>
      </w:pPr>
      <w:r w:rsidRPr="000644D4">
        <w:t>iii.</w:t>
      </w:r>
      <w:r w:rsidRPr="000644D4">
        <w:tab/>
        <w:t>dostawy</w:t>
      </w:r>
      <w:r w:rsidR="000644D4" w:rsidRPr="000644D4">
        <w:t xml:space="preserve"> z</w:t>
      </w:r>
      <w:r w:rsidR="000644D4">
        <w:t> </w:t>
      </w:r>
      <w:r w:rsidR="000644D4" w:rsidRPr="000644D4">
        <w:t>póź</w:t>
      </w:r>
      <w:r w:rsidRPr="000644D4">
        <w:t>niejszym terminem rozliczenia wynikające</w:t>
      </w:r>
      <w:r w:rsidR="000644D4" w:rsidRPr="000644D4">
        <w:t xml:space="preserve"> z</w:t>
      </w:r>
      <w:r w:rsidR="000644D4">
        <w:t> </w:t>
      </w:r>
      <w:r w:rsidR="000644D4" w:rsidRPr="000644D4">
        <w:t>cał</w:t>
      </w:r>
      <w:r w:rsidRPr="000644D4">
        <w:t>ej działalności gospodarczej.</w:t>
      </w:r>
    </w:p>
    <w:p w14:paraId="50C5E887" w14:textId="209BA72A" w:rsidR="00FB3D09" w:rsidRPr="000644D4" w:rsidRDefault="00FB3D09" w:rsidP="00FB3D09">
      <w:pPr>
        <w:pStyle w:val="InstructionsText2"/>
        <w:numPr>
          <w:ilvl w:val="0"/>
          <w:numId w:val="0"/>
        </w:numPr>
        <w:ind w:left="993"/>
      </w:pPr>
      <w:r w:rsidRPr="000644D4">
        <w:t>73.</w:t>
      </w:r>
      <w:r w:rsidRPr="000644D4">
        <w:tab/>
        <w:t>Zakres tego wzoru odnosi się do ekspozycji,</w:t>
      </w:r>
      <w:r w:rsidR="000644D4" w:rsidRPr="000644D4">
        <w:t xml:space="preserve"> w</w:t>
      </w:r>
      <w:r w:rsidR="000644D4">
        <w:t> </w:t>
      </w:r>
      <w:r w:rsidR="000644D4" w:rsidRPr="000644D4">
        <w:t>odn</w:t>
      </w:r>
      <w:r w:rsidRPr="000644D4">
        <w:t>iesieniu do których kwoty ekspozycji ważonych ryzykiem oblicza się zgodnie</w:t>
      </w:r>
      <w:r w:rsidR="000644D4" w:rsidRPr="000644D4">
        <w:t xml:space="preserve"> z</w:t>
      </w:r>
      <w:r w:rsidR="000644D4">
        <w:t> </w:t>
      </w:r>
      <w:r w:rsidR="000644D4" w:rsidRPr="000644D4">
        <w:t>art</w:t>
      </w:r>
      <w:r w:rsidRPr="000644D4">
        <w:t>. 151–157 części trzeciej tytuł II rozdział 3 rozporządzenia (UE) nr</w:t>
      </w:r>
      <w:r w:rsidR="000644D4" w:rsidRPr="000644D4">
        <w:t> </w:t>
      </w:r>
      <w:r w:rsidRPr="000644D4">
        <w:t xml:space="preserve">575/2013 (podejście IRB). </w:t>
      </w:r>
    </w:p>
    <w:p w14:paraId="537660ED" w14:textId="77777777" w:rsidR="00FB3D09" w:rsidRPr="000644D4" w:rsidRDefault="00FB3D09" w:rsidP="00FB3D09">
      <w:pPr>
        <w:pStyle w:val="InstructionsText2"/>
        <w:numPr>
          <w:ilvl w:val="0"/>
          <w:numId w:val="0"/>
        </w:numPr>
        <w:ind w:left="993"/>
      </w:pPr>
      <w:r w:rsidRPr="000644D4">
        <w:fldChar w:fldCharType="begin"/>
      </w:r>
      <w:r w:rsidRPr="000644D4">
        <w:instrText xml:space="preserve"> seq paragraphs </w:instrText>
      </w:r>
      <w:r w:rsidRPr="000644D4">
        <w:fldChar w:fldCharType="separate"/>
      </w:r>
      <w:r w:rsidRPr="000644D4">
        <w:t>74</w:t>
      </w:r>
      <w:r w:rsidRPr="000644D4">
        <w:fldChar w:fldCharType="end"/>
      </w:r>
      <w:r w:rsidRPr="000644D4">
        <w:t xml:space="preserve">. Wzór CR IRB nie obejmuje następujących danych: </w:t>
      </w:r>
    </w:p>
    <w:p w14:paraId="7F7154C9" w14:textId="77777777" w:rsidR="00FB3D09" w:rsidRPr="000644D4" w:rsidRDefault="00FB3D09" w:rsidP="00FB3D09">
      <w:pPr>
        <w:pStyle w:val="InstructionsText2"/>
        <w:numPr>
          <w:ilvl w:val="0"/>
          <w:numId w:val="0"/>
        </w:numPr>
        <w:ind w:left="993"/>
      </w:pPr>
      <w:r w:rsidRPr="000644D4">
        <w:t>i.</w:t>
      </w:r>
      <w:r w:rsidRPr="000644D4">
        <w:tab/>
        <w:t xml:space="preserve">ekspozycji kapitałowych, które zgłasza się we wzorze CR EQU IRB; </w:t>
      </w:r>
    </w:p>
    <w:p w14:paraId="39CEAA6A" w14:textId="77777777" w:rsidR="00FB3D09" w:rsidRPr="000644D4" w:rsidRDefault="00FB3D09" w:rsidP="00FB3D09">
      <w:pPr>
        <w:pStyle w:val="InstructionsText2"/>
        <w:numPr>
          <w:ilvl w:val="0"/>
          <w:numId w:val="0"/>
        </w:numPr>
        <w:ind w:left="993"/>
      </w:pPr>
      <w:r w:rsidRPr="000644D4">
        <w:t>ii.</w:t>
      </w:r>
      <w:r w:rsidRPr="000644D4">
        <w:tab/>
        <w:t>pozycji sekurytyzacyjnych, które zgłasza się we wzorach CE SEC lub CR SEC Szczegóły;</w:t>
      </w:r>
    </w:p>
    <w:p w14:paraId="486C870A" w14:textId="5A9CD9FC" w:rsidR="00FB3D09" w:rsidRPr="000644D4" w:rsidRDefault="00FB3D09" w:rsidP="00FB3D09">
      <w:pPr>
        <w:pStyle w:val="InstructionsText2"/>
        <w:numPr>
          <w:ilvl w:val="0"/>
          <w:numId w:val="0"/>
        </w:numPr>
        <w:ind w:left="993"/>
      </w:pPr>
      <w:r w:rsidRPr="000644D4">
        <w:t>iii.</w:t>
      </w:r>
      <w:r w:rsidRPr="000644D4">
        <w:tab/>
        <w:t xml:space="preserve"> „innych aktywów niegenerujących zobowiązania kredytowego”,</w:t>
      </w:r>
      <w:r w:rsidR="000644D4" w:rsidRPr="000644D4">
        <w:t xml:space="preserve"> o</w:t>
      </w:r>
      <w:r w:rsidR="000644D4">
        <w:t> </w:t>
      </w:r>
      <w:r w:rsidR="000644D4" w:rsidRPr="000644D4">
        <w:t>któ</w:t>
      </w:r>
      <w:r w:rsidRPr="000644D4">
        <w:t>rych mowa</w:t>
      </w:r>
      <w:r w:rsidR="000644D4" w:rsidRPr="000644D4">
        <w:t xml:space="preserve"> w</w:t>
      </w:r>
      <w:r w:rsidR="000644D4">
        <w:t> </w:t>
      </w:r>
      <w:r w:rsidR="000644D4" w:rsidRPr="000644D4">
        <w:t>art</w:t>
      </w:r>
      <w:r w:rsidRPr="000644D4">
        <w:t>. 147 ust. 2 lit. g) rozporządzenia (UE) nr</w:t>
      </w:r>
      <w:r w:rsidR="000644D4" w:rsidRPr="000644D4">
        <w:t> </w:t>
      </w:r>
      <w:r w:rsidRPr="000644D4">
        <w:t>575/2013. Waga ryzyka dla tej kategorii ekspozycji musi zawsze wynosić 100 %,</w:t>
      </w:r>
      <w:r w:rsidR="000644D4" w:rsidRPr="000644D4">
        <w:t xml:space="preserve"> z</w:t>
      </w:r>
      <w:r w:rsidR="000644D4">
        <w:t> </w:t>
      </w:r>
      <w:r w:rsidR="000644D4" w:rsidRPr="000644D4">
        <w:t>wyj</w:t>
      </w:r>
      <w:r w:rsidRPr="000644D4">
        <w:t>ątkiem środków pieniężnych</w:t>
      </w:r>
      <w:r w:rsidR="000644D4" w:rsidRPr="000644D4">
        <w:t xml:space="preserve"> w</w:t>
      </w:r>
      <w:r w:rsidR="000644D4">
        <w:t> </w:t>
      </w:r>
      <w:r w:rsidR="000644D4" w:rsidRPr="000644D4">
        <w:t>kas</w:t>
      </w:r>
      <w:r w:rsidRPr="000644D4">
        <w:t>ie, równoważnych pozycji pieniężnych oraz ekspozycji, które stanowią rezydualną wartość aktywów będących przedmiotem leasingu, zgodnie</w:t>
      </w:r>
      <w:r w:rsidR="000644D4" w:rsidRPr="000644D4">
        <w:t xml:space="preserve"> z</w:t>
      </w:r>
      <w:r w:rsidR="000644D4">
        <w:t> </w:t>
      </w:r>
      <w:r w:rsidR="000644D4" w:rsidRPr="000644D4">
        <w:t>art</w:t>
      </w:r>
      <w:r w:rsidRPr="000644D4">
        <w:t>. 156 rozporządzenia (UE) nr</w:t>
      </w:r>
      <w:r w:rsidR="000644D4" w:rsidRPr="000644D4">
        <w:t> </w:t>
      </w:r>
      <w:r w:rsidRPr="000644D4">
        <w:t>575/2013. Kwoty ekspozycji ważonych ryzykiem dla tej kategorii ekspozycji zgłasza się bezpośrednio we wzorze CA;</w:t>
      </w:r>
    </w:p>
    <w:p w14:paraId="06855F02" w14:textId="0860B99E" w:rsidR="00FB3D09" w:rsidRPr="000644D4" w:rsidRDefault="00FB3D09" w:rsidP="00FB3D09">
      <w:pPr>
        <w:pStyle w:val="InstructionsText2"/>
        <w:numPr>
          <w:ilvl w:val="0"/>
          <w:numId w:val="0"/>
        </w:numPr>
        <w:ind w:left="993"/>
      </w:pPr>
      <w:r w:rsidRPr="000644D4">
        <w:lastRenderedPageBreak/>
        <w:t>iv.</w:t>
      </w:r>
      <w:r w:rsidRPr="000644D4">
        <w:tab/>
        <w:t>ryzyka związanego</w:t>
      </w:r>
      <w:r w:rsidR="000644D4" w:rsidRPr="000644D4">
        <w:t xml:space="preserve"> z</w:t>
      </w:r>
      <w:r w:rsidR="000644D4">
        <w:t> </w:t>
      </w:r>
      <w:r w:rsidR="000644D4" w:rsidRPr="000644D4">
        <w:t>kor</w:t>
      </w:r>
      <w:r w:rsidRPr="000644D4">
        <w:t>ektą wyceny kredytowej, które zgłasza się we wzorze dotyczącym ryzyka związanego z CVA.</w:t>
      </w:r>
    </w:p>
    <w:p w14:paraId="459A7112" w14:textId="77777777" w:rsidR="00FB3D09" w:rsidRPr="000644D4" w:rsidRDefault="00FB3D09" w:rsidP="00FB3D09">
      <w:pPr>
        <w:pStyle w:val="InstructionsText2"/>
        <w:numPr>
          <w:ilvl w:val="0"/>
          <w:numId w:val="0"/>
        </w:numPr>
        <w:ind w:left="993"/>
      </w:pPr>
      <w:r w:rsidRPr="000644D4">
        <w:t xml:space="preserve">Wzór CR IRB nie wymaga podziału ekspozycji według metody IRB pod względem geograficznym według siedziby kontrahenta. Podział ten zgłasza się we wzorze CR GB. </w:t>
      </w:r>
    </w:p>
    <w:p w14:paraId="50F092DC" w14:textId="77777777" w:rsidR="00FB3D09" w:rsidRPr="000644D4" w:rsidRDefault="00FB3D09" w:rsidP="00FB3D09">
      <w:pPr>
        <w:autoSpaceDE w:val="0"/>
        <w:autoSpaceDN w:val="0"/>
        <w:adjustRightInd w:val="0"/>
        <w:spacing w:before="0" w:after="240"/>
        <w:ind w:left="1418"/>
        <w:jc w:val="left"/>
        <w:rPr>
          <w:rFonts w:ascii="Times New Roman" w:hAnsi="Times New Roman"/>
          <w:sz w:val="24"/>
        </w:rPr>
      </w:pPr>
      <w:r w:rsidRPr="000644D4">
        <w:rPr>
          <w:rFonts w:ascii="Times New Roman" w:hAnsi="Times New Roman"/>
          <w:sz w:val="24"/>
        </w:rPr>
        <w:t>Pozycje (i) oraz (iii) nie dotyczą wzoru CR IRB 7.</w:t>
      </w:r>
    </w:p>
    <w:p w14:paraId="383EDB2A" w14:textId="71E763A1"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75</w:t>
      </w:r>
      <w:r w:rsidRPr="000644D4">
        <w:fldChar w:fldCharType="end"/>
      </w:r>
      <w:r w:rsidRPr="000644D4">
        <w:t>.</w:t>
      </w:r>
      <w:r w:rsidRPr="000644D4">
        <w:tab/>
        <w:t>Aby wyjaśnić, czy instytucja korzysta ze swoich własnych oszacowań LGD lub współczynników konwersji kredytowej,</w:t>
      </w:r>
      <w:r w:rsidR="000644D4" w:rsidRPr="000644D4">
        <w:t xml:space="preserve"> w</w:t>
      </w:r>
      <w:r w:rsidR="000644D4">
        <w:t> </w:t>
      </w:r>
      <w:r w:rsidR="000644D4" w:rsidRPr="000644D4">
        <w:t>odn</w:t>
      </w:r>
      <w:r w:rsidRPr="000644D4">
        <w:t>iesieniu do każdej kategorii ekspozycji podaje się następujące informacje:</w:t>
      </w:r>
    </w:p>
    <w:p w14:paraId="5E6A9A8B" w14:textId="79D8CF10" w:rsidR="00FB3D09" w:rsidRPr="000644D4" w:rsidRDefault="00FB3D09" w:rsidP="00FB3D09">
      <w:pPr>
        <w:autoSpaceDE w:val="0"/>
        <w:autoSpaceDN w:val="0"/>
        <w:adjustRightInd w:val="0"/>
        <w:spacing w:before="0" w:after="240"/>
        <w:ind w:left="993"/>
        <w:jc w:val="left"/>
        <w:rPr>
          <w:rFonts w:ascii="Times New Roman" w:hAnsi="Times New Roman"/>
          <w:sz w:val="24"/>
        </w:rPr>
      </w:pPr>
      <w:r w:rsidRPr="000644D4">
        <w:rPr>
          <w:rFonts w:ascii="Times New Roman" w:hAnsi="Times New Roman"/>
          <w:sz w:val="24"/>
        </w:rPr>
        <w:t>„NIE” =</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stosowania oszacowań LGD według metody nadzorczej oraz współczynników konwersji kredytowej (podstawowa metoda IRB)</w:t>
      </w:r>
    </w:p>
    <w:p w14:paraId="3AB7C0DB" w14:textId="1C82B8D8" w:rsidR="00FB3D09" w:rsidRPr="000644D4" w:rsidRDefault="00FB3D09" w:rsidP="00FB3D09">
      <w:pPr>
        <w:autoSpaceDE w:val="0"/>
        <w:autoSpaceDN w:val="0"/>
        <w:adjustRightInd w:val="0"/>
        <w:spacing w:before="0" w:after="240"/>
        <w:ind w:left="993"/>
        <w:jc w:val="left"/>
        <w:rPr>
          <w:rFonts w:ascii="Times New Roman" w:hAnsi="Times New Roman"/>
          <w:sz w:val="24"/>
        </w:rPr>
      </w:pPr>
      <w:r w:rsidRPr="000644D4">
        <w:rPr>
          <w:rFonts w:ascii="Times New Roman" w:hAnsi="Times New Roman"/>
          <w:sz w:val="24"/>
        </w:rPr>
        <w:t>„TAK” =</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stosowania własnych oszacowań LGD lub współczynników konwersji kredytowej (zaawansowana metoda IRB) Obejmuje to wszystkie portfele ekspozycji detalicznych.</w:t>
      </w:r>
    </w:p>
    <w:p w14:paraId="366E5CCA" w14:textId="2002398F" w:rsidR="00FB3D09" w:rsidRPr="000644D4" w:rsidRDefault="00FB3D09" w:rsidP="00FB3D09">
      <w:pPr>
        <w:autoSpaceDE w:val="0"/>
        <w:autoSpaceDN w:val="0"/>
        <w:adjustRightInd w:val="0"/>
        <w:spacing w:before="0" w:after="240"/>
        <w:ind w:left="993"/>
        <w:jc w:val="left"/>
        <w:rPr>
          <w:rFonts w:ascii="Times New Roman" w:hAnsi="Times New Roman"/>
          <w:sz w:val="24"/>
        </w:rPr>
      </w:pPr>
      <w:r w:rsidRPr="000644D4">
        <w:rPr>
          <w:rFonts w:ascii="Times New Roman" w:hAnsi="Times New Roman"/>
          <w:sz w:val="24"/>
        </w:rPr>
        <w:t>Jeżeli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części swoich ekspozycji według metody IRB instytucja korzysta</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wła</w:t>
      </w:r>
      <w:r w:rsidRPr="000644D4">
        <w:rPr>
          <w:rFonts w:ascii="Times New Roman" w:hAnsi="Times New Roman"/>
          <w:sz w:val="24"/>
        </w:rPr>
        <w:t xml:space="preserve">snych oszacowań LGD do obliczenia </w:t>
      </w:r>
      <w:r w:rsidRPr="000644D4">
        <w:rPr>
          <w:rStyle w:val="InstructionsTabelleText"/>
          <w:rFonts w:ascii="Times New Roman" w:hAnsi="Times New Roman"/>
          <w:sz w:val="24"/>
        </w:rPr>
        <w:t>kwot ekspozycji ważonych ryzykiem</w:t>
      </w:r>
      <w:r w:rsidRPr="000644D4">
        <w:rPr>
          <w:rFonts w:ascii="Times New Roman" w:hAnsi="Times New Roman"/>
          <w:sz w:val="24"/>
        </w:rPr>
        <w:t>,</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tak</w:t>
      </w:r>
      <w:r w:rsidRPr="000644D4">
        <w:rPr>
          <w:rFonts w:ascii="Times New Roman" w:hAnsi="Times New Roman"/>
          <w:sz w:val="24"/>
        </w:rPr>
        <w:t>że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osz</w:t>
      </w:r>
      <w:r w:rsidRPr="000644D4">
        <w:rPr>
          <w:rFonts w:ascii="Times New Roman" w:hAnsi="Times New Roman"/>
          <w:sz w:val="24"/>
        </w:rPr>
        <w:t>acowań LGD według metody nadzorczej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cel</w:t>
      </w:r>
      <w:r w:rsidRPr="000644D4">
        <w:rPr>
          <w:rFonts w:ascii="Times New Roman" w:hAnsi="Times New Roman"/>
          <w:sz w:val="24"/>
        </w:rPr>
        <w:t xml:space="preserve">u obliczenia </w:t>
      </w:r>
      <w:r w:rsidRPr="000644D4">
        <w:rPr>
          <w:rStyle w:val="InstructionsTabelleText"/>
          <w:rFonts w:ascii="Times New Roman" w:hAnsi="Times New Roman"/>
          <w:sz w:val="24"/>
        </w:rPr>
        <w:t>kwot ekspozycji ważonych ryzykiem</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innej części swoich ekspozycji według metody IRB, należy zgłosić wartość ekspozycji całkowitej we wzorze CR IRB dla pozycji F-IRB oraz dla pozycji A-IRB.</w:t>
      </w:r>
    </w:p>
    <w:p w14:paraId="42EA72F2" w14:textId="77777777" w:rsidR="00FB3D09" w:rsidRPr="000644D4"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0644D4">
        <w:rPr>
          <w:rFonts w:ascii="Times New Roman" w:hAnsi="Times New Roman"/>
          <w:sz w:val="24"/>
          <w:u w:val="none"/>
        </w:rPr>
        <w:t>3.3.2.</w:t>
      </w:r>
      <w:r w:rsidRPr="000644D4">
        <w:tab/>
      </w:r>
      <w:r w:rsidRPr="000644D4">
        <w:rPr>
          <w:rFonts w:ascii="Times New Roman" w:hAnsi="Times New Roman"/>
          <w:sz w:val="24"/>
        </w:rPr>
        <w:t>Podział wzoru CR IRB</w:t>
      </w:r>
      <w:bookmarkEnd w:id="3"/>
      <w:bookmarkEnd w:id="4"/>
      <w:bookmarkEnd w:id="5"/>
      <w:bookmarkEnd w:id="6"/>
      <w:bookmarkEnd w:id="7"/>
      <w:bookmarkEnd w:id="8"/>
      <w:bookmarkEnd w:id="9"/>
      <w:bookmarkEnd w:id="10"/>
    </w:p>
    <w:p w14:paraId="37488548" w14:textId="666D1B36"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76</w:t>
      </w:r>
      <w:r w:rsidRPr="000644D4">
        <w:fldChar w:fldCharType="end"/>
      </w:r>
      <w:r w:rsidRPr="000644D4">
        <w:t>.</w:t>
      </w:r>
      <w:r w:rsidRPr="000644D4">
        <w:tab/>
        <w:t>Wzór CR IRB składa się</w:t>
      </w:r>
      <w:r w:rsidR="000644D4" w:rsidRPr="000644D4">
        <w:t xml:space="preserve"> z</w:t>
      </w:r>
      <w:r w:rsidR="000644D4">
        <w:t> </w:t>
      </w:r>
      <w:r w:rsidR="000644D4" w:rsidRPr="000644D4">
        <w:t>sie</w:t>
      </w:r>
      <w:r w:rsidRPr="000644D4">
        <w:t>dmiu wzorów. Wzór CR IRB 1 zawiera ogólny przegląd ekspozycji według metody IRB</w:t>
      </w:r>
      <w:r w:rsidR="000644D4" w:rsidRPr="000644D4">
        <w:t xml:space="preserve"> i</w:t>
      </w:r>
      <w:r w:rsidR="000644D4">
        <w:t> </w:t>
      </w:r>
      <w:r w:rsidR="000644D4" w:rsidRPr="000644D4">
        <w:t>róż</w:t>
      </w:r>
      <w:r w:rsidRPr="000644D4">
        <w:t>nych metod obliczania kwot ekspozycji ważonych ryzykiem,</w:t>
      </w:r>
      <w:r w:rsidR="000644D4" w:rsidRPr="000644D4">
        <w:t xml:space="preserve"> a</w:t>
      </w:r>
      <w:r w:rsidR="000644D4">
        <w:t> </w:t>
      </w:r>
      <w:r w:rsidR="000644D4" w:rsidRPr="000644D4">
        <w:t>tak</w:t>
      </w:r>
      <w:r w:rsidRPr="000644D4">
        <w:t>że podział ekspozycji całkowitych według rodzajów ekspozycji. Wzór CR IRB 2 zawiera podział ekspozycji całkowitych przypisanych klasom jakości lub pulom dłużników (ekspozycje zgłaszane</w:t>
      </w:r>
      <w:r w:rsidR="000644D4" w:rsidRPr="000644D4">
        <w:t xml:space="preserve"> w</w:t>
      </w:r>
      <w:r w:rsidR="000644D4">
        <w:t> </w:t>
      </w:r>
      <w:r w:rsidR="000644D4" w:rsidRPr="000644D4">
        <w:t>wie</w:t>
      </w:r>
      <w:r w:rsidRPr="000644D4">
        <w:t>rszu 0070 wzoru CR IRB 1). Wzór CR IRB 3 zawiera wszystkie istotne parametry wykorzystywane do obliczenia wymogów kapitałowych</w:t>
      </w:r>
      <w:r w:rsidR="000644D4" w:rsidRPr="000644D4">
        <w:t xml:space="preserve"> z</w:t>
      </w:r>
      <w:r w:rsidR="000644D4">
        <w:t> </w:t>
      </w:r>
      <w:r w:rsidR="000644D4" w:rsidRPr="000644D4">
        <w:t>tyt</w:t>
      </w:r>
      <w:r w:rsidRPr="000644D4">
        <w:t>ułu ryzyka kredytowego dla modeli IRB. Wzór CR IRB 4 zawiera rachunek przepływów wyjaśniający zmiany kwot ekspozycji ważonych ryzykiem ustalanych na podstawie metody wewnętrznych ratingów dla ryzyka kredytowego. Wzór CR IRB 5 zawiera informacje dotyczące wyników weryfikacji historycznej wartości PD dla zgłaszanych modeli. Wzór CR IRB 6 zawiera wszystkie istotne parametry wykorzystywane do obliczenia wymogów kapitałowych</w:t>
      </w:r>
      <w:r w:rsidR="000644D4" w:rsidRPr="000644D4">
        <w:t xml:space="preserve"> z</w:t>
      </w:r>
      <w:r w:rsidR="000644D4">
        <w:t> </w:t>
      </w:r>
      <w:r w:rsidR="000644D4" w:rsidRPr="000644D4">
        <w:t>tyt</w:t>
      </w:r>
      <w:r w:rsidRPr="000644D4">
        <w:t>ułu ryzyka kredytowego według kryteriów klasyfikacji kredytowania specjalistycznego. Wzór CR IRB 7 zawiera przegląd odsetka wartości ekspozycji objętej metodą standardową lub metodą IRB dla każdej odpowiedniej kategorii ekspozycji. Wzory CR IRB 1, CR IRB 2, CR IRB 3 i CR IRB 5 zgłasza się osobno dla następujących kategorii ekspozycji lub subekspozycji („pozycję uzupełniającą” zgłasza się oddzielnie, tak jak kategorię subekspozycji, ale nie jest ona powiązana ze wzorem C 02.00</w:t>
      </w:r>
      <w:r w:rsidR="000644D4" w:rsidRPr="000644D4">
        <w:t xml:space="preserve"> i</w:t>
      </w:r>
      <w:r w:rsidR="000644D4">
        <w:t> </w:t>
      </w:r>
      <w:r w:rsidR="000644D4" w:rsidRPr="000644D4">
        <w:t>nie</w:t>
      </w:r>
      <w:r w:rsidRPr="000644D4">
        <w:t xml:space="preserve"> jest częścią wzoru „Razem”):</w:t>
      </w:r>
    </w:p>
    <w:p w14:paraId="23A3F056" w14:textId="7B171D75" w:rsidR="00FD1A9F" w:rsidRPr="000644D4" w:rsidRDefault="006B0F8A" w:rsidP="00126E51">
      <w:pPr>
        <w:autoSpaceDE w:val="0"/>
        <w:autoSpaceDN w:val="0"/>
        <w:adjustRightInd w:val="0"/>
        <w:spacing w:before="0" w:after="0"/>
        <w:ind w:left="708"/>
        <w:jc w:val="left"/>
        <w:rPr>
          <w:u w:val="single"/>
        </w:rPr>
      </w:pPr>
      <w:r w:rsidRPr="000644D4">
        <w:rPr>
          <w:rFonts w:ascii="Times New Roman" w:hAnsi="Times New Roman"/>
          <w:sz w:val="24"/>
          <w:u w:val="single"/>
        </w:rPr>
        <w:lastRenderedPageBreak/>
        <w:t>A) Metody IRB</w:t>
      </w:r>
      <w:r w:rsidR="000644D4" w:rsidRPr="000644D4">
        <w:rPr>
          <w:rFonts w:ascii="Times New Roman" w:hAnsi="Times New Roman"/>
          <w:sz w:val="24"/>
          <w:u w:val="single"/>
        </w:rPr>
        <w:t xml:space="preserve"> w</w:t>
      </w:r>
      <w:r w:rsidR="000644D4">
        <w:rPr>
          <w:rFonts w:ascii="Times New Roman" w:hAnsi="Times New Roman"/>
          <w:sz w:val="24"/>
          <w:u w:val="single"/>
        </w:rPr>
        <w:t> </w:t>
      </w:r>
      <w:r w:rsidR="000644D4" w:rsidRPr="000644D4">
        <w:rPr>
          <w:rFonts w:ascii="Times New Roman" w:hAnsi="Times New Roman"/>
          <w:sz w:val="24"/>
          <w:u w:val="single"/>
        </w:rPr>
        <w:t>prz</w:t>
      </w:r>
      <w:r w:rsidRPr="000644D4">
        <w:rPr>
          <w:rFonts w:ascii="Times New Roman" w:hAnsi="Times New Roman"/>
          <w:sz w:val="24"/>
          <w:u w:val="single"/>
        </w:rPr>
        <w:t>ypadku gdy nie są stosowane własne oszacowania LGD ani współczynniki konwersji (podstawowa metoda IRB)</w:t>
      </w:r>
    </w:p>
    <w:p w14:paraId="742DED0D" w14:textId="60DC622C" w:rsidR="00FB3D09" w:rsidRPr="000644D4" w:rsidRDefault="006B0F8A" w:rsidP="006B0F8A">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 xml:space="preserve">A.1) </w:t>
      </w:r>
      <w:r w:rsidRPr="000644D4">
        <w:tab/>
      </w:r>
      <w:r w:rsidRPr="000644D4">
        <w:rPr>
          <w:rFonts w:ascii="Times New Roman" w:hAnsi="Times New Roman"/>
          <w:sz w:val="24"/>
        </w:rPr>
        <w:t>Razem</w:t>
      </w:r>
    </w:p>
    <w:p w14:paraId="17E353AE" w14:textId="127CA670" w:rsidR="00FB3D09" w:rsidRPr="000644D4" w:rsidRDefault="006B0F8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A.2)</w:t>
      </w:r>
      <w:r w:rsidRPr="000644D4">
        <w:tab/>
      </w:r>
      <w:r w:rsidRPr="000644D4">
        <w:rPr>
          <w:rFonts w:ascii="Times New Roman" w:hAnsi="Times New Roman"/>
          <w:sz w:val="24"/>
        </w:rPr>
        <w:t>Ekspozycje wobec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 xml:space="preserve">ków centralnych </w:t>
      </w:r>
    </w:p>
    <w:p w14:paraId="070E0717" w14:textId="05BE5F63"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a) rozporządzenia (UE) nr</w:t>
      </w:r>
      <w:r w:rsidR="000644D4" w:rsidRPr="000644D4">
        <w:rPr>
          <w:rFonts w:ascii="Times New Roman" w:hAnsi="Times New Roman"/>
          <w:sz w:val="24"/>
        </w:rPr>
        <w:t> </w:t>
      </w:r>
      <w:r w:rsidRPr="000644D4">
        <w:rPr>
          <w:rFonts w:ascii="Times New Roman" w:hAnsi="Times New Roman"/>
          <w:sz w:val="24"/>
        </w:rPr>
        <w:t>575/2013)</w:t>
      </w:r>
    </w:p>
    <w:p w14:paraId="4032BEC5" w14:textId="47D8D1A7" w:rsidR="00FB3D09" w:rsidRPr="000644D4" w:rsidRDefault="006B0F8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A.3)</w:t>
      </w:r>
      <w:r w:rsidRPr="000644D4">
        <w:tab/>
      </w:r>
      <w:r w:rsidRPr="000644D4">
        <w:rPr>
          <w:rFonts w:ascii="Times New Roman" w:hAnsi="Times New Roman"/>
          <w:sz w:val="24"/>
        </w:rPr>
        <w:t xml:space="preserve">Ekspozycje wobec samorządów regionalnych lub władz lokalnych </w:t>
      </w:r>
    </w:p>
    <w:p w14:paraId="75CD54FE" w14:textId="42A0F319"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 aa) pkt (i) rozporządzenia (UE) nr</w:t>
      </w:r>
      <w:r w:rsidR="000644D4" w:rsidRPr="000644D4">
        <w:rPr>
          <w:rFonts w:ascii="Times New Roman" w:hAnsi="Times New Roman"/>
          <w:sz w:val="24"/>
        </w:rPr>
        <w:t> </w:t>
      </w:r>
      <w:r w:rsidRPr="000644D4">
        <w:rPr>
          <w:rFonts w:ascii="Times New Roman" w:hAnsi="Times New Roman"/>
          <w:sz w:val="24"/>
        </w:rPr>
        <w:t>575/2013)</w:t>
      </w:r>
    </w:p>
    <w:p w14:paraId="614294C6" w14:textId="6535A5D9" w:rsidR="00FB3D09" w:rsidRPr="000644D4" w:rsidRDefault="006B0F8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A.4)</w:t>
      </w:r>
      <w:r w:rsidRPr="000644D4">
        <w:tab/>
      </w:r>
      <w:r w:rsidRPr="000644D4">
        <w:rPr>
          <w:rFonts w:ascii="Times New Roman" w:hAnsi="Times New Roman"/>
          <w:sz w:val="24"/>
        </w:rPr>
        <w:t>Ekspozycje wobec podmiotów sektora publicznego</w:t>
      </w:r>
      <w:r w:rsidR="000644D4" w:rsidRPr="000644D4">
        <w:rPr>
          <w:rFonts w:ascii="Times New Roman" w:hAnsi="Times New Roman"/>
          <w:sz w:val="24"/>
        </w:rPr>
        <w:t xml:space="preserve"> </w:t>
      </w:r>
    </w:p>
    <w:p w14:paraId="52525D8D" w14:textId="4DA8904C"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 aa) pkt (ii) rozporządzenia (UE) nr</w:t>
      </w:r>
      <w:r w:rsidR="000644D4" w:rsidRPr="000644D4">
        <w:rPr>
          <w:rFonts w:ascii="Times New Roman" w:hAnsi="Times New Roman"/>
          <w:sz w:val="24"/>
        </w:rPr>
        <w:t> </w:t>
      </w:r>
      <w:r w:rsidRPr="000644D4">
        <w:rPr>
          <w:rFonts w:ascii="Times New Roman" w:hAnsi="Times New Roman"/>
          <w:sz w:val="24"/>
        </w:rPr>
        <w:t>575/2013)</w:t>
      </w:r>
    </w:p>
    <w:p w14:paraId="3CDBBA19" w14:textId="3B656C48" w:rsidR="00FB3D09" w:rsidRPr="000644D4" w:rsidRDefault="006B0F8A" w:rsidP="00FB3D09">
      <w:pPr>
        <w:autoSpaceDE w:val="0"/>
        <w:autoSpaceDN w:val="0"/>
        <w:adjustRightInd w:val="0"/>
        <w:spacing w:before="0" w:after="0"/>
        <w:ind w:left="708"/>
        <w:rPr>
          <w:rFonts w:ascii="Times New Roman" w:hAnsi="Times New Roman"/>
          <w:sz w:val="24"/>
        </w:rPr>
      </w:pPr>
      <w:r w:rsidRPr="000644D4">
        <w:rPr>
          <w:rFonts w:ascii="Times New Roman" w:hAnsi="Times New Roman"/>
          <w:sz w:val="24"/>
        </w:rPr>
        <w:t>A.5)</w:t>
      </w:r>
      <w:r w:rsidRPr="000644D4">
        <w:tab/>
      </w:r>
      <w:r w:rsidRPr="000644D4">
        <w:rPr>
          <w:rFonts w:ascii="Times New Roman" w:hAnsi="Times New Roman"/>
          <w:sz w:val="24"/>
        </w:rPr>
        <w:t>Ekspozycje wobec instytucji</w:t>
      </w:r>
    </w:p>
    <w:p w14:paraId="5A2EE4F2" w14:textId="0320DC5B" w:rsidR="00FB3D09" w:rsidRPr="000644D4" w:rsidRDefault="00FB3D09" w:rsidP="00E13BD0">
      <w:pPr>
        <w:autoSpaceDE w:val="0"/>
        <w:autoSpaceDN w:val="0"/>
        <w:adjustRightInd w:val="0"/>
        <w:spacing w:before="0" w:after="0"/>
        <w:ind w:left="1416" w:firstLine="12"/>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b) rozporządzenia (UE) nr</w:t>
      </w:r>
      <w:r w:rsidR="000644D4" w:rsidRPr="000644D4">
        <w:rPr>
          <w:rFonts w:ascii="Times New Roman" w:hAnsi="Times New Roman"/>
          <w:sz w:val="24"/>
        </w:rPr>
        <w:t> </w:t>
      </w:r>
      <w:r w:rsidRPr="000644D4">
        <w:rPr>
          <w:rFonts w:ascii="Times New Roman" w:hAnsi="Times New Roman"/>
          <w:sz w:val="24"/>
        </w:rPr>
        <w:t>575/2013)</w:t>
      </w:r>
    </w:p>
    <w:p w14:paraId="5411EBAF" w14:textId="1E5C1A05" w:rsidR="00FB3D09" w:rsidRPr="000644D4" w:rsidRDefault="006B0F8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A.6.1)</w:t>
      </w:r>
      <w:r w:rsidRPr="000644D4">
        <w:tab/>
      </w:r>
      <w:r w:rsidRPr="000644D4">
        <w:rPr>
          <w:rFonts w:ascii="Times New Roman" w:hAnsi="Times New Roman"/>
          <w:sz w:val="24"/>
        </w:rPr>
        <w:t>Ekspozycje wobec przedsiębiorstw – kredytowanie specjalistyczne</w:t>
      </w:r>
    </w:p>
    <w:p w14:paraId="4E8B7543" w14:textId="3BCAC62E"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pkt (ii) rozporządzenia (UE) nr</w:t>
      </w:r>
      <w:r w:rsidR="000644D4" w:rsidRPr="000644D4">
        <w:rPr>
          <w:rFonts w:ascii="Times New Roman" w:hAnsi="Times New Roman"/>
          <w:sz w:val="24"/>
        </w:rPr>
        <w:t> </w:t>
      </w:r>
      <w:r w:rsidRPr="000644D4">
        <w:rPr>
          <w:rFonts w:ascii="Times New Roman" w:hAnsi="Times New Roman"/>
          <w:sz w:val="24"/>
        </w:rPr>
        <w:t>575/2013)</w:t>
      </w:r>
    </w:p>
    <w:p w14:paraId="571E5944" w14:textId="66D824E0" w:rsidR="00FB3D09" w:rsidRPr="000644D4" w:rsidRDefault="006B0F8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A.6.2)</w:t>
      </w:r>
      <w:r w:rsidR="000644D4" w:rsidRPr="000644D4">
        <w:rPr>
          <w:rFonts w:ascii="Times New Roman" w:hAnsi="Times New Roman"/>
          <w:sz w:val="24"/>
        </w:rPr>
        <w:t xml:space="preserve"> </w:t>
      </w:r>
      <w:r w:rsidRPr="000644D4">
        <w:rPr>
          <w:rFonts w:ascii="Times New Roman" w:hAnsi="Times New Roman"/>
          <w:sz w:val="24"/>
        </w:rPr>
        <w:t>Ekspozycje wobec przedsiębiorstw – nabyte wierzytelności</w:t>
      </w:r>
    </w:p>
    <w:p w14:paraId="1A7D2649" w14:textId="59FFA559" w:rsidR="00E13BD0" w:rsidRPr="000644D4" w:rsidRDefault="00FB3D09" w:rsidP="00EF2302">
      <w:pPr>
        <w:autoSpaceDE w:val="0"/>
        <w:autoSpaceDN w:val="0"/>
        <w:adjustRightInd w:val="0"/>
        <w:spacing w:before="0" w:after="0"/>
        <w:ind w:left="720" w:firstLine="720"/>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pkt (iii) rozporządzenia (UE) nr</w:t>
      </w:r>
      <w:r w:rsidR="000644D4" w:rsidRPr="000644D4">
        <w:rPr>
          <w:rFonts w:ascii="Times New Roman" w:hAnsi="Times New Roman"/>
          <w:sz w:val="24"/>
        </w:rPr>
        <w:t> </w:t>
      </w:r>
      <w:r w:rsidRPr="000644D4">
        <w:rPr>
          <w:rFonts w:ascii="Times New Roman" w:hAnsi="Times New Roman"/>
          <w:sz w:val="24"/>
        </w:rPr>
        <w:t>575/2013)</w:t>
      </w:r>
    </w:p>
    <w:p w14:paraId="77FF0C8B" w14:textId="0F260419" w:rsidR="00FB3D09" w:rsidRPr="000644D4" w:rsidRDefault="006B0F8A" w:rsidP="00E13BD0">
      <w:pPr>
        <w:autoSpaceDE w:val="0"/>
        <w:autoSpaceDN w:val="0"/>
        <w:adjustRightInd w:val="0"/>
        <w:spacing w:before="0" w:after="0"/>
        <w:ind w:left="720"/>
        <w:jc w:val="left"/>
        <w:rPr>
          <w:rFonts w:ascii="Times New Roman" w:hAnsi="Times New Roman"/>
          <w:sz w:val="24"/>
        </w:rPr>
      </w:pPr>
      <w:r w:rsidRPr="000644D4">
        <w:rPr>
          <w:rFonts w:ascii="Times New Roman" w:hAnsi="Times New Roman"/>
          <w:sz w:val="24"/>
        </w:rPr>
        <w:t>A.6.3)</w:t>
      </w:r>
      <w:r w:rsidRPr="000644D4">
        <w:tab/>
      </w:r>
      <w:r w:rsidRPr="000644D4">
        <w:rPr>
          <w:rFonts w:ascii="Times New Roman" w:hAnsi="Times New Roman"/>
          <w:sz w:val="24"/>
        </w:rPr>
        <w:t xml:space="preserve">Ekspozycje wobec przedsiębiorstw – inne </w:t>
      </w:r>
    </w:p>
    <w:p w14:paraId="0E912CCE" w14:textId="3124912D"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pkt (i) rozporządzenia (UE) nr</w:t>
      </w:r>
      <w:r w:rsidR="000644D4" w:rsidRPr="000644D4">
        <w:rPr>
          <w:rFonts w:ascii="Times New Roman" w:hAnsi="Times New Roman"/>
          <w:sz w:val="24"/>
        </w:rPr>
        <w:t> </w:t>
      </w:r>
      <w:r w:rsidRPr="000644D4">
        <w:rPr>
          <w:rFonts w:ascii="Times New Roman" w:hAnsi="Times New Roman"/>
          <w:sz w:val="24"/>
        </w:rPr>
        <w:t>575/2013)</w:t>
      </w:r>
    </w:p>
    <w:p w14:paraId="486BF9E6" w14:textId="1FC1D76C" w:rsidR="0029349B" w:rsidRPr="000644D4" w:rsidRDefault="0029349B" w:rsidP="0029349B">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A.6.4) Pozycja uzupełniająca: Ekspozycje wobec przedsiębiorstw – duże przedsiębiorstwa</w:t>
      </w:r>
    </w:p>
    <w:p w14:paraId="715EBD40" w14:textId="6D209849" w:rsidR="0029349B" w:rsidRPr="000644D4" w:rsidRDefault="0029349B" w:rsidP="0029349B">
      <w:pPr>
        <w:pStyle w:val="ListParagraph"/>
        <w:autoSpaceDE w:val="0"/>
        <w:autoSpaceDN w:val="0"/>
        <w:adjustRightInd w:val="0"/>
        <w:spacing w:before="0" w:after="0"/>
        <w:ind w:left="1440"/>
        <w:jc w:val="left"/>
        <w:rPr>
          <w:rFonts w:ascii="Times New Roman" w:hAnsi="Times New Roman"/>
          <w:sz w:val="24"/>
        </w:rPr>
      </w:pPr>
      <w:r w:rsidRPr="000644D4">
        <w:rPr>
          <w:rFonts w:ascii="Times New Roman" w:hAnsi="Times New Roman"/>
          <w:sz w:val="24"/>
        </w:rPr>
        <w:t>(art.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rozporządzenia (UE) nr</w:t>
      </w:r>
      <w:r w:rsidR="000644D4" w:rsidRPr="000644D4">
        <w:rPr>
          <w:rFonts w:ascii="Times New Roman" w:hAnsi="Times New Roman"/>
          <w:sz w:val="24"/>
        </w:rPr>
        <w:t> </w:t>
      </w:r>
      <w:r w:rsidRPr="000644D4">
        <w:rPr>
          <w:rFonts w:ascii="Times New Roman" w:hAnsi="Times New Roman"/>
          <w:sz w:val="24"/>
        </w:rPr>
        <w:t>575/2013, art.</w:t>
      </w:r>
      <w:r w:rsidR="000644D4" w:rsidRPr="000644D4">
        <w:rPr>
          <w:rFonts w:ascii="Times New Roman" w:hAnsi="Times New Roman"/>
          <w:sz w:val="24"/>
        </w:rPr>
        <w:t> </w:t>
      </w:r>
      <w:r w:rsidRPr="000644D4">
        <w:rPr>
          <w:rFonts w:ascii="Times New Roman" w:hAnsi="Times New Roman"/>
          <w:sz w:val="24"/>
        </w:rPr>
        <w:t>142 ust.</w:t>
      </w:r>
      <w:r w:rsidR="000644D4" w:rsidRPr="000644D4">
        <w:rPr>
          <w:rFonts w:ascii="Times New Roman" w:hAnsi="Times New Roman"/>
          <w:sz w:val="24"/>
        </w:rPr>
        <w:t> </w:t>
      </w:r>
      <w:r w:rsidRPr="000644D4">
        <w:rPr>
          <w:rFonts w:ascii="Times New Roman" w:hAnsi="Times New Roman"/>
          <w:sz w:val="24"/>
        </w:rPr>
        <w:t>1</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ust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5a rozporządzenia (UE) nr</w:t>
      </w:r>
      <w:r w:rsidR="000644D4" w:rsidRPr="000644D4">
        <w:rPr>
          <w:rFonts w:ascii="Times New Roman" w:hAnsi="Times New Roman"/>
          <w:sz w:val="24"/>
        </w:rPr>
        <w:t> </w:t>
      </w:r>
      <w:r w:rsidRPr="000644D4">
        <w:rPr>
          <w:rFonts w:ascii="Times New Roman" w:hAnsi="Times New Roman"/>
          <w:sz w:val="24"/>
        </w:rPr>
        <w:t>575/2013)</w:t>
      </w:r>
    </w:p>
    <w:p w14:paraId="5A8F3224" w14:textId="4866743F" w:rsidR="0029349B" w:rsidRPr="000644D4" w:rsidRDefault="0029349B" w:rsidP="0029349B">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A.6.5) Pozycja uzupełniająca: Ekspozycje wobec przedsiębiorstw – MŚP</w:t>
      </w:r>
    </w:p>
    <w:p w14:paraId="42836C84" w14:textId="59ABFC58" w:rsidR="0029349B" w:rsidRPr="000644D4" w:rsidRDefault="0029349B" w:rsidP="00126E51">
      <w:pPr>
        <w:pStyle w:val="ListParagraph"/>
        <w:autoSpaceDE w:val="0"/>
        <w:autoSpaceDN w:val="0"/>
        <w:adjustRightInd w:val="0"/>
        <w:spacing w:before="0" w:after="0"/>
        <w:ind w:left="1418"/>
        <w:jc w:val="left"/>
        <w:rPr>
          <w:rFonts w:ascii="Times New Roman" w:hAnsi="Times New Roman"/>
          <w:sz w:val="24"/>
        </w:rPr>
      </w:pPr>
      <w:r w:rsidRPr="000644D4">
        <w:rPr>
          <w:rFonts w:ascii="Times New Roman" w:hAnsi="Times New Roman"/>
          <w:sz w:val="24"/>
        </w:rPr>
        <w:t>(art.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 ust.</w:t>
      </w:r>
      <w:r w:rsidR="000644D4" w:rsidRPr="000644D4">
        <w:rPr>
          <w:rFonts w:ascii="Times New Roman" w:hAnsi="Times New Roman"/>
          <w:sz w:val="24"/>
        </w:rPr>
        <w:t> </w:t>
      </w:r>
      <w:r w:rsidRPr="000644D4">
        <w:rPr>
          <w:rFonts w:ascii="Times New Roman" w:hAnsi="Times New Roman"/>
          <w:sz w:val="24"/>
        </w:rPr>
        <w:t>8 rozporządzenia (UE) nr</w:t>
      </w:r>
      <w:r w:rsidR="000644D4" w:rsidRPr="000644D4">
        <w:rPr>
          <w:rFonts w:ascii="Times New Roman" w:hAnsi="Times New Roman"/>
          <w:sz w:val="24"/>
        </w:rPr>
        <w:t> </w:t>
      </w:r>
      <w:r w:rsidRPr="000644D4">
        <w:rPr>
          <w:rFonts w:ascii="Times New Roman" w:hAnsi="Times New Roman"/>
          <w:sz w:val="24"/>
        </w:rPr>
        <w:t>575/2013)</w:t>
      </w:r>
    </w:p>
    <w:p w14:paraId="23564959" w14:textId="77777777" w:rsidR="00B949C3" w:rsidRPr="000644D4"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6115E6C4" w:rsidR="00B949C3" w:rsidRPr="000644D4" w:rsidRDefault="006013AC" w:rsidP="00126E51">
      <w:pPr>
        <w:autoSpaceDE w:val="0"/>
        <w:autoSpaceDN w:val="0"/>
        <w:adjustRightInd w:val="0"/>
        <w:spacing w:before="0" w:after="0"/>
        <w:ind w:firstLine="708"/>
        <w:jc w:val="left"/>
        <w:rPr>
          <w:rFonts w:ascii="Times New Roman" w:hAnsi="Times New Roman"/>
          <w:sz w:val="24"/>
          <w:u w:val="single"/>
        </w:rPr>
      </w:pPr>
      <w:r w:rsidRPr="000644D4">
        <w:rPr>
          <w:rFonts w:ascii="Times New Roman" w:hAnsi="Times New Roman"/>
          <w:sz w:val="24"/>
          <w:u w:val="single"/>
        </w:rPr>
        <w:t>B) Metody IRB</w:t>
      </w:r>
      <w:r w:rsidR="000644D4" w:rsidRPr="000644D4">
        <w:rPr>
          <w:rFonts w:ascii="Times New Roman" w:hAnsi="Times New Roman"/>
          <w:sz w:val="24"/>
          <w:u w:val="single"/>
        </w:rPr>
        <w:t xml:space="preserve"> w</w:t>
      </w:r>
      <w:r w:rsidR="000644D4">
        <w:rPr>
          <w:rFonts w:ascii="Times New Roman" w:hAnsi="Times New Roman"/>
          <w:sz w:val="24"/>
          <w:u w:val="single"/>
        </w:rPr>
        <w:t> </w:t>
      </w:r>
      <w:r w:rsidR="000644D4" w:rsidRPr="000644D4">
        <w:rPr>
          <w:rFonts w:ascii="Times New Roman" w:hAnsi="Times New Roman"/>
          <w:sz w:val="24"/>
          <w:u w:val="single"/>
        </w:rPr>
        <w:t>prz</w:t>
      </w:r>
      <w:r w:rsidRPr="000644D4">
        <w:rPr>
          <w:rFonts w:ascii="Times New Roman" w:hAnsi="Times New Roman"/>
          <w:sz w:val="24"/>
          <w:u w:val="single"/>
        </w:rPr>
        <w:t>ypadku gdy stosowane są własne oszacowania LGD lub współczynniki konwersji</w:t>
      </w:r>
    </w:p>
    <w:p w14:paraId="31E1DC0E" w14:textId="5BBBD0A6" w:rsidR="006013AC" w:rsidRPr="000644D4" w:rsidRDefault="009D125A" w:rsidP="006013AC">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 xml:space="preserve">B.1) </w:t>
      </w:r>
      <w:r w:rsidRPr="000644D4">
        <w:tab/>
      </w:r>
      <w:r w:rsidRPr="000644D4">
        <w:rPr>
          <w:rFonts w:ascii="Times New Roman" w:hAnsi="Times New Roman"/>
          <w:sz w:val="24"/>
        </w:rPr>
        <w:t>Razem</w:t>
      </w:r>
    </w:p>
    <w:p w14:paraId="2607EE3C" w14:textId="3E731334" w:rsidR="006013AC" w:rsidRPr="000644D4" w:rsidRDefault="009D125A" w:rsidP="006013AC">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B.2)</w:t>
      </w:r>
      <w:r w:rsidRPr="000644D4">
        <w:tab/>
      </w:r>
      <w:r w:rsidRPr="000644D4">
        <w:rPr>
          <w:rFonts w:ascii="Times New Roman" w:hAnsi="Times New Roman"/>
          <w:sz w:val="24"/>
        </w:rPr>
        <w:t>Ekspozycje wobec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 xml:space="preserve">ków centralnych </w:t>
      </w:r>
    </w:p>
    <w:p w14:paraId="194B4B2A" w14:textId="5E0381F2" w:rsidR="006013AC" w:rsidRPr="000644D4" w:rsidRDefault="006013AC" w:rsidP="006013AC">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a) rozporządzenia (UE) nr</w:t>
      </w:r>
      <w:r w:rsidR="000644D4" w:rsidRPr="000644D4">
        <w:rPr>
          <w:rFonts w:ascii="Times New Roman" w:hAnsi="Times New Roman"/>
          <w:sz w:val="24"/>
        </w:rPr>
        <w:t> </w:t>
      </w:r>
      <w:r w:rsidRPr="000644D4">
        <w:rPr>
          <w:rFonts w:ascii="Times New Roman" w:hAnsi="Times New Roman"/>
          <w:sz w:val="24"/>
        </w:rPr>
        <w:t>575/2013)</w:t>
      </w:r>
    </w:p>
    <w:p w14:paraId="788F5C27" w14:textId="060EA0B3" w:rsidR="006013AC" w:rsidRPr="000644D4" w:rsidRDefault="009D125A" w:rsidP="006013AC">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B.3)</w:t>
      </w:r>
      <w:r w:rsidRPr="000644D4">
        <w:tab/>
      </w:r>
      <w:r w:rsidRPr="000644D4">
        <w:rPr>
          <w:rFonts w:ascii="Times New Roman" w:hAnsi="Times New Roman"/>
          <w:sz w:val="24"/>
        </w:rPr>
        <w:t xml:space="preserve">Ekspozycje wobec samorządów regionalnych lub władz lokalnych </w:t>
      </w:r>
    </w:p>
    <w:p w14:paraId="2ECF3277" w14:textId="0FC7F816" w:rsidR="006013AC" w:rsidRPr="000644D4" w:rsidRDefault="006013AC" w:rsidP="006013AC">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 aa) pkt (i) rozporządzenia (UE) nr</w:t>
      </w:r>
      <w:r w:rsidR="000644D4" w:rsidRPr="000644D4">
        <w:rPr>
          <w:rFonts w:ascii="Times New Roman" w:hAnsi="Times New Roman"/>
          <w:sz w:val="24"/>
        </w:rPr>
        <w:t> </w:t>
      </w:r>
      <w:r w:rsidRPr="000644D4">
        <w:rPr>
          <w:rFonts w:ascii="Times New Roman" w:hAnsi="Times New Roman"/>
          <w:sz w:val="24"/>
        </w:rPr>
        <w:t>575/2013)</w:t>
      </w:r>
    </w:p>
    <w:p w14:paraId="5DCFC117" w14:textId="0E35E5FB" w:rsidR="006013AC" w:rsidRPr="000644D4" w:rsidRDefault="009D125A" w:rsidP="006013AC">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B.4)</w:t>
      </w:r>
      <w:r w:rsidRPr="000644D4">
        <w:tab/>
      </w:r>
      <w:r w:rsidRPr="000644D4">
        <w:rPr>
          <w:rFonts w:ascii="Times New Roman" w:hAnsi="Times New Roman"/>
          <w:sz w:val="24"/>
        </w:rPr>
        <w:t>Ekspozycje wobec podmiotów sektora publicznego</w:t>
      </w:r>
      <w:r w:rsidR="000644D4" w:rsidRPr="000644D4">
        <w:rPr>
          <w:rFonts w:ascii="Times New Roman" w:hAnsi="Times New Roman"/>
          <w:sz w:val="24"/>
        </w:rPr>
        <w:t xml:space="preserve"> </w:t>
      </w:r>
    </w:p>
    <w:p w14:paraId="062F8299" w14:textId="6B6881EB" w:rsidR="006013AC" w:rsidRPr="000644D4" w:rsidRDefault="006013AC" w:rsidP="006013AC">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 aa) pkt (ii) rozporządzenia (UE) nr</w:t>
      </w:r>
      <w:r w:rsidR="000644D4" w:rsidRPr="000644D4">
        <w:rPr>
          <w:rFonts w:ascii="Times New Roman" w:hAnsi="Times New Roman"/>
          <w:sz w:val="24"/>
        </w:rPr>
        <w:t> </w:t>
      </w:r>
      <w:r w:rsidRPr="000644D4">
        <w:rPr>
          <w:rFonts w:ascii="Times New Roman" w:hAnsi="Times New Roman"/>
          <w:sz w:val="24"/>
        </w:rPr>
        <w:t>575/2013)</w:t>
      </w:r>
    </w:p>
    <w:p w14:paraId="698D8E50" w14:textId="3BD81666" w:rsidR="006013AC" w:rsidRPr="000644D4" w:rsidRDefault="009D125A" w:rsidP="006013AC">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B.5.1)</w:t>
      </w:r>
      <w:r w:rsidRPr="000644D4">
        <w:tab/>
      </w:r>
      <w:r w:rsidRPr="000644D4">
        <w:rPr>
          <w:rFonts w:ascii="Times New Roman" w:hAnsi="Times New Roman"/>
          <w:sz w:val="24"/>
        </w:rPr>
        <w:t>Ekspozycje wobec przedsiębiorstw – kredytowanie specjalistyczne</w:t>
      </w:r>
    </w:p>
    <w:p w14:paraId="7699809B" w14:textId="59168445" w:rsidR="006013AC" w:rsidRPr="000644D4" w:rsidRDefault="006013AC" w:rsidP="006013AC">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pkt (ii) rozporządzenia (UE) nr</w:t>
      </w:r>
      <w:r w:rsidR="000644D4" w:rsidRPr="000644D4">
        <w:rPr>
          <w:rFonts w:ascii="Times New Roman" w:hAnsi="Times New Roman"/>
          <w:sz w:val="24"/>
        </w:rPr>
        <w:t> </w:t>
      </w:r>
      <w:r w:rsidRPr="000644D4">
        <w:rPr>
          <w:rFonts w:ascii="Times New Roman" w:hAnsi="Times New Roman"/>
          <w:sz w:val="24"/>
        </w:rPr>
        <w:t>575/2013)</w:t>
      </w:r>
    </w:p>
    <w:p w14:paraId="79E7A993" w14:textId="4455638C" w:rsidR="006013AC" w:rsidRPr="000644D4" w:rsidRDefault="009D125A" w:rsidP="006013AC">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B.5.2)</w:t>
      </w:r>
      <w:r w:rsidR="000644D4" w:rsidRPr="000644D4">
        <w:rPr>
          <w:rFonts w:ascii="Times New Roman" w:hAnsi="Times New Roman"/>
          <w:sz w:val="24"/>
        </w:rPr>
        <w:t xml:space="preserve"> </w:t>
      </w:r>
      <w:r w:rsidRPr="000644D4">
        <w:rPr>
          <w:rFonts w:ascii="Times New Roman" w:hAnsi="Times New Roman"/>
          <w:sz w:val="24"/>
        </w:rPr>
        <w:t>Ekspozycje wobec przedsiębiorstw – nabyte wierzytelności</w:t>
      </w:r>
    </w:p>
    <w:p w14:paraId="47616290" w14:textId="4E98A99B" w:rsidR="006013AC" w:rsidRPr="000644D4" w:rsidRDefault="006013AC" w:rsidP="006013AC">
      <w:pPr>
        <w:autoSpaceDE w:val="0"/>
        <w:autoSpaceDN w:val="0"/>
        <w:adjustRightInd w:val="0"/>
        <w:spacing w:before="0" w:after="0"/>
        <w:ind w:left="720" w:firstLine="720"/>
        <w:jc w:val="left"/>
        <w:rPr>
          <w:rFonts w:ascii="Times New Roman" w:hAnsi="Times New Roman"/>
          <w:sz w:val="24"/>
        </w:rPr>
      </w:pPr>
      <w:r w:rsidRPr="000644D4">
        <w:rPr>
          <w:rFonts w:ascii="Times New Roman" w:hAnsi="Times New Roman"/>
          <w:sz w:val="24"/>
        </w:rPr>
        <w:t>(art. 147 ust. 2 lit.</w:t>
      </w:r>
      <w:r w:rsidR="000644D4" w:rsidRPr="000644D4">
        <w:rPr>
          <w:rFonts w:ascii="Times New Roman" w:hAnsi="Times New Roman"/>
          <w:sz w:val="24"/>
        </w:rPr>
        <w:t> </w:t>
      </w:r>
      <w:r w:rsidRPr="000644D4">
        <w:rPr>
          <w:rFonts w:ascii="Times New Roman" w:hAnsi="Times New Roman"/>
          <w:sz w:val="24"/>
        </w:rPr>
        <w:t>c) pkt (iii) rozporządzenia (UE) nr</w:t>
      </w:r>
      <w:r w:rsidR="000644D4" w:rsidRPr="000644D4">
        <w:rPr>
          <w:rFonts w:ascii="Times New Roman" w:hAnsi="Times New Roman"/>
          <w:sz w:val="24"/>
        </w:rPr>
        <w:t> </w:t>
      </w:r>
      <w:r w:rsidRPr="000644D4">
        <w:rPr>
          <w:rFonts w:ascii="Times New Roman" w:hAnsi="Times New Roman"/>
          <w:sz w:val="24"/>
        </w:rPr>
        <w:t>575/2013)</w:t>
      </w:r>
    </w:p>
    <w:p w14:paraId="7E0F1962" w14:textId="1EC228E7" w:rsidR="006013AC" w:rsidRPr="000644D4" w:rsidRDefault="009D125A" w:rsidP="006013AC">
      <w:pPr>
        <w:autoSpaceDE w:val="0"/>
        <w:autoSpaceDN w:val="0"/>
        <w:adjustRightInd w:val="0"/>
        <w:spacing w:before="0" w:after="0"/>
        <w:ind w:left="720"/>
        <w:jc w:val="left"/>
        <w:rPr>
          <w:rFonts w:ascii="Times New Roman" w:hAnsi="Times New Roman"/>
          <w:sz w:val="24"/>
        </w:rPr>
      </w:pPr>
      <w:r w:rsidRPr="000644D4">
        <w:rPr>
          <w:rFonts w:ascii="Times New Roman" w:hAnsi="Times New Roman"/>
          <w:sz w:val="24"/>
        </w:rPr>
        <w:t>B.5.3)</w:t>
      </w:r>
      <w:r w:rsidRPr="000644D4">
        <w:tab/>
      </w:r>
      <w:r w:rsidRPr="000644D4">
        <w:rPr>
          <w:rFonts w:ascii="Times New Roman" w:hAnsi="Times New Roman"/>
          <w:sz w:val="24"/>
        </w:rPr>
        <w:t xml:space="preserve">Ekspozycje wobec przedsiębiorstw – inne </w:t>
      </w:r>
    </w:p>
    <w:p w14:paraId="7C24044A" w14:textId="254A6240" w:rsidR="00CD1BFF" w:rsidRPr="000644D4" w:rsidRDefault="006013AC" w:rsidP="009D125A">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(art. 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pkt (i) rozporządzenia (UE) nr</w:t>
      </w:r>
      <w:r w:rsidR="000644D4" w:rsidRPr="000644D4">
        <w:rPr>
          <w:rFonts w:ascii="Times New Roman" w:hAnsi="Times New Roman"/>
          <w:sz w:val="24"/>
        </w:rPr>
        <w:t> </w:t>
      </w:r>
      <w:r w:rsidRPr="000644D4">
        <w:rPr>
          <w:rFonts w:ascii="Times New Roman" w:hAnsi="Times New Roman"/>
          <w:sz w:val="24"/>
        </w:rPr>
        <w:t>575/2013).</w:t>
      </w:r>
    </w:p>
    <w:p w14:paraId="0D9A4B56" w14:textId="3B70C431" w:rsidR="008A3C6B" w:rsidRPr="000644D4" w:rsidRDefault="008A3C6B" w:rsidP="008A3C6B">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B.5.4) Pozycja uzupełniająca: Ekspozycje wobec przedsiębiorstw – duże przedsiębiorstwa</w:t>
      </w:r>
    </w:p>
    <w:p w14:paraId="7348E5D3" w14:textId="67B858BB" w:rsidR="008A3C6B" w:rsidRPr="000644D4" w:rsidRDefault="008A3C6B" w:rsidP="008A3C6B">
      <w:pPr>
        <w:pStyle w:val="ListParagraph"/>
        <w:autoSpaceDE w:val="0"/>
        <w:autoSpaceDN w:val="0"/>
        <w:adjustRightInd w:val="0"/>
        <w:spacing w:before="0" w:after="0"/>
        <w:ind w:left="1440"/>
        <w:jc w:val="left"/>
        <w:rPr>
          <w:rFonts w:ascii="Times New Roman" w:hAnsi="Times New Roman"/>
          <w:sz w:val="24"/>
        </w:rPr>
      </w:pPr>
      <w:r w:rsidRPr="000644D4">
        <w:rPr>
          <w:rFonts w:ascii="Times New Roman" w:hAnsi="Times New Roman"/>
          <w:sz w:val="24"/>
        </w:rPr>
        <w:t>(art.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rozporządzenia (UE) nr</w:t>
      </w:r>
      <w:r w:rsidR="000644D4" w:rsidRPr="000644D4">
        <w:rPr>
          <w:rFonts w:ascii="Times New Roman" w:hAnsi="Times New Roman"/>
          <w:sz w:val="24"/>
        </w:rPr>
        <w:t> </w:t>
      </w:r>
      <w:r w:rsidRPr="000644D4">
        <w:rPr>
          <w:rFonts w:ascii="Times New Roman" w:hAnsi="Times New Roman"/>
          <w:sz w:val="24"/>
        </w:rPr>
        <w:t>575/2013, art.</w:t>
      </w:r>
      <w:r w:rsidR="000644D4" w:rsidRPr="000644D4">
        <w:rPr>
          <w:rFonts w:ascii="Times New Roman" w:hAnsi="Times New Roman"/>
          <w:sz w:val="24"/>
        </w:rPr>
        <w:t> </w:t>
      </w:r>
      <w:r w:rsidRPr="000644D4">
        <w:rPr>
          <w:rFonts w:ascii="Times New Roman" w:hAnsi="Times New Roman"/>
          <w:sz w:val="24"/>
        </w:rPr>
        <w:t>142 ust.</w:t>
      </w:r>
      <w:r w:rsidR="000644D4" w:rsidRPr="000644D4">
        <w:rPr>
          <w:rFonts w:ascii="Times New Roman" w:hAnsi="Times New Roman"/>
          <w:sz w:val="24"/>
        </w:rPr>
        <w:t> </w:t>
      </w:r>
      <w:r w:rsidRPr="000644D4">
        <w:rPr>
          <w:rFonts w:ascii="Times New Roman" w:hAnsi="Times New Roman"/>
          <w:sz w:val="24"/>
        </w:rPr>
        <w:t>1</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ust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5a rozporządzenia (UE) nr</w:t>
      </w:r>
      <w:r w:rsidR="000644D4" w:rsidRPr="000644D4">
        <w:rPr>
          <w:rFonts w:ascii="Times New Roman" w:hAnsi="Times New Roman"/>
          <w:sz w:val="24"/>
        </w:rPr>
        <w:t> </w:t>
      </w:r>
      <w:r w:rsidRPr="000644D4">
        <w:rPr>
          <w:rFonts w:ascii="Times New Roman" w:hAnsi="Times New Roman"/>
          <w:sz w:val="24"/>
        </w:rPr>
        <w:t>575/2013)</w:t>
      </w:r>
    </w:p>
    <w:p w14:paraId="4EA5C9B6" w14:textId="568BE150" w:rsidR="008A3C6B" w:rsidRPr="000644D4" w:rsidRDefault="008A3C6B" w:rsidP="008A3C6B">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B.5.6) Pozycja uzupełniająca: Ekspozycje wobec przedsiębiorstw – MŚP</w:t>
      </w:r>
    </w:p>
    <w:p w14:paraId="327F10F1" w14:textId="1066A926" w:rsidR="008A3C6B" w:rsidRPr="000644D4" w:rsidRDefault="008A3C6B" w:rsidP="008A3C6B">
      <w:pPr>
        <w:pStyle w:val="ListParagraph"/>
        <w:autoSpaceDE w:val="0"/>
        <w:autoSpaceDN w:val="0"/>
        <w:adjustRightInd w:val="0"/>
        <w:spacing w:before="0" w:after="0"/>
        <w:ind w:left="1418"/>
        <w:jc w:val="left"/>
        <w:rPr>
          <w:rFonts w:ascii="Times New Roman" w:hAnsi="Times New Roman"/>
          <w:sz w:val="24"/>
        </w:rPr>
      </w:pPr>
      <w:r w:rsidRPr="000644D4">
        <w:rPr>
          <w:rFonts w:ascii="Times New Roman" w:hAnsi="Times New Roman"/>
          <w:sz w:val="24"/>
        </w:rPr>
        <w:t>(art.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c)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 ust.</w:t>
      </w:r>
      <w:r w:rsidR="000644D4" w:rsidRPr="000644D4">
        <w:rPr>
          <w:rFonts w:ascii="Times New Roman" w:hAnsi="Times New Roman"/>
          <w:sz w:val="24"/>
        </w:rPr>
        <w:t> </w:t>
      </w:r>
      <w:r w:rsidRPr="000644D4">
        <w:rPr>
          <w:rFonts w:ascii="Times New Roman" w:hAnsi="Times New Roman"/>
          <w:sz w:val="24"/>
        </w:rPr>
        <w:t>8 rozporządzenia (UE) nr</w:t>
      </w:r>
      <w:r w:rsidR="000644D4" w:rsidRPr="000644D4">
        <w:rPr>
          <w:rFonts w:ascii="Times New Roman" w:hAnsi="Times New Roman"/>
          <w:sz w:val="24"/>
        </w:rPr>
        <w:t> </w:t>
      </w:r>
      <w:r w:rsidRPr="000644D4">
        <w:rPr>
          <w:rFonts w:ascii="Times New Roman" w:hAnsi="Times New Roman"/>
          <w:sz w:val="24"/>
        </w:rPr>
        <w:t>575/2013)</w:t>
      </w:r>
    </w:p>
    <w:p w14:paraId="72709B7F" w14:textId="0A3CA0B0" w:rsidR="00FB3D09" w:rsidRPr="000644D4" w:rsidRDefault="009D125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B.6.1)</w:t>
      </w:r>
      <w:r w:rsidRPr="000644D4">
        <w:tab/>
      </w:r>
      <w:r w:rsidRPr="000644D4">
        <w:rPr>
          <w:rFonts w:ascii="Times New Roman" w:hAnsi="Times New Roman"/>
          <w:sz w:val="24"/>
        </w:rPr>
        <w:t xml:space="preserve">Ekspozycje detaliczne – zabezpieczone nieruchomościami mieszkalnymi </w:t>
      </w:r>
    </w:p>
    <w:p w14:paraId="650A4DF9" w14:textId="5F50A367"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 2 lit. d) pkt (ii) rozporządzenia (UE) nr</w:t>
      </w:r>
      <w:r w:rsidR="000644D4" w:rsidRPr="000644D4">
        <w:rPr>
          <w:rFonts w:ascii="Times New Roman" w:hAnsi="Times New Roman"/>
          <w:sz w:val="24"/>
        </w:rPr>
        <w:t> </w:t>
      </w:r>
      <w:r w:rsidRPr="000644D4">
        <w:rPr>
          <w:rFonts w:ascii="Times New Roman" w:hAnsi="Times New Roman"/>
          <w:sz w:val="24"/>
        </w:rPr>
        <w:t>575/2013</w:t>
      </w:r>
    </w:p>
    <w:p w14:paraId="2ECC4965" w14:textId="776EA69B" w:rsidR="00A54B9F" w:rsidRPr="000644D4" w:rsidRDefault="000C3D68" w:rsidP="00E13BD0">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lastRenderedPageBreak/>
        <w:t>W tej kategorii.</w:t>
      </w:r>
    </w:p>
    <w:p w14:paraId="4F591501" w14:textId="3C2A575C" w:rsidR="00FB3D09" w:rsidRPr="000644D4" w:rsidRDefault="009D125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B.6.2)</w:t>
      </w:r>
      <w:r w:rsidRPr="000644D4">
        <w:tab/>
      </w:r>
      <w:r w:rsidRPr="000644D4">
        <w:rPr>
          <w:rFonts w:ascii="Times New Roman" w:hAnsi="Times New Roman"/>
          <w:sz w:val="24"/>
        </w:rPr>
        <w:t>Ekspozycje detaliczne – kwalifikowane ekspozycje odnawialne</w:t>
      </w:r>
    </w:p>
    <w:p w14:paraId="2787B7FB" w14:textId="29138359"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d) pkt (i)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154 ust.</w:t>
      </w:r>
      <w:r w:rsidR="000644D4" w:rsidRPr="000644D4">
        <w:rPr>
          <w:rFonts w:ascii="Times New Roman" w:hAnsi="Times New Roman"/>
          <w:sz w:val="24"/>
        </w:rPr>
        <w:t> </w:t>
      </w:r>
      <w:r w:rsidRPr="000644D4">
        <w:rPr>
          <w:rFonts w:ascii="Times New Roman" w:hAnsi="Times New Roman"/>
          <w:sz w:val="24"/>
        </w:rPr>
        <w:t xml:space="preserve">4 tego rozporządzenia). </w:t>
      </w:r>
    </w:p>
    <w:p w14:paraId="1CA9F240" w14:textId="4E5B99F0" w:rsidR="00FB3D09" w:rsidRPr="000644D4" w:rsidRDefault="00DB50A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B6.3)</w:t>
      </w:r>
      <w:r w:rsidRPr="000644D4">
        <w:tab/>
      </w:r>
      <w:r w:rsidRPr="000644D4">
        <w:rPr>
          <w:rFonts w:ascii="Times New Roman" w:hAnsi="Times New Roman"/>
          <w:sz w:val="24"/>
        </w:rPr>
        <w:t>Ekspozycje detaliczne – nabyte wierzytelności</w:t>
      </w:r>
    </w:p>
    <w:p w14:paraId="3EBF4177" w14:textId="29583DD8" w:rsidR="00FB3D09" w:rsidRPr="000644D4" w:rsidRDefault="00FB3D09" w:rsidP="00FB3D09">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147 ust. 2 lit. d) pkt (iii)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776A9653" w14:textId="274FCDDB" w:rsidR="00FB3D09" w:rsidRPr="000644D4" w:rsidRDefault="00DB50AA" w:rsidP="00FB3D09">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B.6.4)</w:t>
      </w:r>
      <w:r w:rsidRPr="000644D4">
        <w:tab/>
      </w:r>
      <w:r w:rsidRPr="000644D4">
        <w:rPr>
          <w:rFonts w:ascii="Times New Roman" w:hAnsi="Times New Roman"/>
          <w:sz w:val="24"/>
        </w:rPr>
        <w:t xml:space="preserve">Ekspozycje detaliczne – inne </w:t>
      </w:r>
    </w:p>
    <w:p w14:paraId="1CBC5EF4" w14:textId="6257B795" w:rsidR="00F61AEB" w:rsidRPr="000644D4" w:rsidRDefault="00FB3D09" w:rsidP="00A54B9F">
      <w:pPr>
        <w:autoSpaceDE w:val="0"/>
        <w:autoSpaceDN w:val="0"/>
        <w:adjustRightInd w:val="0"/>
        <w:spacing w:before="0" w:after="0"/>
        <w:ind w:left="142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147 ust. 2 lit. d) pkt (iv) rozporządzenia (UE) nr</w:t>
      </w:r>
      <w:r w:rsidR="000644D4" w:rsidRPr="000644D4">
        <w:rPr>
          <w:rFonts w:ascii="Times New Roman" w:hAnsi="Times New Roman"/>
          <w:sz w:val="24"/>
        </w:rPr>
        <w:t> </w:t>
      </w:r>
      <w:r w:rsidRPr="000644D4">
        <w:rPr>
          <w:rFonts w:ascii="Times New Roman" w:hAnsi="Times New Roman"/>
          <w:sz w:val="24"/>
        </w:rPr>
        <w:t>575/2013).</w:t>
      </w:r>
    </w:p>
    <w:p w14:paraId="0C697B9E" w14:textId="3DDAB287" w:rsidR="00F61AEB" w:rsidRPr="000644D4" w:rsidRDefault="00F61AEB" w:rsidP="00F61AEB">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B.6.5) Pozycja uzupełniająca: ekspozycje detaliczne – wobec MŚP zabezpieczone nieruchomością</w:t>
      </w:r>
    </w:p>
    <w:p w14:paraId="45B80CE1" w14:textId="29FD5335" w:rsidR="00F61AEB" w:rsidRPr="000644D4" w:rsidRDefault="00F61AEB" w:rsidP="00F61AEB">
      <w:pPr>
        <w:pStyle w:val="ListParagraph"/>
        <w:autoSpaceDE w:val="0"/>
        <w:autoSpaceDN w:val="0"/>
        <w:adjustRightInd w:val="0"/>
        <w:spacing w:before="0" w:after="0"/>
        <w:ind w:left="141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d) rozporządzenia (UE) nr</w:t>
      </w:r>
      <w:r w:rsidR="000644D4" w:rsidRPr="000644D4">
        <w:rPr>
          <w:rFonts w:ascii="Times New Roman" w:hAnsi="Times New Roman"/>
          <w:sz w:val="24"/>
        </w:rPr>
        <w:t> </w:t>
      </w:r>
      <w:r w:rsidRPr="000644D4">
        <w:rPr>
          <w:rFonts w:ascii="Times New Roman" w:hAnsi="Times New Roman"/>
          <w:sz w:val="24"/>
        </w:rPr>
        <w:t>575/2013, zgłaszane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poz</w:t>
      </w:r>
      <w:r w:rsidRPr="000644D4">
        <w:rPr>
          <w:rFonts w:ascii="Times New Roman" w:hAnsi="Times New Roman"/>
          <w:sz w:val="24"/>
        </w:rPr>
        <w:t>ycjach B.6.1–B.6.4,</w:t>
      </w:r>
      <w:r w:rsidR="000644D4" w:rsidRPr="000644D4">
        <w:rPr>
          <w:rFonts w:ascii="Times New Roman" w:hAnsi="Times New Roman"/>
          <w:sz w:val="24"/>
        </w:rPr>
        <w:t xml:space="preserve"> </w:t>
      </w:r>
      <w:r w:rsidRPr="000644D4">
        <w:rPr>
          <w:rFonts w:ascii="Times New Roman" w:hAnsi="Times New Roman"/>
          <w:sz w:val="24"/>
        </w:rPr>
        <w:t>zabezpieczone nieruchomościami, jak określono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4 ust.</w:t>
      </w:r>
      <w:r w:rsidR="000644D4" w:rsidRPr="000644D4">
        <w:rPr>
          <w:rFonts w:ascii="Times New Roman" w:hAnsi="Times New Roman"/>
          <w:sz w:val="24"/>
        </w:rPr>
        <w:t> </w:t>
      </w:r>
      <w:r w:rsidRPr="000644D4">
        <w:rPr>
          <w:rFonts w:ascii="Times New Roman" w:hAnsi="Times New Roman"/>
          <w:sz w:val="24"/>
        </w:rPr>
        <w:t>1 pkt</w:t>
      </w:r>
      <w:r w:rsidR="000644D4" w:rsidRPr="000644D4">
        <w:rPr>
          <w:rFonts w:ascii="Times New Roman" w:hAnsi="Times New Roman"/>
          <w:sz w:val="24"/>
        </w:rPr>
        <w:t> </w:t>
      </w:r>
      <w:r w:rsidRPr="000644D4">
        <w:rPr>
          <w:rFonts w:ascii="Times New Roman" w:hAnsi="Times New Roman"/>
          <w:sz w:val="24"/>
        </w:rPr>
        <w:t>75f lit.</w:t>
      </w:r>
      <w:r w:rsidR="000644D4" w:rsidRPr="000644D4">
        <w:rPr>
          <w:rFonts w:ascii="Times New Roman" w:hAnsi="Times New Roman"/>
          <w:sz w:val="24"/>
        </w:rPr>
        <w:t> </w:t>
      </w:r>
      <w:r w:rsidRPr="000644D4">
        <w:rPr>
          <w:rFonts w:ascii="Times New Roman" w:hAnsi="Times New Roman"/>
          <w:sz w:val="24"/>
        </w:rPr>
        <w:t>d)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 ust.</w:t>
      </w:r>
      <w:r w:rsidR="000644D4" w:rsidRPr="000644D4">
        <w:rPr>
          <w:rFonts w:ascii="Times New Roman" w:hAnsi="Times New Roman"/>
          <w:sz w:val="24"/>
        </w:rPr>
        <w:t> </w:t>
      </w:r>
      <w:r w:rsidRPr="000644D4">
        <w:rPr>
          <w:rFonts w:ascii="Times New Roman" w:hAnsi="Times New Roman"/>
          <w:sz w:val="24"/>
        </w:rPr>
        <w:t>8 rozporządzenia (UE) nr</w:t>
      </w:r>
      <w:r w:rsidR="000644D4" w:rsidRPr="000644D4">
        <w:rPr>
          <w:rFonts w:ascii="Times New Roman" w:hAnsi="Times New Roman"/>
          <w:sz w:val="24"/>
        </w:rPr>
        <w:t> </w:t>
      </w:r>
      <w:r w:rsidRPr="000644D4">
        <w:rPr>
          <w:rFonts w:ascii="Times New Roman" w:hAnsi="Times New Roman"/>
          <w:sz w:val="24"/>
        </w:rPr>
        <w:t>575/2013)</w:t>
      </w:r>
    </w:p>
    <w:p w14:paraId="40D2DB38" w14:textId="4857D4AC" w:rsidR="00F61AEB" w:rsidRPr="000644D4" w:rsidRDefault="00F61AEB" w:rsidP="00F61AEB">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B.6.6) Pozycja uzupełniająca: ekspozycje detaliczne – wobec podmiotów niebędących MŚP zabezpieczone nieruchomością</w:t>
      </w:r>
    </w:p>
    <w:p w14:paraId="7430D81F" w14:textId="1A0292B8" w:rsidR="00F61AEB" w:rsidRPr="000644D4" w:rsidRDefault="00F61AEB" w:rsidP="00F61AEB">
      <w:pPr>
        <w:pStyle w:val="ListParagraph"/>
        <w:autoSpaceDE w:val="0"/>
        <w:autoSpaceDN w:val="0"/>
        <w:adjustRightInd w:val="0"/>
        <w:spacing w:before="0" w:after="0"/>
        <w:ind w:left="141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d) rozporządzenia (UE) nr</w:t>
      </w:r>
      <w:r w:rsidR="000644D4" w:rsidRPr="000644D4">
        <w:rPr>
          <w:rFonts w:ascii="Times New Roman" w:hAnsi="Times New Roman"/>
          <w:sz w:val="24"/>
        </w:rPr>
        <w:t> </w:t>
      </w:r>
      <w:r w:rsidRPr="000644D4">
        <w:rPr>
          <w:rFonts w:ascii="Times New Roman" w:hAnsi="Times New Roman"/>
          <w:sz w:val="24"/>
        </w:rPr>
        <w:t>575/2013, zgłoszone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poz</w:t>
      </w:r>
      <w:r w:rsidRPr="000644D4">
        <w:rPr>
          <w:rFonts w:ascii="Times New Roman" w:hAnsi="Times New Roman"/>
          <w:sz w:val="24"/>
        </w:rPr>
        <w:t>ycjach B.6.1–B.6.4,</w:t>
      </w:r>
      <w:r w:rsidR="000644D4" w:rsidRPr="000644D4">
        <w:rPr>
          <w:rFonts w:ascii="Times New Roman" w:hAnsi="Times New Roman"/>
          <w:sz w:val="24"/>
        </w:rPr>
        <w:t xml:space="preserve"> </w:t>
      </w:r>
      <w:r w:rsidRPr="000644D4">
        <w:rPr>
          <w:rFonts w:ascii="Times New Roman" w:hAnsi="Times New Roman"/>
          <w:sz w:val="24"/>
        </w:rPr>
        <w:t>zabezpieczone nieruchomościami, jak określono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4 ust.</w:t>
      </w:r>
      <w:r w:rsidR="000644D4" w:rsidRPr="000644D4">
        <w:rPr>
          <w:rFonts w:ascii="Times New Roman" w:hAnsi="Times New Roman"/>
          <w:sz w:val="24"/>
        </w:rPr>
        <w:t> </w:t>
      </w:r>
      <w:r w:rsidRPr="000644D4">
        <w:rPr>
          <w:rFonts w:ascii="Times New Roman" w:hAnsi="Times New Roman"/>
          <w:sz w:val="24"/>
        </w:rPr>
        <w:t>1 pkt</w:t>
      </w:r>
      <w:r w:rsidR="000644D4" w:rsidRPr="000644D4">
        <w:rPr>
          <w:rFonts w:ascii="Times New Roman" w:hAnsi="Times New Roman"/>
          <w:sz w:val="24"/>
        </w:rPr>
        <w:t> </w:t>
      </w:r>
      <w:r w:rsidRPr="000644D4">
        <w:rPr>
          <w:rFonts w:ascii="Times New Roman" w:hAnsi="Times New Roman"/>
          <w:sz w:val="24"/>
        </w:rPr>
        <w:t>75f lit.</w:t>
      </w:r>
      <w:r w:rsidR="000644D4" w:rsidRPr="000644D4">
        <w:rPr>
          <w:rFonts w:ascii="Times New Roman" w:hAnsi="Times New Roman"/>
          <w:sz w:val="24"/>
        </w:rPr>
        <w:t> </w:t>
      </w:r>
      <w:r w:rsidRPr="000644D4">
        <w:rPr>
          <w:rFonts w:ascii="Times New Roman" w:hAnsi="Times New Roman"/>
          <w:sz w:val="24"/>
        </w:rPr>
        <w:t>d) rozporządzenia (UE) nr</w:t>
      </w:r>
      <w:r w:rsidR="000644D4" w:rsidRPr="000644D4">
        <w:rPr>
          <w:rFonts w:ascii="Times New Roman" w:hAnsi="Times New Roman"/>
          <w:sz w:val="24"/>
        </w:rPr>
        <w:t> </w:t>
      </w:r>
      <w:r w:rsidRPr="000644D4">
        <w:rPr>
          <w:rFonts w:ascii="Times New Roman" w:hAnsi="Times New Roman"/>
          <w:sz w:val="24"/>
        </w:rPr>
        <w:t>575/2013, nie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 ust.</w:t>
      </w:r>
      <w:r w:rsidR="000644D4" w:rsidRPr="000644D4">
        <w:rPr>
          <w:rFonts w:ascii="Times New Roman" w:hAnsi="Times New Roman"/>
          <w:sz w:val="24"/>
        </w:rPr>
        <w:t> </w:t>
      </w:r>
      <w:r w:rsidRPr="000644D4">
        <w:rPr>
          <w:rFonts w:ascii="Times New Roman" w:hAnsi="Times New Roman"/>
          <w:sz w:val="24"/>
        </w:rPr>
        <w:t>8 rozporządzenia (UE) nr</w:t>
      </w:r>
      <w:r w:rsidR="000644D4" w:rsidRPr="000644D4">
        <w:rPr>
          <w:rFonts w:ascii="Times New Roman" w:hAnsi="Times New Roman"/>
          <w:sz w:val="24"/>
        </w:rPr>
        <w:t> </w:t>
      </w:r>
      <w:r w:rsidRPr="000644D4">
        <w:rPr>
          <w:rFonts w:ascii="Times New Roman" w:hAnsi="Times New Roman"/>
          <w:sz w:val="24"/>
        </w:rPr>
        <w:t>575/2013)</w:t>
      </w:r>
    </w:p>
    <w:p w14:paraId="0EB53292" w14:textId="6168F897" w:rsidR="00F37042" w:rsidRPr="000644D4" w:rsidRDefault="00F37042" w:rsidP="00F37042">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B.6.7) Pozycja uzupełniająca: ekspozycje detaliczne – inne ekspozycje wobec MŚP</w:t>
      </w:r>
    </w:p>
    <w:p w14:paraId="5861C1A9" w14:textId="6E943BD3" w:rsidR="00F37042" w:rsidRPr="000644D4" w:rsidRDefault="00F37042" w:rsidP="00F37042">
      <w:pPr>
        <w:pStyle w:val="ListParagraph"/>
        <w:autoSpaceDE w:val="0"/>
        <w:autoSpaceDN w:val="0"/>
        <w:adjustRightInd w:val="0"/>
        <w:spacing w:before="0" w:after="0"/>
        <w:ind w:left="141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d) pkt (iv) rozporządzenia (UE) nr</w:t>
      </w:r>
      <w:r w:rsidR="000644D4" w:rsidRPr="000644D4">
        <w:rPr>
          <w:rFonts w:ascii="Times New Roman" w:hAnsi="Times New Roman"/>
          <w:sz w:val="24"/>
        </w:rPr>
        <w:t> </w:t>
      </w:r>
      <w:r w:rsidRPr="000644D4">
        <w:rPr>
          <w:rFonts w:ascii="Times New Roman" w:hAnsi="Times New Roman"/>
          <w:sz w:val="24"/>
        </w:rPr>
        <w:t>575/2013, niezgłoszone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poz</w:t>
      </w:r>
      <w:r w:rsidRPr="000644D4">
        <w:rPr>
          <w:rFonts w:ascii="Times New Roman" w:hAnsi="Times New Roman"/>
          <w:sz w:val="24"/>
        </w:rPr>
        <w:t>ycjach B.6.5 i B.6.6,</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 ust.</w:t>
      </w:r>
      <w:r w:rsidR="000644D4" w:rsidRPr="000644D4">
        <w:rPr>
          <w:rFonts w:ascii="Times New Roman" w:hAnsi="Times New Roman"/>
          <w:sz w:val="24"/>
        </w:rPr>
        <w:t> </w:t>
      </w:r>
      <w:r w:rsidRPr="000644D4">
        <w:rPr>
          <w:rFonts w:ascii="Times New Roman" w:hAnsi="Times New Roman"/>
          <w:sz w:val="24"/>
        </w:rPr>
        <w:t>8 rozporządzenia (UE) nr</w:t>
      </w:r>
      <w:r w:rsidR="000644D4" w:rsidRPr="000644D4">
        <w:rPr>
          <w:rFonts w:ascii="Times New Roman" w:hAnsi="Times New Roman"/>
          <w:sz w:val="24"/>
        </w:rPr>
        <w:t> </w:t>
      </w:r>
      <w:r w:rsidRPr="000644D4">
        <w:rPr>
          <w:rFonts w:ascii="Times New Roman" w:hAnsi="Times New Roman"/>
          <w:sz w:val="24"/>
        </w:rPr>
        <w:t>575/2013)</w:t>
      </w:r>
    </w:p>
    <w:p w14:paraId="394F5A32" w14:textId="4E70921A" w:rsidR="00F37042" w:rsidRPr="000644D4" w:rsidRDefault="00F37042" w:rsidP="00F37042">
      <w:pPr>
        <w:autoSpaceDE w:val="0"/>
        <w:autoSpaceDN w:val="0"/>
        <w:adjustRightInd w:val="0"/>
        <w:spacing w:before="0" w:after="0"/>
        <w:ind w:left="708"/>
        <w:jc w:val="left"/>
        <w:rPr>
          <w:rFonts w:ascii="Times New Roman" w:hAnsi="Times New Roman"/>
          <w:sz w:val="24"/>
        </w:rPr>
      </w:pPr>
      <w:r w:rsidRPr="000644D4">
        <w:rPr>
          <w:rFonts w:ascii="Times New Roman" w:hAnsi="Times New Roman"/>
          <w:sz w:val="24"/>
        </w:rPr>
        <w:t>B.6.8) Pozycja uzupełniająca: ekspozycje detaliczne – inne ekspozycje wobec podmiotów niebędących MŚP</w:t>
      </w:r>
    </w:p>
    <w:p w14:paraId="75B56F15" w14:textId="47009599" w:rsidR="00F37042" w:rsidRPr="000644D4" w:rsidRDefault="00F37042" w:rsidP="00F37042">
      <w:pPr>
        <w:pStyle w:val="ListParagraph"/>
        <w:autoSpaceDE w:val="0"/>
        <w:autoSpaceDN w:val="0"/>
        <w:adjustRightInd w:val="0"/>
        <w:spacing w:before="0" w:after="0"/>
        <w:ind w:left="1418"/>
        <w:jc w:val="left"/>
        <w:rPr>
          <w:rFonts w:ascii="Times New Roman" w:hAnsi="Times New Roman"/>
          <w:sz w:val="24"/>
        </w:rPr>
      </w:pPr>
      <w:r w:rsidRPr="000644D4">
        <w:rPr>
          <w:rFonts w:ascii="Times New Roman" w:hAnsi="Times New Roman"/>
          <w:sz w:val="24"/>
        </w:rPr>
        <w:t>(Ekspozycje detaliczne,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w:t>
      </w:r>
      <w:r w:rsidR="000644D4" w:rsidRPr="000644D4">
        <w:rPr>
          <w:rFonts w:ascii="Times New Roman" w:hAnsi="Times New Roman"/>
          <w:sz w:val="24"/>
        </w:rPr>
        <w:t> </w:t>
      </w:r>
      <w:r w:rsidRPr="000644D4">
        <w:rPr>
          <w:rFonts w:ascii="Times New Roman" w:hAnsi="Times New Roman"/>
          <w:sz w:val="24"/>
        </w:rPr>
        <w:t>d) pkt (iv) rozporządzenia (UE) nr</w:t>
      </w:r>
      <w:r w:rsidR="000644D4" w:rsidRPr="000644D4">
        <w:rPr>
          <w:rFonts w:ascii="Times New Roman" w:hAnsi="Times New Roman"/>
          <w:sz w:val="24"/>
        </w:rPr>
        <w:t> </w:t>
      </w:r>
      <w:r w:rsidRPr="000644D4">
        <w:rPr>
          <w:rFonts w:ascii="Times New Roman" w:hAnsi="Times New Roman"/>
          <w:sz w:val="24"/>
        </w:rPr>
        <w:t>575/2013, niezgłoszone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poz</w:t>
      </w:r>
      <w:r w:rsidRPr="000644D4">
        <w:rPr>
          <w:rFonts w:ascii="Times New Roman" w:hAnsi="Times New Roman"/>
          <w:sz w:val="24"/>
        </w:rPr>
        <w:t>ycjach B.6.5 i B.6.6, nie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zwi</w:t>
      </w:r>
      <w:r w:rsidRPr="000644D4">
        <w:rPr>
          <w:rFonts w:ascii="Times New Roman" w:hAnsi="Times New Roman"/>
          <w:sz w:val="24"/>
        </w:rPr>
        <w:t>ązku</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5 ust.</w:t>
      </w:r>
      <w:r w:rsidR="000644D4" w:rsidRPr="000644D4">
        <w:rPr>
          <w:rFonts w:ascii="Times New Roman" w:hAnsi="Times New Roman"/>
          <w:sz w:val="24"/>
        </w:rPr>
        <w:t> </w:t>
      </w:r>
      <w:r w:rsidRPr="000644D4">
        <w:rPr>
          <w:rFonts w:ascii="Times New Roman" w:hAnsi="Times New Roman"/>
          <w:sz w:val="24"/>
        </w:rPr>
        <w:t>8 rozporządzenia (UE) nr</w:t>
      </w:r>
      <w:r w:rsidR="000644D4" w:rsidRPr="000644D4">
        <w:rPr>
          <w:rFonts w:ascii="Times New Roman" w:hAnsi="Times New Roman"/>
          <w:sz w:val="24"/>
        </w:rPr>
        <w:t> </w:t>
      </w:r>
      <w:r w:rsidRPr="000644D4">
        <w:rPr>
          <w:rFonts w:ascii="Times New Roman" w:hAnsi="Times New Roman"/>
          <w:sz w:val="24"/>
        </w:rPr>
        <w:t>575/2013)</w:t>
      </w:r>
    </w:p>
    <w:p w14:paraId="31C5A22B" w14:textId="61C91BE4" w:rsidR="00FB3D09" w:rsidRPr="000644D4" w:rsidRDefault="00DB50AA" w:rsidP="00E13BD0">
      <w:pPr>
        <w:pStyle w:val="ListParagraph1"/>
        <w:autoSpaceDE w:val="0"/>
        <w:autoSpaceDN w:val="0"/>
        <w:adjustRightInd w:val="0"/>
        <w:spacing w:before="0" w:after="0"/>
        <w:ind w:left="0" w:firstLine="720"/>
        <w:jc w:val="left"/>
        <w:rPr>
          <w:rFonts w:ascii="Times New Roman" w:hAnsi="Times New Roman"/>
          <w:sz w:val="24"/>
        </w:rPr>
      </w:pPr>
      <w:r w:rsidRPr="000644D4">
        <w:rPr>
          <w:rFonts w:ascii="Times New Roman" w:hAnsi="Times New Roman"/>
          <w:sz w:val="24"/>
        </w:rPr>
        <w:t>B.7)</w:t>
      </w:r>
      <w:r w:rsidRPr="000644D4">
        <w:tab/>
      </w:r>
      <w:r w:rsidRPr="000644D4">
        <w:rPr>
          <w:rFonts w:ascii="Times New Roman" w:hAnsi="Times New Roman"/>
          <w:sz w:val="24"/>
        </w:rPr>
        <w:t>Ekspozycje wobec przedsiębiorstw zbiorowego inwestowania</w:t>
      </w:r>
    </w:p>
    <w:p w14:paraId="46A3FB56" w14:textId="67E4903F" w:rsidR="00FB3D09" w:rsidRPr="000644D4" w:rsidDel="00C72B5D" w:rsidRDefault="00FB3D09" w:rsidP="00126E51">
      <w:pPr>
        <w:autoSpaceDE w:val="0"/>
        <w:autoSpaceDN w:val="0"/>
        <w:adjustRightInd w:val="0"/>
        <w:spacing w:before="0" w:after="0"/>
        <w:ind w:left="1416"/>
        <w:jc w:val="left"/>
        <w:rPr>
          <w:rFonts w:ascii="Times New Roman" w:hAnsi="Times New Roman"/>
          <w:sz w:val="24"/>
        </w:rPr>
      </w:pPr>
      <w:r w:rsidRPr="000644D4">
        <w:rPr>
          <w:rFonts w:ascii="Times New Roman" w:hAnsi="Times New Roman"/>
          <w:sz w:val="24"/>
        </w:rPr>
        <w:t>Ekspozycje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for</w:t>
      </w:r>
      <w:r w:rsidRPr="000644D4">
        <w:rPr>
          <w:rFonts w:ascii="Times New Roman" w:hAnsi="Times New Roman"/>
          <w:sz w:val="24"/>
        </w:rPr>
        <w:t>mie jednostek lub udziałów</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edsiębiorstwach zbiorowego inwestowania, jak określono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147 ust.</w:t>
      </w:r>
      <w:r w:rsidR="000644D4" w:rsidRPr="000644D4">
        <w:rPr>
          <w:rFonts w:ascii="Times New Roman" w:hAnsi="Times New Roman"/>
          <w:sz w:val="24"/>
        </w:rPr>
        <w:t> </w:t>
      </w:r>
      <w:r w:rsidRPr="000644D4">
        <w:rPr>
          <w:rFonts w:ascii="Times New Roman" w:hAnsi="Times New Roman"/>
          <w:sz w:val="24"/>
        </w:rPr>
        <w:t>2 lit. ea) rozporządzenia (UE) nr</w:t>
      </w:r>
      <w:r w:rsidR="000644D4" w:rsidRPr="000644D4">
        <w:rPr>
          <w:rFonts w:ascii="Times New Roman" w:hAnsi="Times New Roman"/>
          <w:sz w:val="24"/>
        </w:rPr>
        <w:t> </w:t>
      </w:r>
      <w:r w:rsidRPr="000644D4">
        <w:rPr>
          <w:rFonts w:ascii="Times New Roman" w:hAnsi="Times New Roman"/>
          <w:sz w:val="24"/>
        </w:rPr>
        <w:t>575/2013</w:t>
      </w:r>
    </w:p>
    <w:p w14:paraId="1BEDE351" w14:textId="77777777" w:rsidR="00FB3D09" w:rsidRPr="000644D4" w:rsidRDefault="00FB3D09" w:rsidP="00FB3D09">
      <w:pPr>
        <w:spacing w:before="0" w:after="0"/>
        <w:ind w:left="709"/>
        <w:jc w:val="left"/>
        <w:rPr>
          <w:rFonts w:ascii="Times New Roman" w:hAnsi="Times New Roman"/>
          <w:sz w:val="24"/>
          <w:lang w:eastAsia="de-DE"/>
        </w:rPr>
      </w:pPr>
    </w:p>
    <w:p w14:paraId="677C9432" w14:textId="5F44DBD8" w:rsidR="00FB3D09" w:rsidRPr="000644D4" w:rsidRDefault="00FB3D09" w:rsidP="00FB3D09">
      <w:pPr>
        <w:spacing w:before="0" w:after="240"/>
        <w:jc w:val="left"/>
        <w:rPr>
          <w:rFonts w:ascii="Times New Roman" w:hAnsi="Times New Roman"/>
          <w:sz w:val="24"/>
        </w:rPr>
      </w:pPr>
      <w:r w:rsidRPr="000644D4">
        <w:rPr>
          <w:rFonts w:ascii="Times New Roman" w:hAnsi="Times New Roman"/>
          <w:sz w:val="24"/>
        </w:rPr>
        <w:t>3.3.2a. Wyjaśnienia dotyczące zakresu pewnych określonych kategorii ekspozycji,</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147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314E3D92" w14:textId="4C97F668" w:rsidR="00FB3D09" w:rsidRPr="000644D4" w:rsidRDefault="00FB3D09" w:rsidP="00FB3D09">
      <w:pPr>
        <w:spacing w:before="0" w:after="240"/>
        <w:jc w:val="left"/>
        <w:rPr>
          <w:rFonts w:ascii="Times New Roman" w:hAnsi="Times New Roman"/>
          <w:sz w:val="24"/>
        </w:rPr>
      </w:pPr>
      <w:r w:rsidRPr="000644D4">
        <w:rPr>
          <w:rFonts w:ascii="Times New Roman" w:hAnsi="Times New Roman"/>
          <w:sz w:val="24"/>
        </w:rPr>
        <w:t>3.3.2a.1 Kategoria ekspozycji „ekspozycje wobec przedsiębiorstw zbiorowego inwestowania”</w:t>
      </w:r>
    </w:p>
    <w:p w14:paraId="219CEA19" w14:textId="23C4A0B5" w:rsidR="00FB3D09" w:rsidRPr="000644D4" w:rsidRDefault="00FB3D09" w:rsidP="00126E51">
      <w:pPr>
        <w:spacing w:before="0" w:after="240"/>
        <w:rPr>
          <w:rFonts w:ascii="Times New Roman" w:hAnsi="Times New Roman"/>
          <w:sz w:val="24"/>
        </w:rPr>
      </w:pPr>
      <w:r w:rsidRPr="000644D4">
        <w:rPr>
          <w:rFonts w:ascii="Times New Roman" w:hAnsi="Times New Roman"/>
          <w:sz w:val="24"/>
        </w:rPr>
        <w:t>76a. Wszystkie poszczególne ekspozycje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pos</w:t>
      </w:r>
      <w:r w:rsidRPr="000644D4">
        <w:rPr>
          <w:rFonts w:ascii="Times New Roman" w:hAnsi="Times New Roman"/>
          <w:sz w:val="24"/>
        </w:rPr>
        <w:t>taci jednostek lub udziałów</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edsiębiorstwach zbiorowego inwestowania,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gdy stosowana jest metoda pełnego przeglądu lub metoda oparta na uprawnieniach (art. 152 ust. 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tak</w:t>
      </w:r>
      <w:r w:rsidRPr="000644D4">
        <w:rPr>
          <w:rFonts w:ascii="Times New Roman" w:hAnsi="Times New Roman"/>
          <w:sz w:val="24"/>
        </w:rPr>
        <w:t>że ekspozycje podlegające metodzie rezerwowej, klasyfikuje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kat</w:t>
      </w:r>
      <w:r w:rsidRPr="000644D4">
        <w:rPr>
          <w:rFonts w:ascii="Times New Roman" w:hAnsi="Times New Roman"/>
          <w:sz w:val="24"/>
        </w:rPr>
        <w:t>egorii ekspozycji „Ekspozycje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for</w:t>
      </w:r>
      <w:r w:rsidRPr="000644D4">
        <w:rPr>
          <w:rFonts w:ascii="Times New Roman" w:hAnsi="Times New Roman"/>
          <w:sz w:val="24"/>
        </w:rPr>
        <w:t>mie jednostek uczestnictwa lub udziałów</w:t>
      </w:r>
      <w:r w:rsidR="000644D4" w:rsidRPr="000644D4">
        <w:rPr>
          <w:rFonts w:ascii="Times New Roman" w:hAnsi="Times New Roman"/>
          <w:sz w:val="24"/>
        </w:rPr>
        <w:t xml:space="preserve"> </w:t>
      </w:r>
      <w:r w:rsidR="000644D4" w:rsidRPr="000644D4">
        <w:rPr>
          <w:rFonts w:ascii="Times New Roman" w:hAnsi="Times New Roman"/>
          <w:sz w:val="24"/>
        </w:rPr>
        <w:lastRenderedPageBreak/>
        <w:t>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edsiębiorstwach zbiorowego inwestowania”</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zgł</w:t>
      </w:r>
      <w:r w:rsidRPr="000644D4">
        <w:rPr>
          <w:rFonts w:ascii="Times New Roman" w:hAnsi="Times New Roman"/>
          <w:sz w:val="24"/>
        </w:rPr>
        <w:t>asza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sek</w:t>
      </w:r>
      <w:r w:rsidRPr="000644D4">
        <w:rPr>
          <w:rFonts w:ascii="Times New Roman" w:hAnsi="Times New Roman"/>
          <w:sz w:val="24"/>
        </w:rPr>
        <w:t>cji</w:t>
      </w:r>
      <w:r w:rsidR="000644D4" w:rsidRPr="000644D4">
        <w:rPr>
          <w:rFonts w:ascii="Times New Roman" w:hAnsi="Times New Roman"/>
          <w:sz w:val="24"/>
        </w:rPr>
        <w:t xml:space="preserve"> </w:t>
      </w:r>
      <w:r w:rsidRPr="000644D4">
        <w:rPr>
          <w:rFonts w:ascii="Times New Roman" w:hAnsi="Times New Roman"/>
          <w:sz w:val="24"/>
        </w:rPr>
        <w:t>PODZIAŁ EKSPOZYCJI CAŁKOWITYCH WEDŁUG METODY (PRZEDSIĘBIORSTWO ZBIOROWEGO INWESTOWANIA).</w:t>
      </w:r>
    </w:p>
    <w:p w14:paraId="1BCD95AE" w14:textId="18508CF3" w:rsidR="00FB3D09" w:rsidRPr="000644D4" w:rsidRDefault="00FC2C95" w:rsidP="00126E51">
      <w:pPr>
        <w:spacing w:before="0" w:after="240"/>
        <w:rPr>
          <w:rFonts w:ascii="Times New Roman" w:hAnsi="Times New Roman"/>
          <w:sz w:val="24"/>
        </w:rPr>
      </w:pPr>
      <w:r w:rsidRPr="000644D4">
        <w:rPr>
          <w:rFonts w:ascii="Times New Roman" w:hAnsi="Times New Roman"/>
          <w:sz w:val="24"/>
        </w:rPr>
        <w:t>76b</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gdy stosowana jest metoda pełnego przeglądu (art.</w:t>
      </w:r>
      <w:r w:rsidR="000644D4" w:rsidRPr="000644D4">
        <w:rPr>
          <w:rFonts w:ascii="Times New Roman" w:hAnsi="Times New Roman"/>
          <w:sz w:val="24"/>
        </w:rPr>
        <w:t> </w:t>
      </w:r>
      <w:r w:rsidRPr="000644D4">
        <w:rPr>
          <w:rFonts w:ascii="Times New Roman" w:hAnsi="Times New Roman"/>
          <w:sz w:val="24"/>
        </w:rPr>
        <w:t>152 ust.</w:t>
      </w:r>
      <w:r w:rsidR="000644D4" w:rsidRPr="000644D4">
        <w:rPr>
          <w:rFonts w:ascii="Times New Roman" w:hAnsi="Times New Roman"/>
          <w:sz w:val="24"/>
        </w:rPr>
        <w:t> </w:t>
      </w:r>
      <w:r w:rsidRPr="000644D4">
        <w:rPr>
          <w:rFonts w:ascii="Times New Roman" w:hAnsi="Times New Roman"/>
          <w:sz w:val="24"/>
        </w:rPr>
        <w:t>1 rozporządzenia (UE) nr</w:t>
      </w:r>
      <w:r w:rsidR="000644D4" w:rsidRPr="000644D4">
        <w:rPr>
          <w:rFonts w:ascii="Times New Roman" w:hAnsi="Times New Roman"/>
          <w:sz w:val="24"/>
        </w:rPr>
        <w:t> </w:t>
      </w:r>
      <w:r w:rsidRPr="000644D4">
        <w:rPr>
          <w:rFonts w:ascii="Times New Roman" w:hAnsi="Times New Roman"/>
          <w:sz w:val="24"/>
        </w:rPr>
        <w:t>575/2013) poszczególne ekspozycje bazowe klasyfikuje się (oprócz wyżej wymienionej klasyfikacji jako „ekspozycje wobec przedsiębiorstw zbiorowego inwestowania”)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odp</w:t>
      </w:r>
      <w:r w:rsidRPr="000644D4">
        <w:rPr>
          <w:rFonts w:ascii="Times New Roman" w:hAnsi="Times New Roman"/>
          <w:sz w:val="24"/>
        </w:rPr>
        <w:t>owiedniej kategorii ekspozycji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zgł</w:t>
      </w:r>
      <w:r w:rsidRPr="000644D4">
        <w:rPr>
          <w:rFonts w:ascii="Times New Roman" w:hAnsi="Times New Roman"/>
          <w:sz w:val="24"/>
        </w:rPr>
        <w:t>asza jako pozycję uzupełniającą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rszu 0190 wzoru C 08.01 ze wskazaniem metody pełnego przeglądu (dla tej kategorii ekspozycji).W przypadku metody pełnego przeglądu poszczególna ekspozycja bazowa, jako taka, nie jest częścią ekspozycji całkowitych dla odpowiedniej kategorii ekspozycji, ale jest ona uwzględniana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eks</w:t>
      </w:r>
      <w:r w:rsidRPr="000644D4">
        <w:rPr>
          <w:rFonts w:ascii="Times New Roman" w:hAnsi="Times New Roman"/>
          <w:sz w:val="24"/>
        </w:rPr>
        <w:t>pozycjach całkowitych dla kategorii ekspozycji „ekspozycje wobec przedsiębiorstw zbiorowego inwestowania”</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gdy, ostatecznie, do niektórych ekspozycji bazowych stosowana jest metoda standardowa, ekspozycje te powinny być zgłoszone we wzorze CR SA (C 07.00)</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kat</w:t>
      </w:r>
      <w:r w:rsidRPr="000644D4">
        <w:rPr>
          <w:rFonts w:ascii="Times New Roman" w:hAnsi="Times New Roman"/>
          <w:sz w:val="24"/>
        </w:rPr>
        <w:t>egorii ekspozycji „ekspozycje wobec przedsiębiorstw zbiorowego inwestowania” W tym wzorze zgłasza się wyłącznie ekspozycje bazowe,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których do obliczenia wymogów</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zak</w:t>
      </w:r>
      <w:r w:rsidRPr="000644D4">
        <w:rPr>
          <w:rFonts w:ascii="Times New Roman" w:hAnsi="Times New Roman"/>
          <w:sz w:val="24"/>
        </w:rPr>
        <w:t>resie funduszy własnych zastosowano metodę wewnętrznych ratingów (IRB). Niemniej jednak we wzorach CR IRB nie zgłasza się następujących ekspozycji bazowych:</w:t>
      </w:r>
    </w:p>
    <w:p w14:paraId="38F3EA76" w14:textId="77777777" w:rsidR="00FB3D09" w:rsidRPr="000644D4" w:rsidRDefault="00FB3D09" w:rsidP="00FB3D09">
      <w:pPr>
        <w:pStyle w:val="InstructionsText2"/>
        <w:numPr>
          <w:ilvl w:val="0"/>
          <w:numId w:val="0"/>
        </w:numPr>
        <w:ind w:left="993"/>
      </w:pPr>
      <w:r w:rsidRPr="000644D4">
        <w:t>i.</w:t>
      </w:r>
      <w:r w:rsidRPr="000644D4">
        <w:tab/>
        <w:t xml:space="preserve">ekspozycji kapitałowych, które zgłasza się we wzorze CR EQU IRB; </w:t>
      </w:r>
    </w:p>
    <w:p w14:paraId="007677D4" w14:textId="77777777" w:rsidR="00FB3D09" w:rsidRPr="000644D4" w:rsidRDefault="00FB3D09" w:rsidP="00FB3D09">
      <w:pPr>
        <w:pStyle w:val="InstructionsText2"/>
        <w:numPr>
          <w:ilvl w:val="0"/>
          <w:numId w:val="0"/>
        </w:numPr>
        <w:ind w:left="993"/>
      </w:pPr>
      <w:r w:rsidRPr="000644D4">
        <w:t>ii.</w:t>
      </w:r>
      <w:r w:rsidRPr="000644D4">
        <w:tab/>
        <w:t>pozycji sekurytyzacyjnych, które zgłasza się we wzorach CE SEC lub CR SEC Szczegóły;</w:t>
      </w:r>
    </w:p>
    <w:p w14:paraId="3868B76C" w14:textId="2CF614B2" w:rsidR="00FB3D09" w:rsidRPr="000644D4"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0644D4">
        <w:rPr>
          <w:rFonts w:ascii="Times New Roman" w:hAnsi="Times New Roman"/>
          <w:sz w:val="24"/>
        </w:rPr>
        <w:t>3.3.3.</w:t>
      </w:r>
      <w:r w:rsidRPr="000644D4">
        <w:tab/>
      </w:r>
      <w:r w:rsidRPr="000644D4">
        <w:rPr>
          <w:rFonts w:ascii="Times New Roman" w:hAnsi="Times New Roman"/>
          <w:sz w:val="24"/>
        </w:rPr>
        <w:t>C 08.01 – Ryzyko kredytowe</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yko kredytowe kontrahenta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(CR IRB 1)</w:t>
      </w:r>
      <w:bookmarkEnd w:id="11"/>
    </w:p>
    <w:p w14:paraId="24516C06" w14:textId="77777777" w:rsidR="00FB3D09" w:rsidRPr="000644D4"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0644D4">
        <w:rPr>
          <w:rFonts w:ascii="Times New Roman" w:hAnsi="Times New Roman"/>
          <w:sz w:val="24"/>
          <w:u w:val="none"/>
        </w:rPr>
        <w:t>3.3.3.1</w:t>
      </w:r>
      <w:r w:rsidRPr="000644D4">
        <w:tab/>
      </w:r>
      <w:r w:rsidRPr="000644D4">
        <w:rPr>
          <w:rFonts w:ascii="Times New Roman" w:hAnsi="Times New Roman"/>
          <w:sz w:val="24"/>
        </w:rPr>
        <w:t>Instrukcje dotyczące poszczególnych pozycji</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57EC16E2" w14:textId="77777777" w:rsidTr="00822842">
        <w:tc>
          <w:tcPr>
            <w:tcW w:w="1188" w:type="dxa"/>
            <w:shd w:val="clear" w:color="auto" w:fill="CCCCCC"/>
          </w:tcPr>
          <w:p w14:paraId="62A9E816" w14:textId="77777777" w:rsidR="00FB3D09" w:rsidRPr="000644D4" w:rsidRDefault="00FB3D09" w:rsidP="00822842">
            <w:pPr>
              <w:rPr>
                <w:rFonts w:ascii="Times New Roman" w:hAnsi="Times New Roman"/>
                <w:sz w:val="24"/>
              </w:rPr>
            </w:pPr>
            <w:r w:rsidRPr="000644D4">
              <w:rPr>
                <w:rFonts w:ascii="Times New Roman" w:hAnsi="Times New Roman"/>
                <w:sz w:val="24"/>
              </w:rPr>
              <w:t>Kolumny</w:t>
            </w:r>
          </w:p>
        </w:tc>
        <w:tc>
          <w:tcPr>
            <w:tcW w:w="8843" w:type="dxa"/>
            <w:shd w:val="clear" w:color="auto" w:fill="CCCCCC"/>
          </w:tcPr>
          <w:p w14:paraId="2B397FE4"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6D2D58B3" w14:textId="77777777" w:rsidTr="00822842">
        <w:tc>
          <w:tcPr>
            <w:tcW w:w="1188" w:type="dxa"/>
          </w:tcPr>
          <w:p w14:paraId="1736B9C4" w14:textId="77777777" w:rsidR="00FB3D09" w:rsidRPr="000644D4" w:rsidRDefault="00FB3D09" w:rsidP="00822842">
            <w:pPr>
              <w:rPr>
                <w:rFonts w:ascii="Times New Roman" w:hAnsi="Times New Roman"/>
                <w:sz w:val="24"/>
              </w:rPr>
            </w:pPr>
            <w:r w:rsidRPr="000644D4">
              <w:rPr>
                <w:rFonts w:ascii="Times New Roman" w:hAnsi="Times New Roman"/>
                <w:sz w:val="24"/>
              </w:rPr>
              <w:t>0010</w:t>
            </w:r>
          </w:p>
        </w:tc>
        <w:tc>
          <w:tcPr>
            <w:tcW w:w="8843" w:type="dxa"/>
          </w:tcPr>
          <w:p w14:paraId="298149A1"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SKALA RATINGU WEWNĘTRZNEGO/PD PRZYPISANE KLASIE JAKOŚCI LUB PULI DŁUŻNIKA (%)</w:t>
            </w:r>
          </w:p>
          <w:p w14:paraId="5FF26C85" w14:textId="6AE1BC17" w:rsidR="00FB3D09" w:rsidRPr="000644D4" w:rsidRDefault="00FB3D09" w:rsidP="00822842">
            <w:pPr>
              <w:rPr>
                <w:rFonts w:ascii="Times New Roman" w:hAnsi="Times New Roman"/>
                <w:sz w:val="24"/>
              </w:rPr>
            </w:pPr>
            <w:r w:rsidRPr="000644D4">
              <w:rPr>
                <w:rStyle w:val="InstructionsTabelleText"/>
                <w:rFonts w:ascii="Times New Roman" w:hAnsi="Times New Roman"/>
                <w:sz w:val="24"/>
              </w:rPr>
              <w:t>PD przypisane klasie jakości lub puli dłużnika, które należy zgłosić, oparte są na przepisach art. 180</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Pr="000644D4">
              <w:rPr>
                <w:rStyle w:val="InstructionsTabelleText"/>
                <w:rFonts w:ascii="Times New Roman" w:hAnsi="Times New Roman"/>
                <w:sz w:val="24"/>
              </w:rPr>
              <w:t>. Dla każdej indywidualnej klasy jakości lub puli dłużnika zgłasza się PD przypisane określonej klasie jakości lub puli dłużnika</w:t>
            </w:r>
            <w:r w:rsidR="000644D4" w:rsidRPr="000644D4">
              <w:rPr>
                <w:rStyle w:val="InstructionsTabelleText"/>
                <w:rFonts w:ascii="Times New Roman" w:hAnsi="Times New Roman"/>
                <w:sz w:val="24"/>
              </w:rPr>
              <w:t>.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prz</w:t>
            </w:r>
            <w:r w:rsidRPr="000644D4">
              <w:rPr>
                <w:rStyle w:val="InstructionsTabelleText"/>
                <w:rFonts w:ascii="Times New Roman" w:hAnsi="Times New Roman"/>
                <w:sz w:val="24"/>
              </w:rPr>
              <w:t>ypadku danych liczbowych odpowiadających zagregowaniu klas jakości lub pul dłużnika (np. „ekspozycje całkowite”) zgłasza się średnią wartość PD ważoną ekspozycją, która to wartość jest przypisana zagregowanym klasom jakości lub pulom dłużnika. Wartość ekspozycji (kolumna 0110) wykorzystuje się do obliczenia średniej wartości PD ważonej ekspozycją</w:t>
            </w:r>
            <w:r w:rsidRPr="000644D4">
              <w:rPr>
                <w:rFonts w:ascii="Times New Roman" w:hAnsi="Times New Roman"/>
                <w:sz w:val="24"/>
              </w:rPr>
              <w:t>.</w:t>
            </w:r>
          </w:p>
          <w:p w14:paraId="723A0BA5" w14:textId="36EB0079"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Dla każdej indywidualnej klasy jakości lub puli dłużnika zgłasza się PD przypisane określonej klasie jakości lub puli dłużnika. Wszystkie zgłoszone parametry ryzyka są oparte na parametrach ryzyka wykorzystywanych</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ska</w:t>
            </w:r>
            <w:r w:rsidRPr="000644D4">
              <w:rPr>
                <w:rStyle w:val="InstructionsTabelleText"/>
                <w:rFonts w:ascii="Times New Roman" w:hAnsi="Times New Roman"/>
                <w:sz w:val="24"/>
              </w:rPr>
              <w:t>li ratingu wewnętrznego zatwierdzonej przez właściwy organ.</w:t>
            </w:r>
          </w:p>
          <w:p w14:paraId="37DDB745" w14:textId="17FCF3A0"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Posiadanie wzorca nadzoru nie jest ani zamierzone, ani pożądane. Jeżeli instytucja sprawozdająca stosuje niepowtarzalną skalę ratingową lub ma możliwość zgłaszania danych 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wew</w:t>
            </w:r>
            <w:r w:rsidRPr="000644D4">
              <w:rPr>
                <w:rStyle w:val="InstructionsTabelleText"/>
                <w:rFonts w:ascii="Times New Roman" w:hAnsi="Times New Roman"/>
                <w:sz w:val="24"/>
              </w:rPr>
              <w:t xml:space="preserve">nętrznym wzorcem, wówczas wykorzystuje się ten wzorzec. </w:t>
            </w:r>
          </w:p>
          <w:p w14:paraId="4FCCB57F" w14:textId="7A24321C"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lastRenderedPageBreak/>
              <w:t>W innym przypadku łączy się różne skale ratingu</w:t>
            </w:r>
            <w:r w:rsidR="000644D4" w:rsidRPr="000644D4">
              <w:rPr>
                <w:rStyle w:val="InstructionsTabelleText"/>
                <w:rFonts w:ascii="Times New Roman" w:hAnsi="Times New Roman"/>
                <w:sz w:val="24"/>
              </w:rPr>
              <w:t xml:space="preserve"> i</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sze</w:t>
            </w:r>
            <w:r w:rsidRPr="000644D4">
              <w:rPr>
                <w:rStyle w:val="InstructionsTabelleText"/>
                <w:rFonts w:ascii="Times New Roman" w:hAnsi="Times New Roman"/>
                <w:sz w:val="24"/>
              </w:rPr>
              <w:t>reguje je 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nas</w:t>
            </w:r>
            <w:r w:rsidRPr="000644D4">
              <w:rPr>
                <w:rStyle w:val="InstructionsTabelleText"/>
                <w:rFonts w:ascii="Times New Roman" w:hAnsi="Times New Roman"/>
                <w:sz w:val="24"/>
              </w:rPr>
              <w:t>tępującymi kryteriami: klasy jakości dłużnika</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róż</w:t>
            </w:r>
            <w:r w:rsidRPr="000644D4">
              <w:rPr>
                <w:rStyle w:val="InstructionsTabelleText"/>
                <w:rFonts w:ascii="Times New Roman" w:hAnsi="Times New Roman"/>
                <w:sz w:val="24"/>
              </w:rPr>
              <w:t>nych skali ratingowych łączy się</w:t>
            </w:r>
            <w:r w:rsidR="000644D4" w:rsidRPr="000644D4">
              <w:rPr>
                <w:rStyle w:val="InstructionsTabelleText"/>
                <w:rFonts w:ascii="Times New Roman" w:hAnsi="Times New Roman"/>
                <w:sz w:val="24"/>
              </w:rPr>
              <w:t xml:space="preserve"> i</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sze</w:t>
            </w:r>
            <w:r w:rsidRPr="000644D4">
              <w:rPr>
                <w:rStyle w:val="InstructionsTabelleText"/>
                <w:rFonts w:ascii="Times New Roman" w:hAnsi="Times New Roman"/>
                <w:sz w:val="24"/>
              </w:rPr>
              <w:t>reguje od najniższego PD przypisanego każdej klasie jakości dłużnika do najwyższego. Jeżeli instytucja stosuje dużą liczbę klas jakości</w:t>
            </w:r>
            <w:r w:rsidR="000644D4" w:rsidRPr="000644D4">
              <w:rPr>
                <w:rStyle w:val="InstructionsTabelleText"/>
                <w:rFonts w:ascii="Times New Roman" w:hAnsi="Times New Roman"/>
                <w:sz w:val="24"/>
              </w:rPr>
              <w:t xml:space="preserve"> i</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pul</w:t>
            </w:r>
            <w:r w:rsidRPr="000644D4">
              <w:rPr>
                <w:rStyle w:val="InstructionsTabelleText"/>
                <w:rFonts w:ascii="Times New Roman" w:hAnsi="Times New Roman"/>
                <w:sz w:val="24"/>
              </w:rPr>
              <w:t>, może uzgodnić</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wła</w:t>
            </w:r>
            <w:r w:rsidRPr="000644D4">
              <w:rPr>
                <w:rStyle w:val="InstructionsTabelleText"/>
                <w:rFonts w:ascii="Times New Roman" w:hAnsi="Times New Roman"/>
                <w:sz w:val="24"/>
              </w:rPr>
              <w:t>ściwym organem zgłaszanie ograniczonej liczby klas</w:t>
            </w:r>
            <w:r w:rsidR="000644D4" w:rsidRPr="000644D4">
              <w:rPr>
                <w:rStyle w:val="InstructionsTabelleText"/>
                <w:rFonts w:ascii="Times New Roman" w:hAnsi="Times New Roman"/>
                <w:sz w:val="24"/>
              </w:rPr>
              <w:t xml:space="preserve"> i</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pul</w:t>
            </w:r>
            <w:r w:rsidRPr="000644D4">
              <w:rPr>
                <w:rStyle w:val="InstructionsTabelleText"/>
                <w:rFonts w:ascii="Times New Roman" w:hAnsi="Times New Roman"/>
                <w:sz w:val="24"/>
              </w:rPr>
              <w:t>. To samo dotyczy ciągłych skali ratingowych:</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wła</w:t>
            </w:r>
            <w:r w:rsidRPr="000644D4">
              <w:rPr>
                <w:rStyle w:val="InstructionsTabelleText"/>
                <w:rFonts w:ascii="Times New Roman" w:hAnsi="Times New Roman"/>
                <w:sz w:val="24"/>
              </w:rPr>
              <w:t>ściwym organem uzgadnia się zgłaszanie ograniczonej liczby klas.</w:t>
            </w:r>
          </w:p>
          <w:p w14:paraId="7B5BA465" w14:textId="1412E537"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Jeżeli instytucje chcą zgłaszać inną liczbę klas jakości niż stosowana na poziomie wewnętrznym, wcześniej kontaktują się</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tej</w:t>
            </w:r>
            <w:r w:rsidRPr="000644D4">
              <w:rPr>
                <w:rStyle w:val="InstructionsTabelleText"/>
                <w:rFonts w:ascii="Times New Roman" w:hAnsi="Times New Roman"/>
                <w:sz w:val="24"/>
              </w:rPr>
              <w:t xml:space="preserve"> kwestii</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wła</w:t>
            </w:r>
            <w:r w:rsidRPr="000644D4">
              <w:rPr>
                <w:rStyle w:val="InstructionsTabelleText"/>
                <w:rFonts w:ascii="Times New Roman" w:hAnsi="Times New Roman"/>
                <w:sz w:val="24"/>
              </w:rPr>
              <w:t>ściwym organem.</w:t>
            </w:r>
          </w:p>
          <w:p w14:paraId="05BEC00A" w14:textId="4D955886"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Ostatnia klasa ratingowa lub ostatnie klasy ratingowe przeznaczone są dla ekspozycji, których dotyczy niewykonanie zobowiązania, o PD wynoszącym 100</w:t>
            </w:r>
            <w:r w:rsidR="000644D4" w:rsidRPr="000644D4">
              <w:rPr>
                <w:rStyle w:val="InstructionsTabelleText"/>
                <w:rFonts w:ascii="Times New Roman" w:hAnsi="Times New Roman"/>
                <w:sz w:val="24"/>
              </w:rPr>
              <w:t> </w:t>
            </w:r>
            <w:r w:rsidRPr="000644D4">
              <w:rPr>
                <w:rStyle w:val="InstructionsTabelleText"/>
                <w:rFonts w:ascii="Times New Roman" w:hAnsi="Times New Roman"/>
                <w:sz w:val="24"/>
              </w:rPr>
              <w:t>%.</w:t>
            </w:r>
          </w:p>
          <w:p w14:paraId="21058E35" w14:textId="21484859" w:rsidR="00FB3D09" w:rsidRPr="000644D4" w:rsidRDefault="00FB3D09" w:rsidP="00822842">
            <w:pPr>
              <w:rPr>
                <w:rFonts w:ascii="Times New Roman" w:hAnsi="Times New Roman"/>
                <w:sz w:val="24"/>
              </w:rPr>
            </w:pPr>
            <w:r w:rsidRPr="000644D4">
              <w:rPr>
                <w:rStyle w:val="InstructionsTabelleText"/>
                <w:rFonts w:ascii="Times New Roman" w:hAnsi="Times New Roman"/>
                <w:sz w:val="24"/>
              </w:rPr>
              <w:t>Do celów ważenia średniej wartości PD wykorzystuje się wartość ekspozycji zgłoszoną</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kol</w:t>
            </w:r>
            <w:r w:rsidRPr="000644D4">
              <w:rPr>
                <w:rStyle w:val="InstructionsTabelleText"/>
                <w:rFonts w:ascii="Times New Roman" w:hAnsi="Times New Roman"/>
                <w:sz w:val="24"/>
              </w:rPr>
              <w:t>umnie 110. Średnią wartość PD ważoną ekspozycją oblicza się</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uwz</w:t>
            </w:r>
            <w:r w:rsidRPr="000644D4">
              <w:rPr>
                <w:rStyle w:val="InstructionsTabelleText"/>
                <w:rFonts w:ascii="Times New Roman" w:hAnsi="Times New Roman"/>
                <w:sz w:val="24"/>
              </w:rPr>
              <w:t>ględnieniem wszystkich ekspozycji zgłoszonych</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dan</w:t>
            </w:r>
            <w:r w:rsidRPr="000644D4">
              <w:rPr>
                <w:rStyle w:val="InstructionsTabelleText"/>
                <w:rFonts w:ascii="Times New Roman" w:hAnsi="Times New Roman"/>
                <w:sz w:val="24"/>
              </w:rPr>
              <w:t>ym wierszu</w:t>
            </w:r>
            <w:r w:rsidR="000644D4" w:rsidRPr="000644D4">
              <w:rPr>
                <w:rStyle w:val="InstructionsTabelleText"/>
                <w:rFonts w:ascii="Times New Roman" w:hAnsi="Times New Roman"/>
                <w:sz w:val="24"/>
              </w:rPr>
              <w:t>.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wie</w:t>
            </w:r>
            <w:r w:rsidRPr="000644D4">
              <w:rPr>
                <w:rStyle w:val="InstructionsTabelleText"/>
                <w:rFonts w:ascii="Times New Roman" w:hAnsi="Times New Roman"/>
                <w:sz w:val="24"/>
              </w:rPr>
              <w:t>rszu,</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któ</w:t>
            </w:r>
            <w:r w:rsidRPr="000644D4">
              <w:rPr>
                <w:rStyle w:val="InstructionsTabelleText"/>
                <w:rFonts w:ascii="Times New Roman" w:hAnsi="Times New Roman"/>
                <w:sz w:val="24"/>
              </w:rPr>
              <w:t>rym zgłasza się wyłącznie ekspozycje, których dotyczy niewykonanie zobowiązania, średnia wartość PD wynosi 100 %.</w:t>
            </w:r>
          </w:p>
        </w:tc>
      </w:tr>
      <w:tr w:rsidR="00FB3D09" w:rsidRPr="000644D4" w14:paraId="45B04E8D" w14:textId="77777777" w:rsidTr="00822842">
        <w:tc>
          <w:tcPr>
            <w:tcW w:w="1188" w:type="dxa"/>
          </w:tcPr>
          <w:p w14:paraId="7FB0CCE0"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0020</w:t>
            </w:r>
          </w:p>
        </w:tc>
        <w:tc>
          <w:tcPr>
            <w:tcW w:w="8843" w:type="dxa"/>
          </w:tcPr>
          <w:p w14:paraId="3CB0A55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PIERWOTNA EKSPOZYCJA PRZED UWZGLĘDNIENIEM WSPÓŁCZYNNIKÓW KONWERSJI</w:t>
            </w:r>
          </w:p>
          <w:p w14:paraId="5FC3A6BD" w14:textId="77777777" w:rsidR="00FB3D09" w:rsidRPr="000644D4" w:rsidRDefault="00FB3D09" w:rsidP="00822842">
            <w:pPr>
              <w:rPr>
                <w:rFonts w:ascii="Times New Roman" w:hAnsi="Times New Roman"/>
                <w:sz w:val="24"/>
              </w:rPr>
            </w:pPr>
            <w:r w:rsidRPr="000644D4">
              <w:rPr>
                <w:rFonts w:ascii="Times New Roman" w:hAnsi="Times New Roman"/>
                <w:sz w:val="24"/>
              </w:rPr>
              <w:t xml:space="preserve">Instytucje zgłaszają wartość ekspozycji przed uwzględnieniem korekt wartości, rezerw, efektów technik ograniczania ryzyka kredytowego lub współczynników konwersji kredytowej. </w:t>
            </w:r>
          </w:p>
          <w:p w14:paraId="6FE079F9" w14:textId="4CB41E9E" w:rsidR="00FB3D09" w:rsidRPr="000644D4" w:rsidRDefault="00FB3D09" w:rsidP="00822842">
            <w:pPr>
              <w:rPr>
                <w:rFonts w:ascii="Times New Roman" w:hAnsi="Times New Roman"/>
                <w:sz w:val="24"/>
              </w:rPr>
            </w:pPr>
            <w:r w:rsidRPr="000644D4">
              <w:rPr>
                <w:rFonts w:ascii="Times New Roman" w:hAnsi="Times New Roman"/>
                <w:sz w:val="24"/>
              </w:rPr>
              <w:t>Wartość pierwotnej ekspozycji zgłaszana jest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24 rozporządzenia (UE) nr</w:t>
            </w:r>
            <w:r w:rsidR="000644D4" w:rsidRPr="000644D4">
              <w:rPr>
                <w:rFonts w:ascii="Times New Roman" w:hAnsi="Times New Roman"/>
                <w:sz w:val="24"/>
              </w:rPr>
              <w:t> </w:t>
            </w:r>
            <w:r w:rsidRPr="000644D4">
              <w:rPr>
                <w:rFonts w:ascii="Times New Roman" w:hAnsi="Times New Roman"/>
                <w:sz w:val="24"/>
              </w:rPr>
              <w:t>575/2013 oraz</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1, 2, 4, 5, 6</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7</w:t>
            </w:r>
            <w:r w:rsidRPr="000644D4">
              <w:rPr>
                <w:rFonts w:ascii="Times New Roman" w:hAnsi="Times New Roman"/>
                <w:sz w:val="24"/>
              </w:rPr>
              <w:t xml:space="preserve"> tego rozporządzenia.</w:t>
            </w:r>
          </w:p>
          <w:p w14:paraId="11B43315" w14:textId="443E99A3" w:rsidR="00FB3D09" w:rsidRPr="000644D4" w:rsidRDefault="00FB3D09" w:rsidP="00822842">
            <w:pPr>
              <w:rPr>
                <w:rFonts w:ascii="Times New Roman" w:hAnsi="Times New Roman"/>
                <w:sz w:val="24"/>
              </w:rPr>
            </w:pPr>
            <w:r w:rsidRPr="000644D4">
              <w:rPr>
                <w:rFonts w:ascii="Times New Roman" w:hAnsi="Times New Roman"/>
                <w:sz w:val="24"/>
              </w:rPr>
              <w:t>Efekty wynikające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3 rozporządzenia (UE) nr</w:t>
            </w:r>
            <w:r w:rsidR="000644D4" w:rsidRPr="000644D4">
              <w:rPr>
                <w:rFonts w:ascii="Times New Roman" w:hAnsi="Times New Roman"/>
                <w:sz w:val="24"/>
              </w:rPr>
              <w:t> </w:t>
            </w:r>
            <w:r w:rsidRPr="000644D4">
              <w:rPr>
                <w:rFonts w:ascii="Times New Roman" w:hAnsi="Times New Roman"/>
                <w:sz w:val="24"/>
              </w:rPr>
              <w:t>575/2013 (efekty umów</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kom</w:t>
            </w:r>
            <w:r w:rsidRPr="000644D4">
              <w:rPr>
                <w:rFonts w:ascii="Times New Roman" w:hAnsi="Times New Roman"/>
                <w:sz w:val="24"/>
              </w:rPr>
              <w:t>pensowaniu pozycji bilansowych obejmujących kredyty</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dep</w:t>
            </w:r>
            <w:r w:rsidRPr="000644D4">
              <w:rPr>
                <w:rFonts w:ascii="Times New Roman" w:hAnsi="Times New Roman"/>
                <w:sz w:val="24"/>
              </w:rPr>
              <w:t>ozyty) zgłasza się oddzielnie jako ochronę kredytową rzeczywistą,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samym nie obniżają one pierwotnej ekspozycji. </w:t>
            </w:r>
          </w:p>
          <w:p w14:paraId="49185637" w14:textId="14222D2B" w:rsidR="00FB3D09" w:rsidRPr="000644D4" w:rsidRDefault="00FB3D09" w:rsidP="00822842">
            <w:pPr>
              <w:rPr>
                <w:rFonts w:ascii="Times New Roman" w:hAnsi="Times New Roman"/>
                <w:sz w:val="24"/>
              </w:rPr>
            </w:pPr>
            <w:r w:rsidRPr="000644D4">
              <w:rPr>
                <w:rFonts w:ascii="Times New Roman" w:hAnsi="Times New Roman"/>
                <w:sz w:val="24"/>
              </w:rPr>
              <w:t>W przypadku instrumentów pochodnych, transakcji odkupu, transakcji udzielania lub zaciągania pożyczek papierów wartościowych lub towarów, transakcji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dłu</w:t>
            </w:r>
            <w:r w:rsidRPr="000644D4">
              <w:rPr>
                <w:rFonts w:ascii="Times New Roman" w:hAnsi="Times New Roman"/>
                <w:sz w:val="24"/>
              </w:rPr>
              <w:t>gim terminem rozliczenia oraz transakcji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obo</w:t>
            </w:r>
            <w:r w:rsidRPr="000644D4">
              <w:rPr>
                <w:rFonts w:ascii="Times New Roman" w:hAnsi="Times New Roman"/>
                <w:sz w:val="24"/>
              </w:rPr>
              <w:t>wiązkiem uzupełnienia zabezpieczenia kredytowego podlegających ryzyku kredytowemu kontrahenta (część trzecia tytuł II rozdział 4 lub rozdział 6 rozporządzenia (UE) nr</w:t>
            </w:r>
            <w:r w:rsidR="000644D4" w:rsidRPr="000644D4">
              <w:rPr>
                <w:rFonts w:ascii="Times New Roman" w:hAnsi="Times New Roman"/>
                <w:sz w:val="24"/>
              </w:rPr>
              <w:t> </w:t>
            </w:r>
            <w:r w:rsidRPr="000644D4">
              <w:rPr>
                <w:rFonts w:ascii="Times New Roman" w:hAnsi="Times New Roman"/>
                <w:sz w:val="24"/>
              </w:rPr>
              <w:t>575/2013) pierwotna ekspozycja odpowiada wartości ekspozycji wynikającej</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yka kredytowego kontrahenta (zob. instrukcje do kolumny 0130).</w:t>
            </w:r>
          </w:p>
        </w:tc>
      </w:tr>
      <w:tr w:rsidR="00FB3D09" w:rsidRPr="000644D4" w14:paraId="4820425A" w14:textId="77777777" w:rsidTr="00822842">
        <w:tc>
          <w:tcPr>
            <w:tcW w:w="1188" w:type="dxa"/>
          </w:tcPr>
          <w:p w14:paraId="17C25782" w14:textId="77777777" w:rsidR="00FB3D09" w:rsidRPr="000644D4" w:rsidRDefault="00FB3D09" w:rsidP="00822842">
            <w:pPr>
              <w:rPr>
                <w:rFonts w:ascii="Times New Roman" w:hAnsi="Times New Roman"/>
                <w:sz w:val="24"/>
              </w:rPr>
            </w:pPr>
            <w:r w:rsidRPr="000644D4">
              <w:rPr>
                <w:rFonts w:ascii="Times New Roman" w:hAnsi="Times New Roman"/>
                <w:sz w:val="24"/>
              </w:rPr>
              <w:t>0030</w:t>
            </w:r>
          </w:p>
        </w:tc>
        <w:tc>
          <w:tcPr>
            <w:tcW w:w="8843" w:type="dxa"/>
          </w:tcPr>
          <w:p w14:paraId="15A3D95D"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 TYM: DUŻE PODMIOTY SEKTORA FINANSOWEGO ORAZ NIEREGULOWANE PODMIOTY FINANSOWE</w:t>
            </w:r>
          </w:p>
          <w:p w14:paraId="49D69508" w14:textId="02A8E3F9" w:rsidR="00FB3D09" w:rsidRPr="000644D4" w:rsidRDefault="00FB3D09" w:rsidP="00822842">
            <w:pPr>
              <w:rPr>
                <w:rFonts w:ascii="Times New Roman" w:hAnsi="Times New Roman"/>
                <w:b/>
                <w:sz w:val="24"/>
                <w:u w:val="single"/>
              </w:rPr>
            </w:pPr>
            <w:r w:rsidRPr="000644D4">
              <w:rPr>
                <w:rFonts w:ascii="Times New Roman" w:hAnsi="Times New Roman"/>
                <w:sz w:val="24"/>
              </w:rPr>
              <w:t>Podział pierwotnej ekspozycji przed uwzględnieniem współczynników konwersji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wszystkich ekspozycji podmiotów,</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142 ust. 1 pkt</w:t>
            </w:r>
            <w:r w:rsidR="000644D4" w:rsidRPr="000644D4">
              <w:rPr>
                <w:rFonts w:ascii="Times New Roman" w:hAnsi="Times New Roman"/>
                <w:sz w:val="24"/>
              </w:rPr>
              <w:t> </w:t>
            </w:r>
            <w:r w:rsidRPr="000644D4">
              <w:rPr>
                <w:rFonts w:ascii="Times New Roman" w:hAnsi="Times New Roman"/>
                <w:sz w:val="24"/>
              </w:rPr>
              <w:t>4</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zas</w:t>
            </w:r>
            <w:r w:rsidRPr="000644D4">
              <w:rPr>
                <w:rFonts w:ascii="Times New Roman" w:hAnsi="Times New Roman"/>
                <w:sz w:val="24"/>
              </w:rPr>
              <w:t>trzeżeniem wyższego współczynnika korelacji określonego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2 tego rozporządzenia.</w:t>
            </w:r>
          </w:p>
        </w:tc>
      </w:tr>
      <w:tr w:rsidR="00FB3D09" w:rsidRPr="000644D4" w14:paraId="216A721A" w14:textId="77777777" w:rsidTr="00822842">
        <w:tc>
          <w:tcPr>
            <w:tcW w:w="1188" w:type="dxa"/>
          </w:tcPr>
          <w:p w14:paraId="189E467F" w14:textId="77777777" w:rsidR="00FB3D09" w:rsidRPr="000644D4" w:rsidRDefault="00FB3D09" w:rsidP="00822842">
            <w:pPr>
              <w:rPr>
                <w:rFonts w:ascii="Times New Roman" w:hAnsi="Times New Roman"/>
                <w:sz w:val="24"/>
              </w:rPr>
            </w:pPr>
            <w:r w:rsidRPr="000644D4">
              <w:rPr>
                <w:rFonts w:ascii="Times New Roman" w:hAnsi="Times New Roman"/>
                <w:sz w:val="24"/>
              </w:rPr>
              <w:t>0040–0080</w:t>
            </w:r>
          </w:p>
        </w:tc>
        <w:tc>
          <w:tcPr>
            <w:tcW w:w="8843" w:type="dxa"/>
          </w:tcPr>
          <w:p w14:paraId="0B033AC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TECHNIKI OGRANICZANIA RYZYKA KREDYTOWEGO Z UWZGLĘDNIENIEM EFEKTÓW SUBSTYTUCYJNYCH W ODNIESIENIU DO EKSPOZYCJI</w:t>
            </w:r>
          </w:p>
          <w:p w14:paraId="15F28018" w14:textId="0C41F7F0" w:rsidR="00FB3D09" w:rsidRPr="000644D4" w:rsidRDefault="00FB3D09" w:rsidP="00822842">
            <w:pPr>
              <w:rPr>
                <w:rFonts w:ascii="Times New Roman" w:hAnsi="Times New Roman"/>
                <w:sz w:val="24"/>
              </w:rPr>
            </w:pPr>
            <w:r w:rsidRPr="000644D4">
              <w:rPr>
                <w:rFonts w:ascii="Times New Roman" w:hAnsi="Times New Roman"/>
                <w:sz w:val="24"/>
              </w:rPr>
              <w:lastRenderedPageBreak/>
              <w:t>Ograniczanie ryzyka kredytowego zdefiniowane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57 rozporządzenia (UE) nr</w:t>
            </w:r>
            <w:r w:rsidR="000644D4" w:rsidRPr="000644D4">
              <w:rPr>
                <w:rFonts w:ascii="Times New Roman" w:hAnsi="Times New Roman"/>
                <w:sz w:val="24"/>
              </w:rPr>
              <w:t> </w:t>
            </w:r>
            <w:r w:rsidRPr="000644D4">
              <w:rPr>
                <w:rFonts w:ascii="Times New Roman" w:hAnsi="Times New Roman"/>
                <w:sz w:val="24"/>
              </w:rPr>
              <w:t>575/2013, które zmniejsza ryzyko kredytowe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ekspozycji poprzez substytucję ekspozycji określonych poniżej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poz</w:t>
            </w:r>
            <w:r w:rsidRPr="000644D4">
              <w:rPr>
                <w:rFonts w:ascii="Times New Roman" w:hAnsi="Times New Roman"/>
                <w:sz w:val="24"/>
              </w:rPr>
              <w:t>ycji „SUBSTYTUCJA EKSPOZYCJI W WYNIKU OGRANICZANIA RYZYKA KREDYTOWEGO”.</w:t>
            </w:r>
          </w:p>
          <w:p w14:paraId="1328DB1C" w14:textId="77777777" w:rsidR="00FB3D09" w:rsidRPr="000644D4" w:rsidRDefault="00FB3D09" w:rsidP="00822842">
            <w:pPr>
              <w:autoSpaceDE w:val="0"/>
              <w:autoSpaceDN w:val="0"/>
              <w:adjustRightInd w:val="0"/>
              <w:spacing w:before="0" w:after="0"/>
              <w:jc w:val="left"/>
              <w:rPr>
                <w:rFonts w:ascii="Times New Roman" w:hAnsi="Times New Roman"/>
                <w:sz w:val="24"/>
              </w:rPr>
            </w:pPr>
          </w:p>
        </w:tc>
      </w:tr>
      <w:tr w:rsidR="00FB3D09" w:rsidRPr="000644D4" w14:paraId="4BD2F7DD" w14:textId="77777777" w:rsidTr="00822842">
        <w:tc>
          <w:tcPr>
            <w:tcW w:w="1188" w:type="dxa"/>
          </w:tcPr>
          <w:p w14:paraId="0BA81A61"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0040–0050</w:t>
            </w:r>
          </w:p>
        </w:tc>
        <w:tc>
          <w:tcPr>
            <w:tcW w:w="8843" w:type="dxa"/>
          </w:tcPr>
          <w:p w14:paraId="4B08A0ED"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OCHRONA KREDYTOWA NIERZECZYWISTA</w:t>
            </w:r>
          </w:p>
          <w:p w14:paraId="25128BF3" w14:textId="5B4A775D"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Ochrona kredytowa nierzeczywista 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art</w:t>
            </w:r>
            <w:r w:rsidRPr="000644D4">
              <w:rPr>
                <w:rStyle w:val="InstructionsTabelleText"/>
                <w:rFonts w:ascii="Times New Roman" w:hAnsi="Times New Roman"/>
                <w:sz w:val="24"/>
              </w:rPr>
              <w:t>. 4 ust. 1 pkt</w:t>
            </w:r>
            <w:r w:rsidR="000644D4" w:rsidRPr="000644D4">
              <w:rPr>
                <w:rStyle w:val="InstructionsTabelleText"/>
                <w:rFonts w:ascii="Times New Roman" w:hAnsi="Times New Roman"/>
                <w:sz w:val="24"/>
              </w:rPr>
              <w:t> </w:t>
            </w:r>
            <w:r w:rsidRPr="000644D4">
              <w:rPr>
                <w:rStyle w:val="InstructionsTabelleText"/>
                <w:rFonts w:ascii="Times New Roman" w:hAnsi="Times New Roman"/>
                <w:sz w:val="24"/>
              </w:rPr>
              <w:t>59</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Pr="000644D4">
              <w:rPr>
                <w:rStyle w:val="InstructionsTabelleText"/>
                <w:rFonts w:ascii="Times New Roman" w:hAnsi="Times New Roman"/>
                <w:sz w:val="24"/>
              </w:rPr>
              <w:t>.</w:t>
            </w:r>
          </w:p>
          <w:p w14:paraId="538FB9AD" w14:textId="07EC8307" w:rsidR="00FB3D09" w:rsidRPr="000644D4" w:rsidRDefault="00FB3D09" w:rsidP="00822842">
            <w:pPr>
              <w:rPr>
                <w:rFonts w:ascii="Times New Roman" w:hAnsi="Times New Roman"/>
                <w:sz w:val="24"/>
              </w:rPr>
            </w:pPr>
            <w:r w:rsidRPr="000644D4">
              <w:rPr>
                <w:rFonts w:ascii="Times New Roman" w:hAnsi="Times New Roman"/>
                <w:sz w:val="24"/>
              </w:rPr>
              <w:t>Nierzeczywista ochrona kredytowa, która ma wpływ na ekspozycję (np. stosowana do celów technik ograniczania ryzyka kredytowego</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uwz</w:t>
            </w:r>
            <w:r w:rsidRPr="000644D4">
              <w:rPr>
                <w:rFonts w:ascii="Times New Roman" w:hAnsi="Times New Roman"/>
                <w:sz w:val="24"/>
              </w:rPr>
              <w:t>ględnieniem efektów substytucyjnych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jest ograniczona do wartości ekspozycji.</w:t>
            </w:r>
          </w:p>
        </w:tc>
      </w:tr>
      <w:tr w:rsidR="00FB3D09" w:rsidRPr="000644D4" w14:paraId="4279348F" w14:textId="77777777" w:rsidTr="00822842">
        <w:tc>
          <w:tcPr>
            <w:tcW w:w="1188" w:type="dxa"/>
          </w:tcPr>
          <w:p w14:paraId="777BC734" w14:textId="77777777" w:rsidR="00FB3D09" w:rsidRPr="000644D4" w:rsidRDefault="00FB3D09" w:rsidP="00822842">
            <w:pPr>
              <w:rPr>
                <w:rFonts w:ascii="Times New Roman" w:hAnsi="Times New Roman"/>
                <w:sz w:val="24"/>
              </w:rPr>
            </w:pPr>
            <w:r w:rsidRPr="000644D4">
              <w:rPr>
                <w:rFonts w:ascii="Times New Roman" w:hAnsi="Times New Roman"/>
                <w:sz w:val="24"/>
              </w:rPr>
              <w:t>0040</w:t>
            </w:r>
          </w:p>
        </w:tc>
        <w:tc>
          <w:tcPr>
            <w:tcW w:w="8843" w:type="dxa"/>
          </w:tcPr>
          <w:p w14:paraId="629601A3" w14:textId="77777777" w:rsidR="00FB3D09" w:rsidRPr="000644D4" w:rsidRDefault="00FB3D09" w:rsidP="00822842">
            <w:pPr>
              <w:jc w:val="left"/>
              <w:rPr>
                <w:rStyle w:val="InstructionsTabelleberschrift"/>
                <w:rFonts w:ascii="Times New Roman" w:hAnsi="Times New Roman"/>
                <w:sz w:val="24"/>
              </w:rPr>
            </w:pPr>
            <w:r w:rsidRPr="000644D4">
              <w:rPr>
                <w:rStyle w:val="InstructionsTabelleberschrift"/>
                <w:rFonts w:ascii="Times New Roman" w:hAnsi="Times New Roman"/>
                <w:sz w:val="24"/>
              </w:rPr>
              <w:t>GWARANCJE:</w:t>
            </w:r>
          </w:p>
          <w:p w14:paraId="2FC9ABD9" w14:textId="40F6A1D5" w:rsidR="00FB3D09" w:rsidRPr="000644D4" w:rsidRDefault="00FB3D09" w:rsidP="00822842">
            <w:pPr>
              <w:jc w:val="left"/>
              <w:rPr>
                <w:rFonts w:ascii="Times New Roman" w:hAnsi="Times New Roman"/>
                <w:sz w:val="24"/>
              </w:rPr>
            </w:pPr>
            <w:r w:rsidRPr="000644D4">
              <w:rPr>
                <w:rFonts w:ascii="Times New Roman" w:hAnsi="Times New Roman"/>
                <w:sz w:val="24"/>
              </w:rPr>
              <w:t>W przypadkach gdy kwoty ekspozycji ważonych ryzykiem są obliczane według metody substytucyjnej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roz</w:t>
            </w:r>
            <w:r w:rsidRPr="000644D4">
              <w:rPr>
                <w:rFonts w:ascii="Times New Roman" w:hAnsi="Times New Roman"/>
                <w:sz w:val="24"/>
              </w:rPr>
              <w:t>działem 4 rozporządzenia (UE) nr</w:t>
            </w:r>
            <w:r w:rsidR="000644D4" w:rsidRPr="000644D4">
              <w:rPr>
                <w:rFonts w:ascii="Times New Roman" w:hAnsi="Times New Roman"/>
                <w:sz w:val="24"/>
              </w:rPr>
              <w:t> </w:t>
            </w:r>
            <w:r w:rsidRPr="000644D4">
              <w:rPr>
                <w:rFonts w:ascii="Times New Roman" w:hAnsi="Times New Roman"/>
                <w:sz w:val="24"/>
              </w:rPr>
              <w:t>575/2013 (art.</w:t>
            </w:r>
            <w:r w:rsidR="000644D4" w:rsidRPr="000644D4">
              <w:rPr>
                <w:rFonts w:ascii="Times New Roman" w:hAnsi="Times New Roman"/>
                <w:sz w:val="24"/>
              </w:rPr>
              <w:t> </w:t>
            </w:r>
            <w:r w:rsidRPr="000644D4">
              <w:rPr>
                <w:rFonts w:ascii="Times New Roman" w:hAnsi="Times New Roman"/>
                <w:sz w:val="24"/>
              </w:rPr>
              <w:t>108 ust.</w:t>
            </w:r>
            <w:r w:rsidR="000644D4" w:rsidRPr="000644D4">
              <w:rPr>
                <w:rFonts w:ascii="Times New Roman" w:hAnsi="Times New Roman"/>
                <w:sz w:val="24"/>
              </w:rPr>
              <w:t> </w:t>
            </w:r>
            <w:r w:rsidRPr="000644D4">
              <w:rPr>
                <w:rFonts w:ascii="Times New Roman" w:hAnsi="Times New Roman"/>
                <w:sz w:val="24"/>
              </w:rPr>
              <w:t>2a zdanie drugie, art.</w:t>
            </w:r>
            <w:r w:rsidR="000644D4" w:rsidRPr="000644D4">
              <w:rPr>
                <w:rFonts w:ascii="Times New Roman" w:hAnsi="Times New Roman"/>
                <w:sz w:val="24"/>
              </w:rPr>
              <w:t> </w:t>
            </w:r>
            <w:r w:rsidRPr="000644D4">
              <w:rPr>
                <w:rFonts w:ascii="Times New Roman" w:hAnsi="Times New Roman"/>
                <w:sz w:val="24"/>
              </w:rPr>
              <w:t>183 ust.</w:t>
            </w:r>
            <w:r w:rsidR="000644D4" w:rsidRPr="000644D4">
              <w:rPr>
                <w:rFonts w:ascii="Times New Roman" w:hAnsi="Times New Roman"/>
                <w:sz w:val="24"/>
              </w:rPr>
              <w:t> </w:t>
            </w:r>
            <w:r w:rsidRPr="000644D4">
              <w:rPr>
                <w:rFonts w:ascii="Times New Roman" w:hAnsi="Times New Roman"/>
                <w:sz w:val="24"/>
              </w:rPr>
              <w:t>1a zdanie pierwsze wariant drugi, art.</w:t>
            </w:r>
            <w:r w:rsidR="000644D4" w:rsidRPr="000644D4">
              <w:rPr>
                <w:rFonts w:ascii="Times New Roman" w:hAnsi="Times New Roman"/>
                <w:sz w:val="24"/>
              </w:rPr>
              <w:t> </w:t>
            </w:r>
            <w:r w:rsidRPr="000644D4">
              <w:rPr>
                <w:rFonts w:ascii="Times New Roman" w:hAnsi="Times New Roman"/>
                <w:sz w:val="24"/>
              </w:rPr>
              <w:t>235a, art.</w:t>
            </w:r>
            <w:r w:rsidR="000644D4" w:rsidRPr="000644D4">
              <w:rPr>
                <w:rFonts w:ascii="Times New Roman" w:hAnsi="Times New Roman"/>
                <w:sz w:val="24"/>
              </w:rPr>
              <w:t> </w:t>
            </w:r>
            <w:r w:rsidRPr="000644D4">
              <w:rPr>
                <w:rFonts w:ascii="Times New Roman" w:hAnsi="Times New Roman"/>
                <w:sz w:val="24"/>
              </w:rPr>
              <w:t>236 oraz art.</w:t>
            </w:r>
            <w:r w:rsidR="000644D4" w:rsidRPr="000644D4">
              <w:rPr>
                <w:rFonts w:ascii="Times New Roman" w:hAnsi="Times New Roman"/>
                <w:sz w:val="24"/>
              </w:rPr>
              <w:t> </w:t>
            </w:r>
            <w:r w:rsidRPr="000644D4">
              <w:rPr>
                <w:rFonts w:ascii="Times New Roman" w:hAnsi="Times New Roman"/>
                <w:sz w:val="24"/>
              </w:rPr>
              <w:t>236a), podaje się wartość skorygowaną (G</w:t>
            </w:r>
            <w:r w:rsidRPr="000644D4">
              <w:rPr>
                <w:rFonts w:ascii="Times New Roman" w:hAnsi="Times New Roman"/>
                <w:sz w:val="24"/>
                <w:vertAlign w:val="subscript"/>
              </w:rPr>
              <w:t>A</w:t>
            </w:r>
            <w:r w:rsidRPr="000644D4">
              <w:rPr>
                <w:rFonts w:ascii="Times New Roman" w:hAnsi="Times New Roman"/>
                <w:sz w:val="24"/>
              </w:rPr>
              <w:t>) zdefiniowaną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235a ust.</w:t>
            </w:r>
            <w:r w:rsidR="000644D4" w:rsidRPr="000644D4">
              <w:rPr>
                <w:rFonts w:ascii="Times New Roman" w:hAnsi="Times New Roman"/>
                <w:sz w:val="24"/>
              </w:rPr>
              <w:t> </w:t>
            </w:r>
            <w:r w:rsidRPr="000644D4">
              <w:rPr>
                <w:rFonts w:ascii="Times New Roman" w:hAnsi="Times New Roman"/>
                <w:sz w:val="24"/>
              </w:rPr>
              <w:t>1</w:t>
            </w:r>
            <w:r w:rsidR="000644D4" w:rsidRPr="000644D4">
              <w:rPr>
                <w:rFonts w:ascii="Times New Roman" w:hAnsi="Times New Roman"/>
                <w:color w:val="008080"/>
                <w:sz w:val="24"/>
                <w:u w:val="single"/>
              </w:rPr>
              <w:t xml:space="preserve"> </w:t>
            </w:r>
            <w:r w:rsidRPr="000644D4">
              <w:rPr>
                <w:rFonts w:ascii="Times New Roman" w:hAnsi="Times New Roman"/>
                <w:sz w:val="24"/>
              </w:rPr>
              <w:t>rozporządzenia (UE) nr</w:t>
            </w:r>
            <w:r w:rsidR="000644D4" w:rsidRPr="000644D4">
              <w:rPr>
                <w:rFonts w:ascii="Times New Roman" w:hAnsi="Times New Roman"/>
                <w:sz w:val="24"/>
              </w:rPr>
              <w:t> </w:t>
            </w:r>
            <w:r w:rsidRPr="000644D4">
              <w:rPr>
                <w:rFonts w:ascii="Times New Roman" w:hAnsi="Times New Roman"/>
                <w:sz w:val="24"/>
              </w:rPr>
              <w:t>575/2013.</w:t>
            </w:r>
          </w:p>
          <w:p w14:paraId="66D2714E" w14:textId="7CAA24DC" w:rsidR="00FB3D09" w:rsidRPr="000644D4" w:rsidRDefault="00FB3D09" w:rsidP="00822842">
            <w:pPr>
              <w:jc w:val="left"/>
              <w:rPr>
                <w:rFonts w:ascii="Times New Roman" w:hAnsi="Times New Roman"/>
                <w:sz w:val="24"/>
              </w:rPr>
            </w:pPr>
            <w:r w:rsidRPr="000644D4">
              <w:rPr>
                <w:rFonts w:ascii="Times New Roman" w:hAnsi="Times New Roman"/>
                <w:sz w:val="24"/>
              </w:rPr>
              <w:t>W przypadku stosowania własnych oszacowań 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183 rozporządzenia (UE) nr</w:t>
            </w:r>
            <w:r w:rsidR="000644D4" w:rsidRPr="000644D4">
              <w:rPr>
                <w:rFonts w:ascii="Times New Roman" w:hAnsi="Times New Roman"/>
                <w:sz w:val="24"/>
              </w:rPr>
              <w:t> </w:t>
            </w:r>
            <w:r w:rsidRPr="000644D4">
              <w:rPr>
                <w:rFonts w:ascii="Times New Roman" w:hAnsi="Times New Roman"/>
                <w:sz w:val="24"/>
              </w:rPr>
              <w:t>575/2013 (z wyłączeniem ust. 3) zgłasza się odpowiednią wartość wykorzystaną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mod</w:t>
            </w:r>
            <w:r w:rsidRPr="000644D4">
              <w:rPr>
                <w:rFonts w:ascii="Times New Roman" w:hAnsi="Times New Roman"/>
                <w:sz w:val="24"/>
              </w:rPr>
              <w:t xml:space="preserve">elu wewnętrznym. </w:t>
            </w:r>
          </w:p>
          <w:p w14:paraId="0F837DAE" w14:textId="79427A91" w:rsidR="00FB3D09" w:rsidRPr="000644D4" w:rsidRDefault="00FB3D09" w:rsidP="00822842">
            <w:pPr>
              <w:jc w:val="left"/>
              <w:rPr>
                <w:rFonts w:ascii="Times New Roman" w:hAnsi="Times New Roman"/>
                <w:sz w:val="24"/>
              </w:rPr>
            </w:pPr>
            <w:r w:rsidRPr="000644D4">
              <w:rPr>
                <w:rFonts w:ascii="Times New Roman" w:hAnsi="Times New Roman"/>
                <w:sz w:val="24"/>
              </w:rPr>
              <w:t>W przypadkach gdy stosuje się metodę modelowania korekty PD/LGD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108 ust.</w:t>
            </w:r>
            <w:r w:rsidR="000644D4" w:rsidRPr="000644D4">
              <w:rPr>
                <w:rFonts w:ascii="Times New Roman" w:hAnsi="Times New Roman"/>
                <w:sz w:val="24"/>
              </w:rPr>
              <w:t> </w:t>
            </w:r>
            <w:r w:rsidRPr="000644D4">
              <w:rPr>
                <w:rFonts w:ascii="Times New Roman" w:hAnsi="Times New Roman"/>
                <w:sz w:val="24"/>
              </w:rPr>
              <w:t>2a zdanie pierwsze oraz art.</w:t>
            </w:r>
            <w:r w:rsidR="000644D4" w:rsidRPr="000644D4">
              <w:rPr>
                <w:rFonts w:ascii="Times New Roman" w:hAnsi="Times New Roman"/>
                <w:sz w:val="24"/>
              </w:rPr>
              <w:t> </w:t>
            </w:r>
            <w:r w:rsidRPr="000644D4">
              <w:rPr>
                <w:rFonts w:ascii="Times New Roman" w:hAnsi="Times New Roman"/>
                <w:sz w:val="24"/>
              </w:rPr>
              <w:t>183 ust.</w:t>
            </w:r>
            <w:r w:rsidR="000644D4" w:rsidRPr="000644D4">
              <w:rPr>
                <w:rFonts w:ascii="Times New Roman" w:hAnsi="Times New Roman"/>
                <w:sz w:val="24"/>
              </w:rPr>
              <w:t> </w:t>
            </w:r>
            <w:r w:rsidRPr="000644D4">
              <w:rPr>
                <w:rFonts w:ascii="Times New Roman" w:hAnsi="Times New Roman"/>
                <w:sz w:val="24"/>
              </w:rPr>
              <w:t>1a</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dok</w:t>
            </w:r>
            <w:r w:rsidRPr="000644D4">
              <w:rPr>
                <w:rFonts w:ascii="Times New Roman" w:hAnsi="Times New Roman"/>
                <w:sz w:val="24"/>
              </w:rPr>
              <w:t>onuje się korekty LGD,</w:t>
            </w:r>
            <w:r w:rsidR="000644D4" w:rsidRPr="000644D4">
              <w:rPr>
                <w:rFonts w:ascii="Times New Roman" w:hAnsi="Times New Roman"/>
                <w:sz w:val="24"/>
              </w:rPr>
              <w:t xml:space="preserve"> </w:t>
            </w:r>
            <w:r w:rsidRPr="000644D4">
              <w:rPr>
                <w:rFonts w:ascii="Times New Roman" w:hAnsi="Times New Roman"/>
                <w:sz w:val="24"/>
              </w:rPr>
              <w:t>kwotę gwarancji zgłasza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0150.</w:t>
            </w:r>
          </w:p>
        </w:tc>
      </w:tr>
      <w:tr w:rsidR="00FB3D09" w:rsidRPr="000644D4" w14:paraId="10449AF9" w14:textId="77777777" w:rsidTr="00822842">
        <w:tc>
          <w:tcPr>
            <w:tcW w:w="1188" w:type="dxa"/>
          </w:tcPr>
          <w:p w14:paraId="3EE21C34" w14:textId="77777777" w:rsidR="00FB3D09" w:rsidRPr="000644D4" w:rsidRDefault="00FB3D09" w:rsidP="00822842">
            <w:pPr>
              <w:rPr>
                <w:rFonts w:ascii="Times New Roman" w:hAnsi="Times New Roman"/>
                <w:sz w:val="24"/>
              </w:rPr>
            </w:pPr>
            <w:r w:rsidRPr="000644D4">
              <w:rPr>
                <w:rFonts w:ascii="Times New Roman" w:hAnsi="Times New Roman"/>
                <w:sz w:val="24"/>
              </w:rPr>
              <w:t>0050</w:t>
            </w:r>
          </w:p>
        </w:tc>
        <w:tc>
          <w:tcPr>
            <w:tcW w:w="8843" w:type="dxa"/>
          </w:tcPr>
          <w:p w14:paraId="0360D0F5"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KREDYTOWE INSTRUMENTY POCHODNE:</w:t>
            </w:r>
          </w:p>
          <w:p w14:paraId="244ABC5F" w14:textId="2005227A" w:rsidR="00FB3D09" w:rsidRPr="000644D4" w:rsidRDefault="00FB3D09" w:rsidP="00822842">
            <w:pPr>
              <w:jc w:val="left"/>
              <w:rPr>
                <w:rFonts w:ascii="Times New Roman" w:hAnsi="Times New Roman"/>
                <w:sz w:val="24"/>
              </w:rPr>
            </w:pPr>
            <w:r w:rsidRPr="000644D4">
              <w:rPr>
                <w:rFonts w:ascii="Times New Roman" w:hAnsi="Times New Roman"/>
                <w:sz w:val="24"/>
              </w:rPr>
              <w:t>W przypadkach gdy kwoty ekspozycji ważonych ryzykiem oblicza się według metody substytucyjnej (art.</w:t>
            </w:r>
            <w:r w:rsidR="000644D4" w:rsidRPr="000644D4">
              <w:rPr>
                <w:rFonts w:ascii="Times New Roman" w:hAnsi="Times New Roman"/>
                <w:sz w:val="24"/>
              </w:rPr>
              <w:t> </w:t>
            </w:r>
            <w:r w:rsidRPr="000644D4">
              <w:rPr>
                <w:rFonts w:ascii="Times New Roman" w:hAnsi="Times New Roman"/>
                <w:sz w:val="24"/>
              </w:rPr>
              <w:t>108 ust.</w:t>
            </w:r>
            <w:r w:rsidR="000644D4" w:rsidRPr="000644D4">
              <w:rPr>
                <w:rFonts w:ascii="Times New Roman" w:hAnsi="Times New Roman"/>
                <w:sz w:val="24"/>
              </w:rPr>
              <w:t> </w:t>
            </w:r>
            <w:r w:rsidRPr="000644D4">
              <w:rPr>
                <w:rFonts w:ascii="Times New Roman" w:hAnsi="Times New Roman"/>
                <w:sz w:val="24"/>
              </w:rPr>
              <w:t>2a zdanie drugie, art.</w:t>
            </w:r>
            <w:r w:rsidR="000644D4" w:rsidRPr="000644D4">
              <w:rPr>
                <w:rFonts w:ascii="Times New Roman" w:hAnsi="Times New Roman"/>
                <w:sz w:val="24"/>
              </w:rPr>
              <w:t> </w:t>
            </w:r>
            <w:r w:rsidRPr="000644D4">
              <w:rPr>
                <w:rFonts w:ascii="Times New Roman" w:hAnsi="Times New Roman"/>
                <w:sz w:val="24"/>
              </w:rPr>
              <w:t>183 ust.</w:t>
            </w:r>
            <w:r w:rsidR="000644D4" w:rsidRPr="000644D4">
              <w:rPr>
                <w:rFonts w:ascii="Times New Roman" w:hAnsi="Times New Roman"/>
                <w:sz w:val="24"/>
              </w:rPr>
              <w:t> </w:t>
            </w:r>
            <w:r w:rsidRPr="000644D4">
              <w:rPr>
                <w:rFonts w:ascii="Times New Roman" w:hAnsi="Times New Roman"/>
                <w:sz w:val="24"/>
              </w:rPr>
              <w:t>1a zdanie pierwsze wariant drugi, art.</w:t>
            </w:r>
            <w:r w:rsidR="000644D4" w:rsidRPr="000644D4">
              <w:rPr>
                <w:rFonts w:ascii="Times New Roman" w:hAnsi="Times New Roman"/>
                <w:sz w:val="24"/>
              </w:rPr>
              <w:t> </w:t>
            </w:r>
            <w:r w:rsidRPr="000644D4">
              <w:rPr>
                <w:rFonts w:ascii="Times New Roman" w:hAnsi="Times New Roman"/>
                <w:sz w:val="24"/>
              </w:rPr>
              <w:t>235a, art.</w:t>
            </w:r>
            <w:r w:rsidR="000644D4" w:rsidRPr="000644D4">
              <w:rPr>
                <w:rFonts w:ascii="Times New Roman" w:hAnsi="Times New Roman"/>
                <w:sz w:val="24"/>
              </w:rPr>
              <w:t> </w:t>
            </w:r>
            <w:r w:rsidRPr="000644D4">
              <w:rPr>
                <w:rFonts w:ascii="Times New Roman" w:hAnsi="Times New Roman"/>
                <w:sz w:val="24"/>
              </w:rPr>
              <w:t>236 oraz art.</w:t>
            </w:r>
            <w:r w:rsidR="000644D4" w:rsidRPr="000644D4">
              <w:rPr>
                <w:rFonts w:ascii="Times New Roman" w:hAnsi="Times New Roman"/>
                <w:sz w:val="24"/>
              </w:rPr>
              <w:t> </w:t>
            </w:r>
            <w:r w:rsidRPr="000644D4">
              <w:rPr>
                <w:rFonts w:ascii="Times New Roman" w:hAnsi="Times New Roman"/>
                <w:sz w:val="24"/>
              </w:rPr>
              <w:t>236a rozporządzenia (UE) nr</w:t>
            </w:r>
            <w:r w:rsidR="000644D4" w:rsidRPr="000644D4">
              <w:rPr>
                <w:rFonts w:ascii="Times New Roman" w:hAnsi="Times New Roman"/>
                <w:sz w:val="24"/>
              </w:rPr>
              <w:t> </w:t>
            </w:r>
            <w:r w:rsidRPr="000644D4">
              <w:rPr>
                <w:rFonts w:ascii="Times New Roman" w:hAnsi="Times New Roman"/>
                <w:sz w:val="24"/>
              </w:rPr>
              <w:t>575/2013), podaje się wartość skorygowaną (G</w:t>
            </w:r>
            <w:r w:rsidRPr="000644D4">
              <w:rPr>
                <w:rFonts w:ascii="Times New Roman" w:hAnsi="Times New Roman"/>
                <w:sz w:val="24"/>
                <w:vertAlign w:val="subscript"/>
              </w:rPr>
              <w:t>A</w:t>
            </w:r>
            <w:r w:rsidRPr="000644D4">
              <w:rPr>
                <w:rFonts w:ascii="Times New Roman" w:hAnsi="Times New Roman"/>
                <w:sz w:val="24"/>
              </w:rPr>
              <w:t>) zdefiniowaną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235a ust.</w:t>
            </w:r>
            <w:r w:rsidR="000644D4" w:rsidRPr="000644D4">
              <w:rPr>
                <w:rFonts w:ascii="Times New Roman" w:hAnsi="Times New Roman"/>
                <w:sz w:val="24"/>
              </w:rPr>
              <w:t> </w:t>
            </w:r>
            <w:r w:rsidRPr="000644D4">
              <w:rPr>
                <w:rFonts w:ascii="Times New Roman" w:hAnsi="Times New Roman"/>
                <w:sz w:val="24"/>
              </w:rPr>
              <w:t>1 rozporządzenia (UE) nr</w:t>
            </w:r>
            <w:r w:rsidR="000644D4" w:rsidRPr="000644D4">
              <w:rPr>
                <w:rFonts w:ascii="Times New Roman" w:hAnsi="Times New Roman"/>
                <w:sz w:val="24"/>
              </w:rPr>
              <w:t> </w:t>
            </w:r>
            <w:r w:rsidRPr="000644D4">
              <w:rPr>
                <w:rFonts w:ascii="Times New Roman" w:hAnsi="Times New Roman"/>
                <w:sz w:val="24"/>
              </w:rPr>
              <w:t>575/2013.</w:t>
            </w:r>
          </w:p>
          <w:p w14:paraId="4A934ED8" w14:textId="3A404DB2" w:rsidR="00FB3D09" w:rsidRPr="000644D4" w:rsidRDefault="00FB3D09" w:rsidP="00822842">
            <w:pPr>
              <w:rPr>
                <w:rFonts w:ascii="Times New Roman" w:hAnsi="Times New Roman"/>
                <w:sz w:val="24"/>
              </w:rPr>
            </w:pPr>
            <w:r w:rsidRPr="000644D4">
              <w:rPr>
                <w:rFonts w:ascii="Times New Roman" w:hAnsi="Times New Roman"/>
                <w:sz w:val="24"/>
              </w:rPr>
              <w:t>W przypadkach gdy stosuje się metodę modelowania korekty PD/LGD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108 ust.</w:t>
            </w:r>
            <w:r w:rsidR="000644D4" w:rsidRPr="000644D4">
              <w:rPr>
                <w:rFonts w:ascii="Times New Roman" w:hAnsi="Times New Roman"/>
                <w:sz w:val="24"/>
              </w:rPr>
              <w:t> </w:t>
            </w:r>
            <w:r w:rsidRPr="000644D4">
              <w:rPr>
                <w:rFonts w:ascii="Times New Roman" w:hAnsi="Times New Roman"/>
                <w:sz w:val="24"/>
              </w:rPr>
              <w:t>2a zdanie pierwsze, art.</w:t>
            </w:r>
            <w:r w:rsidR="000644D4" w:rsidRPr="000644D4">
              <w:rPr>
                <w:rFonts w:ascii="Times New Roman" w:hAnsi="Times New Roman"/>
                <w:sz w:val="24"/>
              </w:rPr>
              <w:t> </w:t>
            </w:r>
            <w:r w:rsidRPr="000644D4">
              <w:rPr>
                <w:rFonts w:ascii="Times New Roman" w:hAnsi="Times New Roman"/>
                <w:sz w:val="24"/>
              </w:rPr>
              <w:t>183 ust.</w:t>
            </w:r>
            <w:r w:rsidR="000644D4" w:rsidRPr="000644D4">
              <w:rPr>
                <w:rFonts w:ascii="Times New Roman" w:hAnsi="Times New Roman"/>
                <w:sz w:val="24"/>
              </w:rPr>
              <w:t> </w:t>
            </w:r>
            <w:r w:rsidRPr="000644D4">
              <w:rPr>
                <w:rFonts w:ascii="Times New Roman" w:hAnsi="Times New Roman"/>
                <w:sz w:val="24"/>
              </w:rPr>
              <w:t>1a zdanie pierwsze wariant pierwszy oraz art.</w:t>
            </w:r>
            <w:r w:rsidR="000644D4" w:rsidRPr="000644D4">
              <w:rPr>
                <w:rFonts w:ascii="Times New Roman" w:hAnsi="Times New Roman"/>
                <w:sz w:val="24"/>
              </w:rPr>
              <w:t> </w:t>
            </w:r>
            <w:r w:rsidRPr="000644D4">
              <w:rPr>
                <w:rFonts w:ascii="Times New Roman" w:hAnsi="Times New Roman"/>
                <w:sz w:val="24"/>
              </w:rPr>
              <w:t>183 ust.</w:t>
            </w:r>
            <w:r w:rsidR="000644D4" w:rsidRPr="000644D4">
              <w:rPr>
                <w:rFonts w:ascii="Times New Roman" w:hAnsi="Times New Roman"/>
                <w:sz w:val="24"/>
              </w:rPr>
              <w:t> </w:t>
            </w:r>
            <w:r w:rsidRPr="000644D4">
              <w:rPr>
                <w:rFonts w:ascii="Times New Roman" w:hAnsi="Times New Roman"/>
                <w:sz w:val="24"/>
              </w:rPr>
              <w:t>3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dok</w:t>
            </w:r>
            <w:r w:rsidRPr="000644D4">
              <w:rPr>
                <w:rFonts w:ascii="Times New Roman" w:hAnsi="Times New Roman"/>
                <w:sz w:val="24"/>
              </w:rPr>
              <w:t>onuje się korekty LGD, kwotę kredytowych instrumentów pochodnych zgłasza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0160.</w:t>
            </w:r>
            <w:r w:rsidRPr="000644D4">
              <w:rPr>
                <w:rFonts w:ascii="Times New Roman" w:hAnsi="Times New Roman"/>
                <w:color w:val="008080"/>
                <w:sz w:val="24"/>
                <w:u w:val="single"/>
              </w:rPr>
              <w:t xml:space="preserve"> </w:t>
            </w:r>
            <w:r w:rsidRPr="000644D4">
              <w:rPr>
                <w:rFonts w:ascii="Times New Roman" w:hAnsi="Times New Roman"/>
                <w:sz w:val="24"/>
              </w:rPr>
              <w:t>Zgłasza się odpowiednią wartość wykorzystaną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mod</w:t>
            </w:r>
            <w:r w:rsidRPr="000644D4">
              <w:rPr>
                <w:rFonts w:ascii="Times New Roman" w:hAnsi="Times New Roman"/>
                <w:sz w:val="24"/>
              </w:rPr>
              <w:t>elu wewnętrznym.</w:t>
            </w:r>
          </w:p>
        </w:tc>
      </w:tr>
      <w:tr w:rsidR="00FB3D09" w:rsidRPr="000644D4" w14:paraId="62414089" w14:textId="77777777" w:rsidTr="00822842">
        <w:tc>
          <w:tcPr>
            <w:tcW w:w="1188" w:type="dxa"/>
          </w:tcPr>
          <w:p w14:paraId="32FA0884" w14:textId="77777777" w:rsidR="00FB3D09" w:rsidRPr="000644D4" w:rsidRDefault="00FB3D09" w:rsidP="00822842">
            <w:pPr>
              <w:rPr>
                <w:rFonts w:ascii="Times New Roman" w:hAnsi="Times New Roman"/>
                <w:sz w:val="24"/>
              </w:rPr>
            </w:pPr>
            <w:r w:rsidRPr="000644D4">
              <w:rPr>
                <w:rFonts w:ascii="Times New Roman" w:hAnsi="Times New Roman"/>
                <w:sz w:val="24"/>
              </w:rPr>
              <w:t>0060</w:t>
            </w:r>
          </w:p>
        </w:tc>
        <w:tc>
          <w:tcPr>
            <w:tcW w:w="8843" w:type="dxa"/>
          </w:tcPr>
          <w:p w14:paraId="3D25836C"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INNE RODZAJE OCHRONY KREDYTOWEJ RZECZYWISTEJ</w:t>
            </w:r>
          </w:p>
          <w:p w14:paraId="632FAD69" w14:textId="00FE1174" w:rsidR="00FB3D09" w:rsidRPr="000644D4" w:rsidRDefault="00FB3D09" w:rsidP="00822842">
            <w:pPr>
              <w:rPr>
                <w:rFonts w:ascii="Times New Roman" w:hAnsi="Times New Roman"/>
                <w:sz w:val="24"/>
              </w:rPr>
            </w:pPr>
            <w:r w:rsidRPr="000644D4">
              <w:rPr>
                <w:rFonts w:ascii="Times New Roman" w:hAnsi="Times New Roman"/>
                <w:sz w:val="24"/>
              </w:rPr>
              <w:t>W przypadku niestosowania własnych oszacowań LGD zastosowanie ma art. 232 ust. 1 rozporządzenia (UE) nr</w:t>
            </w:r>
            <w:r w:rsidR="000644D4" w:rsidRPr="000644D4">
              <w:rPr>
                <w:rFonts w:ascii="Times New Roman" w:hAnsi="Times New Roman"/>
                <w:sz w:val="24"/>
              </w:rPr>
              <w:t> </w:t>
            </w:r>
            <w:r w:rsidRPr="000644D4">
              <w:rPr>
                <w:rFonts w:ascii="Times New Roman" w:hAnsi="Times New Roman"/>
                <w:sz w:val="24"/>
              </w:rPr>
              <w:t>575/2013.</w:t>
            </w:r>
          </w:p>
          <w:p w14:paraId="371C738E" w14:textId="41E4BCFB" w:rsidR="00FB3D09" w:rsidRPr="000644D4" w:rsidRDefault="00FB3D09" w:rsidP="00822842">
            <w:pPr>
              <w:jc w:val="left"/>
              <w:rPr>
                <w:rFonts w:ascii="Times New Roman" w:hAnsi="Times New Roman"/>
                <w:sz w:val="24"/>
              </w:rPr>
            </w:pPr>
            <w:r w:rsidRPr="000644D4">
              <w:rPr>
                <w:rFonts w:ascii="Times New Roman" w:hAnsi="Times New Roman"/>
                <w:sz w:val="24"/>
              </w:rPr>
              <w:t>W przypadkach gdy kwoty ekspozycji ważonych ryzykiem są obliczane według metody substytucyjnej (art.</w:t>
            </w:r>
            <w:r w:rsidR="000644D4" w:rsidRPr="000644D4">
              <w:rPr>
                <w:rFonts w:ascii="Times New Roman" w:hAnsi="Times New Roman"/>
                <w:sz w:val="24"/>
              </w:rPr>
              <w:t> </w:t>
            </w:r>
            <w:r w:rsidRPr="000644D4">
              <w:rPr>
                <w:rFonts w:ascii="Times New Roman" w:hAnsi="Times New Roman"/>
                <w:sz w:val="24"/>
              </w:rPr>
              <w:t>108 ust.</w:t>
            </w:r>
            <w:r w:rsidR="000644D4" w:rsidRPr="000644D4">
              <w:rPr>
                <w:rFonts w:ascii="Times New Roman" w:hAnsi="Times New Roman"/>
                <w:sz w:val="24"/>
              </w:rPr>
              <w:t> </w:t>
            </w:r>
            <w:r w:rsidRPr="000644D4">
              <w:rPr>
                <w:rFonts w:ascii="Times New Roman" w:hAnsi="Times New Roman"/>
                <w:sz w:val="24"/>
              </w:rPr>
              <w:t>2a zdanie drugie, art.</w:t>
            </w:r>
            <w:r w:rsidR="000644D4" w:rsidRPr="000644D4">
              <w:rPr>
                <w:rFonts w:ascii="Times New Roman" w:hAnsi="Times New Roman"/>
                <w:sz w:val="24"/>
              </w:rPr>
              <w:t> </w:t>
            </w:r>
            <w:r w:rsidRPr="000644D4">
              <w:rPr>
                <w:rFonts w:ascii="Times New Roman" w:hAnsi="Times New Roman"/>
                <w:sz w:val="24"/>
              </w:rPr>
              <w:t>183 ust.</w:t>
            </w:r>
            <w:r w:rsidR="000644D4" w:rsidRPr="000644D4">
              <w:rPr>
                <w:rFonts w:ascii="Times New Roman" w:hAnsi="Times New Roman"/>
                <w:sz w:val="24"/>
              </w:rPr>
              <w:t> </w:t>
            </w:r>
            <w:r w:rsidRPr="000644D4">
              <w:rPr>
                <w:rFonts w:ascii="Times New Roman" w:hAnsi="Times New Roman"/>
                <w:sz w:val="24"/>
              </w:rPr>
              <w:t>1a zdanie pierwsze wariant drugi, art.</w:t>
            </w:r>
            <w:r w:rsidR="000644D4" w:rsidRPr="000644D4">
              <w:rPr>
                <w:rFonts w:ascii="Times New Roman" w:hAnsi="Times New Roman"/>
                <w:sz w:val="24"/>
              </w:rPr>
              <w:t> </w:t>
            </w:r>
            <w:r w:rsidRPr="000644D4">
              <w:rPr>
                <w:rFonts w:ascii="Times New Roman" w:hAnsi="Times New Roman"/>
                <w:sz w:val="24"/>
              </w:rPr>
              <w:t>235a oraz art.</w:t>
            </w:r>
            <w:r w:rsidR="000644D4" w:rsidRPr="000644D4">
              <w:rPr>
                <w:rFonts w:ascii="Times New Roman" w:hAnsi="Times New Roman"/>
                <w:sz w:val="24"/>
              </w:rPr>
              <w:t> </w:t>
            </w:r>
            <w:r w:rsidRPr="000644D4">
              <w:rPr>
                <w:rFonts w:ascii="Times New Roman" w:hAnsi="Times New Roman"/>
                <w:sz w:val="24"/>
              </w:rPr>
              <w:t>236 rozporządzenia (UE) nr</w:t>
            </w:r>
            <w:r w:rsidR="000644D4" w:rsidRPr="000644D4">
              <w:rPr>
                <w:rFonts w:ascii="Times New Roman" w:hAnsi="Times New Roman"/>
                <w:sz w:val="24"/>
              </w:rPr>
              <w:t> </w:t>
            </w:r>
            <w:r w:rsidRPr="000644D4">
              <w:rPr>
                <w:rFonts w:ascii="Times New Roman" w:hAnsi="Times New Roman"/>
                <w:sz w:val="24"/>
              </w:rPr>
              <w:t>575/2013), podaje się wartość skorygowaną (GA) zdefiniowaną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235a ust.</w:t>
            </w:r>
            <w:r w:rsidR="000644D4" w:rsidRPr="000644D4">
              <w:rPr>
                <w:rFonts w:ascii="Times New Roman" w:hAnsi="Times New Roman"/>
                <w:sz w:val="24"/>
              </w:rPr>
              <w:t> </w:t>
            </w:r>
            <w:r w:rsidRPr="000644D4">
              <w:rPr>
                <w:rFonts w:ascii="Times New Roman" w:hAnsi="Times New Roman"/>
                <w:sz w:val="24"/>
              </w:rPr>
              <w:t>1 rozporządzenia (UE) nr</w:t>
            </w:r>
            <w:r w:rsidR="000644D4" w:rsidRPr="000644D4">
              <w:rPr>
                <w:rFonts w:ascii="Times New Roman" w:hAnsi="Times New Roman"/>
                <w:sz w:val="24"/>
              </w:rPr>
              <w:t> </w:t>
            </w:r>
            <w:r w:rsidRPr="000644D4">
              <w:rPr>
                <w:rFonts w:ascii="Times New Roman" w:hAnsi="Times New Roman"/>
                <w:sz w:val="24"/>
              </w:rPr>
              <w:t>575/2013.</w:t>
            </w:r>
          </w:p>
          <w:p w14:paraId="5989E354" w14:textId="7E30FA86" w:rsidR="00FB3D09" w:rsidRPr="000644D4" w:rsidRDefault="00FB3D09" w:rsidP="00822842">
            <w:pPr>
              <w:rPr>
                <w:rFonts w:ascii="Times New Roman" w:hAnsi="Times New Roman"/>
                <w:sz w:val="24"/>
              </w:rPr>
            </w:pPr>
            <w:r w:rsidRPr="000644D4">
              <w:rPr>
                <w:rFonts w:ascii="Times New Roman" w:hAnsi="Times New Roman"/>
                <w:sz w:val="24"/>
              </w:rPr>
              <w:lastRenderedPageBreak/>
              <w:t>Wartość ekspozycji jest ograniczona do wartości pierwotnej ekspozycji przed uwzględnieniem współczynników konwersji.</w:t>
            </w:r>
          </w:p>
          <w:p w14:paraId="74A46846" w14:textId="21833E42" w:rsidR="00FB3D09" w:rsidRPr="000644D4" w:rsidRDefault="00FB3D09" w:rsidP="00822842">
            <w:pPr>
              <w:rPr>
                <w:rStyle w:val="InstructionsTabelleText"/>
                <w:rFonts w:ascii="Times New Roman" w:hAnsi="Times New Roman"/>
                <w:sz w:val="24"/>
              </w:rPr>
            </w:pPr>
            <w:r w:rsidRPr="000644D4">
              <w:rPr>
                <w:rFonts w:ascii="Times New Roman" w:hAnsi="Times New Roman"/>
                <w:sz w:val="24"/>
              </w:rPr>
              <w:t>W przypadku dokonania korekty 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181 rozporządzenia (UE) nr</w:t>
            </w:r>
            <w:r w:rsidR="000644D4" w:rsidRPr="000644D4">
              <w:rPr>
                <w:rFonts w:ascii="Times New Roman" w:hAnsi="Times New Roman"/>
                <w:sz w:val="24"/>
              </w:rPr>
              <w:t> </w:t>
            </w:r>
            <w:r w:rsidRPr="000644D4">
              <w:rPr>
                <w:rFonts w:ascii="Times New Roman" w:hAnsi="Times New Roman"/>
                <w:sz w:val="24"/>
              </w:rPr>
              <w:t>575/2013 kwotę tę zgłasza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 xml:space="preserve">umnie 0170. </w:t>
            </w:r>
          </w:p>
        </w:tc>
      </w:tr>
      <w:tr w:rsidR="00FB3D09" w:rsidRPr="000644D4" w14:paraId="6C40B204" w14:textId="77777777" w:rsidTr="00822842">
        <w:tc>
          <w:tcPr>
            <w:tcW w:w="1188" w:type="dxa"/>
          </w:tcPr>
          <w:p w14:paraId="7C55B264"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0070–0080</w:t>
            </w:r>
          </w:p>
        </w:tc>
        <w:tc>
          <w:tcPr>
            <w:tcW w:w="8843" w:type="dxa"/>
          </w:tcPr>
          <w:p w14:paraId="7EA9925F"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SUBSTYTUCJA EKSPOZYCJI W WYNIKU OGRANICZANIA RYZYKA KREDYTOWEGO</w:t>
            </w:r>
          </w:p>
          <w:p w14:paraId="4A614404" w14:textId="17DAF6EA" w:rsidR="00FB3D09" w:rsidRPr="000644D4" w:rsidRDefault="00FB3D09" w:rsidP="00822842">
            <w:pPr>
              <w:rPr>
                <w:rFonts w:ascii="Times New Roman" w:hAnsi="Times New Roman"/>
                <w:sz w:val="24"/>
              </w:rPr>
            </w:pPr>
            <w:r w:rsidRPr="000644D4">
              <w:rPr>
                <w:rFonts w:ascii="Times New Roman" w:hAnsi="Times New Roman"/>
                <w:sz w:val="24"/>
              </w:rPr>
              <w:t>Wypływy odpowiadają zabezpieczonej części pierwotnej ekspozycji przed uwzględnieniem współczynników konwersji, którą to część odlicza się od kategorii ekspozycji dłużnika 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sto</w:t>
            </w:r>
            <w:r w:rsidRPr="000644D4">
              <w:rPr>
                <w:rFonts w:ascii="Times New Roman" w:hAnsi="Times New Roman"/>
                <w:sz w:val="24"/>
              </w:rPr>
              <w:t>sownych przypadkach, od klasy jakości lub puli dłużnika,</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nas</w:t>
            </w:r>
            <w:r w:rsidRPr="000644D4">
              <w:rPr>
                <w:rFonts w:ascii="Times New Roman" w:hAnsi="Times New Roman"/>
                <w:sz w:val="24"/>
              </w:rPr>
              <w:t>tępnie przypisuje do kategorii ekspozycji dostawcy ochrony kredytowej 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sto</w:t>
            </w:r>
            <w:r w:rsidRPr="000644D4">
              <w:rPr>
                <w:rFonts w:ascii="Times New Roman" w:hAnsi="Times New Roman"/>
                <w:sz w:val="24"/>
              </w:rPr>
              <w:t>sownych przypadkach, do klasy jakości lub puli dłużnika. Kwotę tę uznaje się za wpływ do kategorii ekspozycji dostawcy ochrony kredytowej 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sto</w:t>
            </w:r>
            <w:r w:rsidRPr="000644D4">
              <w:rPr>
                <w:rFonts w:ascii="Times New Roman" w:hAnsi="Times New Roman"/>
                <w:sz w:val="24"/>
              </w:rPr>
              <w:t>sownych przypadkach, do klas jakości lub pul dłużnika.</w:t>
            </w:r>
          </w:p>
          <w:p w14:paraId="107B30E3" w14:textId="61320AB7" w:rsidR="00FB3D09" w:rsidRPr="000644D4" w:rsidRDefault="00FB3D09" w:rsidP="00822842">
            <w:pPr>
              <w:rPr>
                <w:rFonts w:ascii="Times New Roman" w:hAnsi="Times New Roman"/>
                <w:sz w:val="24"/>
              </w:rPr>
            </w:pPr>
            <w:r w:rsidRPr="000644D4">
              <w:rPr>
                <w:rFonts w:ascii="Times New Roman" w:hAnsi="Times New Roman"/>
                <w:sz w:val="24"/>
              </w:rPr>
              <w:t>Uwzględnia się również wpływy</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wyp</w:t>
            </w:r>
            <w:r w:rsidRPr="000644D4">
              <w:rPr>
                <w:rFonts w:ascii="Times New Roman" w:hAnsi="Times New Roman"/>
                <w:sz w:val="24"/>
              </w:rPr>
              <w:t>ływy</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obr</w:t>
            </w:r>
            <w:r w:rsidRPr="000644D4">
              <w:rPr>
                <w:rFonts w:ascii="Times New Roman" w:hAnsi="Times New Roman"/>
                <w:sz w:val="24"/>
              </w:rPr>
              <w:t>ębie tych samych kategorii ekspozycji 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sto</w:t>
            </w:r>
            <w:r w:rsidRPr="000644D4">
              <w:rPr>
                <w:rFonts w:ascii="Times New Roman" w:hAnsi="Times New Roman"/>
                <w:sz w:val="24"/>
              </w:rPr>
              <w:t>sownych przypadkach, klas jakości lub pul dłużnika.</w:t>
            </w:r>
          </w:p>
          <w:p w14:paraId="610F295D" w14:textId="700C62DC" w:rsidR="00FB3D09" w:rsidRPr="000644D4" w:rsidRDefault="00FB3D09" w:rsidP="00822842">
            <w:pPr>
              <w:rPr>
                <w:rFonts w:ascii="Times New Roman" w:hAnsi="Times New Roman"/>
                <w:sz w:val="24"/>
              </w:rPr>
            </w:pPr>
            <w:r w:rsidRPr="000644D4">
              <w:rPr>
                <w:rFonts w:ascii="Times New Roman" w:hAnsi="Times New Roman"/>
                <w:sz w:val="24"/>
              </w:rPr>
              <w:t>Uwzględnia się ekspozycje wynikające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ewe</w:t>
            </w:r>
            <w:r w:rsidRPr="000644D4">
              <w:rPr>
                <w:rFonts w:ascii="Times New Roman" w:hAnsi="Times New Roman"/>
                <w:sz w:val="24"/>
              </w:rPr>
              <w:t>ntualnych wpływów</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wyp</w:t>
            </w:r>
            <w:r w:rsidRPr="000644D4">
              <w:rPr>
                <w:rFonts w:ascii="Times New Roman" w:hAnsi="Times New Roman"/>
                <w:sz w:val="24"/>
              </w:rPr>
              <w:t>ływów</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innych wzorów.</w:t>
            </w:r>
          </w:p>
          <w:p w14:paraId="1DB2B7C5" w14:textId="3BA23E22" w:rsidR="00FB3D09" w:rsidRPr="000644D4" w:rsidRDefault="00FB3D09" w:rsidP="00822842"/>
        </w:tc>
      </w:tr>
      <w:tr w:rsidR="00FB3D09" w:rsidRPr="000644D4" w14:paraId="29952085" w14:textId="77777777" w:rsidTr="00822842">
        <w:tc>
          <w:tcPr>
            <w:tcW w:w="1188" w:type="dxa"/>
          </w:tcPr>
          <w:p w14:paraId="08FA3F2A" w14:textId="77777777" w:rsidR="00FB3D09" w:rsidRPr="000644D4" w:rsidRDefault="00FB3D09" w:rsidP="00822842">
            <w:pPr>
              <w:rPr>
                <w:rFonts w:ascii="Times New Roman" w:hAnsi="Times New Roman"/>
                <w:sz w:val="24"/>
              </w:rPr>
            </w:pPr>
            <w:r w:rsidRPr="000644D4">
              <w:rPr>
                <w:rFonts w:ascii="Times New Roman" w:hAnsi="Times New Roman"/>
                <w:sz w:val="24"/>
              </w:rPr>
              <w:t xml:space="preserve">0090 </w:t>
            </w:r>
          </w:p>
          <w:p w14:paraId="0355DD8B" w14:textId="77777777" w:rsidR="00FB3D09" w:rsidRPr="000644D4" w:rsidRDefault="00FB3D09" w:rsidP="00822842">
            <w:r w:rsidRPr="000644D4">
              <w:t xml:space="preserve"> </w:t>
            </w:r>
            <w:r w:rsidRPr="000644D4">
              <w:br/>
            </w:r>
          </w:p>
          <w:p w14:paraId="1020C237" w14:textId="77777777" w:rsidR="00FB3D09" w:rsidRPr="000644D4" w:rsidRDefault="00FB3D09" w:rsidP="00822842">
            <w:pPr>
              <w:rPr>
                <w:rFonts w:ascii="Times New Roman" w:hAnsi="Times New Roman"/>
                <w:sz w:val="24"/>
              </w:rPr>
            </w:pPr>
          </w:p>
        </w:tc>
        <w:tc>
          <w:tcPr>
            <w:tcW w:w="8843" w:type="dxa"/>
          </w:tcPr>
          <w:p w14:paraId="53C76B9B"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EKSPOZYCJA PO UWZGLĘDNIENIU EFEKTÓW SUBSTYTUCYJNYCH ZWIĄZANYCH Z OGRANICZANIEM RYZYKA KREDYTOWEGO PRZED UWZGLĘDNIENIEM WSPÓŁCZYNNIKÓW KONWERSJI</w:t>
            </w:r>
          </w:p>
          <w:p w14:paraId="2477F8EB" w14:textId="6E9C37CF" w:rsidR="00FB3D09" w:rsidRPr="000644D4" w:rsidRDefault="00FB3D09" w:rsidP="00822842">
            <w:pPr>
              <w:rPr>
                <w:rFonts w:ascii="Times New Roman" w:hAnsi="Times New Roman"/>
                <w:sz w:val="24"/>
              </w:rPr>
            </w:pPr>
            <w:r w:rsidRPr="000644D4">
              <w:rPr>
                <w:rFonts w:ascii="Times New Roman" w:hAnsi="Times New Roman"/>
                <w:sz w:val="24"/>
              </w:rPr>
              <w:t>Ekspozycja przypisana do odpowiadającej jej klasy jakości lub puli dłużnika oraz kategoria ekspozycji po uwzględnieniu wypływów</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wpł</w:t>
            </w:r>
            <w:r w:rsidRPr="000644D4">
              <w:rPr>
                <w:rFonts w:ascii="Times New Roman" w:hAnsi="Times New Roman"/>
                <w:sz w:val="24"/>
              </w:rPr>
              <w:t>ywów wynikających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tec</w:t>
            </w:r>
            <w:r w:rsidRPr="000644D4">
              <w:rPr>
                <w:rFonts w:ascii="Times New Roman" w:hAnsi="Times New Roman"/>
                <w:sz w:val="24"/>
              </w:rPr>
              <w:t>hnik ograniczania ryzyka kredytowego</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uwz</w:t>
            </w:r>
            <w:r w:rsidRPr="000644D4">
              <w:rPr>
                <w:rFonts w:ascii="Times New Roman" w:hAnsi="Times New Roman"/>
                <w:sz w:val="24"/>
              </w:rPr>
              <w:t>ględnieniem efektów substytucyjnych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w:t>
            </w:r>
          </w:p>
        </w:tc>
      </w:tr>
      <w:tr w:rsidR="00FB3D09" w:rsidRPr="000644D4" w14:paraId="678E16FA" w14:textId="77777777" w:rsidTr="00822842">
        <w:tc>
          <w:tcPr>
            <w:tcW w:w="1188" w:type="dxa"/>
          </w:tcPr>
          <w:p w14:paraId="590D5D4A" w14:textId="77777777" w:rsidR="00FB3D09" w:rsidRPr="000644D4" w:rsidRDefault="00FB3D09" w:rsidP="00822842">
            <w:pPr>
              <w:rPr>
                <w:rFonts w:ascii="Times New Roman" w:hAnsi="Times New Roman"/>
                <w:sz w:val="24"/>
              </w:rPr>
            </w:pPr>
            <w:r w:rsidRPr="000644D4">
              <w:rPr>
                <w:rFonts w:ascii="Times New Roman" w:hAnsi="Times New Roman"/>
                <w:sz w:val="24"/>
              </w:rPr>
              <w:t>0100, 0120</w:t>
            </w:r>
          </w:p>
        </w:tc>
        <w:tc>
          <w:tcPr>
            <w:tcW w:w="8843" w:type="dxa"/>
          </w:tcPr>
          <w:p w14:paraId="70C0CAF4"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 xml:space="preserve">W tym: pozycje pozabilansowe </w:t>
            </w:r>
          </w:p>
          <w:p w14:paraId="2F36E223"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dotyczące wzoru CR-SA</w:t>
            </w:r>
          </w:p>
        </w:tc>
      </w:tr>
      <w:tr w:rsidR="00FB3D09" w:rsidRPr="000644D4" w14:paraId="00A4DCE6" w14:textId="77777777" w:rsidTr="00822842">
        <w:tc>
          <w:tcPr>
            <w:tcW w:w="1188" w:type="dxa"/>
          </w:tcPr>
          <w:p w14:paraId="511472D9" w14:textId="77777777" w:rsidR="00FB3D09" w:rsidRPr="000644D4" w:rsidRDefault="00FB3D09" w:rsidP="00822842">
            <w:pPr>
              <w:rPr>
                <w:rFonts w:ascii="Times New Roman" w:hAnsi="Times New Roman"/>
                <w:sz w:val="24"/>
              </w:rPr>
            </w:pPr>
            <w:r w:rsidRPr="000644D4">
              <w:rPr>
                <w:rFonts w:ascii="Times New Roman" w:hAnsi="Times New Roman"/>
                <w:sz w:val="24"/>
              </w:rPr>
              <w:t>0101–0107</w:t>
            </w:r>
          </w:p>
        </w:tc>
        <w:tc>
          <w:tcPr>
            <w:tcW w:w="8843" w:type="dxa"/>
          </w:tcPr>
          <w:p w14:paraId="1886DC9B"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PODZIAŁ W PEŁNI SKORYGOWANEJ WARTOŚCI EKSPOZYCJI W POZYCJACH POZABILANSOWYCH WEDŁUG WSPÓŁCZYNNIKÓW KONWERSJI</w:t>
            </w:r>
          </w:p>
          <w:p w14:paraId="08C9DDC2" w14:textId="13CE04E0" w:rsidR="00FB3D09" w:rsidRPr="000644D4" w:rsidRDefault="00FB3D09" w:rsidP="00822842">
            <w:pPr>
              <w:pStyle w:val="InstructionsText"/>
            </w:pPr>
            <w:r w:rsidRPr="000644D4">
              <w:t>Art. 166 ust.</w:t>
            </w:r>
            <w:r w:rsidR="000644D4" w:rsidRPr="000644D4">
              <w:t> </w:t>
            </w:r>
            <w:r w:rsidRPr="000644D4">
              <w:t>8 zgodnie</w:t>
            </w:r>
            <w:r w:rsidR="000644D4" w:rsidRPr="000644D4">
              <w:t xml:space="preserve"> z</w:t>
            </w:r>
            <w:r w:rsidR="000644D4">
              <w:t> </w:t>
            </w:r>
            <w:r w:rsidR="000644D4" w:rsidRPr="000644D4">
              <w:t>ust</w:t>
            </w:r>
            <w:r w:rsidRPr="000644D4">
              <w:t>.</w:t>
            </w:r>
            <w:r w:rsidR="000644D4" w:rsidRPr="000644D4">
              <w:t> </w:t>
            </w:r>
            <w:r w:rsidRPr="000644D4">
              <w:t>8a</w:t>
            </w:r>
            <w:r w:rsidR="000644D4" w:rsidRPr="000644D4">
              <w:t xml:space="preserve"> i</w:t>
            </w:r>
            <w:r w:rsidR="000644D4">
              <w:t> </w:t>
            </w:r>
            <w:r w:rsidR="000644D4" w:rsidRPr="000644D4">
              <w:t>8</w:t>
            </w:r>
            <w:r w:rsidRPr="000644D4">
              <w:t>b oraz art.</w:t>
            </w:r>
            <w:r w:rsidR="000644D4" w:rsidRPr="000644D4">
              <w:t> </w:t>
            </w:r>
            <w:r w:rsidRPr="000644D4">
              <w:t>151 ust.</w:t>
            </w:r>
            <w:r w:rsidR="000644D4" w:rsidRPr="000644D4">
              <w:t> </w:t>
            </w:r>
            <w:r w:rsidRPr="000644D4">
              <w:t>8 rozporządzenia (UE) nr</w:t>
            </w:r>
            <w:r w:rsidR="000644D4" w:rsidRPr="000644D4">
              <w:t> </w:t>
            </w:r>
            <w:r w:rsidRPr="000644D4">
              <w:t>575/2013</w:t>
            </w:r>
          </w:p>
          <w:p w14:paraId="434D1ED6" w14:textId="742ECD5F" w:rsidR="00FB3D09" w:rsidRPr="000644D4" w:rsidRDefault="00FB3D09" w:rsidP="00822842">
            <w:pPr>
              <w:rPr>
                <w:rStyle w:val="InstructionsTabelleberschrift"/>
                <w:rFonts w:ascii="Times New Roman" w:hAnsi="Times New Roman"/>
                <w:sz w:val="24"/>
              </w:rPr>
            </w:pPr>
            <w:r w:rsidRPr="000644D4">
              <w:rPr>
                <w:rFonts w:ascii="Times New Roman" w:hAnsi="Times New Roman"/>
                <w:sz w:val="24"/>
              </w:rPr>
              <w:t>Zgłaszać należy</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peł</w:t>
            </w:r>
            <w:r w:rsidRPr="000644D4">
              <w:rPr>
                <w:rFonts w:ascii="Times New Roman" w:hAnsi="Times New Roman"/>
                <w:sz w:val="24"/>
              </w:rPr>
              <w:t>ni skorygowane wartości ekspozycji przed zastosowaniem współczynnika konwersji.</w:t>
            </w:r>
          </w:p>
        </w:tc>
      </w:tr>
      <w:tr w:rsidR="00FB3D09" w:rsidRPr="000644D4" w14:paraId="56ED3146" w14:textId="77777777" w:rsidTr="00822842">
        <w:tc>
          <w:tcPr>
            <w:tcW w:w="1188" w:type="dxa"/>
          </w:tcPr>
          <w:p w14:paraId="4FBB1F46" w14:textId="77777777" w:rsidR="00FB3D09" w:rsidRPr="000644D4" w:rsidRDefault="00FB3D09" w:rsidP="00822842">
            <w:pPr>
              <w:rPr>
                <w:rFonts w:ascii="Times New Roman" w:hAnsi="Times New Roman"/>
                <w:sz w:val="24"/>
              </w:rPr>
            </w:pPr>
            <w:r w:rsidRPr="000644D4">
              <w:rPr>
                <w:rFonts w:ascii="Times New Roman" w:hAnsi="Times New Roman"/>
                <w:sz w:val="24"/>
              </w:rPr>
              <w:t>0101</w:t>
            </w:r>
          </w:p>
        </w:tc>
        <w:tc>
          <w:tcPr>
            <w:tcW w:w="8843" w:type="dxa"/>
          </w:tcPr>
          <w:p w14:paraId="58AB915A"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MODELOWANE WSPÓŁCZYNNIKI KONWERSJI</w:t>
            </w:r>
          </w:p>
          <w:p w14:paraId="48F41598" w14:textId="5C743221" w:rsidR="00FB3D09" w:rsidRPr="000644D4" w:rsidRDefault="00FB3D09" w:rsidP="00822842">
            <w:pPr>
              <w:pStyle w:val="InstructionsText"/>
              <w:rPr>
                <w:rStyle w:val="InstructionsTabelleberschrift"/>
                <w:rFonts w:ascii="Times New Roman" w:hAnsi="Times New Roman"/>
                <w:b w:val="0"/>
                <w:sz w:val="24"/>
                <w:u w:val="none"/>
              </w:rPr>
            </w:pPr>
            <w:r w:rsidRPr="000644D4">
              <w:t>Art. 166 ust. 8b</w:t>
            </w:r>
            <w:r w:rsidR="000644D4" w:rsidRPr="000644D4">
              <w:t xml:space="preserve"> i</w:t>
            </w:r>
            <w:r w:rsidR="000644D4">
              <w:t> </w:t>
            </w:r>
            <w:r w:rsidR="000644D4" w:rsidRPr="000644D4">
              <w:t>8</w:t>
            </w:r>
            <w:r w:rsidRPr="000644D4">
              <w:t>c oraz art. 182 rozporządzenia (UE) nr</w:t>
            </w:r>
            <w:r w:rsidR="000644D4" w:rsidRPr="000644D4">
              <w:t> </w:t>
            </w:r>
            <w:r w:rsidRPr="000644D4">
              <w:t>575/2013</w:t>
            </w:r>
          </w:p>
        </w:tc>
      </w:tr>
      <w:tr w:rsidR="00FB3D09" w:rsidRPr="000644D4" w14:paraId="723ED349" w14:textId="77777777" w:rsidTr="00822842">
        <w:tc>
          <w:tcPr>
            <w:tcW w:w="1188" w:type="dxa"/>
          </w:tcPr>
          <w:p w14:paraId="64882817" w14:textId="77777777" w:rsidR="00FB3D09" w:rsidRPr="000644D4" w:rsidRDefault="00FB3D09" w:rsidP="00822842">
            <w:pPr>
              <w:rPr>
                <w:rFonts w:ascii="Times New Roman" w:hAnsi="Times New Roman"/>
                <w:sz w:val="24"/>
              </w:rPr>
            </w:pPr>
            <w:r w:rsidRPr="000644D4">
              <w:rPr>
                <w:rFonts w:ascii="Times New Roman" w:hAnsi="Times New Roman"/>
                <w:sz w:val="24"/>
              </w:rPr>
              <w:t>0102–0107</w:t>
            </w:r>
          </w:p>
        </w:tc>
        <w:tc>
          <w:tcPr>
            <w:tcW w:w="8843" w:type="dxa"/>
          </w:tcPr>
          <w:p w14:paraId="5676D624"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STANDARDOWE WSPÓŁCZYNNIKI KONWERSJI</w:t>
            </w:r>
          </w:p>
          <w:p w14:paraId="2802107A" w14:textId="0B362DE1" w:rsidR="00FB3D09" w:rsidRPr="000644D4" w:rsidRDefault="00FB3D09" w:rsidP="00822842">
            <w:pPr>
              <w:rPr>
                <w:rStyle w:val="InstructionsTabelleberschrift"/>
                <w:rFonts w:ascii="Times New Roman" w:hAnsi="Times New Roman"/>
                <w:sz w:val="24"/>
              </w:rPr>
            </w:pPr>
            <w:r w:rsidRPr="000644D4">
              <w:rPr>
                <w:rFonts w:ascii="Times New Roman" w:hAnsi="Times New Roman"/>
                <w:sz w:val="24"/>
              </w:rPr>
              <w:t>Art. 166 ust.</w:t>
            </w:r>
            <w:r w:rsidR="000644D4" w:rsidRPr="000644D4">
              <w:rPr>
                <w:rFonts w:ascii="Times New Roman" w:hAnsi="Times New Roman"/>
                <w:sz w:val="24"/>
              </w:rPr>
              <w:t> </w:t>
            </w:r>
            <w:r w:rsidRPr="000644D4">
              <w:rPr>
                <w:rFonts w:ascii="Times New Roman" w:hAnsi="Times New Roman"/>
                <w:sz w:val="24"/>
              </w:rPr>
              <w:t>8a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72A515B8" w14:textId="77777777" w:rsidTr="00822842">
        <w:tc>
          <w:tcPr>
            <w:tcW w:w="1188" w:type="dxa"/>
          </w:tcPr>
          <w:p w14:paraId="6F3C95D9" w14:textId="77777777" w:rsidR="00FB3D09" w:rsidRPr="000644D4" w:rsidRDefault="00FB3D09" w:rsidP="00822842">
            <w:pPr>
              <w:rPr>
                <w:rFonts w:ascii="Times New Roman" w:hAnsi="Times New Roman"/>
                <w:sz w:val="24"/>
              </w:rPr>
            </w:pPr>
            <w:r w:rsidRPr="000644D4">
              <w:rPr>
                <w:rFonts w:ascii="Times New Roman" w:hAnsi="Times New Roman"/>
                <w:sz w:val="24"/>
              </w:rPr>
              <w:t>0110</w:t>
            </w:r>
          </w:p>
        </w:tc>
        <w:tc>
          <w:tcPr>
            <w:tcW w:w="8843" w:type="dxa"/>
          </w:tcPr>
          <w:p w14:paraId="024D8944"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WARTOŚĆ EKSPOZYCJI</w:t>
            </w:r>
          </w:p>
          <w:p w14:paraId="7397AAAD" w14:textId="643FBD02" w:rsidR="00FB3D09" w:rsidRPr="000644D4" w:rsidRDefault="00FB3D09" w:rsidP="00822842">
            <w:pPr>
              <w:rPr>
                <w:rFonts w:ascii="Times New Roman" w:hAnsi="Times New Roman"/>
                <w:sz w:val="24"/>
              </w:rPr>
            </w:pPr>
            <w:r w:rsidRPr="000644D4">
              <w:rPr>
                <w:rFonts w:ascii="Times New Roman" w:hAnsi="Times New Roman"/>
                <w:sz w:val="24"/>
              </w:rPr>
              <w:lastRenderedPageBreak/>
              <w:t>Zgłasza się wartości ekspozycji określone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rozporządzenia (UE) nr</w:t>
            </w:r>
            <w:r w:rsidR="000644D4" w:rsidRPr="000644D4">
              <w:rPr>
                <w:rFonts w:ascii="Times New Roman" w:hAnsi="Times New Roman"/>
                <w:sz w:val="24"/>
              </w:rPr>
              <w:t> </w:t>
            </w:r>
            <w:r w:rsidRPr="000644D4">
              <w:rPr>
                <w:rFonts w:ascii="Times New Roman" w:hAnsi="Times New Roman"/>
                <w:sz w:val="24"/>
              </w:rPr>
              <w:t>575/2013 oraz</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230 ust. 1 zdanie drugie tego rozporządzenia.</w:t>
            </w:r>
          </w:p>
          <w:p w14:paraId="1C7B98CD" w14:textId="51C28834" w:rsidR="00FB3D09" w:rsidRPr="000644D4" w:rsidRDefault="00FB3D09" w:rsidP="00822842">
            <w:pPr>
              <w:rPr>
                <w:rFonts w:ascii="Times New Roman" w:hAnsi="Times New Roman"/>
                <w:sz w:val="24"/>
              </w:rPr>
            </w:pPr>
            <w:r w:rsidRPr="000644D4">
              <w:rPr>
                <w:rFonts w:ascii="Times New Roman" w:hAnsi="Times New Roman"/>
                <w:sz w:val="24"/>
              </w:rPr>
              <w:t>W odniesieniu do instrumentów,</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zał</w:t>
            </w:r>
            <w:r w:rsidRPr="000644D4">
              <w:rPr>
                <w:rFonts w:ascii="Times New Roman" w:hAnsi="Times New Roman"/>
                <w:sz w:val="24"/>
              </w:rPr>
              <w:t>ączniku I, niezależnie od metody wybranej przez instytucję stosuje się współczynniki konwersji kredytowej</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war</w:t>
            </w:r>
            <w:r w:rsidRPr="000644D4">
              <w:rPr>
                <w:rFonts w:ascii="Times New Roman" w:hAnsi="Times New Roman"/>
                <w:sz w:val="24"/>
              </w:rPr>
              <w:t>tości procentowe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8</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9</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p>
          <w:p w14:paraId="4CA1B4E2" w14:textId="1842D9D8" w:rsidR="00FB3D09" w:rsidRPr="000644D4" w:rsidRDefault="00FB3D09" w:rsidP="00822842">
            <w:pPr>
              <w:rPr>
                <w:rFonts w:ascii="Times New Roman" w:hAnsi="Times New Roman"/>
                <w:sz w:val="24"/>
              </w:rPr>
            </w:pPr>
            <w:r w:rsidRPr="000644D4">
              <w:rPr>
                <w:rFonts w:ascii="Times New Roman" w:hAnsi="Times New Roman"/>
                <w:sz w:val="24"/>
              </w:rPr>
              <w:t>Wartości ekspozycji dla działalności związanej</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ykiem kredytowym kontrahenta są tożsame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war</w:t>
            </w:r>
            <w:r w:rsidRPr="000644D4">
              <w:rPr>
                <w:rFonts w:ascii="Times New Roman" w:hAnsi="Times New Roman"/>
                <w:sz w:val="24"/>
              </w:rPr>
              <w:t>tościami zgłoszonymi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0130.</w:t>
            </w:r>
          </w:p>
        </w:tc>
      </w:tr>
      <w:tr w:rsidR="00FB3D09" w:rsidRPr="000644D4" w14:paraId="7E1EABB6" w14:textId="77777777" w:rsidTr="00822842">
        <w:tc>
          <w:tcPr>
            <w:tcW w:w="1188" w:type="dxa"/>
          </w:tcPr>
          <w:p w14:paraId="423F28F5"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0130</w:t>
            </w:r>
          </w:p>
        </w:tc>
        <w:tc>
          <w:tcPr>
            <w:tcW w:w="8843" w:type="dxa"/>
          </w:tcPr>
          <w:p w14:paraId="0C131540" w14:textId="2A38D152"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W tym: wynikająca</w:t>
            </w:r>
            <w:r w:rsidR="000644D4" w:rsidRPr="000644D4">
              <w:rPr>
                <w:rStyle w:val="InstructionsTabelleberschrift"/>
                <w:rFonts w:ascii="Times New Roman" w:hAnsi="Times New Roman"/>
                <w:sz w:val="24"/>
              </w:rPr>
              <w:t xml:space="preserve"> z</w:t>
            </w:r>
            <w:r w:rsidR="000644D4">
              <w:rPr>
                <w:rStyle w:val="InstructionsTabelleberschrift"/>
                <w:rFonts w:ascii="Times New Roman" w:hAnsi="Times New Roman"/>
                <w:sz w:val="24"/>
              </w:rPr>
              <w:t> </w:t>
            </w:r>
            <w:r w:rsidR="000644D4" w:rsidRPr="000644D4">
              <w:rPr>
                <w:rStyle w:val="InstructionsTabelleberschrift"/>
                <w:rFonts w:ascii="Times New Roman" w:hAnsi="Times New Roman"/>
                <w:sz w:val="24"/>
              </w:rPr>
              <w:t>ryz</w:t>
            </w:r>
            <w:r w:rsidRPr="000644D4">
              <w:rPr>
                <w:rStyle w:val="InstructionsTabelleberschrift"/>
                <w:rFonts w:ascii="Times New Roman" w:hAnsi="Times New Roman"/>
                <w:sz w:val="24"/>
              </w:rPr>
              <w:t xml:space="preserve">yka kredytowego kontrahenta </w:t>
            </w:r>
          </w:p>
          <w:p w14:paraId="5322EE59" w14:textId="19605600" w:rsidR="00FB3D09" w:rsidRPr="000644D4" w:rsidRDefault="00FB3D09" w:rsidP="00822842">
            <w:pPr>
              <w:rPr>
                <w:rFonts w:ascii="Times New Roman" w:hAnsi="Times New Roman"/>
                <w:sz w:val="24"/>
              </w:rPr>
            </w:pPr>
            <w:r w:rsidRPr="000644D4">
              <w:rPr>
                <w:rFonts w:ascii="Times New Roman" w:hAnsi="Times New Roman"/>
                <w:sz w:val="24"/>
              </w:rPr>
              <w:t>Zob. odpowiednie instrukcje dla CR SA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0210.</w:t>
            </w:r>
            <w:r w:rsidRPr="000644D4">
              <w:rPr>
                <w:rStyle w:val="InstructionsTabelleText"/>
                <w:rFonts w:ascii="Times New Roman" w:hAnsi="Times New Roman"/>
                <w:sz w:val="24"/>
              </w:rPr>
              <w:t xml:space="preserve"> </w:t>
            </w:r>
          </w:p>
        </w:tc>
      </w:tr>
      <w:tr w:rsidR="00FB3D09" w:rsidRPr="000644D4" w14:paraId="5236CDCC" w14:textId="77777777" w:rsidTr="00822842">
        <w:tc>
          <w:tcPr>
            <w:tcW w:w="1188" w:type="dxa"/>
          </w:tcPr>
          <w:p w14:paraId="79AE6E15" w14:textId="77777777" w:rsidR="00FB3D09" w:rsidRPr="000644D4" w:rsidRDefault="00FB3D09" w:rsidP="00822842">
            <w:pPr>
              <w:rPr>
                <w:rFonts w:ascii="Times New Roman" w:hAnsi="Times New Roman"/>
                <w:sz w:val="24"/>
              </w:rPr>
            </w:pPr>
            <w:r w:rsidRPr="000644D4">
              <w:rPr>
                <w:rFonts w:ascii="Times New Roman" w:hAnsi="Times New Roman"/>
                <w:sz w:val="24"/>
              </w:rPr>
              <w:t>0140</w:t>
            </w:r>
          </w:p>
        </w:tc>
        <w:tc>
          <w:tcPr>
            <w:tcW w:w="8843" w:type="dxa"/>
          </w:tcPr>
          <w:p w14:paraId="33C21D55"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 TYM: DUŻE PODMIOTY SEKTORA FINANSOWEGO ORAZ NIEREGULOWANE PODMIOTY FINANSOWE</w:t>
            </w:r>
          </w:p>
          <w:p w14:paraId="38EC098A" w14:textId="022BEEB0" w:rsidR="00FB3D09" w:rsidRPr="000644D4" w:rsidRDefault="00FB3D09" w:rsidP="00822842">
            <w:pPr>
              <w:rPr>
                <w:rFonts w:ascii="Times New Roman" w:hAnsi="Times New Roman"/>
                <w:b/>
                <w:sz w:val="24"/>
                <w:u w:val="single"/>
              </w:rPr>
            </w:pPr>
            <w:r w:rsidRPr="000644D4">
              <w:rPr>
                <w:rFonts w:ascii="Times New Roman" w:hAnsi="Times New Roman"/>
                <w:sz w:val="24"/>
              </w:rPr>
              <w:t>Podział wartości ekspozycji dla wszystkich ekspozycji wobec podmiotów,</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142 ust. 1 pkt</w:t>
            </w:r>
            <w:r w:rsidR="000644D4" w:rsidRPr="000644D4">
              <w:rPr>
                <w:rFonts w:ascii="Times New Roman" w:hAnsi="Times New Roman"/>
                <w:sz w:val="24"/>
              </w:rPr>
              <w:t> </w:t>
            </w:r>
            <w:r w:rsidRPr="000644D4">
              <w:rPr>
                <w:rFonts w:ascii="Times New Roman" w:hAnsi="Times New Roman"/>
                <w:sz w:val="24"/>
              </w:rPr>
              <w:t>4</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zas</w:t>
            </w:r>
            <w:r w:rsidRPr="000644D4">
              <w:rPr>
                <w:rFonts w:ascii="Times New Roman" w:hAnsi="Times New Roman"/>
                <w:sz w:val="24"/>
              </w:rPr>
              <w:t>trzeżeniem wyższego współczynnika korelacji określonego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2 tego rozporządzenia.</w:t>
            </w:r>
          </w:p>
        </w:tc>
      </w:tr>
      <w:tr w:rsidR="00FB3D09" w:rsidRPr="000644D4" w14:paraId="5C3F07BE" w14:textId="77777777" w:rsidTr="00822842">
        <w:trPr>
          <w:trHeight w:val="708"/>
        </w:trPr>
        <w:tc>
          <w:tcPr>
            <w:tcW w:w="1188" w:type="dxa"/>
          </w:tcPr>
          <w:p w14:paraId="1B81DCB5" w14:textId="77777777" w:rsidR="00FB3D09" w:rsidRPr="000644D4" w:rsidDel="001D4BE0" w:rsidRDefault="00FB3D09" w:rsidP="00822842">
            <w:pPr>
              <w:rPr>
                <w:rFonts w:ascii="Times New Roman" w:hAnsi="Times New Roman"/>
                <w:sz w:val="24"/>
              </w:rPr>
            </w:pPr>
            <w:r w:rsidRPr="000644D4">
              <w:rPr>
                <w:rFonts w:ascii="Times New Roman" w:hAnsi="Times New Roman"/>
                <w:sz w:val="24"/>
              </w:rPr>
              <w:t>0150–0210</w:t>
            </w:r>
          </w:p>
        </w:tc>
        <w:tc>
          <w:tcPr>
            <w:tcW w:w="8843" w:type="dxa"/>
          </w:tcPr>
          <w:p w14:paraId="5FFCDE2C" w14:textId="37F1BD92"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xml:space="preserve">TECHNIKI OGRANICZANIA RYZYKA KREDYTOWEGO UWZGLĘDNIANE W OSZACOWANIACH LGD </w:t>
            </w:r>
          </w:p>
          <w:p w14:paraId="02E436B3" w14:textId="762FD479" w:rsidR="00FB3D09" w:rsidRPr="000644D4" w:rsidRDefault="00FB3D09" w:rsidP="00822842">
            <w:pPr>
              <w:rPr>
                <w:rFonts w:ascii="Times New Roman" w:hAnsi="Times New Roman"/>
                <w:sz w:val="24"/>
              </w:rPr>
            </w:pPr>
            <w:r w:rsidRPr="000644D4">
              <w:rPr>
                <w:rFonts w:ascii="Times New Roman" w:hAnsi="Times New Roman"/>
                <w:sz w:val="24"/>
              </w:rPr>
              <w:t>W kolumnach tych nie ujmuje się technik ograniczania ryzyka kredytowego, które mają wpływ na oszacowania LGD</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wyn</w:t>
            </w:r>
            <w:r w:rsidRPr="000644D4">
              <w:rPr>
                <w:rFonts w:ascii="Times New Roman" w:hAnsi="Times New Roman"/>
                <w:sz w:val="24"/>
              </w:rPr>
              <w:t>iku efektu substytucyjnego tych technik.</w:t>
            </w:r>
          </w:p>
          <w:p w14:paraId="0813160C" w14:textId="77777777" w:rsidR="00FB3D09" w:rsidRPr="000644D4" w:rsidRDefault="00FB3D09" w:rsidP="00822842">
            <w:pPr>
              <w:rPr>
                <w:rFonts w:ascii="Times New Roman" w:hAnsi="Times New Roman"/>
                <w:sz w:val="24"/>
              </w:rPr>
            </w:pPr>
            <w:r w:rsidRPr="000644D4">
              <w:rPr>
                <w:rFonts w:ascii="Times New Roman" w:hAnsi="Times New Roman"/>
                <w:sz w:val="24"/>
              </w:rPr>
              <w:t>Zgłoszone wartości zabezpieczenia są ograniczone do wartości ekspozycji.</w:t>
            </w:r>
          </w:p>
          <w:p w14:paraId="5F41737F" w14:textId="34589018" w:rsidR="00FB3D09" w:rsidRPr="000644D4" w:rsidRDefault="00FB3D09" w:rsidP="00822842">
            <w:pPr>
              <w:rPr>
                <w:rFonts w:ascii="Times New Roman" w:hAnsi="Times New Roman"/>
                <w:sz w:val="24"/>
              </w:rPr>
            </w:pPr>
            <w:r w:rsidRPr="000644D4">
              <w:rPr>
                <w:rFonts w:ascii="Times New Roman" w:hAnsi="Times New Roman"/>
                <w:sz w:val="24"/>
              </w:rPr>
              <w:t>W przypadku niestosowania własnych oszacowań LGD uwzględnia się art. 230 ust. 1. 2</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4</w:t>
            </w:r>
            <w:r w:rsidRPr="000644D4">
              <w:rPr>
                <w:rFonts w:ascii="Times New Roman" w:hAnsi="Times New Roman"/>
                <w:sz w:val="24"/>
              </w:rPr>
              <w:t xml:space="preserve"> oraz art. 231 rozporządzenia (UE) nr</w:t>
            </w:r>
            <w:r w:rsidR="000644D4" w:rsidRPr="000644D4">
              <w:rPr>
                <w:rFonts w:ascii="Times New Roman" w:hAnsi="Times New Roman"/>
                <w:sz w:val="24"/>
              </w:rPr>
              <w:t> </w:t>
            </w:r>
            <w:r w:rsidRPr="000644D4">
              <w:rPr>
                <w:rFonts w:ascii="Times New Roman" w:hAnsi="Times New Roman"/>
                <w:sz w:val="24"/>
              </w:rPr>
              <w:t>575/2013.</w:t>
            </w:r>
          </w:p>
          <w:p w14:paraId="6CF8B541" w14:textId="77777777" w:rsidR="00FB3D09" w:rsidRPr="000644D4" w:rsidRDefault="00FB3D09" w:rsidP="00822842">
            <w:pPr>
              <w:rPr>
                <w:rFonts w:ascii="Times New Roman" w:hAnsi="Times New Roman"/>
                <w:sz w:val="24"/>
              </w:rPr>
            </w:pPr>
            <w:r w:rsidRPr="000644D4">
              <w:rPr>
                <w:rFonts w:ascii="Times New Roman" w:hAnsi="Times New Roman"/>
                <w:sz w:val="24"/>
              </w:rPr>
              <w:t xml:space="preserve">W przypadku stosowania własnych oszacowań LGD: </w:t>
            </w:r>
          </w:p>
          <w:p w14:paraId="1C4E5F46" w14:textId="11770644" w:rsidR="00FB3D09" w:rsidRPr="000644D4" w:rsidRDefault="00FB3D09" w:rsidP="00822842">
            <w:pPr>
              <w:rPr>
                <w:rFonts w:ascii="Times New Roman" w:hAnsi="Times New Roman"/>
                <w:sz w:val="24"/>
              </w:rPr>
            </w:pPr>
            <w:r w:rsidRPr="000644D4">
              <w:rPr>
                <w:rFonts w:ascii="Times New Roman" w:hAnsi="Times New Roman"/>
                <w:sz w:val="24"/>
              </w:rPr>
              <w:t>– jeśli chodzi</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och</w:t>
            </w:r>
            <w:r w:rsidRPr="000644D4">
              <w:rPr>
                <w:rFonts w:ascii="Times New Roman" w:hAnsi="Times New Roman"/>
                <w:sz w:val="24"/>
              </w:rPr>
              <w:t>ronę kredytową nierzeczywistą,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wobec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ków centralnych, instytucji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edsiębiorstw uwzględnia się art. 161 ust. 3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detalicznych uwzględnia się art. 164 ust. 2 rozporządzenia (UE) nr</w:t>
            </w:r>
            <w:r w:rsidR="000644D4" w:rsidRPr="000644D4">
              <w:rPr>
                <w:rFonts w:ascii="Times New Roman" w:hAnsi="Times New Roman"/>
                <w:sz w:val="24"/>
              </w:rPr>
              <w:t> </w:t>
            </w:r>
            <w:r w:rsidRPr="000644D4">
              <w:rPr>
                <w:rFonts w:ascii="Times New Roman" w:hAnsi="Times New Roman"/>
                <w:sz w:val="24"/>
              </w:rPr>
              <w:t>575/2013.</w:t>
            </w:r>
          </w:p>
          <w:p w14:paraId="05A9C033" w14:textId="2324A2A0" w:rsidR="00FB3D09" w:rsidRPr="000644D4" w:rsidRDefault="00FB3D09" w:rsidP="00822842">
            <w:pPr>
              <w:rPr>
                <w:rFonts w:ascii="Times New Roman" w:hAnsi="Times New Roman"/>
                <w:b/>
                <w:sz w:val="24"/>
                <w:u w:val="single"/>
              </w:rPr>
            </w:pPr>
            <w:r w:rsidRPr="000644D4">
              <w:rPr>
                <w:rFonts w:ascii="Times New Roman" w:hAnsi="Times New Roman"/>
                <w:sz w:val="24"/>
              </w:rPr>
              <w:t>– jeśli chodzi</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och</w:t>
            </w:r>
            <w:r w:rsidRPr="000644D4">
              <w:rPr>
                <w:rFonts w:ascii="Times New Roman" w:hAnsi="Times New Roman"/>
                <w:sz w:val="24"/>
              </w:rPr>
              <w:t>ronę kredytową rzeczywistą, zabezpieczenie uwzględnia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osz</w:t>
            </w:r>
            <w:r w:rsidRPr="000644D4">
              <w:rPr>
                <w:rFonts w:ascii="Times New Roman" w:hAnsi="Times New Roman"/>
                <w:sz w:val="24"/>
              </w:rPr>
              <w:t>acowaniach 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181 ust. 1 lit. e) i f)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4CC8BF71" w14:textId="77777777" w:rsidTr="00822842">
        <w:trPr>
          <w:trHeight w:val="957"/>
        </w:trPr>
        <w:tc>
          <w:tcPr>
            <w:tcW w:w="1188" w:type="dxa"/>
          </w:tcPr>
          <w:p w14:paraId="7918EC18" w14:textId="77777777" w:rsidR="00FB3D09" w:rsidRPr="000644D4" w:rsidRDefault="00FB3D09" w:rsidP="00822842">
            <w:pPr>
              <w:rPr>
                <w:rFonts w:ascii="Times New Roman" w:hAnsi="Times New Roman"/>
                <w:sz w:val="24"/>
              </w:rPr>
            </w:pPr>
            <w:r w:rsidRPr="000644D4">
              <w:rPr>
                <w:rFonts w:ascii="Times New Roman" w:hAnsi="Times New Roman"/>
                <w:sz w:val="24"/>
              </w:rPr>
              <w:t>0150</w:t>
            </w:r>
          </w:p>
        </w:tc>
        <w:tc>
          <w:tcPr>
            <w:tcW w:w="8843" w:type="dxa"/>
          </w:tcPr>
          <w:p w14:paraId="4C26606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xml:space="preserve">GWARANCJE </w:t>
            </w:r>
          </w:p>
          <w:p w14:paraId="774C7F9E" w14:textId="77777777" w:rsidR="00FB3D09" w:rsidRPr="000644D4" w:rsidRDefault="00FB3D09" w:rsidP="00822842">
            <w:pPr>
              <w:jc w:val="left"/>
              <w:rPr>
                <w:rFonts w:ascii="Times New Roman" w:hAnsi="Times New Roman"/>
                <w:b/>
                <w:sz w:val="24"/>
                <w:u w:val="single"/>
              </w:rPr>
            </w:pPr>
            <w:r w:rsidRPr="000644D4">
              <w:rPr>
                <w:rFonts w:ascii="Times New Roman" w:hAnsi="Times New Roman"/>
                <w:sz w:val="24"/>
              </w:rPr>
              <w:t>Zob. instrukcje dla kolumny 0040.</w:t>
            </w:r>
          </w:p>
        </w:tc>
      </w:tr>
      <w:tr w:rsidR="00FB3D09" w:rsidRPr="000644D4" w14:paraId="052C8B55" w14:textId="77777777" w:rsidTr="00822842">
        <w:tc>
          <w:tcPr>
            <w:tcW w:w="1188" w:type="dxa"/>
          </w:tcPr>
          <w:p w14:paraId="4C653362" w14:textId="77777777" w:rsidR="00FB3D09" w:rsidRPr="000644D4" w:rsidRDefault="00FB3D09" w:rsidP="00822842">
            <w:pPr>
              <w:rPr>
                <w:rFonts w:ascii="Times New Roman" w:hAnsi="Times New Roman"/>
                <w:sz w:val="24"/>
              </w:rPr>
            </w:pPr>
            <w:r w:rsidRPr="000644D4">
              <w:rPr>
                <w:rFonts w:ascii="Times New Roman" w:hAnsi="Times New Roman"/>
                <w:sz w:val="24"/>
              </w:rPr>
              <w:t>0160</w:t>
            </w:r>
          </w:p>
        </w:tc>
        <w:tc>
          <w:tcPr>
            <w:tcW w:w="8843" w:type="dxa"/>
          </w:tcPr>
          <w:p w14:paraId="61710E9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xml:space="preserve">KREDYTOWE INSTRUMENTY POCHODNE </w:t>
            </w:r>
          </w:p>
          <w:p w14:paraId="4948B3F5"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dla kolumny 0050.</w:t>
            </w:r>
          </w:p>
        </w:tc>
      </w:tr>
      <w:tr w:rsidR="00FB3D09" w:rsidRPr="000644D4" w14:paraId="66ECA0F4" w14:textId="77777777" w:rsidTr="00822842">
        <w:trPr>
          <w:trHeight w:val="300"/>
        </w:trPr>
        <w:tc>
          <w:tcPr>
            <w:tcW w:w="1188" w:type="dxa"/>
          </w:tcPr>
          <w:p w14:paraId="18EA00BE" w14:textId="77777777" w:rsidR="00FB3D09" w:rsidRPr="000644D4" w:rsidRDefault="00FB3D09" w:rsidP="00822842">
            <w:pPr>
              <w:rPr>
                <w:rFonts w:ascii="Times New Roman" w:hAnsi="Times New Roman"/>
                <w:sz w:val="24"/>
              </w:rPr>
            </w:pPr>
            <w:r w:rsidRPr="000644D4">
              <w:rPr>
                <w:rFonts w:ascii="Times New Roman" w:hAnsi="Times New Roman"/>
                <w:sz w:val="24"/>
              </w:rPr>
              <w:t>0170–0210</w:t>
            </w:r>
          </w:p>
        </w:tc>
        <w:tc>
          <w:tcPr>
            <w:tcW w:w="8843" w:type="dxa"/>
          </w:tcPr>
          <w:p w14:paraId="642B29BA" w14:textId="77777777" w:rsidR="00FB3D09" w:rsidRPr="000644D4" w:rsidRDefault="00FB3D09" w:rsidP="00822842">
            <w:pPr>
              <w:rPr>
                <w:rFonts w:ascii="Times New Roman" w:hAnsi="Times New Roman"/>
                <w:b/>
                <w:bCs/>
                <w:sz w:val="24"/>
                <w:u w:val="single"/>
              </w:rPr>
            </w:pPr>
            <w:r w:rsidRPr="000644D4">
              <w:rPr>
                <w:rFonts w:ascii="Times New Roman" w:hAnsi="Times New Roman"/>
                <w:b/>
                <w:sz w:val="24"/>
                <w:u w:val="single"/>
              </w:rPr>
              <w:t>OCHRONA KREDYTOWA RZECZYWISTA</w:t>
            </w:r>
          </w:p>
        </w:tc>
      </w:tr>
      <w:tr w:rsidR="00FB3D09" w:rsidRPr="000644D4" w14:paraId="4AF255C0" w14:textId="77777777" w:rsidTr="00822842">
        <w:tc>
          <w:tcPr>
            <w:tcW w:w="1188" w:type="dxa"/>
          </w:tcPr>
          <w:p w14:paraId="1EE7AF6C" w14:textId="77777777" w:rsidR="00FB3D09" w:rsidRPr="000644D4" w:rsidRDefault="00FB3D09" w:rsidP="00822842">
            <w:pPr>
              <w:rPr>
                <w:rFonts w:ascii="Times New Roman" w:hAnsi="Times New Roman"/>
                <w:sz w:val="24"/>
              </w:rPr>
            </w:pPr>
            <w:r w:rsidRPr="000644D4">
              <w:rPr>
                <w:rFonts w:ascii="Times New Roman" w:hAnsi="Times New Roman"/>
                <w:sz w:val="24"/>
              </w:rPr>
              <w:t>0170–0173</w:t>
            </w:r>
          </w:p>
        </w:tc>
        <w:tc>
          <w:tcPr>
            <w:tcW w:w="8843" w:type="dxa"/>
          </w:tcPr>
          <w:p w14:paraId="39418299"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xml:space="preserve">ZASTOSOWANE WŁASNE OSZACOWANIA LGD: INNE RODZAJE OCHRONY KREDYTOWEJ RZECZYWISTEJ </w:t>
            </w:r>
          </w:p>
          <w:p w14:paraId="213C028C" w14:textId="23DBB890"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lastRenderedPageBreak/>
              <w:t>Art. 181 lit.</w:t>
            </w:r>
            <w:r w:rsidR="000644D4" w:rsidRPr="000644D4">
              <w:rPr>
                <w:rStyle w:val="InstructionsTabelleText"/>
                <w:rFonts w:ascii="Times New Roman" w:hAnsi="Times New Roman"/>
                <w:sz w:val="24"/>
              </w:rPr>
              <w:t> </w:t>
            </w:r>
            <w:r w:rsidRPr="000644D4">
              <w:rPr>
                <w:rStyle w:val="InstructionsTabelleText"/>
                <w:rFonts w:ascii="Times New Roman" w:hAnsi="Times New Roman"/>
                <w:sz w:val="24"/>
              </w:rPr>
              <w:t>e) i f) rozporządzenia (UE) nr</w:t>
            </w:r>
            <w:r w:rsidR="000644D4" w:rsidRPr="000644D4">
              <w:rPr>
                <w:rStyle w:val="InstructionsTabelleText"/>
                <w:rFonts w:ascii="Times New Roman" w:hAnsi="Times New Roman"/>
                <w:sz w:val="24"/>
              </w:rPr>
              <w:t> </w:t>
            </w:r>
            <w:r w:rsidRPr="000644D4">
              <w:rPr>
                <w:rStyle w:val="InstructionsTabelleText"/>
                <w:rFonts w:ascii="Times New Roman" w:hAnsi="Times New Roman"/>
                <w:sz w:val="24"/>
              </w:rPr>
              <w:t>575/2013</w:t>
            </w:r>
          </w:p>
          <w:p w14:paraId="163A7BF8" w14:textId="343194D9"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Odpowiednia wartość wykorzystana</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mod</w:t>
            </w:r>
            <w:r w:rsidRPr="000644D4">
              <w:rPr>
                <w:rStyle w:val="InstructionsTabelleText"/>
                <w:rFonts w:ascii="Times New Roman" w:hAnsi="Times New Roman"/>
                <w:sz w:val="24"/>
              </w:rPr>
              <w:t>elu wewnętrznym instytucji.</w:t>
            </w:r>
          </w:p>
          <w:p w14:paraId="5CB29B07" w14:textId="06D0DDA0" w:rsidR="00FB3D09" w:rsidRPr="000644D4" w:rsidRDefault="00FB3D09" w:rsidP="00822842">
            <w:pPr>
              <w:rPr>
                <w:rFonts w:ascii="Times New Roman" w:hAnsi="Times New Roman"/>
                <w:sz w:val="24"/>
              </w:rPr>
            </w:pPr>
            <w:r w:rsidRPr="000644D4">
              <w:rPr>
                <w:rFonts w:ascii="Times New Roman" w:hAnsi="Times New Roman"/>
                <w:sz w:val="24"/>
              </w:rPr>
              <w:t>Środki ograniczania ryzyka kredytowego, które są zgodne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kry</w:t>
            </w:r>
            <w:r w:rsidRPr="000644D4">
              <w:rPr>
                <w:rFonts w:ascii="Times New Roman" w:hAnsi="Times New Roman"/>
                <w:sz w:val="24"/>
              </w:rPr>
              <w:t>teriami określonymi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212 rozporządzenia (UE) nr</w:t>
            </w:r>
            <w:r w:rsidR="000644D4" w:rsidRPr="000644D4">
              <w:rPr>
                <w:rFonts w:ascii="Times New Roman" w:hAnsi="Times New Roman"/>
                <w:sz w:val="24"/>
              </w:rPr>
              <w:t> </w:t>
            </w:r>
            <w:r w:rsidRPr="000644D4">
              <w:rPr>
                <w:rFonts w:ascii="Times New Roman" w:hAnsi="Times New Roman"/>
                <w:sz w:val="24"/>
              </w:rPr>
              <w:t xml:space="preserve">575/2013. </w:t>
            </w:r>
          </w:p>
        </w:tc>
      </w:tr>
      <w:tr w:rsidR="00FB3D09" w:rsidRPr="000644D4" w14:paraId="75F84050" w14:textId="77777777" w:rsidTr="00822842">
        <w:tc>
          <w:tcPr>
            <w:tcW w:w="1188" w:type="dxa"/>
          </w:tcPr>
          <w:p w14:paraId="4DD08A67"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0171</w:t>
            </w:r>
          </w:p>
        </w:tc>
        <w:tc>
          <w:tcPr>
            <w:tcW w:w="8843" w:type="dxa"/>
          </w:tcPr>
          <w:p w14:paraId="545A819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ZDEPONOWANE ŚRODKI PIENIĘŻNE</w:t>
            </w:r>
          </w:p>
          <w:p w14:paraId="2F2A2E1C" w14:textId="572551AE" w:rsidR="00FB3D09" w:rsidRPr="000644D4" w:rsidRDefault="00FB3D09" w:rsidP="00822842">
            <w:pPr>
              <w:rPr>
                <w:rFonts w:ascii="Times New Roman" w:hAnsi="Times New Roman"/>
                <w:sz w:val="24"/>
              </w:rPr>
            </w:pPr>
            <w:r w:rsidRPr="000644D4">
              <w:rPr>
                <w:rFonts w:ascii="Times New Roman" w:hAnsi="Times New Roman"/>
                <w:sz w:val="24"/>
              </w:rPr>
              <w:t>Art. 200 lit.</w:t>
            </w:r>
            <w:r w:rsidR="000644D4" w:rsidRPr="000644D4">
              <w:rPr>
                <w:rFonts w:ascii="Times New Roman" w:hAnsi="Times New Roman"/>
                <w:sz w:val="24"/>
              </w:rPr>
              <w:t> </w:t>
            </w:r>
            <w:r w:rsidRPr="000644D4">
              <w:rPr>
                <w:rFonts w:ascii="Times New Roman" w:hAnsi="Times New Roman"/>
                <w:sz w:val="24"/>
              </w:rPr>
              <w:t>a)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0037C11E" w14:textId="529E0CF3" w:rsidR="00FB3D09" w:rsidRPr="000644D4" w:rsidRDefault="00FB3D09" w:rsidP="00822842">
            <w:pPr>
              <w:rPr>
                <w:rFonts w:ascii="Times New Roman" w:hAnsi="Times New Roman"/>
                <w:b/>
                <w:sz w:val="24"/>
                <w:u w:val="single"/>
              </w:rPr>
            </w:pPr>
            <w:r w:rsidRPr="000644D4">
              <w:rPr>
                <w:rFonts w:ascii="Times New Roman" w:hAnsi="Times New Roman"/>
                <w:sz w:val="24"/>
              </w:rPr>
              <w:t>Środki pieniężne zdeponowane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ins</w:t>
            </w:r>
            <w:r w:rsidRPr="000644D4">
              <w:rPr>
                <w:rFonts w:ascii="Times New Roman" w:hAnsi="Times New Roman"/>
                <w:sz w:val="24"/>
              </w:rPr>
              <w:t>tytucji będącej osobą trzecią lub bankowe instrumenty pieniężne utrzymywane przez instytucję będącą osobą trzecią nietrzymane na powierniczym rachunku zastrzeżonym</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zas</w:t>
            </w:r>
            <w:r w:rsidRPr="000644D4">
              <w:rPr>
                <w:rFonts w:ascii="Times New Roman" w:hAnsi="Times New Roman"/>
                <w:sz w:val="24"/>
              </w:rPr>
              <w:t>tawione na rzecz instytucji kredytującej. Wartość zgłaszanego zabezpieczenia ogranicza się do wartości ekspozycji na poziomie indywidualnej ekspozycji.</w:t>
            </w:r>
          </w:p>
        </w:tc>
      </w:tr>
      <w:tr w:rsidR="00FB3D09" w:rsidRPr="000644D4" w14:paraId="6605DFE4" w14:textId="77777777" w:rsidTr="00822842">
        <w:tc>
          <w:tcPr>
            <w:tcW w:w="1188" w:type="dxa"/>
          </w:tcPr>
          <w:p w14:paraId="4FC8218B" w14:textId="77777777" w:rsidR="00FB3D09" w:rsidRPr="000644D4" w:rsidRDefault="00FB3D09" w:rsidP="00822842">
            <w:pPr>
              <w:rPr>
                <w:rFonts w:ascii="Times New Roman" w:hAnsi="Times New Roman"/>
                <w:sz w:val="24"/>
              </w:rPr>
            </w:pPr>
            <w:r w:rsidRPr="000644D4">
              <w:rPr>
                <w:rFonts w:ascii="Times New Roman" w:hAnsi="Times New Roman"/>
                <w:sz w:val="24"/>
              </w:rPr>
              <w:t>0172</w:t>
            </w:r>
          </w:p>
        </w:tc>
        <w:tc>
          <w:tcPr>
            <w:tcW w:w="8843" w:type="dxa"/>
          </w:tcPr>
          <w:p w14:paraId="4BBBA9B0"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POLISY UBEZPIECZENIOWE NA ŻYCIE</w:t>
            </w:r>
          </w:p>
          <w:p w14:paraId="796996C2" w14:textId="2431E6B4" w:rsidR="00FB3D09" w:rsidRPr="000644D4" w:rsidRDefault="00FB3D09" w:rsidP="00822842">
            <w:pPr>
              <w:rPr>
                <w:rFonts w:ascii="Times New Roman" w:hAnsi="Times New Roman"/>
                <w:sz w:val="24"/>
              </w:rPr>
            </w:pPr>
            <w:r w:rsidRPr="000644D4">
              <w:rPr>
                <w:rFonts w:ascii="Times New Roman" w:hAnsi="Times New Roman"/>
                <w:sz w:val="24"/>
              </w:rPr>
              <w:t>Art. 200 lit.</w:t>
            </w:r>
            <w:r w:rsidR="000644D4" w:rsidRPr="000644D4">
              <w:rPr>
                <w:rFonts w:ascii="Times New Roman" w:hAnsi="Times New Roman"/>
                <w:sz w:val="24"/>
              </w:rPr>
              <w:t> </w:t>
            </w:r>
            <w:r w:rsidRPr="000644D4">
              <w:rPr>
                <w:rFonts w:ascii="Times New Roman" w:hAnsi="Times New Roman"/>
                <w:sz w:val="24"/>
              </w:rPr>
              <w:t>b)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62C977CD" w14:textId="77777777" w:rsidR="00FB3D09" w:rsidRPr="000644D4" w:rsidRDefault="00FB3D09" w:rsidP="00822842">
            <w:pPr>
              <w:rPr>
                <w:rFonts w:ascii="Times New Roman" w:hAnsi="Times New Roman"/>
                <w:b/>
                <w:sz w:val="24"/>
                <w:u w:val="single"/>
              </w:rPr>
            </w:pPr>
            <w:r w:rsidRPr="000644D4">
              <w:rPr>
                <w:rFonts w:ascii="Times New Roman" w:hAnsi="Times New Roman"/>
                <w:sz w:val="24"/>
              </w:rPr>
              <w:t>Wartość zgłaszanego zabezpieczenia ogranicza się do wartości ekspozycji na poziomie indywidualnej ekspozycji.</w:t>
            </w:r>
          </w:p>
        </w:tc>
      </w:tr>
      <w:tr w:rsidR="00FB3D09" w:rsidRPr="000644D4" w14:paraId="12F298DE" w14:textId="77777777" w:rsidTr="00822842">
        <w:tc>
          <w:tcPr>
            <w:tcW w:w="1188" w:type="dxa"/>
          </w:tcPr>
          <w:p w14:paraId="0A6B27AA" w14:textId="77777777" w:rsidR="00FB3D09" w:rsidRPr="000644D4" w:rsidRDefault="00FB3D09" w:rsidP="00822842">
            <w:pPr>
              <w:rPr>
                <w:rFonts w:ascii="Times New Roman" w:hAnsi="Times New Roman"/>
                <w:sz w:val="24"/>
              </w:rPr>
            </w:pPr>
            <w:r w:rsidRPr="000644D4">
              <w:rPr>
                <w:rFonts w:ascii="Times New Roman" w:hAnsi="Times New Roman"/>
                <w:sz w:val="24"/>
              </w:rPr>
              <w:t>0173</w:t>
            </w:r>
          </w:p>
        </w:tc>
        <w:tc>
          <w:tcPr>
            <w:tcW w:w="8843" w:type="dxa"/>
          </w:tcPr>
          <w:p w14:paraId="4BDD659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INSTRUMENTY BĘDĄCE W POSIADANIU OSOBY TRZECIEJ</w:t>
            </w:r>
          </w:p>
          <w:p w14:paraId="078E7074" w14:textId="26840104" w:rsidR="00FB3D09" w:rsidRPr="000644D4" w:rsidRDefault="00FB3D09" w:rsidP="00822842">
            <w:pPr>
              <w:rPr>
                <w:rFonts w:ascii="Times New Roman" w:hAnsi="Times New Roman"/>
                <w:sz w:val="24"/>
              </w:rPr>
            </w:pPr>
            <w:r w:rsidRPr="000644D4">
              <w:rPr>
                <w:rFonts w:ascii="Times New Roman" w:hAnsi="Times New Roman"/>
                <w:sz w:val="24"/>
              </w:rPr>
              <w:t>Art. 200 lit.</w:t>
            </w:r>
            <w:r w:rsidR="000644D4" w:rsidRPr="000644D4">
              <w:rPr>
                <w:rFonts w:ascii="Times New Roman" w:hAnsi="Times New Roman"/>
                <w:sz w:val="24"/>
              </w:rPr>
              <w:t> </w:t>
            </w:r>
            <w:r w:rsidRPr="000644D4">
              <w:rPr>
                <w:rFonts w:ascii="Times New Roman" w:hAnsi="Times New Roman"/>
                <w:sz w:val="24"/>
              </w:rPr>
              <w:t>c)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7E7CC085" w14:textId="0F86B4B4" w:rsidR="00FB3D09" w:rsidRPr="000644D4" w:rsidRDefault="00FB3D09" w:rsidP="00822842">
            <w:pPr>
              <w:rPr>
                <w:rFonts w:ascii="Times New Roman" w:hAnsi="Times New Roman"/>
                <w:b/>
                <w:sz w:val="24"/>
                <w:u w:val="single"/>
              </w:rPr>
            </w:pPr>
            <w:r w:rsidRPr="000644D4">
              <w:rPr>
                <w:rFonts w:ascii="Times New Roman" w:hAnsi="Times New Roman"/>
                <w:sz w:val="24"/>
              </w:rPr>
              <w:t>Obejmuje to instrumenty emitowane przez instytucję będącą osobą trzecią, które podlegają wykupowi przez tę instytucję na żądanie. Wartość zgłaszanego zabezpieczenia ogranicza się do wartości ekspozycji na poziomie indywidualnej ekspozycji</w:t>
            </w:r>
            <w:r w:rsidR="000644D4" w:rsidRPr="000644D4">
              <w:rPr>
                <w:rFonts w:ascii="Times New Roman" w:hAnsi="Times New Roman"/>
                <w:sz w:val="24"/>
              </w:rPr>
              <w:t>. Z</w:t>
            </w:r>
            <w:r w:rsidR="000644D4">
              <w:rPr>
                <w:rFonts w:ascii="Times New Roman" w:hAnsi="Times New Roman"/>
                <w:sz w:val="24"/>
              </w:rPr>
              <w:t> </w:t>
            </w:r>
            <w:r w:rsidR="000644D4" w:rsidRPr="000644D4">
              <w:rPr>
                <w:rFonts w:ascii="Times New Roman" w:hAnsi="Times New Roman"/>
                <w:sz w:val="24"/>
              </w:rPr>
              <w:t>tej</w:t>
            </w:r>
            <w:r w:rsidRPr="000644D4">
              <w:rPr>
                <w:rFonts w:ascii="Times New Roman" w:hAnsi="Times New Roman"/>
                <w:sz w:val="24"/>
              </w:rPr>
              <w:t xml:space="preserve"> kolumny należy wyłączyć ekspozycje objęte instrumentami będącymi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pos</w:t>
            </w:r>
            <w:r w:rsidRPr="000644D4">
              <w:rPr>
                <w:rFonts w:ascii="Times New Roman" w:hAnsi="Times New Roman"/>
                <w:sz w:val="24"/>
              </w:rPr>
              <w:t>iadaniu osoby trzeciej, jeżeli –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232 ust. 4 rozporządzenia (UE) nr</w:t>
            </w:r>
            <w:r w:rsidR="000644D4" w:rsidRPr="000644D4">
              <w:rPr>
                <w:rFonts w:ascii="Times New Roman" w:hAnsi="Times New Roman"/>
                <w:sz w:val="24"/>
              </w:rPr>
              <w:t> </w:t>
            </w:r>
            <w:r w:rsidRPr="000644D4">
              <w:rPr>
                <w:rFonts w:ascii="Times New Roman" w:hAnsi="Times New Roman"/>
                <w:sz w:val="24"/>
              </w:rPr>
              <w:t>575/2013 – instytucje traktują instrumenty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opc</w:t>
            </w:r>
            <w:r w:rsidRPr="000644D4">
              <w:rPr>
                <w:rFonts w:ascii="Times New Roman" w:hAnsi="Times New Roman"/>
                <w:sz w:val="24"/>
              </w:rPr>
              <w:t>ją wykupu na żądanie, uznane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200 lit. c) tego rozporządzenia, jako gwarancję udzieloną przez instytucję emitującą.</w:t>
            </w:r>
          </w:p>
        </w:tc>
      </w:tr>
      <w:tr w:rsidR="00FB3D09" w:rsidRPr="000644D4" w14:paraId="7F635CD0" w14:textId="77777777" w:rsidTr="00822842">
        <w:tc>
          <w:tcPr>
            <w:tcW w:w="1188" w:type="dxa"/>
          </w:tcPr>
          <w:p w14:paraId="7FDF3B82" w14:textId="77777777" w:rsidR="00FB3D09" w:rsidRPr="000644D4" w:rsidRDefault="00FB3D09" w:rsidP="00822842">
            <w:pPr>
              <w:rPr>
                <w:rFonts w:ascii="Times New Roman" w:hAnsi="Times New Roman"/>
                <w:sz w:val="24"/>
              </w:rPr>
            </w:pPr>
            <w:r w:rsidRPr="000644D4">
              <w:rPr>
                <w:rFonts w:ascii="Times New Roman" w:hAnsi="Times New Roman"/>
                <w:sz w:val="24"/>
              </w:rPr>
              <w:t>0180</w:t>
            </w:r>
          </w:p>
        </w:tc>
        <w:tc>
          <w:tcPr>
            <w:tcW w:w="8843" w:type="dxa"/>
          </w:tcPr>
          <w:p w14:paraId="31FAF9A4"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UZNANE ZABEZPIECZENIE FINANSOWE</w:t>
            </w:r>
          </w:p>
          <w:p w14:paraId="0447D589" w14:textId="3B13DB5B" w:rsidR="00FB3D09" w:rsidRPr="000644D4" w:rsidRDefault="00FB3D09" w:rsidP="00822842">
            <w:pPr>
              <w:rPr>
                <w:rFonts w:ascii="Times New Roman" w:hAnsi="Times New Roman"/>
                <w:sz w:val="24"/>
              </w:rPr>
            </w:pPr>
            <w:r w:rsidRPr="000644D4">
              <w:rPr>
                <w:rFonts w:ascii="Times New Roman" w:hAnsi="Times New Roman"/>
                <w:sz w:val="24"/>
              </w:rPr>
              <w:t>W przypadku operacji portfela handlowego uwzględnia się instrumenty finansowe</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tow</w:t>
            </w:r>
            <w:r w:rsidRPr="000644D4">
              <w:rPr>
                <w:rFonts w:ascii="Times New Roman" w:hAnsi="Times New Roman"/>
                <w:sz w:val="24"/>
              </w:rPr>
              <w:t>ary kwalifikujące się do ekspozycji zaliczanych do portfela handlowego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299 ust. 2 lit. c)–f) rozporządzenia (UE) nr</w:t>
            </w:r>
            <w:r w:rsidR="000644D4" w:rsidRPr="000644D4">
              <w:rPr>
                <w:rFonts w:ascii="Times New Roman" w:hAnsi="Times New Roman"/>
                <w:sz w:val="24"/>
              </w:rPr>
              <w:t> </w:t>
            </w:r>
            <w:r w:rsidRPr="000644D4">
              <w:rPr>
                <w:rFonts w:ascii="Times New Roman" w:hAnsi="Times New Roman"/>
                <w:sz w:val="24"/>
              </w:rPr>
              <w:t>575/2013. Obligacje powiązane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ykiem kredytowym oraz kompensowanie pozycji bilansowych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czę</w:t>
            </w:r>
            <w:r w:rsidRPr="000644D4">
              <w:rPr>
                <w:rFonts w:ascii="Times New Roman" w:hAnsi="Times New Roman"/>
                <w:sz w:val="24"/>
              </w:rPr>
              <w:t>ścią trzecią tytuł II rozdział 4 sekcja 4 rozporządzenia (UE) nr</w:t>
            </w:r>
            <w:r w:rsidR="000644D4" w:rsidRPr="000644D4">
              <w:rPr>
                <w:rFonts w:ascii="Times New Roman" w:hAnsi="Times New Roman"/>
                <w:sz w:val="24"/>
              </w:rPr>
              <w:t> </w:t>
            </w:r>
            <w:r w:rsidRPr="000644D4">
              <w:rPr>
                <w:rFonts w:ascii="Times New Roman" w:hAnsi="Times New Roman"/>
                <w:sz w:val="24"/>
              </w:rPr>
              <w:t>575/2013 traktuje się jak zabezpieczenie gotówkowe.</w:t>
            </w:r>
          </w:p>
          <w:p w14:paraId="52D78AC9" w14:textId="29DA4F77" w:rsidR="00FB3D09" w:rsidRPr="000644D4" w:rsidRDefault="00FB3D09" w:rsidP="00822842">
            <w:pPr>
              <w:rPr>
                <w:rFonts w:ascii="Times New Roman" w:hAnsi="Times New Roman"/>
                <w:sz w:val="24"/>
              </w:rPr>
            </w:pPr>
            <w:r w:rsidRPr="000644D4">
              <w:rPr>
                <w:rFonts w:ascii="Times New Roman" w:hAnsi="Times New Roman"/>
                <w:sz w:val="24"/>
              </w:rPr>
              <w:t>W przypadku niestosowania własnych oszacowań LGD</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uznanego zabezpieczenia finansowego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197 rozporządzenia (UE) nr</w:t>
            </w:r>
            <w:r w:rsidR="000644D4" w:rsidRPr="000644D4">
              <w:rPr>
                <w:rFonts w:ascii="Times New Roman" w:hAnsi="Times New Roman"/>
                <w:sz w:val="24"/>
              </w:rPr>
              <w:t> </w:t>
            </w:r>
            <w:r w:rsidRPr="000644D4">
              <w:rPr>
                <w:rFonts w:ascii="Times New Roman" w:hAnsi="Times New Roman"/>
                <w:sz w:val="24"/>
              </w:rPr>
              <w:t>575/2013 zgłasza się skorygowaną wartość (Cvam) określoną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223 ust. 2 tego rozporządzenia.</w:t>
            </w:r>
          </w:p>
          <w:p w14:paraId="31F42CB1" w14:textId="6B6E98E7" w:rsidR="00FB3D09" w:rsidRPr="000644D4" w:rsidRDefault="00FB3D09" w:rsidP="00822842">
            <w:pPr>
              <w:rPr>
                <w:rFonts w:ascii="Times New Roman" w:hAnsi="Times New Roman"/>
                <w:b/>
                <w:sz w:val="24"/>
                <w:u w:val="single"/>
              </w:rPr>
            </w:pPr>
            <w:r w:rsidRPr="000644D4">
              <w:rPr>
                <w:rFonts w:ascii="Times New Roman" w:hAnsi="Times New Roman"/>
                <w:sz w:val="24"/>
              </w:rPr>
              <w:t>W przypadku stosowania własnych oszacowań LGD zabezpieczenie finansowe uwzględnia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osz</w:t>
            </w:r>
            <w:r w:rsidRPr="000644D4">
              <w:rPr>
                <w:rFonts w:ascii="Times New Roman" w:hAnsi="Times New Roman"/>
                <w:sz w:val="24"/>
              </w:rPr>
              <w:t>acowaniach 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181 ust. 1 lit. e) i f) rozporządzenia (UE) nr</w:t>
            </w:r>
            <w:r w:rsidR="000644D4" w:rsidRPr="000644D4">
              <w:rPr>
                <w:rFonts w:ascii="Times New Roman" w:hAnsi="Times New Roman"/>
                <w:sz w:val="24"/>
              </w:rPr>
              <w:t> </w:t>
            </w:r>
            <w:r w:rsidRPr="000644D4">
              <w:rPr>
                <w:rFonts w:ascii="Times New Roman" w:hAnsi="Times New Roman"/>
                <w:sz w:val="24"/>
              </w:rPr>
              <w:t>575/2013. Kwotą, którą należy zgłosić, jest szacunkowa wartość rynkowa zabezpieczenia.</w:t>
            </w:r>
          </w:p>
        </w:tc>
      </w:tr>
      <w:tr w:rsidR="00FB3D09" w:rsidRPr="000644D4" w14:paraId="175F5CB2" w14:textId="77777777" w:rsidTr="00822842">
        <w:tc>
          <w:tcPr>
            <w:tcW w:w="1188" w:type="dxa"/>
          </w:tcPr>
          <w:p w14:paraId="21EC8197" w14:textId="77777777" w:rsidR="00FB3D09" w:rsidRPr="000644D4" w:rsidDel="001D4BE0" w:rsidRDefault="00FB3D09" w:rsidP="00822842">
            <w:pPr>
              <w:rPr>
                <w:rFonts w:ascii="Times New Roman" w:hAnsi="Times New Roman"/>
                <w:sz w:val="24"/>
              </w:rPr>
            </w:pPr>
            <w:r w:rsidRPr="000644D4">
              <w:rPr>
                <w:rFonts w:ascii="Times New Roman" w:hAnsi="Times New Roman"/>
                <w:sz w:val="24"/>
              </w:rPr>
              <w:t>0190–0210</w:t>
            </w:r>
          </w:p>
        </w:tc>
        <w:tc>
          <w:tcPr>
            <w:tcW w:w="8843" w:type="dxa"/>
          </w:tcPr>
          <w:p w14:paraId="0934323C"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INNE UZNANE ZABEZPIECZENIE</w:t>
            </w:r>
          </w:p>
          <w:p w14:paraId="3277DA00" w14:textId="40758A46" w:rsidR="00FB3D09" w:rsidRPr="000644D4" w:rsidRDefault="00FB3D09" w:rsidP="00822842">
            <w:pPr>
              <w:rPr>
                <w:rFonts w:ascii="Times New Roman" w:hAnsi="Times New Roman"/>
                <w:sz w:val="24"/>
              </w:rPr>
            </w:pPr>
            <w:r w:rsidRPr="000644D4">
              <w:rPr>
                <w:rFonts w:ascii="Times New Roman" w:hAnsi="Times New Roman"/>
                <w:sz w:val="24"/>
              </w:rPr>
              <w:lastRenderedPageBreak/>
              <w:t>W przypadku niestosowania własnych oszacowań LGD wartości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199 ust. 1–8 rozporządzenia (UE) nr</w:t>
            </w:r>
            <w:r w:rsidR="000644D4" w:rsidRPr="000644D4">
              <w:rPr>
                <w:rFonts w:ascii="Times New Roman" w:hAnsi="Times New Roman"/>
                <w:sz w:val="24"/>
              </w:rPr>
              <w:t> </w:t>
            </w:r>
            <w:r w:rsidRPr="000644D4">
              <w:rPr>
                <w:rFonts w:ascii="Times New Roman" w:hAnsi="Times New Roman"/>
                <w:sz w:val="24"/>
              </w:rPr>
              <w:t>575/2013 oraz art. 229 tego rozporządzenia.</w:t>
            </w:r>
          </w:p>
          <w:p w14:paraId="3AF3004D" w14:textId="1C78ADB0" w:rsidR="00FB3D09" w:rsidRPr="000644D4" w:rsidRDefault="00FB3D09" w:rsidP="00822842">
            <w:pPr>
              <w:rPr>
                <w:rFonts w:ascii="Times New Roman" w:hAnsi="Times New Roman"/>
                <w:b/>
                <w:sz w:val="24"/>
                <w:u w:val="single"/>
              </w:rPr>
            </w:pPr>
            <w:r w:rsidRPr="000644D4">
              <w:rPr>
                <w:rFonts w:ascii="Times New Roman" w:hAnsi="Times New Roman"/>
                <w:sz w:val="24"/>
              </w:rPr>
              <w:t>W przypadku stosowania własnych oszacowań LGD</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osz</w:t>
            </w:r>
            <w:r w:rsidRPr="000644D4">
              <w:rPr>
                <w:rFonts w:ascii="Times New Roman" w:hAnsi="Times New Roman"/>
                <w:sz w:val="24"/>
              </w:rPr>
              <w:t>acowaniach 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181 ust. 1 lit. e) i f) rozporządzenia (UE) nr</w:t>
            </w:r>
            <w:r w:rsidR="000644D4" w:rsidRPr="000644D4">
              <w:rPr>
                <w:rFonts w:ascii="Times New Roman" w:hAnsi="Times New Roman"/>
                <w:sz w:val="24"/>
              </w:rPr>
              <w:t> </w:t>
            </w:r>
            <w:r w:rsidRPr="000644D4">
              <w:rPr>
                <w:rFonts w:ascii="Times New Roman" w:hAnsi="Times New Roman"/>
                <w:sz w:val="24"/>
              </w:rPr>
              <w:t>575/2013 uwzględnia się inne zabezpieczenie.</w:t>
            </w:r>
          </w:p>
        </w:tc>
      </w:tr>
      <w:tr w:rsidR="00FB3D09" w:rsidRPr="000644D4" w14:paraId="57654874" w14:textId="77777777" w:rsidTr="00822842">
        <w:tc>
          <w:tcPr>
            <w:tcW w:w="1188" w:type="dxa"/>
          </w:tcPr>
          <w:p w14:paraId="4073E085" w14:textId="77777777" w:rsidR="00FB3D09" w:rsidRPr="000644D4" w:rsidRDefault="00FB3D09" w:rsidP="00822842">
            <w:pPr>
              <w:spacing w:line="240" w:lineRule="exact"/>
              <w:rPr>
                <w:rFonts w:ascii="Times New Roman" w:hAnsi="Times New Roman"/>
                <w:sz w:val="24"/>
              </w:rPr>
            </w:pPr>
            <w:r w:rsidRPr="000644D4">
              <w:rPr>
                <w:rFonts w:ascii="Times New Roman" w:hAnsi="Times New Roman"/>
                <w:sz w:val="24"/>
              </w:rPr>
              <w:lastRenderedPageBreak/>
              <w:t>0190</w:t>
            </w:r>
          </w:p>
        </w:tc>
        <w:tc>
          <w:tcPr>
            <w:tcW w:w="8843" w:type="dxa"/>
          </w:tcPr>
          <w:p w14:paraId="38792F93" w14:textId="77777777" w:rsidR="00FB3D09" w:rsidRPr="000644D4" w:rsidRDefault="00FB3D09" w:rsidP="00822842">
            <w:pPr>
              <w:spacing w:line="240" w:lineRule="exact"/>
              <w:rPr>
                <w:rFonts w:ascii="Times New Roman" w:hAnsi="Times New Roman"/>
                <w:sz w:val="24"/>
              </w:rPr>
            </w:pPr>
            <w:r w:rsidRPr="000644D4">
              <w:rPr>
                <w:rFonts w:ascii="Times New Roman" w:hAnsi="Times New Roman"/>
                <w:b/>
                <w:sz w:val="24"/>
                <w:u w:val="single"/>
              </w:rPr>
              <w:t>NIERUCHOMOŚCI</w:t>
            </w:r>
          </w:p>
          <w:p w14:paraId="1C22EB67" w14:textId="4C47E15A" w:rsidR="00FB3D09" w:rsidRPr="000644D4" w:rsidRDefault="00FB3D09" w:rsidP="00822842">
            <w:pPr>
              <w:spacing w:line="240" w:lineRule="exact"/>
              <w:rPr>
                <w:rFonts w:ascii="Times New Roman" w:hAnsi="Times New Roman"/>
                <w:sz w:val="24"/>
              </w:rPr>
            </w:pPr>
            <w:r w:rsidRPr="000644D4">
              <w:rPr>
                <w:rFonts w:ascii="Times New Roman" w:hAnsi="Times New Roman"/>
                <w:sz w:val="24"/>
              </w:rPr>
              <w:t>W przypadku niestosowania własnych oszacowań LGD wartości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199 ust.</w:t>
            </w:r>
            <w:r w:rsidR="000644D4" w:rsidRPr="000644D4">
              <w:rPr>
                <w:rFonts w:ascii="Times New Roman" w:hAnsi="Times New Roman"/>
                <w:sz w:val="24"/>
              </w:rPr>
              <w:t> </w:t>
            </w:r>
            <w:r w:rsidRPr="000644D4">
              <w:rPr>
                <w:rFonts w:ascii="Times New Roman" w:hAnsi="Times New Roman"/>
                <w:sz w:val="24"/>
              </w:rPr>
              <w:t>2–4a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zgł</w:t>
            </w:r>
            <w:r w:rsidRPr="000644D4">
              <w:rPr>
                <w:rFonts w:ascii="Times New Roman" w:hAnsi="Times New Roman"/>
                <w:sz w:val="24"/>
              </w:rPr>
              <w:t>asza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tej</w:t>
            </w:r>
            <w:r w:rsidRPr="000644D4">
              <w:rPr>
                <w:rFonts w:ascii="Times New Roman" w:hAnsi="Times New Roman"/>
                <w:sz w:val="24"/>
              </w:rPr>
              <w:t xml:space="preserve"> kolumnie. Uwzględnia się również leasing nieruchomości (zob. art. 199 ust. 7 rozporządzenia (UE) nr</w:t>
            </w:r>
            <w:r w:rsidR="000644D4" w:rsidRPr="000644D4">
              <w:rPr>
                <w:rFonts w:ascii="Times New Roman" w:hAnsi="Times New Roman"/>
                <w:sz w:val="24"/>
              </w:rPr>
              <w:t> </w:t>
            </w:r>
            <w:r w:rsidRPr="000644D4">
              <w:rPr>
                <w:rFonts w:ascii="Times New Roman" w:hAnsi="Times New Roman"/>
                <w:sz w:val="24"/>
              </w:rPr>
              <w:t>575/2013). Zob. także art. 229 rozporządzenia (UE) nr</w:t>
            </w:r>
            <w:r w:rsidR="000644D4" w:rsidRPr="000644D4">
              <w:rPr>
                <w:rFonts w:ascii="Times New Roman" w:hAnsi="Times New Roman"/>
                <w:sz w:val="24"/>
              </w:rPr>
              <w:t> </w:t>
            </w:r>
            <w:r w:rsidRPr="000644D4">
              <w:rPr>
                <w:rFonts w:ascii="Times New Roman" w:hAnsi="Times New Roman"/>
                <w:sz w:val="24"/>
              </w:rPr>
              <w:t>575/2013.</w:t>
            </w:r>
          </w:p>
          <w:p w14:paraId="02AD8F76" w14:textId="77777777" w:rsidR="00FB3D09" w:rsidRPr="000644D4" w:rsidRDefault="00FB3D09" w:rsidP="00822842">
            <w:pPr>
              <w:spacing w:line="240" w:lineRule="exact"/>
              <w:rPr>
                <w:rFonts w:ascii="Times New Roman" w:hAnsi="Times New Roman"/>
                <w:sz w:val="24"/>
              </w:rPr>
            </w:pPr>
            <w:r w:rsidRPr="000644D4">
              <w:rPr>
                <w:rFonts w:ascii="Times New Roman" w:hAnsi="Times New Roman"/>
                <w:sz w:val="24"/>
              </w:rPr>
              <w:t>W przypadku stosowania własnych oszacowań LGD kwotą, którą należy zgłosić, jest szacunkowa wartość rynkowa.</w:t>
            </w:r>
          </w:p>
        </w:tc>
      </w:tr>
      <w:tr w:rsidR="00FB3D09" w:rsidRPr="000644D4" w14:paraId="5A77D1F7" w14:textId="77777777" w:rsidTr="00822842">
        <w:tc>
          <w:tcPr>
            <w:tcW w:w="1188" w:type="dxa"/>
          </w:tcPr>
          <w:p w14:paraId="639978E3" w14:textId="77777777" w:rsidR="00FB3D09" w:rsidRPr="000644D4" w:rsidRDefault="00FB3D09" w:rsidP="00822842">
            <w:pPr>
              <w:rPr>
                <w:rFonts w:ascii="Times New Roman" w:hAnsi="Times New Roman"/>
                <w:sz w:val="24"/>
              </w:rPr>
            </w:pPr>
            <w:r w:rsidRPr="000644D4">
              <w:rPr>
                <w:rFonts w:ascii="Times New Roman" w:hAnsi="Times New Roman"/>
                <w:sz w:val="24"/>
              </w:rPr>
              <w:t>0200</w:t>
            </w:r>
          </w:p>
        </w:tc>
        <w:tc>
          <w:tcPr>
            <w:tcW w:w="8843" w:type="dxa"/>
          </w:tcPr>
          <w:p w14:paraId="11BF78C8"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INNE ZABEZPIECZENIE RZECZOWE</w:t>
            </w:r>
          </w:p>
          <w:p w14:paraId="79893BBD" w14:textId="52DC51E3" w:rsidR="00FB3D09" w:rsidRPr="000644D4" w:rsidRDefault="00FB3D09" w:rsidP="00822842">
            <w:pPr>
              <w:rPr>
                <w:rFonts w:ascii="Times New Roman" w:hAnsi="Times New Roman"/>
                <w:sz w:val="24"/>
              </w:rPr>
            </w:pPr>
            <w:r w:rsidRPr="000644D4">
              <w:rPr>
                <w:rFonts w:ascii="Times New Roman" w:hAnsi="Times New Roman"/>
                <w:sz w:val="24"/>
              </w:rPr>
              <w:t>W przypadku niestosowania własnych oszacowań LGD wartości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199 ust.</w:t>
            </w:r>
            <w:r w:rsidR="000644D4" w:rsidRPr="000644D4">
              <w:rPr>
                <w:rFonts w:ascii="Times New Roman" w:hAnsi="Times New Roman"/>
                <w:sz w:val="24"/>
              </w:rPr>
              <w:t> </w:t>
            </w:r>
            <w:r w:rsidRPr="000644D4">
              <w:rPr>
                <w:rFonts w:ascii="Times New Roman" w:hAnsi="Times New Roman"/>
                <w:sz w:val="24"/>
              </w:rPr>
              <w:t>6</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8</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zgł</w:t>
            </w:r>
            <w:r w:rsidRPr="000644D4">
              <w:rPr>
                <w:rFonts w:ascii="Times New Roman" w:hAnsi="Times New Roman"/>
                <w:sz w:val="24"/>
              </w:rPr>
              <w:t>asza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tej</w:t>
            </w:r>
            <w:r w:rsidRPr="000644D4">
              <w:rPr>
                <w:rFonts w:ascii="Times New Roman" w:hAnsi="Times New Roman"/>
                <w:sz w:val="24"/>
              </w:rPr>
              <w:t xml:space="preserve"> kolumnie. Uwzględnia się również leasing własności innej niż nieruchomości (zob. art. 199 ust. 7 rozporządzenia (UE) nr</w:t>
            </w:r>
            <w:r w:rsidR="000644D4" w:rsidRPr="000644D4">
              <w:rPr>
                <w:rFonts w:ascii="Times New Roman" w:hAnsi="Times New Roman"/>
                <w:sz w:val="24"/>
              </w:rPr>
              <w:t> </w:t>
            </w:r>
            <w:r w:rsidRPr="000644D4">
              <w:rPr>
                <w:rFonts w:ascii="Times New Roman" w:hAnsi="Times New Roman"/>
                <w:sz w:val="24"/>
              </w:rPr>
              <w:t>575/2013). Zob. także art. 229 ust.</w:t>
            </w:r>
            <w:r w:rsidR="000644D4" w:rsidRPr="000644D4">
              <w:rPr>
                <w:rFonts w:ascii="Times New Roman" w:hAnsi="Times New Roman"/>
                <w:sz w:val="24"/>
              </w:rPr>
              <w:t> </w:t>
            </w:r>
            <w:r w:rsidRPr="000644D4">
              <w:rPr>
                <w:rFonts w:ascii="Times New Roman" w:hAnsi="Times New Roman"/>
                <w:sz w:val="24"/>
              </w:rPr>
              <w:t>3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20C5AC83" w14:textId="77777777" w:rsidR="00FB3D09" w:rsidRPr="000644D4" w:rsidRDefault="00FB3D09" w:rsidP="00822842">
            <w:pPr>
              <w:rPr>
                <w:rFonts w:ascii="Times New Roman" w:hAnsi="Times New Roman"/>
                <w:b/>
                <w:sz w:val="24"/>
                <w:u w:val="single"/>
              </w:rPr>
            </w:pPr>
            <w:r w:rsidRPr="000644D4">
              <w:rPr>
                <w:rFonts w:ascii="Times New Roman" w:hAnsi="Times New Roman"/>
                <w:sz w:val="24"/>
              </w:rPr>
              <w:t>W przypadku stosowania własnych oszacowań LGD kwotą, którą należy zgłosić, jest szacunkowa wartość rynkowa zabezpieczenia.</w:t>
            </w:r>
          </w:p>
        </w:tc>
      </w:tr>
      <w:tr w:rsidR="00FB3D09" w:rsidRPr="000644D4" w14:paraId="6B2A20B1" w14:textId="77777777" w:rsidTr="00822842">
        <w:tc>
          <w:tcPr>
            <w:tcW w:w="1188" w:type="dxa"/>
          </w:tcPr>
          <w:p w14:paraId="41BEC94C" w14:textId="77777777" w:rsidR="00FB3D09" w:rsidRPr="000644D4" w:rsidRDefault="00FB3D09" w:rsidP="00822842">
            <w:pPr>
              <w:rPr>
                <w:rFonts w:ascii="Times New Roman" w:hAnsi="Times New Roman"/>
                <w:sz w:val="24"/>
              </w:rPr>
            </w:pPr>
            <w:r w:rsidRPr="000644D4">
              <w:rPr>
                <w:rFonts w:ascii="Times New Roman" w:hAnsi="Times New Roman"/>
                <w:sz w:val="24"/>
              </w:rPr>
              <w:t>0210</w:t>
            </w:r>
          </w:p>
        </w:tc>
        <w:tc>
          <w:tcPr>
            <w:tcW w:w="8843" w:type="dxa"/>
          </w:tcPr>
          <w:p w14:paraId="4F3D36E9"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WIERZYTELNOŚCI</w:t>
            </w:r>
          </w:p>
          <w:p w14:paraId="7A705B5D" w14:textId="528FF3F5" w:rsidR="00FB3D09" w:rsidRPr="000644D4" w:rsidRDefault="00FB3D09" w:rsidP="00822842">
            <w:pPr>
              <w:rPr>
                <w:rFonts w:ascii="Times New Roman" w:hAnsi="Times New Roman"/>
                <w:sz w:val="24"/>
              </w:rPr>
            </w:pPr>
            <w:r w:rsidRPr="000644D4">
              <w:rPr>
                <w:rFonts w:ascii="Times New Roman" w:hAnsi="Times New Roman"/>
                <w:sz w:val="24"/>
              </w:rPr>
              <w:t>W przypadku niestosowania własnych oszacowań LGD wartości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199 ust. 5 oraz art. 229 ust. 2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zgł</w:t>
            </w:r>
            <w:r w:rsidRPr="000644D4">
              <w:rPr>
                <w:rFonts w:ascii="Times New Roman" w:hAnsi="Times New Roman"/>
                <w:sz w:val="24"/>
              </w:rPr>
              <w:t>asza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tej</w:t>
            </w:r>
            <w:r w:rsidRPr="000644D4">
              <w:rPr>
                <w:rFonts w:ascii="Times New Roman" w:hAnsi="Times New Roman"/>
                <w:sz w:val="24"/>
              </w:rPr>
              <w:t xml:space="preserve"> kolumnie.</w:t>
            </w:r>
          </w:p>
          <w:p w14:paraId="436DED01" w14:textId="77777777" w:rsidR="00FB3D09" w:rsidRPr="000644D4" w:rsidRDefault="00FB3D09" w:rsidP="00822842">
            <w:pPr>
              <w:rPr>
                <w:rFonts w:ascii="Times New Roman" w:hAnsi="Times New Roman"/>
                <w:b/>
                <w:sz w:val="24"/>
                <w:u w:val="single"/>
              </w:rPr>
            </w:pPr>
            <w:r w:rsidRPr="000644D4">
              <w:rPr>
                <w:rFonts w:ascii="Times New Roman" w:hAnsi="Times New Roman"/>
                <w:sz w:val="24"/>
              </w:rPr>
              <w:t>W przypadku stosowania własnych oszacowań LGD kwotą, którą należy zgłosić, jest szacunkowa wartość rynkowa zabezpieczenia.</w:t>
            </w:r>
          </w:p>
        </w:tc>
      </w:tr>
      <w:tr w:rsidR="00FB3D09" w:rsidRPr="000644D4" w14:paraId="60E8AC07" w14:textId="77777777" w:rsidTr="00822842">
        <w:tc>
          <w:tcPr>
            <w:tcW w:w="1188" w:type="dxa"/>
          </w:tcPr>
          <w:p w14:paraId="5D57504A" w14:textId="77777777" w:rsidR="00FB3D09" w:rsidRPr="000644D4" w:rsidRDefault="00FB3D09" w:rsidP="00822842">
            <w:pPr>
              <w:rPr>
                <w:rFonts w:ascii="Times New Roman" w:hAnsi="Times New Roman"/>
                <w:sz w:val="24"/>
              </w:rPr>
            </w:pPr>
            <w:r w:rsidRPr="000644D4">
              <w:rPr>
                <w:rFonts w:ascii="Times New Roman" w:hAnsi="Times New Roman"/>
                <w:sz w:val="24"/>
              </w:rPr>
              <w:t>0230</w:t>
            </w:r>
          </w:p>
        </w:tc>
        <w:tc>
          <w:tcPr>
            <w:tcW w:w="8843" w:type="dxa"/>
          </w:tcPr>
          <w:p w14:paraId="79AFFD3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ŚREDNIA WARTOŚĆ LGD WAŻONA EKSPOZYCJĄ (%)</w:t>
            </w:r>
          </w:p>
          <w:p w14:paraId="6F9170F4" w14:textId="385E7FF5" w:rsidR="00FB3D09" w:rsidRPr="000644D4" w:rsidRDefault="00FB3D09" w:rsidP="00822842">
            <w:pPr>
              <w:rPr>
                <w:rFonts w:ascii="Times New Roman" w:hAnsi="Times New Roman"/>
                <w:sz w:val="24"/>
              </w:rPr>
            </w:pPr>
            <w:r w:rsidRPr="000644D4">
              <w:rPr>
                <w:rFonts w:ascii="Times New Roman" w:hAnsi="Times New Roman"/>
                <w:sz w:val="24"/>
              </w:rPr>
              <w:t>Uwzględnia się wszystkie efekty technik ograniczania ryzyka kredytowego dla LGD określonych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czę</w:t>
            </w:r>
            <w:r w:rsidRPr="000644D4">
              <w:rPr>
                <w:rFonts w:ascii="Times New Roman" w:hAnsi="Times New Roman"/>
                <w:sz w:val="24"/>
              </w:rPr>
              <w:t>ści trzeciej tytuł II rozdziały 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4</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39A74258" w14:textId="7DC4024B" w:rsidR="00FB3D09" w:rsidRPr="000644D4" w:rsidRDefault="00FB3D09" w:rsidP="00822842">
            <w:pPr>
              <w:rPr>
                <w:rFonts w:ascii="Times New Roman" w:hAnsi="Times New Roman"/>
                <w:sz w:val="24"/>
              </w:rPr>
            </w:pPr>
            <w:r w:rsidRPr="000644D4">
              <w:rPr>
                <w:rFonts w:ascii="Times New Roman" w:hAnsi="Times New Roman"/>
                <w:sz w:val="24"/>
              </w:rPr>
              <w:t>W odniesieniu do ekspozycji, których dotyczy niewykonanie zobowiązania, uwzględnia się przepisy 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181 ust. 1 lit. h) rozporządzenia (UE) nr</w:t>
            </w:r>
            <w:r w:rsidR="000644D4" w:rsidRPr="000644D4">
              <w:rPr>
                <w:rFonts w:ascii="Times New Roman" w:hAnsi="Times New Roman"/>
                <w:sz w:val="24"/>
              </w:rPr>
              <w:t> </w:t>
            </w:r>
            <w:r w:rsidRPr="000644D4">
              <w:rPr>
                <w:rFonts w:ascii="Times New Roman" w:hAnsi="Times New Roman"/>
                <w:sz w:val="24"/>
              </w:rPr>
              <w:t>575/2013.</w:t>
            </w:r>
          </w:p>
          <w:p w14:paraId="60A8EDA1" w14:textId="335A1A03" w:rsidR="00FB3D09" w:rsidRPr="000644D4" w:rsidRDefault="00FB3D09" w:rsidP="00822842">
            <w:pPr>
              <w:rPr>
                <w:rFonts w:ascii="Times New Roman" w:hAnsi="Times New Roman"/>
                <w:sz w:val="24"/>
              </w:rPr>
            </w:pPr>
            <w:r w:rsidRPr="000644D4">
              <w:rPr>
                <w:rFonts w:ascii="Times New Roman" w:hAnsi="Times New Roman"/>
                <w:sz w:val="24"/>
              </w:rPr>
              <w:t>Wartość ekspozycji,</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rej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0110, wykorzystuje się do obliczenia średnich wartości ważonych ekspozycją.</w:t>
            </w:r>
          </w:p>
          <w:p w14:paraId="4BB11427" w14:textId="1BF80C29" w:rsidR="00FB3D09" w:rsidRPr="000644D4" w:rsidRDefault="00FB3D09" w:rsidP="00822842">
            <w:pPr>
              <w:rPr>
                <w:rFonts w:ascii="Times New Roman" w:hAnsi="Times New Roman"/>
                <w:sz w:val="24"/>
              </w:rPr>
            </w:pPr>
            <w:r w:rsidRPr="000644D4">
              <w:rPr>
                <w:rFonts w:ascii="Times New Roman" w:hAnsi="Times New Roman"/>
                <w:sz w:val="24"/>
              </w:rPr>
              <w:t>Uwzględnia się wszystkie efekty (tak więc</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spr</w:t>
            </w:r>
            <w:r w:rsidRPr="000644D4">
              <w:rPr>
                <w:rFonts w:ascii="Times New Roman" w:hAnsi="Times New Roman"/>
                <w:sz w:val="24"/>
              </w:rPr>
              <w:t>awozdawczości ujmuje się efekty dolnego limitu mającego zastosowanie do ekspozycji zabezpieczonych nieruchomościami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164 ust. 4 rozporządzenia (UE) nr</w:t>
            </w:r>
            <w:r w:rsidR="000644D4" w:rsidRPr="000644D4">
              <w:rPr>
                <w:rFonts w:ascii="Times New Roman" w:hAnsi="Times New Roman"/>
                <w:sz w:val="24"/>
              </w:rPr>
              <w:t> </w:t>
            </w:r>
            <w:r w:rsidRPr="000644D4">
              <w:rPr>
                <w:rFonts w:ascii="Times New Roman" w:hAnsi="Times New Roman"/>
                <w:sz w:val="24"/>
              </w:rPr>
              <w:t>575/2013).</w:t>
            </w:r>
          </w:p>
          <w:p w14:paraId="635EEDC3" w14:textId="0DC12F45" w:rsidR="00FB3D09" w:rsidRPr="000644D4" w:rsidRDefault="00FB3D09" w:rsidP="00822842">
            <w:pPr>
              <w:rPr>
                <w:rFonts w:ascii="Times New Roman" w:hAnsi="Times New Roman"/>
                <w:sz w:val="24"/>
              </w:rPr>
            </w:pPr>
            <w:r w:rsidRPr="000644D4">
              <w:rPr>
                <w:rFonts w:ascii="Times New Roman" w:hAnsi="Times New Roman"/>
                <w:sz w:val="24"/>
              </w:rPr>
              <w:t>W przypadku instytucji stosujących metodę IRB, ale niestosujących własnych oszacowań LGD, efekty technik ograniczania ryzyka wynikające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zab</w:t>
            </w:r>
            <w:r w:rsidRPr="000644D4">
              <w:rPr>
                <w:rFonts w:ascii="Times New Roman" w:hAnsi="Times New Roman"/>
                <w:sz w:val="24"/>
              </w:rPr>
              <w:t>ezpieczenia finansowego są odzwierciedlone w E* –</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peł</w:t>
            </w:r>
            <w:r w:rsidRPr="000644D4">
              <w:rPr>
                <w:rFonts w:ascii="Times New Roman" w:hAnsi="Times New Roman"/>
                <w:sz w:val="24"/>
              </w:rPr>
              <w:t>ni skorygowanej wartości ekspozycji –</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nas</w:t>
            </w:r>
            <w:r w:rsidRPr="000644D4">
              <w:rPr>
                <w:rFonts w:ascii="Times New Roman" w:hAnsi="Times New Roman"/>
                <w:sz w:val="24"/>
              </w:rPr>
              <w:t>tępnie odzwierciedlane w LGD*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230 rozporządzenia (UE) nr</w:t>
            </w:r>
            <w:r w:rsidR="000644D4" w:rsidRPr="000644D4">
              <w:rPr>
                <w:rFonts w:ascii="Times New Roman" w:hAnsi="Times New Roman"/>
                <w:sz w:val="24"/>
              </w:rPr>
              <w:t> </w:t>
            </w:r>
            <w:r w:rsidRPr="000644D4">
              <w:rPr>
                <w:rFonts w:ascii="Times New Roman" w:hAnsi="Times New Roman"/>
                <w:sz w:val="24"/>
              </w:rPr>
              <w:t>575/2013.</w:t>
            </w:r>
          </w:p>
          <w:p w14:paraId="4BD44AA0" w14:textId="1FBF931D" w:rsidR="00FB3D09" w:rsidRPr="000644D4" w:rsidRDefault="00FB3D09" w:rsidP="00822842">
            <w:pPr>
              <w:rPr>
                <w:rFonts w:ascii="Times New Roman" w:hAnsi="Times New Roman"/>
                <w:sz w:val="24"/>
              </w:rPr>
            </w:pPr>
            <w:r w:rsidRPr="000644D4">
              <w:rPr>
                <w:rFonts w:ascii="Times New Roman" w:hAnsi="Times New Roman"/>
                <w:sz w:val="24"/>
              </w:rPr>
              <w:t>Średnia wartość LGD ważona ekspozycją związana</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każ</w:t>
            </w:r>
            <w:r w:rsidRPr="000644D4">
              <w:rPr>
                <w:rFonts w:ascii="Times New Roman" w:hAnsi="Times New Roman"/>
                <w:sz w:val="24"/>
              </w:rPr>
              <w:t xml:space="preserve">dą „klasą jakości lub pulą dłużnika” PD wynika ze średniej ostrożnościowych wartości LGD przypisanych do </w:t>
            </w:r>
            <w:r w:rsidRPr="000644D4">
              <w:rPr>
                <w:rFonts w:ascii="Times New Roman" w:hAnsi="Times New Roman"/>
                <w:sz w:val="24"/>
              </w:rPr>
              <w:lastRenderedPageBreak/>
              <w:t>ekspozycji tej klasy jakości/puli PD, ważonych stosownymi wartościami ekspozycji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umny 0110.</w:t>
            </w:r>
          </w:p>
          <w:p w14:paraId="2A3FAE79" w14:textId="6EC770BE" w:rsidR="00FB3D09" w:rsidRPr="000644D4" w:rsidRDefault="00FB3D09" w:rsidP="00822842">
            <w:pPr>
              <w:rPr>
                <w:rFonts w:ascii="Times New Roman" w:hAnsi="Times New Roman"/>
                <w:sz w:val="24"/>
              </w:rPr>
            </w:pPr>
            <w:r w:rsidRPr="000644D4">
              <w:rPr>
                <w:rFonts w:ascii="Times New Roman" w:hAnsi="Times New Roman"/>
                <w:sz w:val="24"/>
              </w:rPr>
              <w:t>W przypadku stosowania własnych oszacowań LGD uwzględnia się art. 175 oraz art. 181 ust. 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2</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p>
          <w:p w14:paraId="0DF969BF" w14:textId="2CCECDBD" w:rsidR="00FB3D09" w:rsidRPr="000644D4" w:rsidRDefault="00FB3D09" w:rsidP="00822842">
            <w:pPr>
              <w:rPr>
                <w:rFonts w:ascii="Times New Roman" w:hAnsi="Times New Roman"/>
                <w:sz w:val="24"/>
              </w:rPr>
            </w:pPr>
            <w:r w:rsidRPr="000644D4">
              <w:rPr>
                <w:rFonts w:ascii="Times New Roman" w:hAnsi="Times New Roman"/>
                <w:sz w:val="24"/>
              </w:rPr>
              <w:t>Obliczanie średniej wartości LGD ważonej ekspozycją jest oparte na parametrach ryzyka rzeczywiście wykorzystywanych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ska</w:t>
            </w:r>
            <w:r w:rsidRPr="000644D4">
              <w:rPr>
                <w:rFonts w:ascii="Times New Roman" w:hAnsi="Times New Roman"/>
                <w:sz w:val="24"/>
              </w:rPr>
              <w:t>li ratingu wewnętrznego zatwierdzonej przez właściwy organ.</w:t>
            </w:r>
          </w:p>
          <w:p w14:paraId="345A6D26" w14:textId="4870D6DA" w:rsidR="00FB3D09" w:rsidRPr="000644D4" w:rsidRDefault="00FB3D09" w:rsidP="00822842">
            <w:pPr>
              <w:rPr>
                <w:rFonts w:ascii="Times New Roman" w:hAnsi="Times New Roman"/>
                <w:sz w:val="24"/>
              </w:rPr>
            </w:pPr>
            <w:r w:rsidRPr="000644D4">
              <w:rPr>
                <w:rFonts w:ascii="Times New Roman" w:hAnsi="Times New Roman"/>
                <w:sz w:val="24"/>
              </w:rPr>
              <w:t>Nie zgłasza się danych dotyczących ekspozycji związanych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kre</w:t>
            </w:r>
            <w:r w:rsidRPr="000644D4">
              <w:rPr>
                <w:rFonts w:ascii="Times New Roman" w:hAnsi="Times New Roman"/>
                <w:sz w:val="24"/>
              </w:rPr>
              <w:t>dytowaniem specjalistycznym,</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5 rozporządzenia (UE) nr</w:t>
            </w:r>
            <w:r w:rsidR="000644D4" w:rsidRPr="000644D4">
              <w:rPr>
                <w:rFonts w:ascii="Times New Roman" w:hAnsi="Times New Roman"/>
                <w:sz w:val="24"/>
              </w:rPr>
              <w:t> </w:t>
            </w:r>
            <w:r w:rsidRPr="000644D4">
              <w:rPr>
                <w:rFonts w:ascii="Times New Roman" w:hAnsi="Times New Roman"/>
                <w:sz w:val="24"/>
              </w:rPr>
              <w:t>575/2013. Jeżeli PD szacuje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związanych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kre</w:t>
            </w:r>
            <w:r w:rsidRPr="000644D4">
              <w:rPr>
                <w:rFonts w:ascii="Times New Roman" w:hAnsi="Times New Roman"/>
                <w:sz w:val="24"/>
              </w:rPr>
              <w:t>dytowaniem specjalistycznym, dane zgłasza się na podstawie własnych oszacowań LGD lub regulacyjnych wartości LGD.</w:t>
            </w:r>
          </w:p>
          <w:p w14:paraId="0C1A1D74" w14:textId="2E128AD0" w:rsidR="00FB3D09" w:rsidRPr="000644D4" w:rsidRDefault="00FB3D09" w:rsidP="00822842">
            <w:pPr>
              <w:rPr>
                <w:rFonts w:ascii="Times New Roman" w:hAnsi="Times New Roman"/>
                <w:sz w:val="24"/>
              </w:rPr>
            </w:pPr>
            <w:r w:rsidRPr="000644D4">
              <w:rPr>
                <w:rFonts w:ascii="Times New Roman" w:hAnsi="Times New Roman"/>
                <w:sz w:val="24"/>
              </w:rPr>
              <w:t>Ekspozycji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odp</w:t>
            </w:r>
            <w:r w:rsidRPr="000644D4">
              <w:rPr>
                <w:rFonts w:ascii="Times New Roman" w:hAnsi="Times New Roman"/>
                <w:sz w:val="24"/>
              </w:rPr>
              <w:t>owiednich wartości LGD dotyczących regulowanych dużych podmiotów sektora finansowego oraz nieregulowanych podmiotów finansowych nie uwzględnia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obl</w:t>
            </w:r>
            <w:r w:rsidRPr="000644D4">
              <w:rPr>
                <w:rFonts w:ascii="Times New Roman" w:hAnsi="Times New Roman"/>
                <w:sz w:val="24"/>
              </w:rPr>
              <w:t>iczeniach na potrzeby kolumny 0230, ale wyłącznie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obl</w:t>
            </w:r>
            <w:r w:rsidRPr="000644D4">
              <w:rPr>
                <w:rFonts w:ascii="Times New Roman" w:hAnsi="Times New Roman"/>
                <w:sz w:val="24"/>
              </w:rPr>
              <w:t xml:space="preserve">iczeniach dla celów kolumny 0240. </w:t>
            </w:r>
          </w:p>
        </w:tc>
      </w:tr>
      <w:tr w:rsidR="00FB3D09" w:rsidRPr="000644D4" w14:paraId="6B45F6BD" w14:textId="77777777" w:rsidTr="00822842">
        <w:tc>
          <w:tcPr>
            <w:tcW w:w="1188" w:type="dxa"/>
          </w:tcPr>
          <w:p w14:paraId="591C6DEB"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0240</w:t>
            </w:r>
          </w:p>
        </w:tc>
        <w:tc>
          <w:tcPr>
            <w:tcW w:w="8843" w:type="dxa"/>
          </w:tcPr>
          <w:p w14:paraId="32B1C75C"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ŚREDNIA WARTOŚĆ LGD WAŻONA EKSPOZYCJĄ (%) W ODNIESIENIU DO DUŻYCH PODMIOTÓW SEKTORA FINANSOWEGO ORAZ NIEREGULOWANYCH PODMIOTÓW FINANSOWYCH</w:t>
            </w:r>
          </w:p>
          <w:p w14:paraId="6939D8FB" w14:textId="13B17229" w:rsidR="00FB3D09" w:rsidRPr="000644D4" w:rsidRDefault="00FB3D09" w:rsidP="00822842">
            <w:pPr>
              <w:rPr>
                <w:rFonts w:ascii="Times New Roman" w:hAnsi="Times New Roman"/>
                <w:sz w:val="24"/>
              </w:rPr>
            </w:pPr>
            <w:r w:rsidRPr="000644D4">
              <w:rPr>
                <w:rFonts w:ascii="Times New Roman" w:hAnsi="Times New Roman"/>
                <w:sz w:val="24"/>
              </w:rPr>
              <w:t>Średnia wartość LGD ważona ekspozycją (%) dla wszystkich ekspozycji wobec dużych podmiotów sektora finansowego zdefiniowanych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142 ust. 1 pkt</w:t>
            </w:r>
            <w:r w:rsidR="000644D4" w:rsidRPr="000644D4">
              <w:rPr>
                <w:rFonts w:ascii="Times New Roman" w:hAnsi="Times New Roman"/>
                <w:sz w:val="24"/>
              </w:rPr>
              <w:t> </w:t>
            </w:r>
            <w:r w:rsidRPr="000644D4">
              <w:rPr>
                <w:rFonts w:ascii="Times New Roman" w:hAnsi="Times New Roman"/>
                <w:sz w:val="24"/>
              </w:rPr>
              <w:t>4 rozporządzenia (UE) nr</w:t>
            </w:r>
            <w:r w:rsidR="000644D4" w:rsidRPr="000644D4">
              <w:rPr>
                <w:rFonts w:ascii="Times New Roman" w:hAnsi="Times New Roman"/>
                <w:sz w:val="24"/>
              </w:rPr>
              <w:t> </w:t>
            </w:r>
            <w:r w:rsidRPr="000644D4">
              <w:rPr>
                <w:rFonts w:ascii="Times New Roman" w:hAnsi="Times New Roman"/>
                <w:sz w:val="24"/>
              </w:rPr>
              <w:t>575/2013 oraz wobec nieregulowanych podmiotów sektora finansowego zdefiniowanych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142 ust. 1 pkt</w:t>
            </w:r>
            <w:r w:rsidR="000644D4" w:rsidRPr="000644D4">
              <w:rPr>
                <w:rFonts w:ascii="Times New Roman" w:hAnsi="Times New Roman"/>
                <w:sz w:val="24"/>
              </w:rPr>
              <w:t> </w:t>
            </w:r>
            <w:r w:rsidRPr="000644D4">
              <w:rPr>
                <w:rFonts w:ascii="Times New Roman" w:hAnsi="Times New Roman"/>
                <w:sz w:val="24"/>
              </w:rPr>
              <w:t>5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zas</w:t>
            </w:r>
            <w:r w:rsidRPr="000644D4">
              <w:rPr>
                <w:rFonts w:ascii="Times New Roman" w:hAnsi="Times New Roman"/>
                <w:sz w:val="24"/>
              </w:rPr>
              <w:t>trzeżeniem wyższego współczynnika korelacji określonej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2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176E6206" w14:textId="77777777" w:rsidTr="00822842">
        <w:tc>
          <w:tcPr>
            <w:tcW w:w="1188" w:type="dxa"/>
          </w:tcPr>
          <w:p w14:paraId="76179D87" w14:textId="77777777" w:rsidR="00FB3D09" w:rsidRPr="000644D4" w:rsidRDefault="00FB3D09" w:rsidP="00822842">
            <w:pPr>
              <w:rPr>
                <w:rFonts w:ascii="Times New Roman" w:hAnsi="Times New Roman"/>
                <w:sz w:val="24"/>
              </w:rPr>
            </w:pPr>
            <w:r w:rsidRPr="000644D4">
              <w:rPr>
                <w:rFonts w:ascii="Times New Roman" w:hAnsi="Times New Roman"/>
                <w:sz w:val="24"/>
              </w:rPr>
              <w:t>0250</w:t>
            </w:r>
          </w:p>
        </w:tc>
        <w:tc>
          <w:tcPr>
            <w:tcW w:w="8843" w:type="dxa"/>
          </w:tcPr>
          <w:p w14:paraId="0303416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 TERMIN ZAPADALNOŚCI WAŻONY EKSPOZYCJĄ (W DNIACH)</w:t>
            </w:r>
          </w:p>
          <w:p w14:paraId="2EF0BB8D" w14:textId="4F8A3EE4" w:rsidR="00FB3D09" w:rsidRPr="000644D4" w:rsidRDefault="00FB3D09" w:rsidP="00822842">
            <w:pPr>
              <w:rPr>
                <w:rFonts w:ascii="Times New Roman" w:hAnsi="Times New Roman"/>
                <w:sz w:val="24"/>
              </w:rPr>
            </w:pPr>
            <w:r w:rsidRPr="000644D4">
              <w:rPr>
                <w:rFonts w:ascii="Times New Roman" w:hAnsi="Times New Roman"/>
                <w:sz w:val="24"/>
              </w:rPr>
              <w:t>Zgłaszaną wartość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162 rozporządzenia (UE) nr</w:t>
            </w:r>
            <w:r w:rsidR="000644D4" w:rsidRPr="000644D4">
              <w:rPr>
                <w:rFonts w:ascii="Times New Roman" w:hAnsi="Times New Roman"/>
                <w:sz w:val="24"/>
              </w:rPr>
              <w:t> </w:t>
            </w:r>
            <w:r w:rsidRPr="000644D4">
              <w:rPr>
                <w:rFonts w:ascii="Times New Roman" w:hAnsi="Times New Roman"/>
                <w:sz w:val="24"/>
              </w:rPr>
              <w:t>575/2013. Wartość ekspozycji (kolumna 0110) wykorzystuje się do obliczenia średnich wartości ważonych ekspozycją. Średni termin zapadalności podawany jest jako liczba dni.</w:t>
            </w:r>
          </w:p>
          <w:p w14:paraId="6457CD5D" w14:textId="09B03D92" w:rsidR="00FB3D09" w:rsidRPr="000644D4" w:rsidRDefault="00FB3D09" w:rsidP="00822842">
            <w:pPr>
              <w:rPr>
                <w:rFonts w:ascii="Times New Roman" w:hAnsi="Times New Roman"/>
                <w:sz w:val="24"/>
              </w:rPr>
            </w:pPr>
            <w:r w:rsidRPr="000644D4">
              <w:rPr>
                <w:rFonts w:ascii="Times New Roman" w:hAnsi="Times New Roman"/>
                <w:sz w:val="24"/>
              </w:rPr>
              <w:t>Dane te nie są zgłaszane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 xml:space="preserve">iesieniu do wartości ekspozycji, dla których zapadalność nie jest elementem obliczeń </w:t>
            </w:r>
            <w:r w:rsidRPr="000644D4">
              <w:rPr>
                <w:rStyle w:val="InstructionsTabelleText"/>
                <w:rFonts w:ascii="Times New Roman" w:hAnsi="Times New Roman"/>
                <w:sz w:val="24"/>
              </w:rPr>
              <w:t>kwot ekspozycji ważonych ryzykiem</w:t>
            </w:r>
            <w:r w:rsidRPr="000644D4">
              <w:rPr>
                <w:rFonts w:ascii="Times New Roman" w:hAnsi="Times New Roman"/>
                <w:sz w:val="24"/>
              </w:rPr>
              <w:t>. Oznacza to, że kolumna ta nie zostanie wypełniona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kategorii ekspozycji „ekspozycje detaliczne”.</w:t>
            </w:r>
          </w:p>
        </w:tc>
      </w:tr>
      <w:tr w:rsidR="00FB3D09" w:rsidRPr="000644D4" w14:paraId="713A30E1" w14:textId="77777777" w:rsidTr="00822842">
        <w:tc>
          <w:tcPr>
            <w:tcW w:w="1188" w:type="dxa"/>
          </w:tcPr>
          <w:p w14:paraId="00B32F9D" w14:textId="77777777" w:rsidR="00FB3D09" w:rsidRPr="000644D4" w:rsidRDefault="00FB3D09" w:rsidP="00822842">
            <w:pPr>
              <w:rPr>
                <w:rFonts w:ascii="Times New Roman" w:hAnsi="Times New Roman"/>
                <w:sz w:val="24"/>
              </w:rPr>
            </w:pPr>
            <w:r w:rsidRPr="000644D4">
              <w:rPr>
                <w:rFonts w:ascii="Times New Roman" w:hAnsi="Times New Roman"/>
                <w:sz w:val="24"/>
              </w:rPr>
              <w:t>0255</w:t>
            </w:r>
          </w:p>
        </w:tc>
        <w:tc>
          <w:tcPr>
            <w:tcW w:w="8843" w:type="dxa"/>
          </w:tcPr>
          <w:p w14:paraId="75364CAF"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 PRZED UWZGLĘDNIENIEM WSPÓŁCZYNNIKÓW WSPARCIA</w:t>
            </w:r>
          </w:p>
          <w:p w14:paraId="3F28CDB0" w14:textId="6C00D9E2" w:rsidR="00FB3D09" w:rsidRPr="000644D4" w:rsidRDefault="00FB3D09" w:rsidP="00822842">
            <w:pPr>
              <w:rPr>
                <w:rFonts w:ascii="Times New Roman" w:hAnsi="Times New Roman"/>
                <w:sz w:val="24"/>
              </w:rPr>
            </w:pPr>
            <w:r w:rsidRPr="000644D4">
              <w:rPr>
                <w:rFonts w:ascii="Times New Roman" w:hAnsi="Times New Roman"/>
                <w:sz w:val="24"/>
              </w:rPr>
              <w:t>W przypadku ekspozycji wobec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ków centralnych oraz wobec przedsiębiorstw</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ins</w:t>
            </w:r>
            <w:r w:rsidRPr="000644D4">
              <w:rPr>
                <w:rFonts w:ascii="Times New Roman" w:hAnsi="Times New Roman"/>
                <w:sz w:val="24"/>
              </w:rPr>
              <w:t>tytucji zob. art. 153 ust. 1, 2, 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4</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ekspozycji detalicznych zob. art. 154 ust.</w:t>
            </w:r>
            <w:r w:rsidR="000644D4" w:rsidRPr="000644D4">
              <w:rPr>
                <w:rFonts w:ascii="Times New Roman" w:hAnsi="Times New Roman"/>
                <w:sz w:val="24"/>
              </w:rPr>
              <w:t> </w:t>
            </w:r>
            <w:r w:rsidRPr="000644D4">
              <w:rPr>
                <w:rFonts w:ascii="Times New Roman" w:hAnsi="Times New Roman"/>
                <w:sz w:val="24"/>
              </w:rPr>
              <w:t>1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1B679E8C" w14:textId="103B1933" w:rsidR="00FB3D09" w:rsidRPr="000644D4" w:rsidRDefault="00FB3D09" w:rsidP="00822842">
            <w:pPr>
              <w:rPr>
                <w:rFonts w:ascii="Times New Roman" w:hAnsi="Times New Roman"/>
                <w:b/>
                <w:sz w:val="24"/>
                <w:u w:val="single"/>
              </w:rPr>
            </w:pPr>
            <w:r w:rsidRPr="000644D4">
              <w:rPr>
                <w:rFonts w:ascii="Times New Roman" w:hAnsi="Times New Roman"/>
                <w:sz w:val="24"/>
              </w:rPr>
              <w:t>Nie bierze się pod uwagę współczynników wsparcia MŚP oraz infrastruktury określonych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01a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00547464" w14:textId="77777777" w:rsidTr="00822842">
        <w:tc>
          <w:tcPr>
            <w:tcW w:w="1188" w:type="dxa"/>
          </w:tcPr>
          <w:p w14:paraId="607227A4" w14:textId="77777777" w:rsidR="00FB3D09" w:rsidRPr="000644D4" w:rsidRDefault="00FB3D09" w:rsidP="00822842">
            <w:pPr>
              <w:rPr>
                <w:rFonts w:ascii="Times New Roman" w:hAnsi="Times New Roman"/>
                <w:sz w:val="24"/>
              </w:rPr>
            </w:pPr>
            <w:r w:rsidRPr="000644D4">
              <w:rPr>
                <w:rFonts w:ascii="Times New Roman" w:hAnsi="Times New Roman"/>
                <w:sz w:val="24"/>
              </w:rPr>
              <w:t>0256</w:t>
            </w:r>
          </w:p>
        </w:tc>
        <w:tc>
          <w:tcPr>
            <w:tcW w:w="8843" w:type="dxa"/>
          </w:tcPr>
          <w:p w14:paraId="16679AD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KOREKTA KWOTY EKSPOZYCJI WAŻONEJ RYZYKIEM WYNIKAJĄCA ZE WSPÓŁCZYNNIKA WSPARCIA MŚP</w:t>
            </w:r>
          </w:p>
          <w:p w14:paraId="1FAB0E68" w14:textId="1B4B3D6A" w:rsidR="00FB3D09" w:rsidRPr="000644D4" w:rsidRDefault="00FB3D09" w:rsidP="00822842">
            <w:pPr>
              <w:rPr>
                <w:rFonts w:ascii="Times New Roman" w:hAnsi="Times New Roman"/>
                <w:b/>
                <w:sz w:val="24"/>
                <w:u w:val="single"/>
              </w:rPr>
            </w:pPr>
            <w:r w:rsidRPr="000644D4">
              <w:rPr>
                <w:rFonts w:ascii="Times New Roman" w:hAnsi="Times New Roman"/>
                <w:sz w:val="24"/>
              </w:rPr>
              <w:lastRenderedPageBreak/>
              <w:t>Odliczenie różnicy kwot ekspozycji ważonych ryzykiem dla ekspozycji, których nie dotyczy niewykonanie zobowiązania, wobec MŚP (RWEA), które oblicza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czę</w:t>
            </w:r>
            <w:r w:rsidRPr="000644D4">
              <w:rPr>
                <w:rFonts w:ascii="Times New Roman" w:hAnsi="Times New Roman"/>
                <w:sz w:val="24"/>
              </w:rPr>
              <w:t>ścią trzecią tytuł II rozdział 3 rozporządzenia (UE) nr</w:t>
            </w:r>
            <w:r w:rsidR="000644D4" w:rsidRPr="000644D4">
              <w:rPr>
                <w:rFonts w:ascii="Times New Roman" w:hAnsi="Times New Roman"/>
                <w:sz w:val="24"/>
              </w:rPr>
              <w:t> </w:t>
            </w:r>
            <w:r w:rsidRPr="000644D4">
              <w:rPr>
                <w:rFonts w:ascii="Times New Roman" w:hAnsi="Times New Roman"/>
                <w:sz w:val="24"/>
              </w:rPr>
              <w:t>575/2013, stosownie do przypadku, i RWEA*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 tego rozporządzenia.</w:t>
            </w:r>
          </w:p>
        </w:tc>
      </w:tr>
      <w:tr w:rsidR="00FB3D09" w:rsidRPr="000644D4" w14:paraId="601EC6CE" w14:textId="77777777" w:rsidTr="00822842">
        <w:tc>
          <w:tcPr>
            <w:tcW w:w="1188" w:type="dxa"/>
          </w:tcPr>
          <w:p w14:paraId="4301D42E"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0257</w:t>
            </w:r>
          </w:p>
        </w:tc>
        <w:tc>
          <w:tcPr>
            <w:tcW w:w="8843" w:type="dxa"/>
          </w:tcPr>
          <w:p w14:paraId="3835B6DD"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KOREKTA KWOTY EKSPOZYCJI WAŻONEJ RYZYKIEM WYNIKAJĄCA ZE WSPÓŁCZYNNIKA WSPARCIA INFRASTRUKTURY</w:t>
            </w:r>
          </w:p>
          <w:p w14:paraId="7FB50F74" w14:textId="3039C5D0" w:rsidR="00FB3D09" w:rsidRPr="000644D4" w:rsidRDefault="00FB3D09" w:rsidP="00822842">
            <w:pPr>
              <w:rPr>
                <w:rFonts w:ascii="Times New Roman" w:hAnsi="Times New Roman"/>
                <w:b/>
                <w:sz w:val="24"/>
                <w:u w:val="single"/>
              </w:rPr>
            </w:pPr>
            <w:r w:rsidRPr="000644D4">
              <w:rPr>
                <w:rFonts w:ascii="Times New Roman" w:hAnsi="Times New Roman"/>
                <w:sz w:val="24"/>
              </w:rPr>
              <w:t>Odliczenie różnicy kwot ekspozycji ważonej ryzykiem obliczanych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czę</w:t>
            </w:r>
            <w:r w:rsidRPr="000644D4">
              <w:rPr>
                <w:rFonts w:ascii="Times New Roman" w:hAnsi="Times New Roman"/>
                <w:sz w:val="24"/>
              </w:rPr>
              <w:t>ścią trzecią tytuł II rozporządzenia (UE) nr</w:t>
            </w:r>
            <w:r w:rsidR="000644D4" w:rsidRPr="000644D4">
              <w:rPr>
                <w:rFonts w:ascii="Times New Roman" w:hAnsi="Times New Roman"/>
                <w:sz w:val="24"/>
              </w:rPr>
              <w:t> </w:t>
            </w:r>
            <w:r w:rsidRPr="000644D4">
              <w:rPr>
                <w:rFonts w:ascii="Times New Roman" w:hAnsi="Times New Roman"/>
                <w:sz w:val="24"/>
              </w:rPr>
              <w:t>575/2013 i RWEA skorygowanej</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yko kredytowe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wobec podmiotów, które obsługują lub finansują fizyczne obiekty lub instalacje, systemy</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sie</w:t>
            </w:r>
            <w:r w:rsidRPr="000644D4">
              <w:rPr>
                <w:rFonts w:ascii="Times New Roman" w:hAnsi="Times New Roman"/>
                <w:sz w:val="24"/>
              </w:rPr>
              <w:t>ci zapewniające lub wspierające podstawowe usługi publiczne,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xml:space="preserve">. 501a tego rozporządzenia. </w:t>
            </w:r>
          </w:p>
        </w:tc>
      </w:tr>
      <w:tr w:rsidR="00FB3D09" w:rsidRPr="000644D4" w14:paraId="01863AFF" w14:textId="77777777" w:rsidTr="00822842">
        <w:tc>
          <w:tcPr>
            <w:tcW w:w="1188" w:type="dxa"/>
            <w:shd w:val="clear" w:color="auto" w:fill="auto"/>
          </w:tcPr>
          <w:p w14:paraId="17BDBBCF" w14:textId="77777777" w:rsidR="00FB3D09" w:rsidRPr="000644D4" w:rsidRDefault="00FB3D09" w:rsidP="00822842">
            <w:pPr>
              <w:rPr>
                <w:rFonts w:ascii="Times New Roman" w:hAnsi="Times New Roman"/>
                <w:sz w:val="24"/>
              </w:rPr>
            </w:pPr>
            <w:r w:rsidRPr="000644D4">
              <w:rPr>
                <w:rFonts w:ascii="Times New Roman" w:hAnsi="Times New Roman"/>
                <w:sz w:val="24"/>
              </w:rPr>
              <w:t>0260</w:t>
            </w:r>
          </w:p>
        </w:tc>
        <w:tc>
          <w:tcPr>
            <w:tcW w:w="8843" w:type="dxa"/>
            <w:shd w:val="clear" w:color="auto" w:fill="auto"/>
          </w:tcPr>
          <w:p w14:paraId="64DAA80C"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 PO UWZGLĘDNIENIU WSPÓŁCZYNNIKÓW WSPARCIA</w:t>
            </w:r>
          </w:p>
          <w:p w14:paraId="336DC8E0" w14:textId="5D5763DC" w:rsidR="00FB3D09" w:rsidRPr="000644D4" w:rsidRDefault="00FB3D09" w:rsidP="00822842">
            <w:pPr>
              <w:rPr>
                <w:rFonts w:ascii="Times New Roman" w:hAnsi="Times New Roman"/>
                <w:sz w:val="24"/>
              </w:rPr>
            </w:pPr>
            <w:r w:rsidRPr="000644D4">
              <w:rPr>
                <w:rFonts w:ascii="Times New Roman" w:hAnsi="Times New Roman"/>
                <w:sz w:val="24"/>
              </w:rPr>
              <w:t>W przypadku ekspozycji wobec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ków centralnych oraz wobec przedsiębiorstw</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ins</w:t>
            </w:r>
            <w:r w:rsidRPr="000644D4">
              <w:rPr>
                <w:rFonts w:ascii="Times New Roman" w:hAnsi="Times New Roman"/>
                <w:sz w:val="24"/>
              </w:rPr>
              <w:t>tytucji zob. art. 153 ust. 1, 2, 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4</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ekspozycji detalicznych zob. art. 154 ust.</w:t>
            </w:r>
            <w:r w:rsidR="000644D4" w:rsidRPr="000644D4">
              <w:rPr>
                <w:rFonts w:ascii="Times New Roman" w:hAnsi="Times New Roman"/>
                <w:sz w:val="24"/>
              </w:rPr>
              <w:t> </w:t>
            </w:r>
            <w:r w:rsidRPr="000644D4">
              <w:rPr>
                <w:rFonts w:ascii="Times New Roman" w:hAnsi="Times New Roman"/>
                <w:sz w:val="24"/>
              </w:rPr>
              <w:t>1 rozporządzenia (UE) nr</w:t>
            </w:r>
            <w:r w:rsidR="000644D4" w:rsidRPr="000644D4">
              <w:rPr>
                <w:rFonts w:ascii="Times New Roman" w:hAnsi="Times New Roman"/>
                <w:sz w:val="24"/>
              </w:rPr>
              <w:t> </w:t>
            </w:r>
            <w:r w:rsidRPr="000644D4">
              <w:rPr>
                <w:rFonts w:ascii="Times New Roman" w:hAnsi="Times New Roman"/>
                <w:sz w:val="24"/>
              </w:rPr>
              <w:t>575/2013.</w:t>
            </w:r>
          </w:p>
          <w:p w14:paraId="15BFFE29" w14:textId="4DDF3E10" w:rsidR="00FB3D09" w:rsidRPr="000644D4" w:rsidRDefault="00FB3D09" w:rsidP="00822842">
            <w:pPr>
              <w:rPr>
                <w:rFonts w:ascii="Times New Roman" w:hAnsi="Times New Roman"/>
                <w:b/>
                <w:sz w:val="24"/>
                <w:u w:val="single"/>
              </w:rPr>
            </w:pPr>
            <w:r w:rsidRPr="000644D4">
              <w:rPr>
                <w:rFonts w:ascii="Times New Roman" w:hAnsi="Times New Roman"/>
                <w:sz w:val="24"/>
              </w:rPr>
              <w:t>Bierze się pod uwagę współczynniki wsparcia MŚP oraz infrastruktury 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01a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1E25EE5D" w14:textId="77777777" w:rsidTr="00822842">
        <w:tc>
          <w:tcPr>
            <w:tcW w:w="1188" w:type="dxa"/>
            <w:shd w:val="clear" w:color="auto" w:fill="auto"/>
          </w:tcPr>
          <w:p w14:paraId="159202C9" w14:textId="77777777" w:rsidR="00FB3D09" w:rsidRPr="000644D4" w:rsidRDefault="00FB3D09" w:rsidP="00822842">
            <w:pPr>
              <w:rPr>
                <w:rFonts w:ascii="Times New Roman" w:hAnsi="Times New Roman"/>
                <w:sz w:val="24"/>
              </w:rPr>
            </w:pPr>
            <w:r w:rsidRPr="000644D4">
              <w:rPr>
                <w:rFonts w:ascii="Times New Roman" w:hAnsi="Times New Roman"/>
                <w:sz w:val="24"/>
              </w:rPr>
              <w:t>0270</w:t>
            </w:r>
          </w:p>
        </w:tc>
        <w:tc>
          <w:tcPr>
            <w:tcW w:w="8843" w:type="dxa"/>
            <w:shd w:val="clear" w:color="auto" w:fill="auto"/>
          </w:tcPr>
          <w:p w14:paraId="1D818AB3"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 TYM: DUŻE PODMIOTY SEKTORA FINANSOWEGO ORAZ NIEREGULOWANE PODMIOTY FINANSOWE</w:t>
            </w:r>
          </w:p>
          <w:p w14:paraId="0DB2C46B" w14:textId="49C738D3" w:rsidR="00FB3D09" w:rsidRPr="000644D4" w:rsidDel="005A2363" w:rsidRDefault="00FB3D09" w:rsidP="00822842">
            <w:pPr>
              <w:rPr>
                <w:rFonts w:ascii="Times New Roman" w:hAnsi="Times New Roman"/>
                <w:sz w:val="24"/>
              </w:rPr>
            </w:pPr>
            <w:r w:rsidRPr="000644D4">
              <w:rPr>
                <w:rFonts w:ascii="Times New Roman" w:hAnsi="Times New Roman"/>
                <w:sz w:val="24"/>
              </w:rPr>
              <w:t>Podział kwoty ekspozycji ważonej ryzykiem po uwzględnieniu współczynnika wsparcia MŚP dla wszystkich ekspozycji wobec dużych podmiotów sektora finansowego zdefiniowanych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142 ust. 1 pkt</w:t>
            </w:r>
            <w:r w:rsidR="000644D4" w:rsidRPr="000644D4">
              <w:rPr>
                <w:rFonts w:ascii="Times New Roman" w:hAnsi="Times New Roman"/>
                <w:sz w:val="24"/>
              </w:rPr>
              <w:t> </w:t>
            </w:r>
            <w:r w:rsidRPr="000644D4">
              <w:rPr>
                <w:rFonts w:ascii="Times New Roman" w:hAnsi="Times New Roman"/>
                <w:sz w:val="24"/>
              </w:rPr>
              <w:t>4 rozporządzenia (UE) nr</w:t>
            </w:r>
            <w:r w:rsidR="000644D4" w:rsidRPr="000644D4">
              <w:rPr>
                <w:rFonts w:ascii="Times New Roman" w:hAnsi="Times New Roman"/>
                <w:sz w:val="24"/>
              </w:rPr>
              <w:t> </w:t>
            </w:r>
            <w:r w:rsidRPr="000644D4">
              <w:rPr>
                <w:rFonts w:ascii="Times New Roman" w:hAnsi="Times New Roman"/>
                <w:sz w:val="24"/>
              </w:rPr>
              <w:t>575/2013 oraz wobec nieregulowanych podmiotów sektora finansowego zdefiniowanych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142 ust. 1 pkt</w:t>
            </w:r>
            <w:r w:rsidR="000644D4" w:rsidRPr="000644D4">
              <w:rPr>
                <w:rFonts w:ascii="Times New Roman" w:hAnsi="Times New Roman"/>
                <w:sz w:val="24"/>
              </w:rPr>
              <w:t> </w:t>
            </w:r>
            <w:r w:rsidRPr="000644D4">
              <w:rPr>
                <w:rFonts w:ascii="Times New Roman" w:hAnsi="Times New Roman"/>
                <w:sz w:val="24"/>
              </w:rPr>
              <w:t>5 tego rozporządzenia</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zas</w:t>
            </w:r>
            <w:r w:rsidRPr="000644D4">
              <w:rPr>
                <w:rFonts w:ascii="Times New Roman" w:hAnsi="Times New Roman"/>
                <w:sz w:val="24"/>
              </w:rPr>
              <w:t>trzeżeniem wyższego współczynnika korelacji określonej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2 tego rozporządzenia.</w:t>
            </w:r>
          </w:p>
        </w:tc>
      </w:tr>
      <w:tr w:rsidR="00FB3D09" w:rsidRPr="000644D4" w14:paraId="60FB0B14" w14:textId="77777777" w:rsidTr="00822842">
        <w:tc>
          <w:tcPr>
            <w:tcW w:w="1188" w:type="dxa"/>
          </w:tcPr>
          <w:p w14:paraId="30362B6F" w14:textId="77777777" w:rsidR="00FB3D09" w:rsidRPr="000644D4" w:rsidRDefault="00FB3D09" w:rsidP="00822842">
            <w:pPr>
              <w:rPr>
                <w:rFonts w:ascii="Times New Roman" w:hAnsi="Times New Roman"/>
                <w:sz w:val="24"/>
              </w:rPr>
            </w:pPr>
            <w:r w:rsidRPr="000644D4">
              <w:rPr>
                <w:rFonts w:ascii="Times New Roman" w:hAnsi="Times New Roman"/>
                <w:sz w:val="24"/>
              </w:rPr>
              <w:t>0280</w:t>
            </w:r>
          </w:p>
        </w:tc>
        <w:tc>
          <w:tcPr>
            <w:tcW w:w="8843" w:type="dxa"/>
          </w:tcPr>
          <w:p w14:paraId="292D01A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OCZEKIWANEJ STRATY</w:t>
            </w:r>
          </w:p>
          <w:p w14:paraId="3EA527F7" w14:textId="249A3A0F" w:rsidR="00FB3D09" w:rsidRPr="000644D4" w:rsidRDefault="00FB3D09" w:rsidP="00822842">
            <w:pPr>
              <w:jc w:val="left"/>
              <w:rPr>
                <w:rFonts w:ascii="Times New Roman" w:hAnsi="Times New Roman"/>
                <w:sz w:val="24"/>
              </w:rPr>
            </w:pPr>
            <w:r w:rsidRPr="000644D4">
              <w:rPr>
                <w:rFonts w:ascii="Times New Roman" w:hAnsi="Times New Roman"/>
                <w:sz w:val="24"/>
              </w:rPr>
              <w:t>Definicja oczekiwanej straty – zob. art. 5 pkt</w:t>
            </w:r>
            <w:r w:rsidR="000644D4" w:rsidRPr="000644D4">
              <w:rPr>
                <w:rFonts w:ascii="Times New Roman" w:hAnsi="Times New Roman"/>
                <w:sz w:val="24"/>
              </w:rPr>
              <w:t> </w:t>
            </w:r>
            <w:r w:rsidRPr="000644D4">
              <w:rPr>
                <w:rFonts w:ascii="Times New Roman" w:hAnsi="Times New Roman"/>
                <w:sz w:val="24"/>
              </w:rPr>
              <w:t>3 rozporządzenia (UE) nr</w:t>
            </w:r>
            <w:r w:rsidR="000644D4" w:rsidRPr="000644D4">
              <w:rPr>
                <w:rFonts w:ascii="Times New Roman" w:hAnsi="Times New Roman"/>
                <w:sz w:val="24"/>
              </w:rPr>
              <w:t> </w:t>
            </w:r>
            <w:r w:rsidRPr="000644D4">
              <w:rPr>
                <w:rFonts w:ascii="Times New Roman" w:hAnsi="Times New Roman"/>
                <w:sz w:val="24"/>
              </w:rPr>
              <w:t>575/2013; obliczanie kwoty oczekiwanej straty – zob. art. 158 tego rozporządzenia</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których dotyczy niewykonanie zobowiązania, zob. art. 181 ust. 1 lit. h) rozporządzenia (UE) nr</w:t>
            </w:r>
            <w:r w:rsidR="000644D4" w:rsidRPr="000644D4">
              <w:rPr>
                <w:rFonts w:ascii="Times New Roman" w:hAnsi="Times New Roman"/>
                <w:sz w:val="24"/>
              </w:rPr>
              <w:t> </w:t>
            </w:r>
            <w:r w:rsidRPr="000644D4">
              <w:rPr>
                <w:rFonts w:ascii="Times New Roman" w:hAnsi="Times New Roman"/>
                <w:sz w:val="24"/>
              </w:rPr>
              <w:t>575/2013. Kwota oczekiwanej straty, którą należy zgłosić, opiera się na parametrach ryzyka rzeczywiście wykorzystywanych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ska</w:t>
            </w:r>
            <w:r w:rsidRPr="000644D4">
              <w:rPr>
                <w:rFonts w:ascii="Times New Roman" w:hAnsi="Times New Roman"/>
                <w:sz w:val="24"/>
              </w:rPr>
              <w:t>li ratingu wewnętrznego zatwierdzonej przez właściwy organ.</w:t>
            </w:r>
          </w:p>
        </w:tc>
      </w:tr>
      <w:tr w:rsidR="00FB3D09" w:rsidRPr="000644D4" w14:paraId="78AB62DA" w14:textId="77777777" w:rsidTr="00822842">
        <w:tc>
          <w:tcPr>
            <w:tcW w:w="1188" w:type="dxa"/>
          </w:tcPr>
          <w:p w14:paraId="19E4E66B" w14:textId="77777777" w:rsidR="00FB3D09" w:rsidRPr="000644D4" w:rsidRDefault="00FB3D09" w:rsidP="00822842">
            <w:pPr>
              <w:rPr>
                <w:rFonts w:ascii="Times New Roman" w:hAnsi="Times New Roman"/>
                <w:sz w:val="24"/>
              </w:rPr>
            </w:pPr>
            <w:r w:rsidRPr="000644D4">
              <w:rPr>
                <w:rFonts w:ascii="Times New Roman" w:hAnsi="Times New Roman"/>
                <w:sz w:val="24"/>
              </w:rPr>
              <w:t>0290</w:t>
            </w:r>
          </w:p>
        </w:tc>
        <w:tc>
          <w:tcPr>
            <w:tcW w:w="8843" w:type="dxa"/>
          </w:tcPr>
          <w:p w14:paraId="7D685CC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KOREKTY WARTOŚCI I REZERWY</w:t>
            </w:r>
          </w:p>
          <w:p w14:paraId="27BC2A31" w14:textId="06C82E6F" w:rsidR="00FB3D09" w:rsidRPr="000644D4" w:rsidRDefault="00FB3D09" w:rsidP="00822842">
            <w:pPr>
              <w:rPr>
                <w:rFonts w:ascii="Times New Roman" w:hAnsi="Times New Roman"/>
                <w:sz w:val="24"/>
              </w:rPr>
            </w:pPr>
            <w:r w:rsidRPr="000644D4">
              <w:rPr>
                <w:rFonts w:ascii="Times New Roman" w:hAnsi="Times New Roman"/>
                <w:sz w:val="24"/>
              </w:rPr>
              <w:t>Zgłasza się korekty wartości oraz korekty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szczególnego</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ogó</w:t>
            </w:r>
            <w:r w:rsidRPr="000644D4">
              <w:rPr>
                <w:rFonts w:ascii="Times New Roman" w:hAnsi="Times New Roman"/>
                <w:sz w:val="24"/>
              </w:rPr>
              <w:t>lnego ryzyka kredytowego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159 rozporządzenia (UE) nr</w:t>
            </w:r>
            <w:r w:rsidR="000644D4" w:rsidRPr="000644D4">
              <w:rPr>
                <w:rFonts w:ascii="Times New Roman" w:hAnsi="Times New Roman"/>
                <w:sz w:val="24"/>
              </w:rPr>
              <w:t> </w:t>
            </w:r>
            <w:r w:rsidRPr="000644D4">
              <w:rPr>
                <w:rFonts w:ascii="Times New Roman" w:hAnsi="Times New Roman"/>
                <w:sz w:val="24"/>
              </w:rPr>
              <w:t>575/2013. Korekty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ogólnego ryzyka kredytowego zgłasza się poprzez przypisanie kwoty proporcjonalnej na podstawie oczekiwanej straty</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róż</w:t>
            </w:r>
            <w:r w:rsidRPr="000644D4">
              <w:rPr>
                <w:rFonts w:ascii="Times New Roman" w:hAnsi="Times New Roman"/>
                <w:sz w:val="24"/>
              </w:rPr>
              <w:t>nych klasach jakości dłużnika.</w:t>
            </w:r>
          </w:p>
        </w:tc>
      </w:tr>
      <w:tr w:rsidR="00FB3D09" w:rsidRPr="000644D4" w14:paraId="21C57CE6" w14:textId="77777777" w:rsidTr="00822842">
        <w:tc>
          <w:tcPr>
            <w:tcW w:w="1188" w:type="dxa"/>
          </w:tcPr>
          <w:p w14:paraId="61FC4938" w14:textId="77777777" w:rsidR="00FB3D09" w:rsidRPr="000644D4" w:rsidRDefault="00FB3D09" w:rsidP="00822842">
            <w:pPr>
              <w:ind w:right="-288"/>
              <w:rPr>
                <w:rFonts w:ascii="Times New Roman" w:hAnsi="Times New Roman"/>
                <w:sz w:val="24"/>
              </w:rPr>
            </w:pPr>
            <w:r w:rsidRPr="000644D4">
              <w:rPr>
                <w:rFonts w:ascii="Times New Roman" w:hAnsi="Times New Roman"/>
                <w:sz w:val="24"/>
              </w:rPr>
              <w:t>0300</w:t>
            </w:r>
          </w:p>
        </w:tc>
        <w:tc>
          <w:tcPr>
            <w:tcW w:w="8843" w:type="dxa"/>
          </w:tcPr>
          <w:p w14:paraId="2691C548" w14:textId="77777777" w:rsidR="00FB3D09" w:rsidRPr="000644D4" w:rsidRDefault="00FB3D09" w:rsidP="00822842">
            <w:pPr>
              <w:ind w:right="-288"/>
              <w:rPr>
                <w:rFonts w:ascii="Times New Roman" w:hAnsi="Times New Roman"/>
                <w:b/>
                <w:sz w:val="24"/>
                <w:u w:val="single"/>
              </w:rPr>
            </w:pPr>
            <w:r w:rsidRPr="000644D4">
              <w:rPr>
                <w:rFonts w:ascii="Times New Roman" w:hAnsi="Times New Roman"/>
                <w:b/>
                <w:sz w:val="24"/>
                <w:u w:val="single"/>
              </w:rPr>
              <w:t>LICZBA DŁUŻNIKÓW</w:t>
            </w:r>
          </w:p>
          <w:p w14:paraId="414A3020" w14:textId="36231F18" w:rsidR="00FB3D09" w:rsidRPr="000644D4" w:rsidRDefault="00FB3D09" w:rsidP="00822842">
            <w:pPr>
              <w:rPr>
                <w:rFonts w:ascii="Times New Roman" w:hAnsi="Times New Roman"/>
                <w:sz w:val="24"/>
              </w:rPr>
            </w:pPr>
            <w:r w:rsidRPr="000644D4">
              <w:rPr>
                <w:rFonts w:ascii="Times New Roman" w:hAnsi="Times New Roman"/>
                <w:sz w:val="24"/>
              </w:rPr>
              <w:t>Art. 172 ust.</w:t>
            </w:r>
            <w:r w:rsidR="000644D4" w:rsidRPr="000644D4">
              <w:rPr>
                <w:rFonts w:ascii="Times New Roman" w:hAnsi="Times New Roman"/>
                <w:sz w:val="24"/>
              </w:rPr>
              <w:t> </w:t>
            </w:r>
            <w:r w:rsidRPr="000644D4">
              <w:rPr>
                <w:rFonts w:ascii="Times New Roman" w:hAnsi="Times New Roman"/>
                <w:sz w:val="24"/>
              </w:rPr>
              <w:t>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2</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p>
          <w:p w14:paraId="562514B7" w14:textId="0C6558B3" w:rsidR="00FB3D09" w:rsidRPr="000644D4" w:rsidRDefault="00FB3D09" w:rsidP="00822842">
            <w:pPr>
              <w:rPr>
                <w:rFonts w:ascii="Times New Roman" w:hAnsi="Times New Roman"/>
                <w:sz w:val="24"/>
              </w:rPr>
            </w:pPr>
            <w:r w:rsidRPr="000644D4">
              <w:rPr>
                <w:rFonts w:ascii="Times New Roman" w:hAnsi="Times New Roman"/>
                <w:sz w:val="24"/>
              </w:rPr>
              <w:lastRenderedPageBreak/>
              <w:t>Dla wszystkich kategorii ekspozycji,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wyj</w:t>
            </w:r>
            <w:r w:rsidRPr="000644D4">
              <w:rPr>
                <w:rFonts w:ascii="Times New Roman" w:hAnsi="Times New Roman"/>
                <w:sz w:val="24"/>
              </w:rPr>
              <w:t>ątkiem kategorii ekspozycji detalicznych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ypadków wymienionych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172 ust. 1 lit. e) zdanie drugie rozporządzenia (UE) nr</w:t>
            </w:r>
            <w:r w:rsidR="000644D4" w:rsidRPr="000644D4">
              <w:rPr>
                <w:rFonts w:ascii="Times New Roman" w:hAnsi="Times New Roman"/>
                <w:sz w:val="24"/>
              </w:rPr>
              <w:t> </w:t>
            </w:r>
            <w:r w:rsidRPr="000644D4">
              <w:rPr>
                <w:rFonts w:ascii="Times New Roman" w:hAnsi="Times New Roman"/>
                <w:sz w:val="24"/>
              </w:rPr>
              <w:t xml:space="preserve">575/2013, instytucje zgłaszają liczbę podmiotów prawnych/dłużników, których oceniono oddzielnie, niezależnie od liczby różnych przyznanych pożyczek lub ekspozycji. </w:t>
            </w:r>
          </w:p>
          <w:p w14:paraId="67988932" w14:textId="3F351534" w:rsidR="00FB3D09" w:rsidRPr="000644D4" w:rsidRDefault="00FB3D09" w:rsidP="00822842">
            <w:pPr>
              <w:rPr>
                <w:rFonts w:ascii="Times New Roman" w:hAnsi="Times New Roman"/>
                <w:sz w:val="24"/>
              </w:rPr>
            </w:pPr>
            <w:r w:rsidRPr="000644D4">
              <w:rPr>
                <w:rFonts w:ascii="Times New Roman" w:hAnsi="Times New Roman"/>
                <w:sz w:val="24"/>
              </w:rPr>
              <w:t>W obrębie kategorii ekspozycji detalicznych lub jeżeli odrębne ekspozycje wobec tego samego dłużnika są przypisane do różnych klas jakości dłużnika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172 ust. 1 lit. e) zdanie drugie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inn</w:t>
            </w:r>
            <w:r w:rsidRPr="000644D4">
              <w:rPr>
                <w:rFonts w:ascii="Times New Roman" w:hAnsi="Times New Roman"/>
                <w:sz w:val="24"/>
              </w:rPr>
              <w:t>ych kategoriach ekspozycji, instytucje zgłaszają liczbę ekspozycji, które zostały oddzielnie przypisane do określonej klasy jakości lub puli. Jeżeli art. 172 ust. 2 rozporządzenia (UE) nr</w:t>
            </w:r>
            <w:r w:rsidR="000644D4" w:rsidRPr="000644D4">
              <w:rPr>
                <w:rFonts w:ascii="Times New Roman" w:hAnsi="Times New Roman"/>
                <w:sz w:val="24"/>
              </w:rPr>
              <w:t> </w:t>
            </w:r>
            <w:r w:rsidRPr="000644D4">
              <w:rPr>
                <w:rFonts w:ascii="Times New Roman" w:hAnsi="Times New Roman"/>
                <w:sz w:val="24"/>
              </w:rPr>
              <w:t>575/2013 ma zastosowanie, dłużnik może zostać uwzględniony</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wię</w:t>
            </w:r>
            <w:r w:rsidRPr="000644D4">
              <w:rPr>
                <w:rFonts w:ascii="Times New Roman" w:hAnsi="Times New Roman"/>
                <w:sz w:val="24"/>
              </w:rPr>
              <w:t>cej niż jednej klasie jakości.</w:t>
            </w:r>
          </w:p>
          <w:p w14:paraId="61D41F66" w14:textId="77777777" w:rsidR="00FB3D09" w:rsidRPr="000644D4" w:rsidRDefault="00FB3D09" w:rsidP="00822842">
            <w:pPr>
              <w:rPr>
                <w:rFonts w:ascii="Times New Roman" w:hAnsi="Times New Roman"/>
                <w:sz w:val="24"/>
              </w:rPr>
            </w:pPr>
            <w:r w:rsidRPr="000644D4">
              <w:rPr>
                <w:rStyle w:val="InstructionsTabelleText"/>
                <w:rFonts w:ascii="Times New Roman" w:hAnsi="Times New Roman"/>
                <w:sz w:val="24"/>
              </w:rPr>
              <w:t>Jako że kolumna ta dotyczy elementu struktury skal ratingowych, odnosi się do pierwotnej ekspozycji przed uwzględnieniem współczynników konwersji przypisanych do każdej klasy jakości lub puli dłużnika bez brania pod uwagę efektu technik ograniczania ryzyka kredytowego (w szczególności efektów redystrybucji).</w:t>
            </w:r>
          </w:p>
        </w:tc>
      </w:tr>
      <w:tr w:rsidR="00FB3D09" w:rsidRPr="000644D4" w14:paraId="387DE7F0" w14:textId="77777777" w:rsidTr="00822842">
        <w:tc>
          <w:tcPr>
            <w:tcW w:w="1188" w:type="dxa"/>
          </w:tcPr>
          <w:p w14:paraId="30554C29" w14:textId="77777777" w:rsidR="00FB3D09" w:rsidRPr="000644D4" w:rsidRDefault="00FB3D09" w:rsidP="00822842">
            <w:pPr>
              <w:ind w:right="-288"/>
              <w:rPr>
                <w:rFonts w:ascii="Times New Roman" w:hAnsi="Times New Roman"/>
                <w:sz w:val="24"/>
              </w:rPr>
            </w:pPr>
            <w:r w:rsidRPr="000644D4">
              <w:rPr>
                <w:rFonts w:ascii="Times New Roman" w:hAnsi="Times New Roman"/>
                <w:sz w:val="24"/>
              </w:rPr>
              <w:lastRenderedPageBreak/>
              <w:t>0310</w:t>
            </w:r>
          </w:p>
        </w:tc>
        <w:tc>
          <w:tcPr>
            <w:tcW w:w="8843" w:type="dxa"/>
          </w:tcPr>
          <w:p w14:paraId="53579B1B" w14:textId="77777777" w:rsidR="00FB3D09" w:rsidRPr="000644D4" w:rsidRDefault="00FB3D09" w:rsidP="00822842">
            <w:pPr>
              <w:ind w:right="-288"/>
              <w:rPr>
                <w:rFonts w:ascii="Times New Roman" w:hAnsi="Times New Roman"/>
                <w:b/>
                <w:sz w:val="24"/>
                <w:u w:val="single"/>
              </w:rPr>
            </w:pPr>
            <w:r w:rsidRPr="000644D4">
              <w:rPr>
                <w:rFonts w:ascii="Times New Roman" w:hAnsi="Times New Roman"/>
                <w:b/>
                <w:sz w:val="24"/>
                <w:u w:val="single"/>
              </w:rPr>
              <w:t>KWOTA EKSPOZYCJI WAŻONEJ RYZYKIEM PRZY NIEUWZGLĘDNIENIU KREDYTOWYCH INSTRUMENTÓW POCHODNYCH</w:t>
            </w:r>
          </w:p>
          <w:p w14:paraId="62E64F52" w14:textId="0BC9314E" w:rsidR="00FB3D09" w:rsidRPr="000644D4" w:rsidRDefault="00FB3D09" w:rsidP="00822842">
            <w:pPr>
              <w:ind w:right="6"/>
              <w:rPr>
                <w:rFonts w:ascii="Times New Roman" w:hAnsi="Times New Roman"/>
                <w:b/>
                <w:sz w:val="24"/>
                <w:u w:val="single"/>
              </w:rPr>
            </w:pPr>
            <w:r w:rsidRPr="000644D4">
              <w:rPr>
                <w:rStyle w:val="InstructionsTabelleText"/>
                <w:rFonts w:ascii="Times New Roman" w:hAnsi="Times New Roman"/>
                <w:sz w:val="24"/>
              </w:rPr>
              <w:t>Instytucje zgłaszają hipotetyczną kwotę ekspozycji ważonej ryzykiem, którą oblicza się jako RWEA bez uznawania kwalifikującego się kredytowego instrumentu pochodnego jako techniki ograniczania ryzyka kredytowego, jak określono</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art</w:t>
            </w:r>
            <w:r w:rsidRPr="000644D4">
              <w:rPr>
                <w:rStyle w:val="InstructionsTabelleText"/>
                <w:rFonts w:ascii="Times New Roman" w:hAnsi="Times New Roman"/>
                <w:sz w:val="24"/>
              </w:rPr>
              <w:t>. 204</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Pr="000644D4">
              <w:rPr>
                <w:rStyle w:val="InstructionsTabelleText"/>
                <w:rFonts w:ascii="Times New Roman" w:hAnsi="Times New Roman"/>
                <w:sz w:val="24"/>
              </w:rPr>
              <w:t>. Kwoty te przedstawia się</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kat</w:t>
            </w:r>
            <w:r w:rsidRPr="000644D4">
              <w:rPr>
                <w:rStyle w:val="InstructionsTabelleText"/>
                <w:rFonts w:ascii="Times New Roman" w:hAnsi="Times New Roman"/>
                <w:sz w:val="24"/>
              </w:rPr>
              <w:t>egoriach ekspozycji istotnych dla ekspozycji wobec dłużnika pierwotnego.</w:t>
            </w:r>
          </w:p>
        </w:tc>
      </w:tr>
    </w:tbl>
    <w:p w14:paraId="5137B249" w14:textId="77777777" w:rsidR="00FB3D09" w:rsidRPr="000644D4"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0644D4" w14:paraId="182DA561" w14:textId="77777777" w:rsidTr="00822842">
        <w:tc>
          <w:tcPr>
            <w:tcW w:w="1242" w:type="dxa"/>
            <w:shd w:val="clear" w:color="auto" w:fill="CCCCCC"/>
          </w:tcPr>
          <w:p w14:paraId="60BF7B07" w14:textId="77777777" w:rsidR="00FB3D09" w:rsidRPr="000644D4" w:rsidRDefault="00FB3D09" w:rsidP="00822842">
            <w:pPr>
              <w:rPr>
                <w:rFonts w:ascii="Times New Roman" w:hAnsi="Times New Roman"/>
                <w:sz w:val="24"/>
              </w:rPr>
            </w:pPr>
            <w:r w:rsidRPr="000644D4">
              <w:rPr>
                <w:rFonts w:ascii="Times New Roman" w:hAnsi="Times New Roman"/>
                <w:sz w:val="24"/>
              </w:rPr>
              <w:t>Wiersze</w:t>
            </w:r>
          </w:p>
        </w:tc>
        <w:tc>
          <w:tcPr>
            <w:tcW w:w="8789" w:type="dxa"/>
            <w:shd w:val="clear" w:color="auto" w:fill="CCCCCC"/>
          </w:tcPr>
          <w:p w14:paraId="2CDF9396" w14:textId="77777777" w:rsidR="00FB3D09" w:rsidRPr="000644D4" w:rsidRDefault="00FB3D09" w:rsidP="00822842">
            <w:pPr>
              <w:ind w:left="72"/>
              <w:rPr>
                <w:rFonts w:ascii="Times New Roman" w:hAnsi="Times New Roman"/>
                <w:sz w:val="24"/>
              </w:rPr>
            </w:pPr>
            <w:r w:rsidRPr="000644D4">
              <w:rPr>
                <w:rFonts w:ascii="Times New Roman" w:hAnsi="Times New Roman"/>
                <w:sz w:val="24"/>
              </w:rPr>
              <w:t>Instrukcje</w:t>
            </w:r>
          </w:p>
        </w:tc>
      </w:tr>
      <w:tr w:rsidR="00FB3D09" w:rsidRPr="000644D4" w14:paraId="262380DA" w14:textId="77777777" w:rsidTr="00822842">
        <w:tc>
          <w:tcPr>
            <w:tcW w:w="1242" w:type="dxa"/>
          </w:tcPr>
          <w:p w14:paraId="2A2E4372" w14:textId="77777777" w:rsidR="00FB3D09" w:rsidRPr="000644D4" w:rsidRDefault="00FB3D09" w:rsidP="00822842">
            <w:pPr>
              <w:rPr>
                <w:rFonts w:ascii="Times New Roman" w:hAnsi="Times New Roman"/>
                <w:sz w:val="24"/>
              </w:rPr>
            </w:pPr>
            <w:r w:rsidRPr="000644D4">
              <w:rPr>
                <w:rFonts w:ascii="Times New Roman" w:hAnsi="Times New Roman"/>
                <w:sz w:val="24"/>
              </w:rPr>
              <w:t>0010</w:t>
            </w:r>
          </w:p>
        </w:tc>
        <w:tc>
          <w:tcPr>
            <w:tcW w:w="8789" w:type="dxa"/>
          </w:tcPr>
          <w:p w14:paraId="4BDE31A6" w14:textId="77777777" w:rsidR="00FB3D09" w:rsidRPr="000644D4" w:rsidRDefault="00FB3D09" w:rsidP="00822842">
            <w:pPr>
              <w:rPr>
                <w:rFonts w:ascii="Times New Roman" w:hAnsi="Times New Roman"/>
                <w:sz w:val="24"/>
              </w:rPr>
            </w:pPr>
            <w:r w:rsidRPr="000644D4">
              <w:rPr>
                <w:rFonts w:ascii="Times New Roman" w:hAnsi="Times New Roman"/>
                <w:b/>
                <w:sz w:val="24"/>
                <w:u w:val="single"/>
              </w:rPr>
              <w:t>EKSPOZYCJE CAŁKOWITE</w:t>
            </w:r>
          </w:p>
        </w:tc>
      </w:tr>
      <w:tr w:rsidR="00FB3D09" w:rsidRPr="000644D4" w14:paraId="510EDBE9" w14:textId="77777777" w:rsidTr="00822842">
        <w:tc>
          <w:tcPr>
            <w:tcW w:w="1242" w:type="dxa"/>
          </w:tcPr>
          <w:p w14:paraId="3B12F2FA" w14:textId="77777777" w:rsidR="00FB3D09" w:rsidRPr="000644D4" w:rsidRDefault="00FB3D09" w:rsidP="00822842">
            <w:pPr>
              <w:rPr>
                <w:rFonts w:ascii="Times New Roman" w:hAnsi="Times New Roman"/>
                <w:sz w:val="24"/>
              </w:rPr>
            </w:pPr>
            <w:r w:rsidRPr="000644D4">
              <w:rPr>
                <w:rFonts w:ascii="Times New Roman" w:hAnsi="Times New Roman"/>
                <w:sz w:val="24"/>
              </w:rPr>
              <w:t>0015</w:t>
            </w:r>
          </w:p>
        </w:tc>
        <w:tc>
          <w:tcPr>
            <w:tcW w:w="8789" w:type="dxa"/>
          </w:tcPr>
          <w:p w14:paraId="61003B1B"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 tym: ekspozycje podlegające współczynnikowi wsparcia MŚP</w:t>
            </w:r>
          </w:p>
          <w:p w14:paraId="60E8764A" w14:textId="6E59C8DA" w:rsidR="00FB3D09" w:rsidRPr="000644D4" w:rsidRDefault="00FB3D09" w:rsidP="00822842">
            <w:pPr>
              <w:rPr>
                <w:rFonts w:ascii="Times New Roman" w:hAnsi="Times New Roman"/>
                <w:sz w:val="24"/>
              </w:rPr>
            </w:pPr>
            <w:r w:rsidRPr="000644D4">
              <w:rPr>
                <w:rFonts w:ascii="Times New Roman" w:hAnsi="Times New Roman"/>
                <w:sz w:val="24"/>
              </w:rPr>
              <w:t>W tym miejscu zgłasza się wyłącznie ekspozycje, które spełniają wymogi 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5CCB93AD" w14:textId="77777777" w:rsidTr="00822842">
        <w:tc>
          <w:tcPr>
            <w:tcW w:w="1242" w:type="dxa"/>
          </w:tcPr>
          <w:p w14:paraId="42174A1E" w14:textId="77777777" w:rsidR="00FB3D09" w:rsidRPr="000644D4" w:rsidRDefault="00FB3D09" w:rsidP="00822842">
            <w:pPr>
              <w:rPr>
                <w:rFonts w:ascii="Times New Roman" w:hAnsi="Times New Roman"/>
                <w:sz w:val="24"/>
              </w:rPr>
            </w:pPr>
            <w:r w:rsidRPr="000644D4">
              <w:rPr>
                <w:rFonts w:ascii="Times New Roman" w:hAnsi="Times New Roman"/>
                <w:sz w:val="24"/>
              </w:rPr>
              <w:t>0016</w:t>
            </w:r>
          </w:p>
        </w:tc>
        <w:tc>
          <w:tcPr>
            <w:tcW w:w="8789" w:type="dxa"/>
          </w:tcPr>
          <w:p w14:paraId="12833DE3"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 tym: ekspozycje podlegające współczynnikowi wsparcia infrastruktury</w:t>
            </w:r>
          </w:p>
          <w:p w14:paraId="4FE9F0E6" w14:textId="045A6D9B" w:rsidR="00FB3D09" w:rsidRPr="000644D4" w:rsidRDefault="00FB3D09" w:rsidP="00822842">
            <w:pPr>
              <w:rPr>
                <w:rFonts w:ascii="Times New Roman" w:hAnsi="Times New Roman"/>
                <w:bCs/>
                <w:sz w:val="24"/>
                <w:u w:val="single"/>
              </w:rPr>
            </w:pPr>
            <w:r w:rsidRPr="000644D4">
              <w:rPr>
                <w:rFonts w:ascii="Times New Roman" w:hAnsi="Times New Roman"/>
                <w:sz w:val="24"/>
              </w:rPr>
              <w:t>W tym miejscu zgłasza się wyłącznie ekspozycje, które spełniają wymogi 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501a rozporządzenia (UE) nr</w:t>
            </w:r>
            <w:r w:rsidR="000644D4" w:rsidRPr="000644D4">
              <w:rPr>
                <w:rFonts w:ascii="Times New Roman" w:hAnsi="Times New Roman"/>
                <w:sz w:val="24"/>
              </w:rPr>
              <w:t> </w:t>
            </w:r>
            <w:r w:rsidRPr="000644D4">
              <w:rPr>
                <w:rFonts w:ascii="Times New Roman" w:hAnsi="Times New Roman"/>
                <w:sz w:val="24"/>
              </w:rPr>
              <w:t>575/2013.</w:t>
            </w:r>
          </w:p>
        </w:tc>
      </w:tr>
      <w:tr w:rsidR="005E354B" w:rsidRPr="000644D4"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0644D4" w:rsidRDefault="005E354B" w:rsidP="0092576B">
            <w:pPr>
              <w:rPr>
                <w:rStyle w:val="FormatvorlageInstructionsTabelleText"/>
                <w:rFonts w:ascii="Times New Roman" w:hAnsi="Times New Roman"/>
                <w:bCs w:val="0"/>
                <w:sz w:val="24"/>
              </w:rPr>
            </w:pPr>
            <w:r w:rsidRPr="000644D4">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0644D4" w:rsidRDefault="005E354B" w:rsidP="0092576B">
            <w:pPr>
              <w:rPr>
                <w:rStyle w:val="InstructionsTabelleberschrift"/>
                <w:rFonts w:ascii="Times New Roman" w:hAnsi="Times New Roman"/>
                <w:bCs w:val="0"/>
                <w:sz w:val="24"/>
              </w:rPr>
            </w:pPr>
            <w:r w:rsidRPr="000644D4">
              <w:rPr>
                <w:rStyle w:val="InstructionsTabelleberschrift"/>
                <w:rFonts w:ascii="Times New Roman" w:hAnsi="Times New Roman"/>
                <w:sz w:val="24"/>
              </w:rPr>
              <w:t xml:space="preserve">w tym: ekspozycje zabezpieczone hipotekami na nieruchomościach mieszkalnych – ekspozycje niebędące ekspozycjami IPRE </w:t>
            </w:r>
          </w:p>
          <w:p w14:paraId="78370D9A" w14:textId="44392E79" w:rsidR="005E354B" w:rsidRPr="000644D4" w:rsidRDefault="005E354B" w:rsidP="0092576B">
            <w:pPr>
              <w:rPr>
                <w:rStyle w:val="InstructionsTabelleberschrift"/>
                <w:rFonts w:ascii="Times New Roman" w:hAnsi="Times New Roman"/>
                <w:sz w:val="24"/>
                <w:u w:val="none"/>
              </w:rPr>
            </w:pPr>
            <w:r w:rsidRPr="000644D4">
              <w:rPr>
                <w:rFonts w:ascii="Times New Roman" w:hAnsi="Times New Roman"/>
                <w:sz w:val="24"/>
              </w:rPr>
              <w:t>Ekspozycje, które są zabezpieczone nieruchomościami mieszkalnymi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def</w:t>
            </w:r>
            <w:r w:rsidRPr="000644D4">
              <w:rPr>
                <w:rFonts w:ascii="Times New Roman" w:hAnsi="Times New Roman"/>
                <w:sz w:val="24"/>
              </w:rPr>
              <w:t>inicją zawartą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75d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re także odpowiadają definicji zawartej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75c rozporządzenia (UE) nr</w:t>
            </w:r>
            <w:r w:rsidR="000644D4" w:rsidRPr="000644D4">
              <w:rPr>
                <w:rFonts w:ascii="Times New Roman" w:hAnsi="Times New Roman"/>
                <w:sz w:val="24"/>
              </w:rPr>
              <w:t> </w:t>
            </w:r>
            <w:r w:rsidRPr="000644D4">
              <w:rPr>
                <w:rFonts w:ascii="Times New Roman" w:hAnsi="Times New Roman"/>
                <w:sz w:val="24"/>
              </w:rPr>
              <w:t>575/2013.</w:t>
            </w:r>
          </w:p>
        </w:tc>
      </w:tr>
      <w:tr w:rsidR="005E354B" w:rsidRPr="000644D4"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0644D4" w:rsidRDefault="005E354B" w:rsidP="0092576B">
            <w:pPr>
              <w:rPr>
                <w:rStyle w:val="FormatvorlageInstructionsTabelleText"/>
                <w:rFonts w:ascii="Times New Roman" w:hAnsi="Times New Roman"/>
                <w:bCs w:val="0"/>
                <w:sz w:val="24"/>
              </w:rPr>
            </w:pPr>
            <w:r w:rsidRPr="000644D4">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579B1756" w:rsidR="005E354B" w:rsidRPr="000644D4" w:rsidRDefault="005E354B" w:rsidP="0092576B">
            <w:pPr>
              <w:rPr>
                <w:rStyle w:val="InstructionsTabelleberschrift"/>
                <w:rFonts w:ascii="Times New Roman" w:hAnsi="Times New Roman"/>
                <w:bCs w:val="0"/>
                <w:sz w:val="24"/>
              </w:rPr>
            </w:pPr>
            <w:r w:rsidRPr="000644D4">
              <w:rPr>
                <w:rStyle w:val="InstructionsTabelleberschrift"/>
                <w:rFonts w:ascii="Times New Roman" w:hAnsi="Times New Roman"/>
                <w:sz w:val="24"/>
              </w:rPr>
              <w:t>w tym: ekspozycje zabezpieczone hipotekami na nieruchomościach mieszkalnych – ekspozycje IPRE</w:t>
            </w:r>
          </w:p>
          <w:p w14:paraId="0DF45C4E" w14:textId="760CC707" w:rsidR="005E354B" w:rsidRPr="000644D4" w:rsidRDefault="005E354B" w:rsidP="0092576B">
            <w:pPr>
              <w:rPr>
                <w:rStyle w:val="InstructionsTabelleberschrift"/>
                <w:rFonts w:ascii="Times New Roman" w:hAnsi="Times New Roman"/>
                <w:sz w:val="24"/>
                <w:u w:val="none"/>
              </w:rPr>
            </w:pPr>
            <w:r w:rsidRPr="000644D4">
              <w:rPr>
                <w:rFonts w:ascii="Times New Roman" w:hAnsi="Times New Roman"/>
                <w:sz w:val="24"/>
              </w:rPr>
              <w:lastRenderedPageBreak/>
              <w:t>Ekspozycje, które są zabezpieczone nieruchomościami mieszkalnymi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def</w:t>
            </w:r>
            <w:r w:rsidRPr="000644D4">
              <w:rPr>
                <w:rFonts w:ascii="Times New Roman" w:hAnsi="Times New Roman"/>
                <w:sz w:val="24"/>
              </w:rPr>
              <w:t>inicją zawartą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75d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re także odpowiadają definicji zawartej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75b rozporządzenia (UE) nr</w:t>
            </w:r>
            <w:r w:rsidR="000644D4" w:rsidRPr="000644D4">
              <w:rPr>
                <w:rFonts w:ascii="Times New Roman" w:hAnsi="Times New Roman"/>
                <w:sz w:val="24"/>
              </w:rPr>
              <w:t> </w:t>
            </w:r>
            <w:r w:rsidRPr="000644D4">
              <w:rPr>
                <w:rFonts w:ascii="Times New Roman" w:hAnsi="Times New Roman"/>
                <w:sz w:val="24"/>
              </w:rPr>
              <w:t>575/2013.</w:t>
            </w:r>
          </w:p>
        </w:tc>
      </w:tr>
      <w:tr w:rsidR="005E354B" w:rsidRPr="000644D4"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0644D4" w:rsidRDefault="005E354B" w:rsidP="0092576B">
            <w:pPr>
              <w:rPr>
                <w:rStyle w:val="FormatvorlageInstructionsTabelleText"/>
                <w:rFonts w:ascii="Times New Roman" w:hAnsi="Times New Roman"/>
                <w:bCs w:val="0"/>
                <w:sz w:val="24"/>
              </w:rPr>
            </w:pPr>
            <w:r w:rsidRPr="000644D4">
              <w:rPr>
                <w:rStyle w:val="FormatvorlageInstructionsTabelleText"/>
                <w:rFonts w:ascii="Times New Roman" w:hAnsi="Times New Roman"/>
                <w:sz w:val="24"/>
              </w:rPr>
              <w:lastRenderedPageBreak/>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0644D4" w:rsidRDefault="005E354B" w:rsidP="0092576B">
            <w:pPr>
              <w:rPr>
                <w:rStyle w:val="InstructionsTabelleberschrift"/>
                <w:rFonts w:ascii="Times New Roman" w:hAnsi="Times New Roman"/>
                <w:bCs w:val="0"/>
                <w:sz w:val="24"/>
              </w:rPr>
            </w:pPr>
            <w:r w:rsidRPr="000644D4">
              <w:rPr>
                <w:rStyle w:val="InstructionsTabelleberschrift"/>
                <w:rFonts w:ascii="Times New Roman" w:hAnsi="Times New Roman"/>
                <w:sz w:val="24"/>
              </w:rPr>
              <w:t xml:space="preserve">w tym: ekspozycje zabezpieczone hipotekami na nieruchomościach komercyjnych – ekspozycje niebędące ekspozycjami IPRE </w:t>
            </w:r>
          </w:p>
          <w:p w14:paraId="46FFC8D0" w14:textId="2A4AFC77" w:rsidR="005E354B" w:rsidRPr="000644D4" w:rsidRDefault="005E354B" w:rsidP="0092576B">
            <w:pPr>
              <w:rPr>
                <w:rStyle w:val="InstructionsTabelleberschrift"/>
                <w:rFonts w:ascii="Times New Roman" w:hAnsi="Times New Roman"/>
                <w:sz w:val="24"/>
                <w:u w:val="none"/>
              </w:rPr>
            </w:pPr>
            <w:r w:rsidRPr="000644D4">
              <w:rPr>
                <w:rFonts w:ascii="Times New Roman" w:hAnsi="Times New Roman"/>
                <w:sz w:val="24"/>
              </w:rPr>
              <w:t>Ekspozycje, które są zabezpieczone nieruchomościami komercyjnymi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def</w:t>
            </w:r>
            <w:r w:rsidRPr="000644D4">
              <w:rPr>
                <w:rFonts w:ascii="Times New Roman" w:hAnsi="Times New Roman"/>
                <w:sz w:val="24"/>
              </w:rPr>
              <w:t>inicją zawartą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re także odpowiadają definicji zawartej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75c rozporządzenia (UE) nr</w:t>
            </w:r>
            <w:r w:rsidR="000644D4" w:rsidRPr="000644D4">
              <w:rPr>
                <w:rFonts w:ascii="Times New Roman" w:hAnsi="Times New Roman"/>
                <w:sz w:val="24"/>
              </w:rPr>
              <w:t> </w:t>
            </w:r>
            <w:r w:rsidRPr="000644D4">
              <w:rPr>
                <w:rFonts w:ascii="Times New Roman" w:hAnsi="Times New Roman"/>
                <w:sz w:val="24"/>
              </w:rPr>
              <w:t>575/2013.</w:t>
            </w:r>
          </w:p>
        </w:tc>
      </w:tr>
      <w:tr w:rsidR="005E354B" w:rsidRPr="000644D4"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0644D4" w:rsidRDefault="005E354B" w:rsidP="0092576B">
            <w:pPr>
              <w:rPr>
                <w:rStyle w:val="FormatvorlageInstructionsTabelleText"/>
                <w:rFonts w:ascii="Times New Roman" w:hAnsi="Times New Roman"/>
                <w:bCs w:val="0"/>
                <w:sz w:val="24"/>
              </w:rPr>
            </w:pPr>
            <w:r w:rsidRPr="000644D4">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Pr="000644D4" w:rsidRDefault="005E354B" w:rsidP="0092576B">
            <w:pPr>
              <w:rPr>
                <w:rStyle w:val="InstructionsTabelleberschrift"/>
                <w:rFonts w:ascii="Times New Roman" w:hAnsi="Times New Roman"/>
                <w:bCs w:val="0"/>
                <w:sz w:val="24"/>
              </w:rPr>
            </w:pPr>
            <w:r w:rsidRPr="000644D4">
              <w:rPr>
                <w:rStyle w:val="InstructionsTabelleberschrift"/>
                <w:rFonts w:ascii="Times New Roman" w:hAnsi="Times New Roman"/>
                <w:sz w:val="24"/>
              </w:rPr>
              <w:t>w tym: ekspozycje zabezpieczone hipotekami na nieruchomościach komercyjnych – ekspozycje IPRE</w:t>
            </w:r>
          </w:p>
          <w:p w14:paraId="71978D1D" w14:textId="0A411203" w:rsidR="005E354B" w:rsidRPr="000644D4" w:rsidRDefault="005E354B" w:rsidP="0092576B">
            <w:pPr>
              <w:rPr>
                <w:rStyle w:val="InstructionsTabelleberschrift"/>
                <w:rFonts w:ascii="Times New Roman" w:hAnsi="Times New Roman"/>
                <w:sz w:val="24"/>
                <w:u w:val="none"/>
              </w:rPr>
            </w:pPr>
            <w:r w:rsidRPr="000644D4">
              <w:rPr>
                <w:rFonts w:ascii="Times New Roman" w:hAnsi="Times New Roman"/>
                <w:sz w:val="24"/>
              </w:rPr>
              <w:t>Ekspozycje, które są zabezpieczone nieruchomościami komercyjnymi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def</w:t>
            </w:r>
            <w:r w:rsidRPr="000644D4">
              <w:rPr>
                <w:rFonts w:ascii="Times New Roman" w:hAnsi="Times New Roman"/>
                <w:sz w:val="24"/>
              </w:rPr>
              <w:t>inicją zawartą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75e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re także odpowiadają definicji zawartej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75b rozporządzenia (UE) nr</w:t>
            </w:r>
            <w:r w:rsidR="000644D4" w:rsidRPr="000644D4">
              <w:rPr>
                <w:rFonts w:ascii="Times New Roman" w:hAnsi="Times New Roman"/>
                <w:sz w:val="24"/>
              </w:rPr>
              <w:t> </w:t>
            </w:r>
            <w:r w:rsidRPr="000644D4">
              <w:rPr>
                <w:rFonts w:ascii="Times New Roman" w:hAnsi="Times New Roman"/>
                <w:sz w:val="24"/>
              </w:rPr>
              <w:t>575/2013.</w:t>
            </w:r>
          </w:p>
        </w:tc>
      </w:tr>
      <w:tr w:rsidR="005E354B" w:rsidRPr="000644D4"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0644D4" w:rsidRDefault="005E354B" w:rsidP="0092576B">
            <w:pPr>
              <w:rPr>
                <w:rStyle w:val="FormatvorlageInstructionsTabelleText"/>
                <w:rFonts w:ascii="Times New Roman" w:hAnsi="Times New Roman"/>
                <w:bCs w:val="0"/>
                <w:sz w:val="24"/>
              </w:rPr>
            </w:pPr>
            <w:r w:rsidRPr="000644D4">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44471644" w:rsidR="005E354B" w:rsidRPr="000644D4" w:rsidRDefault="005E354B" w:rsidP="0092576B">
            <w:pPr>
              <w:rPr>
                <w:rStyle w:val="InstructionsTabelleberschrift"/>
                <w:rFonts w:ascii="Times New Roman" w:hAnsi="Times New Roman"/>
                <w:bCs w:val="0"/>
                <w:sz w:val="24"/>
              </w:rPr>
            </w:pPr>
            <w:r w:rsidRPr="000644D4">
              <w:rPr>
                <w:rStyle w:val="InstructionsTabelleberschrift"/>
                <w:rFonts w:ascii="Times New Roman" w:hAnsi="Times New Roman"/>
                <w:sz w:val="24"/>
              </w:rPr>
              <w:t>w tym: ekspozycje związane</w:t>
            </w:r>
            <w:r w:rsidR="000644D4" w:rsidRPr="000644D4">
              <w:rPr>
                <w:rStyle w:val="InstructionsTabelleberschrift"/>
                <w:rFonts w:ascii="Times New Roman" w:hAnsi="Times New Roman"/>
                <w:sz w:val="24"/>
              </w:rPr>
              <w:t xml:space="preserve"> z</w:t>
            </w:r>
            <w:r w:rsidR="000644D4">
              <w:rPr>
                <w:rStyle w:val="InstructionsTabelleberschrift"/>
                <w:rFonts w:ascii="Times New Roman" w:hAnsi="Times New Roman"/>
                <w:sz w:val="24"/>
              </w:rPr>
              <w:t> </w:t>
            </w:r>
            <w:r w:rsidR="000644D4" w:rsidRPr="000644D4">
              <w:rPr>
                <w:rStyle w:val="InstructionsTabelleberschrift"/>
                <w:rFonts w:ascii="Times New Roman" w:hAnsi="Times New Roman"/>
                <w:sz w:val="24"/>
              </w:rPr>
              <w:t>nab</w:t>
            </w:r>
            <w:r w:rsidRPr="000644D4">
              <w:rPr>
                <w:rStyle w:val="InstructionsTabelleberschrift"/>
                <w:rFonts w:ascii="Times New Roman" w:hAnsi="Times New Roman"/>
                <w:sz w:val="24"/>
              </w:rPr>
              <w:t>yciem, zagospodarowaniem</w:t>
            </w:r>
            <w:r w:rsidR="000644D4" w:rsidRPr="000644D4">
              <w:rPr>
                <w:rStyle w:val="InstructionsTabelleberschrift"/>
                <w:rFonts w:ascii="Times New Roman" w:hAnsi="Times New Roman"/>
                <w:sz w:val="24"/>
              </w:rPr>
              <w:t xml:space="preserve"> i</w:t>
            </w:r>
            <w:r w:rsidR="000644D4">
              <w:rPr>
                <w:rStyle w:val="InstructionsTabelleberschrift"/>
                <w:rFonts w:ascii="Times New Roman" w:hAnsi="Times New Roman"/>
                <w:sz w:val="24"/>
              </w:rPr>
              <w:t> </w:t>
            </w:r>
            <w:r w:rsidR="000644D4" w:rsidRPr="000644D4">
              <w:rPr>
                <w:rStyle w:val="InstructionsTabelleberschrift"/>
                <w:rFonts w:ascii="Times New Roman" w:hAnsi="Times New Roman"/>
                <w:sz w:val="24"/>
              </w:rPr>
              <w:t>zab</w:t>
            </w:r>
            <w:r w:rsidRPr="000644D4">
              <w:rPr>
                <w:rStyle w:val="InstructionsTabelleberschrift"/>
                <w:rFonts w:ascii="Times New Roman" w:hAnsi="Times New Roman"/>
                <w:sz w:val="24"/>
              </w:rPr>
              <w:t>udową gruntu (ADC)</w:t>
            </w:r>
          </w:p>
          <w:p w14:paraId="35087895" w14:textId="768C6CD2" w:rsidR="005E354B" w:rsidRPr="000644D4" w:rsidRDefault="005E354B" w:rsidP="0092576B">
            <w:pPr>
              <w:rPr>
                <w:rStyle w:val="InstructionsTabelleberschrift"/>
                <w:rFonts w:ascii="Times New Roman" w:hAnsi="Times New Roman"/>
                <w:sz w:val="24"/>
                <w:u w:val="none"/>
              </w:rPr>
            </w:pPr>
            <w:r w:rsidRPr="000644D4">
              <w:rPr>
                <w:rFonts w:ascii="Times New Roman" w:hAnsi="Times New Roman"/>
                <w:sz w:val="24"/>
              </w:rPr>
              <w:t>Ekspozycje związane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nab</w:t>
            </w:r>
            <w:r w:rsidRPr="000644D4">
              <w:rPr>
                <w:rFonts w:ascii="Times New Roman" w:hAnsi="Times New Roman"/>
                <w:sz w:val="24"/>
              </w:rPr>
              <w:t>yciem, zagospodarowaniem</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zab</w:t>
            </w:r>
            <w:r w:rsidRPr="000644D4">
              <w:rPr>
                <w:rFonts w:ascii="Times New Roman" w:hAnsi="Times New Roman"/>
                <w:sz w:val="24"/>
              </w:rPr>
              <w:t>udową gruntu (ekspozycje ADC) zdefiniowane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w:t>
            </w:r>
            <w:r w:rsidR="000644D4" w:rsidRPr="000644D4">
              <w:rPr>
                <w:rFonts w:ascii="Times New Roman" w:hAnsi="Times New Roman"/>
                <w:sz w:val="24"/>
              </w:rPr>
              <w:t> </w:t>
            </w:r>
            <w:r w:rsidRPr="000644D4">
              <w:rPr>
                <w:rFonts w:ascii="Times New Roman" w:hAnsi="Times New Roman"/>
                <w:sz w:val="24"/>
              </w:rPr>
              <w:t>78a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14B5922C" w14:textId="77777777" w:rsidTr="00822842">
        <w:tc>
          <w:tcPr>
            <w:tcW w:w="1242" w:type="dxa"/>
          </w:tcPr>
          <w:p w14:paraId="50BD9484" w14:textId="77777777" w:rsidR="00FB3D09" w:rsidRPr="000644D4" w:rsidRDefault="00FB3D09" w:rsidP="00822842">
            <w:pPr>
              <w:rPr>
                <w:rFonts w:ascii="Times New Roman" w:hAnsi="Times New Roman"/>
                <w:sz w:val="24"/>
              </w:rPr>
            </w:pPr>
            <w:r w:rsidRPr="000644D4">
              <w:rPr>
                <w:rFonts w:ascii="Times New Roman" w:hAnsi="Times New Roman"/>
                <w:sz w:val="24"/>
              </w:rPr>
              <w:t>0020–0060</w:t>
            </w:r>
          </w:p>
        </w:tc>
        <w:tc>
          <w:tcPr>
            <w:tcW w:w="8789" w:type="dxa"/>
          </w:tcPr>
          <w:p w14:paraId="13F7639F"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PODZIAŁ EKSPOZYCJI CAŁKOWITYCH WEDŁUG RODZAJÓW EKSPOZYCJI:</w:t>
            </w:r>
          </w:p>
        </w:tc>
      </w:tr>
      <w:tr w:rsidR="00FB3D09" w:rsidRPr="000644D4" w14:paraId="709208F4" w14:textId="77777777" w:rsidTr="00822842">
        <w:tc>
          <w:tcPr>
            <w:tcW w:w="1242" w:type="dxa"/>
          </w:tcPr>
          <w:p w14:paraId="14B5596F" w14:textId="77777777" w:rsidR="00FB3D09" w:rsidRPr="000644D4" w:rsidRDefault="00FB3D09" w:rsidP="00822842">
            <w:pPr>
              <w:rPr>
                <w:rFonts w:ascii="Times New Roman" w:hAnsi="Times New Roman"/>
                <w:sz w:val="24"/>
              </w:rPr>
            </w:pPr>
            <w:r w:rsidRPr="000644D4">
              <w:rPr>
                <w:rFonts w:ascii="Times New Roman" w:hAnsi="Times New Roman"/>
                <w:sz w:val="24"/>
              </w:rPr>
              <w:t>0020</w:t>
            </w:r>
          </w:p>
        </w:tc>
        <w:tc>
          <w:tcPr>
            <w:tcW w:w="8789" w:type="dxa"/>
          </w:tcPr>
          <w:p w14:paraId="0C34BAB0"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xml:space="preserve">Pozycje bilansowe podlegające ryzyku kredytowemu </w:t>
            </w:r>
          </w:p>
          <w:p w14:paraId="5DEAB0BA" w14:textId="2FF361B9"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Aktywów,</w:t>
            </w:r>
            <w:r w:rsidR="000644D4" w:rsidRPr="000644D4">
              <w:rPr>
                <w:rStyle w:val="InstructionsTabelleText"/>
                <w:rFonts w:ascii="Times New Roman" w:hAnsi="Times New Roman"/>
                <w:sz w:val="24"/>
              </w:rPr>
              <w:t xml:space="preserve"> o</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któ</w:t>
            </w:r>
            <w:r w:rsidRPr="000644D4">
              <w:rPr>
                <w:rStyle w:val="InstructionsTabelleText"/>
                <w:rFonts w:ascii="Times New Roman" w:hAnsi="Times New Roman"/>
                <w:sz w:val="24"/>
              </w:rPr>
              <w:t>rych mowa</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art</w:t>
            </w:r>
            <w:r w:rsidRPr="000644D4">
              <w:rPr>
                <w:rStyle w:val="InstructionsTabelleText"/>
                <w:rFonts w:ascii="Times New Roman" w:hAnsi="Times New Roman"/>
                <w:sz w:val="24"/>
              </w:rPr>
              <w:t>. 24</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 xml:space="preserve">575/2013, </w:t>
            </w:r>
            <w:r w:rsidRPr="000644D4">
              <w:rPr>
                <w:rStyle w:val="InstructionsTabelleText"/>
                <w:rFonts w:ascii="Times New Roman" w:hAnsi="Times New Roman"/>
                <w:sz w:val="24"/>
              </w:rPr>
              <w:t>nie ujmuje się</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żad</w:t>
            </w:r>
            <w:r w:rsidRPr="000644D4">
              <w:rPr>
                <w:rStyle w:val="InstructionsTabelleText"/>
                <w:rFonts w:ascii="Times New Roman" w:hAnsi="Times New Roman"/>
                <w:sz w:val="24"/>
              </w:rPr>
              <w:t>nej innej kategorii</w:t>
            </w:r>
            <w:r w:rsidRPr="000644D4">
              <w:rPr>
                <w:rFonts w:ascii="Times New Roman" w:hAnsi="Times New Roman"/>
                <w:sz w:val="24"/>
              </w:rPr>
              <w:t>.</w:t>
            </w:r>
          </w:p>
          <w:p w14:paraId="0F8AB1A8" w14:textId="10E9BE03"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Ekspozycje podlegające ryzyku kredytowemu kontrahenta zgłasza się</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wie</w:t>
            </w:r>
            <w:r w:rsidRPr="000644D4">
              <w:rPr>
                <w:rStyle w:val="InstructionsTabelleText"/>
                <w:rFonts w:ascii="Times New Roman" w:hAnsi="Times New Roman"/>
                <w:sz w:val="24"/>
              </w:rPr>
              <w:t>rszach 0040–0060,</w:t>
            </w:r>
            <w:r w:rsidR="000644D4" w:rsidRPr="000644D4">
              <w:rPr>
                <w:rStyle w:val="InstructionsTabelleText"/>
                <w:rFonts w:ascii="Times New Roman" w:hAnsi="Times New Roman"/>
                <w:sz w:val="24"/>
              </w:rPr>
              <w:t xml:space="preserve"> a</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zat</w:t>
            </w:r>
            <w:r w:rsidRPr="000644D4">
              <w:rPr>
                <w:rStyle w:val="InstructionsTabelleText"/>
                <w:rFonts w:ascii="Times New Roman" w:hAnsi="Times New Roman"/>
                <w:sz w:val="24"/>
              </w:rPr>
              <w:t>em nie zgłasza się ich</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tym</w:t>
            </w:r>
            <w:r w:rsidRPr="000644D4">
              <w:rPr>
                <w:rStyle w:val="InstructionsTabelleText"/>
                <w:rFonts w:ascii="Times New Roman" w:hAnsi="Times New Roman"/>
                <w:sz w:val="24"/>
              </w:rPr>
              <w:t xml:space="preserve"> wierszu.</w:t>
            </w:r>
          </w:p>
          <w:p w14:paraId="3D5E954A" w14:textId="6E3C729F" w:rsidR="00FB3D09" w:rsidRPr="000644D4" w:rsidRDefault="00FB3D09" w:rsidP="00822842">
            <w:pPr>
              <w:rPr>
                <w:rFonts w:ascii="Times New Roman" w:hAnsi="Times New Roman"/>
                <w:sz w:val="24"/>
              </w:rPr>
            </w:pPr>
            <w:r w:rsidRPr="000644D4">
              <w:rPr>
                <w:rStyle w:val="InstructionsTabelleText"/>
                <w:rFonts w:ascii="Times New Roman" w:hAnsi="Times New Roman"/>
                <w:sz w:val="24"/>
              </w:rPr>
              <w:t>Dostawy</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póź</w:t>
            </w:r>
            <w:r w:rsidRPr="000644D4">
              <w:rPr>
                <w:rStyle w:val="InstructionsTabelleText"/>
                <w:rFonts w:ascii="Times New Roman" w:hAnsi="Times New Roman"/>
                <w:sz w:val="24"/>
              </w:rPr>
              <w:t>niejszym terminem rozliczenia 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art</w:t>
            </w:r>
            <w:r w:rsidRPr="000644D4">
              <w:rPr>
                <w:rStyle w:val="InstructionsTabelleText"/>
                <w:rFonts w:ascii="Times New Roman" w:hAnsi="Times New Roman"/>
                <w:sz w:val="24"/>
              </w:rPr>
              <w:t>. 379 ust. 1</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 xml:space="preserve">575/2013 </w:t>
            </w:r>
            <w:r w:rsidRPr="000644D4">
              <w:rPr>
                <w:rStyle w:val="InstructionsTabelleText"/>
                <w:rFonts w:ascii="Times New Roman" w:hAnsi="Times New Roman"/>
                <w:sz w:val="24"/>
              </w:rPr>
              <w:t>(jeżeli nie zostały odliczone) nie są pozycjami bilansowymi, jednak zgłaszane są</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tym</w:t>
            </w:r>
            <w:r w:rsidRPr="000644D4">
              <w:rPr>
                <w:rStyle w:val="InstructionsTabelleText"/>
                <w:rFonts w:ascii="Times New Roman" w:hAnsi="Times New Roman"/>
                <w:sz w:val="24"/>
              </w:rPr>
              <w:t xml:space="preserve"> wierszu.</w:t>
            </w:r>
          </w:p>
        </w:tc>
      </w:tr>
      <w:tr w:rsidR="00FB3D09" w:rsidRPr="000644D4" w14:paraId="3FC1F87B" w14:textId="77777777" w:rsidTr="00822842">
        <w:tc>
          <w:tcPr>
            <w:tcW w:w="1242" w:type="dxa"/>
          </w:tcPr>
          <w:p w14:paraId="2D6E6703" w14:textId="77777777" w:rsidR="00FB3D09" w:rsidRPr="000644D4" w:rsidRDefault="00FB3D09" w:rsidP="00822842">
            <w:pPr>
              <w:rPr>
                <w:rFonts w:ascii="Times New Roman" w:hAnsi="Times New Roman"/>
                <w:sz w:val="24"/>
              </w:rPr>
            </w:pPr>
            <w:r w:rsidRPr="000644D4">
              <w:rPr>
                <w:rFonts w:ascii="Times New Roman" w:hAnsi="Times New Roman"/>
                <w:sz w:val="24"/>
              </w:rPr>
              <w:t>0030</w:t>
            </w:r>
          </w:p>
        </w:tc>
        <w:tc>
          <w:tcPr>
            <w:tcW w:w="8789" w:type="dxa"/>
          </w:tcPr>
          <w:p w14:paraId="7F72A6FE"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Pozycje pozabilansowe podlegające ryzyku kredytowemu</w:t>
            </w:r>
          </w:p>
          <w:p w14:paraId="6C7D545C" w14:textId="1F4163A1"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Pozycje pozabilansowe zawierają pozycje 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art</w:t>
            </w:r>
            <w:r w:rsidRPr="000644D4">
              <w:rPr>
                <w:rStyle w:val="InstructionsTabelleText"/>
                <w:rFonts w:ascii="Times New Roman" w:hAnsi="Times New Roman"/>
                <w:sz w:val="24"/>
              </w:rPr>
              <w:t>. 166 ust. 8</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w:t>
            </w:r>
            <w:r w:rsidRPr="000644D4">
              <w:rPr>
                <w:rStyle w:val="InstructionsTabelleText"/>
                <w:rFonts w:ascii="Times New Roman" w:hAnsi="Times New Roman"/>
                <w:sz w:val="24"/>
              </w:rPr>
              <w:t>,</w:t>
            </w:r>
            <w:r w:rsidR="000644D4" w:rsidRPr="000644D4">
              <w:rPr>
                <w:rStyle w:val="InstructionsTabelleText"/>
                <w:rFonts w:ascii="Times New Roman" w:hAnsi="Times New Roman"/>
                <w:sz w:val="24"/>
              </w:rPr>
              <w:t xml:space="preserve"> a</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tak</w:t>
            </w:r>
            <w:r w:rsidRPr="000644D4">
              <w:rPr>
                <w:rStyle w:val="InstructionsTabelleText"/>
                <w:rFonts w:ascii="Times New Roman" w:hAnsi="Times New Roman"/>
                <w:sz w:val="24"/>
              </w:rPr>
              <w:t>że pozycje wymienione</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zał</w:t>
            </w:r>
            <w:r w:rsidRPr="000644D4">
              <w:rPr>
                <w:rStyle w:val="InstructionsTabelleText"/>
                <w:rFonts w:ascii="Times New Roman" w:hAnsi="Times New Roman"/>
                <w:sz w:val="24"/>
              </w:rPr>
              <w:t>ączniku I do tego</w:t>
            </w:r>
            <w:r w:rsidRPr="000644D4">
              <w:rPr>
                <w:rFonts w:ascii="Times New Roman" w:hAnsi="Times New Roman"/>
                <w:sz w:val="24"/>
              </w:rPr>
              <w:t xml:space="preserve"> rozporządzenia</w:t>
            </w:r>
            <w:r w:rsidRPr="000644D4">
              <w:rPr>
                <w:rStyle w:val="InstructionsTabelleText"/>
                <w:rFonts w:ascii="Times New Roman" w:hAnsi="Times New Roman"/>
                <w:sz w:val="24"/>
              </w:rPr>
              <w:t>.</w:t>
            </w:r>
          </w:p>
          <w:p w14:paraId="4AE7F57F" w14:textId="3F407CC2" w:rsidR="00FB3D09" w:rsidRPr="000644D4" w:rsidRDefault="00FB3D09" w:rsidP="00822842">
            <w:pPr>
              <w:rPr>
                <w:rFonts w:ascii="Times New Roman" w:hAnsi="Times New Roman"/>
                <w:sz w:val="24"/>
              </w:rPr>
            </w:pPr>
            <w:r w:rsidRPr="000644D4">
              <w:rPr>
                <w:rStyle w:val="InstructionsTabelleText"/>
                <w:rFonts w:ascii="Times New Roman" w:hAnsi="Times New Roman"/>
                <w:sz w:val="24"/>
              </w:rPr>
              <w:t>Ekspozycje podlegające ryzyku kredytowemu kontrahenta zgłasza się</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wie</w:t>
            </w:r>
            <w:r w:rsidRPr="000644D4">
              <w:rPr>
                <w:rStyle w:val="InstructionsTabelleText"/>
                <w:rFonts w:ascii="Times New Roman" w:hAnsi="Times New Roman"/>
                <w:sz w:val="24"/>
              </w:rPr>
              <w:t>rszach 0040–0060,</w:t>
            </w:r>
            <w:r w:rsidR="000644D4" w:rsidRPr="000644D4">
              <w:rPr>
                <w:rStyle w:val="InstructionsTabelleText"/>
                <w:rFonts w:ascii="Times New Roman" w:hAnsi="Times New Roman"/>
                <w:sz w:val="24"/>
              </w:rPr>
              <w:t xml:space="preserve"> a</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zat</w:t>
            </w:r>
            <w:r w:rsidRPr="000644D4">
              <w:rPr>
                <w:rStyle w:val="InstructionsTabelleText"/>
                <w:rFonts w:ascii="Times New Roman" w:hAnsi="Times New Roman"/>
                <w:sz w:val="24"/>
              </w:rPr>
              <w:t>em nie zgłasza się ich</w:t>
            </w:r>
            <w:r w:rsidR="000644D4" w:rsidRPr="000644D4">
              <w:rPr>
                <w:rStyle w:val="InstructionsTabelleText"/>
                <w:rFonts w:ascii="Times New Roman" w:hAnsi="Times New Roman"/>
                <w:sz w:val="24"/>
              </w:rPr>
              <w:t xml:space="preserve"> w</w:t>
            </w:r>
            <w:r w:rsidR="000644D4">
              <w:rPr>
                <w:rStyle w:val="InstructionsTabelleText"/>
                <w:rFonts w:ascii="Times New Roman" w:hAnsi="Times New Roman"/>
                <w:sz w:val="24"/>
              </w:rPr>
              <w:t> </w:t>
            </w:r>
            <w:r w:rsidR="000644D4" w:rsidRPr="000644D4">
              <w:rPr>
                <w:rStyle w:val="InstructionsTabelleText"/>
                <w:rFonts w:ascii="Times New Roman" w:hAnsi="Times New Roman"/>
                <w:sz w:val="24"/>
              </w:rPr>
              <w:t>tym</w:t>
            </w:r>
            <w:r w:rsidRPr="000644D4">
              <w:rPr>
                <w:rStyle w:val="InstructionsTabelleText"/>
                <w:rFonts w:ascii="Times New Roman" w:hAnsi="Times New Roman"/>
                <w:sz w:val="24"/>
              </w:rPr>
              <w:t xml:space="preserve"> wierszu.</w:t>
            </w:r>
          </w:p>
        </w:tc>
      </w:tr>
      <w:tr w:rsidR="00FB3D09" w:rsidRPr="000644D4" w14:paraId="6A82A5B3" w14:textId="77777777" w:rsidTr="00822842">
        <w:tc>
          <w:tcPr>
            <w:tcW w:w="1242" w:type="dxa"/>
          </w:tcPr>
          <w:p w14:paraId="0F665D61" w14:textId="77777777" w:rsidR="00FB3D09" w:rsidRPr="000644D4" w:rsidRDefault="00FB3D09" w:rsidP="00822842">
            <w:pPr>
              <w:rPr>
                <w:rFonts w:ascii="Times New Roman" w:hAnsi="Times New Roman"/>
                <w:sz w:val="24"/>
              </w:rPr>
            </w:pPr>
            <w:r w:rsidRPr="000644D4">
              <w:rPr>
                <w:rStyle w:val="InstructionsTabelleText"/>
                <w:rFonts w:ascii="Times New Roman" w:hAnsi="Times New Roman"/>
                <w:sz w:val="24"/>
              </w:rPr>
              <w:t>0040–0060</w:t>
            </w:r>
          </w:p>
        </w:tc>
        <w:tc>
          <w:tcPr>
            <w:tcW w:w="8789" w:type="dxa"/>
          </w:tcPr>
          <w:p w14:paraId="65190BC8"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Ekspozycje / transakcje podlegające ryzyku kredytowemu kontrahenta</w:t>
            </w:r>
          </w:p>
          <w:p w14:paraId="0CE5E4AE" w14:textId="45979C98" w:rsidR="00FB3D09" w:rsidRPr="000644D4" w:rsidRDefault="00FB3D09" w:rsidP="00822842">
            <w:pPr>
              <w:rPr>
                <w:rFonts w:ascii="Times New Roman" w:hAnsi="Times New Roman"/>
                <w:b/>
                <w:sz w:val="24"/>
                <w:u w:val="single"/>
              </w:rPr>
            </w:pPr>
            <w:r w:rsidRPr="000644D4">
              <w:rPr>
                <w:rFonts w:ascii="Times New Roman" w:hAnsi="Times New Roman"/>
                <w:sz w:val="24"/>
              </w:rPr>
              <w:t>Zob. odpowiednie instrukcje dla CR SA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rszach 0090–0130.</w:t>
            </w:r>
          </w:p>
        </w:tc>
      </w:tr>
      <w:tr w:rsidR="00FB3D09" w:rsidRPr="000644D4" w14:paraId="4836D530" w14:textId="77777777" w:rsidTr="00822842">
        <w:tc>
          <w:tcPr>
            <w:tcW w:w="1242" w:type="dxa"/>
          </w:tcPr>
          <w:p w14:paraId="311BB09A" w14:textId="77777777" w:rsidR="00FB3D09" w:rsidRPr="000644D4" w:rsidRDefault="00FB3D09" w:rsidP="00822842">
            <w:pPr>
              <w:rPr>
                <w:rFonts w:ascii="Times New Roman" w:hAnsi="Times New Roman"/>
                <w:sz w:val="24"/>
              </w:rPr>
            </w:pPr>
            <w:r w:rsidRPr="000644D4">
              <w:rPr>
                <w:rFonts w:ascii="Times New Roman" w:hAnsi="Times New Roman"/>
                <w:sz w:val="24"/>
              </w:rPr>
              <w:t>0040</w:t>
            </w:r>
          </w:p>
        </w:tc>
        <w:tc>
          <w:tcPr>
            <w:tcW w:w="8789" w:type="dxa"/>
          </w:tcPr>
          <w:p w14:paraId="0E52BEFE" w14:textId="3F3D57F8"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Pakiety kompensowania transakcji finansowanych</w:t>
            </w:r>
            <w:r w:rsidR="000644D4" w:rsidRPr="000644D4">
              <w:rPr>
                <w:rStyle w:val="InstructionsTabelleberschrift"/>
                <w:rFonts w:ascii="Times New Roman" w:hAnsi="Times New Roman"/>
                <w:sz w:val="24"/>
              </w:rPr>
              <w:t xml:space="preserve"> z</w:t>
            </w:r>
            <w:r w:rsidR="000644D4">
              <w:rPr>
                <w:rStyle w:val="InstructionsTabelleberschrift"/>
                <w:rFonts w:ascii="Times New Roman" w:hAnsi="Times New Roman"/>
                <w:sz w:val="24"/>
              </w:rPr>
              <w:t> </w:t>
            </w:r>
            <w:r w:rsidR="000644D4" w:rsidRPr="000644D4">
              <w:rPr>
                <w:rStyle w:val="InstructionsTabelleberschrift"/>
                <w:rFonts w:ascii="Times New Roman" w:hAnsi="Times New Roman"/>
                <w:sz w:val="24"/>
              </w:rPr>
              <w:t>uży</w:t>
            </w:r>
            <w:r w:rsidRPr="000644D4">
              <w:rPr>
                <w:rStyle w:val="InstructionsTabelleberschrift"/>
                <w:rFonts w:ascii="Times New Roman" w:hAnsi="Times New Roman"/>
                <w:sz w:val="24"/>
              </w:rPr>
              <w:t>ciem papierów wartościowych</w:t>
            </w:r>
          </w:p>
          <w:p w14:paraId="1D8D13A1" w14:textId="0DA23641" w:rsidR="00FB3D09" w:rsidRPr="000644D4" w:rsidRDefault="00FB3D09" w:rsidP="00822842">
            <w:pPr>
              <w:rPr>
                <w:rFonts w:ascii="Times New Roman" w:hAnsi="Times New Roman"/>
                <w:sz w:val="24"/>
              </w:rPr>
            </w:pPr>
            <w:r w:rsidRPr="000644D4">
              <w:rPr>
                <w:rFonts w:ascii="Times New Roman" w:hAnsi="Times New Roman"/>
                <w:sz w:val="24"/>
              </w:rPr>
              <w:t>Zob. odpowiednie instrukcje dla CR SA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rszu 0090.</w:t>
            </w:r>
          </w:p>
        </w:tc>
      </w:tr>
      <w:tr w:rsidR="00FB3D09" w:rsidRPr="000644D4" w14:paraId="1E4C52D2" w14:textId="77777777" w:rsidTr="00822842">
        <w:tc>
          <w:tcPr>
            <w:tcW w:w="1242" w:type="dxa"/>
          </w:tcPr>
          <w:p w14:paraId="7A9D7A23"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0050</w:t>
            </w:r>
          </w:p>
        </w:tc>
        <w:tc>
          <w:tcPr>
            <w:tcW w:w="8789" w:type="dxa"/>
          </w:tcPr>
          <w:p w14:paraId="0663798B" w14:textId="044DFFEF"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Pakiety kompensowania instrumentów</w:t>
            </w:r>
            <w:r w:rsidRPr="000644D4">
              <w:rPr>
                <w:rStyle w:val="InstructionsTabelleberschrift"/>
                <w:rFonts w:ascii="Times New Roman" w:hAnsi="Times New Roman"/>
                <w:sz w:val="24"/>
              </w:rPr>
              <w:t xml:space="preserve"> pochodnych</w:t>
            </w:r>
            <w:r w:rsidR="000644D4" w:rsidRPr="000644D4">
              <w:rPr>
                <w:rStyle w:val="InstructionsTabelleberschrift"/>
                <w:rFonts w:ascii="Times New Roman" w:hAnsi="Times New Roman"/>
                <w:sz w:val="24"/>
              </w:rPr>
              <w:t xml:space="preserve"> i</w:t>
            </w:r>
            <w:r w:rsidR="000644D4">
              <w:rPr>
                <w:rStyle w:val="InstructionsTabelleberschrift"/>
                <w:rFonts w:ascii="Times New Roman" w:hAnsi="Times New Roman"/>
                <w:sz w:val="24"/>
              </w:rPr>
              <w:t> </w:t>
            </w:r>
            <w:r w:rsidR="000644D4" w:rsidRPr="000644D4">
              <w:rPr>
                <w:rStyle w:val="InstructionsTabelleberschrift"/>
                <w:rFonts w:ascii="Times New Roman" w:hAnsi="Times New Roman"/>
                <w:sz w:val="24"/>
              </w:rPr>
              <w:t>tra</w:t>
            </w:r>
            <w:r w:rsidRPr="000644D4">
              <w:rPr>
                <w:rStyle w:val="InstructionsTabelleberschrift"/>
                <w:rFonts w:ascii="Times New Roman" w:hAnsi="Times New Roman"/>
                <w:sz w:val="24"/>
              </w:rPr>
              <w:t>nsakcji</w:t>
            </w:r>
            <w:r w:rsidR="000644D4" w:rsidRPr="000644D4">
              <w:rPr>
                <w:rStyle w:val="InstructionsTabelleberschrift"/>
                <w:rFonts w:ascii="Times New Roman" w:hAnsi="Times New Roman"/>
                <w:sz w:val="24"/>
              </w:rPr>
              <w:t xml:space="preserve"> z</w:t>
            </w:r>
            <w:r w:rsidR="000644D4">
              <w:rPr>
                <w:rStyle w:val="InstructionsTabelleberschrift"/>
                <w:rFonts w:ascii="Times New Roman" w:hAnsi="Times New Roman"/>
                <w:sz w:val="24"/>
              </w:rPr>
              <w:t> </w:t>
            </w:r>
            <w:r w:rsidR="000644D4" w:rsidRPr="000644D4">
              <w:rPr>
                <w:rStyle w:val="InstructionsTabelleberschrift"/>
                <w:rFonts w:ascii="Times New Roman" w:hAnsi="Times New Roman"/>
                <w:sz w:val="24"/>
              </w:rPr>
              <w:t>dłu</w:t>
            </w:r>
            <w:r w:rsidRPr="000644D4">
              <w:rPr>
                <w:rStyle w:val="InstructionsTabelleberschrift"/>
                <w:rFonts w:ascii="Times New Roman" w:hAnsi="Times New Roman"/>
                <w:sz w:val="24"/>
              </w:rPr>
              <w:t>gim terminem rozliczenia</w:t>
            </w:r>
          </w:p>
          <w:p w14:paraId="2C85A65F" w14:textId="7F4BD26E" w:rsidR="00FB3D09" w:rsidRPr="000644D4" w:rsidRDefault="00FB3D09" w:rsidP="00822842">
            <w:pPr>
              <w:rPr>
                <w:rFonts w:ascii="Times New Roman" w:hAnsi="Times New Roman"/>
                <w:sz w:val="24"/>
              </w:rPr>
            </w:pPr>
            <w:r w:rsidRPr="000644D4">
              <w:rPr>
                <w:rFonts w:ascii="Times New Roman" w:hAnsi="Times New Roman"/>
                <w:sz w:val="24"/>
              </w:rPr>
              <w:t>Zob. odpowiednie instrukcje dla CR SA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rszu 0110.</w:t>
            </w:r>
          </w:p>
        </w:tc>
      </w:tr>
      <w:tr w:rsidR="00FB3D09" w:rsidRPr="000644D4" w14:paraId="325075B4" w14:textId="77777777" w:rsidTr="00822842">
        <w:tc>
          <w:tcPr>
            <w:tcW w:w="1242" w:type="dxa"/>
          </w:tcPr>
          <w:p w14:paraId="711200A0" w14:textId="77777777" w:rsidR="00FB3D09" w:rsidRPr="000644D4" w:rsidRDefault="00FB3D09" w:rsidP="00822842">
            <w:pPr>
              <w:rPr>
                <w:rFonts w:ascii="Times New Roman" w:hAnsi="Times New Roman"/>
                <w:sz w:val="24"/>
              </w:rPr>
            </w:pPr>
            <w:r w:rsidRPr="000644D4">
              <w:rPr>
                <w:rFonts w:ascii="Times New Roman" w:hAnsi="Times New Roman"/>
                <w:sz w:val="24"/>
              </w:rPr>
              <w:t>0060</w:t>
            </w:r>
          </w:p>
        </w:tc>
        <w:tc>
          <w:tcPr>
            <w:tcW w:w="8789" w:type="dxa"/>
          </w:tcPr>
          <w:p w14:paraId="5AAEFF1F" w14:textId="31F3C9EE"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Pakiety kompensowania, dla których istnieją umowy</w:t>
            </w:r>
            <w:r w:rsidR="000644D4" w:rsidRPr="000644D4">
              <w:rPr>
                <w:rFonts w:ascii="Times New Roman" w:hAnsi="Times New Roman"/>
                <w:b/>
                <w:sz w:val="24"/>
                <w:u w:val="single"/>
              </w:rPr>
              <w:t xml:space="preserve"> o</w:t>
            </w:r>
            <w:r w:rsidR="000644D4">
              <w:rPr>
                <w:rFonts w:ascii="Times New Roman" w:hAnsi="Times New Roman"/>
                <w:b/>
                <w:sz w:val="24"/>
                <w:u w:val="single"/>
              </w:rPr>
              <w:t> </w:t>
            </w:r>
            <w:r w:rsidR="000644D4" w:rsidRPr="000644D4">
              <w:rPr>
                <w:rFonts w:ascii="Times New Roman" w:hAnsi="Times New Roman"/>
                <w:b/>
                <w:sz w:val="24"/>
                <w:u w:val="single"/>
              </w:rPr>
              <w:t>kom</w:t>
            </w:r>
            <w:r w:rsidRPr="000644D4">
              <w:rPr>
                <w:rFonts w:ascii="Times New Roman" w:hAnsi="Times New Roman"/>
                <w:b/>
                <w:sz w:val="24"/>
                <w:u w:val="single"/>
              </w:rPr>
              <w:t>pensowaniu międzyproduktowym</w:t>
            </w:r>
          </w:p>
          <w:p w14:paraId="067E31FD" w14:textId="50C28E56" w:rsidR="00FB3D09" w:rsidRPr="000644D4" w:rsidRDefault="00FB3D09" w:rsidP="00822842">
            <w:pPr>
              <w:rPr>
                <w:rFonts w:ascii="Times New Roman" w:hAnsi="Times New Roman"/>
                <w:sz w:val="24"/>
              </w:rPr>
            </w:pPr>
            <w:r w:rsidRPr="000644D4">
              <w:rPr>
                <w:rFonts w:ascii="Times New Roman" w:hAnsi="Times New Roman"/>
                <w:sz w:val="24"/>
              </w:rPr>
              <w:t>Zob. odpowiednie instrukcje dla CR SA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rszu 0130.</w:t>
            </w:r>
          </w:p>
        </w:tc>
      </w:tr>
      <w:tr w:rsidR="00FB3D09" w:rsidRPr="000644D4" w14:paraId="4497C028" w14:textId="77777777" w:rsidTr="00822842">
        <w:tc>
          <w:tcPr>
            <w:tcW w:w="1242" w:type="dxa"/>
          </w:tcPr>
          <w:p w14:paraId="53C0361C" w14:textId="77777777" w:rsidR="00FB3D09" w:rsidRPr="000644D4" w:rsidRDefault="00FB3D09" w:rsidP="00822842">
            <w:pPr>
              <w:rPr>
                <w:rFonts w:ascii="Times New Roman" w:hAnsi="Times New Roman"/>
                <w:sz w:val="24"/>
              </w:rPr>
            </w:pPr>
            <w:r w:rsidRPr="000644D4">
              <w:rPr>
                <w:rFonts w:ascii="Times New Roman" w:hAnsi="Times New Roman"/>
                <w:sz w:val="24"/>
              </w:rPr>
              <w:t>0070</w:t>
            </w:r>
          </w:p>
        </w:tc>
        <w:tc>
          <w:tcPr>
            <w:tcW w:w="8789" w:type="dxa"/>
          </w:tcPr>
          <w:p w14:paraId="0FE8A119"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EKSPOZYCJE PRZYPISANE KLASOM JAKOŚCI LUB PULOM DŁUŻNIKÓW: RAZEM</w:t>
            </w:r>
          </w:p>
          <w:p w14:paraId="6A78F626" w14:textId="1A264AC0" w:rsidR="00FB3D09" w:rsidRPr="000644D4" w:rsidRDefault="00FB3D09" w:rsidP="00822842">
            <w:pPr>
              <w:rPr>
                <w:rFonts w:ascii="Times New Roman" w:hAnsi="Times New Roman"/>
                <w:sz w:val="24"/>
              </w:rPr>
            </w:pPr>
            <w:r w:rsidRPr="000644D4">
              <w:rPr>
                <w:rFonts w:ascii="Times New Roman" w:hAnsi="Times New Roman"/>
                <w:sz w:val="24"/>
              </w:rPr>
              <w:t>W odniesieniu do ekspozycji wobec przedsiębiorstw, instytucji oraz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ków centralnych zob. art.</w:t>
            </w:r>
            <w:r w:rsidR="000644D4" w:rsidRPr="000644D4">
              <w:rPr>
                <w:rFonts w:ascii="Times New Roman" w:hAnsi="Times New Roman"/>
                <w:sz w:val="24"/>
              </w:rPr>
              <w:t> </w:t>
            </w:r>
            <w:r w:rsidRPr="000644D4">
              <w:rPr>
                <w:rFonts w:ascii="Times New Roman" w:hAnsi="Times New Roman"/>
                <w:sz w:val="24"/>
              </w:rPr>
              <w:t>142 ust.</w:t>
            </w:r>
            <w:r w:rsidR="000644D4" w:rsidRPr="000644D4">
              <w:rPr>
                <w:rFonts w:ascii="Times New Roman" w:hAnsi="Times New Roman"/>
                <w:sz w:val="24"/>
              </w:rPr>
              <w:t> </w:t>
            </w:r>
            <w:r w:rsidRPr="000644D4">
              <w:rPr>
                <w:rFonts w:ascii="Times New Roman" w:hAnsi="Times New Roman"/>
                <w:sz w:val="24"/>
              </w:rPr>
              <w:t>1 pkt</w:t>
            </w:r>
            <w:r w:rsidR="000644D4" w:rsidRPr="000644D4">
              <w:rPr>
                <w:rFonts w:ascii="Times New Roman" w:hAnsi="Times New Roman"/>
                <w:sz w:val="24"/>
              </w:rPr>
              <w:t> </w:t>
            </w:r>
            <w:r w:rsidRPr="000644D4">
              <w:rPr>
                <w:rFonts w:ascii="Times New Roman" w:hAnsi="Times New Roman"/>
                <w:sz w:val="24"/>
              </w:rPr>
              <w:t>6 oraz art. 170 ust. 1 lit.</w:t>
            </w:r>
            <w:r w:rsidR="000644D4" w:rsidRPr="000644D4">
              <w:rPr>
                <w:rFonts w:ascii="Times New Roman" w:hAnsi="Times New Roman"/>
                <w:sz w:val="24"/>
              </w:rPr>
              <w:t> </w:t>
            </w:r>
            <w:r w:rsidRPr="000644D4">
              <w:rPr>
                <w:rFonts w:ascii="Times New Roman" w:hAnsi="Times New Roman"/>
                <w:sz w:val="24"/>
              </w:rPr>
              <w:t>c)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3D88073E" w14:textId="5FE67821" w:rsidR="00FB3D09" w:rsidRPr="000644D4" w:rsidRDefault="00FB3D09" w:rsidP="00822842">
            <w:pPr>
              <w:rPr>
                <w:rFonts w:ascii="Times New Roman" w:hAnsi="Times New Roman"/>
                <w:sz w:val="24"/>
              </w:rPr>
            </w:pPr>
            <w:r w:rsidRPr="000644D4">
              <w:rPr>
                <w:rFonts w:ascii="Times New Roman" w:hAnsi="Times New Roman"/>
                <w:sz w:val="24"/>
              </w:rPr>
              <w:t>W przypadku ekspozycji detalicznych zob. art. 170 ust.</w:t>
            </w:r>
            <w:r w:rsidR="000644D4" w:rsidRPr="000644D4">
              <w:rPr>
                <w:rFonts w:ascii="Times New Roman" w:hAnsi="Times New Roman"/>
                <w:sz w:val="24"/>
              </w:rPr>
              <w:t> </w:t>
            </w:r>
            <w:r w:rsidRPr="000644D4">
              <w:rPr>
                <w:rFonts w:ascii="Times New Roman" w:hAnsi="Times New Roman"/>
                <w:sz w:val="24"/>
              </w:rPr>
              <w:t>3 lit.</w:t>
            </w:r>
            <w:r w:rsidR="000644D4" w:rsidRPr="000644D4">
              <w:rPr>
                <w:rFonts w:ascii="Times New Roman" w:hAnsi="Times New Roman"/>
                <w:sz w:val="24"/>
              </w:rPr>
              <w:t> </w:t>
            </w:r>
            <w:r w:rsidRPr="000644D4">
              <w:rPr>
                <w:rFonts w:ascii="Times New Roman" w:hAnsi="Times New Roman"/>
                <w:sz w:val="24"/>
              </w:rPr>
              <w:t>b)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wynikających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nab</w:t>
            </w:r>
            <w:r w:rsidRPr="000644D4">
              <w:rPr>
                <w:rFonts w:ascii="Times New Roman" w:hAnsi="Times New Roman"/>
                <w:sz w:val="24"/>
              </w:rPr>
              <w:t>ytych wierzytelności zob. art. 166 ust. 6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268A9D88" w14:textId="3BCA2A1A" w:rsidR="00FB3D09" w:rsidRPr="000644D4" w:rsidRDefault="00FB3D09" w:rsidP="00822842">
            <w:pPr>
              <w:rPr>
                <w:rFonts w:ascii="Times New Roman" w:hAnsi="Times New Roman"/>
                <w:sz w:val="24"/>
              </w:rPr>
            </w:pPr>
            <w:r w:rsidRPr="000644D4">
              <w:rPr>
                <w:rFonts w:ascii="Times New Roman" w:hAnsi="Times New Roman"/>
                <w:sz w:val="24"/>
              </w:rPr>
              <w:t>Ekspozycji wobec ryzyka rozmycia dotyczącego nabytych wierzytelności nie zgłasza się według klas jakości ani pul dłużnika; zgłasza się 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rszu 0180.</w:t>
            </w:r>
          </w:p>
          <w:p w14:paraId="2ECA333D" w14:textId="04CC225E" w:rsidR="00FB3D09" w:rsidRPr="000644D4" w:rsidRDefault="00FB3D09" w:rsidP="00822842">
            <w:pPr>
              <w:rPr>
                <w:rFonts w:ascii="Times New Roman" w:hAnsi="Times New Roman"/>
                <w:sz w:val="24"/>
              </w:rPr>
            </w:pPr>
            <w:r w:rsidRPr="000644D4">
              <w:rPr>
                <w:rFonts w:ascii="Times New Roman" w:hAnsi="Times New Roman"/>
                <w:sz w:val="24"/>
              </w:rPr>
              <w:t>Jeżeli instytucja stosuje dużą liczbę klas jakości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pul</w:t>
            </w:r>
            <w:r w:rsidRPr="000644D4">
              <w:rPr>
                <w:rFonts w:ascii="Times New Roman" w:hAnsi="Times New Roman"/>
                <w:sz w:val="24"/>
              </w:rPr>
              <w:t>, może uzgodnić</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wła</w:t>
            </w:r>
            <w:r w:rsidRPr="000644D4">
              <w:rPr>
                <w:rFonts w:ascii="Times New Roman" w:hAnsi="Times New Roman"/>
                <w:sz w:val="24"/>
              </w:rPr>
              <w:t>ściwym organem zgłaszanie ograniczonej liczby klas</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pul</w:t>
            </w:r>
            <w:r w:rsidRPr="000644D4">
              <w:rPr>
                <w:rFonts w:ascii="Times New Roman" w:hAnsi="Times New Roman"/>
                <w:sz w:val="24"/>
              </w:rPr>
              <w:t xml:space="preserve">. </w:t>
            </w:r>
          </w:p>
          <w:p w14:paraId="1E1C73EB" w14:textId="03F75330" w:rsidR="00FB3D09" w:rsidRPr="000644D4" w:rsidRDefault="00FB3D09" w:rsidP="00822842">
            <w:pPr>
              <w:rPr>
                <w:rFonts w:ascii="Times New Roman" w:hAnsi="Times New Roman"/>
                <w:sz w:val="24"/>
              </w:rPr>
            </w:pPr>
            <w:r w:rsidRPr="000644D4">
              <w:rPr>
                <w:rFonts w:ascii="Times New Roman" w:hAnsi="Times New Roman"/>
                <w:sz w:val="24"/>
              </w:rPr>
              <w:t>Nie stosuje się wzorca nadzoru. Zamiast tego instytucje określają wzorzec,</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 xml:space="preserve">rego będą korzystać. </w:t>
            </w:r>
          </w:p>
        </w:tc>
      </w:tr>
      <w:tr w:rsidR="00FB3D09" w:rsidRPr="000644D4" w14:paraId="1A5B7F57" w14:textId="77777777" w:rsidTr="00822842">
        <w:tc>
          <w:tcPr>
            <w:tcW w:w="1242" w:type="dxa"/>
          </w:tcPr>
          <w:p w14:paraId="0CB3AACE" w14:textId="77777777" w:rsidR="00FB3D09" w:rsidRPr="000644D4" w:rsidRDefault="00FB3D09" w:rsidP="00822842">
            <w:pPr>
              <w:rPr>
                <w:rFonts w:ascii="Times New Roman" w:hAnsi="Times New Roman"/>
                <w:sz w:val="24"/>
              </w:rPr>
            </w:pPr>
            <w:r w:rsidRPr="000644D4">
              <w:rPr>
                <w:rFonts w:ascii="Times New Roman" w:hAnsi="Times New Roman"/>
                <w:sz w:val="24"/>
              </w:rPr>
              <w:t>0080</w:t>
            </w:r>
          </w:p>
        </w:tc>
        <w:tc>
          <w:tcPr>
            <w:tcW w:w="8789" w:type="dxa"/>
          </w:tcPr>
          <w:p w14:paraId="63AC665E" w14:textId="77777777" w:rsidR="00FB3D09" w:rsidRPr="000644D4" w:rsidRDefault="00FB3D09" w:rsidP="00822842">
            <w:pPr>
              <w:rPr>
                <w:rFonts w:ascii="Times New Roman" w:hAnsi="Times New Roman"/>
                <w:sz w:val="24"/>
              </w:rPr>
            </w:pPr>
            <w:r w:rsidRPr="000644D4">
              <w:rPr>
                <w:rFonts w:ascii="Times New Roman" w:hAnsi="Times New Roman"/>
                <w:b/>
                <w:sz w:val="24"/>
                <w:u w:val="single"/>
              </w:rPr>
              <w:t>METODA KLASYFIKACJI KREDYTOWANIA SPECJALISTYCZNEGO RAZEM</w:t>
            </w:r>
          </w:p>
          <w:p w14:paraId="67E01391" w14:textId="7B5624C2" w:rsidR="00FB3D09" w:rsidRPr="000644D4" w:rsidRDefault="00FB3D09" w:rsidP="00822842">
            <w:pPr>
              <w:rPr>
                <w:rFonts w:ascii="Times New Roman" w:hAnsi="Times New Roman"/>
                <w:sz w:val="24"/>
              </w:rPr>
            </w:pPr>
            <w:r w:rsidRPr="000644D4">
              <w:rPr>
                <w:rFonts w:ascii="Times New Roman" w:hAnsi="Times New Roman"/>
                <w:sz w:val="24"/>
              </w:rPr>
              <w:t>Art. 153 ust.</w:t>
            </w:r>
            <w:r w:rsidR="000644D4" w:rsidRPr="000644D4">
              <w:rPr>
                <w:rFonts w:ascii="Times New Roman" w:hAnsi="Times New Roman"/>
                <w:sz w:val="24"/>
              </w:rPr>
              <w:t> </w:t>
            </w:r>
            <w:r w:rsidRPr="000644D4">
              <w:rPr>
                <w:rFonts w:ascii="Times New Roman" w:hAnsi="Times New Roman"/>
                <w:sz w:val="24"/>
              </w:rPr>
              <w:t>5 rozporządzenia (UE) nr</w:t>
            </w:r>
            <w:r w:rsidR="000644D4" w:rsidRPr="000644D4">
              <w:rPr>
                <w:rFonts w:ascii="Times New Roman" w:hAnsi="Times New Roman"/>
                <w:sz w:val="24"/>
              </w:rPr>
              <w:t> </w:t>
            </w:r>
            <w:r w:rsidRPr="000644D4">
              <w:rPr>
                <w:rFonts w:ascii="Times New Roman" w:hAnsi="Times New Roman"/>
                <w:sz w:val="24"/>
              </w:rPr>
              <w:t xml:space="preserve">575/2013. Ma to zastosowanie wyłącznie do kategorii ekspozycji wobec przedsiębiorstw – kredytowanie specjalistyczne. </w:t>
            </w:r>
          </w:p>
        </w:tc>
      </w:tr>
      <w:tr w:rsidR="00FB3D09" w:rsidRPr="000644D4" w14:paraId="56D99296" w14:textId="77777777" w:rsidTr="00822842">
        <w:tc>
          <w:tcPr>
            <w:tcW w:w="1242" w:type="dxa"/>
          </w:tcPr>
          <w:p w14:paraId="4330E208" w14:textId="77777777" w:rsidR="00FB3D09" w:rsidRPr="000644D4" w:rsidRDefault="00FB3D09" w:rsidP="00822842">
            <w:pPr>
              <w:rPr>
                <w:rFonts w:ascii="Times New Roman" w:hAnsi="Times New Roman"/>
                <w:sz w:val="24"/>
              </w:rPr>
            </w:pPr>
            <w:r w:rsidRPr="000644D4">
              <w:rPr>
                <w:rFonts w:ascii="Times New Roman" w:hAnsi="Times New Roman"/>
                <w:sz w:val="24"/>
              </w:rPr>
              <w:t>0160</w:t>
            </w:r>
          </w:p>
        </w:tc>
        <w:tc>
          <w:tcPr>
            <w:tcW w:w="8789" w:type="dxa"/>
          </w:tcPr>
          <w:p w14:paraId="455C13F0"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PODEJŚCIE ALTERNATYWNE: EKSPOZYCJE ZABEZPIECZONE NIERUCHOMOŚCIĄ</w:t>
            </w:r>
          </w:p>
          <w:p w14:paraId="7875BF84" w14:textId="735D9980" w:rsidR="00FB3D09" w:rsidRPr="000644D4" w:rsidRDefault="00FB3D09" w:rsidP="00822842">
            <w:pPr>
              <w:rPr>
                <w:rFonts w:ascii="Times New Roman" w:hAnsi="Times New Roman"/>
                <w:sz w:val="24"/>
              </w:rPr>
            </w:pPr>
            <w:r w:rsidRPr="000644D4">
              <w:rPr>
                <w:rFonts w:ascii="Times New Roman" w:hAnsi="Times New Roman"/>
                <w:sz w:val="24"/>
              </w:rPr>
              <w:t>Art. 193 ust.</w:t>
            </w:r>
            <w:r w:rsidR="000644D4" w:rsidRPr="000644D4">
              <w:rPr>
                <w:rFonts w:ascii="Times New Roman" w:hAnsi="Times New Roman"/>
                <w:sz w:val="24"/>
              </w:rPr>
              <w:t> </w:t>
            </w:r>
            <w:r w:rsidRPr="000644D4">
              <w:rPr>
                <w:rFonts w:ascii="Times New Roman" w:hAnsi="Times New Roman"/>
                <w:sz w:val="24"/>
              </w:rPr>
              <w:t>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2</w:t>
            </w:r>
            <w:r w:rsidRPr="000644D4">
              <w:rPr>
                <w:rFonts w:ascii="Times New Roman" w:hAnsi="Times New Roman"/>
                <w:sz w:val="24"/>
              </w:rPr>
              <w:t>, art.</w:t>
            </w:r>
            <w:r w:rsidR="000644D4" w:rsidRPr="000644D4">
              <w:rPr>
                <w:rFonts w:ascii="Times New Roman" w:hAnsi="Times New Roman"/>
                <w:sz w:val="24"/>
              </w:rPr>
              <w:t> </w:t>
            </w:r>
            <w:r w:rsidRPr="000644D4">
              <w:rPr>
                <w:rFonts w:ascii="Times New Roman" w:hAnsi="Times New Roman"/>
                <w:sz w:val="24"/>
              </w:rPr>
              <w:t>194 ust.</w:t>
            </w:r>
            <w:r w:rsidR="000644D4" w:rsidRPr="000644D4">
              <w:rPr>
                <w:rFonts w:ascii="Times New Roman" w:hAnsi="Times New Roman"/>
                <w:sz w:val="24"/>
              </w:rPr>
              <w:t> </w:t>
            </w:r>
            <w:r w:rsidRPr="000644D4">
              <w:rPr>
                <w:rFonts w:ascii="Times New Roman" w:hAnsi="Times New Roman"/>
                <w:sz w:val="24"/>
              </w:rPr>
              <w:t>1–7 oraz art.</w:t>
            </w:r>
            <w:r w:rsidR="000644D4" w:rsidRPr="000644D4">
              <w:rPr>
                <w:rFonts w:ascii="Times New Roman" w:hAnsi="Times New Roman"/>
                <w:sz w:val="24"/>
              </w:rPr>
              <w:t> </w:t>
            </w:r>
            <w:r w:rsidRPr="000644D4">
              <w:rPr>
                <w:rFonts w:ascii="Times New Roman" w:hAnsi="Times New Roman"/>
                <w:sz w:val="24"/>
              </w:rPr>
              <w:t>230 ust.</w:t>
            </w:r>
            <w:r w:rsidR="000644D4" w:rsidRPr="000644D4">
              <w:rPr>
                <w:rFonts w:ascii="Times New Roman" w:hAnsi="Times New Roman"/>
                <w:sz w:val="24"/>
              </w:rPr>
              <w:t> </w:t>
            </w:r>
            <w:r w:rsidRPr="000644D4">
              <w:rPr>
                <w:rFonts w:ascii="Times New Roman" w:hAnsi="Times New Roman"/>
                <w:sz w:val="24"/>
              </w:rPr>
              <w:t>3 rozporządzenia (UE) nr</w:t>
            </w:r>
            <w:r w:rsidR="000644D4" w:rsidRPr="000644D4">
              <w:rPr>
                <w:rFonts w:ascii="Times New Roman" w:hAnsi="Times New Roman"/>
                <w:sz w:val="24"/>
              </w:rPr>
              <w:t> </w:t>
            </w:r>
            <w:r w:rsidRPr="000644D4">
              <w:rPr>
                <w:rFonts w:ascii="Times New Roman" w:hAnsi="Times New Roman"/>
                <w:sz w:val="24"/>
              </w:rPr>
              <w:t>575/2013.</w:t>
            </w:r>
          </w:p>
          <w:p w14:paraId="58412948" w14:textId="77777777" w:rsidR="00FB3D09" w:rsidRPr="000644D4" w:rsidRDefault="00FB3D09" w:rsidP="00822842">
            <w:pPr>
              <w:rPr>
                <w:rFonts w:ascii="Times New Roman" w:hAnsi="Times New Roman"/>
                <w:sz w:val="24"/>
              </w:rPr>
            </w:pPr>
            <w:r w:rsidRPr="000644D4">
              <w:rPr>
                <w:rFonts w:ascii="Times New Roman" w:hAnsi="Times New Roman"/>
                <w:sz w:val="24"/>
              </w:rPr>
              <w:t>Takie rozwiązanie alternatywne jest dostępne wyłącznie dla instytucji stosujących podstawową metodę IRB.</w:t>
            </w:r>
          </w:p>
        </w:tc>
      </w:tr>
      <w:tr w:rsidR="00FB3D09" w:rsidRPr="000644D4" w14:paraId="65DA4F0E" w14:textId="77777777" w:rsidTr="00822842">
        <w:tc>
          <w:tcPr>
            <w:tcW w:w="1242" w:type="dxa"/>
          </w:tcPr>
          <w:p w14:paraId="73D95FC1" w14:textId="77777777" w:rsidR="00FB3D09" w:rsidRPr="000644D4" w:rsidRDefault="00FB3D09" w:rsidP="00822842">
            <w:pPr>
              <w:rPr>
                <w:rFonts w:ascii="Times New Roman" w:hAnsi="Times New Roman"/>
                <w:sz w:val="24"/>
              </w:rPr>
            </w:pPr>
            <w:r w:rsidRPr="000644D4">
              <w:rPr>
                <w:rFonts w:ascii="Times New Roman" w:hAnsi="Times New Roman"/>
                <w:sz w:val="24"/>
              </w:rPr>
              <w:t>0170</w:t>
            </w:r>
          </w:p>
        </w:tc>
        <w:tc>
          <w:tcPr>
            <w:tcW w:w="8789" w:type="dxa"/>
          </w:tcPr>
          <w:p w14:paraId="753B5217" w14:textId="05701E9A"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EKSPOZYCJE Z TYTUŁU DOSTAW Z PÓŹNIEJSZYM TERMINEM ROZLICZENIA, Z ZASTOSOWANIEM WAG RYZYKA ZGODNIE Z</w:t>
            </w:r>
            <w:r w:rsidRPr="000644D4">
              <w:t xml:space="preserve"> </w:t>
            </w:r>
            <w:r w:rsidRPr="000644D4">
              <w:rPr>
                <w:rStyle w:val="InstructionsTabelleberschrift"/>
                <w:rFonts w:ascii="Times New Roman" w:hAnsi="Times New Roman"/>
                <w:sz w:val="24"/>
              </w:rPr>
              <w:t>PODEJŚCIEM ALTERNATYWNYM LUB WAG RYZYKA W WYSOKOŚCI 100</w:t>
            </w:r>
            <w:r w:rsidR="000644D4" w:rsidRPr="000644D4">
              <w:rPr>
                <w:rStyle w:val="InstructionsTabelleberschrift"/>
                <w:rFonts w:ascii="Times New Roman" w:hAnsi="Times New Roman"/>
                <w:sz w:val="24"/>
              </w:rPr>
              <w:t> </w:t>
            </w:r>
            <w:r w:rsidRPr="000644D4">
              <w:rPr>
                <w:rStyle w:val="InstructionsTabelleberschrift"/>
                <w:rFonts w:ascii="Times New Roman" w:hAnsi="Times New Roman"/>
                <w:sz w:val="24"/>
              </w:rPr>
              <w:t>% ORAZ INNE EKSPOZYCJE PODLEGAJĄCE WAGOM RYZYKA</w:t>
            </w:r>
          </w:p>
          <w:p w14:paraId="7FC93A9B" w14:textId="78540440" w:rsidR="00FB3D09" w:rsidRPr="000644D4" w:rsidRDefault="00FB3D09" w:rsidP="00822842">
            <w:pPr>
              <w:rPr>
                <w:rFonts w:ascii="Times New Roman" w:hAnsi="Times New Roman"/>
                <w:sz w:val="24"/>
              </w:rPr>
            </w:pPr>
            <w:r w:rsidRPr="000644D4">
              <w:rPr>
                <w:rFonts w:ascii="Times New Roman" w:hAnsi="Times New Roman"/>
                <w:sz w:val="24"/>
              </w:rPr>
              <w:t>Ekspozycje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dostaw</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wobec których stosuje się podejście alternatywne,</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rym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379 ust. 2 akapit pierwszy zdanie ostatnie rozporządzenia (UE) nr</w:t>
            </w:r>
            <w:r w:rsidR="000644D4" w:rsidRPr="000644D4">
              <w:rPr>
                <w:rFonts w:ascii="Times New Roman" w:hAnsi="Times New Roman"/>
                <w:sz w:val="24"/>
              </w:rPr>
              <w:t> </w:t>
            </w:r>
            <w:r w:rsidRPr="000644D4">
              <w:rPr>
                <w:rFonts w:ascii="Times New Roman" w:hAnsi="Times New Roman"/>
                <w:sz w:val="24"/>
              </w:rPr>
              <w:t>575/2013, lub wobec których stosuje się wagi ryzyka 100 %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379 ust. 2 akapit ostatni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wierszu zgłasza się kredytowe instrumenty pochodne uruchamiane n-tym niewykonaniem zobowiązania bez ratingu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8 rozporządzenia (UE) nr</w:t>
            </w:r>
            <w:r w:rsidR="000644D4" w:rsidRPr="000644D4">
              <w:rPr>
                <w:rFonts w:ascii="Times New Roman" w:hAnsi="Times New Roman"/>
                <w:sz w:val="24"/>
              </w:rPr>
              <w:t> </w:t>
            </w:r>
            <w:r w:rsidRPr="000644D4">
              <w:rPr>
                <w:rFonts w:ascii="Times New Roman" w:hAnsi="Times New Roman"/>
                <w:sz w:val="24"/>
              </w:rPr>
              <w:t>575/2013 oraz wszelkie inne ekspozycje podlegające wagom ryzyka nieujęte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żad</w:t>
            </w:r>
            <w:r w:rsidRPr="000644D4">
              <w:rPr>
                <w:rFonts w:ascii="Times New Roman" w:hAnsi="Times New Roman"/>
                <w:sz w:val="24"/>
              </w:rPr>
              <w:t>nym innym wierszu.</w:t>
            </w:r>
          </w:p>
        </w:tc>
      </w:tr>
      <w:tr w:rsidR="00FB3D09" w:rsidRPr="000644D4" w14:paraId="645730D7" w14:textId="77777777" w:rsidTr="00822842">
        <w:tc>
          <w:tcPr>
            <w:tcW w:w="1242" w:type="dxa"/>
          </w:tcPr>
          <w:p w14:paraId="0317CAF2"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0180</w:t>
            </w:r>
          </w:p>
        </w:tc>
        <w:tc>
          <w:tcPr>
            <w:tcW w:w="8789" w:type="dxa"/>
          </w:tcPr>
          <w:p w14:paraId="42D146E2" w14:textId="77777777" w:rsidR="00FB3D09" w:rsidRPr="000644D4" w:rsidRDefault="00FB3D09" w:rsidP="00822842">
            <w:pPr>
              <w:rPr>
                <w:rStyle w:val="InstructionsTabelleberschrift"/>
                <w:rFonts w:ascii="Times New Roman" w:hAnsi="Times New Roman"/>
                <w:sz w:val="24"/>
              </w:rPr>
            </w:pPr>
            <w:r w:rsidRPr="000644D4">
              <w:rPr>
                <w:rStyle w:val="InstructionsTabelleberschrift"/>
                <w:rFonts w:ascii="Times New Roman" w:hAnsi="Times New Roman"/>
                <w:sz w:val="24"/>
              </w:rPr>
              <w:t>RYZYKO ROZMYCIA: NABYTE WIERZYTELNOŚCI RAZEM</w:t>
            </w:r>
          </w:p>
          <w:p w14:paraId="1ADE7C67" w14:textId="3BA85DA9" w:rsidR="00FB3D09" w:rsidRPr="000644D4" w:rsidRDefault="00FB3D09" w:rsidP="00822842">
            <w:pPr>
              <w:rPr>
                <w:rFonts w:ascii="Times New Roman" w:hAnsi="Times New Roman"/>
                <w:sz w:val="24"/>
              </w:rPr>
            </w:pPr>
            <w:r w:rsidRPr="000644D4">
              <w:rPr>
                <w:rFonts w:ascii="Times New Roman" w:hAnsi="Times New Roman"/>
                <w:sz w:val="24"/>
              </w:rPr>
              <w:t>Definicja ryzyka rozmycia – zob. art. 4 ust. 1 pkt</w:t>
            </w:r>
            <w:r w:rsidR="000644D4" w:rsidRPr="000644D4">
              <w:rPr>
                <w:rFonts w:ascii="Times New Roman" w:hAnsi="Times New Roman"/>
                <w:sz w:val="24"/>
              </w:rPr>
              <w:t> </w:t>
            </w:r>
            <w:r w:rsidRPr="000644D4">
              <w:rPr>
                <w:rFonts w:ascii="Times New Roman" w:hAnsi="Times New Roman"/>
                <w:sz w:val="24"/>
              </w:rPr>
              <w:t>53 rozporządzenia (UE) nr</w:t>
            </w:r>
            <w:r w:rsidR="000644D4" w:rsidRPr="000644D4">
              <w:rPr>
                <w:rFonts w:ascii="Times New Roman" w:hAnsi="Times New Roman"/>
                <w:sz w:val="24"/>
              </w:rPr>
              <w:t> </w:t>
            </w:r>
            <w:r w:rsidRPr="000644D4">
              <w:rPr>
                <w:rFonts w:ascii="Times New Roman" w:hAnsi="Times New Roman"/>
                <w:sz w:val="24"/>
              </w:rPr>
              <w:t>575/2013. Obliczanie kwot ekspozycji ważonych ryzykiem dla ryzyka rozmycia – zob. art. 157 rozporządzenia (UE) nr</w:t>
            </w:r>
            <w:r w:rsidR="000644D4" w:rsidRPr="000644D4">
              <w:rPr>
                <w:rFonts w:ascii="Times New Roman" w:hAnsi="Times New Roman"/>
                <w:sz w:val="24"/>
              </w:rPr>
              <w:t> </w:t>
            </w:r>
            <w:r w:rsidRPr="000644D4">
              <w:rPr>
                <w:rFonts w:ascii="Times New Roman" w:hAnsi="Times New Roman"/>
                <w:sz w:val="24"/>
              </w:rPr>
              <w:t>575/2013. Ryzyko rozmycia zgłasza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nabytych wierzytelności korporacyjnych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det</w:t>
            </w:r>
            <w:r w:rsidRPr="000644D4">
              <w:rPr>
                <w:rFonts w:ascii="Times New Roman" w:hAnsi="Times New Roman"/>
                <w:sz w:val="24"/>
              </w:rPr>
              <w:t>alicznych.</w:t>
            </w:r>
          </w:p>
        </w:tc>
      </w:tr>
      <w:tr w:rsidR="00FB3D09" w:rsidRPr="000644D4" w14:paraId="2103336C" w14:textId="77777777" w:rsidTr="00822842">
        <w:trPr>
          <w:trHeight w:val="300"/>
        </w:trPr>
        <w:tc>
          <w:tcPr>
            <w:tcW w:w="1242" w:type="dxa"/>
          </w:tcPr>
          <w:p w14:paraId="7FF9957F" w14:textId="06F9FE7A" w:rsidR="00FB3D09" w:rsidRPr="000644D4" w:rsidRDefault="00FB3D09" w:rsidP="00822842">
            <w:pPr>
              <w:rPr>
                <w:rFonts w:ascii="Times New Roman" w:hAnsi="Times New Roman"/>
                <w:sz w:val="24"/>
              </w:rPr>
            </w:pPr>
            <w:r w:rsidRPr="000644D4">
              <w:rPr>
                <w:rFonts w:ascii="Times New Roman" w:hAnsi="Times New Roman"/>
                <w:sz w:val="24"/>
              </w:rPr>
              <w:t>0190–0210</w:t>
            </w:r>
          </w:p>
        </w:tc>
        <w:tc>
          <w:tcPr>
            <w:tcW w:w="8789" w:type="dxa"/>
          </w:tcPr>
          <w:p w14:paraId="24E930D5" w14:textId="57FAC10C" w:rsidR="00FB3D09" w:rsidRPr="000644D4" w:rsidRDefault="00FB3D09" w:rsidP="00822842">
            <w:pPr>
              <w:rPr>
                <w:rFonts w:ascii="Times New Roman" w:hAnsi="Times New Roman"/>
                <w:b/>
                <w:bCs/>
                <w:sz w:val="24"/>
                <w:u w:val="single"/>
              </w:rPr>
            </w:pPr>
            <w:r w:rsidRPr="000644D4">
              <w:rPr>
                <w:rFonts w:ascii="Times New Roman" w:hAnsi="Times New Roman"/>
                <w:b/>
                <w:sz w:val="24"/>
                <w:u w:val="single"/>
              </w:rPr>
              <w:t>PODZIAŁ EKSPOZYCJI CAŁKOWITYCH WEDŁUG METODY (PRZEDSIĘBIORSTWO ZBIOROWEGO INWESTOWANIA):</w:t>
            </w:r>
          </w:p>
        </w:tc>
      </w:tr>
      <w:tr w:rsidR="00FB3D09" w:rsidRPr="000644D4" w14:paraId="62E31418" w14:textId="77777777" w:rsidTr="00822842">
        <w:trPr>
          <w:trHeight w:val="300"/>
        </w:trPr>
        <w:tc>
          <w:tcPr>
            <w:tcW w:w="1242" w:type="dxa"/>
          </w:tcPr>
          <w:p w14:paraId="12D87A1F" w14:textId="77777777" w:rsidR="00FB3D09" w:rsidRPr="000644D4" w:rsidRDefault="00FB3D09" w:rsidP="00822842">
            <w:pPr>
              <w:rPr>
                <w:rFonts w:ascii="Times New Roman" w:hAnsi="Times New Roman"/>
                <w:sz w:val="24"/>
              </w:rPr>
            </w:pPr>
            <w:r w:rsidRPr="000644D4">
              <w:rPr>
                <w:rFonts w:ascii="Times New Roman" w:hAnsi="Times New Roman"/>
                <w:sz w:val="24"/>
              </w:rPr>
              <w:t>0190</w:t>
            </w:r>
          </w:p>
        </w:tc>
        <w:tc>
          <w:tcPr>
            <w:tcW w:w="8789" w:type="dxa"/>
          </w:tcPr>
          <w:p w14:paraId="15D1C078" w14:textId="3090FC4B" w:rsidR="00FB3D09" w:rsidRPr="000644D4" w:rsidRDefault="00FB3D09" w:rsidP="00822842">
            <w:pPr>
              <w:rPr>
                <w:rStyle w:val="InstructionsTabelleberschrift"/>
                <w:rFonts w:ascii="Times New Roman" w:hAnsi="Times New Roman"/>
                <w:sz w:val="24"/>
              </w:rPr>
            </w:pPr>
            <w:r w:rsidRPr="000644D4">
              <w:rPr>
                <w:rFonts w:ascii="Times New Roman" w:hAnsi="Times New Roman"/>
                <w:b/>
                <w:sz w:val="24"/>
                <w:u w:val="single"/>
              </w:rPr>
              <w:t>Metoda pełnego przeglądu</w:t>
            </w:r>
          </w:p>
          <w:p w14:paraId="2AD180D4" w14:textId="3BDAEF23" w:rsidR="00FB3D09" w:rsidRPr="000644D4" w:rsidRDefault="00FB3D09" w:rsidP="00822842">
            <w:pPr>
              <w:spacing w:after="160" w:line="257" w:lineRule="auto"/>
              <w:rPr>
                <w:rFonts w:ascii="Times New Roman" w:eastAsia="Calibri" w:hAnsi="Times New Roman"/>
                <w:color w:val="000000" w:themeColor="text1"/>
                <w:sz w:val="24"/>
              </w:rPr>
            </w:pPr>
            <w:r w:rsidRPr="000644D4">
              <w:rPr>
                <w:rFonts w:ascii="Times New Roman" w:hAnsi="Times New Roman"/>
                <w:sz w:val="24"/>
              </w:rPr>
              <w:t>Art. 152 ust.</w:t>
            </w:r>
            <w:r w:rsidR="000644D4" w:rsidRPr="000644D4">
              <w:rPr>
                <w:rFonts w:ascii="Times New Roman" w:hAnsi="Times New Roman"/>
                <w:sz w:val="24"/>
              </w:rPr>
              <w:t> </w:t>
            </w:r>
            <w:r w:rsidRPr="000644D4">
              <w:rPr>
                <w:rFonts w:ascii="Times New Roman" w:hAnsi="Times New Roman"/>
                <w:sz w:val="24"/>
              </w:rPr>
              <w:t>1 rozporządzenia (UE) nr</w:t>
            </w:r>
            <w:r w:rsidR="000644D4" w:rsidRPr="000644D4">
              <w:rPr>
                <w:rFonts w:ascii="Times New Roman" w:hAnsi="Times New Roman"/>
                <w:sz w:val="24"/>
              </w:rPr>
              <w:t> </w:t>
            </w:r>
            <w:r w:rsidRPr="000644D4">
              <w:rPr>
                <w:rFonts w:ascii="Times New Roman" w:hAnsi="Times New Roman"/>
                <w:sz w:val="24"/>
              </w:rPr>
              <w:t>575/2013</w:t>
            </w:r>
          </w:p>
          <w:p w14:paraId="42481890" w14:textId="5A1FE693" w:rsidR="00FB3D09" w:rsidRPr="000644D4" w:rsidRDefault="00FB3D09" w:rsidP="00822842">
            <w:pPr>
              <w:rPr>
                <w:rFonts w:ascii="Times New Roman" w:hAnsi="Times New Roman"/>
                <w:sz w:val="24"/>
              </w:rPr>
            </w:pPr>
            <w:r w:rsidRPr="000644D4">
              <w:rPr>
                <w:rFonts w:ascii="Times New Roman" w:hAnsi="Times New Roman"/>
                <w:sz w:val="24"/>
              </w:rPr>
              <w:t>Wiersz ten zgłasza się wyłącznie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kategorii ekspozycji związanych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edsiębiorstwami zbiorowego inwestowania oraz</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ark</w:t>
            </w:r>
            <w:r w:rsidRPr="000644D4">
              <w:rPr>
                <w:rFonts w:ascii="Times New Roman" w:hAnsi="Times New Roman"/>
                <w:sz w:val="24"/>
              </w:rPr>
              <w:t>uszu „Razem”. Dodatkowo zgłasza się go jako pozycję uzupełniającą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poz</w:t>
            </w:r>
            <w:r w:rsidRPr="000644D4">
              <w:rPr>
                <w:rFonts w:ascii="Times New Roman" w:hAnsi="Times New Roman"/>
                <w:sz w:val="24"/>
              </w:rPr>
              <w:t>ostałych kategoriach ekspozycji objętych metodą IRB, ponieważ jeżeli stosuje się metodę IRB, ekspozycje bazowe klasyfikuje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odp</w:t>
            </w:r>
            <w:r w:rsidRPr="000644D4">
              <w:rPr>
                <w:rFonts w:ascii="Times New Roman" w:hAnsi="Times New Roman"/>
                <w:sz w:val="24"/>
              </w:rPr>
              <w:t>owiadającą im kategorią ekspozycji.</w:t>
            </w:r>
          </w:p>
        </w:tc>
      </w:tr>
      <w:tr w:rsidR="00FB3D09" w:rsidRPr="000644D4" w14:paraId="66E7EEA8" w14:textId="77777777" w:rsidTr="00822842">
        <w:trPr>
          <w:trHeight w:val="300"/>
        </w:trPr>
        <w:tc>
          <w:tcPr>
            <w:tcW w:w="1242" w:type="dxa"/>
          </w:tcPr>
          <w:p w14:paraId="3C86B702" w14:textId="77777777" w:rsidR="00FB3D09" w:rsidRPr="000644D4" w:rsidRDefault="00FB3D09" w:rsidP="00822842">
            <w:pPr>
              <w:rPr>
                <w:rFonts w:ascii="Times New Roman" w:hAnsi="Times New Roman"/>
                <w:sz w:val="24"/>
              </w:rPr>
            </w:pPr>
            <w:r w:rsidRPr="000644D4">
              <w:rPr>
                <w:rFonts w:ascii="Times New Roman" w:hAnsi="Times New Roman"/>
                <w:sz w:val="24"/>
              </w:rPr>
              <w:t>0200</w:t>
            </w:r>
          </w:p>
        </w:tc>
        <w:tc>
          <w:tcPr>
            <w:tcW w:w="8789" w:type="dxa"/>
          </w:tcPr>
          <w:p w14:paraId="17279CD9" w14:textId="57707F46" w:rsidR="00FB3D09" w:rsidRPr="000644D4" w:rsidRDefault="00FB3D09" w:rsidP="00822842">
            <w:pPr>
              <w:rPr>
                <w:rStyle w:val="InstructionsTabelleberschrift"/>
                <w:rFonts w:ascii="Times New Roman" w:hAnsi="Times New Roman"/>
                <w:sz w:val="24"/>
              </w:rPr>
            </w:pPr>
            <w:r w:rsidRPr="000644D4">
              <w:rPr>
                <w:rFonts w:ascii="Times New Roman" w:hAnsi="Times New Roman"/>
                <w:b/>
                <w:sz w:val="24"/>
                <w:u w:val="single"/>
              </w:rPr>
              <w:t>Metoda oparta na uprawnieniach</w:t>
            </w:r>
          </w:p>
          <w:p w14:paraId="65B8F17E" w14:textId="3AE73531" w:rsidR="00FB3D09" w:rsidRPr="000644D4" w:rsidRDefault="00FB3D09" w:rsidP="00822842">
            <w:pPr>
              <w:spacing w:after="160" w:line="257" w:lineRule="auto"/>
              <w:rPr>
                <w:rFonts w:ascii="Times New Roman" w:eastAsia="Calibri" w:hAnsi="Times New Roman"/>
                <w:color w:val="000000" w:themeColor="text1"/>
                <w:sz w:val="24"/>
              </w:rPr>
            </w:pPr>
            <w:r w:rsidRPr="000644D4">
              <w:rPr>
                <w:rFonts w:ascii="Times New Roman" w:hAnsi="Times New Roman"/>
                <w:sz w:val="24"/>
              </w:rPr>
              <w:t>Art. 152 ust.</w:t>
            </w:r>
            <w:r w:rsidR="000644D4" w:rsidRPr="000644D4">
              <w:rPr>
                <w:rFonts w:ascii="Times New Roman" w:hAnsi="Times New Roman"/>
                <w:sz w:val="24"/>
              </w:rPr>
              <w:t> </w:t>
            </w:r>
            <w:r w:rsidRPr="000644D4">
              <w:rPr>
                <w:rFonts w:ascii="Times New Roman" w:hAnsi="Times New Roman"/>
                <w:sz w:val="24"/>
              </w:rPr>
              <w:t>5 rozporządzenia (UE) nr</w:t>
            </w:r>
            <w:r w:rsidR="000644D4" w:rsidRPr="000644D4">
              <w:rPr>
                <w:rFonts w:ascii="Times New Roman" w:hAnsi="Times New Roman"/>
                <w:sz w:val="24"/>
              </w:rPr>
              <w:t> </w:t>
            </w:r>
            <w:r w:rsidRPr="000644D4">
              <w:rPr>
                <w:rFonts w:ascii="Times New Roman" w:hAnsi="Times New Roman"/>
                <w:sz w:val="24"/>
              </w:rPr>
              <w:t>575/2013</w:t>
            </w:r>
          </w:p>
          <w:p w14:paraId="0315659D" w14:textId="0B4B6252" w:rsidR="00FB3D09" w:rsidRPr="000644D4" w:rsidRDefault="00FB3D09" w:rsidP="00822842">
            <w:pPr>
              <w:rPr>
                <w:rFonts w:ascii="Times New Roman" w:hAnsi="Times New Roman"/>
                <w:sz w:val="24"/>
              </w:rPr>
            </w:pPr>
            <w:r w:rsidRPr="000644D4">
              <w:rPr>
                <w:rFonts w:ascii="Times New Roman" w:hAnsi="Times New Roman"/>
                <w:sz w:val="24"/>
              </w:rPr>
              <w:t>Wiersz ten zgłasza się wyłącznie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kategorii ekspozycji „ekspozycje wobec przedsiębiorstw zbiorowego inwestowania” oraz</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ark</w:t>
            </w:r>
            <w:r w:rsidRPr="000644D4">
              <w:rPr>
                <w:rFonts w:ascii="Times New Roman" w:hAnsi="Times New Roman"/>
                <w:sz w:val="24"/>
              </w:rPr>
              <w:t>uszu „Razem”.</w:t>
            </w:r>
          </w:p>
        </w:tc>
      </w:tr>
      <w:tr w:rsidR="00FB3D09" w:rsidRPr="000644D4" w14:paraId="1E5A599B" w14:textId="77777777" w:rsidTr="00822842">
        <w:trPr>
          <w:trHeight w:val="300"/>
        </w:trPr>
        <w:tc>
          <w:tcPr>
            <w:tcW w:w="1242" w:type="dxa"/>
          </w:tcPr>
          <w:p w14:paraId="6ABB8CD4" w14:textId="77777777" w:rsidR="00FB3D09" w:rsidRPr="000644D4" w:rsidRDefault="00FB3D09" w:rsidP="00822842">
            <w:pPr>
              <w:rPr>
                <w:rFonts w:ascii="Times New Roman" w:hAnsi="Times New Roman"/>
                <w:sz w:val="24"/>
              </w:rPr>
            </w:pPr>
            <w:r w:rsidRPr="000644D4">
              <w:rPr>
                <w:rFonts w:ascii="Times New Roman" w:hAnsi="Times New Roman"/>
                <w:sz w:val="24"/>
              </w:rPr>
              <w:t>0210</w:t>
            </w:r>
          </w:p>
        </w:tc>
        <w:tc>
          <w:tcPr>
            <w:tcW w:w="8789" w:type="dxa"/>
          </w:tcPr>
          <w:p w14:paraId="3816A424" w14:textId="13F62D85" w:rsidR="00FB3D09" w:rsidRPr="000644D4" w:rsidRDefault="00FB3D09" w:rsidP="00822842">
            <w:pPr>
              <w:rPr>
                <w:rStyle w:val="InstructionsTabelleberschrift"/>
                <w:rFonts w:ascii="Times New Roman" w:hAnsi="Times New Roman"/>
                <w:sz w:val="24"/>
              </w:rPr>
            </w:pPr>
            <w:r w:rsidRPr="000644D4">
              <w:rPr>
                <w:rFonts w:ascii="Times New Roman" w:hAnsi="Times New Roman"/>
                <w:b/>
                <w:sz w:val="24"/>
                <w:u w:val="single"/>
              </w:rPr>
              <w:t>Metoda rezerwowa</w:t>
            </w:r>
          </w:p>
          <w:p w14:paraId="57A3CDF9" w14:textId="011F020F" w:rsidR="00FB3D09" w:rsidRPr="000644D4" w:rsidRDefault="00FB3D09" w:rsidP="00822842">
            <w:pPr>
              <w:spacing w:after="160" w:line="257" w:lineRule="auto"/>
              <w:rPr>
                <w:rFonts w:ascii="Times New Roman" w:eastAsia="Calibri" w:hAnsi="Times New Roman"/>
                <w:color w:val="000000" w:themeColor="text1"/>
                <w:sz w:val="24"/>
              </w:rPr>
            </w:pPr>
            <w:r w:rsidRPr="000644D4">
              <w:rPr>
                <w:rFonts w:ascii="Times New Roman" w:hAnsi="Times New Roman"/>
                <w:color w:val="000000" w:themeColor="text1"/>
                <w:sz w:val="24"/>
              </w:rPr>
              <w:t>Art. 152 ust.</w:t>
            </w:r>
            <w:r w:rsidR="000644D4" w:rsidRPr="000644D4">
              <w:rPr>
                <w:rFonts w:ascii="Times New Roman" w:hAnsi="Times New Roman"/>
                <w:color w:val="000000" w:themeColor="text1"/>
                <w:sz w:val="24"/>
              </w:rPr>
              <w:t> </w:t>
            </w:r>
            <w:r w:rsidRPr="000644D4">
              <w:rPr>
                <w:rFonts w:ascii="Times New Roman" w:hAnsi="Times New Roman"/>
                <w:color w:val="000000" w:themeColor="text1"/>
                <w:sz w:val="24"/>
              </w:rPr>
              <w:t>6 rozporządzenia (UE) nr</w:t>
            </w:r>
            <w:r w:rsidR="000644D4" w:rsidRPr="000644D4">
              <w:rPr>
                <w:rFonts w:ascii="Times New Roman" w:hAnsi="Times New Roman"/>
                <w:color w:val="000000" w:themeColor="text1"/>
                <w:sz w:val="24"/>
              </w:rPr>
              <w:t> </w:t>
            </w:r>
            <w:r w:rsidRPr="000644D4">
              <w:rPr>
                <w:rFonts w:ascii="Times New Roman" w:hAnsi="Times New Roman"/>
                <w:color w:val="000000" w:themeColor="text1"/>
                <w:sz w:val="24"/>
              </w:rPr>
              <w:t>575/2013</w:t>
            </w:r>
          </w:p>
          <w:p w14:paraId="42219B94" w14:textId="250C82E6" w:rsidR="00FB3D09" w:rsidRPr="000644D4" w:rsidRDefault="00FB3D09" w:rsidP="00822842">
            <w:pPr>
              <w:rPr>
                <w:rFonts w:ascii="Times New Roman" w:hAnsi="Times New Roman"/>
                <w:sz w:val="24"/>
              </w:rPr>
            </w:pPr>
            <w:r w:rsidRPr="000644D4">
              <w:rPr>
                <w:rFonts w:ascii="Times New Roman" w:hAnsi="Times New Roman"/>
                <w:sz w:val="24"/>
              </w:rPr>
              <w:t>Wiersz ten zgłasza się wyłącznie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kategorii ekspozycji „ekspozycje wobec przedsiębiorstw zbiorowego inwestowania” oraz</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ark</w:t>
            </w:r>
            <w:r w:rsidRPr="000644D4">
              <w:rPr>
                <w:rFonts w:ascii="Times New Roman" w:hAnsi="Times New Roman"/>
                <w:sz w:val="24"/>
              </w:rPr>
              <w:t>uszu „Razem”.</w:t>
            </w:r>
          </w:p>
        </w:tc>
      </w:tr>
    </w:tbl>
    <w:p w14:paraId="0B2C44D0" w14:textId="77777777" w:rsidR="00FB3D09" w:rsidRPr="000644D4"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33E481E" w:rsidR="00FB3D09" w:rsidRPr="000644D4"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0644D4">
        <w:rPr>
          <w:rFonts w:ascii="Times New Roman" w:hAnsi="Times New Roman"/>
          <w:sz w:val="24"/>
          <w:u w:val="none"/>
        </w:rPr>
        <w:t>3.3.4.</w:t>
      </w:r>
      <w:r w:rsidRPr="000644D4">
        <w:tab/>
      </w:r>
      <w:r w:rsidRPr="000644D4">
        <w:rPr>
          <w:rFonts w:ascii="Times New Roman" w:hAnsi="Times New Roman"/>
          <w:sz w:val="24"/>
        </w:rPr>
        <w:t>C 08.02 – Ryzyko kredytowe</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ryz</w:t>
      </w:r>
      <w:r w:rsidRPr="000644D4">
        <w:rPr>
          <w:rFonts w:ascii="Times New Roman" w:hAnsi="Times New Roman"/>
          <w:sz w:val="24"/>
        </w:rPr>
        <w:t>yko kredytowe kontrahenta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podział według klas jakości lub puli dłużników (wzór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0644D4" w14:paraId="56EC6AC2" w14:textId="77777777" w:rsidTr="00822842">
        <w:tc>
          <w:tcPr>
            <w:tcW w:w="2024" w:type="dxa"/>
            <w:shd w:val="clear" w:color="auto" w:fill="BFBFBF"/>
          </w:tcPr>
          <w:p w14:paraId="2B478CBD" w14:textId="77777777" w:rsidR="00FB3D09" w:rsidRPr="000644D4" w:rsidRDefault="00FB3D09" w:rsidP="00822842">
            <w:pPr>
              <w:rPr>
                <w:rFonts w:ascii="Times New Roman" w:hAnsi="Times New Roman"/>
                <w:sz w:val="24"/>
              </w:rPr>
            </w:pPr>
            <w:r w:rsidRPr="000644D4">
              <w:rPr>
                <w:rFonts w:ascii="Times New Roman" w:hAnsi="Times New Roman"/>
                <w:sz w:val="24"/>
              </w:rPr>
              <w:t>Kolumna</w:t>
            </w:r>
          </w:p>
        </w:tc>
        <w:tc>
          <w:tcPr>
            <w:tcW w:w="7804" w:type="dxa"/>
            <w:shd w:val="clear" w:color="auto" w:fill="BFBFBF"/>
          </w:tcPr>
          <w:p w14:paraId="72EF06FF"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76358864" w14:textId="77777777" w:rsidTr="00822842">
        <w:tc>
          <w:tcPr>
            <w:tcW w:w="2024" w:type="dxa"/>
          </w:tcPr>
          <w:p w14:paraId="46C873B6" w14:textId="77777777" w:rsidR="00FB3D09" w:rsidRPr="000644D4" w:rsidRDefault="00FB3D09" w:rsidP="00822842">
            <w:pPr>
              <w:rPr>
                <w:rFonts w:ascii="Times New Roman" w:hAnsi="Times New Roman"/>
                <w:sz w:val="24"/>
              </w:rPr>
            </w:pPr>
            <w:r w:rsidRPr="000644D4">
              <w:rPr>
                <w:rFonts w:ascii="Times New Roman" w:hAnsi="Times New Roman"/>
                <w:sz w:val="24"/>
              </w:rPr>
              <w:t>0005</w:t>
            </w:r>
          </w:p>
        </w:tc>
        <w:tc>
          <w:tcPr>
            <w:tcW w:w="7804" w:type="dxa"/>
          </w:tcPr>
          <w:p w14:paraId="130BE1CA"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Klasa jakości dłużnika (identyfikator wiersza)</w:t>
            </w:r>
          </w:p>
          <w:p w14:paraId="49E1BF99" w14:textId="2FBC26F9" w:rsidR="00FB3D09" w:rsidRPr="000644D4" w:rsidRDefault="00FB3D09" w:rsidP="00822842">
            <w:pPr>
              <w:rPr>
                <w:rFonts w:ascii="Times New Roman" w:hAnsi="Times New Roman"/>
                <w:sz w:val="24"/>
              </w:rPr>
            </w:pPr>
            <w:r w:rsidRPr="000644D4">
              <w:rPr>
                <w:rFonts w:ascii="Times New Roman" w:hAnsi="Times New Roman"/>
                <w:sz w:val="24"/>
              </w:rPr>
              <w:t>Jest to identyfikator wiersza, który jest niepowtarzalny dla każdego wiersza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dan</w:t>
            </w:r>
            <w:r w:rsidRPr="000644D4">
              <w:rPr>
                <w:rFonts w:ascii="Times New Roman" w:hAnsi="Times New Roman"/>
                <w:sz w:val="24"/>
              </w:rPr>
              <w:t>ym arkuszu wzoru. Numeracja następuje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ejności numerycznej: 1, 2, 3 itd.</w:t>
            </w:r>
          </w:p>
          <w:p w14:paraId="748039C7" w14:textId="14246B41" w:rsidR="00FB3D09" w:rsidRPr="000644D4" w:rsidRDefault="00FB3D09" w:rsidP="00822842">
            <w:pPr>
              <w:rPr>
                <w:rFonts w:ascii="Times New Roman" w:hAnsi="Times New Roman"/>
                <w:sz w:val="24"/>
              </w:rPr>
            </w:pPr>
            <w:r w:rsidRPr="000644D4">
              <w:rPr>
                <w:rFonts w:ascii="Times New Roman" w:hAnsi="Times New Roman"/>
                <w:sz w:val="24"/>
              </w:rPr>
              <w:t>Pierwsza zgłaszana klasa (lub pula) jest najlepsza,</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nas</w:t>
            </w:r>
            <w:r w:rsidRPr="000644D4">
              <w:rPr>
                <w:rFonts w:ascii="Times New Roman" w:hAnsi="Times New Roman"/>
                <w:sz w:val="24"/>
              </w:rPr>
              <w:t>tępnie druga</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 xml:space="preserve">ejne. Ostatnia zgłaszana klasa lub klasy (lub pula) obejmuje ekspozycje, których dotyczy niewykonanie zobowiązania. </w:t>
            </w:r>
          </w:p>
        </w:tc>
      </w:tr>
      <w:tr w:rsidR="00FB3D09" w:rsidRPr="000644D4" w14:paraId="2E9E255A" w14:textId="77777777" w:rsidTr="00822842">
        <w:tc>
          <w:tcPr>
            <w:tcW w:w="2024" w:type="dxa"/>
          </w:tcPr>
          <w:p w14:paraId="7EBE6354" w14:textId="77777777" w:rsidR="00FB3D09" w:rsidRPr="000644D4" w:rsidRDefault="00FB3D09" w:rsidP="00822842">
            <w:pPr>
              <w:rPr>
                <w:rFonts w:ascii="Times New Roman" w:hAnsi="Times New Roman"/>
                <w:sz w:val="24"/>
              </w:rPr>
            </w:pPr>
            <w:r w:rsidRPr="000644D4">
              <w:rPr>
                <w:rFonts w:ascii="Times New Roman" w:hAnsi="Times New Roman"/>
                <w:sz w:val="24"/>
              </w:rPr>
              <w:t>0010–0300</w:t>
            </w:r>
          </w:p>
        </w:tc>
        <w:tc>
          <w:tcPr>
            <w:tcW w:w="7804" w:type="dxa"/>
          </w:tcPr>
          <w:p w14:paraId="68F58938" w14:textId="17EE95AB" w:rsidR="00FB3D09" w:rsidRPr="000644D4" w:rsidRDefault="00FB3D09" w:rsidP="00822842">
            <w:pPr>
              <w:rPr>
                <w:rFonts w:ascii="Times New Roman" w:hAnsi="Times New Roman"/>
                <w:sz w:val="24"/>
              </w:rPr>
            </w:pPr>
            <w:r w:rsidRPr="000644D4">
              <w:rPr>
                <w:rFonts w:ascii="Times New Roman" w:hAnsi="Times New Roman"/>
                <w:sz w:val="24"/>
              </w:rPr>
              <w:t>Instrukcje dla każdej</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tyc</w:t>
            </w:r>
            <w:r w:rsidRPr="000644D4">
              <w:rPr>
                <w:rFonts w:ascii="Times New Roman" w:hAnsi="Times New Roman"/>
                <w:sz w:val="24"/>
              </w:rPr>
              <w:t>h kolumn są takie same jak dla odpowiadających im numerami kolumn we wzorze CR IRB 1.</w:t>
            </w:r>
          </w:p>
        </w:tc>
      </w:tr>
    </w:tbl>
    <w:p w14:paraId="040BB8C7" w14:textId="77777777" w:rsidR="00FB3D09" w:rsidRPr="000644D4"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0644D4" w14:paraId="767C7154" w14:textId="77777777" w:rsidTr="00822842">
        <w:tc>
          <w:tcPr>
            <w:tcW w:w="2024" w:type="dxa"/>
            <w:shd w:val="pct25" w:color="auto" w:fill="auto"/>
          </w:tcPr>
          <w:p w14:paraId="50BC5DEB" w14:textId="77777777" w:rsidR="00FB3D09" w:rsidRPr="000644D4" w:rsidRDefault="00FB3D09" w:rsidP="00822842">
            <w:pPr>
              <w:rPr>
                <w:rFonts w:ascii="Times New Roman" w:hAnsi="Times New Roman"/>
                <w:sz w:val="24"/>
              </w:rPr>
            </w:pPr>
            <w:r w:rsidRPr="000644D4">
              <w:rPr>
                <w:rFonts w:ascii="Times New Roman" w:hAnsi="Times New Roman"/>
                <w:sz w:val="24"/>
              </w:rPr>
              <w:t>Wiersz</w:t>
            </w:r>
          </w:p>
        </w:tc>
        <w:tc>
          <w:tcPr>
            <w:tcW w:w="7804" w:type="dxa"/>
            <w:shd w:val="pct25" w:color="auto" w:fill="auto"/>
          </w:tcPr>
          <w:p w14:paraId="656BDFFA"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4253B5F0" w14:textId="77777777" w:rsidTr="00822842">
        <w:tc>
          <w:tcPr>
            <w:tcW w:w="2024" w:type="dxa"/>
          </w:tcPr>
          <w:p w14:paraId="1F1498DB" w14:textId="77777777" w:rsidR="00FB3D09" w:rsidRPr="000644D4" w:rsidRDefault="00FB3D09" w:rsidP="00822842">
            <w:pPr>
              <w:rPr>
                <w:rFonts w:ascii="Times New Roman" w:hAnsi="Times New Roman"/>
                <w:sz w:val="24"/>
              </w:rPr>
            </w:pPr>
            <w:r w:rsidRPr="000644D4">
              <w:rPr>
                <w:rFonts w:ascii="Times New Roman" w:hAnsi="Times New Roman"/>
                <w:sz w:val="24"/>
              </w:rPr>
              <w:t>0010-0001 – 0010-NNNN</w:t>
            </w:r>
          </w:p>
        </w:tc>
        <w:tc>
          <w:tcPr>
            <w:tcW w:w="7804" w:type="dxa"/>
          </w:tcPr>
          <w:p w14:paraId="7438CE6A" w14:textId="1F4DE92D" w:rsidR="00FB3D09" w:rsidRPr="000644D4" w:rsidRDefault="00FB3D09" w:rsidP="00822842">
            <w:pPr>
              <w:rPr>
                <w:rFonts w:ascii="Times New Roman" w:hAnsi="Times New Roman"/>
                <w:sz w:val="24"/>
              </w:rPr>
            </w:pPr>
            <w:r w:rsidRPr="000644D4">
              <w:rPr>
                <w:rFonts w:ascii="Times New Roman" w:hAnsi="Times New Roman"/>
                <w:sz w:val="24"/>
              </w:rPr>
              <w:t>Wartości zgłoszone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tyc</w:t>
            </w:r>
            <w:r w:rsidRPr="000644D4">
              <w:rPr>
                <w:rFonts w:ascii="Times New Roman" w:hAnsi="Times New Roman"/>
                <w:sz w:val="24"/>
              </w:rPr>
              <w:t>h wierszach należy wprowadzać</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por</w:t>
            </w:r>
            <w:r w:rsidRPr="000644D4">
              <w:rPr>
                <w:rFonts w:ascii="Times New Roman" w:hAnsi="Times New Roman"/>
                <w:sz w:val="24"/>
              </w:rPr>
              <w:t>ządku odpowiadającym wartości PD przypisanej klasie jakości lub puli dłużnika. Wartość PD dla dłużników, którzy nie wykonali swoich zobowiązań, wynosi 100 %. Ekspozycje objęte podejściem alternatywnym</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zabezpieczeń</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pos</w:t>
            </w:r>
            <w:r w:rsidRPr="000644D4">
              <w:rPr>
                <w:rFonts w:ascii="Times New Roman" w:hAnsi="Times New Roman"/>
                <w:sz w:val="24"/>
              </w:rPr>
              <w:t>taci nieruchomości (dostępne wyłącznie wówczas, gdy nie stosuje się własnych oszacowań LGD) nie są przypisywane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war</w:t>
            </w:r>
            <w:r w:rsidRPr="000644D4">
              <w:rPr>
                <w:rFonts w:ascii="Times New Roman" w:hAnsi="Times New Roman"/>
                <w:sz w:val="24"/>
              </w:rPr>
              <w:t>tością PD dla dłużników</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nie</w:t>
            </w:r>
            <w:r w:rsidRPr="000644D4">
              <w:rPr>
                <w:rFonts w:ascii="Times New Roman" w:hAnsi="Times New Roman"/>
                <w:sz w:val="24"/>
              </w:rPr>
              <w:t xml:space="preserve"> są zgłaszane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wzorze.</w:t>
            </w:r>
          </w:p>
        </w:tc>
      </w:tr>
    </w:tbl>
    <w:p w14:paraId="207794BA" w14:textId="77777777" w:rsidR="00FB3D09" w:rsidRPr="000644D4" w:rsidRDefault="00FB3D09" w:rsidP="00FB3D09">
      <w:pPr>
        <w:pStyle w:val="InstructionsText"/>
      </w:pPr>
    </w:p>
    <w:p w14:paraId="26916390" w14:textId="71B42786" w:rsidR="00FB3D09" w:rsidRPr="000644D4"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sidRPr="000644D4">
        <w:rPr>
          <w:rFonts w:ascii="Times New Roman" w:hAnsi="Times New Roman"/>
          <w:sz w:val="24"/>
        </w:rPr>
        <w:t>C 08.03 – Ryzyko kredytowe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(podział według zakresów PD (CR IRB 3))</w:t>
      </w:r>
      <w:bookmarkEnd w:id="103"/>
      <w:bookmarkEnd w:id="104"/>
    </w:p>
    <w:p w14:paraId="32A5436F" w14:textId="77777777" w:rsidR="00FB3D09" w:rsidRPr="000644D4"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sidRPr="000644D4">
        <w:rPr>
          <w:rFonts w:ascii="Times New Roman" w:hAnsi="Times New Roman"/>
          <w:sz w:val="24"/>
        </w:rPr>
        <w:t>Uwagi ogólne</w:t>
      </w:r>
      <w:bookmarkEnd w:id="105"/>
      <w:bookmarkEnd w:id="106"/>
    </w:p>
    <w:p w14:paraId="0918D50A" w14:textId="76078FD5"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77</w:t>
      </w:r>
      <w:r w:rsidRPr="000644D4">
        <w:fldChar w:fldCharType="end"/>
      </w:r>
      <w:r w:rsidRPr="000644D4">
        <w:t>. Instytucje zgłaszają informacje zawarte</w:t>
      </w:r>
      <w:r w:rsidR="000644D4" w:rsidRPr="000644D4">
        <w:t xml:space="preserve"> w</w:t>
      </w:r>
      <w:r w:rsidR="000644D4">
        <w:t> </w:t>
      </w:r>
      <w:r w:rsidR="000644D4" w:rsidRPr="000644D4">
        <w:t>tym</w:t>
      </w:r>
      <w:r w:rsidRPr="000644D4">
        <w:t xml:space="preserve"> wzorze zgodnie</w:t>
      </w:r>
      <w:r w:rsidR="000644D4" w:rsidRPr="000644D4">
        <w:t xml:space="preserve"> z</w:t>
      </w:r>
      <w:r w:rsidR="000644D4">
        <w:t> </w:t>
      </w:r>
      <w:r w:rsidR="000644D4" w:rsidRPr="000644D4">
        <w:t>art</w:t>
      </w:r>
      <w:r w:rsidRPr="000644D4">
        <w:t>. 452 lit. g) pkt (i)–(v) rozporządzenia (UE) nr</w:t>
      </w:r>
      <w:r w:rsidR="000644D4" w:rsidRPr="000644D4">
        <w:t> </w:t>
      </w:r>
      <w:r w:rsidRPr="000644D4">
        <w:t>575/2013</w:t>
      </w:r>
      <w:r w:rsidR="000644D4" w:rsidRPr="000644D4">
        <w:t xml:space="preserve"> w</w:t>
      </w:r>
      <w:r w:rsidR="000644D4">
        <w:t> </w:t>
      </w:r>
      <w:r w:rsidR="000644D4" w:rsidRPr="000644D4">
        <w:t>cel</w:t>
      </w:r>
      <w:r w:rsidRPr="000644D4">
        <w:t>u przedstawienia informacji dotyczących głównych parametrów stosowanych do obliczenia wymogów kapitałowych</w:t>
      </w:r>
      <w:r w:rsidR="000644D4" w:rsidRPr="000644D4">
        <w:t xml:space="preserve"> w</w:t>
      </w:r>
      <w:r w:rsidR="000644D4">
        <w:t> </w:t>
      </w:r>
      <w:r w:rsidR="000644D4" w:rsidRPr="000644D4">
        <w:t>odn</w:t>
      </w:r>
      <w:r w:rsidRPr="000644D4">
        <w:t>iesieniu do metody IRB. Informacje zgłaszane</w:t>
      </w:r>
      <w:r w:rsidR="000644D4" w:rsidRPr="000644D4">
        <w:t xml:space="preserve"> w</w:t>
      </w:r>
      <w:r w:rsidR="000644D4">
        <w:t> </w:t>
      </w:r>
      <w:r w:rsidR="000644D4" w:rsidRPr="000644D4">
        <w:t>tym</w:t>
      </w:r>
      <w:r w:rsidRPr="000644D4">
        <w:t xml:space="preserve"> wzorze nie obejmują danych dotyczących kredytowania specjalistycznego,</w:t>
      </w:r>
      <w:r w:rsidR="000644D4" w:rsidRPr="000644D4">
        <w:t xml:space="preserve"> o</w:t>
      </w:r>
      <w:r w:rsidR="000644D4">
        <w:t> </w:t>
      </w:r>
      <w:r w:rsidR="000644D4" w:rsidRPr="000644D4">
        <w:t>któ</w:t>
      </w:r>
      <w:r w:rsidRPr="000644D4">
        <w:t>rym mowa</w:t>
      </w:r>
      <w:r w:rsidR="000644D4" w:rsidRPr="000644D4">
        <w:t xml:space="preserve"> w</w:t>
      </w:r>
      <w:r w:rsidR="000644D4">
        <w:t> </w:t>
      </w:r>
      <w:r w:rsidR="000644D4" w:rsidRPr="000644D4">
        <w:t>art</w:t>
      </w:r>
      <w:r w:rsidRPr="000644D4">
        <w:t>. 153 ust. 5 rozporządzenia (UE) nr</w:t>
      </w:r>
      <w:r w:rsidR="000644D4" w:rsidRPr="000644D4">
        <w:t> </w:t>
      </w:r>
      <w:r w:rsidRPr="000644D4">
        <w:t>575/2013, uwzględnianych we wzorze C 08.06. Ten wzór nie obejmuje ekspozycji na ryzyko kredytowe kontrahenta (CCR) (część trzecia tytuł II rozdział 6 rozporządzenia (UE) nr</w:t>
      </w:r>
      <w:r w:rsidR="000644D4" w:rsidRPr="000644D4">
        <w:t> </w:t>
      </w:r>
      <w:r w:rsidRPr="000644D4">
        <w:t>575/2013).</w:t>
      </w:r>
    </w:p>
    <w:p w14:paraId="18B1A0B3"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0644D4">
        <w:rPr>
          <w:rFonts w:ascii="Times New Roman" w:hAnsi="Times New Roman"/>
          <w:sz w:val="24"/>
        </w:rPr>
        <w:t>Instrukcje dotyczące poszczególnych pozycji</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1A83A24A" w14:textId="77777777" w:rsidTr="00822842">
        <w:tc>
          <w:tcPr>
            <w:tcW w:w="1188" w:type="dxa"/>
            <w:shd w:val="clear" w:color="auto" w:fill="CCCCCC"/>
          </w:tcPr>
          <w:p w14:paraId="716EB21D" w14:textId="77777777" w:rsidR="00FB3D09" w:rsidRPr="000644D4" w:rsidRDefault="00FB3D09" w:rsidP="00822842">
            <w:pPr>
              <w:rPr>
                <w:rFonts w:ascii="Times New Roman" w:hAnsi="Times New Roman"/>
                <w:sz w:val="24"/>
              </w:rPr>
            </w:pPr>
            <w:r w:rsidRPr="000644D4">
              <w:rPr>
                <w:rFonts w:ascii="Times New Roman" w:hAnsi="Times New Roman"/>
                <w:sz w:val="24"/>
              </w:rPr>
              <w:t>Kolumny</w:t>
            </w:r>
          </w:p>
        </w:tc>
        <w:tc>
          <w:tcPr>
            <w:tcW w:w="8843" w:type="dxa"/>
            <w:shd w:val="clear" w:color="auto" w:fill="CCCCCC"/>
          </w:tcPr>
          <w:p w14:paraId="3EB4007D"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0644D4" w:rsidRDefault="00FB3D09" w:rsidP="00822842">
            <w:pPr>
              <w:rPr>
                <w:rFonts w:ascii="Times New Roman" w:hAnsi="Times New Roman"/>
                <w:sz w:val="24"/>
              </w:rPr>
            </w:pPr>
            <w:r w:rsidRPr="000644D4">
              <w:rPr>
                <w:rFonts w:ascii="Times New Roman" w:hAnsi="Times New Roman"/>
                <w:sz w:val="24"/>
              </w:rPr>
              <w:t>0010</w:t>
            </w:r>
          </w:p>
          <w:p w14:paraId="5AF0F519" w14:textId="77777777" w:rsidR="00FB3D09" w:rsidRPr="000644D4"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EKSPOZYCJE BILANSOWE</w:t>
            </w:r>
          </w:p>
          <w:p w14:paraId="00204A28" w14:textId="5070E68F" w:rsidR="00FB3D09" w:rsidRPr="000644D4" w:rsidRDefault="00FB3D09" w:rsidP="00822842">
            <w:pPr>
              <w:rPr>
                <w:rFonts w:ascii="Times New Roman" w:hAnsi="Times New Roman"/>
                <w:sz w:val="24"/>
              </w:rPr>
            </w:pPr>
            <w:r w:rsidRPr="000644D4">
              <w:rPr>
                <w:rFonts w:ascii="Times New Roman" w:hAnsi="Times New Roman"/>
                <w:sz w:val="24"/>
              </w:rPr>
              <w:t>Wartość ekspozycji obliczana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1–7 rozporządzenia (UE) nr</w:t>
            </w:r>
            <w:r w:rsidR="000644D4" w:rsidRPr="000644D4">
              <w:rPr>
                <w:rFonts w:ascii="Times New Roman" w:hAnsi="Times New Roman"/>
                <w:sz w:val="24"/>
              </w:rPr>
              <w:t> </w:t>
            </w:r>
            <w:r w:rsidRPr="000644D4">
              <w:rPr>
                <w:rFonts w:ascii="Times New Roman" w:hAnsi="Times New Roman"/>
                <w:sz w:val="24"/>
              </w:rPr>
              <w:t>575/2013</w:t>
            </w:r>
            <w:r w:rsidRPr="000644D4">
              <w:t xml:space="preserve"> </w:t>
            </w:r>
            <w:r w:rsidRPr="000644D4">
              <w:rPr>
                <w:rFonts w:ascii="Times New Roman" w:hAnsi="Times New Roman"/>
                <w:sz w:val="24"/>
              </w:rPr>
              <w:t>bez uwzględniania jakichkolwiek korekt</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ryzyka kredytowego</w:t>
            </w:r>
          </w:p>
        </w:tc>
      </w:tr>
      <w:tr w:rsidR="00FB3D09" w:rsidRPr="000644D4"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0644D4" w:rsidRDefault="00FB3D09" w:rsidP="00822842">
            <w:pPr>
              <w:rPr>
                <w:rFonts w:ascii="Times New Roman" w:hAnsi="Times New Roman"/>
                <w:sz w:val="24"/>
              </w:rPr>
            </w:pPr>
            <w:r w:rsidRPr="000644D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EKSPOZYCJE POZABILANSOWE PRZED UWZGLĘDNIENIEM WSPÓŁCZYNNIKÓW KONWERSJI</w:t>
            </w:r>
          </w:p>
          <w:p w14:paraId="55489989" w14:textId="54B3C49D" w:rsidR="00FB3D09" w:rsidRPr="000644D4" w:rsidRDefault="00FB3D09" w:rsidP="00822842">
            <w:pPr>
              <w:rPr>
                <w:rFonts w:ascii="Times New Roman" w:hAnsi="Times New Roman"/>
                <w:sz w:val="24"/>
              </w:rPr>
            </w:pPr>
            <w:r w:rsidRPr="000644D4">
              <w:rPr>
                <w:rFonts w:ascii="Times New Roman" w:hAnsi="Times New Roman"/>
                <w:sz w:val="24"/>
              </w:rPr>
              <w:t>Wartość ekspozycji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1–7 rozporządzenia (UE) nr</w:t>
            </w:r>
            <w:r w:rsidR="000644D4" w:rsidRPr="000644D4">
              <w:rPr>
                <w:rFonts w:ascii="Times New Roman" w:hAnsi="Times New Roman"/>
                <w:sz w:val="24"/>
              </w:rPr>
              <w:t> </w:t>
            </w:r>
            <w:r w:rsidRPr="000644D4">
              <w:rPr>
                <w:rFonts w:ascii="Times New Roman" w:hAnsi="Times New Roman"/>
                <w:sz w:val="24"/>
              </w:rPr>
              <w:t>575/2013 bez uwzględniania jakichkolwiek korekt</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ryzyka kredytowego</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jak</w:t>
            </w:r>
            <w:r w:rsidRPr="000644D4">
              <w:rPr>
                <w:rFonts w:ascii="Times New Roman" w:hAnsi="Times New Roman"/>
                <w:sz w:val="24"/>
              </w:rPr>
              <w:t>ichkolwiek współczynników konwersji, ani oszacowań własnych, ani współczynników konwersji określonych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8 rozporządzenia (UE) nr</w:t>
            </w:r>
            <w:r w:rsidR="000644D4" w:rsidRPr="000644D4">
              <w:rPr>
                <w:rFonts w:ascii="Times New Roman" w:hAnsi="Times New Roman"/>
                <w:sz w:val="24"/>
              </w:rPr>
              <w:t> </w:t>
            </w:r>
            <w:r w:rsidRPr="000644D4">
              <w:rPr>
                <w:rFonts w:ascii="Times New Roman" w:hAnsi="Times New Roman"/>
                <w:sz w:val="24"/>
              </w:rPr>
              <w:t>575/2013.</w:t>
            </w:r>
          </w:p>
          <w:p w14:paraId="5D37048B" w14:textId="28FEA26F" w:rsidR="00FB3D09" w:rsidRPr="000644D4" w:rsidRDefault="00FB3D09" w:rsidP="00822842">
            <w:pPr>
              <w:rPr>
                <w:rFonts w:ascii="Times New Roman" w:hAnsi="Times New Roman"/>
                <w:sz w:val="24"/>
              </w:rPr>
            </w:pPr>
            <w:r w:rsidRPr="000644D4">
              <w:rPr>
                <w:rFonts w:ascii="Times New Roman" w:hAnsi="Times New Roman"/>
                <w:sz w:val="24"/>
              </w:rPr>
              <w:t>Ekspozycje pozabilansowe obejmują wszystkie zaangażowane, lecz nie wykorzystane kwoty</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wsz</w:t>
            </w:r>
            <w:r w:rsidRPr="000644D4">
              <w:rPr>
                <w:rFonts w:ascii="Times New Roman" w:hAnsi="Times New Roman"/>
                <w:sz w:val="24"/>
              </w:rPr>
              <w:t>ystkie pozycje pozabilansowe wymienione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zał</w:t>
            </w:r>
            <w:r w:rsidRPr="000644D4">
              <w:rPr>
                <w:rFonts w:ascii="Times New Roman" w:hAnsi="Times New Roman"/>
                <w:sz w:val="24"/>
              </w:rPr>
              <w:t>ączniku I do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0644D4" w:rsidRDefault="00FB3D09" w:rsidP="00822842">
            <w:pPr>
              <w:rPr>
                <w:rFonts w:ascii="Times New Roman" w:hAnsi="Times New Roman"/>
                <w:sz w:val="24"/>
              </w:rPr>
            </w:pPr>
            <w:r w:rsidRPr="000644D4">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ŚREDNIE WSPÓŁCZYNNIKI KONWERSJI WAŻONE EKSPOZYCJĄ</w:t>
            </w:r>
          </w:p>
          <w:p w14:paraId="69C8E2B0" w14:textId="647A9279" w:rsidR="00FB3D09" w:rsidRPr="000644D4" w:rsidRDefault="00FB3D09" w:rsidP="00822842">
            <w:pPr>
              <w:rPr>
                <w:rFonts w:ascii="Times New Roman" w:hAnsi="Times New Roman"/>
                <w:sz w:val="24"/>
              </w:rPr>
            </w:pPr>
            <w:r w:rsidRPr="000644D4">
              <w:rPr>
                <w:rFonts w:ascii="Times New Roman" w:hAnsi="Times New Roman"/>
                <w:sz w:val="24"/>
              </w:rPr>
              <w:t>W odniesieniu do wszystkich ekspozycji uwzględnionych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każ</w:t>
            </w:r>
            <w:r w:rsidRPr="000644D4">
              <w:rPr>
                <w:rFonts w:ascii="Times New Roman" w:hAnsi="Times New Roman"/>
                <w:sz w:val="24"/>
              </w:rPr>
              <w:t>dym koszyku</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 xml:space="preserve">łym zakresie PD średni współczynnik konwersji stosowany przez instytucje przy obliczaniu </w:t>
            </w:r>
            <w:r w:rsidRPr="000644D4">
              <w:rPr>
                <w:rFonts w:ascii="Times New Roman" w:hAnsi="Times New Roman"/>
                <w:sz w:val="24"/>
              </w:rPr>
              <w:lastRenderedPageBreak/>
              <w:t>kwot ekspozycji ważonych ryzykiem, ważony ekspozycją pozabilansową przed uwzględnieniem współczynnika konwersji zgłaszaną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 xml:space="preserve">umnie 0020 </w:t>
            </w:r>
          </w:p>
        </w:tc>
      </w:tr>
      <w:tr w:rsidR="00FB3D09" w:rsidRPr="000644D4"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WARTOŚĆ EKSPOZYCJI PO UWZGLĘDNIENIU WSPÓŁCZYNNIKÓW KONWERSJI I PO ZASTOSOWANIU TECHNIK OGRANICZANIA RYZYKA KREDYTOWEGO</w:t>
            </w:r>
          </w:p>
          <w:p w14:paraId="416A72EE" w14:textId="4AB4AAA7" w:rsidR="00FB3D09" w:rsidRPr="000644D4" w:rsidRDefault="00FB3D09" w:rsidP="00822842">
            <w:pPr>
              <w:rPr>
                <w:rFonts w:ascii="Times New Roman" w:hAnsi="Times New Roman"/>
                <w:sz w:val="24"/>
              </w:rPr>
            </w:pPr>
            <w:r w:rsidRPr="000644D4">
              <w:rPr>
                <w:rFonts w:ascii="Times New Roman" w:hAnsi="Times New Roman"/>
                <w:sz w:val="24"/>
              </w:rPr>
              <w:t>Wartość ekspozycji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rozporządzenia (UE) nr</w:t>
            </w:r>
            <w:r w:rsidR="000644D4" w:rsidRPr="000644D4">
              <w:rPr>
                <w:rFonts w:ascii="Times New Roman" w:hAnsi="Times New Roman"/>
                <w:sz w:val="24"/>
              </w:rPr>
              <w:t> </w:t>
            </w:r>
            <w:r w:rsidRPr="000644D4">
              <w:rPr>
                <w:rFonts w:ascii="Times New Roman" w:hAnsi="Times New Roman"/>
                <w:sz w:val="24"/>
              </w:rPr>
              <w:t>575/2013</w:t>
            </w:r>
          </w:p>
          <w:p w14:paraId="2BC7EF47" w14:textId="1E41670D" w:rsidR="00FB3D09" w:rsidRPr="000644D4" w:rsidRDefault="00FB3D09" w:rsidP="00822842">
            <w:pPr>
              <w:rPr>
                <w:rFonts w:ascii="Times New Roman" w:hAnsi="Times New Roman"/>
                <w:sz w:val="24"/>
              </w:rPr>
            </w:pPr>
            <w:r w:rsidRPr="000644D4">
              <w:rPr>
                <w:rFonts w:ascii="Times New Roman" w:hAnsi="Times New Roman"/>
                <w:sz w:val="24"/>
              </w:rPr>
              <w:t>W tej kolumnie uwzględnia się sumę wartości ekspozycji dla ekspozycji bilansowych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eks</w:t>
            </w:r>
            <w:r w:rsidRPr="000644D4">
              <w:rPr>
                <w:rFonts w:ascii="Times New Roman" w:hAnsi="Times New Roman"/>
                <w:sz w:val="24"/>
              </w:rPr>
              <w:t>pozycji pozabilansowych po uwzględnieniu współczynników konwersji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ust. 8</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9</w:t>
            </w:r>
            <w:r w:rsidRPr="000644D4">
              <w:rPr>
                <w:rFonts w:ascii="Times New Roman" w:hAnsi="Times New Roman"/>
                <w:sz w:val="24"/>
              </w:rPr>
              <w:t xml:space="preserve"> rozporządzenia (UE) nr</w:t>
            </w:r>
            <w:r w:rsidR="000644D4" w:rsidRPr="000644D4">
              <w:rPr>
                <w:rFonts w:ascii="Times New Roman" w:hAnsi="Times New Roman"/>
                <w:sz w:val="24"/>
              </w:rPr>
              <w:t> </w:t>
            </w:r>
            <w:r w:rsidRPr="000644D4">
              <w:rPr>
                <w:rFonts w:ascii="Times New Roman" w:hAnsi="Times New Roman"/>
                <w:sz w:val="24"/>
              </w:rPr>
              <w:t>575/2013 i po zastosowaniu technik ograniczania ryzyka kredytowego.</w:t>
            </w:r>
          </w:p>
        </w:tc>
      </w:tr>
      <w:tr w:rsidR="00FB3D09" w:rsidRPr="000644D4"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0644D4" w:rsidRDefault="00FB3D09" w:rsidP="00822842">
            <w:pPr>
              <w:rPr>
                <w:rFonts w:ascii="Times New Roman" w:hAnsi="Times New Roman"/>
                <w:sz w:val="24"/>
              </w:rPr>
            </w:pPr>
            <w:r w:rsidRPr="000644D4">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ŚREDNIA WARTOŚĆ PD WAŻONA EKSPOZYCJĄ (%)</w:t>
            </w:r>
          </w:p>
          <w:p w14:paraId="4DB9C65C" w14:textId="0266D0CD" w:rsidR="00FB3D09" w:rsidRPr="000644D4" w:rsidRDefault="00FB3D09" w:rsidP="00822842">
            <w:pPr>
              <w:rPr>
                <w:rFonts w:ascii="Times New Roman" w:hAnsi="Times New Roman"/>
                <w:sz w:val="24"/>
              </w:rPr>
            </w:pPr>
            <w:r w:rsidRPr="000644D4">
              <w:rPr>
                <w:rFonts w:ascii="Times New Roman" w:hAnsi="Times New Roman"/>
                <w:sz w:val="24"/>
              </w:rPr>
              <w:t>W odniesieniu do wszystkich ekspozycji uwzględnionych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każ</w:t>
            </w:r>
            <w:r w:rsidRPr="000644D4">
              <w:rPr>
                <w:rFonts w:ascii="Times New Roman" w:hAnsi="Times New Roman"/>
                <w:sz w:val="24"/>
              </w:rPr>
              <w:t>dym koszyku</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łym zakresie PD średnie oszacowanie wartości PD dla każdego dłużnika, ważone wartością ekspozycji po uwzględnieniu współczynników konwersji i po zastosowaniu technik ograniczania ryzyka kredytowego zgłaszaną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0040.</w:t>
            </w:r>
          </w:p>
          <w:p w14:paraId="6AFB8412" w14:textId="77777777" w:rsidR="00FB3D09" w:rsidRPr="000644D4" w:rsidRDefault="00FB3D09" w:rsidP="00822842">
            <w:pPr>
              <w:rPr>
                <w:rFonts w:ascii="Times New Roman" w:hAnsi="Times New Roman"/>
                <w:sz w:val="24"/>
              </w:rPr>
            </w:pPr>
            <w:r w:rsidRPr="000644D4">
              <w:rPr>
                <w:rFonts w:ascii="Times New Roman" w:hAnsi="Times New Roman"/>
                <w:sz w:val="24"/>
              </w:rPr>
              <w:t xml:space="preserve">Kolumna ta nie musi być wypełniana dla sumy wszystkich kategorii ekspozycji. </w:t>
            </w:r>
          </w:p>
        </w:tc>
      </w:tr>
      <w:tr w:rsidR="00FB3D09" w:rsidRPr="000644D4"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0644D4" w:rsidRDefault="00FB3D09" w:rsidP="00822842">
            <w:pPr>
              <w:rPr>
                <w:rFonts w:ascii="Times New Roman" w:hAnsi="Times New Roman"/>
                <w:sz w:val="24"/>
              </w:rPr>
            </w:pPr>
            <w:r w:rsidRPr="000644D4">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LICZBA DŁUŻNIKÓW</w:t>
            </w:r>
          </w:p>
          <w:p w14:paraId="0F009E63" w14:textId="665CA56F" w:rsidR="00FB3D09" w:rsidRPr="000644D4" w:rsidRDefault="00FB3D09" w:rsidP="00822842">
            <w:pPr>
              <w:rPr>
                <w:rFonts w:ascii="Times New Roman" w:hAnsi="Times New Roman"/>
                <w:sz w:val="24"/>
              </w:rPr>
            </w:pPr>
            <w:r w:rsidRPr="000644D4">
              <w:rPr>
                <w:rFonts w:ascii="Times New Roman" w:hAnsi="Times New Roman"/>
                <w:sz w:val="24"/>
              </w:rPr>
              <w:t>Liczba podmiotów prawnych lub dłużników przypisanych do każdego koszyka</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 xml:space="preserve">łym zakresie zakresu PD </w:t>
            </w:r>
          </w:p>
          <w:p w14:paraId="25C904A6" w14:textId="4131F0C5" w:rsidR="00FB3D09" w:rsidRPr="000644D4" w:rsidRDefault="00FB3D09" w:rsidP="00822842">
            <w:pPr>
              <w:rPr>
                <w:rFonts w:ascii="Times New Roman" w:hAnsi="Times New Roman"/>
                <w:sz w:val="24"/>
              </w:rPr>
            </w:pPr>
            <w:r w:rsidRPr="000644D4">
              <w:rPr>
                <w:rFonts w:ascii="Times New Roman" w:hAnsi="Times New Roman"/>
                <w:sz w:val="24"/>
              </w:rPr>
              <w:t>Liczbę dłużników oblicza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ins</w:t>
            </w:r>
            <w:r w:rsidRPr="000644D4">
              <w:rPr>
                <w:rFonts w:ascii="Times New Roman" w:hAnsi="Times New Roman"/>
                <w:sz w:val="24"/>
              </w:rPr>
              <w:t>trukcjami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0300 we wzorze C 08.01. Dłużników solidarnych traktuje się tak samo jak do celów kalibracji PD.</w:t>
            </w:r>
          </w:p>
        </w:tc>
      </w:tr>
      <w:tr w:rsidR="00FB3D09" w:rsidRPr="000644D4"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0644D4" w:rsidRDefault="00FB3D09" w:rsidP="00822842">
            <w:pPr>
              <w:rPr>
                <w:rFonts w:ascii="Times New Roman" w:hAnsi="Times New Roman"/>
                <w:sz w:val="24"/>
              </w:rPr>
            </w:pPr>
            <w:r w:rsidRPr="000644D4">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ŚREDNIA WARTOŚĆ LGD WAŻONA EKSPOZYCJĄ (%)</w:t>
            </w:r>
          </w:p>
          <w:p w14:paraId="64245660" w14:textId="435FCE1D" w:rsidR="00FB3D09" w:rsidRPr="000644D4" w:rsidRDefault="00FB3D09" w:rsidP="00822842">
            <w:pPr>
              <w:rPr>
                <w:rFonts w:ascii="Times New Roman" w:hAnsi="Times New Roman"/>
                <w:sz w:val="24"/>
              </w:rPr>
            </w:pPr>
            <w:r w:rsidRPr="000644D4">
              <w:rPr>
                <w:rFonts w:ascii="Times New Roman" w:hAnsi="Times New Roman"/>
                <w:sz w:val="24"/>
              </w:rPr>
              <w:t>W odniesieniu do wszystkich ekspozycji uwzględnionych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każ</w:t>
            </w:r>
            <w:r w:rsidRPr="000644D4">
              <w:rPr>
                <w:rFonts w:ascii="Times New Roman" w:hAnsi="Times New Roman"/>
                <w:sz w:val="24"/>
              </w:rPr>
              <w:t>dym koszyku</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łym zakresie PD średnie oszacowania LGD dla każdej ekspozycji, ważone wartością ekspozycji po uwzględnieniu współczynnika konwersji i po zastosowaniu technika ograniczania ryzyka kredytowego zgłaszaną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0040</w:t>
            </w:r>
          </w:p>
          <w:p w14:paraId="61129324" w14:textId="59B7CE74" w:rsidR="00FB3D09" w:rsidRPr="000644D4" w:rsidRDefault="00FB3D09" w:rsidP="00822842">
            <w:pPr>
              <w:rPr>
                <w:rFonts w:ascii="Times New Roman" w:hAnsi="Times New Roman"/>
                <w:sz w:val="24"/>
              </w:rPr>
            </w:pPr>
            <w:r w:rsidRPr="000644D4">
              <w:rPr>
                <w:rFonts w:ascii="Times New Roman" w:hAnsi="Times New Roman"/>
                <w:sz w:val="24"/>
              </w:rPr>
              <w:t>Zgłoszona wartość LGD odpowiada ostatecznemu szacunkowi LGD wykorzystanemu do obliczenia kwot ekspozycji ważonych ryzykiem uzyskanych po uwzględnieniu, stosownie do przypadku, wszelkich efektów ograniczenia ryzyka kredytowego</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war</w:t>
            </w:r>
            <w:r w:rsidRPr="000644D4">
              <w:rPr>
                <w:rFonts w:ascii="Times New Roman" w:hAnsi="Times New Roman"/>
                <w:sz w:val="24"/>
              </w:rPr>
              <w:t>unków pogorszenia koniunktury</w:t>
            </w:r>
            <w:r w:rsidR="000644D4" w:rsidRPr="000644D4">
              <w:rPr>
                <w:rFonts w:ascii="Times New Roman" w:hAnsi="Times New Roman"/>
                <w:sz w:val="24"/>
              </w:rPr>
              <w:t>.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detalicznych zabezpieczonych nieruchomościami przy zgłaszaniu wartości LGD uwzględnia się dolne limity 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164 ust. 4 rozporządzenia (UE) nr</w:t>
            </w:r>
            <w:r w:rsidR="000644D4" w:rsidRPr="000644D4">
              <w:rPr>
                <w:rFonts w:ascii="Times New Roman" w:hAnsi="Times New Roman"/>
                <w:sz w:val="24"/>
              </w:rPr>
              <w:t> </w:t>
            </w:r>
            <w:r w:rsidRPr="000644D4">
              <w:rPr>
                <w:rFonts w:ascii="Times New Roman" w:hAnsi="Times New Roman"/>
                <w:sz w:val="24"/>
              </w:rPr>
              <w:t>575/2013.</w:t>
            </w:r>
          </w:p>
          <w:p w14:paraId="4123D9EA" w14:textId="56CA96F8" w:rsidR="00FB3D09" w:rsidRPr="000644D4" w:rsidRDefault="00FB3D09" w:rsidP="00822842">
            <w:pPr>
              <w:rPr>
                <w:rFonts w:ascii="Times New Roman" w:hAnsi="Times New Roman"/>
                <w:sz w:val="24"/>
              </w:rPr>
            </w:pPr>
            <w:r w:rsidRPr="000644D4">
              <w:rPr>
                <w:rFonts w:ascii="Times New Roman" w:hAnsi="Times New Roman"/>
                <w:sz w:val="24"/>
              </w:rPr>
              <w:t>W odniesieniu do ekspozycji objętych metodą IRB-A, których dotyczy niewykonanie zobowiązania, uwzględnia się przepisy 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181 ust. 1 lit. h) rozporządzenia (UE) nr</w:t>
            </w:r>
            <w:r w:rsidR="000644D4" w:rsidRPr="000644D4">
              <w:rPr>
                <w:rFonts w:ascii="Times New Roman" w:hAnsi="Times New Roman"/>
                <w:sz w:val="24"/>
              </w:rPr>
              <w:t> </w:t>
            </w:r>
            <w:r w:rsidRPr="000644D4">
              <w:rPr>
                <w:rFonts w:ascii="Times New Roman" w:hAnsi="Times New Roman"/>
                <w:sz w:val="24"/>
              </w:rPr>
              <w:t xml:space="preserve">575/2013. Zgłoszona wartość LGD odpowiada szacunkowej wartości LGD, której dotyczy niewykonanie zobowiązania, </w:t>
            </w:r>
            <w:r w:rsidRPr="000644D4">
              <w:rPr>
                <w:rStyle w:val="InstructionsTabelleText"/>
                <w:rFonts w:ascii="Times New Roman" w:hAnsi="Times New Roman"/>
                <w:sz w:val="24"/>
              </w:rPr>
              <w:t>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Fonts w:ascii="Times New Roman" w:hAnsi="Times New Roman"/>
                <w:sz w:val="24"/>
              </w:rPr>
              <w:t>maj</w:t>
            </w:r>
            <w:r w:rsidRPr="000644D4">
              <w:rPr>
                <w:rFonts w:ascii="Times New Roman" w:hAnsi="Times New Roman"/>
                <w:sz w:val="24"/>
              </w:rPr>
              <w:t>ącymi zastosowanie metodami szacowania.</w:t>
            </w:r>
          </w:p>
          <w:p w14:paraId="176BBB47" w14:textId="77777777" w:rsidR="00FB3D09" w:rsidRPr="000644D4" w:rsidRDefault="00FB3D09" w:rsidP="00822842">
            <w:pPr>
              <w:rPr>
                <w:rFonts w:ascii="Times New Roman" w:hAnsi="Times New Roman"/>
                <w:sz w:val="24"/>
              </w:rPr>
            </w:pPr>
            <w:r w:rsidRPr="000644D4">
              <w:rPr>
                <w:rFonts w:ascii="Times New Roman" w:hAnsi="Times New Roman"/>
                <w:sz w:val="24"/>
              </w:rPr>
              <w:t>Kolumna ta nie musi być wypełniana dla sumy wszystkich kategorii ekspozycji.</w:t>
            </w:r>
          </w:p>
        </w:tc>
      </w:tr>
      <w:tr w:rsidR="00FB3D09" w:rsidRPr="000644D4"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0644D4" w:rsidRDefault="00FB3D09" w:rsidP="00822842">
            <w:pPr>
              <w:rPr>
                <w:rFonts w:ascii="Times New Roman" w:hAnsi="Times New Roman"/>
                <w:sz w:val="24"/>
              </w:rPr>
            </w:pPr>
            <w:r w:rsidRPr="000644D4">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 TERMIN ZAPADALNOŚCI WAŻONY EKSPOZYCJĄ (LATA)</w:t>
            </w:r>
          </w:p>
          <w:p w14:paraId="44C8EC59" w14:textId="27A2E523" w:rsidR="00FB3D09" w:rsidRPr="000644D4" w:rsidRDefault="00FB3D09" w:rsidP="00822842">
            <w:pPr>
              <w:rPr>
                <w:rFonts w:ascii="Times New Roman" w:hAnsi="Times New Roman"/>
                <w:sz w:val="24"/>
              </w:rPr>
            </w:pPr>
            <w:r w:rsidRPr="000644D4">
              <w:rPr>
                <w:rFonts w:ascii="Times New Roman" w:hAnsi="Times New Roman"/>
                <w:sz w:val="24"/>
              </w:rPr>
              <w:lastRenderedPageBreak/>
              <w:t>W odniesieniu do wszystkich ekspozycji uwzględnionych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każ</w:t>
            </w:r>
            <w:r w:rsidRPr="000644D4">
              <w:rPr>
                <w:rFonts w:ascii="Times New Roman" w:hAnsi="Times New Roman"/>
                <w:sz w:val="24"/>
              </w:rPr>
              <w:t>dym koszyku</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łym zakresie PD średni termin zapadalności każdej ekspozycji ważony wartością ekspozycji po uwzględnieniu współczynnika konwersji zgłaszaną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0040</w:t>
            </w:r>
          </w:p>
          <w:p w14:paraId="6B1FFBC1" w14:textId="5D7B8B23" w:rsidR="00FB3D09" w:rsidRPr="000644D4" w:rsidRDefault="00FB3D09" w:rsidP="00822842">
            <w:pPr>
              <w:rPr>
                <w:rFonts w:ascii="Times New Roman" w:hAnsi="Times New Roman"/>
                <w:sz w:val="24"/>
              </w:rPr>
            </w:pPr>
            <w:r w:rsidRPr="000644D4">
              <w:rPr>
                <w:rFonts w:ascii="Times New Roman" w:hAnsi="Times New Roman"/>
                <w:sz w:val="24"/>
              </w:rPr>
              <w:t>Zgłaszany termin zapadalności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162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450A0AC2" w14:textId="77777777" w:rsidR="00FB3D09" w:rsidRPr="000644D4" w:rsidRDefault="00FB3D09" w:rsidP="00822842">
            <w:pPr>
              <w:rPr>
                <w:rFonts w:ascii="Times New Roman" w:hAnsi="Times New Roman"/>
                <w:sz w:val="24"/>
              </w:rPr>
            </w:pPr>
            <w:r w:rsidRPr="000644D4">
              <w:rPr>
                <w:rFonts w:ascii="Times New Roman" w:hAnsi="Times New Roman"/>
                <w:sz w:val="24"/>
              </w:rPr>
              <w:t>Średni termin zapadalności podawany jest jako liczba lat.</w:t>
            </w:r>
          </w:p>
          <w:p w14:paraId="2D4B80D4" w14:textId="3275B103" w:rsidR="00FB3D09" w:rsidRPr="000644D4" w:rsidRDefault="00FB3D09" w:rsidP="00822842">
            <w:pPr>
              <w:rPr>
                <w:rFonts w:ascii="Times New Roman" w:hAnsi="Times New Roman"/>
                <w:sz w:val="24"/>
              </w:rPr>
            </w:pPr>
            <w:r w:rsidRPr="000644D4">
              <w:rPr>
                <w:rFonts w:ascii="Times New Roman" w:hAnsi="Times New Roman"/>
                <w:sz w:val="24"/>
              </w:rPr>
              <w:t>Danych tych nie zgłasza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wartości ekspozycji, dla których termin zapadalność nie jest elementem obliczeń</w:t>
            </w:r>
            <w:r w:rsidRPr="000644D4">
              <w:rPr>
                <w:rStyle w:val="InstructionsTabelleText"/>
                <w:rFonts w:ascii="Times New Roman" w:hAnsi="Times New Roman"/>
                <w:sz w:val="24"/>
              </w:rPr>
              <w:t xml:space="preserve"> kwot ekspozycji ważonych ryzykiem</w:t>
            </w:r>
            <w:r w:rsidRPr="000644D4">
              <w:rPr>
                <w:rFonts w:ascii="Times New Roman" w:hAnsi="Times New Roman"/>
                <w:sz w:val="24"/>
              </w:rPr>
              <w:t xml:space="preserve">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czę</w:t>
            </w:r>
            <w:r w:rsidRPr="000644D4">
              <w:rPr>
                <w:rFonts w:ascii="Times New Roman" w:hAnsi="Times New Roman"/>
                <w:sz w:val="24"/>
              </w:rPr>
              <w:t>ścią trzecią tytuł II rozdział 3 rozporządzenia (UE) nr</w:t>
            </w:r>
            <w:r w:rsidR="000644D4" w:rsidRPr="000644D4">
              <w:rPr>
                <w:rFonts w:ascii="Times New Roman" w:hAnsi="Times New Roman"/>
                <w:sz w:val="24"/>
              </w:rPr>
              <w:t> </w:t>
            </w:r>
            <w:r w:rsidRPr="000644D4">
              <w:rPr>
                <w:rFonts w:ascii="Times New Roman" w:hAnsi="Times New Roman"/>
                <w:sz w:val="24"/>
              </w:rPr>
              <w:t>575/2013. Oznacza to, że kolumny tej nie wypełnia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kategorii ekspozycji „ekspozycje detaliczne”.</w:t>
            </w:r>
          </w:p>
        </w:tc>
      </w:tr>
      <w:tr w:rsidR="00FB3D09" w:rsidRPr="000644D4"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0644D4" w:rsidDel="00F079B2" w:rsidRDefault="00FB3D09" w:rsidP="00822842">
            <w:pPr>
              <w:rPr>
                <w:rFonts w:ascii="Times New Roman" w:hAnsi="Times New Roman"/>
                <w:sz w:val="24"/>
              </w:rPr>
            </w:pPr>
            <w:r w:rsidRPr="000644D4">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 PO UWZGLĘDNIENIU WSPÓŁCZYNNIKÓW WSPARCIA</w:t>
            </w:r>
          </w:p>
          <w:p w14:paraId="62CEA768" w14:textId="7C991C8B" w:rsidR="00FB3D09" w:rsidRPr="000644D4" w:rsidRDefault="00FB3D09" w:rsidP="00822842">
            <w:pPr>
              <w:rPr>
                <w:rFonts w:ascii="Times New Roman" w:hAnsi="Times New Roman"/>
                <w:sz w:val="24"/>
              </w:rPr>
            </w:pPr>
            <w:r w:rsidRPr="000644D4">
              <w:rPr>
                <w:rFonts w:ascii="Times New Roman" w:hAnsi="Times New Roman"/>
                <w:sz w:val="24"/>
              </w:rPr>
              <w:t>W odniesieniu do ekspozycji wobec rządów centralnych</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ban</w:t>
            </w:r>
            <w:r w:rsidRPr="000644D4">
              <w:rPr>
                <w:rFonts w:ascii="Times New Roman" w:hAnsi="Times New Roman"/>
                <w:sz w:val="24"/>
              </w:rPr>
              <w:t>ków centralnych oraz instytucji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edsiębiorstw – kwota ekspozycji ważonej ryzykiem obliczana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153 ust.</w:t>
            </w:r>
            <w:r w:rsidR="000644D4" w:rsidRPr="000644D4">
              <w:rPr>
                <w:rFonts w:ascii="Times New Roman" w:hAnsi="Times New Roman"/>
                <w:sz w:val="24"/>
              </w:rPr>
              <w:t> </w:t>
            </w:r>
            <w:r w:rsidRPr="000644D4">
              <w:rPr>
                <w:rFonts w:ascii="Times New Roman" w:hAnsi="Times New Roman"/>
                <w:sz w:val="24"/>
              </w:rPr>
              <w:t>1–4;</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ekspozycji detalicznych – kwota ekspozycji ważonej ryzykiem obliczona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154 rozporządzenia (UE) nr</w:t>
            </w:r>
            <w:r w:rsidR="000644D4" w:rsidRPr="000644D4">
              <w:rPr>
                <w:rFonts w:ascii="Times New Roman" w:hAnsi="Times New Roman"/>
                <w:sz w:val="24"/>
              </w:rPr>
              <w:t> </w:t>
            </w:r>
            <w:r w:rsidRPr="000644D4">
              <w:rPr>
                <w:rFonts w:ascii="Times New Roman" w:hAnsi="Times New Roman"/>
                <w:sz w:val="24"/>
              </w:rPr>
              <w:t>575/2013.</w:t>
            </w:r>
          </w:p>
          <w:p w14:paraId="2CF926D6" w14:textId="50D56FCF" w:rsidR="00FB3D09" w:rsidRPr="000644D4" w:rsidRDefault="00FB3D09" w:rsidP="00822842">
            <w:pPr>
              <w:rPr>
                <w:rFonts w:ascii="Times New Roman" w:hAnsi="Times New Roman"/>
                <w:sz w:val="24"/>
              </w:rPr>
            </w:pPr>
            <w:r w:rsidRPr="000644D4">
              <w:rPr>
                <w:rFonts w:ascii="Times New Roman" w:hAnsi="Times New Roman"/>
                <w:sz w:val="24"/>
              </w:rPr>
              <w:t xml:space="preserve">Bierze się pod uwagę współczynniki wsparcia MŚP oraz infrastruktury </w:t>
            </w:r>
            <w:r w:rsidRPr="000644D4">
              <w:rPr>
                <w:rStyle w:val="InstructionsTabelleText"/>
                <w:rFonts w:ascii="Times New Roman" w:hAnsi="Times New Roman"/>
                <w:sz w:val="24"/>
              </w:rPr>
              <w:t>określone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01a rozporządzenia (UE) nr</w:t>
            </w:r>
            <w:r w:rsidR="000644D4" w:rsidRPr="000644D4">
              <w:rPr>
                <w:rFonts w:ascii="Times New Roman" w:hAnsi="Times New Roman"/>
                <w:sz w:val="24"/>
              </w:rPr>
              <w:t> </w:t>
            </w:r>
            <w:r w:rsidRPr="000644D4">
              <w:rPr>
                <w:rFonts w:ascii="Times New Roman" w:hAnsi="Times New Roman"/>
                <w:sz w:val="24"/>
              </w:rPr>
              <w:t xml:space="preserve">575/2013. </w:t>
            </w:r>
          </w:p>
        </w:tc>
      </w:tr>
      <w:tr w:rsidR="00FB3D09" w:rsidRPr="000644D4"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0644D4" w:rsidRDefault="00FB3D09" w:rsidP="00822842">
            <w:pPr>
              <w:rPr>
                <w:rFonts w:ascii="Times New Roman" w:hAnsi="Times New Roman"/>
                <w:sz w:val="24"/>
              </w:rPr>
            </w:pPr>
            <w:r w:rsidRPr="000644D4">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OCZEKIWANEJ STRATY</w:t>
            </w:r>
          </w:p>
          <w:p w14:paraId="553224A7" w14:textId="1ABB7F84" w:rsidR="00FB3D09" w:rsidRPr="000644D4" w:rsidRDefault="00FB3D09" w:rsidP="00822842">
            <w:pPr>
              <w:rPr>
                <w:rFonts w:ascii="Times New Roman" w:hAnsi="Times New Roman"/>
                <w:sz w:val="24"/>
              </w:rPr>
            </w:pPr>
            <w:r w:rsidRPr="000644D4">
              <w:rPr>
                <w:rFonts w:ascii="Times New Roman" w:hAnsi="Times New Roman"/>
                <w:sz w:val="24"/>
              </w:rPr>
              <w:t>Kwota oczekiwanej straty obliczona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158 rozporządzenia (UE) nr</w:t>
            </w:r>
            <w:r w:rsidR="000644D4" w:rsidRPr="000644D4">
              <w:rPr>
                <w:rFonts w:ascii="Times New Roman" w:hAnsi="Times New Roman"/>
                <w:sz w:val="24"/>
              </w:rPr>
              <w:t> </w:t>
            </w:r>
            <w:r w:rsidRPr="000644D4">
              <w:rPr>
                <w:rFonts w:ascii="Times New Roman" w:hAnsi="Times New Roman"/>
                <w:sz w:val="24"/>
              </w:rPr>
              <w:t>575/2013.</w:t>
            </w:r>
          </w:p>
          <w:p w14:paraId="7FB4F7F3" w14:textId="27DA0178" w:rsidR="00FB3D09" w:rsidRPr="000644D4" w:rsidRDefault="00FB3D09" w:rsidP="00822842">
            <w:pPr>
              <w:rPr>
                <w:rFonts w:ascii="Times New Roman" w:hAnsi="Times New Roman"/>
                <w:sz w:val="24"/>
              </w:rPr>
            </w:pPr>
            <w:r w:rsidRPr="000644D4">
              <w:rPr>
                <w:rFonts w:ascii="Times New Roman" w:hAnsi="Times New Roman"/>
                <w:sz w:val="24"/>
              </w:rPr>
              <w:t>Kwota oczekiwanej straty, którą należy zgłosić, opiera się na parametrach rzeczywistego ryzyka wykorzystywanych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ska</w:t>
            </w:r>
            <w:r w:rsidRPr="000644D4">
              <w:rPr>
                <w:rFonts w:ascii="Times New Roman" w:hAnsi="Times New Roman"/>
                <w:sz w:val="24"/>
              </w:rPr>
              <w:t>li ratingu wewnętrznego zatwierdzonej przez odpowiedni właściwy organ.</w:t>
            </w:r>
          </w:p>
        </w:tc>
      </w:tr>
      <w:tr w:rsidR="00FB3D09" w:rsidRPr="000644D4"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0644D4" w:rsidRDefault="00FB3D09" w:rsidP="00822842">
            <w:pPr>
              <w:rPr>
                <w:rFonts w:ascii="Times New Roman" w:hAnsi="Times New Roman"/>
                <w:sz w:val="24"/>
              </w:rPr>
            </w:pPr>
            <w:r w:rsidRPr="000644D4">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KOREKTY WARTOŚCI I REZERWY</w:t>
            </w:r>
          </w:p>
          <w:p w14:paraId="6396EDF4" w14:textId="0EA5F9B9" w:rsidR="00FB3D09" w:rsidRPr="000644D4" w:rsidRDefault="00FB3D09" w:rsidP="00822842">
            <w:pPr>
              <w:rPr>
                <w:rFonts w:ascii="Times New Roman" w:hAnsi="Times New Roman"/>
                <w:sz w:val="24"/>
              </w:rPr>
            </w:pPr>
            <w:r w:rsidRPr="000644D4">
              <w:rPr>
                <w:rFonts w:ascii="Times New Roman" w:hAnsi="Times New Roman"/>
                <w:sz w:val="24"/>
              </w:rPr>
              <w:t>Korekty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szczególnego</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ogó</w:t>
            </w:r>
            <w:r w:rsidRPr="000644D4">
              <w:rPr>
                <w:rFonts w:ascii="Times New Roman" w:hAnsi="Times New Roman"/>
                <w:sz w:val="24"/>
              </w:rPr>
              <w:t>lnego ryzyka kredytowego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roz</w:t>
            </w:r>
            <w:r w:rsidRPr="000644D4">
              <w:rPr>
                <w:rFonts w:ascii="Times New Roman" w:hAnsi="Times New Roman"/>
                <w:sz w:val="24"/>
              </w:rPr>
              <w:t>porządzeniem delegowanym Komisji (UE) nr</w:t>
            </w:r>
            <w:r w:rsidR="000644D4" w:rsidRPr="000644D4">
              <w:rPr>
                <w:rFonts w:ascii="Times New Roman" w:hAnsi="Times New Roman"/>
                <w:sz w:val="24"/>
              </w:rPr>
              <w:t> </w:t>
            </w:r>
            <w:r w:rsidRPr="000644D4">
              <w:rPr>
                <w:rFonts w:ascii="Times New Roman" w:hAnsi="Times New Roman"/>
                <w:sz w:val="24"/>
              </w:rPr>
              <w:t>183/2014, dodatkowe korekty wartości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34</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1</w:t>
            </w:r>
            <w:r w:rsidRPr="000644D4">
              <w:rPr>
                <w:rFonts w:ascii="Times New Roman" w:hAnsi="Times New Roman"/>
                <w:sz w:val="24"/>
              </w:rPr>
              <w:t>10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tak</w:t>
            </w:r>
            <w:r w:rsidRPr="000644D4">
              <w:rPr>
                <w:rFonts w:ascii="Times New Roman" w:hAnsi="Times New Roman"/>
                <w:sz w:val="24"/>
              </w:rPr>
              <w:t>że inne redukcje funduszy własnych związane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eks</w:t>
            </w:r>
            <w:r w:rsidRPr="000644D4">
              <w:rPr>
                <w:rFonts w:ascii="Times New Roman" w:hAnsi="Times New Roman"/>
                <w:sz w:val="24"/>
              </w:rPr>
              <w:t>pozycjami przypisanymi do każdego koszyka</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 xml:space="preserve">łym zakresie PD. </w:t>
            </w:r>
          </w:p>
          <w:p w14:paraId="30338ECC" w14:textId="490B8EC2" w:rsidR="00FB3D09" w:rsidRPr="000644D4" w:rsidRDefault="00FB3D09" w:rsidP="00822842">
            <w:pPr>
              <w:rPr>
                <w:rFonts w:ascii="Times New Roman" w:hAnsi="Times New Roman"/>
                <w:sz w:val="24"/>
              </w:rPr>
            </w:pPr>
            <w:r w:rsidRPr="000644D4">
              <w:rPr>
                <w:rFonts w:ascii="Times New Roman" w:hAnsi="Times New Roman"/>
                <w:sz w:val="24"/>
              </w:rPr>
              <w:t>Są to korekty wartości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rez</w:t>
            </w:r>
            <w:r w:rsidRPr="000644D4">
              <w:rPr>
                <w:rFonts w:ascii="Times New Roman" w:hAnsi="Times New Roman"/>
                <w:sz w:val="24"/>
              </w:rPr>
              <w:t>erwy uwzględniane do celów wykonania art. 159 rozporządzenia (UE) nr</w:t>
            </w:r>
            <w:r w:rsidR="000644D4" w:rsidRPr="000644D4">
              <w:rPr>
                <w:rFonts w:ascii="Times New Roman" w:hAnsi="Times New Roman"/>
                <w:sz w:val="24"/>
              </w:rPr>
              <w:t> </w:t>
            </w:r>
            <w:r w:rsidRPr="000644D4">
              <w:rPr>
                <w:rFonts w:ascii="Times New Roman" w:hAnsi="Times New Roman"/>
                <w:sz w:val="24"/>
              </w:rPr>
              <w:t>575/2013.</w:t>
            </w:r>
          </w:p>
          <w:p w14:paraId="44F9E3D4" w14:textId="6DC51D78" w:rsidR="00FB3D09" w:rsidRPr="000644D4" w:rsidRDefault="00FB3D09" w:rsidP="00822842">
            <w:pPr>
              <w:rPr>
                <w:rFonts w:ascii="Times New Roman" w:hAnsi="Times New Roman"/>
                <w:sz w:val="24"/>
              </w:rPr>
            </w:pPr>
            <w:r w:rsidRPr="000644D4">
              <w:rPr>
                <w:rFonts w:ascii="Times New Roman" w:hAnsi="Times New Roman"/>
                <w:sz w:val="24"/>
              </w:rPr>
              <w:t xml:space="preserve">Ogólne rezerwy zgłasza się poprzez przypisanie kwoty proporcjonalnej </w:t>
            </w:r>
            <w:r w:rsidRPr="000644D4">
              <w:rPr>
                <w:rStyle w:val="InstructionsTabelleText"/>
                <w:rFonts w:ascii="Times New Roman" w:hAnsi="Times New Roman"/>
                <w:sz w:val="24"/>
              </w:rPr>
              <w:t>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Fonts w:ascii="Times New Roman" w:hAnsi="Times New Roman"/>
                <w:sz w:val="24"/>
              </w:rPr>
              <w:t>ocz</w:t>
            </w:r>
            <w:r w:rsidRPr="000644D4">
              <w:rPr>
                <w:rFonts w:ascii="Times New Roman" w:hAnsi="Times New Roman"/>
                <w:sz w:val="24"/>
              </w:rPr>
              <w:t>ekiwaną stratą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róż</w:t>
            </w:r>
            <w:r w:rsidRPr="000644D4">
              <w:rPr>
                <w:rFonts w:ascii="Times New Roman" w:hAnsi="Times New Roman"/>
                <w:sz w:val="24"/>
              </w:rPr>
              <w:t xml:space="preserve">nych klasach jakości dłużnika. </w:t>
            </w:r>
          </w:p>
        </w:tc>
      </w:tr>
    </w:tbl>
    <w:p w14:paraId="1A4B339F" w14:textId="77777777" w:rsidR="00FB3D09" w:rsidRPr="000644D4"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0644D4" w14:paraId="27D32695" w14:textId="77777777" w:rsidTr="00822842">
        <w:tc>
          <w:tcPr>
            <w:tcW w:w="1271" w:type="dxa"/>
            <w:shd w:val="clear" w:color="auto" w:fill="auto"/>
          </w:tcPr>
          <w:p w14:paraId="52082BD5" w14:textId="77777777" w:rsidR="00FB3D09" w:rsidRPr="000644D4" w:rsidRDefault="00FB3D09" w:rsidP="00822842">
            <w:pPr>
              <w:rPr>
                <w:rFonts w:ascii="Times New Roman" w:hAnsi="Times New Roman"/>
                <w:sz w:val="24"/>
              </w:rPr>
            </w:pPr>
            <w:r w:rsidRPr="000644D4">
              <w:rPr>
                <w:rFonts w:ascii="Times New Roman" w:hAnsi="Times New Roman"/>
                <w:sz w:val="24"/>
              </w:rPr>
              <w:t>Wiersze</w:t>
            </w:r>
          </w:p>
        </w:tc>
        <w:tc>
          <w:tcPr>
            <w:tcW w:w="8557" w:type="dxa"/>
            <w:shd w:val="clear" w:color="auto" w:fill="auto"/>
          </w:tcPr>
          <w:p w14:paraId="1E8678C0"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45ADFC09" w14:textId="77777777" w:rsidTr="00822842">
        <w:tc>
          <w:tcPr>
            <w:tcW w:w="1271" w:type="dxa"/>
          </w:tcPr>
          <w:p w14:paraId="6A7BEAE2" w14:textId="77777777" w:rsidR="00FB3D09" w:rsidRPr="000644D4" w:rsidRDefault="00FB3D09" w:rsidP="00822842">
            <w:pPr>
              <w:rPr>
                <w:rFonts w:ascii="Times New Roman" w:hAnsi="Times New Roman"/>
                <w:sz w:val="24"/>
              </w:rPr>
            </w:pPr>
            <w:r w:rsidRPr="000644D4">
              <w:rPr>
                <w:rFonts w:ascii="Times New Roman" w:hAnsi="Times New Roman"/>
                <w:sz w:val="24"/>
              </w:rPr>
              <w:t>ZAKRES PD</w:t>
            </w:r>
          </w:p>
        </w:tc>
        <w:tc>
          <w:tcPr>
            <w:tcW w:w="8557" w:type="dxa"/>
          </w:tcPr>
          <w:p w14:paraId="2EEEC841" w14:textId="2A45B0EE" w:rsidR="00FB3D09" w:rsidRPr="000644D4" w:rsidRDefault="00FB3D09" w:rsidP="00822842">
            <w:pPr>
              <w:rPr>
                <w:rFonts w:ascii="Times New Roman" w:hAnsi="Times New Roman"/>
                <w:sz w:val="24"/>
              </w:rPr>
            </w:pPr>
            <w:r w:rsidRPr="000644D4">
              <w:rPr>
                <w:rFonts w:ascii="Times New Roman" w:hAnsi="Times New Roman"/>
                <w:sz w:val="24"/>
              </w:rPr>
              <w:t>Ekspozycje przypisuje się do odpowiedniego koszyka</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łym zakresie PD na podstawie PD oszacowanego dla każdego dłużnika przyporządkowanego do danej kategorii ekspozycji (z uwzględnieniem efektów substytucyjnych wynikających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ogr</w:t>
            </w:r>
            <w:r w:rsidRPr="000644D4">
              <w:rPr>
                <w:rFonts w:ascii="Times New Roman" w:hAnsi="Times New Roman"/>
                <w:sz w:val="24"/>
              </w:rPr>
              <w:t>aniczenia ryzyka kredytowego). Instytucje przyporządkowują każdą ekspozycję do zakresu PD podanego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nin</w:t>
            </w:r>
            <w:r w:rsidRPr="000644D4">
              <w:rPr>
                <w:rFonts w:ascii="Times New Roman" w:hAnsi="Times New Roman"/>
                <w:sz w:val="24"/>
              </w:rPr>
              <w:t xml:space="preserve">iejszym wzorze, uwzględniając również skale ciągłe. </w:t>
            </w:r>
            <w:r w:rsidRPr="000644D4">
              <w:rPr>
                <w:rFonts w:ascii="Times New Roman" w:hAnsi="Times New Roman"/>
                <w:sz w:val="24"/>
              </w:rPr>
              <w:lastRenderedPageBreak/>
              <w:t>Wszystkie ekspozycje, których dotyczy niewykonanie zobowiązania, ujmuje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kos</w:t>
            </w:r>
            <w:r w:rsidRPr="000644D4">
              <w:rPr>
                <w:rFonts w:ascii="Times New Roman" w:hAnsi="Times New Roman"/>
                <w:sz w:val="24"/>
              </w:rPr>
              <w:t>zyku odpowiadającym PD</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wys</w:t>
            </w:r>
            <w:r w:rsidRPr="000644D4">
              <w:rPr>
                <w:rFonts w:ascii="Times New Roman" w:hAnsi="Times New Roman"/>
                <w:sz w:val="24"/>
              </w:rPr>
              <w:t>okości 100</w:t>
            </w:r>
            <w:r w:rsidRPr="000644D4">
              <w:t> </w:t>
            </w:r>
            <w:r w:rsidRPr="000644D4">
              <w:rPr>
                <w:rFonts w:ascii="Times New Roman" w:hAnsi="Times New Roman"/>
                <w:sz w:val="24"/>
              </w:rPr>
              <w:t>%.</w:t>
            </w:r>
          </w:p>
          <w:p w14:paraId="19852B86" w14:textId="77777777" w:rsidR="00FB3D09" w:rsidRPr="000644D4" w:rsidRDefault="00FB3D09" w:rsidP="00822842">
            <w:pPr>
              <w:rPr>
                <w:rFonts w:ascii="Times New Roman" w:hAnsi="Times New Roman"/>
                <w:sz w:val="24"/>
              </w:rPr>
            </w:pPr>
          </w:p>
          <w:p w14:paraId="24E37937" w14:textId="3C9495A8" w:rsidR="00FB3D09" w:rsidRPr="000644D4" w:rsidRDefault="00FB3D09" w:rsidP="00822842">
            <w:pPr>
              <w:rPr>
                <w:rFonts w:ascii="Times New Roman" w:hAnsi="Times New Roman"/>
                <w:sz w:val="24"/>
              </w:rPr>
            </w:pPr>
            <w:r w:rsidRPr="000644D4">
              <w:rPr>
                <w:rFonts w:ascii="Times New Roman" w:hAnsi="Times New Roman"/>
                <w:sz w:val="24"/>
              </w:rPr>
              <w:t>{r0170, c0050} i {r0170, c0070} zgłasza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odn</w:t>
            </w:r>
            <w:r w:rsidRPr="000644D4">
              <w:rPr>
                <w:rFonts w:ascii="Times New Roman" w:hAnsi="Times New Roman"/>
                <w:sz w:val="24"/>
              </w:rPr>
              <w:t>iesieniu do każdej kategorii ekspozycji, ale nie dla sumy wszystkich kategorii ekspozycji.</w:t>
            </w:r>
          </w:p>
        </w:tc>
      </w:tr>
    </w:tbl>
    <w:p w14:paraId="3EAAC2EE" w14:textId="57198BE7" w:rsidR="00FB3D09" w:rsidRPr="000644D4"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sidRPr="000644D4">
        <w:rPr>
          <w:rFonts w:ascii="Times New Roman" w:hAnsi="Times New Roman"/>
          <w:sz w:val="24"/>
        </w:rPr>
        <w:lastRenderedPageBreak/>
        <w:t>C 08.04 – Ryzyko kredytowe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(rachunki przepływów kwot ekspozycji ważonych ryzykiem (CR IRB 4))</w:t>
      </w:r>
      <w:bookmarkEnd w:id="109"/>
      <w:bookmarkEnd w:id="110"/>
    </w:p>
    <w:p w14:paraId="38050040"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0644D4">
        <w:rPr>
          <w:rFonts w:ascii="Times New Roman" w:hAnsi="Times New Roman"/>
          <w:sz w:val="24"/>
        </w:rPr>
        <w:t>Uwagi ogólne</w:t>
      </w:r>
      <w:bookmarkEnd w:id="111"/>
      <w:bookmarkEnd w:id="112"/>
    </w:p>
    <w:p w14:paraId="32E75E48" w14:textId="1A9AD54A"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78</w:t>
      </w:r>
      <w:r w:rsidRPr="000644D4">
        <w:fldChar w:fldCharType="end"/>
      </w:r>
      <w:r w:rsidRPr="000644D4">
        <w:t>. Instytucje zgłaszają informacje zawarte</w:t>
      </w:r>
      <w:r w:rsidR="000644D4" w:rsidRPr="000644D4">
        <w:t xml:space="preserve"> w</w:t>
      </w:r>
      <w:r w:rsidR="000644D4">
        <w:t> </w:t>
      </w:r>
      <w:r w:rsidR="000644D4" w:rsidRPr="000644D4">
        <w:t>tym</w:t>
      </w:r>
      <w:r w:rsidRPr="000644D4">
        <w:t xml:space="preserve"> wzorze zgodnie</w:t>
      </w:r>
      <w:r w:rsidR="000644D4" w:rsidRPr="000644D4">
        <w:t xml:space="preserve"> z</w:t>
      </w:r>
      <w:r w:rsidR="000644D4">
        <w:t> </w:t>
      </w:r>
      <w:r w:rsidR="000644D4" w:rsidRPr="000644D4">
        <w:t>art</w:t>
      </w:r>
      <w:r w:rsidRPr="000644D4">
        <w:t>. 438 lit. h) rozporządzenia (UE) nr</w:t>
      </w:r>
      <w:r w:rsidR="000644D4" w:rsidRPr="000644D4">
        <w:t> </w:t>
      </w:r>
      <w:r w:rsidRPr="000644D4">
        <w:t>575/2013. Ten wzór nie obejmuje ekspozycji na ryzyko kredytowe kontrahenta (CCR) (część trzecia tytuł II rozdział 6 rozporządzenia (UE) nr</w:t>
      </w:r>
      <w:r w:rsidR="000644D4" w:rsidRPr="000644D4">
        <w:t> </w:t>
      </w:r>
      <w:r w:rsidRPr="000644D4">
        <w:t>575/2013).</w:t>
      </w:r>
    </w:p>
    <w:p w14:paraId="7118D17C" w14:textId="70C42A04" w:rsidR="00FB3D09" w:rsidRPr="000644D4" w:rsidRDefault="00FB3D09" w:rsidP="00FB3D09">
      <w:pPr>
        <w:pStyle w:val="InstructionsText2"/>
        <w:numPr>
          <w:ilvl w:val="0"/>
          <w:numId w:val="0"/>
        </w:numPr>
        <w:ind w:left="993"/>
      </w:pPr>
      <w:r w:rsidRPr="000644D4">
        <w:fldChar w:fldCharType="begin"/>
      </w:r>
      <w:r w:rsidRPr="000644D4">
        <w:instrText xml:space="preserve"> seq paragraphs </w:instrText>
      </w:r>
      <w:r w:rsidRPr="000644D4">
        <w:fldChar w:fldCharType="separate"/>
      </w:r>
      <w:r w:rsidRPr="000644D4">
        <w:t>79</w:t>
      </w:r>
      <w:r w:rsidRPr="000644D4">
        <w:fldChar w:fldCharType="end"/>
      </w:r>
      <w:r w:rsidRPr="000644D4">
        <w:t>. Instytucje zgłaszają przepływy RWEA jako zmiany między kwotami ekspozycji ważonych ryzykiem na dzień odniesienia</w:t>
      </w:r>
      <w:r w:rsidR="000644D4" w:rsidRPr="000644D4">
        <w:t xml:space="preserve"> a</w:t>
      </w:r>
      <w:r w:rsidR="000644D4">
        <w:t> </w:t>
      </w:r>
      <w:r w:rsidR="000644D4" w:rsidRPr="000644D4">
        <w:t>kwo</w:t>
      </w:r>
      <w:r w:rsidRPr="000644D4">
        <w:t>tami ekspozycji ważonych ryzykiem na poprzedni dzień odniesienia</w:t>
      </w:r>
      <w:r w:rsidR="000644D4" w:rsidRPr="000644D4">
        <w:t>. W</w:t>
      </w:r>
      <w:r w:rsidR="000644D4">
        <w:t> </w:t>
      </w:r>
      <w:r w:rsidR="000644D4" w:rsidRPr="000644D4">
        <w:t>prz</w:t>
      </w:r>
      <w:r w:rsidRPr="000644D4">
        <w:t>ypadku sprawozdań kwartalnych należy zgłaszać dane</w:t>
      </w:r>
      <w:r w:rsidR="000644D4" w:rsidRPr="000644D4">
        <w:t xml:space="preserve"> z</w:t>
      </w:r>
      <w:r w:rsidR="000644D4">
        <w:t> </w:t>
      </w:r>
      <w:r w:rsidR="000644D4" w:rsidRPr="000644D4">
        <w:t>koń</w:t>
      </w:r>
      <w:r w:rsidRPr="000644D4">
        <w:t>ca kwartału poprzedzającego kwartał,</w:t>
      </w:r>
      <w:r w:rsidR="000644D4" w:rsidRPr="000644D4">
        <w:t xml:space="preserve"> w</w:t>
      </w:r>
      <w:r w:rsidR="000644D4">
        <w:t> </w:t>
      </w:r>
      <w:r w:rsidR="000644D4" w:rsidRPr="000644D4">
        <w:t>któ</w:t>
      </w:r>
      <w:r w:rsidRPr="000644D4">
        <w:t xml:space="preserve">rym wypada sprawozdawczy dzień odniesienia. </w:t>
      </w:r>
    </w:p>
    <w:p w14:paraId="60298060"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0644D4">
        <w:rPr>
          <w:rFonts w:ascii="Times New Roman" w:hAnsi="Times New Roman"/>
          <w:sz w:val="24"/>
        </w:rPr>
        <w:t>Instrukcje dotyczące poszczególnych pozycji</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0997C591" w14:textId="77777777" w:rsidTr="00822842">
        <w:tc>
          <w:tcPr>
            <w:tcW w:w="1188" w:type="dxa"/>
            <w:tcBorders>
              <w:bottom w:val="single" w:sz="4" w:space="0" w:color="auto"/>
            </w:tcBorders>
            <w:shd w:val="clear" w:color="auto" w:fill="CCCCCC"/>
          </w:tcPr>
          <w:p w14:paraId="332EC64E" w14:textId="77777777" w:rsidR="00FB3D09" w:rsidRPr="000644D4" w:rsidRDefault="00FB3D09" w:rsidP="00822842">
            <w:pPr>
              <w:rPr>
                <w:rFonts w:ascii="Times New Roman" w:hAnsi="Times New Roman"/>
                <w:sz w:val="24"/>
              </w:rPr>
            </w:pPr>
            <w:r w:rsidRPr="000644D4">
              <w:rPr>
                <w:rFonts w:ascii="Times New Roman" w:hAnsi="Times New Roman"/>
                <w:sz w:val="24"/>
              </w:rPr>
              <w:t>Kolumna</w:t>
            </w:r>
          </w:p>
        </w:tc>
        <w:tc>
          <w:tcPr>
            <w:tcW w:w="8843" w:type="dxa"/>
            <w:tcBorders>
              <w:bottom w:val="single" w:sz="4" w:space="0" w:color="auto"/>
            </w:tcBorders>
            <w:shd w:val="clear" w:color="auto" w:fill="CCCCCC"/>
          </w:tcPr>
          <w:p w14:paraId="247A799A"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0644D4" w:rsidRDefault="00FB3D09" w:rsidP="00822842">
            <w:pPr>
              <w:rPr>
                <w:rFonts w:ascii="Times New Roman" w:hAnsi="Times New Roman"/>
                <w:sz w:val="24"/>
              </w:rPr>
            </w:pPr>
            <w:r w:rsidRPr="000644D4">
              <w:rPr>
                <w:rFonts w:ascii="Times New Roman" w:hAnsi="Times New Roman"/>
                <w:sz w:val="24"/>
              </w:rPr>
              <w:t>0010</w:t>
            </w:r>
          </w:p>
          <w:p w14:paraId="2235B055" w14:textId="77777777" w:rsidR="00FB3D09" w:rsidRPr="000644D4"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w:t>
            </w:r>
          </w:p>
          <w:p w14:paraId="0E2B39E4" w14:textId="0622045C" w:rsidR="00FB3D09" w:rsidRPr="000644D4" w:rsidRDefault="00FB3D09" w:rsidP="00822842">
            <w:pPr>
              <w:rPr>
                <w:rFonts w:ascii="Times New Roman" w:hAnsi="Times New Roman"/>
                <w:sz w:val="24"/>
              </w:rPr>
            </w:pPr>
            <w:r w:rsidRPr="000644D4">
              <w:rPr>
                <w:rFonts w:ascii="Times New Roman" w:hAnsi="Times New Roman"/>
                <w:sz w:val="24"/>
              </w:rPr>
              <w:t>Całkowita kwota ekspozycji ważonej ryzykiem</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tyt</w:t>
            </w:r>
            <w:r w:rsidRPr="000644D4">
              <w:rPr>
                <w:rFonts w:ascii="Times New Roman" w:hAnsi="Times New Roman"/>
                <w:sz w:val="24"/>
              </w:rPr>
              <w:t>ułu ryzyka kredytowego obliczana według metody IRB</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uwz</w:t>
            </w:r>
            <w:r w:rsidRPr="000644D4">
              <w:rPr>
                <w:rFonts w:ascii="Times New Roman" w:hAnsi="Times New Roman"/>
                <w:sz w:val="24"/>
              </w:rPr>
              <w:t>ględnieniem współczynników wsparcia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5</w:t>
            </w:r>
            <w:r w:rsidRPr="000644D4">
              <w:rPr>
                <w:rFonts w:ascii="Times New Roman" w:hAnsi="Times New Roman"/>
                <w:sz w:val="24"/>
              </w:rPr>
              <w:t>01a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0644D4"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0644D4" w:rsidRDefault="00FB3D09" w:rsidP="00822842">
            <w:pPr>
              <w:rPr>
                <w:rFonts w:ascii="Times New Roman" w:hAnsi="Times New Roman"/>
                <w:b/>
                <w:sz w:val="24"/>
              </w:rPr>
            </w:pPr>
          </w:p>
        </w:tc>
      </w:tr>
      <w:tr w:rsidR="00FB3D09" w:rsidRPr="000644D4" w14:paraId="7ED73005" w14:textId="77777777" w:rsidTr="00822842">
        <w:tc>
          <w:tcPr>
            <w:tcW w:w="1188" w:type="dxa"/>
            <w:shd w:val="clear" w:color="auto" w:fill="CCCCCC"/>
          </w:tcPr>
          <w:p w14:paraId="3BBB0A09" w14:textId="77777777" w:rsidR="00FB3D09" w:rsidRPr="000644D4" w:rsidRDefault="00FB3D09" w:rsidP="00822842">
            <w:pPr>
              <w:rPr>
                <w:rFonts w:ascii="Times New Roman" w:hAnsi="Times New Roman"/>
                <w:sz w:val="24"/>
              </w:rPr>
            </w:pPr>
            <w:r w:rsidRPr="000644D4">
              <w:rPr>
                <w:rFonts w:ascii="Times New Roman" w:hAnsi="Times New Roman"/>
                <w:sz w:val="24"/>
              </w:rPr>
              <w:t>Wiersze</w:t>
            </w:r>
          </w:p>
        </w:tc>
        <w:tc>
          <w:tcPr>
            <w:tcW w:w="8843" w:type="dxa"/>
            <w:shd w:val="clear" w:color="auto" w:fill="CCCCCC"/>
          </w:tcPr>
          <w:p w14:paraId="117CE12D"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0644D4" w:rsidRDefault="00FB3D09" w:rsidP="00822842">
            <w:pPr>
              <w:rPr>
                <w:rFonts w:ascii="Times New Roman" w:hAnsi="Times New Roman"/>
                <w:sz w:val="24"/>
              </w:rPr>
            </w:pPr>
            <w:r w:rsidRPr="000644D4">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 NA KONIEC POPRZEDNIEGO OKRESU SPRAWOZDAWCZEGO</w:t>
            </w:r>
          </w:p>
          <w:p w14:paraId="1DA9C0B6" w14:textId="7CF5A7D9" w:rsidR="00FB3D09" w:rsidRPr="000644D4" w:rsidRDefault="00FB3D09" w:rsidP="00822842">
            <w:pPr>
              <w:rPr>
                <w:rFonts w:ascii="Times New Roman" w:hAnsi="Times New Roman"/>
                <w:sz w:val="24"/>
              </w:rPr>
            </w:pPr>
            <w:r w:rsidRPr="000644D4">
              <w:rPr>
                <w:rFonts w:ascii="Times New Roman" w:hAnsi="Times New Roman"/>
                <w:sz w:val="24"/>
              </w:rPr>
              <w:t>Kwota ekspozycji ważonej ryzykiem na koniec poprzedniego okresu sprawozdawczego po zastosowaniu współczynników wsparcia MŚP oraz infrastruktury określonych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501a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0644D4" w:rsidRDefault="00FB3D09" w:rsidP="00822842">
            <w:pPr>
              <w:rPr>
                <w:rFonts w:ascii="Times New Roman" w:hAnsi="Times New Roman"/>
                <w:sz w:val="24"/>
              </w:rPr>
            </w:pPr>
            <w:r w:rsidRPr="000644D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WIELKOŚĆ AKTYWÓW (+/-)</w:t>
            </w:r>
          </w:p>
          <w:p w14:paraId="1F51764D" w14:textId="5B36C1BE"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wielkością aktywów, tj. organicznymi zmianami wielkości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skł</w:t>
            </w:r>
            <w:r w:rsidRPr="000644D4">
              <w:rPr>
                <w:rFonts w:ascii="Times New Roman" w:hAnsi="Times New Roman"/>
                <w:sz w:val="24"/>
              </w:rPr>
              <w:t>adu portfela (m.in. wskutek powstawania nowych przedsiębiorstw</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upł</w:t>
            </w:r>
            <w:r w:rsidRPr="000644D4">
              <w:rPr>
                <w:rFonts w:ascii="Times New Roman" w:hAnsi="Times New Roman"/>
                <w:sz w:val="24"/>
              </w:rPr>
              <w:t xml:space="preserve">ywu terminów zapadalności </w:t>
            </w:r>
            <w:r w:rsidRPr="000644D4">
              <w:rPr>
                <w:rFonts w:ascii="Times New Roman" w:hAnsi="Times New Roman"/>
                <w:sz w:val="24"/>
              </w:rPr>
              <w:lastRenderedPageBreak/>
              <w:t>kredytów),</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wył</w:t>
            </w:r>
            <w:r w:rsidRPr="000644D4">
              <w:rPr>
                <w:rFonts w:ascii="Times New Roman" w:hAnsi="Times New Roman"/>
                <w:sz w:val="24"/>
              </w:rPr>
              <w:t>ączeniem zmian wielkości portfela wynikających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nab</w:t>
            </w:r>
            <w:r w:rsidRPr="000644D4">
              <w:rPr>
                <w:rFonts w:ascii="Times New Roman" w:hAnsi="Times New Roman"/>
                <w:sz w:val="24"/>
              </w:rPr>
              <w:t>ywania</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zby</w:t>
            </w:r>
            <w:r w:rsidRPr="000644D4">
              <w:rPr>
                <w:rFonts w:ascii="Times New Roman" w:hAnsi="Times New Roman"/>
                <w:sz w:val="24"/>
              </w:rPr>
              <w:t>wania podmiotów.</w:t>
            </w:r>
          </w:p>
          <w:p w14:paraId="13341C33" w14:textId="1F07B27E" w:rsidR="00FB3D09" w:rsidRPr="000644D4" w:rsidRDefault="00FB3D09" w:rsidP="00822842">
            <w:pPr>
              <w:rPr>
                <w:rFonts w:ascii="Times New Roman" w:hAnsi="Times New Roman"/>
                <w:sz w:val="24"/>
              </w:rPr>
            </w:pPr>
            <w:r w:rsidRPr="000644D4">
              <w:rPr>
                <w:rFonts w:ascii="Times New Roman" w:hAnsi="Times New Roman"/>
                <w:sz w:val="24"/>
              </w:rPr>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JAKOŚĆ AKTYWÓW (+/-)</w:t>
            </w:r>
          </w:p>
          <w:p w14:paraId="77126645" w14:textId="2B8D9259"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jakością aktywów, tj. zmianami oceny jakości aktywów danej instytucji wynikającymi ze zmian ryzyka kredytobiorcy,</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na skutek migracji ratingowej lub podobnych efektów.</w:t>
            </w:r>
          </w:p>
          <w:p w14:paraId="17EA6F89" w14:textId="475DCA63" w:rsidR="00FB3D09" w:rsidRPr="000644D4" w:rsidRDefault="00FB3D09" w:rsidP="00822842">
            <w:pPr>
              <w:rPr>
                <w:rFonts w:ascii="Times New Roman" w:hAnsi="Times New Roman"/>
                <w:sz w:val="24"/>
              </w:rPr>
            </w:pPr>
            <w:r w:rsidRPr="000644D4">
              <w:rPr>
                <w:rFonts w:ascii="Times New Roman" w:hAnsi="Times New Roman"/>
                <w:sz w:val="24"/>
              </w:rPr>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0644D4" w:rsidRDefault="00FB3D09" w:rsidP="00822842">
            <w:pPr>
              <w:rPr>
                <w:rFonts w:ascii="Times New Roman" w:hAnsi="Times New Roman"/>
                <w:sz w:val="24"/>
              </w:rPr>
            </w:pPr>
            <w:r w:rsidRPr="000644D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AKTUALIZACJE MODELI (+/-)</w:t>
            </w:r>
          </w:p>
          <w:p w14:paraId="44A30095" w14:textId="350FEC9C"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aktualizacjami modeli, tj. zmianami wynikającymi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wdr</w:t>
            </w:r>
            <w:r w:rsidRPr="000644D4">
              <w:rPr>
                <w:rFonts w:ascii="Times New Roman" w:hAnsi="Times New Roman"/>
                <w:sz w:val="24"/>
              </w:rPr>
              <w:t>ożenia nowych modeli, zmianami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mod</w:t>
            </w:r>
            <w:r w:rsidRPr="000644D4">
              <w:rPr>
                <w:rFonts w:ascii="Times New Roman" w:hAnsi="Times New Roman"/>
                <w:sz w:val="24"/>
              </w:rPr>
              <w:t>elach, zmianami zakresu modeli lub wszelkimi innymi zmianami służącymi wyeliminowaniu słabych punktów modelu.</w:t>
            </w:r>
          </w:p>
          <w:p w14:paraId="3C5A3011" w14:textId="5160ECC9" w:rsidR="00FB3D09" w:rsidRPr="000644D4" w:rsidRDefault="00FB3D09" w:rsidP="00822842">
            <w:pPr>
              <w:rPr>
                <w:rFonts w:ascii="Times New Roman" w:hAnsi="Times New Roman"/>
                <w:sz w:val="24"/>
              </w:rPr>
            </w:pPr>
            <w:r w:rsidRPr="000644D4">
              <w:rPr>
                <w:rFonts w:ascii="Times New Roman" w:hAnsi="Times New Roman"/>
                <w:sz w:val="24"/>
              </w:rPr>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0644D4" w:rsidRDefault="00FB3D09" w:rsidP="00822842">
            <w:pPr>
              <w:rPr>
                <w:rFonts w:ascii="Times New Roman" w:hAnsi="Times New Roman"/>
                <w:sz w:val="24"/>
              </w:rPr>
            </w:pPr>
            <w:r w:rsidRPr="000644D4">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METODA I POLITYKA (+/-)</w:t>
            </w:r>
          </w:p>
          <w:p w14:paraId="630D0C5E" w14:textId="641B5B63"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zmianami metodyki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pol</w:t>
            </w:r>
            <w:r w:rsidRPr="000644D4">
              <w:rPr>
                <w:rFonts w:ascii="Times New Roman" w:hAnsi="Times New Roman"/>
                <w:sz w:val="24"/>
              </w:rPr>
              <w:t>ityki, tj. zmianami metody dokonywania obliczeń</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wyn</w:t>
            </w:r>
            <w:r w:rsidRPr="000644D4">
              <w:rPr>
                <w:rFonts w:ascii="Times New Roman" w:hAnsi="Times New Roman"/>
                <w:sz w:val="24"/>
              </w:rPr>
              <w:t>iku zmian polityki regulacyjnej,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zarówno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wyn</w:t>
            </w:r>
            <w:r w:rsidRPr="000644D4">
              <w:rPr>
                <w:rFonts w:ascii="Times New Roman" w:hAnsi="Times New Roman"/>
                <w:sz w:val="24"/>
              </w:rPr>
              <w:t>iku zmian obowiązujących regulacji, jak</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wpr</w:t>
            </w:r>
            <w:r w:rsidRPr="000644D4">
              <w:rPr>
                <w:rFonts w:ascii="Times New Roman" w:hAnsi="Times New Roman"/>
                <w:sz w:val="24"/>
              </w:rPr>
              <w:t>owadzania nowych regulacji,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wył</w:t>
            </w:r>
            <w:r w:rsidRPr="000644D4">
              <w:rPr>
                <w:rFonts w:ascii="Times New Roman" w:hAnsi="Times New Roman"/>
                <w:sz w:val="24"/>
              </w:rPr>
              <w:t>ączeniem zmian</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mod</w:t>
            </w:r>
            <w:r w:rsidRPr="000644D4">
              <w:rPr>
                <w:rFonts w:ascii="Times New Roman" w:hAnsi="Times New Roman"/>
                <w:sz w:val="24"/>
              </w:rPr>
              <w:t>elach, które uwzględnia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 xml:space="preserve">rszu 0040 </w:t>
            </w:r>
          </w:p>
          <w:p w14:paraId="06A06D42" w14:textId="2A3B0CE8" w:rsidR="00FB3D09" w:rsidRPr="000644D4" w:rsidRDefault="00FB3D09" w:rsidP="00822842">
            <w:pPr>
              <w:rPr>
                <w:rFonts w:ascii="Times New Roman" w:hAnsi="Times New Roman"/>
                <w:sz w:val="24"/>
              </w:rPr>
            </w:pPr>
            <w:r w:rsidRPr="000644D4">
              <w:rPr>
                <w:rFonts w:ascii="Times New Roman" w:hAnsi="Times New Roman"/>
                <w:sz w:val="24"/>
              </w:rPr>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0644D4" w:rsidRDefault="00FB3D09" w:rsidP="00822842">
            <w:pPr>
              <w:rPr>
                <w:rFonts w:ascii="Times New Roman" w:hAnsi="Times New Roman"/>
                <w:sz w:val="24"/>
              </w:rPr>
            </w:pPr>
            <w:r w:rsidRPr="000644D4">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NABYCIA I ZBYCIA (+/-)</w:t>
            </w:r>
          </w:p>
          <w:p w14:paraId="3CDAAB15" w14:textId="486D7FBB"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nabyciami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zby</w:t>
            </w:r>
            <w:r w:rsidRPr="000644D4">
              <w:rPr>
                <w:rFonts w:ascii="Times New Roman" w:hAnsi="Times New Roman"/>
                <w:sz w:val="24"/>
              </w:rPr>
              <w:t>ciami, tj. zmianami wielkości portfela wynikającymi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nab</w:t>
            </w:r>
            <w:r w:rsidRPr="000644D4">
              <w:rPr>
                <w:rFonts w:ascii="Times New Roman" w:hAnsi="Times New Roman"/>
                <w:sz w:val="24"/>
              </w:rPr>
              <w:t>ywania</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zby</w:t>
            </w:r>
            <w:r w:rsidRPr="000644D4">
              <w:rPr>
                <w:rFonts w:ascii="Times New Roman" w:hAnsi="Times New Roman"/>
                <w:sz w:val="24"/>
              </w:rPr>
              <w:t>wania podmiotów.</w:t>
            </w:r>
          </w:p>
          <w:p w14:paraId="2BE224B0" w14:textId="1E7EA2FE" w:rsidR="00FB3D09" w:rsidRPr="000644D4" w:rsidRDefault="00FB3D09" w:rsidP="00822842">
            <w:pPr>
              <w:rPr>
                <w:rFonts w:ascii="Times New Roman" w:hAnsi="Times New Roman"/>
                <w:sz w:val="24"/>
              </w:rPr>
            </w:pPr>
            <w:r w:rsidRPr="000644D4">
              <w:rPr>
                <w:rFonts w:ascii="Times New Roman" w:hAnsi="Times New Roman"/>
                <w:sz w:val="24"/>
              </w:rPr>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0644D4" w:rsidRDefault="00FB3D09" w:rsidP="00822842">
            <w:pPr>
              <w:rPr>
                <w:rFonts w:ascii="Times New Roman" w:hAnsi="Times New Roman"/>
                <w:sz w:val="24"/>
              </w:rPr>
            </w:pPr>
            <w:r w:rsidRPr="000644D4">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WAHANIA KURSÓW WYMIANY WALUT (+/-)</w:t>
            </w:r>
          </w:p>
          <w:p w14:paraId="5F574A4B" w14:textId="3AC5FCCF"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wahaniami kursów wymiany walut, tj. zmianami wynikającymi</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wah</w:t>
            </w:r>
            <w:r w:rsidRPr="000644D4">
              <w:rPr>
                <w:rFonts w:ascii="Times New Roman" w:hAnsi="Times New Roman"/>
                <w:sz w:val="24"/>
              </w:rPr>
              <w:t>ań przeliczenia waluty obcej.</w:t>
            </w:r>
          </w:p>
          <w:p w14:paraId="32C9FB56" w14:textId="19F7DC23" w:rsidR="00FB3D09" w:rsidRPr="000644D4" w:rsidRDefault="00FB3D09" w:rsidP="00822842">
            <w:pPr>
              <w:rPr>
                <w:rFonts w:ascii="Times New Roman" w:hAnsi="Times New Roman"/>
                <w:sz w:val="24"/>
              </w:rPr>
            </w:pPr>
            <w:r w:rsidRPr="000644D4">
              <w:rPr>
                <w:rFonts w:ascii="Times New Roman" w:hAnsi="Times New Roman"/>
                <w:sz w:val="24"/>
              </w:rPr>
              <w:lastRenderedPageBreak/>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INNE (+/-)</w:t>
            </w:r>
          </w:p>
          <w:p w14:paraId="5F09C0BA" w14:textId="7AF020B3" w:rsidR="00FB3D09" w:rsidRPr="000644D4" w:rsidRDefault="00FB3D09" w:rsidP="00822842">
            <w:pPr>
              <w:rPr>
                <w:rFonts w:ascii="Times New Roman" w:hAnsi="Times New Roman"/>
                <w:sz w:val="24"/>
              </w:rPr>
            </w:pPr>
            <w:r w:rsidRPr="000644D4">
              <w:rPr>
                <w:rFonts w:ascii="Times New Roman" w:hAnsi="Times New Roman"/>
                <w:sz w:val="24"/>
              </w:rPr>
              <w:t>Zmiana wysokości kwoty ekspozycji ważonej ryzykiem, jaka zaszła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od końca poprzedniego okresu sprawozdawczego do końca bieżącego okresu sprawozdawczego, spowodowana innymi czynnikami.</w:t>
            </w:r>
          </w:p>
          <w:p w14:paraId="14338D91" w14:textId="0287F999" w:rsidR="00FB3D09" w:rsidRPr="000644D4" w:rsidRDefault="00FB3D09" w:rsidP="00822842">
            <w:pPr>
              <w:rPr>
                <w:rFonts w:ascii="Times New Roman" w:hAnsi="Times New Roman"/>
                <w:sz w:val="24"/>
              </w:rPr>
            </w:pPr>
            <w:r w:rsidRPr="000644D4">
              <w:rPr>
                <w:rFonts w:ascii="Times New Roman" w:hAnsi="Times New Roman"/>
                <w:sz w:val="24"/>
              </w:rPr>
              <w:t>Tę kategorię wykorzystuje się do ujmowania zmian, których nie można przypisać do żadnej</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pow</w:t>
            </w:r>
            <w:r w:rsidRPr="000644D4">
              <w:rPr>
                <w:rFonts w:ascii="Times New Roman" w:hAnsi="Times New Roman"/>
                <w:sz w:val="24"/>
              </w:rPr>
              <w:t xml:space="preserve">yższych kategorii. </w:t>
            </w:r>
          </w:p>
          <w:p w14:paraId="18CAC008" w14:textId="0008FF66" w:rsidR="00FB3D09" w:rsidRPr="000644D4" w:rsidRDefault="00FB3D09" w:rsidP="00822842">
            <w:pPr>
              <w:rPr>
                <w:rFonts w:ascii="Times New Roman" w:hAnsi="Times New Roman"/>
                <w:sz w:val="24"/>
              </w:rPr>
            </w:pPr>
            <w:r w:rsidRPr="000644D4">
              <w:rPr>
                <w:rFonts w:ascii="Times New Roman" w:hAnsi="Times New Roman"/>
                <w:sz w:val="24"/>
              </w:rPr>
              <w:t>Wzrost kwot ekspozycji ważonych ryzykiem zgłasza się jako kwotę dodatnią,</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spa</w:t>
            </w:r>
            <w:r w:rsidRPr="000644D4">
              <w:rPr>
                <w:rFonts w:ascii="Times New Roman" w:hAnsi="Times New Roman"/>
                <w:sz w:val="24"/>
              </w:rPr>
              <w:t>dek kwot ekspozycji ważonych ryzykiem – jako kwotę ujemną.</w:t>
            </w:r>
          </w:p>
        </w:tc>
      </w:tr>
      <w:tr w:rsidR="00FB3D09" w:rsidRPr="000644D4"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0644D4" w:rsidRDefault="00FB3D09" w:rsidP="00822842">
            <w:pPr>
              <w:rPr>
                <w:rFonts w:ascii="Times New Roman" w:hAnsi="Times New Roman"/>
                <w:sz w:val="24"/>
              </w:rPr>
            </w:pPr>
            <w:r w:rsidRPr="000644D4">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 NA KONIEC OKRESU SPRAWOZDAWCZEGO</w:t>
            </w:r>
          </w:p>
          <w:p w14:paraId="1FFEC50C" w14:textId="22962375" w:rsidR="00FB3D09" w:rsidRPr="000644D4" w:rsidRDefault="00FB3D09" w:rsidP="00822842">
            <w:pPr>
              <w:pStyle w:val="CommentText"/>
            </w:pPr>
            <w:r w:rsidRPr="000644D4">
              <w:rPr>
                <w:rFonts w:ascii="Times New Roman" w:hAnsi="Times New Roman"/>
                <w:sz w:val="24"/>
              </w:rPr>
              <w:t>Kwota ekspozycji ważonej ryzykiem</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sprawozdawczym po zastosowaniu współczynników wsparcia MŚP</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inf</w:t>
            </w:r>
            <w:r w:rsidRPr="000644D4">
              <w:rPr>
                <w:rFonts w:ascii="Times New Roman" w:hAnsi="Times New Roman"/>
                <w:sz w:val="24"/>
              </w:rPr>
              <w:t>rastruktury określonych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501a rozporządzenia (UE) nr</w:t>
            </w:r>
            <w:r w:rsidR="000644D4" w:rsidRPr="000644D4">
              <w:rPr>
                <w:rFonts w:ascii="Times New Roman" w:hAnsi="Times New Roman"/>
                <w:sz w:val="24"/>
              </w:rPr>
              <w:t> </w:t>
            </w:r>
            <w:r w:rsidRPr="000644D4">
              <w:rPr>
                <w:rFonts w:ascii="Times New Roman" w:hAnsi="Times New Roman"/>
                <w:sz w:val="24"/>
              </w:rPr>
              <w:t>575/2013.</w:t>
            </w:r>
          </w:p>
        </w:tc>
      </w:tr>
    </w:tbl>
    <w:p w14:paraId="49993E55" w14:textId="7B858445" w:rsidR="00FB3D09" w:rsidRPr="000644D4"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sidRPr="000644D4">
        <w:rPr>
          <w:rFonts w:ascii="Times New Roman" w:hAnsi="Times New Roman"/>
          <w:sz w:val="24"/>
        </w:rPr>
        <w:t>C 08.05 – Ryzyko kredytowe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(weryfikacja historyczna PD (CR IRB 5))</w:t>
      </w:r>
      <w:bookmarkEnd w:id="115"/>
      <w:bookmarkEnd w:id="116"/>
    </w:p>
    <w:p w14:paraId="16F92F14"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0644D4">
        <w:rPr>
          <w:rFonts w:ascii="Times New Roman" w:hAnsi="Times New Roman"/>
          <w:sz w:val="24"/>
        </w:rPr>
        <w:t>Uwagi ogólne</w:t>
      </w:r>
      <w:bookmarkEnd w:id="117"/>
      <w:bookmarkEnd w:id="118"/>
    </w:p>
    <w:p w14:paraId="708FD0D4" w14:textId="09712E32"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80</w:t>
      </w:r>
      <w:r w:rsidRPr="000644D4">
        <w:fldChar w:fldCharType="end"/>
      </w:r>
      <w:r w:rsidRPr="000644D4">
        <w:t>. Instytucje zgłaszają informacje zawarte</w:t>
      </w:r>
      <w:r w:rsidR="000644D4" w:rsidRPr="000644D4">
        <w:t xml:space="preserve"> w</w:t>
      </w:r>
      <w:r w:rsidR="000644D4">
        <w:t> </w:t>
      </w:r>
      <w:r w:rsidR="000644D4" w:rsidRPr="000644D4">
        <w:t>tym</w:t>
      </w:r>
      <w:r w:rsidRPr="000644D4">
        <w:t xml:space="preserve"> wzorze zgodnie</w:t>
      </w:r>
      <w:r w:rsidR="000644D4" w:rsidRPr="000644D4">
        <w:t xml:space="preserve"> z</w:t>
      </w:r>
      <w:r w:rsidR="000644D4">
        <w:t> </w:t>
      </w:r>
      <w:r w:rsidR="000644D4" w:rsidRPr="000644D4">
        <w:t>art</w:t>
      </w:r>
      <w:r w:rsidRPr="000644D4">
        <w:t>. 452 lit. h) rozporządzenia (UE) nr</w:t>
      </w:r>
      <w:r w:rsidR="000644D4" w:rsidRPr="000644D4">
        <w:t> </w:t>
      </w:r>
      <w:r w:rsidRPr="000644D4">
        <w:t>575/2013. Instytucja uwzględnia modele stosowane</w:t>
      </w:r>
      <w:r w:rsidR="000644D4" w:rsidRPr="000644D4">
        <w:t xml:space="preserve"> w</w:t>
      </w:r>
      <w:r w:rsidR="000644D4">
        <w:t> </w:t>
      </w:r>
      <w:r w:rsidR="000644D4" w:rsidRPr="000644D4">
        <w:t>każ</w:t>
      </w:r>
      <w:r w:rsidRPr="000644D4">
        <w:t>dej kategorii ekspozycji</w:t>
      </w:r>
      <w:r w:rsidR="000644D4" w:rsidRPr="000644D4">
        <w:t xml:space="preserve"> i</w:t>
      </w:r>
      <w:r w:rsidR="000644D4">
        <w:t> </w:t>
      </w:r>
      <w:r w:rsidR="000644D4" w:rsidRPr="000644D4">
        <w:t>wyj</w:t>
      </w:r>
      <w:r w:rsidRPr="000644D4">
        <w:t>aśniają procentowy udział kwoty ekspozycji ważonych ryzykiem</w:t>
      </w:r>
      <w:r w:rsidR="000644D4" w:rsidRPr="000644D4">
        <w:t xml:space="preserve"> w</w:t>
      </w:r>
      <w:r w:rsidR="000644D4">
        <w:t> </w:t>
      </w:r>
      <w:r w:rsidR="000644D4" w:rsidRPr="000644D4">
        <w:t>odp</w:t>
      </w:r>
      <w:r w:rsidRPr="000644D4">
        <w:t>owiedniej kategorii ekspozycji objętej modelami, dla których zgłasza się tu wyniki weryfikacji historycznej. Ten wzór nie obejmuje ekspozycji na ryzyko kredytowe kontrahenta (CCR) (część trzecia tytuł II rozdział 6 rozporządzenia (UE) nr</w:t>
      </w:r>
      <w:r w:rsidR="000644D4" w:rsidRPr="000644D4">
        <w:t> </w:t>
      </w:r>
      <w:r w:rsidRPr="000644D4">
        <w:t>575/2013).</w:t>
      </w:r>
    </w:p>
    <w:p w14:paraId="584B488E"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0644D4">
        <w:rPr>
          <w:rFonts w:ascii="Times New Roman" w:hAnsi="Times New Roman"/>
          <w:sz w:val="24"/>
        </w:rPr>
        <w:t>Instrukcje dotyczące poszczególnych pozycji</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768D8734" w14:textId="77777777" w:rsidTr="00822842">
        <w:tc>
          <w:tcPr>
            <w:tcW w:w="1188" w:type="dxa"/>
            <w:shd w:val="clear" w:color="auto" w:fill="CCCCCC"/>
          </w:tcPr>
          <w:p w14:paraId="5B2B4D05" w14:textId="77777777" w:rsidR="00FB3D09" w:rsidRPr="000644D4" w:rsidRDefault="00FB3D09" w:rsidP="00822842">
            <w:pPr>
              <w:rPr>
                <w:rFonts w:ascii="Times New Roman" w:hAnsi="Times New Roman"/>
                <w:sz w:val="24"/>
              </w:rPr>
            </w:pPr>
            <w:r w:rsidRPr="000644D4">
              <w:rPr>
                <w:rFonts w:ascii="Times New Roman" w:hAnsi="Times New Roman"/>
                <w:sz w:val="24"/>
              </w:rPr>
              <w:t>Kolumny</w:t>
            </w:r>
          </w:p>
        </w:tc>
        <w:tc>
          <w:tcPr>
            <w:tcW w:w="8843" w:type="dxa"/>
            <w:shd w:val="clear" w:color="auto" w:fill="CCCCCC"/>
          </w:tcPr>
          <w:p w14:paraId="2736A610"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0644D4" w:rsidRDefault="00FB3D09" w:rsidP="00822842">
            <w:pPr>
              <w:rPr>
                <w:rFonts w:ascii="Times New Roman" w:hAnsi="Times New Roman"/>
                <w:sz w:val="24"/>
              </w:rPr>
            </w:pPr>
            <w:r w:rsidRPr="000644D4">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ŚREDNIA ARYTMETYCZNA PD (%)</w:t>
            </w:r>
          </w:p>
          <w:p w14:paraId="369D866D" w14:textId="54B831B9" w:rsidR="00FB3D09" w:rsidRPr="000644D4" w:rsidRDefault="00FB3D09" w:rsidP="00822842">
            <w:pPr>
              <w:rPr>
                <w:rFonts w:ascii="Times New Roman" w:hAnsi="Times New Roman"/>
                <w:b/>
                <w:sz w:val="24"/>
              </w:rPr>
            </w:pPr>
            <w:r w:rsidRPr="000644D4">
              <w:rPr>
                <w:rFonts w:ascii="Times New Roman" w:hAnsi="Times New Roman"/>
                <w:sz w:val="24"/>
              </w:rPr>
              <w:t>Średnia arytmetyczna PD na początku okresu sprawozdawczego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dłużników, których można przyporządkować do danego koszyka</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łym zakresie PD, wyliczona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0020 (średnia ważona liczbą dłużników).</w:t>
            </w:r>
          </w:p>
        </w:tc>
      </w:tr>
      <w:tr w:rsidR="00FB3D09" w:rsidRPr="000644D4"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0644D4" w:rsidRDefault="00FB3D09" w:rsidP="00822842">
            <w:pPr>
              <w:rPr>
                <w:rFonts w:ascii="Times New Roman" w:hAnsi="Times New Roman"/>
                <w:sz w:val="24"/>
              </w:rPr>
            </w:pPr>
            <w:r w:rsidRPr="000644D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LICZBA DŁUŻNIKÓW NA KONIEC POPRZEDNIEGO ROKU</w:t>
            </w:r>
          </w:p>
          <w:p w14:paraId="1D7F3DCC" w14:textId="77777777" w:rsidR="00FB3D09" w:rsidRPr="000644D4" w:rsidRDefault="00FB3D09" w:rsidP="00822842">
            <w:pPr>
              <w:rPr>
                <w:rFonts w:ascii="Times New Roman" w:hAnsi="Times New Roman"/>
                <w:sz w:val="24"/>
              </w:rPr>
            </w:pPr>
            <w:r w:rsidRPr="000644D4">
              <w:rPr>
                <w:rFonts w:ascii="Times New Roman" w:hAnsi="Times New Roman"/>
                <w:sz w:val="24"/>
              </w:rPr>
              <w:t xml:space="preserve">Liczba dłużników na koniec poprzedniego roku podlegających sprawozdawczości. </w:t>
            </w:r>
          </w:p>
          <w:p w14:paraId="35726FB6" w14:textId="5982B269" w:rsidR="00FB3D09" w:rsidRPr="000644D4" w:rsidRDefault="00FB3D09" w:rsidP="00822842">
            <w:pPr>
              <w:rPr>
                <w:rFonts w:ascii="Times New Roman" w:hAnsi="Times New Roman"/>
                <w:sz w:val="24"/>
              </w:rPr>
            </w:pPr>
            <w:r w:rsidRPr="000644D4">
              <w:rPr>
                <w:rFonts w:ascii="Times New Roman" w:hAnsi="Times New Roman"/>
                <w:sz w:val="24"/>
              </w:rPr>
              <w:t>Uwzględnia się wszystkich dłużników, na których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dan</w:t>
            </w:r>
            <w:r w:rsidRPr="000644D4">
              <w:rPr>
                <w:rFonts w:ascii="Times New Roman" w:hAnsi="Times New Roman"/>
                <w:sz w:val="24"/>
              </w:rPr>
              <w:t xml:space="preserve">ym momencie ciąży zobowiązanie kredytowe. </w:t>
            </w:r>
          </w:p>
          <w:p w14:paraId="0234603A" w14:textId="6C9D4107" w:rsidR="00FB3D09" w:rsidRPr="000644D4" w:rsidRDefault="00FB3D09" w:rsidP="00822842">
            <w:pPr>
              <w:rPr>
                <w:rFonts w:ascii="Times New Roman" w:hAnsi="Times New Roman"/>
                <w:sz w:val="24"/>
              </w:rPr>
            </w:pPr>
            <w:r w:rsidRPr="000644D4">
              <w:rPr>
                <w:rFonts w:ascii="Times New Roman" w:hAnsi="Times New Roman"/>
                <w:sz w:val="24"/>
              </w:rPr>
              <w:t>Liczbę dłużników oblicza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ins</w:t>
            </w:r>
            <w:r w:rsidRPr="000644D4">
              <w:rPr>
                <w:rFonts w:ascii="Times New Roman" w:hAnsi="Times New Roman"/>
                <w:sz w:val="24"/>
              </w:rPr>
              <w:t>trukcjami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0300 we wzorze C 08.01. Dłużników solidarnych traktuje się tak samo jak do celów kalibracji PD.</w:t>
            </w:r>
          </w:p>
        </w:tc>
      </w:tr>
      <w:tr w:rsidR="00FB3D09" w:rsidRPr="000644D4"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 TYM: LICZBA DŁUŻNIKÓW, KTÓRZY NIE WYKONALI ZOBOWIĄZANIA W CIĄGU ROKU</w:t>
            </w:r>
          </w:p>
          <w:p w14:paraId="62E6E1C3" w14:textId="0E8C09F6" w:rsidR="00FB3D09" w:rsidRPr="000644D4" w:rsidRDefault="00FB3D09" w:rsidP="00822842">
            <w:pPr>
              <w:autoSpaceDE w:val="0"/>
              <w:autoSpaceDN w:val="0"/>
              <w:adjustRightInd w:val="0"/>
              <w:rPr>
                <w:rFonts w:ascii="Times New Roman" w:hAnsi="Times New Roman"/>
                <w:sz w:val="24"/>
              </w:rPr>
            </w:pPr>
            <w:r w:rsidRPr="000644D4">
              <w:rPr>
                <w:rFonts w:ascii="Times New Roman" w:hAnsi="Times New Roman"/>
                <w:sz w:val="24"/>
              </w:rPr>
              <w:t>Liczba dłużników, którzy nie wykonali zobowiązania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cią</w:t>
            </w:r>
            <w:r w:rsidRPr="000644D4">
              <w:rPr>
                <w:rFonts w:ascii="Times New Roman" w:hAnsi="Times New Roman"/>
                <w:sz w:val="24"/>
              </w:rPr>
              <w:t>gu roku (tj.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okr</w:t>
            </w:r>
            <w:r w:rsidRPr="000644D4">
              <w:rPr>
                <w:rFonts w:ascii="Times New Roman" w:hAnsi="Times New Roman"/>
                <w:sz w:val="24"/>
              </w:rPr>
              <w:t>esie obserwacji,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 xml:space="preserve">rym obliczono współczynnik niewykonania zobowiązania). </w:t>
            </w:r>
          </w:p>
          <w:p w14:paraId="4E6FF3A5" w14:textId="6C4D42C1" w:rsidR="00FB3D09" w:rsidRPr="000644D4" w:rsidRDefault="00FB3D09" w:rsidP="00822842">
            <w:pPr>
              <w:autoSpaceDE w:val="0"/>
              <w:autoSpaceDN w:val="0"/>
              <w:adjustRightInd w:val="0"/>
              <w:rPr>
                <w:rFonts w:ascii="Times New Roman" w:hAnsi="Times New Roman"/>
                <w:sz w:val="24"/>
              </w:rPr>
            </w:pPr>
            <w:r w:rsidRPr="000644D4">
              <w:rPr>
                <w:rFonts w:ascii="Times New Roman" w:hAnsi="Times New Roman"/>
                <w:sz w:val="24"/>
              </w:rPr>
              <w:t>Przypadki niewykonania zobowiązania określa się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178 rozporządzenia (UE) nr</w:t>
            </w:r>
            <w:r w:rsidR="000644D4" w:rsidRPr="000644D4">
              <w:rPr>
                <w:rFonts w:ascii="Times New Roman" w:hAnsi="Times New Roman"/>
                <w:sz w:val="24"/>
              </w:rPr>
              <w:t> </w:t>
            </w:r>
            <w:r w:rsidRPr="000644D4">
              <w:rPr>
                <w:rFonts w:ascii="Times New Roman" w:hAnsi="Times New Roman"/>
                <w:sz w:val="24"/>
              </w:rPr>
              <w:t xml:space="preserve">575/2013. </w:t>
            </w:r>
          </w:p>
          <w:p w14:paraId="37E2D9CF" w14:textId="20136F49" w:rsidR="00FB3D09" w:rsidRPr="000644D4" w:rsidRDefault="00FB3D09" w:rsidP="00822842">
            <w:pPr>
              <w:rPr>
                <w:rFonts w:ascii="Times New Roman" w:hAnsi="Times New Roman"/>
                <w:b/>
                <w:sz w:val="24"/>
                <w:u w:val="single"/>
              </w:rPr>
            </w:pPr>
            <w:r w:rsidRPr="000644D4">
              <w:rPr>
                <w:rFonts w:ascii="Times New Roman" w:hAnsi="Times New Roman"/>
                <w:sz w:val="24"/>
              </w:rPr>
              <w:t>W liczniku</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mia</w:t>
            </w:r>
            <w:r w:rsidRPr="000644D4">
              <w:rPr>
                <w:rFonts w:ascii="Times New Roman" w:hAnsi="Times New Roman"/>
                <w:sz w:val="24"/>
              </w:rPr>
              <w:t>nowniku wyliczenia jednorocznego współczynnika niewykonania zobowiązania każdego dłużnika niewykonującego zobowiązania liczy się tylko raz, nawet jeśli dłużnik nie wykonał zobowiązania więcej niż raz</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cią</w:t>
            </w:r>
            <w:r w:rsidRPr="000644D4">
              <w:rPr>
                <w:rFonts w:ascii="Times New Roman" w:hAnsi="Times New Roman"/>
                <w:sz w:val="24"/>
              </w:rPr>
              <w:t>gu danego jednorocznego okresu.</w:t>
            </w:r>
          </w:p>
        </w:tc>
      </w:tr>
      <w:tr w:rsidR="00FB3D09" w:rsidRPr="000644D4"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0644D4" w:rsidRDefault="00FB3D09" w:rsidP="00822842">
            <w:pPr>
              <w:rPr>
                <w:rFonts w:ascii="Times New Roman" w:hAnsi="Times New Roman"/>
                <w:sz w:val="24"/>
              </w:rPr>
            </w:pPr>
            <w:r w:rsidRPr="000644D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ZAOBSERWOWANA ŚREDNIA WARTOŚĆ WSPÓŁCZYNNIKA NIEWYKONANIA ZOBOWIĄZANIA (%)</w:t>
            </w:r>
          </w:p>
          <w:p w14:paraId="2D64742F" w14:textId="30946309" w:rsidR="00FB3D09" w:rsidRPr="000644D4" w:rsidRDefault="00FB3D09" w:rsidP="00822842">
            <w:pPr>
              <w:autoSpaceDE w:val="0"/>
              <w:autoSpaceDN w:val="0"/>
              <w:adjustRightInd w:val="0"/>
              <w:rPr>
                <w:rFonts w:ascii="Times New Roman" w:hAnsi="Times New Roman"/>
                <w:sz w:val="24"/>
              </w:rPr>
            </w:pPr>
            <w:r w:rsidRPr="000644D4">
              <w:rPr>
                <w:rFonts w:ascii="Times New Roman" w:hAnsi="Times New Roman"/>
                <w:sz w:val="24"/>
              </w:rPr>
              <w:t>Jednoroczny współczynnik niewykonania zobowiązania,</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mowa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 ust. 1 pkt 78 rozporządzenia (UE) nr</w:t>
            </w:r>
            <w:r w:rsidR="000644D4" w:rsidRPr="000644D4">
              <w:rPr>
                <w:rFonts w:ascii="Times New Roman" w:hAnsi="Times New Roman"/>
                <w:sz w:val="24"/>
              </w:rPr>
              <w:t> </w:t>
            </w:r>
            <w:r w:rsidRPr="000644D4">
              <w:rPr>
                <w:rFonts w:ascii="Times New Roman" w:hAnsi="Times New Roman"/>
                <w:sz w:val="24"/>
              </w:rPr>
              <w:t>575/2013</w:t>
            </w:r>
          </w:p>
          <w:p w14:paraId="01C9FA62" w14:textId="77777777" w:rsidR="00FB3D09" w:rsidRPr="000644D4" w:rsidRDefault="00FB3D09" w:rsidP="00822842">
            <w:pPr>
              <w:autoSpaceDE w:val="0"/>
              <w:autoSpaceDN w:val="0"/>
              <w:adjustRightInd w:val="0"/>
              <w:rPr>
                <w:rFonts w:ascii="Times New Roman" w:hAnsi="Times New Roman"/>
                <w:sz w:val="24"/>
              </w:rPr>
            </w:pPr>
            <w:r w:rsidRPr="000644D4">
              <w:rPr>
                <w:rFonts w:ascii="Times New Roman" w:hAnsi="Times New Roman"/>
                <w:sz w:val="24"/>
              </w:rPr>
              <w:t>Instytucje zapewniają, aby:</w:t>
            </w:r>
          </w:p>
          <w:p w14:paraId="3C9723C5" w14:textId="177E8599" w:rsidR="00FB3D09" w:rsidRPr="000644D4" w:rsidRDefault="00FB3D09" w:rsidP="00822842">
            <w:pPr>
              <w:autoSpaceDE w:val="0"/>
              <w:autoSpaceDN w:val="0"/>
              <w:adjustRightInd w:val="0"/>
              <w:rPr>
                <w:rFonts w:ascii="Times New Roman" w:hAnsi="Times New Roman"/>
                <w:sz w:val="24"/>
              </w:rPr>
            </w:pPr>
            <w:r w:rsidRPr="000644D4">
              <w:rPr>
                <w:rFonts w:ascii="Times New Roman" w:hAnsi="Times New Roman"/>
                <w:sz w:val="24"/>
              </w:rPr>
              <w:t>a) mianownik składał się</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lic</w:t>
            </w:r>
            <w:r w:rsidRPr="000644D4">
              <w:rPr>
                <w:rFonts w:ascii="Times New Roman" w:hAnsi="Times New Roman"/>
                <w:sz w:val="24"/>
              </w:rPr>
              <w:t>zby dłużników, którzy nie dopuścili się niewykonania zobowiązania,</w:t>
            </w:r>
            <w:r w:rsidR="000644D4" w:rsidRPr="000644D4">
              <w:rPr>
                <w:rFonts w:ascii="Times New Roman" w:hAnsi="Times New Roman"/>
                <w:sz w:val="24"/>
              </w:rPr>
              <w:t xml:space="preserve"> a</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zobowiązania kredytowe odnotowano na początku rocznego okresu obserwacji (tj. na początku roku poprzedzającego sprawozdawczy dzień odniesienia);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kontekście zobowiązanie kredytowe odnosi się do obu poniższych wariantów: (i) dowolnej pozycji bilansowej,</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wszelkie kwoty kapitału, odsetek</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opł</w:t>
            </w:r>
            <w:r w:rsidRPr="000644D4">
              <w:rPr>
                <w:rFonts w:ascii="Times New Roman" w:hAnsi="Times New Roman"/>
                <w:sz w:val="24"/>
              </w:rPr>
              <w:t>at; (ii) dowolnych pozycji pozabilansowych,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gwarancji wydanych przez instytucję jako gwaranta.</w:t>
            </w:r>
          </w:p>
          <w:p w14:paraId="0D440FD1" w14:textId="1A7038B3" w:rsidR="00FB3D09" w:rsidRPr="000644D4" w:rsidRDefault="00FB3D09" w:rsidP="00822842">
            <w:pPr>
              <w:rPr>
                <w:rFonts w:ascii="Times New Roman" w:hAnsi="Times New Roman"/>
                <w:sz w:val="24"/>
              </w:rPr>
            </w:pPr>
            <w:r w:rsidRPr="000644D4">
              <w:rPr>
                <w:rFonts w:ascii="Times New Roman" w:hAnsi="Times New Roman"/>
                <w:sz w:val="24"/>
              </w:rPr>
              <w:t>b) licznik obejmował wszystkich dłużników uwzględnionych</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mia</w:t>
            </w:r>
            <w:r w:rsidRPr="000644D4">
              <w:rPr>
                <w:rFonts w:ascii="Times New Roman" w:hAnsi="Times New Roman"/>
                <w:sz w:val="24"/>
              </w:rPr>
              <w:t>nowniku,</w:t>
            </w:r>
            <w:r w:rsidR="000644D4" w:rsidRPr="000644D4">
              <w:rPr>
                <w:rFonts w:ascii="Times New Roman" w:hAnsi="Times New Roman"/>
                <w:sz w:val="24"/>
              </w:rPr>
              <w:t xml:space="preserve"> u</w:t>
            </w:r>
            <w:r w:rsidR="000644D4">
              <w:rPr>
                <w:rFonts w:ascii="Times New Roman" w:hAnsi="Times New Roman"/>
                <w:sz w:val="24"/>
              </w:rPr>
              <w:t> </w:t>
            </w:r>
            <w:r w:rsidR="000644D4" w:rsidRPr="000644D4">
              <w:rPr>
                <w:rFonts w:ascii="Times New Roman" w:hAnsi="Times New Roman"/>
                <w:sz w:val="24"/>
              </w:rPr>
              <w:t>któ</w:t>
            </w:r>
            <w:r w:rsidRPr="000644D4">
              <w:rPr>
                <w:rFonts w:ascii="Times New Roman" w:hAnsi="Times New Roman"/>
                <w:sz w:val="24"/>
              </w:rPr>
              <w:t>rych wystąpił co najmniej jeden przypadek niewykonania zobowiązania</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jed</w:t>
            </w:r>
            <w:r w:rsidRPr="000644D4">
              <w:rPr>
                <w:rFonts w:ascii="Times New Roman" w:hAnsi="Times New Roman"/>
                <w:sz w:val="24"/>
              </w:rPr>
              <w:t>norocznym okresie obserwacji (rok poprzedzający sprawozdawczy dzień odniesienia).</w:t>
            </w:r>
          </w:p>
          <w:p w14:paraId="071F87D7" w14:textId="77777777" w:rsidR="00FB3D09" w:rsidRPr="000644D4" w:rsidRDefault="00FB3D09" w:rsidP="00822842">
            <w:pPr>
              <w:rPr>
                <w:rFonts w:ascii="Times New Roman" w:hAnsi="Times New Roman"/>
                <w:sz w:val="24"/>
              </w:rPr>
            </w:pPr>
            <w:r w:rsidRPr="000644D4">
              <w:rPr>
                <w:rFonts w:ascii="Times New Roman" w:hAnsi="Times New Roman"/>
                <w:sz w:val="24"/>
              </w:rPr>
              <w:t>W odniesieniu do liczenia liczby dłużników zob. kolumna 0300 wzoru C 08.01.</w:t>
            </w:r>
          </w:p>
        </w:tc>
      </w:tr>
      <w:tr w:rsidR="00FB3D09" w:rsidRPr="000644D4"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0644D4" w:rsidRDefault="00FB3D09" w:rsidP="00822842">
            <w:pPr>
              <w:rPr>
                <w:rFonts w:ascii="Times New Roman" w:hAnsi="Times New Roman"/>
                <w:sz w:val="24"/>
              </w:rPr>
            </w:pPr>
            <w:r w:rsidRPr="000644D4">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0644D4" w:rsidRDefault="00FB3D09" w:rsidP="00822842">
            <w:pPr>
              <w:rPr>
                <w:rFonts w:ascii="Times New Roman" w:hAnsi="Times New Roman"/>
                <w:sz w:val="24"/>
                <w:u w:val="single"/>
              </w:rPr>
            </w:pPr>
            <w:r w:rsidRPr="000644D4">
              <w:rPr>
                <w:rFonts w:ascii="Times New Roman" w:hAnsi="Times New Roman"/>
                <w:b/>
                <w:sz w:val="24"/>
                <w:u w:val="single"/>
              </w:rPr>
              <w:t>ŚREDNIA HISTORYCZNA WARTOŚĆ JEDNOROCZNEGO WSPÓŁCZYNNIKA NIEWYKONANIA ZOBOWIĄZANIA (%)</w:t>
            </w:r>
          </w:p>
          <w:p w14:paraId="584459CD" w14:textId="7EC7D467" w:rsidR="00FB3D09" w:rsidRPr="000644D4" w:rsidRDefault="00FB3D09" w:rsidP="00822842">
            <w:pPr>
              <w:rPr>
                <w:rFonts w:ascii="Times New Roman" w:hAnsi="Times New Roman"/>
                <w:sz w:val="24"/>
              </w:rPr>
            </w:pPr>
            <w:r w:rsidRPr="000644D4">
              <w:rPr>
                <w:rFonts w:ascii="Times New Roman" w:hAnsi="Times New Roman"/>
                <w:sz w:val="24"/>
              </w:rPr>
              <w:t>Średnia arytmetyczna jednorocznego współczynnika niewykonania zobowiązania</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pię</w:t>
            </w:r>
            <w:r w:rsidRPr="000644D4">
              <w:rPr>
                <w:rFonts w:ascii="Times New Roman" w:hAnsi="Times New Roman"/>
                <w:sz w:val="24"/>
              </w:rPr>
              <w:t>ciu ostatnich lat (dłużnicy na początku każdego roku, którzy nie wykonują zobowiązań</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cią</w:t>
            </w:r>
            <w:r w:rsidRPr="000644D4">
              <w:rPr>
                <w:rFonts w:ascii="Times New Roman" w:hAnsi="Times New Roman"/>
                <w:sz w:val="24"/>
              </w:rPr>
              <w:t>gu tego roku/dłużnicy razem na początku roku) stanowi minimum. Instytucja może stosować dłuższy okres historyczny, który jest zgodny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rze</w:t>
            </w:r>
            <w:r w:rsidRPr="000644D4">
              <w:rPr>
                <w:rFonts w:ascii="Times New Roman" w:hAnsi="Times New Roman"/>
                <w:sz w:val="24"/>
              </w:rPr>
              <w:t>czywistymi praktykami zarządzania ryzykiem stosowanymi przez tę instytucję.</w:t>
            </w:r>
          </w:p>
        </w:tc>
      </w:tr>
    </w:tbl>
    <w:p w14:paraId="1BEF1A20" w14:textId="77777777" w:rsidR="00FB3D09" w:rsidRPr="000644D4"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0644D4" w14:paraId="1B84D0E8" w14:textId="77777777" w:rsidTr="00822842">
        <w:tc>
          <w:tcPr>
            <w:tcW w:w="1271" w:type="dxa"/>
            <w:shd w:val="clear" w:color="auto" w:fill="auto"/>
          </w:tcPr>
          <w:p w14:paraId="3EC9FD04" w14:textId="77777777" w:rsidR="00FB3D09" w:rsidRPr="000644D4" w:rsidRDefault="00FB3D09" w:rsidP="00822842">
            <w:pPr>
              <w:rPr>
                <w:rFonts w:ascii="Times New Roman" w:hAnsi="Times New Roman"/>
                <w:sz w:val="24"/>
              </w:rPr>
            </w:pPr>
            <w:r w:rsidRPr="000644D4">
              <w:rPr>
                <w:rFonts w:ascii="Times New Roman" w:hAnsi="Times New Roman"/>
                <w:sz w:val="24"/>
              </w:rPr>
              <w:t>Wiersze</w:t>
            </w:r>
          </w:p>
        </w:tc>
        <w:tc>
          <w:tcPr>
            <w:tcW w:w="8557" w:type="dxa"/>
            <w:shd w:val="clear" w:color="auto" w:fill="auto"/>
          </w:tcPr>
          <w:p w14:paraId="65FC4F8D"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3C8ED033" w14:textId="77777777" w:rsidTr="00822842">
        <w:tc>
          <w:tcPr>
            <w:tcW w:w="1271" w:type="dxa"/>
          </w:tcPr>
          <w:p w14:paraId="514F1159" w14:textId="77777777" w:rsidR="00FB3D09" w:rsidRPr="000644D4" w:rsidRDefault="00FB3D09" w:rsidP="00822842">
            <w:pPr>
              <w:rPr>
                <w:rFonts w:ascii="Times New Roman" w:hAnsi="Times New Roman"/>
                <w:sz w:val="24"/>
              </w:rPr>
            </w:pPr>
            <w:r w:rsidRPr="000644D4">
              <w:rPr>
                <w:rFonts w:ascii="Times New Roman" w:hAnsi="Times New Roman"/>
                <w:sz w:val="24"/>
              </w:rPr>
              <w:t>ZAKRES PD</w:t>
            </w:r>
          </w:p>
        </w:tc>
        <w:tc>
          <w:tcPr>
            <w:tcW w:w="8557" w:type="dxa"/>
          </w:tcPr>
          <w:p w14:paraId="61595E98" w14:textId="091B5E07" w:rsidR="00FB3D09" w:rsidRPr="000644D4" w:rsidRDefault="00FB3D09" w:rsidP="00822842">
            <w:pPr>
              <w:rPr>
                <w:rFonts w:ascii="Times New Roman" w:hAnsi="Times New Roman"/>
                <w:sz w:val="24"/>
              </w:rPr>
            </w:pPr>
            <w:r w:rsidRPr="000644D4">
              <w:rPr>
                <w:rFonts w:ascii="Times New Roman" w:hAnsi="Times New Roman"/>
                <w:sz w:val="24"/>
              </w:rPr>
              <w:t>Ekspozycje przypisuje się do odpowiedniego koszyka</w:t>
            </w:r>
            <w:r w:rsidR="000644D4" w:rsidRPr="000644D4">
              <w:rPr>
                <w:rFonts w:ascii="Times New Roman" w:hAnsi="Times New Roman"/>
                <w:sz w:val="24"/>
              </w:rPr>
              <w:t xml:space="preserve"> o</w:t>
            </w:r>
            <w:r w:rsidR="000644D4">
              <w:rPr>
                <w:rFonts w:ascii="Times New Roman" w:hAnsi="Times New Roman"/>
                <w:sz w:val="24"/>
              </w:rPr>
              <w:t> </w:t>
            </w:r>
            <w:r w:rsidR="000644D4" w:rsidRPr="000644D4">
              <w:rPr>
                <w:rFonts w:ascii="Times New Roman" w:hAnsi="Times New Roman"/>
                <w:sz w:val="24"/>
              </w:rPr>
              <w:t>sta</w:t>
            </w:r>
            <w:r w:rsidRPr="000644D4">
              <w:rPr>
                <w:rFonts w:ascii="Times New Roman" w:hAnsi="Times New Roman"/>
                <w:sz w:val="24"/>
              </w:rPr>
              <w:t>łym zakresie PD na podstawie PD oszacowanego na początku okresu sprawozdawczego dla każdego dłużnika przyporządkowanego do danej kategorii ekspozycji (z uwzględnieniem efektów substytucyjnych wynikających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ogr</w:t>
            </w:r>
            <w:r w:rsidRPr="000644D4">
              <w:rPr>
                <w:rFonts w:ascii="Times New Roman" w:hAnsi="Times New Roman"/>
                <w:sz w:val="24"/>
              </w:rPr>
              <w:t>aniczenia ryzyka kredytowego). Instytucje przyporządkowują każdą ekspozycję do zakresu PD podanego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nin</w:t>
            </w:r>
            <w:r w:rsidRPr="000644D4">
              <w:rPr>
                <w:rFonts w:ascii="Times New Roman" w:hAnsi="Times New Roman"/>
                <w:sz w:val="24"/>
              </w:rPr>
              <w:t xml:space="preserve">iejszym wzorze, uwzględniając również skale ciągłe. Wszystkie ekspozycje, których dotyczy </w:t>
            </w:r>
            <w:r w:rsidRPr="000644D4">
              <w:rPr>
                <w:rFonts w:ascii="Times New Roman" w:hAnsi="Times New Roman"/>
                <w:sz w:val="24"/>
              </w:rPr>
              <w:lastRenderedPageBreak/>
              <w:t>niewykonanie zobowiązania, ujmuje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kos</w:t>
            </w:r>
            <w:r w:rsidRPr="000644D4">
              <w:rPr>
                <w:rFonts w:ascii="Times New Roman" w:hAnsi="Times New Roman"/>
                <w:sz w:val="24"/>
              </w:rPr>
              <w:t>zyku odpowiadającym PD</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wys</w:t>
            </w:r>
            <w:r w:rsidRPr="000644D4">
              <w:rPr>
                <w:rFonts w:ascii="Times New Roman" w:hAnsi="Times New Roman"/>
                <w:sz w:val="24"/>
              </w:rPr>
              <w:t>okości 100</w:t>
            </w:r>
            <w:r w:rsidRPr="000644D4">
              <w:t> </w:t>
            </w:r>
            <w:r w:rsidRPr="000644D4">
              <w:rPr>
                <w:rFonts w:ascii="Times New Roman" w:hAnsi="Times New Roman"/>
                <w:sz w:val="24"/>
              </w:rPr>
              <w:t>%.</w:t>
            </w:r>
          </w:p>
        </w:tc>
      </w:tr>
    </w:tbl>
    <w:p w14:paraId="4DD60C58" w14:textId="02E9D66F" w:rsidR="00FB3D09" w:rsidRPr="000644D4"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sidRPr="000644D4">
        <w:rPr>
          <w:rFonts w:ascii="Times New Roman" w:hAnsi="Times New Roman"/>
          <w:sz w:val="24"/>
        </w:rPr>
        <w:lastRenderedPageBreak/>
        <w:t>C 08.05.1 – Ryzyko kredytowe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Weryfikacja historyczna PD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w:t>
      </w:r>
      <w:r w:rsidR="000644D4" w:rsidRPr="000644D4">
        <w:rPr>
          <w:rFonts w:ascii="Times New Roman" w:hAnsi="Times New Roman"/>
          <w:sz w:val="24"/>
        </w:rPr>
        <w:t> </w:t>
      </w:r>
      <w:r w:rsidRPr="000644D4">
        <w:rPr>
          <w:rFonts w:ascii="Times New Roman" w:hAnsi="Times New Roman"/>
          <w:sz w:val="24"/>
        </w:rPr>
        <w:t>180 ust.</w:t>
      </w:r>
      <w:r w:rsidR="000644D4" w:rsidRPr="000644D4">
        <w:rPr>
          <w:rFonts w:ascii="Times New Roman" w:hAnsi="Times New Roman"/>
          <w:sz w:val="24"/>
        </w:rPr>
        <w:t> </w:t>
      </w:r>
      <w:r w:rsidRPr="000644D4">
        <w:rPr>
          <w:rFonts w:ascii="Times New Roman" w:hAnsi="Times New Roman"/>
          <w:sz w:val="24"/>
        </w:rPr>
        <w:t>1 lit.</w:t>
      </w:r>
      <w:r w:rsidR="000644D4" w:rsidRPr="000644D4">
        <w:rPr>
          <w:rFonts w:ascii="Times New Roman" w:hAnsi="Times New Roman"/>
          <w:sz w:val="24"/>
        </w:rPr>
        <w:t> </w:t>
      </w:r>
      <w:r w:rsidRPr="000644D4">
        <w:rPr>
          <w:rFonts w:ascii="Times New Roman" w:hAnsi="Times New Roman"/>
          <w:sz w:val="24"/>
        </w:rPr>
        <w:t>f) rozporządzenia (UE) NR 575/2013 (CR IRB 5B)</w:t>
      </w:r>
      <w:bookmarkEnd w:id="121"/>
      <w:bookmarkEnd w:id="122"/>
    </w:p>
    <w:p w14:paraId="27A46150"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0644D4">
        <w:rPr>
          <w:rFonts w:ascii="Times New Roman" w:hAnsi="Times New Roman"/>
          <w:sz w:val="24"/>
        </w:rPr>
        <w:t>Instrukcje dotyczące poszczególnych pozycji</w:t>
      </w:r>
      <w:bookmarkEnd w:id="123"/>
      <w:bookmarkEnd w:id="124"/>
    </w:p>
    <w:p w14:paraId="68360FA1" w14:textId="784C8626"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81</w:t>
      </w:r>
      <w:r w:rsidRPr="000644D4">
        <w:fldChar w:fldCharType="end"/>
      </w:r>
      <w:r w:rsidRPr="000644D4">
        <w:t>. Oprócz wzoru C 08.05 instytucje przekazują informacje zawarte we wzorze C 08.05.1, jeżeli stosują art. 180 ust. 1</w:t>
      </w:r>
      <w:r w:rsidR="000644D4" w:rsidRPr="000644D4">
        <w:t xml:space="preserve"> z</w:t>
      </w:r>
      <w:r w:rsidR="000644D4">
        <w:t> </w:t>
      </w:r>
      <w:r w:rsidR="000644D4" w:rsidRPr="000644D4">
        <w:t>lit</w:t>
      </w:r>
      <w:r w:rsidRPr="000644D4">
        <w:t>. f) rozporządzenia (UE) nr</w:t>
      </w:r>
      <w:r w:rsidR="000644D4" w:rsidRPr="000644D4">
        <w:t> </w:t>
      </w:r>
      <w:r w:rsidRPr="000644D4">
        <w:t>575/2013 przy oszacowywaniu PD</w:t>
      </w:r>
      <w:r w:rsidR="000644D4" w:rsidRPr="000644D4">
        <w:t xml:space="preserve"> i</w:t>
      </w:r>
      <w:r w:rsidR="000644D4">
        <w:t> </w:t>
      </w:r>
      <w:r w:rsidR="000644D4" w:rsidRPr="000644D4">
        <w:t>wył</w:t>
      </w:r>
      <w:r w:rsidRPr="000644D4">
        <w:t>ącznie do celów oszacowania PD zgodnie</w:t>
      </w:r>
      <w:r w:rsidR="000644D4" w:rsidRPr="000644D4">
        <w:t xml:space="preserve"> z</w:t>
      </w:r>
      <w:r w:rsidR="000644D4">
        <w:t> </w:t>
      </w:r>
      <w:r w:rsidR="000644D4" w:rsidRPr="000644D4">
        <w:t>tym</w:t>
      </w:r>
      <w:r w:rsidRPr="000644D4">
        <w:t xml:space="preserve"> samym artykułem. Instrukcje są takie same jak dla wzoru C 08.05,</w:t>
      </w:r>
      <w:r w:rsidR="000644D4" w:rsidRPr="000644D4">
        <w:t xml:space="preserve"> z</w:t>
      </w:r>
      <w:r w:rsidR="000644D4">
        <w:t> </w:t>
      </w:r>
      <w:r w:rsidR="000644D4" w:rsidRPr="000644D4">
        <w:t>nas</w:t>
      </w:r>
      <w:r w:rsidRPr="000644D4">
        <w:t>tępującymi wyjątkami: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1E2F3B8E" w14:textId="77777777" w:rsidTr="00822842">
        <w:tc>
          <w:tcPr>
            <w:tcW w:w="1188" w:type="dxa"/>
            <w:shd w:val="clear" w:color="auto" w:fill="CCCCCC"/>
          </w:tcPr>
          <w:p w14:paraId="7D027DF5" w14:textId="77777777" w:rsidR="00FB3D09" w:rsidRPr="000644D4" w:rsidRDefault="00FB3D09" w:rsidP="00822842">
            <w:pPr>
              <w:rPr>
                <w:rFonts w:ascii="Times New Roman" w:hAnsi="Times New Roman"/>
                <w:sz w:val="24"/>
              </w:rPr>
            </w:pPr>
            <w:r w:rsidRPr="000644D4">
              <w:rPr>
                <w:rFonts w:ascii="Times New Roman" w:hAnsi="Times New Roman"/>
                <w:sz w:val="24"/>
              </w:rPr>
              <w:t>Kolumny</w:t>
            </w:r>
          </w:p>
        </w:tc>
        <w:tc>
          <w:tcPr>
            <w:tcW w:w="8843" w:type="dxa"/>
            <w:shd w:val="clear" w:color="auto" w:fill="CCCCCC"/>
          </w:tcPr>
          <w:p w14:paraId="63A7247A"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528697BD" w14:textId="77777777" w:rsidTr="00822842">
        <w:tc>
          <w:tcPr>
            <w:tcW w:w="1188" w:type="dxa"/>
            <w:shd w:val="clear" w:color="auto" w:fill="auto"/>
          </w:tcPr>
          <w:p w14:paraId="150C8B42" w14:textId="77777777" w:rsidR="00FB3D09" w:rsidRPr="000644D4" w:rsidRDefault="00FB3D09" w:rsidP="00822842">
            <w:pPr>
              <w:rPr>
                <w:rFonts w:ascii="Times New Roman" w:hAnsi="Times New Roman"/>
                <w:sz w:val="24"/>
              </w:rPr>
            </w:pPr>
            <w:r w:rsidRPr="000644D4">
              <w:rPr>
                <w:rFonts w:ascii="Times New Roman" w:hAnsi="Times New Roman"/>
                <w:sz w:val="24"/>
              </w:rPr>
              <w:t>0005</w:t>
            </w:r>
          </w:p>
        </w:tc>
        <w:tc>
          <w:tcPr>
            <w:tcW w:w="8843" w:type="dxa"/>
            <w:shd w:val="clear" w:color="auto" w:fill="auto"/>
          </w:tcPr>
          <w:p w14:paraId="1D47203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ZAKRES PD</w:t>
            </w:r>
          </w:p>
          <w:p w14:paraId="4CAAE100" w14:textId="6A63D513" w:rsidR="00FB3D09" w:rsidRPr="000644D4" w:rsidRDefault="00FB3D09" w:rsidP="00822842">
            <w:pPr>
              <w:rPr>
                <w:rFonts w:ascii="Times New Roman" w:hAnsi="Times New Roman"/>
                <w:sz w:val="24"/>
              </w:rPr>
            </w:pPr>
            <w:r w:rsidRPr="000644D4">
              <w:rPr>
                <w:rFonts w:ascii="Times New Roman" w:hAnsi="Times New Roman"/>
                <w:sz w:val="24"/>
              </w:rPr>
              <w:t xml:space="preserve">Instytucje zgłaszają zakresy PD </w:t>
            </w:r>
            <w:r w:rsidRPr="000644D4">
              <w:rPr>
                <w:rStyle w:val="InstructionsTabelleText"/>
                <w:rFonts w:ascii="Times New Roman" w:hAnsi="Times New Roman"/>
                <w:sz w:val="24"/>
              </w:rPr>
              <w:t>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Fonts w:ascii="Times New Roman" w:hAnsi="Times New Roman"/>
                <w:sz w:val="24"/>
              </w:rPr>
              <w:t>ich</w:t>
            </w:r>
            <w:r w:rsidRPr="000644D4">
              <w:rPr>
                <w:rFonts w:ascii="Times New Roman" w:hAnsi="Times New Roman"/>
                <w:sz w:val="24"/>
              </w:rPr>
              <w:t xml:space="preserve"> wewnętrznymi klasami jakości, które przyporządkowują do skali stosowanej przez zewnętrzną ECAI, zamiast korzystać ze stałego zewnętrznego zakresu PD.</w:t>
            </w:r>
          </w:p>
        </w:tc>
      </w:tr>
      <w:tr w:rsidR="00FB3D09" w:rsidRPr="000644D4" w14:paraId="64D00DA7" w14:textId="77777777" w:rsidTr="00822842">
        <w:tc>
          <w:tcPr>
            <w:tcW w:w="1188" w:type="dxa"/>
            <w:shd w:val="clear" w:color="auto" w:fill="auto"/>
          </w:tcPr>
          <w:p w14:paraId="1078063B" w14:textId="77777777" w:rsidR="00FB3D09" w:rsidRPr="000644D4" w:rsidRDefault="00FB3D09" w:rsidP="00822842">
            <w:pPr>
              <w:rPr>
                <w:rFonts w:ascii="Times New Roman" w:hAnsi="Times New Roman"/>
                <w:sz w:val="24"/>
              </w:rPr>
            </w:pPr>
            <w:r w:rsidRPr="000644D4">
              <w:rPr>
                <w:rFonts w:ascii="Times New Roman" w:hAnsi="Times New Roman"/>
                <w:sz w:val="24"/>
              </w:rPr>
              <w:t>0006</w:t>
            </w:r>
          </w:p>
        </w:tc>
        <w:tc>
          <w:tcPr>
            <w:tcW w:w="8843" w:type="dxa"/>
            <w:shd w:val="clear" w:color="auto" w:fill="auto"/>
          </w:tcPr>
          <w:p w14:paraId="6793AD5E"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EKWIWALENT RATINGU ZEWNĘTRZNEGO</w:t>
            </w:r>
          </w:p>
          <w:p w14:paraId="276EE83C" w14:textId="6E50EEB4" w:rsidR="00FB3D09" w:rsidRPr="000644D4" w:rsidRDefault="00FB3D09" w:rsidP="00822842">
            <w:pPr>
              <w:rPr>
                <w:rFonts w:ascii="Times New Roman" w:hAnsi="Times New Roman"/>
                <w:sz w:val="24"/>
              </w:rPr>
            </w:pPr>
            <w:r w:rsidRPr="000644D4">
              <w:rPr>
                <w:rFonts w:ascii="Times New Roman" w:hAnsi="Times New Roman"/>
                <w:sz w:val="24"/>
              </w:rPr>
              <w:t>Instytucje zgłaszają jedną kolumnę dla każdej rozpatrywanej ECAI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180 ust. 1 lit. f) rozporządzenia (UE) nr</w:t>
            </w:r>
            <w:r w:rsidR="000644D4" w:rsidRPr="000644D4">
              <w:rPr>
                <w:rFonts w:ascii="Times New Roman" w:hAnsi="Times New Roman"/>
                <w:sz w:val="24"/>
              </w:rPr>
              <w:t> </w:t>
            </w:r>
            <w:r w:rsidRPr="000644D4">
              <w:rPr>
                <w:rFonts w:ascii="Times New Roman" w:hAnsi="Times New Roman"/>
                <w:sz w:val="24"/>
              </w:rPr>
              <w:t>575/2013. Instytucje uwzględniają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tyc</w:t>
            </w:r>
            <w:r w:rsidRPr="000644D4">
              <w:rPr>
                <w:rFonts w:ascii="Times New Roman" w:hAnsi="Times New Roman"/>
                <w:sz w:val="24"/>
              </w:rPr>
              <w:t>h kolumnach rating zewnętrzny, do którego przyporządkowywane są ich wewnętrzne zakresy PD.</w:t>
            </w:r>
          </w:p>
        </w:tc>
      </w:tr>
    </w:tbl>
    <w:p w14:paraId="1CA8A0ED" w14:textId="547D61FE" w:rsidR="00FB3D09" w:rsidRPr="000644D4"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sidRPr="000644D4">
        <w:rPr>
          <w:rFonts w:ascii="Times New Roman" w:hAnsi="Times New Roman"/>
          <w:sz w:val="24"/>
        </w:rPr>
        <w:t>C 08.06 – Ryzyko kredytowe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(metoda klasyfikacji kredytowania specjalistycznego (CR IRB 6))</w:t>
      </w:r>
      <w:bookmarkEnd w:id="125"/>
      <w:bookmarkEnd w:id="126"/>
    </w:p>
    <w:p w14:paraId="0C327519"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0644D4">
        <w:rPr>
          <w:rFonts w:ascii="Times New Roman" w:hAnsi="Times New Roman"/>
          <w:sz w:val="24"/>
        </w:rPr>
        <w:t>Uwagi ogólne</w:t>
      </w:r>
      <w:bookmarkEnd w:id="127"/>
      <w:bookmarkEnd w:id="128"/>
    </w:p>
    <w:p w14:paraId="06C30120" w14:textId="351AB38E"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82</w:t>
      </w:r>
      <w:r w:rsidRPr="000644D4">
        <w:fldChar w:fldCharType="end"/>
      </w:r>
      <w:r w:rsidRPr="000644D4">
        <w:t>. Instytucje zgłaszają informacje zawarte</w:t>
      </w:r>
      <w:r w:rsidR="000644D4" w:rsidRPr="000644D4">
        <w:t xml:space="preserve"> w</w:t>
      </w:r>
      <w:r w:rsidR="000644D4">
        <w:t> </w:t>
      </w:r>
      <w:r w:rsidR="000644D4" w:rsidRPr="000644D4">
        <w:t>tym</w:t>
      </w:r>
      <w:r w:rsidRPr="000644D4">
        <w:t xml:space="preserve"> wzorze zgodnie</w:t>
      </w:r>
      <w:r w:rsidR="000644D4" w:rsidRPr="000644D4">
        <w:t xml:space="preserve"> z</w:t>
      </w:r>
      <w:r w:rsidR="000644D4">
        <w:t> </w:t>
      </w:r>
      <w:r w:rsidR="000644D4" w:rsidRPr="000644D4">
        <w:t>art</w:t>
      </w:r>
      <w:r w:rsidRPr="000644D4">
        <w:t>. 438 lit. e) rozporządzenia (UE) nr</w:t>
      </w:r>
      <w:r w:rsidR="000644D4" w:rsidRPr="000644D4">
        <w:t> </w:t>
      </w:r>
      <w:r w:rsidRPr="000644D4">
        <w:t>575/2013. Instytucje zgłaszają informacje na temat następujących rodzajów ekspozycji związanych</w:t>
      </w:r>
      <w:r w:rsidR="000644D4" w:rsidRPr="000644D4">
        <w:t xml:space="preserve"> z</w:t>
      </w:r>
      <w:r w:rsidR="000644D4">
        <w:t> </w:t>
      </w:r>
      <w:r w:rsidR="000644D4" w:rsidRPr="000644D4">
        <w:t>kre</w:t>
      </w:r>
      <w:r w:rsidRPr="000644D4">
        <w:t>dytowaniem specjalistycznym,</w:t>
      </w:r>
      <w:r w:rsidR="000644D4" w:rsidRPr="000644D4">
        <w:t xml:space="preserve"> o</w:t>
      </w:r>
      <w:r w:rsidR="000644D4">
        <w:t> </w:t>
      </w:r>
      <w:r w:rsidR="000644D4" w:rsidRPr="000644D4">
        <w:t>któ</w:t>
      </w:r>
      <w:r w:rsidRPr="000644D4">
        <w:t>rych mowa</w:t>
      </w:r>
      <w:r w:rsidR="000644D4" w:rsidRPr="000644D4">
        <w:t xml:space="preserve"> w</w:t>
      </w:r>
      <w:r w:rsidR="000644D4">
        <w:t> </w:t>
      </w:r>
      <w:r w:rsidR="000644D4" w:rsidRPr="000644D4">
        <w:t>art</w:t>
      </w:r>
      <w:r w:rsidRPr="000644D4">
        <w:t>. 153 ust. 5 tabela 1:</w:t>
      </w:r>
    </w:p>
    <w:p w14:paraId="020ECF38" w14:textId="77777777" w:rsidR="00FB3D09" w:rsidRPr="000644D4" w:rsidRDefault="00FB3D09" w:rsidP="00FB3D09">
      <w:pPr>
        <w:pStyle w:val="InstructionsText2"/>
        <w:numPr>
          <w:ilvl w:val="0"/>
          <w:numId w:val="0"/>
        </w:numPr>
        <w:ind w:left="1080"/>
      </w:pPr>
      <w:r w:rsidRPr="000644D4">
        <w:t>finansowanie projektów;</w:t>
      </w:r>
    </w:p>
    <w:p w14:paraId="0D30395D" w14:textId="5CC4B7E8" w:rsidR="00FB3D09" w:rsidRPr="000644D4" w:rsidRDefault="00FB3D09" w:rsidP="00FB3D09">
      <w:pPr>
        <w:pStyle w:val="InstructionsText2"/>
        <w:numPr>
          <w:ilvl w:val="0"/>
          <w:numId w:val="0"/>
        </w:numPr>
        <w:ind w:left="1080"/>
      </w:pPr>
      <w:r w:rsidRPr="000644D4">
        <w:t>nieruchomości przynoszące dochody</w:t>
      </w:r>
      <w:r w:rsidR="000644D4" w:rsidRPr="000644D4">
        <w:t xml:space="preserve"> i</w:t>
      </w:r>
      <w:r w:rsidR="000644D4">
        <w:t> </w:t>
      </w:r>
      <w:r w:rsidR="000644D4" w:rsidRPr="000644D4">
        <w:t>nie</w:t>
      </w:r>
      <w:r w:rsidRPr="000644D4">
        <w:t>ruchomości komercyjne charakteryzujące się dużą zmiennością;</w:t>
      </w:r>
    </w:p>
    <w:p w14:paraId="0E156A19" w14:textId="77777777" w:rsidR="00FB3D09" w:rsidRPr="000644D4" w:rsidRDefault="00FB3D09" w:rsidP="00FB3D09">
      <w:pPr>
        <w:pStyle w:val="InstructionsText2"/>
        <w:numPr>
          <w:ilvl w:val="0"/>
          <w:numId w:val="0"/>
        </w:numPr>
        <w:ind w:left="1080"/>
      </w:pPr>
      <w:r w:rsidRPr="000644D4">
        <w:t>finansowanie obiektów;</w:t>
      </w:r>
    </w:p>
    <w:p w14:paraId="66940C39" w14:textId="77777777" w:rsidR="00FB3D09" w:rsidRPr="000644D4" w:rsidRDefault="00FB3D09" w:rsidP="00FB3D09">
      <w:pPr>
        <w:pStyle w:val="InstructionsText2"/>
        <w:numPr>
          <w:ilvl w:val="1"/>
          <w:numId w:val="15"/>
        </w:numPr>
      </w:pPr>
      <w:r w:rsidRPr="000644D4">
        <w:t>finansowanie towarów.</w:t>
      </w:r>
    </w:p>
    <w:p w14:paraId="58A5DEC7"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sidRPr="000644D4">
        <w:rPr>
          <w:rFonts w:ascii="Times New Roman" w:hAnsi="Times New Roman"/>
          <w:sz w:val="24"/>
        </w:rPr>
        <w:lastRenderedPageBreak/>
        <w:t>Instrukcje dotyczące poszczególnych pozycji</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7D26FD2B" w14:textId="77777777" w:rsidTr="00822842">
        <w:tc>
          <w:tcPr>
            <w:tcW w:w="1188" w:type="dxa"/>
            <w:shd w:val="clear" w:color="auto" w:fill="CCCCCC"/>
          </w:tcPr>
          <w:p w14:paraId="6E606862" w14:textId="77777777" w:rsidR="00FB3D09" w:rsidRPr="000644D4" w:rsidRDefault="00FB3D09" w:rsidP="00822842">
            <w:pPr>
              <w:rPr>
                <w:rFonts w:ascii="Times New Roman" w:hAnsi="Times New Roman"/>
                <w:sz w:val="24"/>
              </w:rPr>
            </w:pPr>
            <w:r w:rsidRPr="000644D4">
              <w:rPr>
                <w:rFonts w:ascii="Times New Roman" w:hAnsi="Times New Roman"/>
                <w:sz w:val="24"/>
              </w:rPr>
              <w:t>Kolumny</w:t>
            </w:r>
          </w:p>
        </w:tc>
        <w:tc>
          <w:tcPr>
            <w:tcW w:w="8843" w:type="dxa"/>
            <w:shd w:val="clear" w:color="auto" w:fill="CCCCCC"/>
          </w:tcPr>
          <w:p w14:paraId="03916D9E"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PIERWOTNA EKSPOZYCJA PRZED UWZGLĘDNIENIEM WSPÓŁCZYNNIKÓW KONWERSJI</w:t>
            </w:r>
          </w:p>
          <w:p w14:paraId="3FEAA5A3"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dotyczące wzoru CR-IRB.</w:t>
            </w:r>
          </w:p>
        </w:tc>
      </w:tr>
      <w:tr w:rsidR="00FB3D09" w:rsidRPr="000644D4"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0644D4" w:rsidRDefault="00FB3D09" w:rsidP="00822842">
            <w:pPr>
              <w:rPr>
                <w:rFonts w:ascii="Times New Roman" w:hAnsi="Times New Roman"/>
                <w:sz w:val="24"/>
              </w:rPr>
            </w:pPr>
            <w:r w:rsidRPr="000644D4">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EKSPOZYCJA PO UWZGLĘDNIENIU EFEKTÓW SUBSTYTUCYJNYCH ZWIĄZANYCH Z OGRANICZANIEM RYZYKA KREDYTOWEGO PRZED UWZGLĘDNIENIEM WSPÓŁCZYNNIKÓW KONWERSJI</w:t>
            </w:r>
          </w:p>
          <w:p w14:paraId="6CBD0B35"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dotyczące wzoru CR-IRB.</w:t>
            </w:r>
          </w:p>
        </w:tc>
      </w:tr>
      <w:tr w:rsidR="00FB3D09" w:rsidRPr="000644D4"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0644D4" w:rsidRDefault="00FB3D09" w:rsidP="00822842">
            <w:pPr>
              <w:rPr>
                <w:rFonts w:ascii="Times New Roman" w:hAnsi="Times New Roman"/>
                <w:sz w:val="24"/>
              </w:rPr>
            </w:pPr>
            <w:r w:rsidRPr="000644D4">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0644D4" w:rsidRDefault="00FB3D09" w:rsidP="00822842">
            <w:pPr>
              <w:rPr>
                <w:rStyle w:val="InstructionsTabelleberschrift"/>
                <w:rFonts w:ascii="Times New Roman" w:hAnsi="Times New Roman"/>
                <w:bCs w:val="0"/>
                <w:sz w:val="24"/>
              </w:rPr>
            </w:pPr>
            <w:r w:rsidRPr="000644D4">
              <w:rPr>
                <w:rStyle w:val="InstructionsTabelleberschrift"/>
                <w:rFonts w:ascii="Times New Roman" w:hAnsi="Times New Roman"/>
                <w:sz w:val="24"/>
              </w:rPr>
              <w:t xml:space="preserve">W TYM: POZYCJE POZABILANSOWE </w:t>
            </w:r>
          </w:p>
          <w:p w14:paraId="34DD8D87"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dotyczące wzoru CR-SA</w:t>
            </w:r>
          </w:p>
        </w:tc>
      </w:tr>
      <w:tr w:rsidR="00FB3D09" w:rsidRPr="000644D4"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0644D4" w:rsidRDefault="00FB3D09" w:rsidP="00822842">
            <w:pPr>
              <w:rPr>
                <w:rFonts w:ascii="Times New Roman" w:hAnsi="Times New Roman"/>
                <w:sz w:val="24"/>
              </w:rPr>
            </w:pPr>
            <w:r w:rsidRPr="000644D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WARTOŚĆ EKSPOZYCJI</w:t>
            </w:r>
          </w:p>
          <w:p w14:paraId="4F68F714"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dotyczące wzoru CR-IRB.</w:t>
            </w:r>
          </w:p>
        </w:tc>
      </w:tr>
      <w:tr w:rsidR="00FB3D09" w:rsidRPr="000644D4"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0644D4" w:rsidRDefault="00FB3D09" w:rsidP="00822842">
            <w:pPr>
              <w:rPr>
                <w:rFonts w:ascii="Times New Roman" w:hAnsi="Times New Roman"/>
                <w:sz w:val="24"/>
              </w:rPr>
            </w:pPr>
            <w:r w:rsidRPr="000644D4">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0644D4" w:rsidRDefault="00FB3D09" w:rsidP="00822842">
            <w:pPr>
              <w:rPr>
                <w:rStyle w:val="InstructionsTabelleberschrift"/>
                <w:rFonts w:ascii="Times New Roman" w:hAnsi="Times New Roman"/>
                <w:bCs w:val="0"/>
                <w:sz w:val="24"/>
              </w:rPr>
            </w:pPr>
            <w:r w:rsidRPr="000644D4">
              <w:rPr>
                <w:rStyle w:val="InstructionsTabelleberschrift"/>
                <w:rFonts w:ascii="Times New Roman" w:hAnsi="Times New Roman"/>
                <w:sz w:val="24"/>
              </w:rPr>
              <w:t xml:space="preserve">W TYM: WYNIKAJĄCA Z RYZYKA KREDYTOWEGO KONTRAHENTA </w:t>
            </w:r>
          </w:p>
          <w:p w14:paraId="416635B7" w14:textId="77777777" w:rsidR="00FB3D09" w:rsidRPr="000644D4" w:rsidRDefault="00FB3D09" w:rsidP="00822842">
            <w:pPr>
              <w:rPr>
                <w:rFonts w:ascii="Times New Roman" w:hAnsi="Times New Roman"/>
                <w:sz w:val="24"/>
              </w:rPr>
            </w:pPr>
            <w:r w:rsidRPr="000644D4">
              <w:rPr>
                <w:rFonts w:ascii="Times New Roman" w:hAnsi="Times New Roman"/>
                <w:sz w:val="24"/>
              </w:rPr>
              <w:t>Zob. instrukcje dotyczące wzoru CR SA.</w:t>
            </w:r>
            <w:r w:rsidRPr="000644D4">
              <w:rPr>
                <w:rStyle w:val="InstructionsTabelleText"/>
                <w:rFonts w:ascii="Times New Roman" w:hAnsi="Times New Roman"/>
                <w:sz w:val="24"/>
              </w:rPr>
              <w:t xml:space="preserve"> </w:t>
            </w:r>
          </w:p>
        </w:tc>
      </w:tr>
      <w:tr w:rsidR="00FB3D09" w:rsidRPr="000644D4"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0644D4" w:rsidRDefault="00FB3D09" w:rsidP="00822842">
            <w:pPr>
              <w:rPr>
                <w:rFonts w:ascii="Times New Roman" w:hAnsi="Times New Roman"/>
                <w:sz w:val="24"/>
              </w:rPr>
            </w:pPr>
            <w:r w:rsidRPr="000644D4">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WAGA RYZYKA</w:t>
            </w:r>
          </w:p>
          <w:p w14:paraId="5C41EA78" w14:textId="105C6770" w:rsidR="00FB3D09" w:rsidRPr="000644D4" w:rsidRDefault="00FB3D09" w:rsidP="00822842">
            <w:pPr>
              <w:rPr>
                <w:rFonts w:ascii="Times New Roman" w:hAnsi="Times New Roman"/>
                <w:sz w:val="24"/>
              </w:rPr>
            </w:pPr>
            <w:r w:rsidRPr="000644D4">
              <w:rPr>
                <w:rFonts w:ascii="Times New Roman" w:hAnsi="Times New Roman"/>
                <w:sz w:val="24"/>
              </w:rPr>
              <w:t>Art. 153 ust.</w:t>
            </w:r>
            <w:r w:rsidR="000644D4" w:rsidRPr="000644D4">
              <w:rPr>
                <w:rFonts w:ascii="Times New Roman" w:hAnsi="Times New Roman"/>
                <w:sz w:val="24"/>
              </w:rPr>
              <w:t> </w:t>
            </w:r>
            <w:r w:rsidRPr="000644D4">
              <w:rPr>
                <w:rFonts w:ascii="Times New Roman" w:hAnsi="Times New Roman"/>
                <w:sz w:val="24"/>
              </w:rPr>
              <w:t>5 rozporządzenia (UE) nr</w:t>
            </w:r>
            <w:r w:rsidR="000644D4" w:rsidRPr="000644D4">
              <w:rPr>
                <w:rFonts w:ascii="Times New Roman" w:hAnsi="Times New Roman"/>
                <w:sz w:val="24"/>
              </w:rPr>
              <w:t> </w:t>
            </w:r>
            <w:r w:rsidRPr="000644D4">
              <w:rPr>
                <w:rFonts w:ascii="Times New Roman" w:hAnsi="Times New Roman"/>
                <w:sz w:val="24"/>
              </w:rPr>
              <w:t>575/2013</w:t>
            </w:r>
          </w:p>
          <w:p w14:paraId="67CCD5DB" w14:textId="77777777" w:rsidR="00FB3D09" w:rsidRPr="000644D4" w:rsidRDefault="00FB3D09" w:rsidP="00822842">
            <w:pPr>
              <w:rPr>
                <w:rFonts w:ascii="Times New Roman" w:hAnsi="Times New Roman"/>
                <w:sz w:val="24"/>
              </w:rPr>
            </w:pPr>
            <w:r w:rsidRPr="000644D4">
              <w:rPr>
                <w:rFonts w:ascii="Times New Roman" w:hAnsi="Times New Roman"/>
                <w:sz w:val="24"/>
              </w:rPr>
              <w:t xml:space="preserve">Jest to stała kolumna do celów informacyjnych. Nie wolno jej zmieniać. </w:t>
            </w:r>
          </w:p>
        </w:tc>
      </w:tr>
      <w:tr w:rsidR="00FB3D09" w:rsidRPr="000644D4"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0644D4" w:rsidRDefault="00FB3D09" w:rsidP="00822842">
            <w:pPr>
              <w:rPr>
                <w:rFonts w:ascii="Times New Roman" w:hAnsi="Times New Roman"/>
                <w:sz w:val="24"/>
              </w:rPr>
            </w:pPr>
            <w:r w:rsidRPr="000644D4">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EKSPOZYCJI WAŻONEJ RYZYKIEM PO UWZGLĘDNIENIU WSPÓŁCZYNNIKÓW WSPARCIA</w:t>
            </w:r>
          </w:p>
          <w:p w14:paraId="4B6C2EA5" w14:textId="77777777" w:rsidR="00FB3D09" w:rsidRPr="000644D4" w:rsidRDefault="00FB3D09" w:rsidP="00822842">
            <w:pPr>
              <w:rPr>
                <w:rFonts w:ascii="Times New Roman" w:hAnsi="Times New Roman"/>
                <w:b/>
                <w:sz w:val="24"/>
              </w:rPr>
            </w:pPr>
            <w:r w:rsidRPr="000644D4">
              <w:rPr>
                <w:rFonts w:ascii="Times New Roman" w:hAnsi="Times New Roman"/>
                <w:sz w:val="24"/>
              </w:rPr>
              <w:t>Zob. instrukcje dotyczące wzoru CR-IRB.</w:t>
            </w:r>
          </w:p>
        </w:tc>
      </w:tr>
      <w:tr w:rsidR="00FB3D09" w:rsidRPr="000644D4"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0644D4" w:rsidRDefault="00FB3D09" w:rsidP="00822842">
            <w:pPr>
              <w:rPr>
                <w:rFonts w:ascii="Times New Roman" w:hAnsi="Times New Roman"/>
                <w:sz w:val="24"/>
              </w:rPr>
            </w:pPr>
            <w:r w:rsidRPr="000644D4">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KWOTA OCZEKIWANEJ STRATY</w:t>
            </w:r>
          </w:p>
          <w:p w14:paraId="693CE6D8" w14:textId="77777777" w:rsidR="00FB3D09" w:rsidRPr="000644D4" w:rsidRDefault="00FB3D09" w:rsidP="00822842">
            <w:pPr>
              <w:rPr>
                <w:rFonts w:ascii="Times New Roman" w:hAnsi="Times New Roman"/>
                <w:b/>
                <w:sz w:val="24"/>
              </w:rPr>
            </w:pPr>
            <w:r w:rsidRPr="000644D4">
              <w:rPr>
                <w:rFonts w:ascii="Times New Roman" w:hAnsi="Times New Roman"/>
                <w:sz w:val="24"/>
              </w:rPr>
              <w:t>Zob. instrukcje dotyczące wzoru CR-IRB.</w:t>
            </w:r>
          </w:p>
        </w:tc>
      </w:tr>
      <w:tr w:rsidR="00FB3D09" w:rsidRPr="000644D4"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0644D4" w:rsidRDefault="00FB3D09" w:rsidP="00822842">
            <w:pPr>
              <w:rPr>
                <w:rFonts w:ascii="Times New Roman" w:hAnsi="Times New Roman"/>
                <w:sz w:val="24"/>
              </w:rPr>
            </w:pPr>
            <w:r w:rsidRPr="000644D4">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 KOREKTY WARTOŚCI I REZERWY</w:t>
            </w:r>
          </w:p>
          <w:p w14:paraId="43E4B618" w14:textId="77777777" w:rsidR="00FB3D09" w:rsidRPr="000644D4" w:rsidRDefault="00FB3D09" w:rsidP="00822842">
            <w:pPr>
              <w:rPr>
                <w:rFonts w:ascii="Times New Roman" w:hAnsi="Times New Roman"/>
                <w:b/>
                <w:sz w:val="24"/>
              </w:rPr>
            </w:pPr>
            <w:r w:rsidRPr="000644D4">
              <w:rPr>
                <w:rFonts w:ascii="Times New Roman" w:hAnsi="Times New Roman"/>
                <w:sz w:val="24"/>
              </w:rPr>
              <w:t>Zob. instrukcje dotyczące wzoru CR-IRB.</w:t>
            </w:r>
          </w:p>
        </w:tc>
      </w:tr>
    </w:tbl>
    <w:p w14:paraId="53071A7C" w14:textId="77777777" w:rsidR="00FB3D09" w:rsidRPr="000644D4"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0644D4" w14:paraId="2FD73173" w14:textId="77777777" w:rsidTr="00822842">
        <w:tc>
          <w:tcPr>
            <w:tcW w:w="1129" w:type="dxa"/>
            <w:shd w:val="pct25" w:color="auto" w:fill="auto"/>
          </w:tcPr>
          <w:p w14:paraId="528FE156" w14:textId="77777777" w:rsidR="00FB3D09" w:rsidRPr="000644D4" w:rsidRDefault="00FB3D09" w:rsidP="00822842">
            <w:pPr>
              <w:rPr>
                <w:rFonts w:ascii="Times New Roman" w:hAnsi="Times New Roman"/>
                <w:sz w:val="24"/>
              </w:rPr>
            </w:pPr>
            <w:r w:rsidRPr="000644D4">
              <w:rPr>
                <w:rFonts w:ascii="Times New Roman" w:hAnsi="Times New Roman"/>
                <w:sz w:val="24"/>
              </w:rPr>
              <w:t>Wiersze</w:t>
            </w:r>
          </w:p>
        </w:tc>
        <w:tc>
          <w:tcPr>
            <w:tcW w:w="8931" w:type="dxa"/>
            <w:shd w:val="pct25" w:color="auto" w:fill="auto"/>
          </w:tcPr>
          <w:p w14:paraId="74C4755C"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13ABD6A4" w14:textId="77777777" w:rsidTr="00822842">
        <w:tc>
          <w:tcPr>
            <w:tcW w:w="1129" w:type="dxa"/>
          </w:tcPr>
          <w:p w14:paraId="6D90D953" w14:textId="77777777" w:rsidR="00FB3D09" w:rsidRPr="000644D4" w:rsidRDefault="00FB3D09" w:rsidP="00822842">
            <w:pPr>
              <w:rPr>
                <w:rFonts w:ascii="Times New Roman" w:hAnsi="Times New Roman"/>
                <w:sz w:val="24"/>
              </w:rPr>
            </w:pPr>
            <w:r w:rsidRPr="000644D4">
              <w:rPr>
                <w:rFonts w:ascii="Times New Roman" w:hAnsi="Times New Roman"/>
                <w:sz w:val="24"/>
              </w:rPr>
              <w:t>0010–0120</w:t>
            </w:r>
          </w:p>
        </w:tc>
        <w:tc>
          <w:tcPr>
            <w:tcW w:w="8931" w:type="dxa"/>
          </w:tcPr>
          <w:p w14:paraId="68EE291B" w14:textId="4978B9F1" w:rsidR="00FB3D09" w:rsidRPr="000644D4" w:rsidRDefault="00FB3D09" w:rsidP="00822842">
            <w:pPr>
              <w:rPr>
                <w:rFonts w:ascii="Times New Roman" w:hAnsi="Times New Roman"/>
                <w:sz w:val="24"/>
              </w:rPr>
            </w:pPr>
            <w:r w:rsidRPr="000644D4">
              <w:rPr>
                <w:rFonts w:ascii="Times New Roman" w:hAnsi="Times New Roman"/>
                <w:sz w:val="24"/>
              </w:rPr>
              <w:t>Ekspozycje przypisuje się do odpowiedniej kategorii</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ter</w:t>
            </w:r>
            <w:r w:rsidRPr="000644D4">
              <w:rPr>
                <w:rFonts w:ascii="Times New Roman" w:hAnsi="Times New Roman"/>
                <w:sz w:val="24"/>
              </w:rPr>
              <w:t xml:space="preserve">minu zapadalności </w:t>
            </w:r>
            <w:r w:rsidRPr="000644D4">
              <w:rPr>
                <w:rStyle w:val="InstructionsTabelleText"/>
                <w:rFonts w:ascii="Times New Roman" w:hAnsi="Times New Roman"/>
                <w:sz w:val="24"/>
              </w:rPr>
              <w:t>zgodnie</w:t>
            </w:r>
            <w:r w:rsidR="000644D4" w:rsidRPr="000644D4">
              <w:rPr>
                <w:rStyle w:val="InstructionsTabelleText"/>
                <w:rFonts w:ascii="Times New Roman" w:hAnsi="Times New Roman"/>
                <w:sz w:val="24"/>
              </w:rPr>
              <w:t xml:space="preserve"> z</w:t>
            </w:r>
            <w:r w:rsidR="000644D4">
              <w:rPr>
                <w:rStyle w:val="InstructionsTabelleText"/>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153 ust. 5 tabela 1 rozporządzenia (UE) nr</w:t>
            </w:r>
            <w:r w:rsidR="000644D4" w:rsidRPr="000644D4">
              <w:rPr>
                <w:rFonts w:ascii="Times New Roman" w:hAnsi="Times New Roman"/>
                <w:sz w:val="24"/>
              </w:rPr>
              <w:t> </w:t>
            </w:r>
            <w:r w:rsidRPr="000644D4">
              <w:rPr>
                <w:rFonts w:ascii="Times New Roman" w:hAnsi="Times New Roman"/>
                <w:sz w:val="24"/>
              </w:rPr>
              <w:t>575/2013.</w:t>
            </w:r>
          </w:p>
        </w:tc>
      </w:tr>
    </w:tbl>
    <w:p w14:paraId="4255FF49" w14:textId="77777777" w:rsidR="00FB3D09" w:rsidRPr="000644D4" w:rsidRDefault="00FB3D09" w:rsidP="00FB3D09">
      <w:pPr>
        <w:pStyle w:val="body"/>
      </w:pPr>
    </w:p>
    <w:p w14:paraId="782F65B6" w14:textId="5C6951A0" w:rsidR="00FB3D09" w:rsidRPr="000644D4" w:rsidRDefault="00FB3D09" w:rsidP="008C13A4">
      <w:pPr>
        <w:pStyle w:val="Instructionsberschrift2"/>
        <w:numPr>
          <w:ilvl w:val="2"/>
          <w:numId w:val="21"/>
        </w:numPr>
        <w:rPr>
          <w:rFonts w:ascii="Times New Roman" w:hAnsi="Times New Roman" w:cs="Times New Roman"/>
          <w:sz w:val="24"/>
        </w:rPr>
      </w:pPr>
      <w:bookmarkStart w:id="132" w:name="_Toc151714413"/>
      <w:r w:rsidRPr="000644D4">
        <w:rPr>
          <w:rFonts w:ascii="Times New Roman" w:hAnsi="Times New Roman"/>
          <w:sz w:val="24"/>
        </w:rPr>
        <w:lastRenderedPageBreak/>
        <w:t>C 08.07 – Ryzyko kredytowe oraz dostawy</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póź</w:t>
      </w:r>
      <w:r w:rsidRPr="000644D4">
        <w:rPr>
          <w:rFonts w:ascii="Times New Roman" w:hAnsi="Times New Roman"/>
          <w:sz w:val="24"/>
        </w:rPr>
        <w:t>niejszym terminem rozliczenia: wymogi kapitałowe według metody IRB (zakres stosowania metody IRB</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met</w:t>
      </w:r>
      <w:r w:rsidRPr="000644D4">
        <w:rPr>
          <w:rFonts w:ascii="Times New Roman" w:hAnsi="Times New Roman"/>
          <w:sz w:val="24"/>
        </w:rPr>
        <w:t>ody standardowej (CR IRB 7))</w:t>
      </w:r>
      <w:bookmarkEnd w:id="131"/>
      <w:bookmarkEnd w:id="132"/>
    </w:p>
    <w:p w14:paraId="4D5E0149"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0644D4">
        <w:rPr>
          <w:rFonts w:ascii="Times New Roman" w:hAnsi="Times New Roman"/>
          <w:sz w:val="24"/>
        </w:rPr>
        <w:t>Uwagi ogólne</w:t>
      </w:r>
      <w:bookmarkEnd w:id="133"/>
      <w:bookmarkEnd w:id="134"/>
    </w:p>
    <w:p w14:paraId="2A642543" w14:textId="54EB4743"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83</w:t>
      </w:r>
      <w:r w:rsidRPr="000644D4">
        <w:fldChar w:fldCharType="end"/>
      </w:r>
      <w:r w:rsidRPr="000644D4">
        <w:t>. Do celów tego wzoru instytucje obliczające kwoty ekspozycji ważonych ryzykiem zgodnie</w:t>
      </w:r>
      <w:r w:rsidR="000644D4" w:rsidRPr="000644D4">
        <w:t xml:space="preserve"> z</w:t>
      </w:r>
      <w:r w:rsidR="000644D4">
        <w:t> </w:t>
      </w:r>
      <w:r w:rsidR="000644D4" w:rsidRPr="000644D4">
        <w:t>met</w:t>
      </w:r>
      <w:r w:rsidRPr="000644D4">
        <w:t>odą IRB</w:t>
      </w:r>
      <w:r w:rsidR="000644D4" w:rsidRPr="000644D4">
        <w:t xml:space="preserve"> w</w:t>
      </w:r>
      <w:r w:rsidR="000644D4">
        <w:t> </w:t>
      </w:r>
      <w:r w:rsidR="000644D4" w:rsidRPr="000644D4">
        <w:t>odn</w:t>
      </w:r>
      <w:r w:rsidRPr="000644D4">
        <w:t>iesieniu do ryzyka kredytowego przypisują swoje ekspozycje według metody standardowej określonej</w:t>
      </w:r>
      <w:r w:rsidR="000644D4" w:rsidRPr="000644D4">
        <w:t xml:space="preserve"> w</w:t>
      </w:r>
      <w:r w:rsidR="000644D4">
        <w:t> </w:t>
      </w:r>
      <w:r w:rsidR="000644D4" w:rsidRPr="000644D4">
        <w:t>czę</w:t>
      </w:r>
      <w:r w:rsidRPr="000644D4">
        <w:t>ści trzeciej tytuł II rozdział 2 rozporządzenia (UE) nr</w:t>
      </w:r>
      <w:r w:rsidR="000644D4" w:rsidRPr="000644D4">
        <w:t> </w:t>
      </w:r>
      <w:r w:rsidRPr="000644D4">
        <w:t>575/2013 lub metody IRB określonej</w:t>
      </w:r>
      <w:r w:rsidR="000644D4" w:rsidRPr="000644D4">
        <w:t xml:space="preserve"> w</w:t>
      </w:r>
      <w:r w:rsidR="000644D4">
        <w:t> </w:t>
      </w:r>
      <w:r w:rsidR="000644D4" w:rsidRPr="000644D4">
        <w:t>czę</w:t>
      </w:r>
      <w:r w:rsidRPr="000644D4">
        <w:t>ści trzeciej tytuł II rozdział 3 tego rozporządzenia,</w:t>
      </w:r>
      <w:r w:rsidR="000644D4" w:rsidRPr="000644D4">
        <w:t xml:space="preserve"> a</w:t>
      </w:r>
      <w:r w:rsidR="000644D4">
        <w:t> </w:t>
      </w:r>
      <w:r w:rsidR="000644D4" w:rsidRPr="000644D4">
        <w:t>tak</w:t>
      </w:r>
      <w:r w:rsidRPr="000644D4">
        <w:t>że część każdej kategorii ekspozycji, którą uwzględniono</w:t>
      </w:r>
      <w:r w:rsidR="000644D4" w:rsidRPr="000644D4">
        <w:t xml:space="preserve"> w</w:t>
      </w:r>
      <w:r w:rsidR="000644D4">
        <w:t> </w:t>
      </w:r>
      <w:r w:rsidR="000644D4" w:rsidRPr="000644D4">
        <w:t>pla</w:t>
      </w:r>
      <w:r w:rsidRPr="000644D4">
        <w:t>nie rozciągnięcia metody. Instytucje zamieszczają</w:t>
      </w:r>
      <w:r w:rsidR="000644D4" w:rsidRPr="000644D4">
        <w:t xml:space="preserve"> w</w:t>
      </w:r>
      <w:r w:rsidR="000644D4">
        <w:t> </w:t>
      </w:r>
      <w:r w:rsidR="000644D4" w:rsidRPr="000644D4">
        <w:t>tym</w:t>
      </w:r>
      <w:r w:rsidRPr="000644D4">
        <w:t xml:space="preserve"> wzorze informacje według kategorii ekspozycji, zgodnie</w:t>
      </w:r>
      <w:r w:rsidR="000644D4" w:rsidRPr="000644D4">
        <w:t xml:space="preserve"> z</w:t>
      </w:r>
      <w:r w:rsidR="000644D4">
        <w:t> </w:t>
      </w:r>
      <w:r w:rsidR="000644D4" w:rsidRPr="000644D4">
        <w:t>pod</w:t>
      </w:r>
      <w:r w:rsidRPr="000644D4">
        <w:t>ziałem na kategorie ekspozycji zawartym</w:t>
      </w:r>
      <w:r w:rsidR="000644D4" w:rsidRPr="000644D4">
        <w:t xml:space="preserve"> w</w:t>
      </w:r>
      <w:r w:rsidR="000644D4">
        <w:t> </w:t>
      </w:r>
      <w:r w:rsidR="000644D4" w:rsidRPr="000644D4">
        <w:t>wie</w:t>
      </w:r>
      <w:r w:rsidRPr="000644D4">
        <w:t>rszach wzoru.</w:t>
      </w:r>
    </w:p>
    <w:p w14:paraId="5EF649B7" w14:textId="4BE910AD" w:rsidR="00FB3D09" w:rsidRPr="000644D4" w:rsidRDefault="00FB3D09" w:rsidP="00FB3D09">
      <w:pPr>
        <w:pStyle w:val="InstructionsText2"/>
        <w:numPr>
          <w:ilvl w:val="0"/>
          <w:numId w:val="0"/>
        </w:numPr>
        <w:ind w:left="993"/>
      </w:pPr>
      <w:r w:rsidRPr="000644D4">
        <w:fldChar w:fldCharType="begin"/>
      </w:r>
      <w:r w:rsidRPr="000644D4">
        <w:instrText>seq paragraphs</w:instrText>
      </w:r>
      <w:r w:rsidRPr="000644D4">
        <w:fldChar w:fldCharType="separate"/>
      </w:r>
      <w:r w:rsidRPr="000644D4">
        <w:t>84</w:t>
      </w:r>
      <w:r w:rsidRPr="000644D4">
        <w:fldChar w:fldCharType="end"/>
      </w:r>
      <w:r w:rsidR="000644D4" w:rsidRPr="000644D4">
        <w:t>. W</w:t>
      </w:r>
      <w:r w:rsidR="000644D4">
        <w:t> </w:t>
      </w:r>
      <w:r w:rsidR="000644D4" w:rsidRPr="000644D4">
        <w:t>kol</w:t>
      </w:r>
      <w:r w:rsidRPr="000644D4">
        <w:t>umnach 0030–0050 należy uwzględnić pełne spektrum ekspozycji, tak aby suma każdego wiersza dla tych trzech kolumn stanowiła 100 % wszystkich kategorii ekspozycji</w:t>
      </w:r>
      <w:r w:rsidR="000644D4" w:rsidRPr="000644D4">
        <w:t xml:space="preserve"> z</w:t>
      </w:r>
      <w:r w:rsidR="000644D4">
        <w:t> </w:t>
      </w:r>
      <w:r w:rsidR="000644D4" w:rsidRPr="000644D4">
        <w:t>wyj</w:t>
      </w:r>
      <w:r w:rsidRPr="000644D4">
        <w:t>ątkiem pozycji sekurytyzacyjnych</w:t>
      </w:r>
      <w:r w:rsidR="000644D4" w:rsidRPr="000644D4">
        <w:t xml:space="preserve"> i</w:t>
      </w:r>
      <w:r w:rsidR="000644D4">
        <w:t> </w:t>
      </w:r>
      <w:r w:rsidR="000644D4" w:rsidRPr="000644D4">
        <w:t>poz</w:t>
      </w:r>
      <w:r w:rsidRPr="000644D4">
        <w:t>ycji odliczonych.</w:t>
      </w:r>
    </w:p>
    <w:p w14:paraId="2976CB2C" w14:textId="77777777" w:rsidR="00FB3D09" w:rsidRPr="000644D4"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0644D4">
        <w:rPr>
          <w:rFonts w:ascii="Times New Roman" w:hAnsi="Times New Roman"/>
          <w:sz w:val="24"/>
        </w:rPr>
        <w:t>Instrukcje dotyczące poszczególnych pozycji</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0644D4" w14:paraId="5A54A3CB" w14:textId="77777777" w:rsidTr="00822842">
        <w:tc>
          <w:tcPr>
            <w:tcW w:w="1188" w:type="dxa"/>
            <w:shd w:val="clear" w:color="auto" w:fill="CCCCCC"/>
          </w:tcPr>
          <w:p w14:paraId="4D5D1AB8" w14:textId="77777777" w:rsidR="00FB3D09" w:rsidRPr="000644D4" w:rsidRDefault="00FB3D09" w:rsidP="00822842">
            <w:pPr>
              <w:rPr>
                <w:rFonts w:ascii="Times New Roman" w:hAnsi="Times New Roman"/>
                <w:sz w:val="24"/>
              </w:rPr>
            </w:pPr>
            <w:r w:rsidRPr="000644D4">
              <w:rPr>
                <w:rFonts w:ascii="Times New Roman" w:hAnsi="Times New Roman"/>
                <w:sz w:val="24"/>
              </w:rPr>
              <w:t>Kolumny</w:t>
            </w:r>
          </w:p>
        </w:tc>
        <w:tc>
          <w:tcPr>
            <w:tcW w:w="8843" w:type="dxa"/>
            <w:shd w:val="clear" w:color="auto" w:fill="CCCCCC"/>
          </w:tcPr>
          <w:p w14:paraId="07D6E67B"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CAŁKOWITA WARTOŚĆ EKSPOZYCJI OKREŚLONA W ART. 166 ROZPORZĄDZENIA (UE) NR 575/2013</w:t>
            </w:r>
          </w:p>
          <w:p w14:paraId="411002F2" w14:textId="2F0848B2" w:rsidR="00FB3D09" w:rsidRPr="000644D4" w:rsidRDefault="00FB3D09" w:rsidP="00822842">
            <w:pPr>
              <w:rPr>
                <w:rFonts w:ascii="Times New Roman" w:hAnsi="Times New Roman"/>
                <w:b/>
                <w:sz w:val="24"/>
              </w:rPr>
            </w:pPr>
            <w:r w:rsidRPr="000644D4">
              <w:rPr>
                <w:rFonts w:ascii="Times New Roman" w:hAnsi="Times New Roman"/>
                <w:sz w:val="24"/>
              </w:rPr>
              <w:t>Instytucje stosują wartość ekspozycji przed ograniczeniem ryzyka kredytowego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166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0644D4" w:rsidRDefault="00FB3D09" w:rsidP="00822842">
            <w:pPr>
              <w:rPr>
                <w:rStyle w:val="InstructionsTabelleText"/>
                <w:rFonts w:ascii="Times New Roman" w:hAnsi="Times New Roman"/>
                <w:sz w:val="24"/>
              </w:rPr>
            </w:pPr>
            <w:r w:rsidRPr="000644D4">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CAŁKOWITA WARTOŚĆ EKSPOZYCJI OBJĘTA METODĄ STANDARDOWĄ I METODĄ IRB</w:t>
            </w:r>
          </w:p>
          <w:p w14:paraId="2CF123A9" w14:textId="66ECBAF3" w:rsidR="00FB3D09" w:rsidRPr="000644D4" w:rsidRDefault="00FB3D09" w:rsidP="00822842">
            <w:pPr>
              <w:rPr>
                <w:rFonts w:ascii="Times New Roman" w:hAnsi="Times New Roman"/>
                <w:sz w:val="24"/>
              </w:rPr>
            </w:pPr>
            <w:r w:rsidRPr="000644D4">
              <w:rPr>
                <w:rFonts w:ascii="Times New Roman" w:hAnsi="Times New Roman"/>
                <w:sz w:val="24"/>
              </w:rPr>
              <w:t>Instytucje stosują wartość ekspozycji przed ograniczeniem ryzyka kredytowego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429 ust. 4 rozporządzenia (UE) nr</w:t>
            </w:r>
            <w:r w:rsidR="000644D4" w:rsidRPr="000644D4">
              <w:rPr>
                <w:rFonts w:ascii="Times New Roman" w:hAnsi="Times New Roman"/>
                <w:sz w:val="24"/>
              </w:rPr>
              <w:t> </w:t>
            </w:r>
            <w:r w:rsidRPr="000644D4">
              <w:rPr>
                <w:rFonts w:ascii="Times New Roman" w:hAnsi="Times New Roman"/>
                <w:sz w:val="24"/>
              </w:rPr>
              <w:t>575/2013</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cel</w:t>
            </w:r>
            <w:r w:rsidRPr="000644D4">
              <w:rPr>
                <w:rFonts w:ascii="Times New Roman" w:hAnsi="Times New Roman"/>
                <w:sz w:val="24"/>
              </w:rPr>
              <w:t>u zgłaszania całkowitej wartości ekspozycji,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zarówno ekspozycji podlegających metodzie standardowej, jak</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eks</w:t>
            </w:r>
            <w:r w:rsidRPr="000644D4">
              <w:rPr>
                <w:rFonts w:ascii="Times New Roman" w:hAnsi="Times New Roman"/>
                <w:sz w:val="24"/>
              </w:rPr>
              <w:t>pozycji podlegających metodzie IRB.</w:t>
            </w:r>
          </w:p>
        </w:tc>
      </w:tr>
      <w:tr w:rsidR="00FB3D09" w:rsidRPr="000644D4"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0644D4" w:rsidRDefault="00FB3D09" w:rsidP="00822842">
            <w:pPr>
              <w:rPr>
                <w:rFonts w:ascii="Times New Roman" w:hAnsi="Times New Roman"/>
                <w:sz w:val="24"/>
              </w:rPr>
            </w:pPr>
            <w:r w:rsidRPr="000644D4">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PROCENT CAŁKOWITEJ WARTOŚCI EKSPOZYCJI PODLEGAJĄCEJ STAŁEMU ZASTOSOWANIU CZĘŚCIOWEMU METODY STANDARDOWEJ (%)</w:t>
            </w:r>
          </w:p>
          <w:p w14:paraId="4E8BC7DA" w14:textId="7D691B1B" w:rsidR="00FB3D09" w:rsidRPr="000644D4" w:rsidRDefault="00FB3D09" w:rsidP="00822842">
            <w:pPr>
              <w:rPr>
                <w:rFonts w:ascii="Times New Roman" w:hAnsi="Times New Roman"/>
                <w:sz w:val="24"/>
              </w:rPr>
            </w:pPr>
            <w:r w:rsidRPr="000644D4">
              <w:rPr>
                <w:rFonts w:ascii="Times New Roman" w:hAnsi="Times New Roman"/>
                <w:sz w:val="24"/>
              </w:rPr>
              <w:t>Część ekspozycji dla każdej kategorii ekspozycji podlegającej metodzie standardowej (ekspozycja podlegająca metodzie standardowej przed ograniczeniem ryzyka kredytowego ponad łączną ekspozycję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tej</w:t>
            </w:r>
            <w:r w:rsidRPr="000644D4">
              <w:rPr>
                <w:rFonts w:ascii="Times New Roman" w:hAnsi="Times New Roman"/>
                <w:sz w:val="24"/>
              </w:rPr>
              <w:t xml:space="preserve"> kategorii ekspozycji</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0020), mieszcząca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zak</w:t>
            </w:r>
            <w:r w:rsidRPr="000644D4">
              <w:rPr>
                <w:rFonts w:ascii="Times New Roman" w:hAnsi="Times New Roman"/>
                <w:sz w:val="24"/>
              </w:rPr>
              <w:t>resie zezwolenia na stałe zastosowanie częściowe metody standardowej, otrzymanego od właściwych organów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150 rozporządzenia (UE) nr</w:t>
            </w:r>
            <w:r w:rsidR="000644D4" w:rsidRPr="000644D4">
              <w:rPr>
                <w:rFonts w:ascii="Times New Roman" w:hAnsi="Times New Roman"/>
                <w:sz w:val="24"/>
              </w:rPr>
              <w:t> </w:t>
            </w:r>
            <w:r w:rsidRPr="000644D4">
              <w:rPr>
                <w:rFonts w:ascii="Times New Roman" w:hAnsi="Times New Roman"/>
                <w:sz w:val="24"/>
              </w:rPr>
              <w:t>575/2013.</w:t>
            </w:r>
          </w:p>
        </w:tc>
      </w:tr>
      <w:tr w:rsidR="00FB3D09" w:rsidRPr="000644D4"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0644D4" w:rsidRDefault="00FB3D09" w:rsidP="00822842">
            <w:pPr>
              <w:rPr>
                <w:rFonts w:ascii="Times New Roman" w:hAnsi="Times New Roman"/>
                <w:sz w:val="24"/>
              </w:rPr>
            </w:pPr>
            <w:r w:rsidRPr="000644D4">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PROCENT CAŁKOWITEJ WARTOŚCI EKSPOZYCJI OBJĘTEJ PLANEM ROZCIĄGNIĘCIA METODY (%)</w:t>
            </w:r>
          </w:p>
          <w:p w14:paraId="1384B1B7" w14:textId="74281FDB" w:rsidR="00FB3D09" w:rsidRPr="000644D4" w:rsidRDefault="00FB3D09" w:rsidP="00822842">
            <w:pPr>
              <w:rPr>
                <w:rFonts w:ascii="Times New Roman" w:hAnsi="Times New Roman"/>
                <w:sz w:val="24"/>
              </w:rPr>
            </w:pPr>
            <w:r w:rsidRPr="000644D4">
              <w:rPr>
                <w:rFonts w:ascii="Times New Roman" w:hAnsi="Times New Roman"/>
                <w:sz w:val="24"/>
              </w:rPr>
              <w:lastRenderedPageBreak/>
              <w:t>Część ekspozycji dla każdej kategorii ekspozycji podlegającej sekwencyjnemu wdrażaniu metody IRB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148 rozporządzenia (UE) nr</w:t>
            </w:r>
            <w:r w:rsidR="000644D4" w:rsidRPr="000644D4">
              <w:rPr>
                <w:rFonts w:ascii="Times New Roman" w:hAnsi="Times New Roman"/>
                <w:sz w:val="24"/>
              </w:rPr>
              <w:t> </w:t>
            </w:r>
            <w:r w:rsidRPr="000644D4">
              <w:rPr>
                <w:rFonts w:ascii="Times New Roman" w:hAnsi="Times New Roman"/>
                <w:sz w:val="24"/>
              </w:rPr>
              <w:t xml:space="preserve">575/2013. Obejmują one: </w:t>
            </w:r>
          </w:p>
          <w:p w14:paraId="64A26F0D" w14:textId="7DD0B2D1" w:rsidR="00FB3D09" w:rsidRPr="000644D4" w:rsidRDefault="00FB3D09" w:rsidP="008C13A4">
            <w:pPr>
              <w:pStyle w:val="ListParagraph"/>
              <w:numPr>
                <w:ilvl w:val="0"/>
                <w:numId w:val="20"/>
              </w:numPr>
              <w:autoSpaceDE w:val="0"/>
              <w:autoSpaceDN w:val="0"/>
              <w:adjustRightInd w:val="0"/>
              <w:rPr>
                <w:rFonts w:ascii="Times New Roman" w:hAnsi="Times New Roman"/>
                <w:spacing w:val="-2"/>
                <w:sz w:val="24"/>
              </w:rPr>
            </w:pPr>
            <w:r w:rsidRPr="000644D4">
              <w:rPr>
                <w:rFonts w:ascii="Times New Roman" w:hAnsi="Times New Roman"/>
                <w:sz w:val="24"/>
              </w:rPr>
              <w:t>ekspozycje,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których instytucje planują stosować metodę IRB</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uwz</w:t>
            </w:r>
            <w:r w:rsidRPr="000644D4">
              <w:rPr>
                <w:rFonts w:ascii="Times New Roman" w:hAnsi="Times New Roman"/>
                <w:sz w:val="24"/>
              </w:rPr>
              <w:t xml:space="preserve">ględnieniem własnych oszacowań wartości LGD lub współczynników konwersji lub bez takiego uwzględnienia (F-IRB i A-IRB); </w:t>
            </w:r>
          </w:p>
          <w:p w14:paraId="468B410E" w14:textId="0B2B3BB4" w:rsidR="00FB3D09" w:rsidRPr="000644D4" w:rsidRDefault="00FB3D09" w:rsidP="008C13A4">
            <w:pPr>
              <w:pStyle w:val="ListParagraph"/>
              <w:numPr>
                <w:ilvl w:val="0"/>
                <w:numId w:val="20"/>
              </w:numPr>
              <w:autoSpaceDE w:val="0"/>
              <w:autoSpaceDN w:val="0"/>
              <w:adjustRightInd w:val="0"/>
              <w:rPr>
                <w:rFonts w:ascii="Times New Roman" w:hAnsi="Times New Roman"/>
                <w:spacing w:val="-2"/>
                <w:sz w:val="24"/>
              </w:rPr>
            </w:pPr>
            <w:r w:rsidRPr="000644D4">
              <w:rPr>
                <w:rFonts w:ascii="Times New Roman" w:hAnsi="Times New Roman"/>
                <w:sz w:val="24"/>
              </w:rPr>
              <w:t>nieistotne ekspozycje kapitałowe, których nie uwzględniono</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umnach 0020 lub</w:t>
            </w:r>
            <w:r w:rsidR="000644D4" w:rsidRPr="000644D4">
              <w:rPr>
                <w:rFonts w:ascii="Times New Roman" w:hAnsi="Times New Roman"/>
                <w:sz w:val="24"/>
              </w:rPr>
              <w:t> </w:t>
            </w:r>
            <w:r w:rsidRPr="000644D4">
              <w:rPr>
                <w:rFonts w:ascii="Times New Roman" w:hAnsi="Times New Roman"/>
                <w:sz w:val="24"/>
              </w:rPr>
              <w:t>0040;</w:t>
            </w:r>
          </w:p>
          <w:p w14:paraId="674B8F2C" w14:textId="09B0372C" w:rsidR="00FB3D09" w:rsidRPr="000644D4" w:rsidRDefault="00FB3D09" w:rsidP="008C13A4">
            <w:pPr>
              <w:pStyle w:val="ListParagraph"/>
              <w:numPr>
                <w:ilvl w:val="0"/>
                <w:numId w:val="20"/>
              </w:numPr>
              <w:autoSpaceDE w:val="0"/>
              <w:autoSpaceDN w:val="0"/>
              <w:adjustRightInd w:val="0"/>
              <w:rPr>
                <w:rFonts w:ascii="Times New Roman" w:hAnsi="Times New Roman"/>
                <w:spacing w:val="-2"/>
                <w:sz w:val="24"/>
              </w:rPr>
            </w:pPr>
            <w:r w:rsidRPr="000644D4">
              <w:rPr>
                <w:rFonts w:ascii="Times New Roman" w:hAnsi="Times New Roman"/>
                <w:sz w:val="24"/>
              </w:rPr>
              <w:t>ekspozycje podlegające już metodzie IRB-F,</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gdy instytucja planuje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 xml:space="preserve">yszłości zastosować metodę A-IRB; </w:t>
            </w:r>
          </w:p>
          <w:p w14:paraId="58C08A10" w14:textId="1645AA6B" w:rsidR="00FB3D09" w:rsidRPr="000644D4" w:rsidRDefault="00FB3D09" w:rsidP="008C13A4">
            <w:pPr>
              <w:pStyle w:val="ListParagraph"/>
              <w:numPr>
                <w:ilvl w:val="0"/>
                <w:numId w:val="20"/>
              </w:numPr>
              <w:autoSpaceDE w:val="0"/>
              <w:autoSpaceDN w:val="0"/>
              <w:adjustRightInd w:val="0"/>
              <w:rPr>
                <w:rFonts w:ascii="Times New Roman" w:hAnsi="Times New Roman"/>
                <w:spacing w:val="-2"/>
                <w:sz w:val="24"/>
              </w:rPr>
            </w:pPr>
            <w:r w:rsidRPr="000644D4">
              <w:rPr>
                <w:rFonts w:ascii="Times New Roman" w:hAnsi="Times New Roman"/>
                <w:sz w:val="24"/>
              </w:rPr>
              <w:t>ekspozycje związane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kre</w:t>
            </w:r>
            <w:r w:rsidRPr="000644D4">
              <w:rPr>
                <w:rFonts w:ascii="Times New Roman" w:hAnsi="Times New Roman"/>
                <w:sz w:val="24"/>
              </w:rPr>
              <w:t>dytowaniem specjalistycznym podlegającym metodzie klasyfikacji nadzorczej, nieuwzględnione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kol</w:t>
            </w:r>
            <w:r w:rsidRPr="000644D4">
              <w:rPr>
                <w:rFonts w:ascii="Times New Roman" w:hAnsi="Times New Roman"/>
                <w:sz w:val="24"/>
              </w:rPr>
              <w:t>umnie 0010.</w:t>
            </w:r>
          </w:p>
        </w:tc>
      </w:tr>
      <w:tr w:rsidR="00FB3D09" w:rsidRPr="000644D4"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0644D4" w:rsidRDefault="00FB3D09" w:rsidP="00822842">
            <w:pPr>
              <w:rPr>
                <w:rFonts w:ascii="Times New Roman" w:hAnsi="Times New Roman"/>
                <w:sz w:val="24"/>
              </w:rPr>
            </w:pPr>
            <w:r w:rsidRPr="000644D4">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0644D4" w:rsidRDefault="00FB3D09" w:rsidP="00822842">
            <w:pPr>
              <w:rPr>
                <w:rFonts w:ascii="Times New Roman" w:hAnsi="Times New Roman"/>
                <w:b/>
                <w:sz w:val="24"/>
                <w:u w:val="single"/>
              </w:rPr>
            </w:pPr>
            <w:r w:rsidRPr="000644D4">
              <w:rPr>
                <w:rFonts w:ascii="Times New Roman" w:hAnsi="Times New Roman"/>
                <w:b/>
                <w:sz w:val="24"/>
                <w:u w:val="single"/>
              </w:rPr>
              <w:t>PROCENT CAŁKOWITEJ WARTOŚCI EKSPOZYCJI OBJĘTEJ METODĄ IRB (%)</w:t>
            </w:r>
          </w:p>
          <w:p w14:paraId="281F622B" w14:textId="4CEE9CEB" w:rsidR="00FB3D09" w:rsidRPr="000644D4" w:rsidRDefault="00FB3D09" w:rsidP="00822842">
            <w:pPr>
              <w:rPr>
                <w:rFonts w:ascii="Times New Roman" w:hAnsi="Times New Roman"/>
                <w:b/>
                <w:sz w:val="24"/>
              </w:rPr>
            </w:pPr>
            <w:r w:rsidRPr="000644D4">
              <w:rPr>
                <w:rFonts w:ascii="Times New Roman" w:hAnsi="Times New Roman"/>
                <w:sz w:val="24"/>
              </w:rPr>
              <w:t>Część ekspozycji dla każdej kategorii ekspozycji podlegającej metodzie IRB (ekspozycja podlegająca metodzie IRB przed ograniczeniem ryzyka kredytowego ponad łączną ekspozycję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tej</w:t>
            </w:r>
            <w:r w:rsidRPr="000644D4">
              <w:rPr>
                <w:rFonts w:ascii="Times New Roman" w:hAnsi="Times New Roman"/>
                <w:sz w:val="24"/>
              </w:rPr>
              <w:t xml:space="preserve"> kategorii ekspozycji), mieszcząca się</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zak</w:t>
            </w:r>
            <w:r w:rsidRPr="000644D4">
              <w:rPr>
                <w:rFonts w:ascii="Times New Roman" w:hAnsi="Times New Roman"/>
                <w:sz w:val="24"/>
              </w:rPr>
              <w:t>resie zezwolenia na stosowanie metody IRB otrzymanego od właściwych organów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art</w:t>
            </w:r>
            <w:r w:rsidRPr="000644D4">
              <w:rPr>
                <w:rFonts w:ascii="Times New Roman" w:hAnsi="Times New Roman"/>
                <w:sz w:val="24"/>
              </w:rPr>
              <w:t>. 143 rozporządzenia (UE) nr</w:t>
            </w:r>
            <w:r w:rsidR="000644D4" w:rsidRPr="000644D4">
              <w:rPr>
                <w:rFonts w:ascii="Times New Roman" w:hAnsi="Times New Roman"/>
                <w:sz w:val="24"/>
              </w:rPr>
              <w:t> </w:t>
            </w:r>
            <w:r w:rsidRPr="000644D4">
              <w:rPr>
                <w:rFonts w:ascii="Times New Roman" w:hAnsi="Times New Roman"/>
                <w:sz w:val="24"/>
              </w:rPr>
              <w:t>575/2013. Obejmuje to ekspozycje,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prz</w:t>
            </w:r>
            <w:r w:rsidRPr="000644D4">
              <w:rPr>
                <w:rFonts w:ascii="Times New Roman" w:hAnsi="Times New Roman"/>
                <w:sz w:val="24"/>
              </w:rPr>
              <w:t>ypadku których instytucje mają zezwolenie na stosowanie własnych oszacowań wartości LGD lub współczynników konwersji lub nie mają takiego zezwolenia (F-IRB i A-IRB), łącznie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met</w:t>
            </w:r>
            <w:r w:rsidRPr="000644D4">
              <w:rPr>
                <w:rFonts w:ascii="Times New Roman" w:hAnsi="Times New Roman"/>
                <w:sz w:val="24"/>
              </w:rPr>
              <w:t>odą klasyfikacji nadzorczej dla ekspozycji związanych</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kre</w:t>
            </w:r>
            <w:r w:rsidRPr="000644D4">
              <w:rPr>
                <w:rFonts w:ascii="Times New Roman" w:hAnsi="Times New Roman"/>
                <w:sz w:val="24"/>
              </w:rPr>
              <w:t>dytowaniem specjalistycznym</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eks</w:t>
            </w:r>
            <w:r w:rsidRPr="000644D4">
              <w:rPr>
                <w:rFonts w:ascii="Times New Roman" w:hAnsi="Times New Roman"/>
                <w:sz w:val="24"/>
              </w:rPr>
              <w:t>pozycji kapitałowych według uproszczonej metody ważenia ryzykiem, jak</w:t>
            </w:r>
            <w:r w:rsidR="000644D4" w:rsidRPr="000644D4">
              <w:rPr>
                <w:rFonts w:ascii="Times New Roman" w:hAnsi="Times New Roman"/>
                <w:sz w:val="24"/>
              </w:rPr>
              <w:t xml:space="preserve"> i</w:t>
            </w:r>
            <w:r w:rsidR="000644D4">
              <w:rPr>
                <w:rFonts w:ascii="Times New Roman" w:hAnsi="Times New Roman"/>
                <w:sz w:val="24"/>
              </w:rPr>
              <w:t> </w:t>
            </w:r>
            <w:r w:rsidR="000644D4" w:rsidRPr="000644D4">
              <w:rPr>
                <w:rFonts w:ascii="Times New Roman" w:hAnsi="Times New Roman"/>
                <w:sz w:val="24"/>
              </w:rPr>
              <w:t>eks</w:t>
            </w:r>
            <w:r w:rsidRPr="000644D4">
              <w:rPr>
                <w:rFonts w:ascii="Times New Roman" w:hAnsi="Times New Roman"/>
                <w:sz w:val="24"/>
              </w:rPr>
              <w:t>pozycje zgłoszone</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rszu 0170 we wzorze C 08.01.</w:t>
            </w:r>
          </w:p>
        </w:tc>
      </w:tr>
    </w:tbl>
    <w:p w14:paraId="164F67EA" w14:textId="77777777" w:rsidR="00FB3D09" w:rsidRPr="000644D4"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0"/>
        <w:gridCol w:w="8198"/>
      </w:tblGrid>
      <w:tr w:rsidR="00FB3D09" w:rsidRPr="000644D4" w14:paraId="0A859347" w14:textId="77777777" w:rsidTr="00822842">
        <w:tc>
          <w:tcPr>
            <w:tcW w:w="1271" w:type="dxa"/>
            <w:shd w:val="pct25" w:color="auto" w:fill="auto"/>
          </w:tcPr>
          <w:p w14:paraId="7F52456F" w14:textId="77777777" w:rsidR="00FB3D09" w:rsidRPr="000644D4" w:rsidRDefault="00FB3D09" w:rsidP="00822842">
            <w:pPr>
              <w:rPr>
                <w:rFonts w:ascii="Times New Roman" w:hAnsi="Times New Roman"/>
                <w:sz w:val="24"/>
              </w:rPr>
            </w:pPr>
            <w:r w:rsidRPr="000644D4">
              <w:rPr>
                <w:rFonts w:ascii="Times New Roman" w:hAnsi="Times New Roman"/>
                <w:sz w:val="24"/>
              </w:rPr>
              <w:t>Wiersze</w:t>
            </w:r>
          </w:p>
        </w:tc>
        <w:tc>
          <w:tcPr>
            <w:tcW w:w="8557" w:type="dxa"/>
            <w:shd w:val="pct25" w:color="auto" w:fill="auto"/>
          </w:tcPr>
          <w:p w14:paraId="123EB3D4" w14:textId="77777777" w:rsidR="00FB3D09" w:rsidRPr="000644D4" w:rsidRDefault="00FB3D09" w:rsidP="00822842">
            <w:pPr>
              <w:rPr>
                <w:rFonts w:ascii="Times New Roman" w:hAnsi="Times New Roman"/>
                <w:sz w:val="24"/>
              </w:rPr>
            </w:pPr>
            <w:r w:rsidRPr="000644D4">
              <w:rPr>
                <w:rFonts w:ascii="Times New Roman" w:hAnsi="Times New Roman"/>
                <w:sz w:val="24"/>
              </w:rPr>
              <w:t>Instrukcje</w:t>
            </w:r>
          </w:p>
        </w:tc>
      </w:tr>
      <w:tr w:rsidR="00FB3D09" w:rsidRPr="000644D4" w14:paraId="39EFDE98" w14:textId="77777777" w:rsidTr="00822842">
        <w:tc>
          <w:tcPr>
            <w:tcW w:w="1271" w:type="dxa"/>
          </w:tcPr>
          <w:p w14:paraId="416FB44E" w14:textId="77777777" w:rsidR="00FB3D09" w:rsidRPr="000644D4" w:rsidRDefault="00FB3D09" w:rsidP="00822842">
            <w:pPr>
              <w:rPr>
                <w:rFonts w:ascii="Times New Roman" w:hAnsi="Times New Roman"/>
                <w:sz w:val="24"/>
              </w:rPr>
            </w:pPr>
            <w:r w:rsidRPr="000644D4">
              <w:rPr>
                <w:rFonts w:ascii="Times New Roman" w:hAnsi="Times New Roman"/>
                <w:sz w:val="24"/>
              </w:rPr>
              <w:t>KATEGORIE EKSPOZYCJI</w:t>
            </w:r>
          </w:p>
        </w:tc>
        <w:tc>
          <w:tcPr>
            <w:tcW w:w="8557" w:type="dxa"/>
          </w:tcPr>
          <w:p w14:paraId="7564DFF0" w14:textId="4FF7ED71" w:rsidR="00FB3D09" w:rsidRPr="000644D4" w:rsidRDefault="00FB3D09" w:rsidP="00822842">
            <w:pPr>
              <w:rPr>
                <w:rFonts w:ascii="Times New Roman" w:eastAsiaTheme="minorHAnsi" w:hAnsi="Times New Roman"/>
                <w:sz w:val="24"/>
              </w:rPr>
            </w:pPr>
            <w:r w:rsidRPr="000644D4">
              <w:rPr>
                <w:rFonts w:ascii="Times New Roman" w:hAnsi="Times New Roman"/>
                <w:sz w:val="24"/>
              </w:rPr>
              <w:t>Instytucje zamieszczają</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tym</w:t>
            </w:r>
            <w:r w:rsidRPr="000644D4">
              <w:rPr>
                <w:rFonts w:ascii="Times New Roman" w:hAnsi="Times New Roman"/>
                <w:sz w:val="24"/>
              </w:rPr>
              <w:t xml:space="preserve"> wzorze informacje według kategorii ekspozycji, zgodnie</w:t>
            </w:r>
            <w:r w:rsidR="000644D4" w:rsidRPr="000644D4">
              <w:rPr>
                <w:rFonts w:ascii="Times New Roman" w:hAnsi="Times New Roman"/>
                <w:sz w:val="24"/>
              </w:rPr>
              <w:t xml:space="preserve"> z</w:t>
            </w:r>
            <w:r w:rsidR="000644D4">
              <w:rPr>
                <w:rFonts w:ascii="Times New Roman" w:hAnsi="Times New Roman"/>
                <w:sz w:val="24"/>
              </w:rPr>
              <w:t> </w:t>
            </w:r>
            <w:r w:rsidR="000644D4" w:rsidRPr="000644D4">
              <w:rPr>
                <w:rFonts w:ascii="Times New Roman" w:hAnsi="Times New Roman"/>
                <w:sz w:val="24"/>
              </w:rPr>
              <w:t>pod</w:t>
            </w:r>
            <w:r w:rsidRPr="000644D4">
              <w:rPr>
                <w:rFonts w:ascii="Times New Roman" w:hAnsi="Times New Roman"/>
                <w:sz w:val="24"/>
              </w:rPr>
              <w:t>ziałem na kategorie ekspozycji zawartym</w:t>
            </w:r>
            <w:r w:rsidR="000644D4" w:rsidRPr="000644D4">
              <w:rPr>
                <w:rFonts w:ascii="Times New Roman" w:hAnsi="Times New Roman"/>
                <w:sz w:val="24"/>
              </w:rPr>
              <w:t xml:space="preserve"> w</w:t>
            </w:r>
            <w:r w:rsidR="000644D4">
              <w:rPr>
                <w:rFonts w:ascii="Times New Roman" w:hAnsi="Times New Roman"/>
                <w:sz w:val="24"/>
              </w:rPr>
              <w:t> </w:t>
            </w:r>
            <w:r w:rsidR="000644D4" w:rsidRPr="000644D4">
              <w:rPr>
                <w:rFonts w:ascii="Times New Roman" w:hAnsi="Times New Roman"/>
                <w:sz w:val="24"/>
              </w:rPr>
              <w:t>wie</w:t>
            </w:r>
            <w:r w:rsidRPr="000644D4">
              <w:rPr>
                <w:rFonts w:ascii="Times New Roman" w:hAnsi="Times New Roman"/>
                <w:sz w:val="24"/>
              </w:rPr>
              <w:t>rszach wzoru.</w:t>
            </w:r>
          </w:p>
        </w:tc>
      </w:tr>
    </w:tbl>
    <w:p w14:paraId="423B2FFB" w14:textId="77777777" w:rsidR="00FB3D09" w:rsidRPr="000644D4" w:rsidRDefault="00FB3D09" w:rsidP="00FB3D09">
      <w:pPr>
        <w:pStyle w:val="InstructionsText"/>
      </w:pPr>
    </w:p>
    <w:p w14:paraId="64301D29" w14:textId="5498A6A8" w:rsidR="00FB3D09" w:rsidRPr="000644D4" w:rsidRDefault="00FB3D09" w:rsidP="003C214D">
      <w:pPr>
        <w:pStyle w:val="Instructionsberschrift2"/>
        <w:numPr>
          <w:ilvl w:val="0"/>
          <w:numId w:val="0"/>
        </w:numPr>
        <w:ind w:left="357" w:hanging="357"/>
      </w:pPr>
    </w:p>
    <w:p w14:paraId="6A9DD699" w14:textId="77777777" w:rsidR="00210485" w:rsidRPr="000644D4" w:rsidRDefault="00210485"/>
    <w:p w14:paraId="108DB657" w14:textId="77777777" w:rsidR="00FB3D09" w:rsidRPr="000644D4" w:rsidRDefault="00FB3D09"/>
    <w:p w14:paraId="31203373" w14:textId="77777777" w:rsidR="00FB3D09" w:rsidRPr="000644D4" w:rsidRDefault="00FB3D09"/>
    <w:p w14:paraId="32797964" w14:textId="77777777" w:rsidR="00210485" w:rsidRPr="000644D4" w:rsidRDefault="00210485"/>
    <w:sectPr w:rsidR="00210485" w:rsidRPr="000644D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Pr="000644D4" w:rsidRDefault="00CF2E8B" w:rsidP="00E26A90">
      <w:pPr>
        <w:spacing w:after="0"/>
      </w:pPr>
      <w:r w:rsidRPr="000644D4">
        <w:separator/>
      </w:r>
    </w:p>
  </w:endnote>
  <w:endnote w:type="continuationSeparator" w:id="0">
    <w:p w14:paraId="2A814F1F" w14:textId="77777777" w:rsidR="00CF2E8B" w:rsidRPr="000644D4" w:rsidRDefault="00CF2E8B" w:rsidP="00E26A90">
      <w:pPr>
        <w:spacing w:after="0"/>
      </w:pPr>
      <w:r w:rsidRPr="000644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3B97" w14:textId="77777777" w:rsidR="000644D4" w:rsidRDefault="00064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838" w14:textId="77777777" w:rsidR="000644D4" w:rsidRDefault="000644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4CD84" w14:textId="77777777" w:rsidR="000644D4" w:rsidRDefault="00064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Pr="000644D4" w:rsidRDefault="00CF2E8B" w:rsidP="00E26A90">
      <w:pPr>
        <w:spacing w:after="0"/>
      </w:pPr>
      <w:r w:rsidRPr="000644D4">
        <w:separator/>
      </w:r>
    </w:p>
  </w:footnote>
  <w:footnote w:type="continuationSeparator" w:id="0">
    <w:p w14:paraId="3D573060" w14:textId="77777777" w:rsidR="00CF2E8B" w:rsidRPr="000644D4" w:rsidRDefault="00CF2E8B" w:rsidP="00E26A90">
      <w:pPr>
        <w:spacing w:after="0"/>
      </w:pPr>
      <w:r w:rsidRPr="000644D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0644D4" w:rsidRDefault="00E26A90">
    <w:pPr>
      <w:pStyle w:val="Header"/>
    </w:pPr>
    <w:r w:rsidRPr="000644D4">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0644D4" w:rsidRDefault="00E26A90">
    <w:pPr>
      <w:pStyle w:val="Header"/>
    </w:pPr>
    <w:r w:rsidRPr="000644D4">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0644D4" w:rsidRDefault="00E26A90">
    <w:pPr>
      <w:pStyle w:val="Header"/>
    </w:pPr>
    <w:r w:rsidRPr="000644D4">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644D4"/>
    <w:rsid w:val="000A5D83"/>
    <w:rsid w:val="000C3D68"/>
    <w:rsid w:val="000C6322"/>
    <w:rsid w:val="000D5912"/>
    <w:rsid w:val="00126E51"/>
    <w:rsid w:val="001E1834"/>
    <w:rsid w:val="001F45C7"/>
    <w:rsid w:val="00210485"/>
    <w:rsid w:val="002433A6"/>
    <w:rsid w:val="0025059D"/>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C607D"/>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pl-PL"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pl-PL"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pl-PL"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pl-PL"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pl-PL"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pl-PL"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pl-PL"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pl-PL"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pl-PL"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pl-PL"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pl-PL"/>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DB4319-3CAB-490C-842D-E4C301ADCD6A}"/>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9096</Words>
  <Characters>58525</Characters>
  <Application>Microsoft Office Word</Application>
  <DocSecurity>0</DocSecurity>
  <Lines>1272</Lines>
  <Paragraphs>683</Paragraphs>
  <ScaleCrop>false</ScaleCrop>
  <Company/>
  <LinksUpToDate>false</LinksUpToDate>
  <CharactersWithSpaces>66938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2024-12-16T07:56:38Z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30f91e67-5eaf-4e81-bd2d-4e1a3e2cae86</vt:lpwstr>
  </property>
  <property fmtid="{D5CDD505-2E9C-101B-9397-08002B2CF9AE}" pid="9" name="MSIP_Label_6bd9ddd1-4d20-43f6-abfa-fc3c07406f94_ContentBits">
    <vt:lpwstr>0</vt:lpwstr>
  </property>
</Properties>
</file>