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SL</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PRILOGA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„PRILOGA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NAVODILA ZA POROČANJE O KAPITALU IN KAPITALSKIH ZAHTEVAH</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Kritje izgub za nedonosne izpostavljenosti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sidRPr="004C1423">
        <w:rPr>
          <w:u w:val="none"/>
        </w:rPr>
        <w:tab/>
      </w:r>
      <w:r>
        <w:rPr>
          <w:rFonts w:ascii="Times New Roman" w:hAnsi="Times New Roman"/>
          <w:sz w:val="24"/>
          <w:u w:val="none"/>
        </w:rPr>
        <w:t>Splošne opombe</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202</w:t>
      </w:r>
      <w:r>
        <w:fldChar w:fldCharType="end"/>
      </w:r>
      <w:r>
        <w:t>. Predloge za kritje izgub za nedonosne izpostavljenosti vsebujejo informacije o nedonosnih izpostavljenostih (NPE) za namene izračuna zahteve glede minimalnega kritja za nedonosne izpostavljenosti, kot je določeno v členih 47a, 47b in 47c Uredbe (EU) št. 575/2013.</w:t>
      </w:r>
    </w:p>
    <w:p w14:paraId="00E13494" w14:textId="77777777"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203</w:t>
      </w:r>
      <w:r>
        <w:fldChar w:fldCharType="end"/>
      </w:r>
      <w:r>
        <w:t>. Ta sklop predlog sestavljajo tri predloge:</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Izračun odbitkov za nedonosne izpostavljenosti (predloga C 35.01): to je predloga za pregled, v kateri je naveden ustrezni znesek nezadostnega kritja, izračunan kot razlika med skupnimi zahtevami glede minimalnega kritja za NPE in skupnimi rezervacijami ter prilagoditvami ali odbitki, ki so se že izvedli. Predloga zajema tako nedonosne izpostavljenosti, pri katerih ukrep restrukturiranja ni bil odobren, kot nedonosne restrukturirane izpostavljenosti.</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Zahteve glede minimalnega kritja in vrednosti izpostavljenosti za nedonosne izpostavljenosti razen restrukturiranih izpostavljenosti iz člena 47c(6) Uredbe (EU) št. 575/2013 (predloga C 35.02): v predlogi so izračunane skupne zahteve glede minimalnega kritja za nedonosne izpostavljenosti, ki niso nedonosne restrukturirane izpostavljenosti, ki spadajo pod člen 47c(6) Uredbe (EU) št. 575/2013, in navedeni faktorji, ki se morajo uporabljati za vrednosti izpostavljenosti za namene tega izračuna glede na to, ali je izpostavljenost zavarovana ali nezavarovana, in glede na čas, ki je pretekel, odkar je izpostavljenost postala nedonosna.</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Zahteve glede minimalnega kritja in vrednosti izpostavljenosti za nedonosne restrukturirane izpostavljenosti iz člena 47c(6) Uredbe (EU) št. 575/2013 (predloga C 35.03): v predlogi so izračunane skupne zahteve glede minimalnega kritja za nedonosne restrukturirane izpostavljenosti, ki spadajo pod člen 47c(6) Uredbe (EU) št. 575/2013, in navedeni faktorji, ki se morajo uporabljati za vrednosti izpostavljenosti za namene tega izračuna glede na to, ali je izpostavljenost zavarovana ali nezavarovana, in glede na čas, ki je pretekel, odkar je izpostavljenost postala nedonosna. </w:t>
      </w:r>
    </w:p>
    <w:p w14:paraId="00581AE0" w14:textId="6EF53D3E" w:rsidR="00E7212E" w:rsidRPr="002A677E" w:rsidRDefault="00E7212E" w:rsidP="00E7212E">
      <w:pPr>
        <w:pStyle w:val="InstructionsText2"/>
        <w:numPr>
          <w:ilvl w:val="0"/>
          <w:numId w:val="0"/>
        </w:numPr>
        <w:ind w:left="993"/>
      </w:pPr>
      <w:r>
        <w:lastRenderedPageBreak/>
        <w:fldChar w:fldCharType="begin"/>
      </w:r>
      <w:r>
        <w:instrText xml:space="preserve"> seq paragraphs </w:instrText>
      </w:r>
      <w:r>
        <w:fldChar w:fldCharType="separate"/>
      </w:r>
      <w:r>
        <w:t>204</w:t>
      </w:r>
      <w:r>
        <w:fldChar w:fldCharType="end"/>
      </w:r>
      <w:r>
        <w:t>. Zahteva glede minimalnega kritja za nedonosne izpostavljenosti se uporablja za (i) izpostavljenosti, nastale 26. aprila 2019 ali pozneje, ki postanejo nedonosne, in (ii) izpostavljenosti, nastale pred 26. aprilom 2019, če so po tem datumu spremenjene tako, da se poveča njihova vrednost izpostavljenosti do dolžnika (člen 469a Uredbe (EU) št. 575/2013), ki postanejo nedonosne. V skladu s členom 47c(4a) Uredbe (EU) št. 575/2013 se zahteva glede minimalnega kritja ne uporablja za del nedonosnih izpostavljenosti, za katerega jamči ali ki ga zavaruje uradna izvozna agencija.</w:t>
      </w:r>
    </w:p>
    <w:p w14:paraId="4F0BBD38" w14:textId="513B7167"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205</w:t>
      </w:r>
      <w:r>
        <w:fldChar w:fldCharType="end"/>
      </w:r>
      <w:r>
        <w:t>. Institucije izračunajo odbitke za NPE v skladu s členom 47c(1), točki (a) in (b), Uredbe (EU) št. 575/2013, vključno z izračunom zahtev glede minimalnega kritja in skupnimi rezervacijami ter prilagoditvami ali odbitki, na ravni posamezne izpostavljenosti (‚na ravni posla‘) in ne na ravni dolžnika ali portfelja.</w:t>
      </w:r>
    </w:p>
    <w:p w14:paraId="1066EFE1" w14:textId="77777777"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206</w:t>
      </w:r>
      <w:r>
        <w:fldChar w:fldCharType="end"/>
      </w:r>
      <w:r>
        <w:t>. Za namene izračuna odbitkov za NPE institucije razlikujejo med nezavarovanim in zavarovanim delom NPE v skladu s členom 47c(1) Uredbe (EU) št. 575/2013. V ta namen institucije poročajo vrednosti izpostavljenosti in zahteve glede minimalnega kritja ločeno za nezavarovani del NPE in za zavarovani del NPE.</w:t>
      </w:r>
    </w:p>
    <w:bookmarkStart w:id="2" w:name="_Toc522019774"/>
    <w:p w14:paraId="782A124B" w14:textId="2131E94E" w:rsidR="00C6168C" w:rsidRDefault="00E7212E" w:rsidP="002567E9">
      <w:pPr>
        <w:pStyle w:val="InstructionsText2"/>
        <w:numPr>
          <w:ilvl w:val="0"/>
          <w:numId w:val="0"/>
        </w:numPr>
        <w:ind w:left="993"/>
        <w:rPr>
          <w:noProof/>
        </w:rPr>
      </w:pPr>
      <w:r>
        <w:fldChar w:fldCharType="begin"/>
      </w:r>
      <w:r>
        <w:instrText xml:space="preserve"> seq paragraphs </w:instrText>
      </w:r>
      <w:r>
        <w:fldChar w:fldCharType="separate"/>
      </w:r>
      <w:r>
        <w:t>207</w:t>
      </w:r>
      <w:r>
        <w:fldChar w:fldCharType="end"/>
      </w:r>
      <w:r>
        <w:t>. Institucije za namene razporejanja relevantnih faktorjev, ki se uporabljajo, in izračuna zahteve glede minimalnega kritja razvrstijo zavarovani del NPE glede na vrsto kreditnega zavarovanja v skladu s členom 47c(3) Uredbe (EU) št. 575/2013, kot sledi: (i) „zavarovan z nepremičninami ali ki je stanovanjski kredit, za katerega jamči primeren dajalec zavarovanja, kot je določen v členu 201“, (ii) „zavarovan z drugim stvarnim ali osebnim kreditnim zavarovanjem“ ali (iii) „za katerega jamči ali posredno jamči primeren dajalec zavarovanja“. Kadar je nedonosna izpostavljenost zavarovana z več kot eno vrsto kreditnega zavarovanja, se njena vrednost izpostavljenosti razvrsti glede na kakovost kreditnega zavarovanja, pri čemer se začne s tistim najboljše kakovosti.</w:t>
      </w:r>
    </w:p>
    <w:p w14:paraId="2778C954" w14:textId="1C8C1115" w:rsidR="00C6168C" w:rsidRPr="00C6168C" w:rsidRDefault="00C6168C" w:rsidP="00C6168C">
      <w:pPr>
        <w:pStyle w:val="InstructionsText2"/>
        <w:numPr>
          <w:ilvl w:val="0"/>
          <w:numId w:val="0"/>
        </w:numPr>
        <w:ind w:left="993"/>
        <w:rPr>
          <w:noProof/>
        </w:rPr>
      </w:pPr>
      <w:r>
        <w:t xml:space="preserve">207a.  V skladu s členom 36(5) Uredbe (EU) št. 575/2013 institucije, specializirane za restrukturiranje dolgov, poročajo vse ustrezne izpostavljenosti, vključno z nedonosnimi izpostavljenostmi, ki so jih kupile te institucije, v predlogah C35.01 do C35.03 in kot ustrezni znesek nezadostnega kritja kupljenega dela v vrstici 0010 predloge C35.01 poročajo znesek nič.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 xml:space="preserve">8.2 C 35.01 – </w:t>
      </w:r>
      <w:bookmarkEnd w:id="2"/>
      <w:r>
        <w:rPr>
          <w:rFonts w:ascii="Times New Roman" w:hAnsi="Times New Roman"/>
          <w:sz w:val="24"/>
          <w:u w:val="none"/>
        </w:rPr>
        <w:t>IZRAČUN ODBITKOV ZA NEDONOSNE IZPOSTAVLJENOSTI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Navodila za posamezne pozicije</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Navodila</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Čas, ki je pretekel od razvrstitve izpostavljenosti kot nedonosnih</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„Čas, ki je pretekel od razvrstitve izpostavljenosti kot nedonosnih“ pomeni čas v letih, na referenčni datum, ki je pretekel, odkar je bila izpostavljenost razvrščena kot nedonosna. Za </w:t>
            </w:r>
            <w:r>
              <w:rPr>
                <w:rFonts w:ascii="Times New Roman" w:hAnsi="Times New Roman"/>
                <w:sz w:val="24"/>
              </w:rPr>
              <w:lastRenderedPageBreak/>
              <w:t xml:space="preserve">kupljene nedonosne izpostavljenosti se čas v letih začne šteti od datuma, na katerega je bila izpostavljenost prvotno razvrščena kot nedonosna, in ne od datuma njenega nakupa. </w:t>
            </w:r>
          </w:p>
          <w:p w14:paraId="4D6DCF87" w14:textId="77777777" w:rsidR="00E7212E" w:rsidRPr="002A677E" w:rsidRDefault="00E7212E" w:rsidP="00BF7D57">
            <w:pPr>
              <w:rPr>
                <w:rFonts w:ascii="Times New Roman" w:hAnsi="Times New Roman"/>
                <w:sz w:val="24"/>
              </w:rPr>
            </w:pPr>
            <w:r>
              <w:rPr>
                <w:rFonts w:ascii="Times New Roman" w:hAnsi="Times New Roman"/>
                <w:sz w:val="24"/>
              </w:rPr>
              <w:t>Institucije poročajo podatke o izpostavljenostih, za katere se lahko referenčni datum uvrsti v ustrezni časovni interval, ki kaže čas v letih od razvrstitve izpostavljenosti kot nedonosne, ne glede na morebitno uporabo ukrepov restrukturiranja.</w:t>
            </w:r>
          </w:p>
          <w:p w14:paraId="08BF43EA" w14:textId="77777777" w:rsidR="00E7212E" w:rsidRPr="002A677E" w:rsidRDefault="00E7212E" w:rsidP="00BF7D57">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Skupaj</w:t>
            </w:r>
          </w:p>
          <w:p w14:paraId="785D55A5" w14:textId="77777777" w:rsidR="00E7212E" w:rsidRPr="002A677E" w:rsidRDefault="00E7212E" w:rsidP="00BF7D57">
            <w:pPr>
              <w:rPr>
                <w:rFonts w:ascii="Times New Roman" w:hAnsi="Times New Roman"/>
                <w:sz w:val="24"/>
              </w:rPr>
            </w:pPr>
            <w:r>
              <w:rPr>
                <w:rFonts w:ascii="Times New Roman" w:hAnsi="Times New Roman"/>
                <w:sz w:val="24"/>
              </w:rPr>
              <w:t>Institucije poročajo vsoto stolpcev 0010 do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Navodila</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Ustrezni znesek nezadostnega kritja</w:t>
            </w:r>
          </w:p>
          <w:p w14:paraId="07CA6C51" w14:textId="77777777" w:rsidR="00E7212E" w:rsidRPr="002A677E" w:rsidRDefault="00E7212E" w:rsidP="00BF7D57">
            <w:pPr>
              <w:rPr>
                <w:rFonts w:ascii="Times New Roman" w:hAnsi="Times New Roman"/>
                <w:sz w:val="24"/>
              </w:rPr>
            </w:pPr>
            <w:r>
              <w:rPr>
                <w:rFonts w:ascii="Times New Roman" w:hAnsi="Times New Roman"/>
                <w:sz w:val="24"/>
              </w:rPr>
              <w:t>Člen 47c(1) Uredbe (EU) št. 575/2013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Za izračun ustreznega zneska nezadostnega kritja institucije odštejejo skupne rezervacije in prilagoditve ali odbitke (omejene) (vrstica 0080) od skupne zahteve glede minimalnega kritja za nedonosne izpostavljenosti (vrstica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Ustrezni znesek nezadostnega kritja (tj. primanjkljaj skupne zahteve glede minimalnega kritja za nedonosne izpostavljenosti) je enak nič ali večji.</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Skupna zahteva glede minimalnega kritja za nedonosne izpostavljenosti</w:t>
            </w:r>
          </w:p>
          <w:p w14:paraId="649C7EAB" w14:textId="77777777" w:rsidR="00E7212E" w:rsidRPr="002A677E" w:rsidRDefault="00E7212E" w:rsidP="00BF7D57">
            <w:pPr>
              <w:rPr>
                <w:rFonts w:ascii="Times New Roman" w:hAnsi="Times New Roman"/>
                <w:sz w:val="24"/>
              </w:rPr>
            </w:pPr>
            <w:r>
              <w:rPr>
                <w:rFonts w:ascii="Times New Roman" w:hAnsi="Times New Roman"/>
                <w:sz w:val="24"/>
              </w:rPr>
              <w:t>Člen 47c(1), točka (a), Uredbe (EU) št. 575/2013.</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Institucije za izračun skupne zahteve glede minimalnega kritja za nedonosne izpostavljenosti seštejejo zahtevo glede minimalnega kritja za nezavarovani del NPE (vrstica 0030) in za zavarovani del NPE (vrstica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Nezavarovani del nedonosnih izpostavljenosti</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Člen 47c(1), točka (a)(i), člen 47c(2) in člen 47c(6) Uredbe (EU) št. 575/2013.</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Institucije poročajo skupno zahtevo glede minimalnega kritja za nezavarovani del NPE, tj. seštevek izračunov na ravni izpostavljenosti.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Znesek, poročan v vsakem stolpcu, je enak vsoti zneskov, poročanih v vrstici 0020 predloge C 35.02 in vrstici 0020 predloge C 35.03 (če je relevantno) v zadevnih stolpcih.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Zavarovani del nedonosnih izpostavljenosti</w:t>
            </w:r>
          </w:p>
          <w:p w14:paraId="12886933" w14:textId="77777777" w:rsidR="00E7212E" w:rsidRPr="002A677E" w:rsidRDefault="00E7212E" w:rsidP="00BF7D57">
            <w:pPr>
              <w:rPr>
                <w:rFonts w:ascii="Times New Roman" w:hAnsi="Times New Roman"/>
                <w:sz w:val="24"/>
              </w:rPr>
            </w:pPr>
            <w:r>
              <w:rPr>
                <w:rFonts w:ascii="Times New Roman" w:hAnsi="Times New Roman"/>
                <w:sz w:val="24"/>
              </w:rPr>
              <w:t>Člen 47c(1), točka (a)(ii), člen 47c(3), člen 47c(4) in člen 47c(6) Uredbe (EU) št. 575/2013.</w:t>
            </w:r>
          </w:p>
          <w:p w14:paraId="16387A62" w14:textId="77777777" w:rsidR="00E7212E" w:rsidRPr="002A677E" w:rsidRDefault="00E7212E" w:rsidP="00BF7D57">
            <w:pPr>
              <w:rPr>
                <w:rFonts w:ascii="Times New Roman" w:hAnsi="Times New Roman"/>
                <w:sz w:val="24"/>
              </w:rPr>
            </w:pPr>
            <w:r>
              <w:rPr>
                <w:rFonts w:ascii="Times New Roman" w:hAnsi="Times New Roman"/>
                <w:sz w:val="24"/>
              </w:rPr>
              <w:t>Institucije poročajo skupno zahtevo glede minimalnega kritja za zavarovani del NPE, tj. seštevek izračunov na ravni izpostavljenosti.</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Znesek, poročan v vsakem stolpcu, je enak vsoti zneskov, poročanih v vrsticah 0030–0045 predloge C 35.02 in vrsticah 0030–0040 predloge C 35.03 (če je relevantno) v zadevnih stolpcih.</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Vrednost izpostavljenosti</w:t>
            </w:r>
          </w:p>
          <w:p w14:paraId="3D274535" w14:textId="77777777" w:rsidR="00E7212E" w:rsidRPr="002A677E" w:rsidRDefault="00E7212E" w:rsidP="00BF7D57">
            <w:pPr>
              <w:rPr>
                <w:rFonts w:ascii="Times New Roman" w:hAnsi="Times New Roman"/>
                <w:sz w:val="24"/>
              </w:rPr>
            </w:pPr>
            <w:r>
              <w:rPr>
                <w:rFonts w:ascii="Times New Roman" w:hAnsi="Times New Roman"/>
                <w:sz w:val="24"/>
              </w:rPr>
              <w:t>Člen 47a(2) Uredbe (EU) št. 575/2013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Institucije poročajo vrednost skupne izpostavljenosti NPE, ki vključuje tako nezavarovane kot zavarovane izpostavljenosti. Ta je enaka vsoti vrstice 0060 in vrstice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Nezavarovani del nedonosnih izpostavljenosti</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Člena 47a(2) in 47a(1) Uredbe (EU) št.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Zavarovani del nedonosnih izpostavljenosti</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Člena 47a(2) in 47a(1) Uredbe (EU) št.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Skupne rezervacije in prilagoditve ali odbitki (omejeni)</w:t>
            </w:r>
          </w:p>
          <w:p w14:paraId="1063BD06" w14:textId="77777777" w:rsidR="00E7212E" w:rsidRPr="002A677E" w:rsidRDefault="00E7212E" w:rsidP="00BF7D57">
            <w:pPr>
              <w:rPr>
                <w:rFonts w:ascii="Times New Roman" w:hAnsi="Times New Roman"/>
                <w:sz w:val="24"/>
              </w:rPr>
            </w:pPr>
            <w:r>
              <w:rPr>
                <w:rFonts w:ascii="Times New Roman" w:hAnsi="Times New Roman"/>
                <w:sz w:val="24"/>
              </w:rPr>
              <w:t>Institucije poročajo omejeni znesek vsote postavk, navedenih v vrsticah 0100–0150, v skladu s členom 47c(1), točka (b), Uredbe (EU) št. 575/2013. Zgornja meja omejenih rezervacij in prilagoditev ali odbitkov je znesek zahteve glede minimalnega kritja na ravni izpostavljenosti.</w:t>
            </w:r>
          </w:p>
          <w:p w14:paraId="5D5758AF" w14:textId="77777777" w:rsidR="00E7212E" w:rsidRPr="002A677E" w:rsidRDefault="00E7212E" w:rsidP="00BF7D57">
            <w:pPr>
              <w:rPr>
                <w:rFonts w:ascii="Times New Roman" w:hAnsi="Times New Roman"/>
                <w:sz w:val="24"/>
              </w:rPr>
            </w:pPr>
            <w:r>
              <w:rPr>
                <w:rFonts w:ascii="Times New Roman" w:hAnsi="Times New Roman"/>
                <w:sz w:val="24"/>
              </w:rPr>
              <w:t>Omejeni znesek se izračuna ločeno za vsako izpostavljenost in je nižji izmed naslednjih zneskov: zahteve glede minimalnega kritja za to izpostavljenost ali skupnih rezervacij in prilagoditev ali odbitkov za isto izpostavljenost.</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Skupne rezervacije in prilagoditve ali odbitki (neomejeni)</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Institucije poročajo vsoto neomejenega zneska postavk, navedenih v vrsticah 0100–0150, v skladu s členom 47c(1), točka (b), Uredbe (EU) št. 575/2013. Rezervacije in prilagoditve ali odbitki (neomejeni) niso omejeni na znesek zahteve glede minimalnega kritja na ravni izpostavljenosti.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Posebni popravki zaradi kreditnega tveganja</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Člen 47c(1), točka (b)(i), Uredbe (EU) št.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Dodatne prilagoditve vrednotenja</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Člen 47c(1), točka (b)(ii), Uredbe (EU) št.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Druga zmanjšanja kapitala</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Člen 47c(1), točka (b)(iii), Uredbe (EU) št.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Primanjkljaj po pristopu IRB</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Člen 47c(1), točka (b)(iv), Uredbe (EU) št.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Razlika med nakupno ceno in zneskom, ki ga dolguje dolžnik</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Člen 47c(1), točka (b)(v), Uredbe (EU) št.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Zneski, ki jih je institucija odpisala, odkar je bila izpostavljenost razvrščena kot nedonosna</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Člen 47c(1), točka (b)(vi), Uredbe (EU) št.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lastRenderedPageBreak/>
        <w:t>C 35.02 – ZAHTEVE GLEDE MINIMALNEGA KRITJA IN VREDNOSTI IZPOSTAVLJENOSTI ZA NEDONOSNE IZPOSTAVLJENOSTI RAZEN RESTRUKTURIRANIH IZPOSTAVLJENOSTI IZ ČLENA 47c(6) UREDBE (EU) ŠT.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Navodila za posamezne pozicije</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Navodila</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Čas, ki je pretekel od razvrstitve izpostavljenosti kot nedonosnih</w:t>
            </w:r>
          </w:p>
          <w:p w14:paraId="27559F86" w14:textId="77777777" w:rsidR="00E7212E" w:rsidRPr="002A677E" w:rsidRDefault="00E7212E" w:rsidP="00BF7D57">
            <w:pPr>
              <w:rPr>
                <w:rFonts w:ascii="Times New Roman" w:hAnsi="Times New Roman"/>
                <w:sz w:val="24"/>
              </w:rPr>
            </w:pPr>
            <w:r>
              <w:rPr>
                <w:rFonts w:ascii="Times New Roman" w:hAnsi="Times New Roman"/>
                <w:sz w:val="24"/>
              </w:rPr>
              <w:t>„Čas, ki je pretekel od razvrstitve izpostavljenosti kot nedonosnih“ pomeni čas v letih, ki je pretekel, odkar je bila izpostavljenost razvrščena kot nedonosna. Institucije poročajo podatke o izpostavljenostih, za katere se lahko referenčni datum uvrsti v ustrezni časovni interval, ki kaže čas v letih od razvrstitve izpostavljenosti kot nedonosne, ne glede na morebitno uporabo ukrepov restrukturiranja.</w:t>
            </w:r>
          </w:p>
          <w:p w14:paraId="1AD59E7D" w14:textId="77777777" w:rsidR="00E7212E" w:rsidRPr="002A677E" w:rsidRDefault="00E7212E" w:rsidP="00BF7D57">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Skupaj</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Institucije poročajo vsoto stolpcev 0010 do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Navodila</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Skupna zahteva glede minimalnega kritja</w:t>
            </w:r>
          </w:p>
          <w:p w14:paraId="182F35CE" w14:textId="77777777" w:rsidR="00E7212E" w:rsidRPr="002A677E" w:rsidRDefault="00E7212E" w:rsidP="00BF7D57">
            <w:pPr>
              <w:rPr>
                <w:rFonts w:ascii="Times New Roman" w:hAnsi="Times New Roman"/>
                <w:sz w:val="24"/>
              </w:rPr>
            </w:pPr>
            <w:r>
              <w:rPr>
                <w:rFonts w:ascii="Times New Roman" w:hAnsi="Times New Roman"/>
                <w:sz w:val="24"/>
              </w:rPr>
              <w:t>Člen 47c(1), točka (a), Uredbe (EU) št. 575/2013.</w:t>
            </w:r>
          </w:p>
          <w:p w14:paraId="662FCE5D" w14:textId="79E2CFC8" w:rsidR="00E7212E" w:rsidRPr="002A677E" w:rsidRDefault="00E7212E" w:rsidP="00BF7D57">
            <w:pPr>
              <w:rPr>
                <w:rFonts w:ascii="Times New Roman" w:hAnsi="Times New Roman"/>
                <w:sz w:val="24"/>
              </w:rPr>
            </w:pPr>
            <w:r>
              <w:rPr>
                <w:rFonts w:ascii="Times New Roman" w:hAnsi="Times New Roman"/>
                <w:sz w:val="24"/>
              </w:rPr>
              <w:t>Institucije za izračun skupne zahteve glede minimalnega kritja za nedonosne izpostavljenosti razen restrukturiranih izpostavljenosti, ki spadajo pod člen 47c(6) Uredbe (EU) št. 575/2013, seštejejo zahtevo glede minimalnega kritja za nezavarovani del NPE (vrstica 0020) in zahtevo glede minimalnega kritja za zavarovani del NPE (vrstice 0030–0045).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Nezavarovani del nedonosnih izpostavljenosti</w:t>
            </w:r>
          </w:p>
          <w:p w14:paraId="27ED7CA9" w14:textId="77777777" w:rsidR="00E7212E" w:rsidRPr="002A677E" w:rsidRDefault="00E7212E" w:rsidP="00BF7D57">
            <w:pPr>
              <w:rPr>
                <w:rFonts w:ascii="Times New Roman" w:hAnsi="Times New Roman"/>
                <w:sz w:val="24"/>
              </w:rPr>
            </w:pPr>
            <w:r>
              <w:rPr>
                <w:rFonts w:ascii="Times New Roman" w:hAnsi="Times New Roman"/>
                <w:sz w:val="24"/>
              </w:rPr>
              <w:t>Člen 47c(1), točka (a)(i), in člen 47c(2) Uredbe (EU) št. 575/2013.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Zahteva glede minimalnega kritja se izračuna tako, da se seštevek vrednosti izpostavljenosti v vrstici 0070 pomnoži z ustreznim faktorjem na stolpec.</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Del nedonosnih izpostavljenosti, zavarovan z nepremičnino ali ki je stanovanjski kredit, za katerega jamči primeren dajalec zavarovanja </w:t>
            </w:r>
          </w:p>
          <w:p w14:paraId="1AB54B5D" w14:textId="77777777" w:rsidR="00E7212E" w:rsidRPr="002A677E" w:rsidRDefault="00E7212E" w:rsidP="00BF7D57">
            <w:pPr>
              <w:rPr>
                <w:rFonts w:ascii="Times New Roman" w:hAnsi="Times New Roman"/>
                <w:sz w:val="24"/>
              </w:rPr>
            </w:pPr>
            <w:r>
              <w:rPr>
                <w:rFonts w:ascii="Times New Roman" w:hAnsi="Times New Roman"/>
                <w:sz w:val="24"/>
              </w:rPr>
              <w:t>Člen 47c(1), točka (a)(ii), in člen 47c(3), točke (a), (b), (c), (d), (f), (h) in (i), Uredbe (EU) št. 575/2013.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Zahteva glede minimalnega kritja se izračuna tako, da se seštevek vrednosti izpostavljenosti v vrstici 0080 pomnoži z ustreznim faktorjem na stolpec.</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14:paraId="5857E4F4" w14:textId="77777777" w:rsidR="00E7212E" w:rsidRPr="002A677E" w:rsidRDefault="00E7212E" w:rsidP="00BF7D57">
            <w:pPr>
              <w:rPr>
                <w:rFonts w:ascii="Times New Roman" w:hAnsi="Times New Roman"/>
                <w:sz w:val="24"/>
              </w:rPr>
            </w:pPr>
            <w:r>
              <w:rPr>
                <w:rFonts w:ascii="Times New Roman" w:hAnsi="Times New Roman"/>
                <w:sz w:val="24"/>
              </w:rPr>
              <w:t>Člen 47c(1), točka (a)(ii), in člen 47c(3), točke (a), (b), (c), (e) in (g), Uredbe (EU) št. 575/2013.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Zahteva glede minimalnega kritja se izračuna tako, da se seštevek vrednosti izpostavljenosti v vrstici 0090 pomnoži z ustreznim faktorjem na stolpec.</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Del nedonosnih izpostavljenosti, za katerega jamči ali posredno jamči primeren dajalec zavarovanja</w:t>
            </w:r>
          </w:p>
          <w:p w14:paraId="4C97CF34" w14:textId="77777777" w:rsidR="00920721" w:rsidRDefault="00EB1058" w:rsidP="00BF7D57">
            <w:pPr>
              <w:jc w:val="left"/>
              <w:rPr>
                <w:rFonts w:ascii="Times New Roman" w:hAnsi="Times New Roman"/>
                <w:sz w:val="24"/>
              </w:rPr>
            </w:pPr>
            <w:r>
              <w:rPr>
                <w:rFonts w:ascii="Times New Roman" w:hAnsi="Times New Roman"/>
                <w:sz w:val="24"/>
              </w:rPr>
              <w:t>Člen 47c(4)(b) Uredbe (EU) št. 575/2013.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Zahteva glede minimalnega kritja se izračuna tako, da se seštevek vrednosti izpostavljenosti v vrsticah 0110 in 0120 pomnoži z ustreznimi faktorji na stolpec.</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Vrednost izpostavljenosti</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Člen 47a(2) Uredbe (EU) št. 575/2013.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Institucije za izračun vrstice 0060 seštejejo vrednosti izpostavljenosti, poročane za nezavarovani del NPE (vrstica 0070), del NPE, ki je zavarovan z nepremičninami ali ki je stanovanjski kredit, za katerega jamči primeren dajalec zavarovanja (vrstica 0080), del NPE, ki je zavarovan z drugim stvarnim ali osebnim kreditnim zavarovanjem (vrstica 0090), in del NPE, za katerega jamči ali posredno jamči primeren dajalec zavarovanja (vrstici 0110 in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Nezavarovani del nedonosnih izpostavljenosti</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Člen 47a(2), člen 47c(1) in člen 47c(2) Uredbe (EU) št. 575/2013.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Institucije poročajo vrednost skupne izpostavljenosti nezavarovanega dela NPE, razčlenjeno na čas, ki je pretekel od razvrstitve izpostavljenosti kot nedonosnih.</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14:paraId="353C8B9D" w14:textId="77777777" w:rsidR="00E7212E" w:rsidRPr="002A677E" w:rsidRDefault="00E7212E" w:rsidP="00BF7D57">
            <w:pPr>
              <w:rPr>
                <w:rFonts w:ascii="Times New Roman" w:hAnsi="Times New Roman"/>
                <w:sz w:val="24"/>
              </w:rPr>
            </w:pPr>
            <w:r>
              <w:rPr>
                <w:rFonts w:ascii="Times New Roman" w:hAnsi="Times New Roman"/>
                <w:sz w:val="24"/>
              </w:rPr>
              <w:t>Člen 47a(2), člen 47c(1) in člen 47c(3), točke (a), (b), (c), (d), (f), (h) in (i), Uredbe (EU) št. 575/2013.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skupne izpostavljenosti za dele NPE, ki so zavarovani z nepremičninami v skladu z delom 3, naslov II, Uredbe (EU) št. 575/2013 ali ki so stanovanjski kredit, za katerega jamči primeren dajalec zavarovanja, kot je določen v členu 201 navedene uredbe.</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Člen 47a(2), člen 47c(1) in člen 47c(3), točke (a), (b), (c), (e) in (g), Uredbe (EU) št. 575/2013.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Institucije poročajo vrednost skupne izpostavljenosti za dele NPE, ki so zavarovani z drugim stvarnim ali osebnim kreditnim zavarovanjem v skladu z delom 3, naslov II, Uredbe (EU) št.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Del nedonosnih izpostavljenosti, za katerega jamči ali posredno jamči primeren dajalec zavarovanja (faktor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Člen 47c(4), točka (b), Uredbe (EU) št. 575/2013 (faktor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Del nedonosnih izpostavljenosti, za katerega jamči ali posredno jamči primeren dajalec zavarovanja (faktor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Člen 47c(4), točka (a) in točka (b), Uredbe (EU) št. 575/2013 (faktor 0). Izpostavljenosti, za katere se je primeren dajalec zavarovanja strinjal, da v celoti in v skladu s prvotnim pogodbenim razporedom plačil izpolni vse plačilne obveznosti dolžnika do kreditne institucije, se poročajo v vrstici 0120 (za vse časovne intervale).</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 ZAHTEVE GLEDE MINIMALNEGA KRITJA IN VREDNOSTI IZPOSTAVLJENOSTI ZA NEDONOSNE RESTRUKTURIRANE IZPOSTAVLJENOSTI IZ ČLENA 47c(6) UREDBE (EU) ŠT.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Navodila za posamezne pozicije</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Navodila</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Čas, ki je pretekel od razvrstitve izpostavljenosti kot nedonosnih</w:t>
            </w:r>
          </w:p>
          <w:p w14:paraId="6028F7B7" w14:textId="77777777" w:rsidR="00E7212E" w:rsidRPr="002A677E" w:rsidRDefault="00E7212E" w:rsidP="00BF7D57">
            <w:pPr>
              <w:rPr>
                <w:rFonts w:ascii="Times New Roman" w:hAnsi="Times New Roman"/>
                <w:sz w:val="24"/>
              </w:rPr>
            </w:pPr>
            <w:r>
              <w:rPr>
                <w:rFonts w:ascii="Times New Roman" w:hAnsi="Times New Roman"/>
                <w:sz w:val="24"/>
              </w:rPr>
              <w:t>„Čas, ki je pretekel od razvrstitve izpostavljenosti kot nedonosnih“ pomeni čas v letih, ki je pretekel, odkar je bila izpostavljenost razvrščena kot nedonosna. Institucije poročajo podatke o izpostavljenostih, za katere se lahko referenčni datum uvrsti v ustrezni časovni interval, ki kaže čas v letih od razvrstitve izpostavljenosti kot nedonosne, ne glede na morebitno uporabo ukrepov restrukturiranja.</w:t>
            </w:r>
          </w:p>
          <w:p w14:paraId="1EB41D92" w14:textId="77777777" w:rsidR="00E7212E" w:rsidRPr="002A677E" w:rsidRDefault="00E7212E" w:rsidP="00BF7D57">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Skupaj</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vsoto stolpcev 0010 do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Navodila</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Skupna zahteva glede minimalnega kritja</w:t>
            </w:r>
          </w:p>
          <w:p w14:paraId="1C8DD96C" w14:textId="77777777" w:rsidR="00E7212E" w:rsidRPr="002A677E" w:rsidRDefault="00E7212E" w:rsidP="00BF7D57">
            <w:pPr>
              <w:rPr>
                <w:rFonts w:ascii="Times New Roman" w:hAnsi="Times New Roman"/>
                <w:sz w:val="24"/>
              </w:rPr>
            </w:pPr>
            <w:r>
              <w:rPr>
                <w:rFonts w:ascii="Times New Roman" w:hAnsi="Times New Roman"/>
                <w:sz w:val="24"/>
              </w:rPr>
              <w:t>Člen 47c(1), točka (a), in člen 47c(6) Uredbe (EU) št. 575/2013.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 xml:space="preserve">Institucije za izračun skupne zahteve glede minimalnega kritja za nedonosne restrukturirane izpostavljenosti, ki spadajo pod člen 47c(6) Uredbe (EU) št. 575/2013, seštejejo zahtevo glede minimalnega kritja za nezavarovani del restrukturiranih NPE (vrstica 0020), del restrukturiranih NPE, ki je zavarovan z nepremičninami ali ki je stanovanjski kredit, za katerega jamči primeren dajalec zavarovanja (vrstica 0030), in del </w:t>
            </w:r>
            <w:r>
              <w:rPr>
                <w:rFonts w:ascii="Times New Roman" w:hAnsi="Times New Roman"/>
                <w:sz w:val="24"/>
              </w:rPr>
              <w:lastRenderedPageBreak/>
              <w:t>restrukturiranih NPE, ki je zavarovan z drugim stvarnim ali osebnim kreditnim zavarovanjem (vrstica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Nezavarovani del nedonosnih izpostavljenosti</w:t>
            </w:r>
          </w:p>
          <w:p w14:paraId="01C888D8" w14:textId="77777777" w:rsidR="00E7212E" w:rsidRPr="002A677E" w:rsidRDefault="00E7212E" w:rsidP="00BF7D57">
            <w:pPr>
              <w:rPr>
                <w:rFonts w:ascii="Times New Roman" w:hAnsi="Times New Roman"/>
                <w:sz w:val="24"/>
              </w:rPr>
            </w:pPr>
            <w:r>
              <w:rPr>
                <w:rFonts w:ascii="Times New Roman" w:hAnsi="Times New Roman"/>
                <w:sz w:val="24"/>
              </w:rPr>
              <w:t>Člen 47c(1), točka (a)(i), člen 47c(2) in člen 47c(6) Uredbe (EU) št. 575/2013.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Institucija poroča skupno zahtevo glede minimalnega kritja za nezavarovani del nedonosnih restrukturiranih izpostavljenosti, ki spadajo pod člen 47c(6) Uredbe (EU) št. 575/2013, tj. seštevek izračunov na ravni izpostavljenosti.</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14:paraId="073D5D9E" w14:textId="77777777" w:rsidR="00E7212E" w:rsidRPr="002A677E" w:rsidRDefault="00E7212E" w:rsidP="00BF7D57">
            <w:pPr>
              <w:rPr>
                <w:rFonts w:ascii="Times New Roman" w:hAnsi="Times New Roman"/>
                <w:sz w:val="24"/>
              </w:rPr>
            </w:pPr>
            <w:r>
              <w:rPr>
                <w:rFonts w:ascii="Times New Roman" w:hAnsi="Times New Roman"/>
                <w:sz w:val="24"/>
              </w:rPr>
              <w:t>Člen 47c(1), točka (a)(ii), in člen 47c(3), točke (a), (b), (c), (d), (f), (h) in (i), ter člen 47c(6) Uredbe (EU) št. 575/2013.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Institucije poročajo skupno zahtevo glede minimalnega kritja za dele nedonosnih restrukturiranih izpostavljenosti, ki so zavarovani z nepremičninami v skladu z delom 3, naslov II, Uredbe (EU) št. 575/2013 ali ki so stanovanjski krediti, za katere jamči primeren dajalec zavarovanja, kot je določen v členu 201 navedene uredbe, ki spadajo pod člen 47c(6) navedene uredbe, tj. seštevek izračunov na ravni izpostavljenosti.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14:paraId="001BEF19" w14:textId="77777777" w:rsidR="00E7212E" w:rsidRPr="002A677E" w:rsidRDefault="00E7212E" w:rsidP="00BF7D57">
            <w:pPr>
              <w:rPr>
                <w:rFonts w:ascii="Times New Roman" w:hAnsi="Times New Roman"/>
                <w:sz w:val="24"/>
              </w:rPr>
            </w:pPr>
            <w:r>
              <w:rPr>
                <w:rFonts w:ascii="Times New Roman" w:hAnsi="Times New Roman"/>
                <w:sz w:val="24"/>
              </w:rPr>
              <w:t>Člen 47a(1), točka (a)(ii), člen 47c(3), točke (a), (b), (c), (e) in (g), ter člen 47c(6) Uredbe (EU) št. 575/2013.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Institucija poroča skupno zahtevo glede minimalnega kritja za dele nedonosnih restrukturiranih izpostavljenosti, zavarovane z drugim stvarnim ali osebnim kreditnim zavarovanjem, ki spadajo pod člen 47c(6) Uredbe (EU) št. 575/2013, tj. seštevek izračunov na ravni izpostavljenosti.</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Vrednost izpostavljenosti</w:t>
            </w:r>
          </w:p>
          <w:p w14:paraId="1D4AA342" w14:textId="77777777" w:rsidR="00E7212E" w:rsidRPr="002A677E" w:rsidRDefault="00E7212E" w:rsidP="00BF7D57">
            <w:pPr>
              <w:rPr>
                <w:rFonts w:ascii="Times New Roman" w:hAnsi="Times New Roman"/>
                <w:sz w:val="24"/>
              </w:rPr>
            </w:pPr>
            <w:r>
              <w:rPr>
                <w:rFonts w:ascii="Times New Roman" w:hAnsi="Times New Roman"/>
                <w:sz w:val="24"/>
              </w:rPr>
              <w:t>Člena 47a(2) in 47a(6) Uredbe (EU) št. 575/2013.</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Institucije za izračun vrednosti izpostavljenosti seštejejo vrednosti izpostavljenosti za nezavarovani del NPE (vrstica 0060), del NPE, ki je zavarovan z nepremičninami ali ki je stanovanjski kredit, za katerega jamči primeren dajalec zavarovanja (vrstica 0070), in del NPE, ki je zavarovan z drugim stvarnim ali osebnim kreditnim zavarovanjem (vrstica 0120), kjer je relevantno.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Nezavarovani del nedonosnih izpostavljenosti</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Člen 47a(2), člen 47c(1), člen 47c(2) in člen 47c(6) Uredbe (EU) št. 575/2013.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skupne izpostavljenosti za nezavarovani del restrukturiranih NPE, ki spadajo pod člen 47c(6) Uredbe (EU) št. 575/2013, pri katerih je bil prvi ukrep restrukturiranja odobren med prvim in zadnjim dnevom drugega leta po razvrstitvi izpostavljenosti kot nedonosne (&gt; 1 leto in &lt;= 2 leti).</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14:paraId="6D8528EC" w14:textId="77777777" w:rsidR="00E7212E" w:rsidRPr="002A677E" w:rsidRDefault="00E7212E" w:rsidP="00BF7D57">
            <w:pPr>
              <w:rPr>
                <w:rFonts w:ascii="Times New Roman" w:hAnsi="Times New Roman"/>
                <w:sz w:val="24"/>
              </w:rPr>
            </w:pPr>
            <w:r>
              <w:rPr>
                <w:rFonts w:ascii="Times New Roman" w:hAnsi="Times New Roman"/>
                <w:sz w:val="24"/>
              </w:rPr>
              <w:lastRenderedPageBreak/>
              <w:t>Člen 47a(2), člen 47c(1) in člen 47c(3), točke (a), (b), (c), (d), (f), (h) in (i), ter člen 47c(6) Uredbe (EU) št. 575/2013.</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skupne izpostavljenosti za dele restrukturiranih NPE, ki spadajo pod člen 47c(6) Uredbe (EU) št. 575/2013, ki so zavarovani z nepremičninami v skladu z delom 3, naslov II, navedene uredbe ali ki so stanovanjski kredit, za katerega jamči primeren dajalec zavarovanja, kot je določen v členu 201 navedene uredbe.</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in &lt;= 3 leta po razvrstitvi kot NPE</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tretjega leta po razvrstitvi izpostavljenosti kot nedonosne.</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in &lt;= 4 leta po razvrstitvi kot NPE</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četrtega leta po razvrstitvi izpostavljenosti kot nedonosne.</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in &lt;= 5 let po razvrstitvi kot NPE</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vrednosti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petega leta po razvrstitvi izpostavljenosti kot nedonosne.</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in &lt;= 6 let po razvrstitvi kot NPE</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vrednosti izpostavljenosti za restrukturirane NPE, ki spadajo pod člen 47c(6) Uredbe (EU) št. 575/2013, ki so zavarovane z nepremičninami ali stanovanjskim kreditom, za katerega jamči primeren dajalec zavarovanja, pri katerih je bil prvi ukrep restrukturiranja odobren med prvim in zadnjim dnevom šestega leta po razvrstitvi izpostavljenosti kot nedonosne.</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Del nedonosnih izpostavljenosti, ki je zavarovan z drugim stvarnim ali osebnim kreditnim zavarovanjem</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Člen 47a(1), člen 47c(3), točke (a), (b), (c), (e) in (g), ter člen 47c(6) Uredbe (EU) št. 575/2013.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skupne izpostavljenosti za dele restrukturiranih NPE, ki spadajo pod člen 47c(6) Uredbe (EU) št. 575/2013, zavarovane z drugim stvarnim ali osebnim kreditnim zavarovanjem v skladu z delom 3, naslov II, Uredbe (EU) št. 575/2013.</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in &lt;= 3 leta po razvrstitvi kot NPE</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 xml:space="preserve">Institucije poročajo vrednost izpostavljenosti za restrukturirane NPE, ki spadajo pod člen 47c(6) Uredbe (EU) št. 575/2013, zavarovane z drugim stvarnim ali osebnim kreditnim </w:t>
            </w:r>
            <w:r>
              <w:rPr>
                <w:rFonts w:ascii="Times New Roman" w:hAnsi="Times New Roman"/>
                <w:sz w:val="24"/>
              </w:rPr>
              <w:lastRenderedPageBreak/>
              <w:t>zavarovanjem, pri katerih je bil prvi ukrep restrukturiranja odobren med prvim in zadnjim dnevom tretjega leta po razvrstitvi izpostavljenosti kot nedonosne.</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in &lt;= 4 leta po razvrstitvi kot NPE</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zavarovane z drugim stvarnim ali osebnim kreditnim zavarovanjem, pri katerih je bil prvi ukrep restrukturiranja odobren med prvim in zadnjim dnevom četrtega leta po razvrstitvi izpostavljenosti kot nedonosne.</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in &lt;= 5 let po razvrstitvi kot NPE</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zavarovane z drugim stvarnim ali osebnim kreditnim zavarovanjem, pri katerih je bil prvi ukrep restrukturiranja odobren med prvim in zadnjim dnevom petega leta po razvrstitvi izpostavljenosti kot nedonosne.</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in &lt;= 6 let po razvrstitvi kot NPE</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Institucije poročajo vrednost izpostavljenosti za restrukturirane NPE, ki spadajo pod člen 47c(6) Uredbe (EU) št. 575/2013, zavarovane z drugim stvarnim ali osebnim kreditnim zavarovanjem, pri katerih je bil prvi ukrep restrukturiranja odobren med prvim in zadnjim dnevom šestega leta po razvrstitvi izpostavljenosti kot nedonosne.“</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1EA8FDCC" w:rsidR="00E7212E" w:rsidRPr="004C1423" w:rsidRDefault="004C1423">
      <w:pPr>
        <w:rPr>
          <w:rFonts w:ascii="Times New Roman" w:hAnsi="Times New Roman"/>
          <w:sz w:val="24"/>
        </w:rPr>
      </w:pPr>
      <w:r w:rsidRPr="004C1423">
        <w:rPr>
          <w:rFonts w:ascii="Times New Roman" w:hAnsi="Times New Roman"/>
          <w:sz w:val="24"/>
        </w:rPr>
        <w:t>“</w:t>
      </w:r>
    </w:p>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48306C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AA72417"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B4A1576"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4C1423"/>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sl-SI"/>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BDD629-A567-4604-8E13-EAAC8CBF0B64}"/>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3265</Words>
  <Characters>19819</Characters>
  <Application>Microsoft Office Word</Application>
  <DocSecurity>0</DocSecurity>
  <Lines>421</Lines>
  <Paragraphs>245</Paragraphs>
  <ScaleCrop>false</ScaleCrop>
  <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2025-01-23T14:44:54Z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c641c9d6-e418-4d2c-a8d1-8fe7797fca7b</vt:lpwstr>
  </property>
  <property fmtid="{D5CDD505-2E9C-101B-9397-08002B2CF9AE}" pid="9" name="MSIP_Label_6bd9ddd1-4d20-43f6-abfa-fc3c07406f94_ContentBits">
    <vt:lpwstr>0</vt:lpwstr>
  </property>
</Properties>
</file>