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SL</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PRILOGA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„PRILOGA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NAVODILA ZA POROČANJE O KAPITALU IN KAPITALSKIH ZAHTEVAH</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DEL II: NAVODILA V ZVEZI S PREDLOGAMI</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Pregled kapitalske ustreznosti</w:t>
      </w:r>
      <w:bookmarkEnd w:id="3"/>
      <w:r>
        <w:t xml:space="preserve"> (CA)</w:t>
      </w:r>
      <w:bookmarkEnd w:id="4"/>
      <w:bookmarkEnd w:id="5"/>
    </w:p>
    <w:p w14:paraId="049C1634" w14:textId="53DFE8D1"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w:t>
      </w:r>
      <w:r w:rsidR="00206A48" w:rsidRPr="00206A48">
        <w:t>1</w:t>
      </w:r>
      <w:r w:rsidR="00206A48" w:rsidRPr="00206A48">
        <w:tab/>
      </w:r>
      <w:r>
        <w:t>Splošne opombe</w:t>
      </w:r>
      <w:bookmarkEnd w:id="6"/>
      <w:bookmarkEnd w:id="7"/>
      <w:bookmarkEnd w:id="8"/>
      <w:bookmarkEnd w:id="9"/>
    </w:p>
    <w:p w14:paraId="730C7EE9" w14:textId="77777777" w:rsidR="00CC7D2C" w:rsidRPr="002A677E" w:rsidRDefault="00CC7D2C" w:rsidP="00206A48">
      <w:pPr>
        <w:pStyle w:val="InstructionsText2"/>
      </w:pPr>
      <w:r>
        <w:fldChar w:fldCharType="begin"/>
      </w:r>
      <w:r>
        <w:instrText>seq paragraphs</w:instrText>
      </w:r>
      <w:r>
        <w:fldChar w:fldCharType="separate"/>
      </w:r>
      <w:r>
        <w:t>11</w:t>
      </w:r>
      <w:r>
        <w:fldChar w:fldCharType="end"/>
      </w:r>
      <w:r>
        <w:t>.</w:t>
      </w:r>
      <w:r>
        <w:tab/>
        <w:t xml:space="preserve">Predloge CA vsebujejo informacije o števcih prvega stebra (kapital, temeljni kapital, navadni lastniški temeljni kapital), imenovalcu (kapitalske zahteve) in uporabi prehodnih določb Uredbe (EU) št. 575/2013 ter Direktive 2013/36/EU in so strukturirane v petih predlogah: </w:t>
      </w:r>
    </w:p>
    <w:p w14:paraId="416DAF6C" w14:textId="77777777" w:rsidR="00CC7D2C" w:rsidRPr="002A677E" w:rsidRDefault="00CC7D2C" w:rsidP="00206A48">
      <w:pPr>
        <w:pStyle w:val="InstructionsText2"/>
      </w:pPr>
      <w:r>
        <w:t>(a)</w:t>
      </w:r>
      <w:r>
        <w:tab/>
        <w:t>predloga CA1 vsebuje znesek kapitala institucij, ki je razčlenjen na postavke, potrebne za izračun navedenega zneska. Izračunan znesek kapitala vključuje skupne učinke uporabe prehodnih določb Uredbe (EU) št. 575/2013 in Direktive 2013/36/EU glede na vrsto kapitala;</w:t>
      </w:r>
    </w:p>
    <w:p w14:paraId="27EFA8F6" w14:textId="7AE1365E" w:rsidR="00CC7D2C" w:rsidRPr="002A677E" w:rsidRDefault="00CC7D2C" w:rsidP="00206A48">
      <w:pPr>
        <w:pStyle w:val="InstructionsText2"/>
      </w:pPr>
      <w:r>
        <w:t>(b)</w:t>
      </w:r>
      <w:r>
        <w:tab/>
        <w:t>v predlogi CA2 so povzeti zneski izpostavljenosti tveganju (TREA) ob upoštevanju izstopnega praga, brez upoštevanja izstopnega praga in standardizirani zneski skupne izpostavljenosti tveganju (S-TREA), kot so opredeljeni v členu 92, odstavek 3, 4 oziroma 5, Uredbe (EU) št. 575/2013;</w:t>
      </w:r>
    </w:p>
    <w:p w14:paraId="3031C055" w14:textId="77777777" w:rsidR="00CC7D2C" w:rsidRPr="002A677E" w:rsidRDefault="00CC7D2C" w:rsidP="00206A48">
      <w:pPr>
        <w:pStyle w:val="InstructionsText2"/>
      </w:pPr>
      <w:r>
        <w:t>(c)</w:t>
      </w:r>
      <w:r>
        <w:tab/>
        <w:t>predloga CA3 vsebuje količnike, za katere Uredba (EU) št. 575/2013 določa minimalne ravni, količnike v okviru drugega stebra in nekatere druge povezane podatke;</w:t>
      </w:r>
    </w:p>
    <w:p w14:paraId="7FAC43FB" w14:textId="77777777" w:rsidR="00CC7D2C" w:rsidRPr="002A677E" w:rsidRDefault="00CC7D2C" w:rsidP="00206A48">
      <w:pPr>
        <w:pStyle w:val="InstructionsText2"/>
      </w:pPr>
      <w:r>
        <w:t>(d)</w:t>
      </w:r>
      <w:r>
        <w:tab/>
        <w:t xml:space="preserve">predloga CA4 vsebuje pojasnjevalne postavke, ki so med drugim potrebne za izračun postavk v CA1, in informacije v zvezi s kapitalskimi blažilniki iz Direktive 2013/36/EU; </w:t>
      </w:r>
    </w:p>
    <w:p w14:paraId="0EB902DA" w14:textId="77777777" w:rsidR="00CC7D2C" w:rsidRPr="002A677E" w:rsidRDefault="00CC7D2C" w:rsidP="00206A48">
      <w:pPr>
        <w:pStyle w:val="InstructionsText2"/>
      </w:pPr>
      <w:r>
        <w:t>(e)</w:t>
      </w:r>
      <w:r>
        <w:tab/>
        <w:t>predloga CA5 vsebuje podatke, ki so potrebni za izračun učinka uporabe prehodnih določb Uredbe (EU) št. 575/2013 pri kapitalu. Predloga CA5 bo prenehala obstajati, ko te prehodne določbe ne bodo več veljavne.</w:t>
      </w:r>
    </w:p>
    <w:p w14:paraId="6AAF12AD" w14:textId="77777777" w:rsidR="00CC7D2C" w:rsidRPr="002A677E" w:rsidRDefault="00CC7D2C" w:rsidP="00206A48">
      <w:pPr>
        <w:pStyle w:val="InstructionsText2"/>
      </w:pPr>
      <w:r>
        <w:fldChar w:fldCharType="begin"/>
      </w:r>
      <w:r>
        <w:instrText>seq paragraphs</w:instrText>
      </w:r>
      <w:r>
        <w:fldChar w:fldCharType="separate"/>
      </w:r>
      <w:r>
        <w:t>12</w:t>
      </w:r>
      <w:r>
        <w:fldChar w:fldCharType="end"/>
      </w:r>
      <w:r>
        <w:t>.</w:t>
      </w:r>
      <w:r>
        <w:tab/>
        <w:t>Predloge uporabljajo vsi subjekti, ki poročajo, ne glede na računovodske standarde, ki jih upoštevajo, čeprav so nekatere postavke v števcu specifične za subjekte, ki uporabljajo pravila za vrednotenje tipa MRS/MSRP. Na splošno so informacije v imenovalcu povezane s končnimi rezultati, navedenimi v ustreznih predlogah za izračun zneska skupne izpostavljenosti tveganju.</w:t>
      </w:r>
    </w:p>
    <w:p w14:paraId="596C5A80" w14:textId="77777777" w:rsidR="00CC7D2C" w:rsidRPr="002A677E" w:rsidRDefault="00CC7D2C" w:rsidP="00206A48">
      <w:pPr>
        <w:pStyle w:val="InstructionsText2"/>
      </w:pPr>
      <w:r>
        <w:fldChar w:fldCharType="begin"/>
      </w:r>
      <w:r>
        <w:instrText>seq paragraphs</w:instrText>
      </w:r>
      <w:r>
        <w:fldChar w:fldCharType="separate"/>
      </w:r>
      <w:r>
        <w:t>13</w:t>
      </w:r>
      <w:r>
        <w:fldChar w:fldCharType="end"/>
      </w:r>
      <w:r>
        <w:t>.</w:t>
      </w:r>
      <w:r>
        <w:tab/>
        <w:t xml:space="preserve">Skupni kapital vključuje različne vrste kapitala: temeljni kapital (T1), ki je vsota navadnega lastniškega temeljnega kapitala (CET1) in dodatnega temeljnega kapitala (AT1), kakor tudi dodatni kapital (T2). </w:t>
      </w:r>
    </w:p>
    <w:p w14:paraId="2CD8D0AB" w14:textId="77777777" w:rsidR="00CC7D2C" w:rsidRPr="002A677E" w:rsidRDefault="00CC7D2C" w:rsidP="00206A48">
      <w:pPr>
        <w:pStyle w:val="InstructionsText2"/>
      </w:pPr>
      <w:r>
        <w:lastRenderedPageBreak/>
        <w:fldChar w:fldCharType="begin"/>
      </w:r>
      <w:r>
        <w:instrText>seq paragraphs</w:instrText>
      </w:r>
      <w:r>
        <w:fldChar w:fldCharType="separate"/>
      </w:r>
      <w:r>
        <w:t>14</w:t>
      </w:r>
      <w:r>
        <w:fldChar w:fldCharType="end"/>
      </w:r>
      <w:r>
        <w:t>.</w:t>
      </w:r>
      <w:r>
        <w:tab/>
        <w:t>Uporaba prehodnih določb Uredbe (EU) št. 575/2013 in Direktive 2013/36/EU se v predlogah CA obravnava na naslednji način:</w:t>
      </w:r>
    </w:p>
    <w:p w14:paraId="14CA06BE" w14:textId="77777777" w:rsidR="00CC7D2C" w:rsidRPr="002A677E" w:rsidRDefault="00CC7D2C" w:rsidP="00206A48">
      <w:pPr>
        <w:pStyle w:val="InstructionsText2"/>
      </w:pPr>
      <w:r>
        <w:t>(a)</w:t>
      </w:r>
      <w:r>
        <w:tab/>
        <w:t>postavke v CA1 se običajno upoštevajo brez prehodnih prilagoditev. To pomeni, da so vrednosti postavk v CA1 izračunane v skladu s končnimi določbami (tj. kot da ne bi bilo prehodnih določb), razen pri postavkah, ki povzemajo učinek teh prehodnih določb. Za vsako vrsto kapitala (tj. CET1, AT1 in T2) obstajajo tri različne postavke, ki vključujejo vse prilagoditve zaradi teh prehodnih določb;</w:t>
      </w:r>
    </w:p>
    <w:p w14:paraId="2571599A" w14:textId="77777777" w:rsidR="00CC7D2C" w:rsidRPr="002A677E" w:rsidRDefault="00CC7D2C" w:rsidP="00206A48">
      <w:pPr>
        <w:pStyle w:val="InstructionsText2"/>
      </w:pPr>
      <w:r>
        <w:t>(b)</w:t>
      </w:r>
      <w:r>
        <w:tab/>
        <w:t>prehodne določbe lahko vplivajo tudi na primanjkljaj dodatnega temeljnega kapitala in dodatnega kapitala (tj. presežek odbitka od AT1 iz člena 36(1), točka (j), Uredbe (EU) št. 575/2013 oziroma presežek odbitka od T2 iz člena 56, točka (e), Uredbe (EU) št. 575/2013), zato lahko postavke, ki vsebujejo te primanjkljaje, posredno izražajo učinek teh prehodnih določb;</w:t>
      </w:r>
    </w:p>
    <w:p w14:paraId="088733BA" w14:textId="77777777" w:rsidR="00CC7D2C" w:rsidRPr="002A677E" w:rsidRDefault="00CC7D2C" w:rsidP="00206A48">
      <w:pPr>
        <w:pStyle w:val="InstructionsText2"/>
      </w:pPr>
      <w:r>
        <w:t>(c)</w:t>
      </w:r>
      <w:r>
        <w:tab/>
        <w:t xml:space="preserve">predloga CA5 se uporablja izključno za poročanje učinka zaradi uporabe prehodnih določb Uredbe (EU) št. 575/2013, ki vplivajo na kapital. </w:t>
      </w:r>
    </w:p>
    <w:p w14:paraId="45D824B0" w14:textId="77777777" w:rsidR="00CC7D2C" w:rsidRPr="002A677E" w:rsidRDefault="00CC7D2C" w:rsidP="00206A48">
      <w:pPr>
        <w:pStyle w:val="InstructionsText2"/>
      </w:pPr>
      <w:r>
        <w:fldChar w:fldCharType="begin"/>
      </w:r>
      <w:r>
        <w:instrText>seq paragraphs</w:instrText>
      </w:r>
      <w:r>
        <w:fldChar w:fldCharType="separate"/>
      </w:r>
      <w:r>
        <w:t>15</w:t>
      </w:r>
      <w:r>
        <w:fldChar w:fldCharType="end"/>
      </w:r>
      <w:r>
        <w:t>.</w:t>
      </w:r>
      <w:r>
        <w:tab/>
        <w:t xml:space="preserve">Obravnavanje zahtev iz drugega stebra je lahko znotraj Unije različno (člen 104a(1) Direktive 2013/36/EU je treba prenesti v nacionalno zakonodajo). V poročanje o kapitalski ustreznosti, ki se zahteva v skladu z Uredbo (EU) št. 575/2013, se vključi le učinek zahtev iz drugega stebra na količnik kapitalske ustreznosti ali ciljni količnik. </w:t>
      </w:r>
    </w:p>
    <w:p w14:paraId="10043DAC" w14:textId="77777777" w:rsidR="00CC7D2C" w:rsidRPr="002A677E" w:rsidRDefault="00CC7D2C" w:rsidP="00206A48">
      <w:pPr>
        <w:pStyle w:val="InstructionsText2"/>
      </w:pPr>
      <w:r>
        <w:t>(a)</w:t>
      </w:r>
      <w:r>
        <w:tab/>
        <w:t>Predloge CA1, CA2 ali CA5 vsebujejo samo podatke, povezane s prvim stebrom.</w:t>
      </w:r>
    </w:p>
    <w:p w14:paraId="0DBE98C6" w14:textId="77777777" w:rsidR="00CC7D2C" w:rsidRPr="002A677E" w:rsidRDefault="00CC7D2C" w:rsidP="00206A48">
      <w:pPr>
        <w:pStyle w:val="InstructionsText2"/>
      </w:pPr>
      <w:r>
        <w:t>(b)</w:t>
      </w:r>
      <w:r>
        <w:tab/>
        <w:t>Predloga CA3 vsebuje učinek dodatnih zahtev iz drugega stebra na količnik kapitalske ustreznosti na zbirni podlagi. Osredotočena je predvsem na same cilje količnike. Dodatnih povezav s predlogami CA1, CA2 ali CA5 ni.</w:t>
      </w:r>
    </w:p>
    <w:p w14:paraId="63F79AA0" w14:textId="77777777" w:rsidR="00CC7D2C" w:rsidRDefault="00CC7D2C" w:rsidP="00206A48">
      <w:pPr>
        <w:pStyle w:val="InstructionsText2"/>
      </w:pPr>
      <w:r>
        <w:t>(c)</w:t>
      </w:r>
      <w:r>
        <w:tab/>
        <w:t>Predloga CA4 vsebuje eno celico za dodatne kapitalske zahteve v zvezi z drugim stebrom. Ta celica ni povezana s kapitalskimi količniki iz predloge CA3 prek validacijskih pravil, pri čemer izraža člen 104a(1) Direktive 2013/36/EU, ki izrecno omenja dodatne kapitalske zahteve kot eno od možnosti za odločitve v okviru drugega stebra.</w:t>
      </w:r>
    </w:p>
    <w:p w14:paraId="2CF3DCE5" w14:textId="22DB17A6" w:rsidR="00CC7D2C" w:rsidRDefault="00CC7D2C" w:rsidP="00206A48">
      <w:pPr>
        <w:pStyle w:val="InstructionsText2"/>
      </w:pPr>
      <w:r>
        <w:t xml:space="preserve">15a. Upoštevanje zahtev glede izstopnega praga lahko vpliva na TREA in tudi na kapitalske zahteve, katerih izračun je odvisen od TREA: kapitalske količnike, zahteve v okviru drugega stebra in kapitalske blažilnike. Kadar pristojni organ uporabi odstopanje iz člena 92(3), drugi pododstavek, Uredbe (EU) št. 575/2013, se informacije o zahtevah glede izstopnega praga ustrezno poročajo. </w:t>
      </w:r>
    </w:p>
    <w:p w14:paraId="226DFED5" w14:textId="77777777" w:rsidR="00CC7D2C" w:rsidRPr="005B630F" w:rsidRDefault="00CC7D2C" w:rsidP="00206A48">
      <w:pPr>
        <w:pStyle w:val="InstructionsText2"/>
      </w:pPr>
      <w:r>
        <w:t>(a)</w:t>
      </w:r>
      <w:r>
        <w:tab/>
        <w:t>Predloga CA2 vsebuje zneske skupne izpostavljenosti tveganju ob upoštevanju in brez upoštevanja izstopnega praga ter standardizirane zneske skupne izpostavljenosti tveganju. TREA ob upoštevanju izstopnega praga in standardizirani TREA odražata učinek prehodnih ureditev za izstopni prag iz člena 465 Uredbe (EU) št. 575/2013.</w:t>
      </w:r>
    </w:p>
    <w:p w14:paraId="70D5E959" w14:textId="77777777" w:rsidR="00CC7D2C" w:rsidRDefault="00CC7D2C" w:rsidP="00206A48">
      <w:pPr>
        <w:pStyle w:val="InstructionsText2"/>
      </w:pPr>
      <w:r>
        <w:t>(b)</w:t>
      </w:r>
      <w:r>
        <w:tab/>
        <w:t>Predloga CA3 vsebuje kapitalske količnike ob upoštevanju in brez upoštevanja izstopnega praga ter količnik skupne kapitalske zahteve v okviru PNPO (TSCR) pred in po uvedbi zgornje meje iz člena 104a Direktive 2013/36/EU ter kapitalske količnike brez uporabe prehodnih ureditev za izstopni prag.</w:t>
      </w:r>
    </w:p>
    <w:p w14:paraId="5965EF78" w14:textId="77777777" w:rsidR="00CC7D2C" w:rsidRDefault="00CC7D2C" w:rsidP="00206A48">
      <w:pPr>
        <w:pStyle w:val="InstructionsText2"/>
      </w:pPr>
      <w:r>
        <w:lastRenderedPageBreak/>
        <w:t>15b. Predloga CA4 vsebuje zneske prilagoditev izstopnega praga ob uporabi in brez uporabe prehodnih ureditev za izstopni prag ter veljavni odstotek izstopnega praga v skladu s členom 465(1) Uredbe (EU) št. 575/2013.</w:t>
      </w:r>
    </w:p>
    <w:p w14:paraId="36A0BD6A" w14:textId="5DE2A828" w:rsidR="00CC7D2C" w:rsidRDefault="00DA32D5" w:rsidP="00206A48">
      <w:pPr>
        <w:pStyle w:val="InstructionsText2"/>
        <w:rPr>
          <w:noProof/>
        </w:rPr>
      </w:pPr>
      <w:r>
        <w:t>15c.  Predloga C 06.02 vsebuje prilagoditev izstopnega praga pri TREA za subjekte, vključene v obseg konsolidacije.</w:t>
      </w:r>
    </w:p>
    <w:p w14:paraId="4F8F57C9" w14:textId="572FD9C8" w:rsidR="00CC7D2C" w:rsidRPr="002A677E" w:rsidRDefault="00CC7D2C" w:rsidP="00206A48">
      <w:pPr>
        <w:pStyle w:val="InstructionsText2"/>
        <w:rPr>
          <w:noProof/>
        </w:rPr>
      </w:pPr>
      <w:r>
        <w:t xml:space="preserve">15d. Predloge C10.00, C13.01, C14.01 in C34.02 vsebujejo informacije o standardiziranih vrednostih izpostavljenosti in standardiziranih TREA, izračunanih v skladu s členom 92(5) Uredbe (EU) št. 575/2013, ter po potrebi učinek prehodnih ureditev za izračun S-TREA.  </w:t>
      </w:r>
    </w:p>
    <w:p w14:paraId="49279069" w14:textId="77777777" w:rsidR="00CC7D2C" w:rsidRPr="002A677E" w:rsidRDefault="00CC7D2C" w:rsidP="00206A48">
      <w:pPr>
        <w:pStyle w:val="InstructionsText2"/>
      </w:pPr>
    </w:p>
    <w:p w14:paraId="0DDBF68C" w14:textId="02623EDB"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w:t>
      </w:r>
      <w:r w:rsidR="00206A48" w:rsidRPr="00432B39">
        <w:rPr>
          <w:u w:val="none"/>
        </w:rPr>
        <w:t>2</w:t>
      </w:r>
      <w:r w:rsidR="00432B39">
        <w:rPr>
          <w:u w:val="none"/>
        </w:rPr>
        <w:tab/>
      </w:r>
      <w:r w:rsidR="00432B39">
        <w:rPr>
          <w:u w:val="none"/>
        </w:rPr>
        <w:tab/>
      </w:r>
      <w:r>
        <w:t>C 01.00 – KAPITAL (CA1)</w:t>
      </w:r>
      <w:bookmarkEnd w:id="10"/>
      <w:bookmarkEnd w:id="11"/>
      <w:r>
        <w:t xml:space="preserve"> </w:t>
      </w:r>
      <w:bookmarkEnd w:id="12"/>
      <w:bookmarkEnd w:id="13"/>
    </w:p>
    <w:p w14:paraId="4A8E09A3" w14:textId="49A74685"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w:t>
      </w:r>
      <w:r w:rsidR="00206A48" w:rsidRPr="00432B39">
        <w:rPr>
          <w:u w:val="none"/>
        </w:rPr>
        <w:t>1</w:t>
      </w:r>
      <w:r w:rsidR="00206A48" w:rsidRPr="00432B39">
        <w:rPr>
          <w:u w:val="none"/>
        </w:rPr>
        <w:tab/>
      </w:r>
      <w:r>
        <w:t>Navodila za posamezne</w:t>
      </w:r>
      <w:bookmarkEnd w:id="14"/>
      <w:bookmarkEnd w:id="15"/>
      <w:r>
        <w:t xml:space="preserve"> pozicije</w:t>
      </w:r>
      <w:bookmarkEnd w:id="16"/>
      <w:bookmarkEnd w:id="17"/>
      <w:bookmarkEnd w:id="18"/>
    </w:p>
    <w:p w14:paraId="46149592" w14:textId="77777777" w:rsidR="00CC7D2C" w:rsidRPr="002A677E" w:rsidRDefault="00CC7D2C" w:rsidP="00206A4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206A48">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00BD61FC" w14:textId="77777777" w:rsidR="00CC7D2C" w:rsidRPr="002A677E" w:rsidRDefault="00CC7D2C" w:rsidP="00206A48">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CC7D2C" w:rsidRPr="002A677E" w14:paraId="4C04A885" w14:textId="77777777" w:rsidTr="00822842">
        <w:tc>
          <w:tcPr>
            <w:tcW w:w="1129" w:type="dxa"/>
          </w:tcPr>
          <w:p w14:paraId="3DFF1FF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432B39">
              <w:rPr>
                <w:u w:val="single"/>
              </w:rPr>
              <w:tab/>
            </w:r>
            <w:r>
              <w:rPr>
                <w:rStyle w:val="InstructionsTabelleberschrift"/>
                <w:rFonts w:ascii="Times New Roman" w:hAnsi="Times New Roman"/>
                <w:sz w:val="24"/>
              </w:rPr>
              <w:t>Kapital</w:t>
            </w:r>
          </w:p>
          <w:p w14:paraId="31EC155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4(1), točka 118, in člen 72 </w:t>
            </w:r>
            <w:r>
              <w:t>Uredbe (EU) št. 575/2013.</w:t>
            </w:r>
          </w:p>
          <w:p w14:paraId="48FA791A"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 institucije je vsota njenega temeljnega in dodatnega kapitala.</w:t>
            </w:r>
          </w:p>
        </w:tc>
      </w:tr>
      <w:tr w:rsidR="00CC7D2C" w:rsidRPr="002A677E" w14:paraId="5E03706C" w14:textId="77777777" w:rsidTr="00822842">
        <w:tc>
          <w:tcPr>
            <w:tcW w:w="1129" w:type="dxa"/>
          </w:tcPr>
          <w:p w14:paraId="69C1DA7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6122690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Temeljni kapital</w:t>
            </w:r>
          </w:p>
          <w:p w14:paraId="7D7B993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25</w:t>
            </w:r>
            <w:r>
              <w:t xml:space="preserve"> Uredbe (EU) št. 575/2013.</w:t>
            </w:r>
          </w:p>
          <w:p w14:paraId="09B0C85E"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Temeljni kapital je vsota navadnega lastniškega temeljnega kapitala in dodatnega temeljnega kapitala. </w:t>
            </w:r>
          </w:p>
        </w:tc>
      </w:tr>
      <w:tr w:rsidR="00CC7D2C" w:rsidRPr="002A677E" w14:paraId="5DCDFC6B" w14:textId="77777777" w:rsidTr="00822842">
        <w:tc>
          <w:tcPr>
            <w:tcW w:w="1129" w:type="dxa"/>
          </w:tcPr>
          <w:p w14:paraId="44FCDAD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05CF127F"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Navadni lastniški temeljni kapital</w:t>
            </w:r>
          </w:p>
          <w:p w14:paraId="4F1E707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w:t>
            </w:r>
            <w:r>
              <w:t xml:space="preserve"> Uredbe (EU) št. 575/2013.</w:t>
            </w:r>
          </w:p>
        </w:tc>
      </w:tr>
      <w:tr w:rsidR="00CC7D2C" w:rsidRPr="002A677E" w14:paraId="50E5DD49" w14:textId="77777777" w:rsidTr="00822842">
        <w:tc>
          <w:tcPr>
            <w:tcW w:w="1129" w:type="dxa"/>
          </w:tcPr>
          <w:p w14:paraId="425977A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0912FAAB" w:rsidR="00CC7D2C" w:rsidRPr="001235ED"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Kapitalski instrumenti in vplačani presežek kapitala, sprejemljivi kot navaden lastniški temeljni kapital</w:t>
            </w:r>
          </w:p>
          <w:p w14:paraId="5F4E10C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 točki (a) in (b), členi 27 do 30, člen 36(1), točka (f), in člen 42</w:t>
            </w:r>
            <w:r>
              <w:t xml:space="preserve"> Uredbe (EU) št. 575/2013.</w:t>
            </w:r>
          </w:p>
        </w:tc>
      </w:tr>
      <w:tr w:rsidR="00CC7D2C" w:rsidRPr="002A677E" w14:paraId="0656D54B" w14:textId="77777777" w:rsidTr="00822842">
        <w:tc>
          <w:tcPr>
            <w:tcW w:w="1129" w:type="dxa"/>
          </w:tcPr>
          <w:p w14:paraId="1D67083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53415494"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 celoti vplačani kapitalski instrumenti</w:t>
            </w:r>
          </w:p>
          <w:p w14:paraId="13B60A6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26(1), točka (a), in členi 27 do 31 </w:t>
            </w:r>
            <w:r>
              <w:t>Uredbe (EU) št. 575/2013.</w:t>
            </w:r>
          </w:p>
          <w:p w14:paraId="49B9CE2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Vključijo se kapitalski instrumenti vzajemnih, zadružnih ali podobnih institucij (člena 27 in 29</w:t>
            </w:r>
            <w:r>
              <w:t xml:space="preserve"> Uredbe (EU) št. 575/2013</w:t>
            </w:r>
            <w:r>
              <w:rPr>
                <w:rStyle w:val="FormatvorlageInstructionsTabelleText"/>
                <w:rFonts w:ascii="Times New Roman" w:hAnsi="Times New Roman"/>
                <w:sz w:val="24"/>
              </w:rPr>
              <w:t>).</w:t>
            </w:r>
          </w:p>
          <w:p w14:paraId="7827C6D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povezan z instrumenti, se ne vključi.</w:t>
            </w:r>
          </w:p>
          <w:p w14:paraId="2903801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Kapitalski instrumenti, ki jih vpišejo javni organi v izrednih razmerah, se vključijo, če so izpolnjeni vsi pogoji iz člena 31 </w:t>
            </w:r>
            <w:r>
              <w:t>Uredbe (EU) št. 575/2013</w:t>
            </w:r>
            <w:r>
              <w:rPr>
                <w:rStyle w:val="FormatvorlageInstructionsTabelleText"/>
                <w:rFonts w:ascii="Times New Roman" w:hAnsi="Times New Roman"/>
                <w:sz w:val="24"/>
              </w:rPr>
              <w:t>.</w:t>
            </w:r>
          </w:p>
        </w:tc>
      </w:tr>
      <w:tr w:rsidR="00CC7D2C" w:rsidRPr="002A677E" w14:paraId="4E036248" w14:textId="77777777" w:rsidTr="00822842">
        <w:tc>
          <w:tcPr>
            <w:tcW w:w="1129" w:type="dxa"/>
          </w:tcPr>
          <w:p w14:paraId="4C41624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5BB7149F"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kapitalski instrumenti, ki jih vpišejo javni organi v izrednih razmerah</w:t>
            </w:r>
          </w:p>
          <w:p w14:paraId="3743B5F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31</w:t>
            </w:r>
            <w:r>
              <w:t xml:space="preserve"> Uredbe (EU) št. 575/2013.</w:t>
            </w:r>
          </w:p>
          <w:p w14:paraId="3BA89906"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Kapitalski instrumenti, ki jih vpišejo javni organi v izrednih razmerah, se vključijo v navadni lastniški temeljni kapital, če so izpolnjeni vsi pogoji iz člena 31 </w:t>
            </w:r>
            <w:r>
              <w:t>Uredbe (EU) št. 575/2013</w:t>
            </w:r>
            <w:r>
              <w:rPr>
                <w:rStyle w:val="InstructionsTabelleberschrift"/>
                <w:rFonts w:ascii="Times New Roman" w:hAnsi="Times New Roman"/>
                <w:b w:val="0"/>
                <w:sz w:val="24"/>
                <w:u w:val="none"/>
              </w:rPr>
              <w:t>.</w:t>
            </w:r>
          </w:p>
        </w:tc>
      </w:tr>
      <w:tr w:rsidR="00CC7D2C" w:rsidRPr="002A677E" w14:paraId="46C4E17A" w14:textId="77777777" w:rsidTr="00822842">
        <w:tc>
          <w:tcPr>
            <w:tcW w:w="1129" w:type="dxa"/>
          </w:tcPr>
          <w:p w14:paraId="72DE3B9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2A13572" w14:textId="03941389"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Pojasnjevalna postavka: kapitalski instrumenti, ki niso sprejemljivi</w:t>
            </w:r>
          </w:p>
          <w:p w14:paraId="0D8C40B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28(1), točke (b), (l) in (m), </w:t>
            </w:r>
            <w:r>
              <w:t>Uredbe (EU) št. 575/2013.</w:t>
            </w:r>
          </w:p>
          <w:p w14:paraId="589C62D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02886CD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CC7D2C" w:rsidRPr="002A677E" w14:paraId="08897B4B" w14:textId="77777777" w:rsidTr="00822842">
        <w:tc>
          <w:tcPr>
            <w:tcW w:w="1129" w:type="dxa"/>
          </w:tcPr>
          <w:p w14:paraId="0A0AEFF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4341985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Vplačani presežek kapitala</w:t>
            </w:r>
          </w:p>
          <w:p w14:paraId="0CC528E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124, in člen 26(1), točka (b), </w:t>
            </w:r>
            <w:r>
              <w:t>Uredbe (EU) št. 575/2013.</w:t>
            </w:r>
          </w:p>
          <w:p w14:paraId="02BDC94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14:paraId="45DE9F1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 okviru te postavke, je del, povezan z „v celoti vplačanimi kapitalskimi instrumenti“. </w:t>
            </w:r>
          </w:p>
        </w:tc>
      </w:tr>
      <w:tr w:rsidR="00CC7D2C" w:rsidRPr="002A677E" w14:paraId="4E2BC4B8" w14:textId="77777777" w:rsidTr="00822842">
        <w:tc>
          <w:tcPr>
            <w:tcW w:w="1129" w:type="dxa"/>
          </w:tcPr>
          <w:p w14:paraId="1D4B992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09DF4400"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Lastni instrumenti navadnega lastniškega temeljnega kapitala</w:t>
            </w:r>
          </w:p>
          <w:p w14:paraId="0AF323C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2CAF507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navadnega lastniškega temeljnega kapitala, ki jih ima institucija ali skupina poročevalka na datum poročanja, in zneski instrumentov navadnega lastniškega kapitala, ki jih je treba odbiti v skladu s členom 28(2) Delegirane uredbe Komisije (EU) št. 241/2014</w:t>
            </w:r>
            <w:r>
              <w:rPr>
                <w:rStyle w:val="FootnoteReference"/>
                <w:bCs/>
                <w:vertAlign w:val="superscript"/>
              </w:rPr>
              <w:footnoteReference w:id="1"/>
            </w:r>
            <w:r>
              <w:rPr>
                <w:rStyle w:val="FormatvorlageInstructionsTabelleText"/>
                <w:rFonts w:ascii="Times New Roman" w:hAnsi="Times New Roman"/>
                <w:sz w:val="24"/>
              </w:rPr>
              <w:t>. Veljajo izjeme iz člena 42</w:t>
            </w:r>
            <w:r>
              <w:t xml:space="preserve"> Uredbe (EU) št. 575/2013</w:t>
            </w:r>
            <w:r>
              <w:rPr>
                <w:rStyle w:val="FormatvorlageInstructionsTabelleText"/>
                <w:rFonts w:ascii="Times New Roman" w:hAnsi="Times New Roman"/>
                <w:sz w:val="24"/>
              </w:rPr>
              <w:t>.</w:t>
            </w:r>
          </w:p>
          <w:p w14:paraId="5CADFB2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14:paraId="1988196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vplačani presežek kapitala, povezan z lastnimi delnicami.</w:t>
            </w:r>
          </w:p>
          <w:p w14:paraId="154333E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1.1.1.1.4 do 1.1.1.1.4.3 ne vključujejo dejanskih ali pogojnih obveznosti nakupa lastnih instrumentov navadnega lastniškega temeljnega kapitala. Dejanske ali pogojne obveznosti nakupa lastnih instrumentov navadnega lastniškega temeljnega kapitala se poročajo ločeno v postavki 1.1.1.1.5.</w:t>
            </w:r>
          </w:p>
        </w:tc>
      </w:tr>
      <w:tr w:rsidR="00CC7D2C" w:rsidRPr="002A677E" w14:paraId="20C40C47" w14:textId="77777777" w:rsidTr="00822842">
        <w:tc>
          <w:tcPr>
            <w:tcW w:w="1129" w:type="dxa"/>
          </w:tcPr>
          <w:p w14:paraId="0026947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631AA053" w14:textId="6F368AFA"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Neposredni deleži v instrumentih navadnega lastniškega temeljnega kapitala</w:t>
            </w:r>
          </w:p>
          <w:p w14:paraId="0F857D1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0F1D145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navadnega lastniškega temeljnega kapitala, vključeni v postavko 1.1.1.1, ki jih imajo institucije konsolidirane skupine, in zneski </w:t>
            </w:r>
            <w:r>
              <w:rPr>
                <w:rStyle w:val="FormatvorlageInstructionsTabelleText"/>
                <w:rFonts w:ascii="Times New Roman" w:hAnsi="Times New Roman"/>
                <w:sz w:val="24"/>
              </w:rPr>
              <w:lastRenderedPageBreak/>
              <w:t xml:space="preserve">instrumentov navadnega lastniškega temeljnega kapitala, ki jih je treba odbiti v skladu s členom 28(2) Delegirane uredbe Komisije (EU) št. 241/2014. </w:t>
            </w:r>
          </w:p>
          <w:p w14:paraId="69A2AC9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vključuje deleže v trgovalni knjigi, izračunane na podlagi neto dolge pozicije, kot določa člen 42, točka (a), </w:t>
            </w:r>
            <w:r>
              <w:t>Uredbe (EU) št.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620" w:type="dxa"/>
          </w:tcPr>
          <w:p w14:paraId="54D7C924" w14:textId="6F89F1B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Posredni deleži v instrumentih navadnega lastniškega temeljnega kapitala</w:t>
            </w:r>
          </w:p>
          <w:p w14:paraId="754C577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114, člen 36(1), točka (f), in člen 42 </w:t>
            </w:r>
            <w:r>
              <w:t>Uredbe (EU) št. 575/2013.</w:t>
            </w:r>
          </w:p>
        </w:tc>
      </w:tr>
      <w:tr w:rsidR="00CC7D2C" w:rsidRPr="002A677E" w14:paraId="1F25B017" w14:textId="77777777" w:rsidTr="00822842">
        <w:tc>
          <w:tcPr>
            <w:tcW w:w="1129" w:type="dxa"/>
          </w:tcPr>
          <w:p w14:paraId="6DF954E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1D523FD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Sintetični deleži v instrumentih navadnega lastniškega temeljnega kapitala</w:t>
            </w:r>
          </w:p>
          <w:p w14:paraId="3E0D4BE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Člen 4(1), točka 126, člen 36(1), točka (f), in člen 42 </w:t>
            </w:r>
            <w:r>
              <w:t>Uredbe (EU) št. 575/2013.</w:t>
            </w:r>
          </w:p>
        </w:tc>
      </w:tr>
      <w:tr w:rsidR="00CC7D2C" w:rsidRPr="002A677E" w14:paraId="33CE3BE1" w14:textId="77777777" w:rsidTr="00822842">
        <w:tc>
          <w:tcPr>
            <w:tcW w:w="1129" w:type="dxa"/>
          </w:tcPr>
          <w:p w14:paraId="03E12DA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2D651F8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Dejanske ali pogojne obveznosti nakupa lastnih instrumentov navadnega lastniškega temeljnega kapitala</w:t>
            </w:r>
          </w:p>
          <w:p w14:paraId="7D0F7B5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(f), in člen 42</w:t>
            </w:r>
            <w:r>
              <w:t xml:space="preserve"> Uredbe (EU) št. 575/2013.</w:t>
            </w:r>
          </w:p>
          <w:p w14:paraId="55FBB150"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36(1),</w:t>
            </w:r>
            <w:r>
              <w:rPr>
                <w:rStyle w:val="FormatvorlageInstructionsTabelleText"/>
                <w:rFonts w:ascii="Times New Roman" w:hAnsi="Times New Roman"/>
                <w:sz w:val="24"/>
              </w:rPr>
              <w:t xml:space="preserve"> točka (f),</w:t>
            </w:r>
            <w:r>
              <w:t xml:space="preserve"> Uredbe (EU) št. 575/2013 se </w:t>
            </w:r>
            <w:r>
              <w:rPr>
                <w:rStyle w:val="InstructionsTabelleberschrift"/>
                <w:rFonts w:ascii="Times New Roman" w:hAnsi="Times New Roman"/>
                <w:b w:val="0"/>
                <w:sz w:val="24"/>
                <w:u w:val="none"/>
              </w:rPr>
              <w:t>„</w:t>
            </w:r>
            <w:proofErr w:type="spellStart"/>
            <w:r>
              <w:t>lastn</w:t>
            </w:r>
            <w:proofErr w:type="spellEnd"/>
            <w:r>
              <w:t>[i] instrumenti navadnega lastniškega temeljnega kapitala, za katere ima institucija dejansko ali pogojno obveznost nakupa na podlagi obstoječe pogodbene obveznosti“, odbijejo.</w:t>
            </w:r>
          </w:p>
        </w:tc>
      </w:tr>
      <w:tr w:rsidR="00CC7D2C" w:rsidRPr="002A677E" w14:paraId="436677FF" w14:textId="77777777" w:rsidTr="00822842">
        <w:tc>
          <w:tcPr>
            <w:tcW w:w="1129" w:type="dxa"/>
          </w:tcPr>
          <w:p w14:paraId="09DBFD3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20926A4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Zadržani dobiček</w:t>
            </w:r>
          </w:p>
          <w:p w14:paraId="7009A7F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26(1), točka (c), in 26(2) </w:t>
            </w:r>
            <w:r>
              <w:t>Uredbe (EU) št. 575/2013.</w:t>
            </w:r>
          </w:p>
          <w:p w14:paraId="3D7EC55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Zadržani dobiček vključuje zadržani dobiček preteklega leta in priznani dobiček med letom ali čisti dobiček poslovnega leta.</w:t>
            </w:r>
          </w:p>
        </w:tc>
      </w:tr>
      <w:tr w:rsidR="00CC7D2C" w:rsidRPr="002A677E" w14:paraId="0301CE75" w14:textId="77777777" w:rsidTr="00822842">
        <w:tc>
          <w:tcPr>
            <w:tcW w:w="1129" w:type="dxa"/>
          </w:tcPr>
          <w:p w14:paraId="4D164B1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05B00DB5"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Zadržani dobiček preteklih let</w:t>
            </w:r>
          </w:p>
          <w:p w14:paraId="5CB4D03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123, in člen 26(1), točka (c), </w:t>
            </w:r>
            <w:r>
              <w:t>Uredbe (EU) št. 575/2013.</w:t>
            </w:r>
          </w:p>
          <w:p w14:paraId="1FA473F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členu 4(1), točka (123), </w:t>
            </w:r>
            <w:r>
              <w:t>Uredbe (EU) št. 575/2013</w:t>
            </w:r>
            <w:r>
              <w:rPr>
                <w:rStyle w:val="FormatvorlageInstructionsTabelleText"/>
                <w:rFonts w:ascii="Times New Roman" w:hAnsi="Times New Roman"/>
                <w:sz w:val="24"/>
              </w:rPr>
              <w:t xml:space="preserve"> je zadržani dobiček opredeljen kot „prenesen[i] </w:t>
            </w:r>
            <w:proofErr w:type="spellStart"/>
            <w:r>
              <w:rPr>
                <w:rStyle w:val="FormatvorlageInstructionsTabelleText"/>
                <w:rFonts w:ascii="Times New Roman" w:hAnsi="Times New Roman"/>
                <w:sz w:val="24"/>
              </w:rPr>
              <w:t>dobičk</w:t>
            </w:r>
            <w:proofErr w:type="spellEnd"/>
            <w:r>
              <w:rPr>
                <w:rStyle w:val="FormatvorlageInstructionsTabelleText"/>
                <w:rFonts w:ascii="Times New Roman" w:hAnsi="Times New Roman"/>
                <w:sz w:val="24"/>
              </w:rPr>
              <w:t>[i] in izgube, ki izhajajo iz dobičkov ali izgub iz preteklih let, v skladu z veljavnim računovodskim okvirom“.</w:t>
            </w:r>
          </w:p>
        </w:tc>
      </w:tr>
      <w:tr w:rsidR="00CC7D2C" w:rsidRPr="002A677E" w14:paraId="5EACCF4C" w14:textId="77777777" w:rsidTr="00822842">
        <w:tc>
          <w:tcPr>
            <w:tcW w:w="1129" w:type="dxa"/>
          </w:tcPr>
          <w:p w14:paraId="775A1E6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2AE99B4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Priznan dobiček ali izguba</w:t>
            </w:r>
          </w:p>
          <w:p w14:paraId="5DC0BAE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121, člen 26(2) in člen 36(1), točka (a), </w:t>
            </w:r>
            <w:r>
              <w:t>Uredbe (EU) št. 575/2013.</w:t>
            </w:r>
          </w:p>
          <w:p w14:paraId="45CE075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skladu s členom 26(2) </w:t>
            </w:r>
            <w:r>
              <w:t>Uredbe (EU) št. 575/2013</w:t>
            </w:r>
            <w:r>
              <w:rPr>
                <w:rStyle w:val="FormatvorlageInstructionsTabelleText"/>
                <w:rFonts w:ascii="Times New Roman" w:hAnsi="Times New Roman"/>
                <w:sz w:val="24"/>
              </w:rPr>
              <w:t xml:space="preserve"> se lahko kot zadržani dobički vključijo dobički med letom ali čisti dobički poslovnega leta ob predhodnem dovoljenju pristojnega organa, če so izpolnjeni določeni pogoji. </w:t>
            </w:r>
          </w:p>
          <w:p w14:paraId="0BFC073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Obratno se v skladu s členom 36(1), točka (a),</w:t>
            </w:r>
            <w:r>
              <w:t xml:space="preserve"> Uredbe (EU) št. 575/2013</w:t>
            </w:r>
            <w:r>
              <w:rPr>
                <w:rStyle w:val="FormatvorlageInstructionsTabelleText"/>
                <w:rFonts w:ascii="Times New Roman" w:hAnsi="Times New Roman"/>
                <w:sz w:val="24"/>
              </w:rPr>
              <w:t xml:space="preserve"> od navadnega lastniškega temeljnega kapitala odbijejo izgube.</w:t>
            </w:r>
          </w:p>
        </w:tc>
      </w:tr>
      <w:tr w:rsidR="00CC7D2C" w:rsidRPr="002A677E" w14:paraId="24BE1C8A" w14:textId="77777777" w:rsidTr="00822842">
        <w:tc>
          <w:tcPr>
            <w:tcW w:w="1129" w:type="dxa"/>
          </w:tcPr>
          <w:p w14:paraId="2699710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04A17165" w:rsidR="00CC7D2C" w:rsidRPr="00206A48" w:rsidRDefault="00CC7D2C" w:rsidP="00206A48">
            <w:pPr>
              <w:pStyle w:val="InstructionsText"/>
              <w:rPr>
                <w:rStyle w:val="FormatvorlageInstructionsTabelleText"/>
                <w:rFonts w:ascii="Times New Roman" w:hAnsi="Times New Roman"/>
                <w:b/>
                <w:sz w:val="24"/>
                <w:u w:val="single"/>
              </w:rPr>
            </w:pPr>
            <w:r w:rsidRPr="00206A48">
              <w:rPr>
                <w:rStyle w:val="InstructionsTabelleberschrift"/>
                <w:rFonts w:ascii="Times New Roman" w:hAnsi="Times New Roman"/>
                <w:sz w:val="24"/>
              </w:rPr>
              <w:t>1.1.1.2.2.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sidRPr="00206A48">
              <w:rPr>
                <w:rStyle w:val="InstructionsTabelleberschrift"/>
                <w:rFonts w:ascii="Times New Roman" w:hAnsi="Times New Roman"/>
                <w:sz w:val="24"/>
              </w:rPr>
              <w:t>Poslovni izid, ki se pripiše lastnikom nadrejene banke</w:t>
            </w:r>
          </w:p>
          <w:p w14:paraId="03530D4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26(2) in 36(1), točka (a), </w:t>
            </w:r>
            <w:r>
              <w:t>Uredbe (EU) št. 575/2013.</w:t>
            </w:r>
          </w:p>
          <w:p w14:paraId="2431C77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je dobiček ali izguba, vključena v računovodski izkaz poslovnega izida.</w:t>
            </w:r>
          </w:p>
        </w:tc>
      </w:tr>
      <w:tr w:rsidR="00CC7D2C" w:rsidRPr="002A677E" w14:paraId="62BE66ED" w14:textId="77777777" w:rsidTr="00822842">
        <w:tc>
          <w:tcPr>
            <w:tcW w:w="1129" w:type="dxa"/>
          </w:tcPr>
          <w:p w14:paraId="2C59B1B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14:paraId="0803ED03" w14:textId="428755C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Del dobičkov med letom ali čistih dobičkov poslovnega leta, ki ni sprejemljiv</w:t>
            </w:r>
          </w:p>
          <w:p w14:paraId="19A847A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w:t>
            </w:r>
            <w:r>
              <w:t xml:space="preserve"> Uredbe (EU) št. 575/2013.</w:t>
            </w:r>
          </w:p>
          <w:p w14:paraId="67D1E16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je prazna, če je institucija za referenčno obdobje poročala izgube, ker se izgube v celoti odbijejo od navadnega lastniškega temeljnega kapitala.</w:t>
            </w:r>
          </w:p>
          <w:p w14:paraId="79C02EE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Če institucija poroča dobičke, se poroča del, ki v skladu s členom 26(2) </w:t>
            </w:r>
            <w:r>
              <w:t>Uredbe (EU) št. 575/2013</w:t>
            </w:r>
            <w:r>
              <w:rPr>
                <w:rStyle w:val="FormatvorlageInstructionsTabelleText"/>
                <w:rFonts w:ascii="Times New Roman" w:hAnsi="Times New Roman"/>
                <w:sz w:val="24"/>
              </w:rPr>
              <w:t xml:space="preserve"> ni sprejemljiv (tj. dobički, ki niso revidirani, in predvidljive obremenitve ali dividende).</w:t>
            </w:r>
          </w:p>
          <w:p w14:paraId="5CD4975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Opozoriti je treba, da so v primeru dobičkov zneski, ki jih je treba odbiti, vsaj vmesne dividende.</w:t>
            </w:r>
          </w:p>
        </w:tc>
      </w:tr>
      <w:tr w:rsidR="00CC7D2C" w:rsidRPr="002A677E" w14:paraId="6CB8B9D2" w14:textId="77777777" w:rsidTr="00822842">
        <w:tc>
          <w:tcPr>
            <w:tcW w:w="1129" w:type="dxa"/>
          </w:tcPr>
          <w:p w14:paraId="3D7F842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6B7D0A7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Akumulirani drugi vseobsegajoči donos</w:t>
            </w:r>
          </w:p>
          <w:p w14:paraId="0C78170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100, in člen 26(1), točka (d), </w:t>
            </w:r>
            <w:r>
              <w:t>Uredbe (EU) št. 575/2013.</w:t>
            </w:r>
          </w:p>
          <w:p w14:paraId="761708C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ki ne vključuje davčnih obremenitev, predvidljivih v času izračuna, in pred uporabo bonitetnih filtrov. Poroča se znesek, ki se določi v skladu s členom 13(4) Delegirane uredbe Komisije (EU) št. 241/2014. </w:t>
            </w:r>
          </w:p>
        </w:tc>
      </w:tr>
      <w:tr w:rsidR="00CC7D2C" w:rsidRPr="002A677E" w14:paraId="3D120A71" w14:textId="77777777" w:rsidTr="00822842">
        <w:tc>
          <w:tcPr>
            <w:tcW w:w="1129" w:type="dxa"/>
          </w:tcPr>
          <w:p w14:paraId="05BD8D2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258EC54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rezerve</w:t>
            </w:r>
          </w:p>
          <w:p w14:paraId="3109F9E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117, in člen 26(1), točka (e), </w:t>
            </w:r>
            <w:r>
              <w:t>Uredbe (EU) št. 575/2013.</w:t>
            </w:r>
          </w:p>
          <w:p w14:paraId="66C5215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Druge rezerve so v </w:t>
            </w:r>
            <w:r>
              <w:t>Uredbi (EU) št. 575/2013</w:t>
            </w:r>
            <w:r>
              <w:rPr>
                <w:rStyle w:val="FormatvorlageInstructionsTabelleText"/>
                <w:rFonts w:ascii="Times New Roman" w:hAnsi="Times New Roman"/>
                <w:sz w:val="24"/>
              </w:rPr>
              <w:t xml:space="preserve"> opredeljene kot „rezerve v skladu z veljavnim računovodskim okvirom, ki jih je treba razkriti v skladu s tem veljavnim računovodskim standardom, razen zneskov, ki so že vključeni v akumuliran drugi vseobsegajoči donos ali zadržani dobiček“.</w:t>
            </w:r>
          </w:p>
          <w:p w14:paraId="339D855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CC7D2C" w:rsidRPr="002A677E" w14:paraId="5723D0B6" w14:textId="77777777" w:rsidTr="00822842">
        <w:tc>
          <w:tcPr>
            <w:tcW w:w="1129" w:type="dxa"/>
          </w:tcPr>
          <w:p w14:paraId="782759B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6DAFCBF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Rezervacije za splošna bančna tveganja</w:t>
            </w:r>
          </w:p>
          <w:p w14:paraId="55D1150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112, in člen 26(1), točka (f), </w:t>
            </w:r>
            <w:r>
              <w:t>Uredbe (EU) št. 575/2013.</w:t>
            </w:r>
          </w:p>
          <w:p w14:paraId="511F937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Rezervacije za splošna bančna tveganja so v členu 38 </w:t>
            </w:r>
            <w:r>
              <w:t xml:space="preserve">Direktive Sveta 86/635/EGS </w:t>
            </w:r>
            <w:r>
              <w:rPr>
                <w:rStyle w:val="FormatvorlageInstructionsTabelleText"/>
                <w:rFonts w:ascii="Times New Roman" w:hAnsi="Times New Roman"/>
                <w:sz w:val="24"/>
              </w:rPr>
              <w:t>opredeljene kot „</w:t>
            </w:r>
            <w:proofErr w:type="spellStart"/>
            <w:r>
              <w:rPr>
                <w:rStyle w:val="FormatvorlageInstructionsTabelleText"/>
                <w:rFonts w:ascii="Times New Roman" w:hAnsi="Times New Roman"/>
                <w:sz w:val="24"/>
              </w:rPr>
              <w:t>znesk</w:t>
            </w:r>
            <w:proofErr w:type="spellEnd"/>
            <w:r>
              <w:rPr>
                <w:rStyle w:val="FormatvorlageInstructionsTabelleText"/>
                <w:rFonts w:ascii="Times New Roman" w:hAnsi="Times New Roman"/>
                <w:sz w:val="24"/>
              </w:rPr>
              <w:t>[i], za katere se kreditna institucija odloči, da jih izloči za pokritje takih tveganj, če to zahtevajo posebna tveganja, povezana z bančništvom“.</w:t>
            </w:r>
          </w:p>
          <w:p w14:paraId="436A113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CC7D2C" w:rsidRPr="002A677E" w14:paraId="0A15B59E" w14:textId="77777777" w:rsidTr="00822842">
        <w:tc>
          <w:tcPr>
            <w:tcW w:w="1129" w:type="dxa"/>
          </w:tcPr>
          <w:p w14:paraId="140AAC8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20D7D4A3"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Prehodne prilagoditve zaradi instrumentov navadnega lastniškega temeljnega kapitala, za katere se uporabljajo predhodna pravila</w:t>
            </w:r>
          </w:p>
          <w:p w14:paraId="36448E4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odstavki 1, 2 in 3, in členi 484 do 487 </w:t>
            </w:r>
            <w:r>
              <w:t>Uredbe (EU) št. 575/2013.</w:t>
            </w:r>
          </w:p>
          <w:p w14:paraId="7F12AA2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kapitalskih instrumentov, za katere se prehodno uporabljajo predhodna pravila za navadni lastniški temeljni kapital. Znesek, ki se poroča, se pridobi neposredno iz predloge CA5.</w:t>
            </w:r>
          </w:p>
        </w:tc>
      </w:tr>
      <w:tr w:rsidR="00CC7D2C" w:rsidRPr="002A677E" w14:paraId="577B3C1C" w14:textId="77777777" w:rsidTr="00822842">
        <w:tc>
          <w:tcPr>
            <w:tcW w:w="1129" w:type="dxa"/>
          </w:tcPr>
          <w:p w14:paraId="7DE52B2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5BB5D002" w14:textId="536C2FF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Manjšinski delež, pripoznan v navadnem lastniškem temeljnem kapitalu</w:t>
            </w:r>
          </w:p>
          <w:p w14:paraId="68F9D05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120, in člen 84 </w:t>
            </w:r>
            <w:r>
              <w:t>Uredbe (EU) št. 575/2013.</w:t>
            </w:r>
          </w:p>
          <w:p w14:paraId="52BA7DD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manjšinskih deležev podrejenih družb, vključenih v konsolidirani navadni lastniški temeljni kapital.</w:t>
            </w:r>
          </w:p>
        </w:tc>
      </w:tr>
      <w:tr w:rsidR="00CC7D2C" w:rsidRPr="002A677E" w14:paraId="645343D9" w14:textId="77777777" w:rsidTr="00822842">
        <w:tc>
          <w:tcPr>
            <w:tcW w:w="1129" w:type="dxa"/>
          </w:tcPr>
          <w:p w14:paraId="2DBDDA2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E51A52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Prehodne prilagoditve zaradi dodatnih manjšinskih deležev</w:t>
            </w:r>
          </w:p>
          <w:p w14:paraId="1F945D1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Člena 479 in 480 </w:t>
            </w:r>
            <w:r>
              <w:t>Uredbe (EU) št. 575/2013.</w:t>
            </w:r>
          </w:p>
          <w:p w14:paraId="19C2E18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manjšinskih deležev zaradi prehodnih določb. Ta postavka se pridobi neposredno iz predloge CA5.</w:t>
            </w:r>
          </w:p>
        </w:tc>
      </w:tr>
      <w:tr w:rsidR="00CC7D2C" w:rsidRPr="002A677E" w14:paraId="19432E87" w14:textId="77777777" w:rsidTr="00822842">
        <w:tc>
          <w:tcPr>
            <w:tcW w:w="1129" w:type="dxa"/>
          </w:tcPr>
          <w:p w14:paraId="695EB81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57B5E6A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Prilagoditve navadnega lastniškega temeljnega kapitala zaradi bonitetnih filtrov</w:t>
            </w:r>
          </w:p>
          <w:p w14:paraId="2D72696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32 do 35</w:t>
            </w:r>
            <w:r>
              <w:t xml:space="preserve"> Uredbe (EU) št. 575/2013. </w:t>
            </w:r>
          </w:p>
        </w:tc>
      </w:tr>
      <w:tr w:rsidR="00CC7D2C" w:rsidRPr="002A677E" w14:paraId="2F2D7907" w14:textId="77777777" w:rsidTr="00822842">
        <w:tc>
          <w:tcPr>
            <w:tcW w:w="1129" w:type="dxa"/>
          </w:tcPr>
          <w:p w14:paraId="415C9FC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393F4D7E"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Povečanja lastniškega kapitala, ki izhajajo iz listinjenih sredstev</w:t>
            </w:r>
          </w:p>
          <w:p w14:paraId="41EEDB3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32(1)</w:t>
            </w:r>
            <w:r>
              <w:t xml:space="preserve"> Uredbe (EU) št. 575/2013.</w:t>
            </w:r>
          </w:p>
          <w:p w14:paraId="035B9D6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povečanje lastniškega kapitala institucije, ki izhaja iz listinjenih sredstev, v skladu z veljavnim računovodskim standardom.</w:t>
            </w:r>
          </w:p>
          <w:p w14:paraId="6CB3220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postavka na primer vključuje prihodke iz naslova prihodnjih marž, ki se pri instituciji odraža v dobičku iz prodaje, ali, kadar je institucija v vlogi originatorja, neto dobičke iz naslova kapitalizacije prihodnjih donosov iz listinjenih sredstev, ki zagotavljajo kreditno izboljšavo pozicij v listinjenju.</w:t>
            </w:r>
          </w:p>
        </w:tc>
      </w:tr>
      <w:tr w:rsidR="00CC7D2C" w:rsidRPr="002A677E" w14:paraId="5EC409A3" w14:textId="77777777" w:rsidTr="00822842">
        <w:tc>
          <w:tcPr>
            <w:tcW w:w="1129" w:type="dxa"/>
          </w:tcPr>
          <w:p w14:paraId="7E88DF9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01F7BD1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1.1.1.9.</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Rezerva za varovanje denarnih tokov</w:t>
            </w:r>
          </w:p>
          <w:p w14:paraId="70C550D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 točka (a),</w:t>
            </w:r>
            <w:r>
              <w:t xml:space="preserve"> Uredbe (EU) št. 575/2013.</w:t>
            </w:r>
          </w:p>
          <w:p w14:paraId="5CBB5F9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kadar varovanje denarnega toka privede do izgube (tj. če zmanjšajo računovodski kapital) in obratno. Predznak je zato nasproten predznaku, uporabljenemu v računovodskih izkazih.</w:t>
            </w:r>
          </w:p>
          <w:p w14:paraId="1B4FC84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ne vključuje davčnih obremenitev, pričakovanih v času izračuna.</w:t>
            </w:r>
          </w:p>
        </w:tc>
      </w:tr>
      <w:tr w:rsidR="00CC7D2C" w:rsidRPr="002A677E" w14:paraId="284D2AD3" w14:textId="77777777" w:rsidTr="00822842">
        <w:tc>
          <w:tcPr>
            <w:tcW w:w="1129" w:type="dxa"/>
          </w:tcPr>
          <w:p w14:paraId="21B29FF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1FEB9C00"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Kumulativni dobički in izgube zaradi sprememb lastnega kreditnega tveganja v zvezi z obveznostmi, vrednotenimi po pošteni vrednosti</w:t>
            </w:r>
          </w:p>
          <w:p w14:paraId="7606E0C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 točka (b),</w:t>
            </w:r>
            <w:r>
              <w:t xml:space="preserve"> Uredbe (EU) št. 575/2013.</w:t>
            </w:r>
          </w:p>
          <w:p w14:paraId="00EA3DD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(tj. če se zmanjša računovodski kapital) in obratno. Predznak je zato nasproten predznaku, uporabljenemu v računovodskih izkazih.</w:t>
            </w:r>
          </w:p>
          <w:p w14:paraId="3552106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Nerevidiran dobiček se ne vključi v to postavko.</w:t>
            </w:r>
          </w:p>
        </w:tc>
      </w:tr>
      <w:tr w:rsidR="00CC7D2C" w:rsidRPr="002A677E" w14:paraId="6CC52A02" w14:textId="77777777" w:rsidTr="00822842">
        <w:tc>
          <w:tcPr>
            <w:tcW w:w="1129" w:type="dxa"/>
          </w:tcPr>
          <w:p w14:paraId="33709DF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026986A8" w14:textId="7ADD52A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Dobički in izgube, nastali zaradi vrednotenja na pošteno vrednost, ki izhajajo iz kreditnega tveganja same institucije v zvezi z izvedenimi finančnimi obveznostmi</w:t>
            </w:r>
          </w:p>
          <w:p w14:paraId="255F9C6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33(1), točka (c), in 33(2) </w:t>
            </w:r>
            <w:r>
              <w:t>Uredbe (EU) št. 575/2013.</w:t>
            </w:r>
          </w:p>
          <w:p w14:paraId="60001AE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in obratno. Predznak je zato nasproten predznaku, uporabljenemu v računovodskih izkazih.</w:t>
            </w:r>
          </w:p>
          <w:p w14:paraId="7F153CA9"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 dobiček se ne vključi v to postavko.</w:t>
            </w:r>
          </w:p>
        </w:tc>
      </w:tr>
      <w:tr w:rsidR="00CC7D2C" w:rsidRPr="002A677E" w14:paraId="0620E497" w14:textId="77777777" w:rsidTr="00822842">
        <w:tc>
          <w:tcPr>
            <w:tcW w:w="1129" w:type="dxa"/>
          </w:tcPr>
          <w:p w14:paraId="62E9906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45CFDB4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Prilagoditve vrednosti zaradi zahtev po preudarnem vrednotenju</w:t>
            </w:r>
          </w:p>
          <w:p w14:paraId="54D0A16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Člena 34 in 105 </w:t>
            </w:r>
            <w:r>
              <w:t>Uredbe (EU) št. 575/2013.</w:t>
            </w:r>
          </w:p>
          <w:p w14:paraId="62CDA43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Prilagoditve poštene vrednosti izpostavljenosti, vključene v trgovalno knjigo ali netrgovalno knjigo, zaradi strožjih standardov preudarnega vrednotenja iz člena 105 </w:t>
            </w:r>
            <w:r>
              <w:t>Uredbe (EU) št. 575/2013.</w:t>
            </w:r>
          </w:p>
        </w:tc>
      </w:tr>
      <w:tr w:rsidR="00CC7D2C" w:rsidRPr="002A677E" w14:paraId="689618FB" w14:textId="77777777" w:rsidTr="00822842">
        <w:tc>
          <w:tcPr>
            <w:tcW w:w="1129" w:type="dxa"/>
          </w:tcPr>
          <w:p w14:paraId="36EE20D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537262D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0</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Dobro ime</w:t>
            </w:r>
          </w:p>
          <w:p w14:paraId="77829B8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113, člen 36(1), točka (b), in člen 37 </w:t>
            </w:r>
            <w:r>
              <w:t>Uredbe (EU) št. 575/2013.</w:t>
            </w:r>
          </w:p>
        </w:tc>
      </w:tr>
      <w:tr w:rsidR="00CC7D2C" w:rsidRPr="002A677E" w14:paraId="4EE59EA3" w14:textId="77777777" w:rsidTr="00822842">
        <w:tc>
          <w:tcPr>
            <w:tcW w:w="1129" w:type="dxa"/>
          </w:tcPr>
          <w:p w14:paraId="61494E3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49424783"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Dobro ime, ki se računovodsko obravnava kot neopredmeteno sredstvo</w:t>
            </w:r>
          </w:p>
          <w:p w14:paraId="25E7F91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113, in člen 36(1), točka (b), </w:t>
            </w:r>
            <w:r>
              <w:t>Uredbe (EU) št. 575/2013.</w:t>
            </w:r>
          </w:p>
          <w:p w14:paraId="4F4C2B1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Dobro ime ima enak pomen kot v skladu z veljavnim računovodskim standardom.</w:t>
            </w:r>
          </w:p>
          <w:p w14:paraId="381D161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je enak znesku, poročanem v bilanci stanja.</w:t>
            </w:r>
          </w:p>
        </w:tc>
      </w:tr>
      <w:tr w:rsidR="00CC7D2C" w:rsidRPr="002A677E" w14:paraId="07B42061" w14:textId="77777777" w:rsidTr="00822842">
        <w:tc>
          <w:tcPr>
            <w:tcW w:w="1129" w:type="dxa"/>
          </w:tcPr>
          <w:p w14:paraId="5A03C01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67F7209B"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Dobro ime, ki se nanaša na vrednotenje pomembnih naložb</w:t>
            </w:r>
          </w:p>
          <w:p w14:paraId="06C9D31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37, točka (b), in člen 43 </w:t>
            </w:r>
            <w:r>
              <w:t>Uredbe (EU) št. 575/2013.</w:t>
            </w:r>
          </w:p>
        </w:tc>
      </w:tr>
      <w:tr w:rsidR="00CC7D2C" w:rsidRPr="002A677E" w14:paraId="2C686AE1" w14:textId="77777777" w:rsidTr="00822842">
        <w:tc>
          <w:tcPr>
            <w:tcW w:w="1129" w:type="dxa"/>
          </w:tcPr>
          <w:p w14:paraId="244AE8D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3746BF31"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povezane z dobrim imenom</w:t>
            </w:r>
          </w:p>
          <w:p w14:paraId="21A6F5D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1D32440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bilo dobro ime oslabljeno ali bi se odpravilo njegovo pripoznanje v skladu z ustreznim računovodskim standardom.</w:t>
            </w:r>
          </w:p>
        </w:tc>
      </w:tr>
      <w:tr w:rsidR="00CC7D2C" w:rsidRPr="002A677E" w14:paraId="4EF2E6CA" w14:textId="77777777" w:rsidTr="00822842">
        <w:tc>
          <w:tcPr>
            <w:tcW w:w="1129" w:type="dxa"/>
          </w:tcPr>
          <w:p w14:paraId="3CD9054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2EC640FA"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Računovodsko prevrednotenje dobrega imena podrejenih družb, ki izhaja iz konsolidacije podrejenih družb, pri čemer je dobro ime mogoče pripisati tretjim osebam</w:t>
            </w:r>
          </w:p>
          <w:p w14:paraId="189C2EF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(c),</w:t>
            </w:r>
            <w:r>
              <w:t xml:space="preserve"> Uredbe (EU) št. 575/2013.</w:t>
            </w:r>
          </w:p>
          <w:p w14:paraId="3AC266EA"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Znesek računovodskega prevrednotenja dobrega imena podrejenih družb, ki izhaja iz konsolidacije podrejenih družb in ga je mogoče pripisati </w:t>
            </w:r>
            <w:r>
              <w:rPr>
                <w:rStyle w:val="FormatvorlageInstructionsTabelleText"/>
                <w:rFonts w:ascii="Times New Roman" w:hAnsi="Times New Roman"/>
                <w:sz w:val="24"/>
              </w:rPr>
              <w:lastRenderedPageBreak/>
              <w:t>osebam, ki niso podjetja, vključena v konsolidacijo v skladu z delom 1, naslov II, poglavje 2.</w:t>
            </w:r>
          </w:p>
        </w:tc>
      </w:tr>
      <w:tr w:rsidR="00CC7D2C" w:rsidRPr="002A677E" w14:paraId="7744B572" w14:textId="77777777" w:rsidTr="00822842">
        <w:tc>
          <w:tcPr>
            <w:tcW w:w="1129" w:type="dxa"/>
          </w:tcPr>
          <w:p w14:paraId="578CADA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4AEF749A" w14:textId="37C2B78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Druga neopredmetena sredstva</w:t>
            </w:r>
          </w:p>
          <w:p w14:paraId="5F591EF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člen 36(1), točka (b), in člen 37, točki (a) in (c), </w:t>
            </w:r>
            <w:r>
              <w:t>Uredbe (EU) št. 575/2013.</w:t>
            </w:r>
          </w:p>
          <w:p w14:paraId="790606E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tc>
      </w:tr>
      <w:tr w:rsidR="00CC7D2C" w:rsidRPr="002A677E" w14:paraId="20D6A288" w14:textId="77777777" w:rsidTr="00822842">
        <w:tc>
          <w:tcPr>
            <w:tcW w:w="1129" w:type="dxa"/>
          </w:tcPr>
          <w:p w14:paraId="21F1C04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13BFF453"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Druga neopredmetena sredstva pred odbitkom odloženih obveznosti za davek</w:t>
            </w:r>
          </w:p>
          <w:p w14:paraId="6016516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in člen 36(1), točka (b), </w:t>
            </w:r>
            <w:r>
              <w:t>Uredbe (EU) št. 575/2013.</w:t>
            </w:r>
          </w:p>
          <w:p w14:paraId="533CEA2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p w14:paraId="62EFB3E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neopredmetenih sredstev, vključenih v bilanco stanja v skladu z veljavnim računovodskim standardom, brez dobrega imena in zneska preudarno vrednotene programske opreme, ki se ne odbije od postavk navadnega lastniškega temeljnega kapitala v skladu s členom 36(1), točka (b), Uredbe (EU) št. 575/2013.</w:t>
            </w:r>
          </w:p>
        </w:tc>
      </w:tr>
      <w:tr w:rsidR="00CC7D2C" w:rsidRPr="002A677E" w14:paraId="54A3CD6E" w14:textId="77777777" w:rsidTr="00822842">
        <w:tc>
          <w:tcPr>
            <w:tcW w:w="1129" w:type="dxa"/>
          </w:tcPr>
          <w:p w14:paraId="6525F28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Od tega programska oprema, računovodsko obravnavana kot druga neopredmetena sredstva pred odbitkom odloženih obveznosti za davek</w:t>
            </w:r>
          </w:p>
          <w:p w14:paraId="02123AF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115, Uredbe (EU) št. 575/2013 in člen 36(1), točka (b), </w:t>
            </w:r>
            <w:r>
              <w:t>Uredbe (EU) št. 575/2013.</w:t>
            </w:r>
          </w:p>
          <w:p w14:paraId="106CD01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programske opreme, računovodsko obravnavane kot neopredmetena sredstva, ki se odbije od postavk navadnega lastniškega temeljnega kapitala v skladu s členom 36(1), točka (b), Uredbe (EU) št. 575/2013 in členom 13a Delegirane uredbe (EU) št. 241/2014.</w:t>
            </w:r>
            <w:r>
              <w:t xml:space="preserve"> Poročani znesek ne upošteva učinkov, povezanih z uporabo obravnave, določene v členu 37, točka (a), Uredbe (EU) št. 575/2013, v zvezi z odloženimi obveznostmi za davek, povezanimi s to programsko opremo.</w:t>
            </w:r>
          </w:p>
          <w:p w14:paraId="39783C08"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Kadar se institucija odloči, da bo v celoti odbila svojo programsko opremo v skladu s členom 3 </w:t>
            </w:r>
            <w:r>
              <w:t>Uredbe (EU) št. 575/2013</w:t>
            </w:r>
            <w:r>
              <w:rPr>
                <w:rStyle w:val="FormatvorlageInstructionsTabelleText"/>
                <w:rFonts w:ascii="Times New Roman" w:hAnsi="Times New Roman"/>
                <w:sz w:val="24"/>
              </w:rPr>
              <w:t>, namesto da bi uporabila obravnavo iz člena 13a Delegirane uredbe (EU) št. 241/2014, znesek, ki se poroča v tej vrstici, ustreza znesku programske opreme, računovodsko obravnavane kot neopredmetena sredstva v skladu z veljavnim računovodskim standardom.</w:t>
            </w:r>
          </w:p>
        </w:tc>
      </w:tr>
      <w:tr w:rsidR="00CC7D2C" w:rsidRPr="002A677E" w14:paraId="28B86AF5" w14:textId="77777777" w:rsidTr="00822842">
        <w:tc>
          <w:tcPr>
            <w:tcW w:w="1129" w:type="dxa"/>
          </w:tcPr>
          <w:p w14:paraId="2B0CDC9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487A08B2"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povezane z drugimi neopredmetenimi sredstvi</w:t>
            </w:r>
          </w:p>
          <w:p w14:paraId="261F60B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1CCE12E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odloženih obveznosti za davek, ki bi se poravnale, če bi bila neopredmetena sredstva, razen dobrega imena in preudarno vrednotene programske opreme, ki sta izvzeta iz odbitka od postavk navadnega </w:t>
            </w:r>
            <w:r>
              <w:rPr>
                <w:rStyle w:val="FormatvorlageInstructionsTabelleText"/>
                <w:rFonts w:ascii="Times New Roman" w:hAnsi="Times New Roman"/>
                <w:sz w:val="24"/>
              </w:rPr>
              <w:lastRenderedPageBreak/>
              <w:t>lastniškega temeljnega kapitala v skladu s členom 13a Delegirane uredbe (EU) št. 241/2014, oslabljena ali bi se odpravilo njihovo pripoznanje v skladu z ustreznim računovodskim standardom.</w:t>
            </w:r>
          </w:p>
        </w:tc>
      </w:tr>
      <w:tr w:rsidR="00CC7D2C" w:rsidRPr="002A677E" w14:paraId="35B2FE40" w14:textId="77777777" w:rsidTr="00822842">
        <w:tc>
          <w:tcPr>
            <w:tcW w:w="1129" w:type="dxa"/>
          </w:tcPr>
          <w:p w14:paraId="45EC0B9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B84E6B0" w14:textId="7372DBB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povezane s programsko opremo, računovodsko obravnavano kot neopredmetena sredstva</w:t>
            </w:r>
          </w:p>
          <w:p w14:paraId="0492B11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(a),</w:t>
            </w:r>
            <w:r>
              <w:t xml:space="preserve"> Uredbe (EU) št. 575/2013.</w:t>
            </w:r>
          </w:p>
          <w:p w14:paraId="0A9FF627"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Delež odloženih obveznosti za davek, ki je povezan z zneskom programske opreme, računovodsko obravnavane kot neopredmetena sredstva, ki se odbije od postavk navadnega lastniškega temeljnega kapitala v skladu s členom 36(1), točka (b),</w:t>
            </w:r>
            <w:r>
              <w:t xml:space="preserve"> Uredbe (EU) št. 575/2013 in členom </w:t>
            </w:r>
            <w:r>
              <w:rPr>
                <w:rStyle w:val="FormatvorlageInstructionsTabelleText"/>
                <w:rFonts w:ascii="Times New Roman" w:hAnsi="Times New Roman"/>
                <w:sz w:val="24"/>
              </w:rPr>
              <w:t xml:space="preserve">13a Delegirane uredbe (EU) št. 241/2014 ali členom 3 </w:t>
            </w:r>
            <w:r>
              <w:t>Uredbe (EU) št. 575/2013</w:t>
            </w:r>
            <w:r>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123F158A"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Računovodsko prevrednotenje drugih neopredmetenih sredstev podrejenih družb, ki izhajajo iz konsolidacije podrejenih družb in jih je mogoče pripisati tretjim osebam</w:t>
            </w:r>
          </w:p>
          <w:p w14:paraId="032DDB9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 točka (c),</w:t>
            </w:r>
            <w:r>
              <w:t xml:space="preserve"> Uredbe (EU) št. 575/2013.</w:t>
            </w:r>
          </w:p>
          <w:p w14:paraId="114DCBE2"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računovodskega prevrednotenja neopredmetenih sredstev podrejenih družb razen dobrega imena, ki izhajajo iz konsolidacije podrejenih družb in jih je mogoče pripisati osebam, ki niso podjetja, vključena v konsolidacijo v skladu z delom 1, naslov II, poglavje 2.</w:t>
            </w:r>
          </w:p>
        </w:tc>
      </w:tr>
      <w:tr w:rsidR="00CC7D2C" w:rsidRPr="002A677E" w14:paraId="0BF2A120" w14:textId="77777777" w:rsidTr="00822842">
        <w:tc>
          <w:tcPr>
            <w:tcW w:w="1129" w:type="dxa"/>
          </w:tcPr>
          <w:p w14:paraId="5E256AD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5085009A"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Odložene terjatve za davek, ki se nanašajo na prihodnji dobiček in ne izhajajo iz začasnih razlik, zmanjšane za povezane obveznosti za davek</w:t>
            </w:r>
          </w:p>
          <w:p w14:paraId="484EA3E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(c), in člen 38</w:t>
            </w:r>
            <w:r>
              <w:t xml:space="preserve"> Uredbe (EU) št. 575/2013.</w:t>
            </w:r>
          </w:p>
        </w:tc>
      </w:tr>
      <w:tr w:rsidR="00CC7D2C" w:rsidRPr="002A677E" w14:paraId="24CD0FAD" w14:textId="77777777" w:rsidTr="00822842">
        <w:tc>
          <w:tcPr>
            <w:tcW w:w="1129" w:type="dxa"/>
          </w:tcPr>
          <w:p w14:paraId="761BF1A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CCF7F89"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Primanjkljaj popravkov zaradi kreditnega tveganja glede na pričakovane izgube po pristopu IRB</w:t>
            </w:r>
          </w:p>
          <w:p w14:paraId="7417308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(d), členi 40, 158 in 159 </w:t>
            </w:r>
            <w:r>
              <w:t>Uredbe (EU) št. 575/2013.</w:t>
            </w:r>
          </w:p>
          <w:p w14:paraId="38AECBC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„se ne zmanjša zaradi povečanja odloženih terjatev za davek, ki se nanašajo na prihodnji dobiček, ali drugega dodatnega davčnega učinka, ki bi se lahko pojavil, če bi rezervacije dosegle raven pričakovanih izgub“ (člen 40 </w:t>
            </w:r>
            <w:r>
              <w:t>Uredbe (EU) št. 575/2013</w:t>
            </w:r>
            <w:r>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46BA88A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Sredstva pokojninskega sklada z določenimi pravicami</w:t>
            </w:r>
          </w:p>
          <w:p w14:paraId="7183E08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člen 36(1), točka (e), in člen 41 </w:t>
            </w:r>
            <w:r>
              <w:t>Uredbe (EU) št. 575/2013.</w:t>
            </w:r>
          </w:p>
        </w:tc>
      </w:tr>
      <w:tr w:rsidR="00CC7D2C" w:rsidRPr="002A677E" w14:paraId="7BDB1D8B" w14:textId="77777777" w:rsidTr="00822842">
        <w:tc>
          <w:tcPr>
            <w:tcW w:w="1129" w:type="dxa"/>
          </w:tcPr>
          <w:p w14:paraId="0D9A0A1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6A5D5BF9"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 Sredstva pokojninskega sklada z določenimi pravicami </w:t>
            </w:r>
          </w:p>
          <w:p w14:paraId="47851A1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in člen 36(1), točka (e), </w:t>
            </w:r>
            <w:r>
              <w:t>Uredbe (EU) št. 575/2013.</w:t>
            </w:r>
          </w:p>
          <w:p w14:paraId="5846CAE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Sredstva pokojninskega sklada z določenimi pravicami so opredeljena kot „sredstva pokojninskega sklada ali programa z določenimi pravicami, ki se izračunajo, potem ko so zmanjšana za znesek obveznosti v okviru istega sklada ali programa“.</w:t>
            </w:r>
          </w:p>
          <w:p w14:paraId="2EE3FFD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v tem polju, ustreza znesku, poročanem v bilanci stanja (če sta poročana ločeno).</w:t>
            </w:r>
          </w:p>
        </w:tc>
      </w:tr>
      <w:tr w:rsidR="00CC7D2C" w:rsidRPr="002A677E" w14:paraId="6670AAD7" w14:textId="77777777" w:rsidTr="00822842">
        <w:tc>
          <w:tcPr>
            <w:tcW w:w="1129" w:type="dxa"/>
          </w:tcPr>
          <w:p w14:paraId="2009450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1EAAB866" w14:textId="3496D7E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povezane s sredstvi pokojninskega sklada z določenimi pravicami</w:t>
            </w:r>
          </w:p>
          <w:p w14:paraId="1670EF2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točki 108 in 109, in člen 41(1), točka (a), </w:t>
            </w:r>
            <w:r>
              <w:t>Uredbe (EU) št. 575/2013.</w:t>
            </w:r>
          </w:p>
          <w:p w14:paraId="0592A92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sredstva pokojninskega sklada z določenimi pravicami oslabljena ali bi se odpravilo njihovo pripoznanje v skladu z ustreznim računovodskim standardom.</w:t>
            </w:r>
          </w:p>
        </w:tc>
      </w:tr>
      <w:tr w:rsidR="00CC7D2C" w:rsidRPr="002A677E" w14:paraId="626DD82F" w14:textId="77777777" w:rsidTr="00822842">
        <w:tc>
          <w:tcPr>
            <w:tcW w:w="1129" w:type="dxa"/>
          </w:tcPr>
          <w:p w14:paraId="0B56DA3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63202CB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Sredstva pokojninskega sklada z določenimi pravicami, ki jih lahko institucija neomejeno uporablja</w:t>
            </w:r>
          </w:p>
          <w:p w14:paraId="62235EB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109, in člen 41(1), točka (b), </w:t>
            </w:r>
            <w:r>
              <w:t>Uredbe (EU) št. 575/2013.</w:t>
            </w:r>
          </w:p>
          <w:p w14:paraId="01F4C05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postavki se morebitni zneski navedejo le, če pristojni organ predhodno soglaša z zmanjšanjem zneska sredstev pokojninskega sklada z določenimi pravicami, ki se odbije.</w:t>
            </w:r>
          </w:p>
          <w:p w14:paraId="2584604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sredstva, ki so vključena v to vrstico, se dodeli utež tveganja za zahteve za kreditno tveganje.</w:t>
            </w:r>
          </w:p>
        </w:tc>
      </w:tr>
      <w:tr w:rsidR="00CC7D2C" w:rsidRPr="002A677E" w14:paraId="19AA0A30" w14:textId="77777777" w:rsidTr="00822842">
        <w:tc>
          <w:tcPr>
            <w:tcW w:w="1129" w:type="dxa"/>
          </w:tcPr>
          <w:p w14:paraId="2B0B7ED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19AA4E30"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Vzajemni navzkrižni deleži v navadnem lastniškem temeljnem kapitalu</w:t>
            </w:r>
          </w:p>
          <w:p w14:paraId="0C88A31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122, člen 36(1), točka (g), in člen 44 </w:t>
            </w:r>
            <w:r>
              <w:t>Uredbe (EU) št. 575/2013.</w:t>
            </w:r>
          </w:p>
          <w:p w14:paraId="70E4C82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v instrumentih navadnega lastniškega temeljnega kapitala subjektov finančnega sektorja (kot so opredeljeni v členu 4(1), točka 27, </w:t>
            </w:r>
            <w:r>
              <w:t>Uredbe (EU) št. 575/2013</w:t>
            </w:r>
            <w:r>
              <w:rPr>
                <w:rStyle w:val="FormatvorlageInstructionsTabelleText"/>
                <w:rFonts w:ascii="Times New Roman" w:hAnsi="Times New Roman"/>
                <w:sz w:val="24"/>
              </w:rPr>
              <w:t>), kadar obstaja vzajemni navzkrižni delež, za katerega pristojni organ meni, da je bil oblikovan z namenom umetnega povečanja kapitala institucije.</w:t>
            </w:r>
          </w:p>
          <w:p w14:paraId="13E029A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lastnih sredstev prvega reda.</w:t>
            </w:r>
          </w:p>
        </w:tc>
      </w:tr>
      <w:tr w:rsidR="00CC7D2C" w:rsidRPr="002A677E" w14:paraId="4336E454" w14:textId="77777777" w:rsidTr="00822842">
        <w:tc>
          <w:tcPr>
            <w:tcW w:w="1129" w:type="dxa"/>
          </w:tcPr>
          <w:p w14:paraId="2B55A13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4701701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 Presežek odbitka od postavk dodatnega temeljnega kapitala nad dodatnim temeljnim kapitalom </w:t>
            </w:r>
          </w:p>
          <w:p w14:paraId="6DB76C3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(j),</w:t>
            </w:r>
            <w:r>
              <w:t xml:space="preserve"> Uredbe (EU) št. 575/2013.</w:t>
            </w:r>
          </w:p>
          <w:p w14:paraId="30BFA55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temeljnega kapitala nad dodatnim temeljnim kapitalom“ predloge CA1. Znesek se odbije od navadnega lastniškega temeljnega kapitala.</w:t>
            </w:r>
          </w:p>
        </w:tc>
      </w:tr>
      <w:tr w:rsidR="00CC7D2C" w:rsidRPr="002A677E" w14:paraId="6D33881F" w14:textId="77777777" w:rsidTr="00822842">
        <w:tc>
          <w:tcPr>
            <w:tcW w:w="1129" w:type="dxa"/>
          </w:tcPr>
          <w:p w14:paraId="2BE24FA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0447A79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Kvalificirani deleži zunaj finančnega sektorja, za katere se lahko uporabi utež tveganja 1 250 %</w:t>
            </w:r>
          </w:p>
          <w:p w14:paraId="2960DCD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36, člen 36(1), točka (k)(i), in členi 89 do 91 </w:t>
            </w:r>
            <w:r>
              <w:t>Uredbe (EU) št. 575/2013.</w:t>
            </w:r>
          </w:p>
          <w:p w14:paraId="0403F80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Kvalificirani deleži so opredeljeni kot „neposredni ali posredni delež v družbi, ki predstavlja 10 % ali več kapitala ali glasovalnih pravic ali ki omogoča izvajanje pomembnega vpliva na upravljanje zadevne družbe“.</w:t>
            </w:r>
          </w:p>
          <w:p w14:paraId="274DC2B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skladu s točko (k)(i) člena 36(1) </w:t>
            </w:r>
            <w:r>
              <w:t>Uredbe (EU) št. 575/2013</w:t>
            </w:r>
            <w:r>
              <w:rPr>
                <w:rStyle w:val="FormatvorlageInstructionsTabelleText"/>
                <w:rFonts w:ascii="Times New Roman" w:hAnsi="Times New Roman"/>
                <w:sz w:val="24"/>
              </w:rPr>
              <w:t xml:space="preserve"> se lahko kvalificirani deleži odbijejo od navadnega lastniškega temeljnega kapitala (z uporabo te postavke) ali pa se zanje uporabi utež tveganja 1 250 %.</w:t>
            </w:r>
          </w:p>
        </w:tc>
      </w:tr>
      <w:tr w:rsidR="00CC7D2C" w:rsidRPr="002A677E" w14:paraId="53EB9EFA" w14:textId="77777777" w:rsidTr="00822842">
        <w:tc>
          <w:tcPr>
            <w:tcW w:w="1129" w:type="dxa"/>
          </w:tcPr>
          <w:p w14:paraId="6CF9FC7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4D56DD42" w14:textId="4ADB4B42"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Pozicije listinjenja, za katere se lahko uporabi utež tveganja 1 250 %</w:t>
            </w:r>
          </w:p>
          <w:p w14:paraId="1873153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244(1), točka (b), člen 245(1), točka (b), in člen 253(1) </w:t>
            </w:r>
            <w:r>
              <w:t>Uredbe (EU) št. 575/2013.</w:t>
            </w:r>
            <w:r>
              <w:rPr>
                <w:rStyle w:val="FormatvorlageInstructionsTabelleText"/>
                <w:rFonts w:ascii="Times New Roman" w:hAnsi="Times New Roman"/>
                <w:sz w:val="24"/>
              </w:rPr>
              <w:t xml:space="preserve"> </w:t>
            </w:r>
          </w:p>
          <w:p w14:paraId="120138C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 to postavko se poročajo pozicije v listinjenju, za katere se uporabi utež tveganja 1 250 %, vendar se lahko odbijejo od navadnega lastniškega temeljnega kapitala (člen 36(1), točka (k)(ii), </w:t>
            </w:r>
            <w:r>
              <w:t>Uredbe (EU) št. 575/2013</w:t>
            </w:r>
            <w:r>
              <w:rPr>
                <w:rStyle w:val="FormatvorlageInstructionsTabelleText"/>
                <w:rFonts w:ascii="Times New Roman" w:hAnsi="Times New Roman"/>
                <w:sz w:val="24"/>
              </w:rPr>
              <w:t>).</w:t>
            </w:r>
          </w:p>
        </w:tc>
      </w:tr>
      <w:tr w:rsidR="00CC7D2C" w:rsidRPr="002A677E" w14:paraId="07BBECDD" w14:textId="77777777" w:rsidTr="00822842">
        <w:tc>
          <w:tcPr>
            <w:tcW w:w="1129" w:type="dxa"/>
          </w:tcPr>
          <w:p w14:paraId="113ECC9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4BAAC53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Proste izročitve, za katere se lahko uporabi utež tveganja 1 250 %</w:t>
            </w:r>
          </w:p>
          <w:p w14:paraId="789AEE8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(k)(iii), in člen 379(3) </w:t>
            </w:r>
            <w:r>
              <w:t>Uredbe (EU) št. 575/2013.</w:t>
            </w:r>
          </w:p>
          <w:p w14:paraId="6ABDA04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proste izročitve se uporabi utež tveganja 1 250 % 5 dni po drugem pogodbenem plačilu ali fazi izročitve do zaključka posla v skladu s kapitalskimi zahtevami za tveganje poravnave. Alternativno se lahko odbijejo od navadnega lastniškega temeljnega kapitala (člen 36(1), točka (k)(iii),</w:t>
            </w:r>
            <w:r>
              <w:t xml:space="preserve"> Uredbe (EU) št. 575/2013</w:t>
            </w:r>
            <w:r>
              <w:rPr>
                <w:rStyle w:val="FormatvorlageInstructionsTabelleText"/>
                <w:rFonts w:ascii="Times New Roman" w:hAnsi="Times New Roman"/>
                <w:sz w:val="24"/>
              </w:rPr>
              <w:t>). V zadnjem primeru se poročajo v tej postavki.</w:t>
            </w:r>
          </w:p>
        </w:tc>
      </w:tr>
      <w:tr w:rsidR="00CC7D2C" w:rsidRPr="002A677E" w14:paraId="222C2779" w14:textId="77777777" w:rsidTr="00822842">
        <w:tc>
          <w:tcPr>
            <w:tcW w:w="1129" w:type="dxa"/>
          </w:tcPr>
          <w:p w14:paraId="4F7A9EE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55E53B3F"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0</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Pozicije v košarici, za katere institucija ne more določiti uteži tveganja v skladu s pristopom IRB in za katere se lahko uporabi utež tveganja 1 250 %</w:t>
            </w:r>
          </w:p>
          <w:p w14:paraId="70308AF0"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36(1), točka (k)(iv), in člen 153(8) </w:t>
            </w:r>
            <w:r>
              <w:t>Uredbe (EU) št. 575/2013.</w:t>
            </w:r>
          </w:p>
          <w:p w14:paraId="114F16D8"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skladu s </w:t>
            </w:r>
            <w:r>
              <w:rPr>
                <w:rStyle w:val="InstructionsTabelleberschrift"/>
                <w:rFonts w:ascii="Times New Roman" w:hAnsi="Times New Roman"/>
                <w:b w:val="0"/>
                <w:sz w:val="24"/>
                <w:u w:val="none"/>
              </w:rPr>
              <w:t>členom 36(1), točka (k)(iv),</w:t>
            </w:r>
            <w:r>
              <w:t xml:space="preserve"> Uredbe (EU) št. 575/2013 </w:t>
            </w:r>
            <w:r>
              <w:rPr>
                <w:rStyle w:val="FormatvorlageInstructionsTabelleText"/>
                <w:rFonts w:ascii="Times New Roman" w:hAnsi="Times New Roman"/>
                <w:sz w:val="24"/>
              </w:rPr>
              <w:t>se</w:t>
            </w:r>
            <w:r>
              <w:t xml:space="preserve"> </w:t>
            </w:r>
            <w:r>
              <w:rPr>
                <w:rStyle w:val="InstructionsTabelleberschrift"/>
                <w:rFonts w:ascii="Times New Roman" w:hAnsi="Times New Roman"/>
                <w:b w:val="0"/>
                <w:sz w:val="24"/>
                <w:u w:val="none"/>
              </w:rPr>
              <w:t>lahko pozicije v košarici, za katere institucija ne more določiti uteži tveganja v skladu s pristopom IRB</w:t>
            </w:r>
            <w:r>
              <w:rPr>
                <w:rStyle w:val="FormatvorlageInstructionsTabelleText"/>
                <w:rFonts w:ascii="Times New Roman" w:hAnsi="Times New Roman"/>
                <w:sz w:val="24"/>
              </w:rPr>
              <w:t>, odbijejo od navadnega lastniškega temeljnega kapitala (z uporabo te postavke) ali pa se zanje uporabi utež tveganja 1 250 %.</w:t>
            </w:r>
          </w:p>
        </w:tc>
      </w:tr>
      <w:tr w:rsidR="00CC7D2C" w:rsidRPr="002A677E" w14:paraId="71C680BD" w14:textId="77777777" w:rsidTr="00822842">
        <w:tc>
          <w:tcPr>
            <w:tcW w:w="1129" w:type="dxa"/>
          </w:tcPr>
          <w:p w14:paraId="12F31FF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469DE10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Izpostavljenosti iz naslova lastniških instrumentov v skladu s pristopom notranjih modelov, za katere se lahko uporabi utež tveganja 1 250 %</w:t>
            </w:r>
          </w:p>
          <w:p w14:paraId="758EFAFE"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36(1), točka (k)(v), in člen 155(4) </w:t>
            </w:r>
            <w:r>
              <w:t>Uredbe (EU) št. 575/2013.</w:t>
            </w:r>
          </w:p>
          <w:p w14:paraId="093FDB23"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skladu s členom 36(1), točka (k)(v), </w:t>
            </w:r>
            <w:r>
              <w:t>Uredbe (EU) št. 575/2013</w:t>
            </w:r>
            <w:r>
              <w:rPr>
                <w:rStyle w:val="InstructionsTabelleberschrift"/>
                <w:b w:val="0"/>
                <w:u w:val="none"/>
              </w:rPr>
              <w:t xml:space="preserve"> se lahko izpostavljenosti iz naslova lastniških instrumentov v skladu s pristopom notranjih modelov</w:t>
            </w:r>
            <w:r>
              <w:rPr>
                <w:rStyle w:val="FormatvorlageInstructionsTabelleText"/>
                <w:rFonts w:ascii="Times New Roman" w:hAnsi="Times New Roman"/>
                <w:sz w:val="24"/>
              </w:rPr>
              <w:t xml:space="preserve"> odbijejo od navadnega lastniškega temeljnega kapitala (z uporabo te postavke) ali pa se zanje uporabi utež tveganja 1 250 %.</w:t>
            </w:r>
          </w:p>
        </w:tc>
      </w:tr>
      <w:tr w:rsidR="00CC7D2C" w:rsidRPr="002A677E" w14:paraId="35B2C8E3" w14:textId="77777777" w:rsidTr="00822842">
        <w:tc>
          <w:tcPr>
            <w:tcW w:w="1129" w:type="dxa"/>
          </w:tcPr>
          <w:p w14:paraId="6745C73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2D1B7239"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navadnega lastniškega temeljnega kapitala subjektov finančnega sektorja, v katerih institucija nima pomembne naložbe</w:t>
            </w:r>
          </w:p>
          <w:p w14:paraId="5795285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4(1), točka 27, člen 36(1), točka (h), členi 43 do 46, člen 49, odstavka 2 in 3, ter člen 79</w:t>
            </w:r>
            <w:r>
              <w:t xml:space="preserve"> Uredbe (EU) št. 575/2013.</w:t>
            </w:r>
          </w:p>
          <w:p w14:paraId="103972A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subjektov finančnega sektorja (kot so opredeljeni v členu 4(1), točka 27, </w:t>
            </w:r>
            <w:r>
              <w:t>Uredbe (EU) št. 575/2013</w:t>
            </w:r>
            <w:r>
              <w:rPr>
                <w:rStyle w:val="FormatvorlageInstructionsTabelleText"/>
                <w:rFonts w:ascii="Times New Roman" w:hAnsi="Times New Roman"/>
                <w:sz w:val="24"/>
              </w:rPr>
              <w:t>), v katerih institucija nima pomembne naložbe, ki ga je treba odbiti od navadnega lastniškega temeljnega kapitala.</w:t>
            </w:r>
          </w:p>
          <w:p w14:paraId="06EFB9A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 odstavka 2 in 3).</w:t>
            </w:r>
          </w:p>
        </w:tc>
      </w:tr>
      <w:tr w:rsidR="00CC7D2C" w:rsidRPr="002A677E" w14:paraId="07AF0461" w14:textId="77777777" w:rsidTr="00822842">
        <w:tc>
          <w:tcPr>
            <w:tcW w:w="1129" w:type="dxa"/>
          </w:tcPr>
          <w:p w14:paraId="26D1784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4D00A831" w14:textId="64BECF2A"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Odbitne odložene terjatve za davek, ki se nanašajo na prihodnji dobiček in izhajajo iz začasnih razlik</w:t>
            </w:r>
          </w:p>
          <w:p w14:paraId="2D413C9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36(1), točka (c), člen 38 in člen 48(1), točka (a), </w:t>
            </w:r>
            <w:r>
              <w:t>Uredbe (EU) št. 575/2013.</w:t>
            </w:r>
          </w:p>
          <w:p w14:paraId="3ABD353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odloženih terjatev za davek, ki se nanašajo na prihodnji dobiček in izhajajo iz začasnih razlik (zmanjšanih za del povezanih odloženih obveznosti za davek, razporejenih k odloženim terjatvam za davek, ki izhajajo iz začasnih razlik), ki ga je treba v skladu s členom 38(5), točka (b), </w:t>
            </w:r>
            <w:r>
              <w:t xml:space="preserve">Uredbe (EU) št. 575/2013 </w:t>
            </w:r>
            <w:r>
              <w:rPr>
                <w:rStyle w:val="FormatvorlageInstructionsTabelleText"/>
                <w:rFonts w:ascii="Times New Roman" w:hAnsi="Times New Roman"/>
                <w:sz w:val="24"/>
              </w:rPr>
              <w:t xml:space="preserve">odbiti, pri čemer se uporabi prag 10 % iz člena 48(1), točka (a), </w:t>
            </w:r>
            <w:r>
              <w:t>navedene uredbe</w:t>
            </w:r>
            <w:r>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642115F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navadnega lastniškega temeljnega kapitala subjektov finančnega sektorja, v katerih ima institucija pomembno naložbo</w:t>
            </w:r>
          </w:p>
          <w:p w14:paraId="021EF33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4(1), točka 27, člen 36(1), točka (i), členi 43, 45 in 47, člen 48(2), točka (b), člen 49, odstavki 1, 2 in 3, ter člen 79 </w:t>
            </w:r>
            <w:r>
              <w:t>Uredbe (EU) št. 575/2013.</w:t>
            </w:r>
          </w:p>
          <w:p w14:paraId="78642F4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navadnega lastniškega temeljnega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ki ga je treba odbiti, pri čemer se uporabi prag 10 % iz člena 48(1), točka (b),</w:t>
            </w:r>
            <w:r>
              <w:t xml:space="preserve"> navedene uredbe</w:t>
            </w:r>
            <w:r>
              <w:rPr>
                <w:rStyle w:val="FormatvorlageInstructionsTabelleText"/>
                <w:rFonts w:ascii="Times New Roman" w:hAnsi="Times New Roman"/>
                <w:sz w:val="24"/>
              </w:rPr>
              <w:t>.</w:t>
            </w:r>
          </w:p>
          <w:p w14:paraId="3676DBD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druge možnosti odbitka v primeru uporabe konsolidacije (člen 49, odstavki 1, 2 in 3, </w:t>
            </w:r>
            <w:r>
              <w:t>Uredbe (EU) št. 575/2013</w:t>
            </w:r>
            <w:r>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DB964B2"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Znesek, ki presega prag 17,65 %</w:t>
            </w:r>
          </w:p>
          <w:p w14:paraId="53E265A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48(2)</w:t>
            </w:r>
            <w:r>
              <w:t xml:space="preserve"> Uredbe (EU) št. 575/2013.</w:t>
            </w:r>
          </w:p>
          <w:p w14:paraId="2F637F5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odloženih terjatev za davek, ki se nanašajo na prihodnji dobiček in izhajajo iz začasnih razlik, ter neposrednih, posrednih in sintetičnih deležev institucije v instrumentih navadnega lastniškega temeljnega kapitala subjektov finančnega sektorja (kot so opredeljeni v členu 4(1), točka 27,</w:t>
            </w:r>
            <w:r>
              <w:t xml:space="preserve"> Uredbe (EU) št. 575/2013</w:t>
            </w:r>
            <w:r>
              <w:rPr>
                <w:rStyle w:val="FormatvorlageInstructionsTabelleText"/>
                <w:rFonts w:ascii="Times New Roman" w:hAnsi="Times New Roman"/>
                <w:sz w:val="24"/>
              </w:rPr>
              <w:t>), v katerih ima institucija pomembno naložbo, ki ga je treba odbiti, pri čemer se uporabi prag 17,65 % iz člena 48(2)</w:t>
            </w:r>
            <w:r>
              <w:t xml:space="preserve"> navedene uredbe</w:t>
            </w:r>
            <w:r>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5DC3AAC4"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Znesek, ki presega prag 17,65 % v zvezi z instrumenti navadnega lastniškega temeljnega kapitala subjektov finančnega sektorja, v katerih ima institucija pomembno naložbo</w:t>
            </w:r>
          </w:p>
        </w:tc>
      </w:tr>
      <w:tr w:rsidR="00CC7D2C" w:rsidRPr="002A677E" w14:paraId="7929A46A" w14:textId="77777777" w:rsidTr="00822842">
        <w:tc>
          <w:tcPr>
            <w:tcW w:w="1129" w:type="dxa"/>
          </w:tcPr>
          <w:p w14:paraId="1D97F1A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0512</w:t>
            </w:r>
          </w:p>
        </w:tc>
        <w:tc>
          <w:tcPr>
            <w:tcW w:w="7620" w:type="dxa"/>
          </w:tcPr>
          <w:p w14:paraId="691F8476" w14:textId="58E8F461"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Znesek, ki presega prag 17,65 % v zvezi z odloženimi terjatvami za davek, ki izhajajo iz začasnih razlik</w:t>
            </w:r>
          </w:p>
        </w:tc>
      </w:tr>
      <w:tr w:rsidR="00CC7D2C" w:rsidRPr="002A677E" w14:paraId="5E7DD32F" w14:textId="77777777" w:rsidTr="00822842">
        <w:tc>
          <w:tcPr>
            <w:tcW w:w="1129" w:type="dxa"/>
          </w:tcPr>
          <w:p w14:paraId="4D9578E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Nezadostno kritje za nedonosne izpostavljenosti</w:t>
            </w:r>
          </w:p>
          <w:p w14:paraId="36971E9A"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Člen 36(1), točka (m), in člen 47c </w:t>
            </w:r>
            <w:r>
              <w:t>Uredbe (EU) št. 575/2013.</w:t>
            </w:r>
          </w:p>
        </w:tc>
      </w:tr>
      <w:tr w:rsidR="00CC7D2C" w:rsidRPr="002A677E" w14:paraId="65DD59D7" w14:textId="77777777" w:rsidTr="00822842">
        <w:tc>
          <w:tcPr>
            <w:tcW w:w="1129" w:type="dxa"/>
          </w:tcPr>
          <w:p w14:paraId="1C1B98B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Primanjkljaji pri obveznosti za zagotavljanje minimalne vrednosti</w:t>
            </w:r>
          </w:p>
          <w:p w14:paraId="5C5FE4E7"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Člen 36(1), točka (n), in člen 132c(2) </w:t>
            </w:r>
            <w:r>
              <w:t>Uredbe (EU) št. 575/2013.</w:t>
            </w:r>
          </w:p>
        </w:tc>
      </w:tr>
      <w:tr w:rsidR="00CC7D2C" w:rsidRPr="002A677E" w14:paraId="081BFBC8" w14:textId="77777777" w:rsidTr="00822842">
        <w:tc>
          <w:tcPr>
            <w:tcW w:w="1129" w:type="dxa"/>
          </w:tcPr>
          <w:p w14:paraId="77CC8AD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Druge predvidljive davčne obremenitve</w:t>
            </w:r>
          </w:p>
          <w:p w14:paraId="2BA02C96" w14:textId="77777777" w:rsidR="00CC7D2C" w:rsidRPr="002A677E" w:rsidRDefault="00CC7D2C" w:rsidP="00206A4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Člen 36(1), točka (l),</w:t>
            </w:r>
            <w:r>
              <w:t xml:space="preserve"> Uredbe (EU) št. 575/2013.</w:t>
            </w:r>
          </w:p>
          <w:p w14:paraId="3ADB3F66"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Davčne obremenitve, povezane s postavkami navadnega lastniškega temeljnega kapitala, predvidljive v času izračuna, razen davčnih obremenitev, ki so bile upoštevane že v kateri od drugih vrstic, ki odražajo postavke navadnega lastniškega temeljnega kapitala, z zmanjšanjem zneska zadevne postavke navadnega lastniškega temeljnega kapitala.</w:t>
            </w:r>
          </w:p>
        </w:tc>
      </w:tr>
      <w:tr w:rsidR="00CC7D2C" w:rsidRPr="002A677E" w14:paraId="6C5A4DA3" w14:textId="77777777" w:rsidTr="00822842">
        <w:tc>
          <w:tcPr>
            <w:tcW w:w="1129" w:type="dxa"/>
          </w:tcPr>
          <w:p w14:paraId="3496E55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5A4A3491"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prehodne prilagoditve navadnega lastniškega temeljnega kapitala</w:t>
            </w:r>
          </w:p>
          <w:p w14:paraId="3DD4F5B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469 do 478 in 481</w:t>
            </w:r>
            <w:r>
              <w:t xml:space="preserve"> Uredbe (EU) št. 575/2013.</w:t>
            </w:r>
          </w:p>
          <w:p w14:paraId="2DE2AED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odbitkov zaradi prehodnih določb. Znesek, ki se poroča, se pridobi neposredno iz predloge CA5.</w:t>
            </w:r>
          </w:p>
        </w:tc>
      </w:tr>
      <w:tr w:rsidR="00CC7D2C" w:rsidRPr="002A677E" w14:paraId="5736C556" w14:textId="77777777" w:rsidTr="00822842">
        <w:tc>
          <w:tcPr>
            <w:tcW w:w="1129" w:type="dxa"/>
          </w:tcPr>
          <w:p w14:paraId="5F6156C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313F3D9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Dodatni odbitki navadnega lastniškega temeljnega kapitala v skladu s členom 3 Uredbe (EU) št. 575/2013</w:t>
            </w:r>
          </w:p>
          <w:p w14:paraId="1B49427B"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p w14:paraId="64882D1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Kadar se institucija odloči, da bo v celoti odbila svojo programsko opremo v skladu s členom 3 </w:t>
            </w:r>
            <w:r>
              <w:t>Uredbe (EU) št. 575/2013</w:t>
            </w:r>
            <w:r>
              <w:rPr>
                <w:rStyle w:val="InstructionsTabelleberschrift"/>
                <w:rFonts w:ascii="Times New Roman" w:hAnsi="Times New Roman"/>
                <w:b w:val="0"/>
                <w:sz w:val="24"/>
                <w:u w:val="none"/>
              </w:rPr>
              <w:t>, namesto da bi uporabila obravnavo iz člena 13a Delegirane uredbe (EU) št. 241/2014, se dodatni znesek, ki se odbije, ne poroča v tej vrstici, ampak v vrstici 0352.</w:t>
            </w:r>
          </w:p>
        </w:tc>
      </w:tr>
      <w:tr w:rsidR="00CC7D2C" w:rsidRPr="002A677E" w14:paraId="662A8EF0" w14:textId="77777777" w:rsidTr="00822842">
        <w:tc>
          <w:tcPr>
            <w:tcW w:w="1129" w:type="dxa"/>
          </w:tcPr>
          <w:p w14:paraId="6B3D695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55440B9"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1.1.1.2</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Elementi ali odbitki navadnega lastniškega temeljnega kapitala – drugo</w:t>
            </w:r>
          </w:p>
          <w:p w14:paraId="4265ECB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navadnega lastniškega temeljnega kapitala ali odbitek od elementa navadnega lastniškega temeljnega kapitala ne more biti razvrščen v eno od vrstic 020 do 524. </w:t>
            </w:r>
          </w:p>
          <w:p w14:paraId="5B36F38F"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se ne uporabi za uvrstitev kapitalskih postavk/odbitkov, ki v skladu z</w:t>
            </w:r>
            <w:r>
              <w:t xml:space="preserve"> 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Uredbe (EU) št. 575/2013</w:t>
            </w:r>
            <w:r>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5AAC685A"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DODATNI TEMELJNI KAPITAL</w:t>
            </w:r>
          </w:p>
          <w:p w14:paraId="43A675F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61</w:t>
            </w:r>
            <w:r>
              <w:t xml:space="preserve"> Uredbe (EU) št. 575/2013.</w:t>
            </w:r>
          </w:p>
        </w:tc>
      </w:tr>
      <w:tr w:rsidR="00CC7D2C" w:rsidRPr="002A677E" w14:paraId="623CCD0F" w14:textId="77777777" w:rsidTr="00822842">
        <w:tc>
          <w:tcPr>
            <w:tcW w:w="1129" w:type="dxa"/>
          </w:tcPr>
          <w:p w14:paraId="1BB703D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0" w:type="dxa"/>
          </w:tcPr>
          <w:p w14:paraId="571A9A48" w14:textId="29002F85"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Kapitalski instrumenti in vplačani presežek kapitala, sprejemljivi kot dodatni temeljni kapital</w:t>
            </w:r>
          </w:p>
          <w:p w14:paraId="329D93D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51, točka (a), členi 52, 53 in 54, člen 56, točka (a), in člen 57 </w:t>
            </w:r>
            <w:r>
              <w:t>Uredbe (EU) št. 575/2013.</w:t>
            </w:r>
          </w:p>
        </w:tc>
      </w:tr>
      <w:tr w:rsidR="00CC7D2C" w:rsidRPr="002A677E" w14:paraId="573719AB" w14:textId="77777777" w:rsidTr="00822842">
        <w:tc>
          <w:tcPr>
            <w:tcW w:w="1129" w:type="dxa"/>
          </w:tcPr>
          <w:p w14:paraId="5193964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3721CF1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 celoti vplačani, neposredno izdani kapitalski instrumenti</w:t>
            </w:r>
          </w:p>
          <w:p w14:paraId="417CF72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51, točka (a), in členi 52, 53 in 54 </w:t>
            </w:r>
            <w:r>
              <w:t>Uredbe (EU) št. 575/2013.</w:t>
            </w:r>
          </w:p>
          <w:p w14:paraId="722381C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CC7D2C" w:rsidRPr="002A677E" w14:paraId="3A7700CF" w14:textId="77777777" w:rsidTr="00822842">
        <w:tc>
          <w:tcPr>
            <w:tcW w:w="1129" w:type="dxa"/>
          </w:tcPr>
          <w:p w14:paraId="77E0958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C850AF">
              <w:rPr>
                <w:u w:val="single"/>
              </w:rPr>
              <w:tab/>
            </w:r>
            <w:r>
              <w:rPr>
                <w:rStyle w:val="InstructionsTabelleberschrift"/>
                <w:rFonts w:ascii="Times New Roman" w:hAnsi="Times New Roman"/>
                <w:sz w:val="24"/>
              </w:rPr>
              <w:t>Pojasnjevalna postavka: kapitalski instrumenti, ki niso sprejemljivi</w:t>
            </w:r>
          </w:p>
          <w:p w14:paraId="1E6ED08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točke (c), (e) in (f), </w:t>
            </w:r>
            <w:r>
              <w:t>Uredbe (EU) št. 575/2013.</w:t>
            </w:r>
          </w:p>
          <w:p w14:paraId="1C43881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65C7BBA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CC7D2C" w:rsidRPr="002A677E" w14:paraId="6A57CE01" w14:textId="77777777" w:rsidTr="00822842">
        <w:tc>
          <w:tcPr>
            <w:tcW w:w="1129" w:type="dxa"/>
          </w:tcPr>
          <w:p w14:paraId="0266EAC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3240679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Vplačani presežek kapitala</w:t>
            </w:r>
          </w:p>
          <w:p w14:paraId="66E8FE8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 točka (b),</w:t>
            </w:r>
            <w:r>
              <w:t xml:space="preserve"> Uredbe (EU) št. 575/2013.</w:t>
            </w:r>
          </w:p>
          <w:p w14:paraId="137AADA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računovodskim standardom.</w:t>
            </w:r>
          </w:p>
          <w:p w14:paraId="6463F91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CC7D2C" w:rsidRPr="002A677E" w14:paraId="58ACF44C" w14:textId="77777777" w:rsidTr="00822842">
        <w:tc>
          <w:tcPr>
            <w:tcW w:w="1129" w:type="dxa"/>
          </w:tcPr>
          <w:p w14:paraId="4586F6B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480795AA"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Lastni instrumenti dodatnega temeljnega kapitala</w:t>
            </w:r>
          </w:p>
          <w:p w14:paraId="4102A44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točka (b), člen 56, točka (a), in člen 57 </w:t>
            </w:r>
            <w:r>
              <w:t>Uredbe (EU) št. 575/2013.</w:t>
            </w:r>
          </w:p>
          <w:p w14:paraId="1D64029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temeljnega kapitala, ki jih ima institucija ali skupina poročevalka na datum poročanja, in zneski instrumentov dodatnega temeljnega kapitala, ki jih je treba odbiti v skladu s členom 28(2) Delegirane uredbe (EU) št. 241/2014. Veljajo izjeme iz člena 57</w:t>
            </w:r>
            <w:r>
              <w:t xml:space="preserve"> Uredbe (EU) št. 575/2013</w:t>
            </w:r>
            <w:r>
              <w:rPr>
                <w:rStyle w:val="FormatvorlageInstructionsTabelleText"/>
                <w:rFonts w:ascii="Times New Roman" w:hAnsi="Times New Roman"/>
                <w:sz w:val="24"/>
              </w:rPr>
              <w:t>.</w:t>
            </w:r>
          </w:p>
          <w:p w14:paraId="20C5394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14:paraId="4933E08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vplačani presežek kapitala, povezan z lastnimi delnicami.</w:t>
            </w:r>
          </w:p>
          <w:p w14:paraId="6639F65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1.1.2.1.4 do 1.1.2.1.4.3 ne vključujejo dejanskih ali pogojnih obveznosti nakupa lastnih instrumentov dodatnega temeljnega kapitala. Dejanske ali pogojne obveznosti nakupa lastnih instrumentov dodatnega temeljnega kapitala se poročajo ločeno v postavki 1.1.2.1.5.</w:t>
            </w:r>
          </w:p>
        </w:tc>
      </w:tr>
      <w:tr w:rsidR="00CC7D2C" w:rsidRPr="002A677E" w14:paraId="73E21D37" w14:textId="77777777" w:rsidTr="00822842">
        <w:tc>
          <w:tcPr>
            <w:tcW w:w="1129" w:type="dxa"/>
          </w:tcPr>
          <w:p w14:paraId="7E24EF6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298D3A71"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Neposredni deleži v instrumentih dodatnega temeljnega kapitala</w:t>
            </w:r>
          </w:p>
          <w:p w14:paraId="2E3166D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Člen 4(1), točka 144, člen 52(1), točka (b), člen 56, točka (a), in člen 57 </w:t>
            </w:r>
            <w:r>
              <w:t>Uredbe (EU) št. 575/2013.</w:t>
            </w:r>
          </w:p>
          <w:p w14:paraId="3842C09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temeljnega kapitala, vključeni v postavko 1.1.2.1.1, ki jih imajo institucije konsolidirane skupine, in zneski instrumentov dodatnega temeljnega kapitala, ki jih je treba odbiti v skladu s členom 28(2) Delegirane uredbe (EU) št. 241/2014. </w:t>
            </w:r>
          </w:p>
        </w:tc>
      </w:tr>
      <w:tr w:rsidR="00CC7D2C" w:rsidRPr="002A677E" w14:paraId="62EF8C25" w14:textId="77777777" w:rsidTr="00822842">
        <w:tc>
          <w:tcPr>
            <w:tcW w:w="1129" w:type="dxa"/>
          </w:tcPr>
          <w:p w14:paraId="4487BD1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14:paraId="266D1935" w14:textId="705CAB4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Posredni deleži v instrumentih dodatnega temeljnega kapitala</w:t>
            </w:r>
          </w:p>
          <w:p w14:paraId="426CCC8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52(1), točka (b)(ii), člen 56, točka (a), in člen 57 </w:t>
            </w:r>
            <w:r>
              <w:t>Uredbe (EU) št. 575/2013.</w:t>
            </w:r>
          </w:p>
        </w:tc>
      </w:tr>
      <w:tr w:rsidR="00CC7D2C" w:rsidRPr="002A677E" w14:paraId="68C6D4A4" w14:textId="77777777" w:rsidTr="00822842">
        <w:tc>
          <w:tcPr>
            <w:tcW w:w="1129" w:type="dxa"/>
          </w:tcPr>
          <w:p w14:paraId="1AE0424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14E24DEB" w:rsidR="00CC7D2C" w:rsidRPr="002A677E" w:rsidRDefault="00CC7D2C" w:rsidP="00206A48">
            <w:pPr>
              <w:pStyle w:val="InstructionsText"/>
            </w:pPr>
            <w:r>
              <w:rPr>
                <w:rStyle w:val="InstructionsTabelleberschrift"/>
                <w:rFonts w:ascii="Times New Roman" w:hAnsi="Times New Roman"/>
                <w:sz w:val="24"/>
              </w:rPr>
              <w:t>1.1.2.1.4.</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Sintetični deleži v instrumentih dodatnega temeljnega kapitala</w:t>
            </w:r>
          </w:p>
          <w:p w14:paraId="366556FC" w14:textId="77777777" w:rsidR="00CC7D2C" w:rsidRPr="002A677E" w:rsidRDefault="00CC7D2C" w:rsidP="00206A48">
            <w:pPr>
              <w:pStyle w:val="InstructionsText"/>
              <w:rPr>
                <w:rStyle w:val="InstructionsTabelleberschrift"/>
                <w:rFonts w:ascii="Times New Roman" w:hAnsi="Times New Roman"/>
                <w:b w:val="0"/>
                <w:bCs w:val="0"/>
                <w:sz w:val="24"/>
                <w:u w:val="none"/>
              </w:rPr>
            </w:pPr>
            <w:r>
              <w:t xml:space="preserve"> Člen 4(1), točka 126, člen 52(1), točka (b), </w:t>
            </w:r>
            <w:r>
              <w:rPr>
                <w:rStyle w:val="FormatvorlageInstructionsTabelleText"/>
                <w:rFonts w:ascii="Times New Roman" w:hAnsi="Times New Roman"/>
                <w:sz w:val="24"/>
              </w:rPr>
              <w:t xml:space="preserve">člen 56, točka (a), </w:t>
            </w:r>
            <w:r>
              <w:t>in člen 57 Uredbe (EU) št. 575/2013.</w:t>
            </w:r>
          </w:p>
        </w:tc>
      </w:tr>
      <w:tr w:rsidR="00CC7D2C" w:rsidRPr="002A677E" w14:paraId="32E83E14" w14:textId="77777777" w:rsidTr="00822842">
        <w:tc>
          <w:tcPr>
            <w:tcW w:w="1129" w:type="dxa"/>
          </w:tcPr>
          <w:p w14:paraId="2ED8824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0E496D66"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Dejanske ali pogojne obveznosti nakupa lastnih instrumentov dodatnega temeljnega kapitala</w:t>
            </w:r>
          </w:p>
          <w:p w14:paraId="0B39AA4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56, točka (a), in člen 57 </w:t>
            </w:r>
            <w:r>
              <w:t>Uredbe (EU) št. 575/2013.</w:t>
            </w:r>
          </w:p>
          <w:p w14:paraId="3E468850"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b w:val="0"/>
                <w:u w:val="none"/>
              </w:rPr>
              <w:t>V skladu s členom 56, točka (a), Uredbe (EU) št. 575/2013 se</w:t>
            </w:r>
            <w:r>
              <w:t xml:space="preserve"> „</w:t>
            </w:r>
            <w:proofErr w:type="spellStart"/>
            <w:r>
              <w:t>lastn</w:t>
            </w:r>
            <w:proofErr w:type="spellEnd"/>
            <w:r>
              <w:t>[i] instrumenti dodatnega temeljnega kapitala, ki bi jih institucija morda bila dolžna kupiti zaradi obstoječih pogodbenih obveznosti“, odbijejo.</w:t>
            </w:r>
          </w:p>
        </w:tc>
      </w:tr>
      <w:tr w:rsidR="00CC7D2C" w:rsidRPr="002A677E" w14:paraId="582FD4C2" w14:textId="77777777" w:rsidTr="00822842">
        <w:tc>
          <w:tcPr>
            <w:tcW w:w="1129" w:type="dxa"/>
          </w:tcPr>
          <w:p w14:paraId="12A2570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1750BBF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Prehodne prilagoditve zaradi instrumentov dodatnega temeljnega kapitala, za katere se uporabljajo predhodna pravila</w:t>
            </w:r>
          </w:p>
          <w:p w14:paraId="4DF87BE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odstavka 4 in 5, členi 484 do 487, člena 489 in 491 </w:t>
            </w:r>
            <w:r>
              <w:t>Uredbe (EU) št. 575/2013.</w:t>
            </w:r>
          </w:p>
          <w:p w14:paraId="50B5594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dodatni temeljni kapital. Znesek, ki se poroča, se pridobi neposredno iz predloge CA5.</w:t>
            </w:r>
          </w:p>
        </w:tc>
      </w:tr>
      <w:tr w:rsidR="00CC7D2C" w:rsidRPr="002A677E" w14:paraId="16377810" w14:textId="77777777" w:rsidTr="00822842">
        <w:tc>
          <w:tcPr>
            <w:tcW w:w="1129" w:type="dxa"/>
          </w:tcPr>
          <w:p w14:paraId="3E0204F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02BF1A2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ki jih izdajo podrejene družbe in so pripoznani v dodatnem temeljnem kapitalu</w:t>
            </w:r>
          </w:p>
          <w:p w14:paraId="391F334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83, 85 in 86 </w:t>
            </w:r>
            <w:r>
              <w:t>Uredbe (EU) št. 575/2013.</w:t>
            </w:r>
          </w:p>
          <w:p w14:paraId="7CFFAD3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temeljnega kapitala podrejenih družb, vključena v konsolidirani dodatni temeljni kapital.</w:t>
            </w:r>
          </w:p>
          <w:p w14:paraId="77A5298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Vključi se kvalificirani dodatni temeljni kapital, ki ga je izdal subjekt s posebnim namenom (člen 83 </w:t>
            </w:r>
            <w:r>
              <w:t>Uredbe (EU) št. 575/2013</w:t>
            </w:r>
            <w:r>
              <w:rPr>
                <w:rStyle w:val="FormatvorlageInstructionsTabelleText"/>
                <w:rFonts w:ascii="Times New Roman" w:hAnsi="Times New Roman"/>
                <w:sz w:val="24"/>
              </w:rPr>
              <w:t>).</w:t>
            </w:r>
          </w:p>
        </w:tc>
      </w:tr>
      <w:tr w:rsidR="00CC7D2C" w:rsidRPr="002A677E" w14:paraId="4EB0390C" w14:textId="77777777" w:rsidTr="00822842">
        <w:tc>
          <w:tcPr>
            <w:tcW w:w="1129" w:type="dxa"/>
          </w:tcPr>
          <w:p w14:paraId="6905CB1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800FE2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Prehodne prilagoditve zaradi dodatnega pripoznanja v instrumentih dodatnega temeljnega kapitala, ki jih izdajo podrejene družbe</w:t>
            </w:r>
          </w:p>
          <w:p w14:paraId="6604AC5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w:t>
            </w:r>
            <w:r>
              <w:t xml:space="preserve"> Uredbe (EU) št. 575/2013.</w:t>
            </w:r>
          </w:p>
          <w:p w14:paraId="5C5547C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temeljnega kapitala v konsolidiranem dodatnem temeljnem kapitalu zaradi prehodnih določb. Ta postavka se pridobi neposredno iz predloge CA5.</w:t>
            </w:r>
          </w:p>
        </w:tc>
      </w:tr>
      <w:tr w:rsidR="00CC7D2C" w:rsidRPr="002A677E" w14:paraId="2E31DA4D" w14:textId="77777777" w:rsidTr="00822842">
        <w:tc>
          <w:tcPr>
            <w:tcW w:w="1129" w:type="dxa"/>
          </w:tcPr>
          <w:p w14:paraId="5989565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620" w:type="dxa"/>
          </w:tcPr>
          <w:p w14:paraId="04C1AD9C" w14:textId="5F234DE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Vzajemni navzkrižni deleži v dodatnem temeljnem kapitalu</w:t>
            </w:r>
          </w:p>
          <w:p w14:paraId="152DEC0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4(1), točka 122, člen 56, točka (b), in člen 58 </w:t>
            </w:r>
            <w:r>
              <w:t>Uredbe (EU) št. 575/2013.</w:t>
            </w:r>
          </w:p>
          <w:p w14:paraId="1DC47E6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temeljnega kapitala subjektov finančnega sektorja (kot so opredeljeni v členu 4(1), točka 27,</w:t>
            </w:r>
            <w:r>
              <w:t xml:space="preserve"> Uredbe (EU) št. 575/2013</w:t>
            </w:r>
            <w:r>
              <w:rPr>
                <w:rStyle w:val="FormatvorlageInstructionsTabelleText"/>
                <w:rFonts w:ascii="Times New Roman" w:hAnsi="Times New Roman"/>
                <w:sz w:val="24"/>
              </w:rPr>
              <w:t>), kadar obstaja vzajemni navzkrižni delež, za katerega pristojni organ meni, da je bil oblikovan z namenom umetnega povečanja kapitala institucije.</w:t>
            </w:r>
          </w:p>
          <w:p w14:paraId="1632995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dodatnih lastnih sredstev prvega reda.</w:t>
            </w:r>
          </w:p>
        </w:tc>
      </w:tr>
      <w:tr w:rsidR="00CC7D2C" w:rsidRPr="002A677E" w14:paraId="1EC9825C" w14:textId="77777777" w:rsidTr="00822842">
        <w:tc>
          <w:tcPr>
            <w:tcW w:w="1129" w:type="dxa"/>
          </w:tcPr>
          <w:p w14:paraId="4990963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14968BD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dodatnega temeljnega kapitala subjektov finančnega sektorja, v katerih institucija nima pomembne naložbe</w:t>
            </w:r>
          </w:p>
          <w:p w14:paraId="5484CEA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56, točka (c), Členi 59, 60 in 79 </w:t>
            </w:r>
            <w:r>
              <w:t>Uredbe (EU) št. 575/2013.</w:t>
            </w:r>
          </w:p>
          <w:p w14:paraId="05F839A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 točka 27,</w:t>
            </w:r>
            <w:r>
              <w:t xml:space="preserve"> Uredbe (EU) št. 575/2013</w:t>
            </w:r>
            <w:r>
              <w:rPr>
                <w:rStyle w:val="FormatvorlageInstructionsTabelleText"/>
                <w:rFonts w:ascii="Times New Roman" w:hAnsi="Times New Roman"/>
                <w:sz w:val="24"/>
              </w:rPr>
              <w:t>), v katerih institucija nima pomembne naložbe, ki ga je treba odbiti od dodatnega temeljnega kapitala.</w:t>
            </w:r>
          </w:p>
        </w:tc>
      </w:tr>
      <w:tr w:rsidR="00CC7D2C" w:rsidRPr="002A677E" w14:paraId="41E5F99E" w14:textId="77777777" w:rsidTr="00822842">
        <w:tc>
          <w:tcPr>
            <w:tcW w:w="1129" w:type="dxa"/>
          </w:tcPr>
          <w:p w14:paraId="339AB51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35D4A76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dodatnega temeljnega kapitala subjektov finančnega sektorja, v katerih ima institucija pomembno naložbo</w:t>
            </w:r>
          </w:p>
          <w:p w14:paraId="3056081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56, točka (d), člena 59 in 79 </w:t>
            </w:r>
            <w:r>
              <w:t>Uredbe (EU) št. 575/2013.</w:t>
            </w:r>
          </w:p>
          <w:p w14:paraId="6F80F93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institucije v instrumentih dodatnega temeljnega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se v celoti odbijejo.</w:t>
            </w:r>
          </w:p>
        </w:tc>
      </w:tr>
      <w:tr w:rsidR="00CC7D2C" w:rsidRPr="002A677E" w14:paraId="25A9DEF2" w14:textId="77777777" w:rsidTr="00822842">
        <w:tc>
          <w:tcPr>
            <w:tcW w:w="1129" w:type="dxa"/>
          </w:tcPr>
          <w:p w14:paraId="2EA5EA4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14AA7B01"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 Presežek odbitka od postavk dodatnega kapitala nad dodatnim kapitalom </w:t>
            </w:r>
          </w:p>
          <w:p w14:paraId="01E05C0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 točka (e),</w:t>
            </w:r>
            <w:r>
              <w:t xml:space="preserve"> Uredbe (EU) št. 575/2013.</w:t>
            </w:r>
          </w:p>
          <w:p w14:paraId="1736A02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kapitala nad dodatnim kapitalom“ (odbitega v dodatnem temeljnem kapitalu) predloge CA1.</w:t>
            </w:r>
          </w:p>
        </w:tc>
      </w:tr>
      <w:tr w:rsidR="00CC7D2C" w:rsidRPr="002A677E" w14:paraId="72D816DB" w14:textId="77777777" w:rsidTr="00822842">
        <w:tc>
          <w:tcPr>
            <w:tcW w:w="1129" w:type="dxa"/>
          </w:tcPr>
          <w:p w14:paraId="00DAA2F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866A589"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prehodne prilagoditve dodatnega temeljnega kapitala</w:t>
            </w:r>
          </w:p>
          <w:p w14:paraId="29A3904D" w14:textId="337467D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474, 475, 478 in 481</w:t>
            </w:r>
            <w:r>
              <w:t xml:space="preserve"> Uredbe (EU) št. 575/2013.</w:t>
            </w:r>
          </w:p>
          <w:p w14:paraId="02E3A90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CC7D2C" w:rsidRPr="002A677E" w14:paraId="4D2C1ED3" w14:textId="77777777" w:rsidTr="00822842">
        <w:tc>
          <w:tcPr>
            <w:tcW w:w="1129" w:type="dxa"/>
          </w:tcPr>
          <w:p w14:paraId="66F1BAE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315AE42"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0</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Presežek odbitka od postavk dodatnega temeljnega kapitala nad dodatnim temeljnim kapitalom (odbito v navadnem lastniškem temeljnem kapitalu)</w:t>
            </w:r>
          </w:p>
          <w:p w14:paraId="448C1EA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 točka (j),</w:t>
            </w:r>
            <w:r>
              <w:t xml:space="preserve"> Uredbe (EU) št. 575/2013.</w:t>
            </w:r>
          </w:p>
          <w:p w14:paraId="4E81867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Dodatni temeljni kapital ne more biti negativen, odbitki dodatnega temeljnega kapitala pa so lahko večji od dodatnega temeljnega kapitala, ki mu je prištet z njim povezan vplačani presežek kapitala. Kadar se to zgodi, mora biti dodatni temeljni kapital enak nič, presežek odbitkov dodatnega temeljnega kapitala pa je treba odbiti od navadnega lastniškega temeljnega kapitala.</w:t>
            </w:r>
          </w:p>
          <w:p w14:paraId="5A10AF9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se doseže, da vsota postavk 1.1.2.1 do 1.1.2.12 nikoli ni manjša kot nič. Če je v tej postavki izkazana pozitivna vrednost, je postavka 1.1.1.16 nasprotna tej vrednosti.</w:t>
            </w:r>
          </w:p>
        </w:tc>
      </w:tr>
      <w:tr w:rsidR="00CC7D2C" w:rsidRPr="002A677E" w14:paraId="76E516A8" w14:textId="77777777" w:rsidTr="00822842">
        <w:tc>
          <w:tcPr>
            <w:tcW w:w="1129" w:type="dxa"/>
          </w:tcPr>
          <w:p w14:paraId="30A753A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1E400C33" w14:textId="09F5138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Dodatni odbitki dodatnega temeljnega kapitala v skladu s členom 3 Uredbe (EU) št. 575/2013</w:t>
            </w:r>
          </w:p>
          <w:p w14:paraId="1A20C9A9"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tc>
      </w:tr>
      <w:tr w:rsidR="00CC7D2C" w:rsidRPr="002A677E" w14:paraId="14CFF964" w14:textId="77777777" w:rsidTr="00822842">
        <w:tc>
          <w:tcPr>
            <w:tcW w:w="1129" w:type="dxa"/>
          </w:tcPr>
          <w:p w14:paraId="4DA3290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6A560521"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Elementi ali odbitki dodatnega temeljnega kapitala ‒ drugo</w:t>
            </w:r>
          </w:p>
          <w:p w14:paraId="31AC8BE6"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dodatnega temeljnega kapitala ali odbitek od elementa dodatnega temeljnega kapitala ne more biti razvrščen v eno od vrstic 530 do 744. </w:t>
            </w:r>
          </w:p>
          <w:p w14:paraId="437FB1AC"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se ne uporabi za uvrstitev kapitalskih postavk/odbitkov, ki v skladu z </w:t>
            </w:r>
            <w:r>
              <w:t xml:space="preserve">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navedene uredbe</w:t>
            </w:r>
            <w:r>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53A92D0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DODATNI KAPITAL</w:t>
            </w:r>
          </w:p>
          <w:p w14:paraId="420D26D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71</w:t>
            </w:r>
            <w:r>
              <w:t xml:space="preserve"> Uredbe (EU) št. 575/2013.</w:t>
            </w:r>
          </w:p>
        </w:tc>
      </w:tr>
      <w:tr w:rsidR="00CC7D2C" w:rsidRPr="002A677E" w14:paraId="56549326" w14:textId="77777777" w:rsidTr="00822842">
        <w:tc>
          <w:tcPr>
            <w:tcW w:w="1129" w:type="dxa"/>
          </w:tcPr>
          <w:p w14:paraId="3DDDB2C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64A26A25"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Kapitalski instrumenti in vplačani presežek kapitala, sprejemljivi kot dodatni kapital</w:t>
            </w:r>
          </w:p>
          <w:p w14:paraId="629702D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(a), členi 63 do 65, člen 66, točka (a), in člen 67 </w:t>
            </w:r>
            <w:r>
              <w:t>Uredbe (EU) št. 575/2013.</w:t>
            </w:r>
          </w:p>
        </w:tc>
      </w:tr>
      <w:tr w:rsidR="00CC7D2C" w:rsidRPr="002A677E" w14:paraId="5D1B7DAB" w14:textId="77777777" w:rsidTr="00822842">
        <w:tc>
          <w:tcPr>
            <w:tcW w:w="1129" w:type="dxa"/>
          </w:tcPr>
          <w:p w14:paraId="059DF69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2EC4D8B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 celoti vplačani, neposredno izdani kapitalski instrumenti</w:t>
            </w:r>
          </w:p>
          <w:p w14:paraId="71AACDA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(a), člena 63 in 65 </w:t>
            </w:r>
            <w:r>
              <w:t>Uredbe (EU) št. 575/2013.</w:t>
            </w:r>
          </w:p>
          <w:p w14:paraId="409F7B9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ne vključuje vplačanega presežka kapitala, povezanega z instrumenti. </w:t>
            </w:r>
          </w:p>
          <w:p w14:paraId="4154610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Kapitalski instrumenti so lahko v obliki kapitala ali obveznosti, vključno s podrejenimi dolgovi, ki izpolnjujejo merila primernosti.</w:t>
            </w:r>
          </w:p>
        </w:tc>
      </w:tr>
      <w:tr w:rsidR="00CC7D2C" w:rsidRPr="002A677E" w14:paraId="0562750A" w14:textId="77777777" w:rsidTr="00822842">
        <w:tc>
          <w:tcPr>
            <w:tcW w:w="1129" w:type="dxa"/>
          </w:tcPr>
          <w:p w14:paraId="02B0FC7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Pojasnjevalna postavka: kapitalski instrumenti,</w:t>
            </w:r>
            <w:r>
              <w:t xml:space="preserve"> </w:t>
            </w:r>
            <w:r>
              <w:rPr>
                <w:rStyle w:val="InstructionsTabelleberschrift"/>
                <w:rFonts w:ascii="Times New Roman" w:hAnsi="Times New Roman"/>
                <w:sz w:val="24"/>
              </w:rPr>
              <w:t>ki niso sprejemljivi</w:t>
            </w:r>
          </w:p>
          <w:p w14:paraId="235500D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63, točke (c), (e) in (f), ter člen 64 </w:t>
            </w:r>
            <w:r>
              <w:t>Uredbe (EU) št. 575/2013.</w:t>
            </w:r>
          </w:p>
          <w:p w14:paraId="0F0E765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38DF154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ne vključuje vplačanega presežka kapitala, povezanega z instrumenti.</w:t>
            </w:r>
          </w:p>
          <w:p w14:paraId="6140935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Kapitalski instrumenti so lahko v obliki kapitala ali obveznosti, vključno s podrejenimi dolgovi.</w:t>
            </w:r>
          </w:p>
        </w:tc>
      </w:tr>
      <w:tr w:rsidR="00CC7D2C" w:rsidRPr="002A677E" w14:paraId="320D14E4" w14:textId="77777777" w:rsidTr="00822842">
        <w:tc>
          <w:tcPr>
            <w:tcW w:w="1129" w:type="dxa"/>
          </w:tcPr>
          <w:p w14:paraId="2D30A5B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E5280AD" w14:textId="00F682F9"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Vplačani presežek kapitala</w:t>
            </w:r>
          </w:p>
          <w:p w14:paraId="7E1F37D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62, točka (b), in člen 65 </w:t>
            </w:r>
            <w:r>
              <w:t>Uredbe (EU) št. 575/2013.</w:t>
            </w:r>
          </w:p>
          <w:p w14:paraId="0EAE793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14:paraId="566D16B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CC7D2C" w:rsidRPr="002A677E" w14:paraId="0AD5B5F9" w14:textId="77777777" w:rsidTr="00822842">
        <w:tc>
          <w:tcPr>
            <w:tcW w:w="1129" w:type="dxa"/>
          </w:tcPr>
          <w:p w14:paraId="3AE7415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2F79E07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Lastni instrumenti dodatnega kapitala</w:t>
            </w:r>
          </w:p>
          <w:p w14:paraId="2DB350D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63, točka (b)(i), člen 66, točka (a), in člen 67 </w:t>
            </w:r>
            <w:r>
              <w:t>Uredbe (EU) št. 575/2013.</w:t>
            </w:r>
          </w:p>
          <w:p w14:paraId="53318B1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kapitala, ki jih imajo institucija ali skupina poročevalka na datum poročanja, in zneski instrumentov dodatnega kapitala, ki jih je treba odbiti v skladu s členom 28(2) Delegirane uredbe (EU) št. 241/2014. Veljajo izjeme iz člena 67</w:t>
            </w:r>
            <w:r>
              <w:t xml:space="preserve"> Uredbe (EU) št. 575/2013</w:t>
            </w:r>
            <w:r>
              <w:rPr>
                <w:rStyle w:val="FormatvorlageInstructionsTabelleText"/>
                <w:rFonts w:ascii="Times New Roman" w:hAnsi="Times New Roman"/>
                <w:sz w:val="24"/>
              </w:rPr>
              <w:t>.</w:t>
            </w:r>
          </w:p>
          <w:p w14:paraId="2EB0FD2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14:paraId="56EC327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vplačani presežek kapitala, povezan z lastnimi delnicami.</w:t>
            </w:r>
          </w:p>
          <w:p w14:paraId="3E5981C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1.2.1.4 do 1.2.1.4.3 ne vključujejo dejanskih ali pogojnih obveznosti nakupa lastnih instrumentov dodatnega kapitala. Dejanske ali pogojne obveznosti nakupa lastnih instrumentov dodatnega kapitala se poročajo ločeno v postavki 1.2.1.5.</w:t>
            </w:r>
          </w:p>
        </w:tc>
      </w:tr>
      <w:tr w:rsidR="00CC7D2C" w:rsidRPr="002A677E" w14:paraId="4BC336FD" w14:textId="77777777" w:rsidTr="00822842">
        <w:tc>
          <w:tcPr>
            <w:tcW w:w="1129" w:type="dxa"/>
          </w:tcPr>
          <w:p w14:paraId="43B2C7C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3FBE261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Neposredni deleži v instrumentih dodatnega kapitala</w:t>
            </w:r>
          </w:p>
          <w:p w14:paraId="705A575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63, točka (b), člen 66, točka (a), in člen 67 </w:t>
            </w:r>
            <w:r>
              <w:t>Uredbe (EU) št. 575/2013.</w:t>
            </w:r>
          </w:p>
          <w:p w14:paraId="54D6B3F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kapitala, vključeni v postavko 1.2.1.1, ki jih imajo institucije konsolidirane skupine, in zneski instrumentov dodatnega kapitala, ki jih je treba odbiti v skladu s členom 28(2) Delegirane uredbe (EU) št. 241/2014. </w:t>
            </w:r>
          </w:p>
        </w:tc>
      </w:tr>
      <w:tr w:rsidR="00CC7D2C" w:rsidRPr="002A677E" w14:paraId="6AC511C9" w14:textId="77777777" w:rsidTr="00822842">
        <w:tc>
          <w:tcPr>
            <w:tcW w:w="1129" w:type="dxa"/>
          </w:tcPr>
          <w:p w14:paraId="1B21787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05B2BFBE"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Posredni deleži v instrumentih dodatnega kapitala</w:t>
            </w:r>
          </w:p>
          <w:p w14:paraId="7BCC617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Člen 4(1), točka 114, člen 63, točka (b), člen 66, točka (a), in člen 67 </w:t>
            </w:r>
            <w:r>
              <w:t>Uredbe (EU) št. 575/2013.</w:t>
            </w:r>
          </w:p>
        </w:tc>
      </w:tr>
      <w:tr w:rsidR="00CC7D2C" w:rsidRPr="002A677E" w14:paraId="49F7D7F3" w14:textId="77777777" w:rsidTr="00822842">
        <w:tc>
          <w:tcPr>
            <w:tcW w:w="1129" w:type="dxa"/>
          </w:tcPr>
          <w:p w14:paraId="2548455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1972FB5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Sintetični deleži v instrumentih dodatnega kapitala</w:t>
            </w:r>
          </w:p>
          <w:p w14:paraId="561A4C8E"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Člen 4(1), točka 126, člen 63, točka (b), člen 66, točka (a), in člen 67 </w:t>
            </w:r>
            <w:r>
              <w:t>Uredbe (EU) št. 575/2013.</w:t>
            </w:r>
          </w:p>
        </w:tc>
      </w:tr>
      <w:tr w:rsidR="00CC7D2C" w:rsidRPr="002A677E" w14:paraId="5150E3CB" w14:textId="77777777" w:rsidTr="00822842">
        <w:tc>
          <w:tcPr>
            <w:tcW w:w="1129" w:type="dxa"/>
          </w:tcPr>
          <w:p w14:paraId="4424627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06375001" w:rsidR="00CC7D2C" w:rsidRPr="002A677E" w:rsidRDefault="00CC7D2C" w:rsidP="00206A48">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Dejanske ali pogojne obveznosti nakupa lastnih instrumentov dodatnega kapitala</w:t>
            </w:r>
          </w:p>
          <w:p w14:paraId="205EFE83"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66, točka (a), in člen 67 </w:t>
            </w:r>
            <w:r>
              <w:t>Uredbe (EU) št. 575/2013.</w:t>
            </w:r>
          </w:p>
          <w:p w14:paraId="7756A04F"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b w:val="0"/>
                <w:u w:val="none"/>
              </w:rPr>
              <w:lastRenderedPageBreak/>
              <w:t>V skladu s členom 66, točka (a), Uredbe (EU) št. 575/2013 se</w:t>
            </w:r>
            <w:r>
              <w:t xml:space="preserve"> „</w:t>
            </w:r>
            <w:proofErr w:type="spellStart"/>
            <w:r>
              <w:t>lastn</w:t>
            </w:r>
            <w:proofErr w:type="spellEnd"/>
            <w:r>
              <w:t>[i] instrumenti dodatnega kapitala, ki bi jih institucija morda bila dolžna kupiti zaradi obstoječih pogodbenih obveznosti“, odbijejo.</w:t>
            </w:r>
          </w:p>
        </w:tc>
      </w:tr>
      <w:tr w:rsidR="00CC7D2C" w:rsidRPr="002A677E" w14:paraId="74C787B7" w14:textId="77777777" w:rsidTr="00822842">
        <w:tc>
          <w:tcPr>
            <w:tcW w:w="1129" w:type="dxa"/>
          </w:tcPr>
          <w:p w14:paraId="273FCE9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55E47920" w14:textId="0420B3E5"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Prehodne prilagoditve zaradi instrumentov dodatnega kapitala, za katere se uporabljajo predhodna pravila </w:t>
            </w:r>
          </w:p>
          <w:p w14:paraId="3907A26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483, odstavka 6 in 7, členi 484, 486, 488, 490 in 491 </w:t>
            </w:r>
            <w:r>
              <w:t>Uredbe (EU) št. 575/2013.</w:t>
            </w:r>
          </w:p>
          <w:p w14:paraId="74EE4B3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dodatni kapital. Znesek, ki se poroča, se pridobi neposredno iz predloge CA5.</w:t>
            </w:r>
          </w:p>
        </w:tc>
      </w:tr>
      <w:tr w:rsidR="00CC7D2C" w:rsidRPr="002A677E" w14:paraId="3804921C" w14:textId="77777777" w:rsidTr="00822842">
        <w:tc>
          <w:tcPr>
            <w:tcW w:w="1129" w:type="dxa"/>
          </w:tcPr>
          <w:p w14:paraId="25AE6D7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01EF94B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ki jih izdajo podrejene družbe in so pripoznani v dodatnem kapitalu</w:t>
            </w:r>
          </w:p>
          <w:p w14:paraId="5B58570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83, 87 in 88 </w:t>
            </w:r>
            <w:r>
              <w:t>Uredbe (EU) št. 575/2013.</w:t>
            </w:r>
          </w:p>
          <w:p w14:paraId="670F185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kapitala podrejenih družb, vključena v konsolidirani dodatni kapital.</w:t>
            </w:r>
          </w:p>
          <w:p w14:paraId="4925539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Vključi se kvalificirani dodatni kapital, ki ga je izdal subjekt s posebnim namenom (člen 83 </w:t>
            </w:r>
            <w:r>
              <w:t>Uredbe (EU) št. 575/2013</w:t>
            </w:r>
            <w:r>
              <w:rPr>
                <w:rStyle w:val="FormatvorlageInstructionsTabelleText"/>
                <w:rFonts w:ascii="Times New Roman" w:hAnsi="Times New Roman"/>
                <w:sz w:val="24"/>
              </w:rPr>
              <w:t>).</w:t>
            </w:r>
          </w:p>
        </w:tc>
      </w:tr>
      <w:tr w:rsidR="00CC7D2C" w:rsidRPr="002A677E" w14:paraId="664A0254" w14:textId="77777777" w:rsidTr="00822842">
        <w:tc>
          <w:tcPr>
            <w:tcW w:w="1129" w:type="dxa"/>
          </w:tcPr>
          <w:p w14:paraId="2266163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27A6FC3D"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Prehodne prilagoditve zaradi dodatnega pripoznanja v dodatnem kapitalu instrumentov, ki jih izdajo podrejene družbe</w:t>
            </w:r>
          </w:p>
          <w:p w14:paraId="7C4C49E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w:t>
            </w:r>
            <w:r>
              <w:t xml:space="preserve"> Uredbe (EU) št. 575/2013.</w:t>
            </w:r>
          </w:p>
          <w:p w14:paraId="15BBF24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kapitala v konsolidiranem dodatnem kapitalu zaradi prehodnih določb. Ta postavka se pridobi neposredno iz predloge CA5.</w:t>
            </w:r>
          </w:p>
        </w:tc>
      </w:tr>
      <w:tr w:rsidR="00CC7D2C" w:rsidRPr="002A677E" w14:paraId="6A638479" w14:textId="77777777" w:rsidTr="00822842">
        <w:tc>
          <w:tcPr>
            <w:tcW w:w="1129" w:type="dxa"/>
          </w:tcPr>
          <w:p w14:paraId="4048325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3EC52C31"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Presežek rezervacij nad sprejemljivimi pričakovanimi izgubami po pristopu IRB</w:t>
            </w:r>
          </w:p>
          <w:p w14:paraId="0E163FA1"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 točka (d),</w:t>
            </w:r>
            <w:r>
              <w:t xml:space="preserve"> Uredbe (EU) št. 575/2013.</w:t>
            </w:r>
          </w:p>
          <w:p w14:paraId="0693AD1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pristopom IRB, ta postavka vsebuje pozitivne zneske, ki izhajajo iz primerjave rezervacij in pričakovanih izgub, ki so sprejemljivi kot dodatni kapital.</w:t>
            </w:r>
          </w:p>
        </w:tc>
      </w:tr>
      <w:tr w:rsidR="00CC7D2C" w:rsidRPr="002A677E" w14:paraId="408881FB" w14:textId="77777777" w:rsidTr="00822842">
        <w:tc>
          <w:tcPr>
            <w:tcW w:w="1129" w:type="dxa"/>
          </w:tcPr>
          <w:p w14:paraId="06DDF63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60D8D312"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Splošni popravki zaradi kreditnega tveganja v okviru standardiziranega pristopa</w:t>
            </w:r>
          </w:p>
          <w:p w14:paraId="04FB02A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 točka (c),</w:t>
            </w:r>
            <w:r>
              <w:t xml:space="preserve"> Uredbe (EU) št. 575/2013.</w:t>
            </w:r>
          </w:p>
          <w:p w14:paraId="2CA13C0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standardiziranim pristopom, ta postavka vsebuje splošne popravke zaradi kreditnega tveganja, ki so sprejemljivi kot dodatni kapital.</w:t>
            </w:r>
          </w:p>
        </w:tc>
      </w:tr>
      <w:tr w:rsidR="00CC7D2C" w:rsidRPr="002A677E" w14:paraId="38A9300A" w14:textId="77777777" w:rsidTr="00822842">
        <w:tc>
          <w:tcPr>
            <w:tcW w:w="1129" w:type="dxa"/>
          </w:tcPr>
          <w:p w14:paraId="4FEF3ED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4F3EF120"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Vzajemni navzkrižni deleži v dodatnem kapitalu</w:t>
            </w:r>
          </w:p>
          <w:p w14:paraId="3068E48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122, člen 66, točka (b), in člen 68 </w:t>
            </w:r>
            <w:r>
              <w:t>Uredbe (EU) št. 575/2013.</w:t>
            </w:r>
          </w:p>
          <w:p w14:paraId="4313E65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kapitala subjektov finančnega sektorja (kot so opredeljeni v členu 4(1), točka 27,</w:t>
            </w:r>
            <w:r>
              <w:t xml:space="preserve"> Uredbe (EU) št. 575/2013</w:t>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kadar obstaja vzajemni navzkrižni delež, za katerega pristojni organ meni, da je bil oblikovan z namenom umetnega povečanja kapitala institucije.</w:t>
            </w:r>
          </w:p>
          <w:p w14:paraId="6D783C2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ter vključuje zavarovalniške postavke lastnih sredstev drugega in tretjega reda.</w:t>
            </w:r>
          </w:p>
        </w:tc>
      </w:tr>
      <w:tr w:rsidR="00CC7D2C" w:rsidRPr="002A677E" w14:paraId="30FBE5EE" w14:textId="77777777" w:rsidTr="00822842">
        <w:tc>
          <w:tcPr>
            <w:tcW w:w="1129" w:type="dxa"/>
          </w:tcPr>
          <w:p w14:paraId="4DA4B13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22EA288" w14:textId="184C699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dodatnega kapitala subjektov finančnega sektorja, v katerih institucija nima pomembne naložbe</w:t>
            </w:r>
          </w:p>
          <w:p w14:paraId="121E0D4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66, točka (c), členi 68 do 70 in člen 79 </w:t>
            </w:r>
            <w:r>
              <w:t>Uredbe (EU) št. 575/2013.</w:t>
            </w:r>
          </w:p>
          <w:p w14:paraId="25F1314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deležev institucije v instrumentih subjektov finančnega sektorja (kot so opredeljeni v členu 4(1), točka 27, </w:t>
            </w:r>
            <w:r>
              <w:t>Uredbe (EU) št. 575/2013</w:t>
            </w:r>
            <w:r>
              <w:rPr>
                <w:rStyle w:val="FormatvorlageInstructionsTabelleText"/>
                <w:rFonts w:ascii="Times New Roman" w:hAnsi="Times New Roman"/>
                <w:sz w:val="24"/>
              </w:rPr>
              <w:t>), v katerih institucija nima pomembne naložbe, ki ga je treba odbiti od dodatnega kapitala.</w:t>
            </w:r>
          </w:p>
        </w:tc>
      </w:tr>
      <w:tr w:rsidR="00CC7D2C" w:rsidRPr="002A677E" w14:paraId="40F8C2BA" w14:textId="77777777" w:rsidTr="00822842">
        <w:tc>
          <w:tcPr>
            <w:tcW w:w="1129" w:type="dxa"/>
          </w:tcPr>
          <w:p w14:paraId="4AB0A85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5F20F794"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Instrumenti dodatnega kapitala subjektov finančnega sektorja, v katerih ima institucija pomembno naložbo</w:t>
            </w:r>
          </w:p>
          <w:p w14:paraId="304A303F"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4(1), točka 27, člen 66, točka (d), členi 68, 69 in 79 </w:t>
            </w:r>
            <w:r>
              <w:t>Uredbe (EU) št. 575/2013.</w:t>
            </w:r>
          </w:p>
          <w:p w14:paraId="2929BB0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Deleži institucije v instrumentih dodatnega kapitala subjektov finančnega sektorja (kot so opredeljeni v členu 4(1), točka 27, </w:t>
            </w:r>
            <w:r>
              <w:t>Uredbe (EU) št. 575/2013</w:t>
            </w:r>
            <w:r>
              <w:rPr>
                <w:rStyle w:val="FormatvorlageInstructionsTabelleText"/>
                <w:rFonts w:ascii="Times New Roman" w:hAnsi="Times New Roman"/>
                <w:sz w:val="24"/>
              </w:rPr>
              <w:t>), v katerih ima institucija pomembno naložbo, se v celoti odbijejo.</w:t>
            </w:r>
          </w:p>
        </w:tc>
      </w:tr>
      <w:tr w:rsidR="00CC7D2C" w:rsidRPr="002A677E" w14:paraId="642376D3" w14:textId="77777777" w:rsidTr="00822842">
        <w:tc>
          <w:tcPr>
            <w:tcW w:w="1129" w:type="dxa"/>
          </w:tcPr>
          <w:p w14:paraId="2253227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sidRPr="00B753FA">
              <w:rPr>
                <w:u w:val="single"/>
              </w:rPr>
              <w:tab/>
            </w:r>
            <w:r>
              <w:rPr>
                <w:rStyle w:val="InstructionsTabelleberschrift"/>
                <w:rFonts w:ascii="Times New Roman" w:hAnsi="Times New Roman"/>
                <w:sz w:val="24"/>
              </w:rPr>
              <w:t>(–) Presežek odbitkov od kvalificiranih obveznosti nad kvalificiranimi obveznostmi</w:t>
            </w:r>
          </w:p>
          <w:p w14:paraId="4449F407"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Člen 66, točka (e), </w:t>
            </w:r>
            <w:r>
              <w:t xml:space="preserve"> Uredbe (EU) št. 575/2013</w:t>
            </w:r>
            <w:r>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3E3B6F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0</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prehodne prilagoditve dodatnega kapitala</w:t>
            </w:r>
          </w:p>
          <w:p w14:paraId="58F3BA97" w14:textId="13C06246"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476, 477, 478 in 481</w:t>
            </w:r>
            <w:r>
              <w:t xml:space="preserve"> Uredbe (EU) št. 575/2013.</w:t>
            </w:r>
          </w:p>
          <w:p w14:paraId="194A237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CC7D2C" w:rsidRPr="002A677E" w14:paraId="448B7EB5" w14:textId="77777777" w:rsidTr="00822842">
        <w:tc>
          <w:tcPr>
            <w:tcW w:w="1129" w:type="dxa"/>
          </w:tcPr>
          <w:p w14:paraId="42C3AD6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AFE874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Presežek odbitka od postavk dodatnega kapitala nad dodatnim kapitalom (odbito v dodatnem temeljnem kapitalu)</w:t>
            </w:r>
          </w:p>
          <w:p w14:paraId="0F240A3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56, točka (e), </w:t>
            </w:r>
            <w:r>
              <w:t xml:space="preserve"> Uredbe (EU) št. 575/2013.</w:t>
            </w:r>
          </w:p>
          <w:p w14:paraId="74A7E15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kapital ne more biti negativen, odbitki dodatnega kapitala pa so lahko večji od dodatnega kapitala, ki mu je prištet z njim povezan vplačani presežek kapitala. Kadar se to zgodi, je dodatni kapital enak nič, presežek odbitkov dodatnega kapitala pa se odbije od dodatnega temeljnega kapitala.</w:t>
            </w:r>
          </w:p>
          <w:p w14:paraId="677D149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vsota postavk 1.2.1 do 1.2.13 nikoli ni manjša kot nič. Če je v tej postavki izkazana pozitivna vrednost, je postavka 1.1.2.8 nasprotna tej vrednosti.</w:t>
            </w:r>
          </w:p>
        </w:tc>
      </w:tr>
      <w:tr w:rsidR="00CC7D2C" w:rsidRPr="002A677E" w14:paraId="12D626E6" w14:textId="77777777" w:rsidTr="00822842">
        <w:tc>
          <w:tcPr>
            <w:tcW w:w="1129" w:type="dxa"/>
          </w:tcPr>
          <w:p w14:paraId="3688B2C8" w14:textId="77777777" w:rsidR="00CC7D2C" w:rsidRPr="001235ED" w:rsidDel="00BD687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659AC5C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Dodatni odbitki dodatnega kapitala v skladu s členom 3 Uredbe (EU) št. 575/2013</w:t>
            </w:r>
          </w:p>
          <w:p w14:paraId="5E0577EA"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w:t>
            </w:r>
            <w:r>
              <w:t xml:space="preserve"> Uredbe (EU) št. 575/2013.</w:t>
            </w:r>
          </w:p>
        </w:tc>
      </w:tr>
      <w:tr w:rsidR="00CC7D2C" w:rsidRPr="002A677E" w14:paraId="597E0397" w14:textId="77777777" w:rsidTr="00822842">
        <w:tc>
          <w:tcPr>
            <w:tcW w:w="1129" w:type="dxa"/>
          </w:tcPr>
          <w:p w14:paraId="3C9F05B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0978</w:t>
            </w:r>
          </w:p>
        </w:tc>
        <w:tc>
          <w:tcPr>
            <w:tcW w:w="7620" w:type="dxa"/>
          </w:tcPr>
          <w:p w14:paraId="3BAA43B9" w14:textId="442D4116"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Elementi ali odbitki dodatnega kapitala – drugo </w:t>
            </w:r>
          </w:p>
          <w:p w14:paraId="0DF4E3AE"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zagotavlja prožnost izključno za namene poročanja. Izpolni se le v redkih primerih, kadar ni sprejeta končna odločitev o poročanju posebnih kapitalskih postavk/odbitkov v sedanji predlogi CA1. Zato se ta vrstica izpolni le, če element dodatnega kapitala ali odbitek od elementa dodatnega kapitala ne more biti razvrščen v eno od vrstic 750 do 974. </w:t>
            </w:r>
          </w:p>
          <w:p w14:paraId="06CF4B0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se ne uporabi za uvrstitev kapitalskih postavk/odbitkov, ki v skladu z </w:t>
            </w:r>
            <w:r>
              <w:t xml:space="preserve">Uredbo (EU) št. 575/2013 </w:t>
            </w:r>
            <w:r>
              <w:rPr>
                <w:rStyle w:val="InstructionsTabelleberschrift"/>
                <w:rFonts w:ascii="Times New Roman" w:hAnsi="Times New Roman"/>
                <w:b w:val="0"/>
                <w:sz w:val="24"/>
                <w:u w:val="none"/>
              </w:rPr>
              <w:t xml:space="preserve">niso zajeti v izračun količnikov kapitalske ustreznosti (npr. razvrstitev nacionalnih kapitalskih postavk/odbitkov, ki niso zajeti v področje uporabe </w:t>
            </w:r>
            <w:r>
              <w:t>navedene uredbe</w:t>
            </w:r>
            <w:r>
              <w:rPr>
                <w:rStyle w:val="InstructionsTabelleberschrift"/>
                <w:rFonts w:ascii="Times New Roman" w:hAnsi="Times New Roman"/>
                <w:b w:val="0"/>
                <w:sz w:val="24"/>
                <w:u w:val="none"/>
              </w:rPr>
              <w:t>).</w:t>
            </w:r>
          </w:p>
        </w:tc>
      </w:tr>
    </w:tbl>
    <w:p w14:paraId="525C8C99" w14:textId="77777777" w:rsidR="00CC7D2C" w:rsidRPr="002A677E" w:rsidRDefault="00CC7D2C" w:rsidP="00206A48">
      <w:pPr>
        <w:pStyle w:val="InstructionsText"/>
      </w:pPr>
    </w:p>
    <w:p w14:paraId="438AB421" w14:textId="199F0F0D"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w:t>
      </w:r>
      <w:r w:rsidR="00206A48" w:rsidRPr="00C850AF">
        <w:rPr>
          <w:u w:val="none"/>
        </w:rPr>
        <w:t>3</w:t>
      </w:r>
      <w:r w:rsidR="00206A48" w:rsidRPr="00C850AF">
        <w:rPr>
          <w:u w:val="none"/>
        </w:rPr>
        <w:tab/>
      </w:r>
      <w:r w:rsidR="00C850AF" w:rsidRPr="00C850AF">
        <w:rPr>
          <w:u w:val="none"/>
        </w:rPr>
        <w:tab/>
      </w:r>
      <w:r>
        <w:t>C 02.00 – KAPITALSKE ZAHTEVE (CA2)</w:t>
      </w:r>
      <w:bookmarkEnd w:id="19"/>
      <w:bookmarkEnd w:id="20"/>
      <w:r>
        <w:t xml:space="preserve"> </w:t>
      </w:r>
      <w:bookmarkEnd w:id="21"/>
      <w:bookmarkEnd w:id="22"/>
    </w:p>
    <w:p w14:paraId="3B2D3B11" w14:textId="2C7DBBEE"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w:t>
      </w:r>
      <w:r w:rsidR="00206A48" w:rsidRPr="00C850AF">
        <w:rPr>
          <w:u w:val="none"/>
        </w:rPr>
        <w:t>1</w:t>
      </w:r>
      <w:r w:rsidR="00206A48" w:rsidRPr="00C850AF">
        <w:rPr>
          <w:u w:val="none"/>
        </w:rPr>
        <w:tab/>
      </w:r>
      <w:r>
        <w:t>Navodila za posamezne</w:t>
      </w:r>
      <w:bookmarkEnd w:id="23"/>
      <w:bookmarkEnd w:id="24"/>
      <w:r>
        <w:t xml:space="preserve"> pozicije</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206A48">
            <w:pPr>
              <w:pStyle w:val="InstructionsText"/>
            </w:pPr>
            <w:r>
              <w:t>Stolpci</w:t>
            </w:r>
          </w:p>
        </w:tc>
        <w:tc>
          <w:tcPr>
            <w:tcW w:w="7274" w:type="dxa"/>
            <w:shd w:val="clear" w:color="auto" w:fill="D9D9D9"/>
          </w:tcPr>
          <w:p w14:paraId="190CA9EE" w14:textId="77777777" w:rsidR="00CC7D2C" w:rsidRPr="002A677E" w:rsidRDefault="00CC7D2C" w:rsidP="00206A48">
            <w:pPr>
              <w:pStyle w:val="InstructionsText"/>
            </w:pPr>
            <w:r>
              <w:t>Pravna podlaga in navodila</w:t>
            </w:r>
          </w:p>
        </w:tc>
      </w:tr>
      <w:tr w:rsidR="00CC7D2C" w:rsidRPr="002A677E" w14:paraId="7F96D842" w14:textId="77777777" w:rsidTr="00822842">
        <w:tc>
          <w:tcPr>
            <w:tcW w:w="1591" w:type="dxa"/>
          </w:tcPr>
          <w:p w14:paraId="4534D820" w14:textId="77777777" w:rsidR="00CC7D2C" w:rsidRPr="002A677E" w:rsidRDefault="00CC7D2C" w:rsidP="00206A48">
            <w:pPr>
              <w:pStyle w:val="InstructionsText"/>
            </w:pPr>
            <w:r>
              <w:t>0010</w:t>
            </w:r>
          </w:p>
        </w:tc>
        <w:tc>
          <w:tcPr>
            <w:tcW w:w="7274" w:type="dxa"/>
          </w:tcPr>
          <w:p w14:paraId="1754203D" w14:textId="77777777" w:rsidR="00CC7D2C" w:rsidRPr="002A677E" w:rsidRDefault="00CC7D2C" w:rsidP="00206A48">
            <w:pPr>
              <w:pStyle w:val="InstructionsText"/>
            </w:pPr>
            <w:r>
              <w:rPr>
                <w:rStyle w:val="InstructionsTabelleberschrift"/>
                <w:rFonts w:ascii="Times New Roman" w:hAnsi="Times New Roman"/>
                <w:sz w:val="24"/>
              </w:rPr>
              <w:t>ZNESEK SKUPNE IZPOSTAVLJENOSTI TVEGANJU</w:t>
            </w:r>
          </w:p>
          <w:p w14:paraId="11658B1F" w14:textId="77777777" w:rsidR="00CC7D2C" w:rsidRPr="002A677E" w:rsidRDefault="00CC7D2C" w:rsidP="00206A48">
            <w:pPr>
              <w:pStyle w:val="InstructionsText"/>
            </w:pPr>
            <w:r>
              <w:t>Člen 92(3) in 95, 96 in 98 Uredbe (EU) št. 575/2013.</w:t>
            </w:r>
          </w:p>
        </w:tc>
      </w:tr>
      <w:tr w:rsidR="00CC7D2C" w:rsidRPr="002A677E" w14:paraId="2613C879" w14:textId="77777777" w:rsidTr="00822842">
        <w:tc>
          <w:tcPr>
            <w:tcW w:w="1591" w:type="dxa"/>
          </w:tcPr>
          <w:p w14:paraId="58F35E6D" w14:textId="77777777" w:rsidR="00CC7D2C" w:rsidRPr="002A677E" w:rsidRDefault="00CC7D2C" w:rsidP="00206A48">
            <w:pPr>
              <w:pStyle w:val="InstructionsText"/>
            </w:pPr>
            <w:r>
              <w:t>0020</w:t>
            </w:r>
          </w:p>
        </w:tc>
        <w:tc>
          <w:tcPr>
            <w:tcW w:w="7274" w:type="dxa"/>
          </w:tcPr>
          <w:p w14:paraId="0B7A5E95" w14:textId="77777777" w:rsidR="00CC7D2C" w:rsidRPr="002A677E" w:rsidRDefault="00CC7D2C" w:rsidP="00206A48">
            <w:pPr>
              <w:pStyle w:val="InstructionsText"/>
            </w:pPr>
            <w:r>
              <w:rPr>
                <w:rStyle w:val="InstructionsTabelleberschrift"/>
                <w:rFonts w:ascii="Times New Roman" w:hAnsi="Times New Roman"/>
                <w:sz w:val="24"/>
              </w:rPr>
              <w:t>IZSTOPNI PRAG S-TREA</w:t>
            </w:r>
          </w:p>
          <w:p w14:paraId="1D5124AF" w14:textId="2240D9CF" w:rsidR="00CC7D2C" w:rsidRDefault="00C32586" w:rsidP="00206A48">
            <w:pPr>
              <w:pStyle w:val="InstructionsText"/>
            </w:pPr>
            <w:r>
              <w:t>Institucije, za katere velja izstopni prag v skladu s členom 92(3) Uredbe (EU) št. 575/2013, poročajo standardizirani znesek skupne izpostavljenosti tveganju (S-TREA), izračunan v skladu s členom 92(5). Ta stolpec se uporablja samo za institucije, ki uporabljajo notranje modele.</w:t>
            </w:r>
          </w:p>
          <w:p w14:paraId="4831FC09" w14:textId="08537DA3" w:rsidR="00585ABC" w:rsidRDefault="00585ABC" w:rsidP="00206A48">
            <w:pPr>
              <w:pStyle w:val="InstructionsText"/>
            </w:pPr>
            <w:r>
              <w:t>V vrsticah, v katerih se za izračun RWEA uporabljajo pristopi na podlagi notranjih modelov, se poročajo standardizirani zneski za te izpostavljenosti.</w:t>
            </w:r>
          </w:p>
          <w:p w14:paraId="708B2B94" w14:textId="2316755B" w:rsidR="00585ABC" w:rsidRPr="002A677E" w:rsidRDefault="00585ABC" w:rsidP="00206A48">
            <w:pPr>
              <w:pStyle w:val="InstructionsText"/>
            </w:pPr>
            <w:r>
              <w:t>V vrsticah, v katerih se za izračun RWEA uporabljajo standardizirani pristopi, se poročajo isti zneski, kot se poročajo v stolpcu 0010 za te izpostavljenosti.</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206A48">
            <w:pPr>
              <w:pStyle w:val="InstructionsText"/>
            </w:pPr>
            <w:r>
              <w:t>Vrstica</w:t>
            </w:r>
          </w:p>
        </w:tc>
        <w:tc>
          <w:tcPr>
            <w:tcW w:w="7274" w:type="dxa"/>
            <w:shd w:val="clear" w:color="auto" w:fill="D9D9D9" w:themeFill="background1" w:themeFillShade="D9"/>
          </w:tcPr>
          <w:p w14:paraId="7E90433A" w14:textId="77777777" w:rsidR="00CC7D2C" w:rsidRPr="002A677E" w:rsidRDefault="00CC7D2C" w:rsidP="00206A48">
            <w:pPr>
              <w:pStyle w:val="InstructionsText"/>
            </w:pPr>
            <w:r>
              <w:t>Pravna podlaga in navodila</w:t>
            </w:r>
          </w:p>
        </w:tc>
      </w:tr>
      <w:tr w:rsidR="00CC7D2C" w:rsidRPr="002A677E" w14:paraId="6A905D22" w14:textId="77777777" w:rsidTr="00822842">
        <w:tc>
          <w:tcPr>
            <w:tcW w:w="1591" w:type="dxa"/>
          </w:tcPr>
          <w:p w14:paraId="06ACC62F" w14:textId="77777777" w:rsidR="00CC7D2C" w:rsidRPr="002A677E" w:rsidRDefault="00CC7D2C" w:rsidP="00206A48">
            <w:pPr>
              <w:pStyle w:val="InstructionsText"/>
            </w:pPr>
            <w:r>
              <w:t>0010</w:t>
            </w:r>
          </w:p>
        </w:tc>
        <w:tc>
          <w:tcPr>
            <w:tcW w:w="7274" w:type="dxa"/>
          </w:tcPr>
          <w:p w14:paraId="2D3B9E77" w14:textId="77777777" w:rsidR="00CC7D2C" w:rsidRPr="002A677E" w:rsidRDefault="00CC7D2C" w:rsidP="00206A48">
            <w:pPr>
              <w:pStyle w:val="InstructionsText"/>
            </w:pPr>
            <w:r>
              <w:rPr>
                <w:rStyle w:val="InstructionsTabelleberschrift"/>
                <w:rFonts w:ascii="Times New Roman" w:hAnsi="Times New Roman"/>
                <w:sz w:val="24"/>
              </w:rPr>
              <w:t>1.</w:t>
            </w:r>
            <w:r w:rsidRPr="00C850AF">
              <w:rPr>
                <w:u w:val="single"/>
              </w:rPr>
              <w:tab/>
            </w:r>
            <w:r>
              <w:rPr>
                <w:rStyle w:val="InstructionsTabelleberschrift"/>
                <w:rFonts w:ascii="Times New Roman" w:hAnsi="Times New Roman"/>
                <w:sz w:val="24"/>
              </w:rPr>
              <w:t>ZNESEK SKUPNE IZPOSTAVLJENOSTI TVEGANJU</w:t>
            </w:r>
          </w:p>
          <w:p w14:paraId="633B0735" w14:textId="77777777" w:rsidR="00CC7D2C" w:rsidRPr="002A677E" w:rsidRDefault="00CC7D2C" w:rsidP="00206A48">
            <w:pPr>
              <w:pStyle w:val="InstructionsText"/>
            </w:pPr>
            <w:r>
              <w:t>Člen 92(3) in 95, 96 in 98 Uredbe (EU) št. 575/2013.</w:t>
            </w:r>
          </w:p>
        </w:tc>
      </w:tr>
      <w:tr w:rsidR="00CC7D2C" w:rsidRPr="002A677E" w14:paraId="30DD54FA" w14:textId="77777777" w:rsidTr="00822842">
        <w:tc>
          <w:tcPr>
            <w:tcW w:w="1591" w:type="dxa"/>
          </w:tcPr>
          <w:p w14:paraId="3F51DC3C" w14:textId="77777777" w:rsidR="00CC7D2C" w:rsidRPr="002A677E" w:rsidRDefault="00CC7D2C" w:rsidP="00206A48">
            <w:pPr>
              <w:pStyle w:val="InstructionsText"/>
            </w:pPr>
            <w:r>
              <w:t>0020</w:t>
            </w:r>
          </w:p>
        </w:tc>
        <w:tc>
          <w:tcPr>
            <w:tcW w:w="7274" w:type="dxa"/>
          </w:tcPr>
          <w:p w14:paraId="427ABF71" w14:textId="324EA6E8" w:rsidR="00CC7D2C" w:rsidRPr="002A677E" w:rsidRDefault="00CC7D2C" w:rsidP="00206A48">
            <w:pPr>
              <w:pStyle w:val="InstructionsText"/>
            </w:pPr>
            <w:r>
              <w:rPr>
                <w:rStyle w:val="InstructionsTabelleberschrift"/>
                <w:rFonts w:ascii="Times New Roman" w:hAnsi="Times New Roman"/>
                <w:sz w:val="24"/>
              </w:rPr>
              <w:t>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investicijska podjetja v skladu s členom 95, odstavek 2, in členom 98 Uredbe (EU) št. 575/2013</w:t>
            </w:r>
          </w:p>
          <w:p w14:paraId="7A0F1D20" w14:textId="77777777" w:rsidR="00CC7D2C" w:rsidRPr="002A677E" w:rsidRDefault="00CC7D2C" w:rsidP="00206A48">
            <w:pPr>
              <w:pStyle w:val="InstructionsText"/>
            </w:pPr>
            <w:r>
              <w:t>Za investicijska podjetja v skladu s členom 95</w:t>
            </w:r>
            <w:r>
              <w:rPr>
                <w:rStyle w:val="FormatvorlageInstructionsTabelleText"/>
                <w:rFonts w:ascii="Times New Roman" w:hAnsi="Times New Roman"/>
                <w:sz w:val="24"/>
              </w:rPr>
              <w:t>(2)</w:t>
            </w:r>
            <w:r>
              <w:t xml:space="preserve"> in členom 98 Uredbe (EU) št. 575/2013.</w:t>
            </w:r>
          </w:p>
        </w:tc>
      </w:tr>
      <w:tr w:rsidR="00CC7D2C" w:rsidRPr="002A677E" w14:paraId="0735DAB8" w14:textId="77777777" w:rsidTr="00822842">
        <w:tc>
          <w:tcPr>
            <w:tcW w:w="1591" w:type="dxa"/>
          </w:tcPr>
          <w:p w14:paraId="3611DA81" w14:textId="77777777" w:rsidR="00CC7D2C" w:rsidRPr="002A677E" w:rsidRDefault="00CC7D2C" w:rsidP="00206A48">
            <w:pPr>
              <w:pStyle w:val="InstructionsText"/>
            </w:pPr>
            <w:r>
              <w:t>0030</w:t>
            </w:r>
          </w:p>
        </w:tc>
        <w:tc>
          <w:tcPr>
            <w:tcW w:w="7274" w:type="dxa"/>
          </w:tcPr>
          <w:p w14:paraId="65F85EFA" w14:textId="74B90E9B" w:rsidR="00CC7D2C" w:rsidRPr="002A677E" w:rsidRDefault="00CC7D2C" w:rsidP="00206A48">
            <w:pPr>
              <w:pStyle w:val="InstructionsText"/>
            </w:pPr>
            <w:r>
              <w:rPr>
                <w:rStyle w:val="InstructionsTabelleberschrift"/>
                <w:rFonts w:ascii="Times New Roman" w:hAnsi="Times New Roman"/>
                <w:sz w:val="24"/>
              </w:rPr>
              <w:t>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investicijska podjetja v skladu s členom 96, odstavek 2, in členom 97 Uredbe (EU) št. 575/2013</w:t>
            </w:r>
          </w:p>
          <w:p w14:paraId="04608E0A" w14:textId="77777777" w:rsidR="00CC7D2C" w:rsidRPr="002A677E" w:rsidRDefault="00CC7D2C" w:rsidP="00206A48">
            <w:pPr>
              <w:pStyle w:val="InstructionsText"/>
            </w:pPr>
            <w:r>
              <w:lastRenderedPageBreak/>
              <w:t>Za investicijska podjetja v skladu s členom 96</w:t>
            </w:r>
            <w:r>
              <w:rPr>
                <w:rStyle w:val="FormatvorlageInstructionsTabelleText"/>
                <w:rFonts w:ascii="Times New Roman" w:hAnsi="Times New Roman"/>
                <w:sz w:val="24"/>
              </w:rPr>
              <w:t>(2)</w:t>
            </w:r>
            <w:r>
              <w:t xml:space="preserve"> in členom 97 Uredbe (EU) št. 575/2013.</w:t>
            </w:r>
          </w:p>
        </w:tc>
      </w:tr>
      <w:tr w:rsidR="00CC7D2C" w:rsidRPr="002A677E" w14:paraId="0E4D7646" w14:textId="77777777" w:rsidTr="00822842">
        <w:tc>
          <w:tcPr>
            <w:tcW w:w="1591" w:type="dxa"/>
          </w:tcPr>
          <w:p w14:paraId="38148A74" w14:textId="77777777" w:rsidR="00CC7D2C" w:rsidRPr="002A677E" w:rsidRDefault="00CC7D2C" w:rsidP="00206A48">
            <w:pPr>
              <w:pStyle w:val="InstructionsText"/>
            </w:pPr>
            <w:r>
              <w:rPr>
                <w:rStyle w:val="FormatvorlageInstructionsTabelleText"/>
                <w:rFonts w:ascii="Times New Roman" w:hAnsi="Times New Roman"/>
                <w:sz w:val="24"/>
              </w:rPr>
              <w:lastRenderedPageBreak/>
              <w:t>0035</w:t>
            </w:r>
          </w:p>
        </w:tc>
        <w:tc>
          <w:tcPr>
            <w:tcW w:w="7274" w:type="dxa"/>
          </w:tcPr>
          <w:p w14:paraId="0710542B" w14:textId="0E6504E4" w:rsidR="00CC7D2C" w:rsidRPr="002A677E" w:rsidRDefault="00CC7D2C" w:rsidP="00206A48">
            <w:pPr>
              <w:pStyle w:val="InstructionsText"/>
            </w:pPr>
            <w:r>
              <w:rPr>
                <w:rStyle w:val="InstructionsTabelleberschrift"/>
                <w:rFonts w:ascii="Times New Roman" w:hAnsi="Times New Roman"/>
                <w:sz w:val="24"/>
              </w:rPr>
              <w:t>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prilagoditev praga</w:t>
            </w:r>
          </w:p>
          <w:p w14:paraId="1879A8CD" w14:textId="65429001" w:rsidR="00CC7D2C" w:rsidRPr="002A677E" w:rsidRDefault="00A8011A" w:rsidP="00206A48">
            <w:pPr>
              <w:pStyle w:val="InstructionsText"/>
              <w:rPr>
                <w:rStyle w:val="InstructionsTabelleberschrift"/>
                <w:rFonts w:ascii="Times New Roman" w:hAnsi="Times New Roman"/>
                <w:sz w:val="24"/>
              </w:rPr>
            </w:pPr>
            <w:r>
              <w:t>Institucije, za katere velja izstopni prag v skladu s členom 92(3) Uredbe (EU) št. 575/2013, poročajo razliko med zneskom, poročanim v vrstici 0010, in zneskom, poročanim v vrstici 0036. Znesek je bodisi pozitiven bodisi enak nič.</w:t>
            </w:r>
          </w:p>
        </w:tc>
      </w:tr>
      <w:tr w:rsidR="00CC7D2C" w:rsidRPr="002A677E" w14:paraId="0490D187" w14:textId="77777777" w:rsidTr="00822842">
        <w:tc>
          <w:tcPr>
            <w:tcW w:w="1591" w:type="dxa"/>
          </w:tcPr>
          <w:p w14:paraId="4CBF1EF1" w14:textId="77777777" w:rsidR="00CC7D2C" w:rsidRPr="002A677E" w:rsidRDefault="00CC7D2C" w:rsidP="00206A48">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1a ZNESEK SKUPNE IZPOSTAVLJENOSTI TVEGANJU PRED UPORABO IZSTOPNEGA PRAGA</w:t>
            </w:r>
          </w:p>
          <w:p w14:paraId="7BCD0DA1" w14:textId="04714494" w:rsidR="00CC7D2C" w:rsidRPr="002A677E" w:rsidRDefault="00A8011A" w:rsidP="00206A48">
            <w:pPr>
              <w:pStyle w:val="InstructionsText"/>
              <w:rPr>
                <w:rStyle w:val="InstructionsTabelleberschrift"/>
                <w:rFonts w:ascii="Times New Roman" w:hAnsi="Times New Roman"/>
                <w:sz w:val="24"/>
              </w:rPr>
            </w:pPr>
            <w:r>
              <w:t>Institucije, za katere velja izstopni prag v skladu s členom 92(3) Uredbe (EU) št. 575/2013, poročajo znesek TREA brez upoštevanja izstopnega praga, kot je opredeljen v členu 92(4) Uredbe (EU) št. 575/2013.</w:t>
            </w:r>
          </w:p>
        </w:tc>
      </w:tr>
      <w:tr w:rsidR="00CC7D2C" w:rsidRPr="002A677E" w14:paraId="7CE92C62" w14:textId="77777777" w:rsidTr="00822842">
        <w:tc>
          <w:tcPr>
            <w:tcW w:w="1591" w:type="dxa"/>
          </w:tcPr>
          <w:p w14:paraId="42C2DB3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431587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ZNESKI TVEGANJU PRILAGOJENIH IZPOSTAVLJENOSTI ZA KREDITNO TVEGANJE, KREDITNO TVEGANJE NASPROTNE STRANKE IN TVEGANJE ZMANJŠANJA VREDNOSTI TER PROSTE IZROČITVE</w:t>
            </w:r>
          </w:p>
          <w:p w14:paraId="450571BD" w14:textId="6E602D68"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 92(3) in člen 92(4), točka (a), </w:t>
            </w:r>
            <w:r>
              <w:t>Uredbe (EU) št. 575/2013.</w:t>
            </w:r>
          </w:p>
        </w:tc>
      </w:tr>
      <w:tr w:rsidR="00CC7D2C" w:rsidRPr="002A677E" w14:paraId="4731F084" w14:textId="77777777" w:rsidTr="00822842">
        <w:tc>
          <w:tcPr>
            <w:tcW w:w="1591" w:type="dxa"/>
          </w:tcPr>
          <w:p w14:paraId="1858ABC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087791C9"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Standardizirani pristop (SA)</w:t>
            </w:r>
          </w:p>
          <w:p w14:paraId="1EFF677D" w14:textId="77777777" w:rsidR="00CC7D2C" w:rsidRPr="002A677E" w:rsidRDefault="00CC7D2C" w:rsidP="00206A4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Predlogi CR SA in SEC SA na ravni celotnih izpostavljenosti.</w:t>
            </w:r>
          </w:p>
        </w:tc>
      </w:tr>
      <w:tr w:rsidR="00CC7D2C" w:rsidRPr="002A677E" w14:paraId="164F9776" w14:textId="77777777" w:rsidTr="00822842">
        <w:tc>
          <w:tcPr>
            <w:tcW w:w="1591" w:type="dxa"/>
          </w:tcPr>
          <w:p w14:paraId="61E4C41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4FFDAD7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dodatne strožje bonitetne zahteve na podlagi člena 124 Uredbe (EU) št. 575/2013</w:t>
            </w:r>
          </w:p>
          <w:p w14:paraId="4A7F7245" w14:textId="3BCE1E49" w:rsidR="00CC7D2C" w:rsidRPr="002A677E" w:rsidRDefault="00CC7D2C" w:rsidP="00206A48">
            <w:pPr>
              <w:pStyle w:val="InstructionsText"/>
              <w:rPr>
                <w:rStyle w:val="InstructionsTabelleberschrift"/>
                <w:rFonts w:ascii="Times New Roman" w:hAnsi="Times New Roman"/>
                <w:sz w:val="24"/>
              </w:rPr>
            </w:pPr>
            <w:r>
              <w:t>Institucije poročajo dodatne zneske izpostavljenosti tveganju, potrebne za izpolnjevanje strožjih bonitetnih zahtev, kakor so sporočene institucijam po posvetovanju z EBA v skladu s členom 124, odstavki 8 do 13, Uredbe (EU) št. 575/2013.</w:t>
            </w:r>
          </w:p>
        </w:tc>
      </w:tr>
      <w:tr w:rsidR="00CC7D2C" w:rsidRPr="002A677E" w14:paraId="3EBE6B21" w14:textId="77777777" w:rsidTr="00822842">
        <w:tc>
          <w:tcPr>
            <w:tcW w:w="1591" w:type="dxa"/>
          </w:tcPr>
          <w:p w14:paraId="06724DE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10CCE31" w:rsidR="00CC7D2C" w:rsidRPr="00984406"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Kategorije izpostavljenosti na podlagi standardiziranega pristopa brez pozicij v listinjenju</w:t>
            </w:r>
          </w:p>
          <w:p w14:paraId="6C4218C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CR SA na ravni celotnih izpostavljenosti. </w:t>
            </w:r>
            <w:r>
              <w:t>Kategorije izpostavljenosti na podlagi standardiziranega pristopa so kategorije, navedene v členu 112 Uredbe (EU) št. 575/2013</w:t>
            </w:r>
            <w:r>
              <w:rPr>
                <w:rStyle w:val="FormatvorlageInstructionsTabelleText"/>
                <w:rFonts w:ascii="Times New Roman" w:hAnsi="Times New Roman"/>
                <w:sz w:val="24"/>
              </w:rPr>
              <w:t>, brez pozicij v listinjenju.</w:t>
            </w:r>
          </w:p>
        </w:tc>
      </w:tr>
      <w:tr w:rsidR="00CC7D2C" w:rsidRPr="002A677E" w14:paraId="3611F5D6" w14:textId="77777777" w:rsidTr="00822842">
        <w:tc>
          <w:tcPr>
            <w:tcW w:w="1591" w:type="dxa"/>
          </w:tcPr>
          <w:p w14:paraId="2A20B82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5ECA37F0"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Enote centralne ravni držav ali centralne banke</w:t>
            </w:r>
          </w:p>
          <w:p w14:paraId="4CBAD1DD" w14:textId="77777777"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Glej predlogo CR SA.</w:t>
            </w:r>
          </w:p>
        </w:tc>
      </w:tr>
      <w:tr w:rsidR="00CC7D2C" w:rsidRPr="002A677E" w14:paraId="723BD91B" w14:textId="77777777" w:rsidTr="00822842">
        <w:tc>
          <w:tcPr>
            <w:tcW w:w="1591" w:type="dxa"/>
          </w:tcPr>
          <w:p w14:paraId="6A10D17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5BF8F0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Enote regionalne ali lokalne ravni držav</w:t>
            </w:r>
          </w:p>
          <w:p w14:paraId="1861927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37F4543A" w14:textId="77777777" w:rsidTr="00822842">
        <w:tc>
          <w:tcPr>
            <w:tcW w:w="1591" w:type="dxa"/>
          </w:tcPr>
          <w:p w14:paraId="7D04DBC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8FF97C9" w:rsidR="00CC7D2C" w:rsidRPr="002A677E" w:rsidRDefault="00CC7D2C" w:rsidP="00206A4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Subjekti javnega sektorja</w:t>
            </w:r>
          </w:p>
          <w:p w14:paraId="61C75AD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56784A18" w14:textId="77777777" w:rsidTr="00822842">
        <w:tc>
          <w:tcPr>
            <w:tcW w:w="1591" w:type="dxa"/>
          </w:tcPr>
          <w:p w14:paraId="33500D6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21AB5D58"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Multilateralne razvojne banke</w:t>
            </w:r>
          </w:p>
          <w:p w14:paraId="4A090100"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SA. </w:t>
            </w:r>
          </w:p>
        </w:tc>
      </w:tr>
      <w:tr w:rsidR="00CC7D2C" w:rsidRPr="002F0B1D" w14:paraId="2C61CB0F" w14:textId="77777777" w:rsidTr="00822842">
        <w:tc>
          <w:tcPr>
            <w:tcW w:w="1591" w:type="dxa"/>
          </w:tcPr>
          <w:p w14:paraId="5FBF668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274" w:type="dxa"/>
          </w:tcPr>
          <w:p w14:paraId="4CCDA495" w14:textId="1E2108DB"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Mednarodne organizacije</w:t>
            </w:r>
          </w:p>
          <w:p w14:paraId="082FC9E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F0B1D" w14:paraId="4CEC5BAE" w14:textId="77777777" w:rsidTr="00822842">
        <w:tc>
          <w:tcPr>
            <w:tcW w:w="1591" w:type="dxa"/>
          </w:tcPr>
          <w:p w14:paraId="3EB7C90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4CBB5D4F"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Institucije</w:t>
            </w:r>
          </w:p>
          <w:p w14:paraId="3FF59F4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6945F529" w14:textId="77777777" w:rsidTr="00822842">
        <w:tc>
          <w:tcPr>
            <w:tcW w:w="1591" w:type="dxa"/>
          </w:tcPr>
          <w:p w14:paraId="228609D7"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sidRPr="00C850AF">
              <w:rPr>
                <w:u w:val="single"/>
              </w:rPr>
              <w:tab/>
            </w:r>
            <w:r>
              <w:rPr>
                <w:rStyle w:val="InstructionsTabelleberschrift"/>
                <w:rFonts w:ascii="Times New Roman" w:hAnsi="Times New Roman"/>
                <w:sz w:val="24"/>
              </w:rPr>
              <w:t>Izpostavljenosti do podjetij – Drugo</w:t>
            </w:r>
          </w:p>
          <w:p w14:paraId="6D6C27F6"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3D16DA9C" w14:textId="77777777" w:rsidTr="00822842">
        <w:tc>
          <w:tcPr>
            <w:tcW w:w="1591" w:type="dxa"/>
          </w:tcPr>
          <w:p w14:paraId="67436B66"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sidRPr="00C850AF">
              <w:rPr>
                <w:u w:val="single"/>
              </w:rPr>
              <w:tab/>
            </w:r>
            <w:r>
              <w:rPr>
                <w:rStyle w:val="InstructionsTabelleberschrift"/>
                <w:rFonts w:ascii="Times New Roman" w:hAnsi="Times New Roman"/>
                <w:sz w:val="24"/>
              </w:rPr>
              <w:t>Izpostavljenosti do podjetij – Posebni kreditni aranžmaji</w:t>
            </w:r>
          </w:p>
          <w:p w14:paraId="5377FC4C"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48BCB216" w14:textId="77777777" w:rsidTr="00822842">
        <w:tc>
          <w:tcPr>
            <w:tcW w:w="1591" w:type="dxa"/>
          </w:tcPr>
          <w:p w14:paraId="30CD54D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3B6F0939" w:rsidR="00CC7D2C" w:rsidRPr="002A677E" w:rsidRDefault="00CC7D2C" w:rsidP="00206A4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na drobno</w:t>
            </w:r>
          </w:p>
          <w:p w14:paraId="360DC14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546D0D73" w14:textId="77777777" w:rsidTr="00822842">
        <w:tc>
          <w:tcPr>
            <w:tcW w:w="1591" w:type="dxa"/>
          </w:tcPr>
          <w:p w14:paraId="0A08C20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9D40999"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Zavarovane s hipotekami na nepremičnine in izpostavljenosti ADC</w:t>
            </w:r>
          </w:p>
          <w:p w14:paraId="2E7EE03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790D6AD7" w14:textId="77777777" w:rsidTr="00822842">
        <w:tc>
          <w:tcPr>
            <w:tcW w:w="1591" w:type="dxa"/>
          </w:tcPr>
          <w:p w14:paraId="76A9E2B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Zavarovane s hipotekami na stanovanjske nepremičnine – izpostavljenosti, ki niso IPRE (zavarovane)</w:t>
            </w:r>
          </w:p>
          <w:p w14:paraId="0E4B47C8"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22041AB9" w14:textId="77777777" w:rsidTr="00822842">
        <w:tc>
          <w:tcPr>
            <w:tcW w:w="1591" w:type="dxa"/>
          </w:tcPr>
          <w:p w14:paraId="12C8BA3C"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Zavarovane s hipotekami na stanovanjske nepremičnine – izpostavljenosti, ki niso IPRE (nezavarovane)</w:t>
            </w:r>
          </w:p>
          <w:p w14:paraId="64AB7DC0"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7F4B3F" w:rsidRPr="002A677E" w14:paraId="10FBC0DD" w14:textId="77777777" w:rsidTr="00822842">
        <w:tc>
          <w:tcPr>
            <w:tcW w:w="1591" w:type="dxa"/>
          </w:tcPr>
          <w:p w14:paraId="228B1BA8" w14:textId="0FAF5E03" w:rsidR="007F4B3F" w:rsidRDefault="007F4B3F"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Zavarovane s hipotekami na stanovanjske nepremičnine – drugo – izpostavljenosti, ki niso IPRE</w:t>
            </w:r>
          </w:p>
          <w:p w14:paraId="4DB0C17D" w14:textId="496B7CBC" w:rsidR="007F4B3F" w:rsidRPr="002A677E" w:rsidRDefault="007F4B3F"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4F7FAA46" w14:textId="77777777" w:rsidTr="00822842">
        <w:tc>
          <w:tcPr>
            <w:tcW w:w="1591" w:type="dxa"/>
          </w:tcPr>
          <w:p w14:paraId="1281FB3C" w14:textId="7B1908D5"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Zavarovane s hipotekami na stanovanjske nepremičnine – IPRE</w:t>
            </w:r>
          </w:p>
          <w:p w14:paraId="6D902F9E"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7F4B3F" w:rsidRPr="002A677E" w14:paraId="636C2749" w14:textId="77777777" w:rsidTr="00822842">
        <w:tc>
          <w:tcPr>
            <w:tcW w:w="1591" w:type="dxa"/>
          </w:tcPr>
          <w:p w14:paraId="25FE54BF" w14:textId="5F6090A3" w:rsidR="007F4B3F" w:rsidRDefault="007F4B3F"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Zavarovane s hipotekami na stanovanjske nepremičnine – drugo – IPRE</w:t>
            </w:r>
          </w:p>
          <w:p w14:paraId="2905ED45" w14:textId="547862BC" w:rsidR="007F4B3F" w:rsidRPr="002A677E" w:rsidRDefault="007F4B3F"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0A701EAC" w14:textId="77777777" w:rsidTr="00822842">
        <w:tc>
          <w:tcPr>
            <w:tcW w:w="1591" w:type="dxa"/>
          </w:tcPr>
          <w:p w14:paraId="6FB40C3B" w14:textId="673CBF40"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Zavarovane s hipotekami na poslovne nepremičnine – izpostavljenosti, ki niso IPRE (zavarovane)</w:t>
            </w:r>
          </w:p>
          <w:p w14:paraId="40835C13"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425B0272" w14:textId="77777777" w:rsidTr="00822842">
        <w:tc>
          <w:tcPr>
            <w:tcW w:w="1591" w:type="dxa"/>
          </w:tcPr>
          <w:p w14:paraId="0A5550D4" w14:textId="16447E4D"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Zavarovane s hipotekami na poslovne nepremičnine – izpostavljenosti, ki niso IPRE (nezavarovane)</w:t>
            </w:r>
          </w:p>
          <w:p w14:paraId="5DAFF51B"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7F4B3F" w:rsidRPr="002A677E" w14:paraId="5DC9270A" w14:textId="77777777" w:rsidTr="00822842">
        <w:tc>
          <w:tcPr>
            <w:tcW w:w="1591" w:type="dxa"/>
          </w:tcPr>
          <w:p w14:paraId="689A6DCB" w14:textId="1E303AAD" w:rsidR="007F4B3F" w:rsidRDefault="007F4B3F"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Zavarovane s hipotekami na poslovne nepremičnine – drugo – izpostavljenosti, ki niso IPRE</w:t>
            </w:r>
          </w:p>
          <w:p w14:paraId="0772E508" w14:textId="000070F8" w:rsidR="007F4B3F" w:rsidRPr="002A677E" w:rsidRDefault="007F4B3F"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Glej predlogo CR SA.</w:t>
            </w:r>
          </w:p>
        </w:tc>
      </w:tr>
      <w:tr w:rsidR="00CC7D2C" w:rsidRPr="002A677E" w14:paraId="322F841F" w14:textId="1E5DC9E5" w:rsidTr="00822842">
        <w:tc>
          <w:tcPr>
            <w:tcW w:w="1591" w:type="dxa"/>
          </w:tcPr>
          <w:p w14:paraId="3879AFFF" w14:textId="06BF78A2"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0159</w:t>
            </w:r>
          </w:p>
        </w:tc>
        <w:tc>
          <w:tcPr>
            <w:tcW w:w="7274" w:type="dxa"/>
          </w:tcPr>
          <w:p w14:paraId="2F61A8A6" w14:textId="5281EB48"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Zavarovane s hipotekami na poslovne nepremičnine – IPRE</w:t>
            </w:r>
          </w:p>
          <w:p w14:paraId="508FA811" w14:textId="59F16FE0"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7428E9E4" w14:textId="77777777" w:rsidTr="00822842">
        <w:tc>
          <w:tcPr>
            <w:tcW w:w="1591" w:type="dxa"/>
          </w:tcPr>
          <w:p w14:paraId="63EC5AF9" w14:textId="7DF5807D"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Zavarovane s hipotekami na poslovne nepremičnine – drugo – IPRE</w:t>
            </w:r>
          </w:p>
          <w:p w14:paraId="0949ED7F"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59EA620E" w14:textId="77777777" w:rsidTr="00822842">
        <w:tc>
          <w:tcPr>
            <w:tcW w:w="1591" w:type="dxa"/>
          </w:tcPr>
          <w:p w14:paraId="1B0CF031" w14:textId="5C62316E"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Pridobitev, razvoj in izgradnja (ADC)</w:t>
            </w:r>
          </w:p>
          <w:p w14:paraId="44966D42"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0E7177AE" w14:textId="77777777" w:rsidTr="00822842">
        <w:tc>
          <w:tcPr>
            <w:tcW w:w="1591" w:type="dxa"/>
          </w:tcPr>
          <w:p w14:paraId="0FC08E3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0EF7DECE"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0</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Neplačane izpostavljenosti</w:t>
            </w:r>
          </w:p>
          <w:p w14:paraId="748E3418"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7B0FABBD" w14:textId="77777777" w:rsidTr="00822842">
        <w:tc>
          <w:tcPr>
            <w:tcW w:w="1591" w:type="dxa"/>
          </w:tcPr>
          <w:p w14:paraId="32090489" w14:textId="67AA5702" w:rsidR="00CC7D2C" w:rsidRDefault="00CC7D2C" w:rsidP="00206A48">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206A48">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Izpostavljenosti iz naslova podrejenega dolga</w:t>
            </w:r>
          </w:p>
          <w:p w14:paraId="459A982C"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662573FF" w14:textId="77777777" w:rsidTr="00822842">
        <w:tc>
          <w:tcPr>
            <w:tcW w:w="1591" w:type="dxa"/>
          </w:tcPr>
          <w:p w14:paraId="0667C0A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2B729D62"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Krite obveznice</w:t>
            </w:r>
          </w:p>
          <w:p w14:paraId="5974852A"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057639C8" w14:textId="77777777" w:rsidTr="00822842">
        <w:tc>
          <w:tcPr>
            <w:tcW w:w="1591" w:type="dxa"/>
          </w:tcPr>
          <w:p w14:paraId="45DFF26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3A6B8682"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Terjatve do institucij in podjetij s kratkoročno bonitetno oceno</w:t>
            </w:r>
          </w:p>
          <w:p w14:paraId="3F6E4C69"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32C6FFCF" w14:textId="77777777" w:rsidTr="00822842">
        <w:tc>
          <w:tcPr>
            <w:tcW w:w="1591" w:type="dxa"/>
          </w:tcPr>
          <w:p w14:paraId="239354C5" w14:textId="77777777"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26154D6B" w:rsidR="00CC7D2C" w:rsidRPr="002A677E" w:rsidRDefault="00CC7D2C" w:rsidP="00206A4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Kolektivni naložbeni podjemi (KNP)</w:t>
            </w:r>
          </w:p>
          <w:p w14:paraId="223DAA9D"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61E62EE2" w14:textId="77777777" w:rsidTr="00822842">
        <w:tc>
          <w:tcPr>
            <w:tcW w:w="1591" w:type="dxa"/>
          </w:tcPr>
          <w:p w14:paraId="1750799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43C18F2D"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Lastniški instrumenti</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CC7D2C" w:rsidRPr="002A677E" w14:paraId="18C099EB" w14:textId="77777777" w:rsidTr="00822842">
        <w:tc>
          <w:tcPr>
            <w:tcW w:w="1591" w:type="dxa"/>
          </w:tcPr>
          <w:p w14:paraId="56A16E2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16628DC0"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postavke</w:t>
            </w:r>
          </w:p>
          <w:p w14:paraId="0F6109C6" w14:textId="77777777" w:rsidR="00CC7D2C" w:rsidRPr="002A677E" w:rsidRDefault="00CC7D2C" w:rsidP="00206A48">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Glej predlogo CR SA.</w:t>
            </w:r>
          </w:p>
        </w:tc>
      </w:tr>
      <w:tr w:rsidR="00CC7D2C" w:rsidRPr="002A677E" w14:paraId="38CA97F2" w14:textId="77777777" w:rsidTr="00822842">
        <w:tc>
          <w:tcPr>
            <w:tcW w:w="1591" w:type="dxa"/>
          </w:tcPr>
          <w:p w14:paraId="2FDD8D8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D1B8419"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 tega: programska oprema, računovodsko obravnavana kot neopredmetena sredstva</w:t>
            </w:r>
          </w:p>
          <w:p w14:paraId="665DD53E"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tveganju prilagojenih izpostavljenosti v zvezi z delom programske opreme, računovodsko obravnavane kot neopredmetena sredstva, ki se ne odbijejo od postavk navadnega lastniškega temeljnega kapitala v skladu s členom 36(1), točka (b),</w:t>
            </w:r>
            <w:r>
              <w:t xml:space="preserve"> Uredbe (EU) št. 575/2013</w:t>
            </w:r>
            <w:r>
              <w:rPr>
                <w:rStyle w:val="FormatvorlageInstructionsTabelleText"/>
                <w:rFonts w:ascii="Times New Roman" w:hAnsi="Times New Roman"/>
                <w:sz w:val="24"/>
              </w:rPr>
              <w:t>, vendar imajo dodeljeno utež tveganja v skladu s členom 113(5)</w:t>
            </w:r>
            <w:r>
              <w:t xml:space="preserve"> navedene uredbe</w:t>
            </w:r>
            <w:r>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63CE9F19" w:rsidR="00CC7D2C" w:rsidRPr="002A677E" w:rsidRDefault="00CC7D2C" w:rsidP="00206A4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Pristop na podlagi notranjih bonitetnih ocen (IRB) </w:t>
            </w:r>
          </w:p>
        </w:tc>
      </w:tr>
      <w:tr w:rsidR="00CC7D2C" w:rsidRPr="002A677E" w14:paraId="4C6A15B5" w14:textId="77777777" w:rsidTr="00822842">
        <w:tc>
          <w:tcPr>
            <w:tcW w:w="1591" w:type="dxa"/>
          </w:tcPr>
          <w:p w14:paraId="77443E2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4D7CB6FA"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dodatne strožje bonitetne zahteve na podlagi člena 164 Uredbe (EU) št. 575/2013</w:t>
            </w:r>
          </w:p>
          <w:p w14:paraId="6560C4C8" w14:textId="77777777" w:rsidR="00CC7D2C" w:rsidRPr="002A677E" w:rsidRDefault="00CC7D2C" w:rsidP="00206A48">
            <w:pPr>
              <w:pStyle w:val="InstructionsText"/>
              <w:rPr>
                <w:rStyle w:val="InstructionsTabelleberschrift"/>
                <w:rFonts w:ascii="Times New Roman" w:hAnsi="Times New Roman"/>
                <w:sz w:val="24"/>
              </w:rPr>
            </w:pPr>
            <w:r>
              <w:t xml:space="preserve">Institucije poročajo dodatne zneske izpostavljenosti tveganju, potrebne za izpolnjevanje strožjih bonitetnih zahtev, kakor so </w:t>
            </w:r>
            <w:r>
              <w:lastRenderedPageBreak/>
              <w:t>sporočene institucijam, potem ko je bil o njih uradno obveščen EBA, v skladu s členom 164, odstavka 5 in 7, Uredbe (EU) št. 575/2013.</w:t>
            </w:r>
          </w:p>
        </w:tc>
      </w:tr>
      <w:tr w:rsidR="00CC7D2C" w:rsidRPr="002A677E" w14:paraId="646B7D49" w14:textId="77777777" w:rsidTr="00822842">
        <w:tc>
          <w:tcPr>
            <w:tcW w:w="1591" w:type="dxa"/>
          </w:tcPr>
          <w:p w14:paraId="1CCF8D8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14:paraId="61766164" w14:textId="27681D23"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dodatne strožje bonitetne zahteve na podlagi člena 124 Uredbe (EU) št. 575/2013</w:t>
            </w:r>
          </w:p>
          <w:p w14:paraId="15832D3F" w14:textId="33F29755" w:rsidR="00CC7D2C" w:rsidRPr="002A677E" w:rsidRDefault="00CC7D2C" w:rsidP="00206A48">
            <w:pPr>
              <w:pStyle w:val="InstructionsText"/>
              <w:rPr>
                <w:rStyle w:val="InstructionsTabelleberschrift"/>
                <w:rFonts w:ascii="Times New Roman" w:hAnsi="Times New Roman"/>
                <w:sz w:val="24"/>
              </w:rPr>
            </w:pPr>
            <w:r>
              <w:t>Institucije poročajo dodatne zneske izpostavljenosti tveganju, potrebne za izpolnjevanje strožjih bonitetnih zahtev, ki jih določijo pristojni organi po posvetovanju z EBA, kakor je določeno v členu 124, odstavki 8 do 13, Uredbe (EU) št. 575/2013, in ki so povezane z omejitvami glede sprejemljive tržne vrednosti zavarovanja s premoženjem, kot so določene v členu 125(2), točka (d), in členu 126(2), točka (d), navedene uredbe.</w:t>
            </w:r>
          </w:p>
        </w:tc>
      </w:tr>
      <w:tr w:rsidR="00CC7D2C" w:rsidRPr="002A677E" w14:paraId="67053B54" w14:textId="77777777" w:rsidTr="00822842">
        <w:tc>
          <w:tcPr>
            <w:tcW w:w="1591" w:type="dxa"/>
          </w:tcPr>
          <w:p w14:paraId="0AB24A9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1654268"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Pristopi IRB, kadar se ne uporabljajo lastne ocene LGD niti </w:t>
            </w:r>
            <w:proofErr w:type="spellStart"/>
            <w:r>
              <w:rPr>
                <w:rStyle w:val="InstructionsTabelleberschrift"/>
                <w:rFonts w:ascii="Times New Roman" w:hAnsi="Times New Roman"/>
                <w:sz w:val="24"/>
              </w:rPr>
              <w:t>konverzijski</w:t>
            </w:r>
            <w:proofErr w:type="spellEnd"/>
            <w:r>
              <w:rPr>
                <w:rStyle w:val="InstructionsTabelleberschrift"/>
                <w:rFonts w:ascii="Times New Roman" w:hAnsi="Times New Roman"/>
                <w:sz w:val="24"/>
              </w:rPr>
              <w:t xml:space="preserve"> faktorji</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CR IRB na ravni celotne izpostavljenosti (kadar se ne uporabljajo lastne ocene LGD ali kreditni </w:t>
            </w:r>
            <w:proofErr w:type="spellStart"/>
            <w:r>
              <w:rPr>
                <w:rStyle w:val="FormatvorlageInstructionsTabelleText"/>
                <w:rFonts w:ascii="Times New Roman" w:hAnsi="Times New Roman"/>
                <w:sz w:val="24"/>
              </w:rPr>
              <w:t>konverzijski</w:t>
            </w:r>
            <w:proofErr w:type="spellEnd"/>
            <w:r>
              <w:rPr>
                <w:rStyle w:val="FormatvorlageInstructionsTabelleText"/>
                <w:rFonts w:ascii="Times New Roman" w:hAnsi="Times New Roman"/>
                <w:sz w:val="24"/>
              </w:rPr>
              <w:t xml:space="preserve"> faktor).</w:t>
            </w:r>
          </w:p>
        </w:tc>
      </w:tr>
      <w:tr w:rsidR="00CC7D2C" w:rsidRPr="002A677E" w14:paraId="115055B1" w14:textId="77777777" w:rsidTr="00822842">
        <w:tc>
          <w:tcPr>
            <w:tcW w:w="1591" w:type="dxa"/>
          </w:tcPr>
          <w:p w14:paraId="4EC1ED2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3A8EACA3"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enot centralne ravni držav in centralnih bank</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53711DF2" w14:textId="77777777" w:rsidTr="00822842">
        <w:trPr>
          <w:trHeight w:val="300"/>
        </w:trPr>
        <w:tc>
          <w:tcPr>
            <w:tcW w:w="1591" w:type="dxa"/>
          </w:tcPr>
          <w:p w14:paraId="51F41C6D"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Enote regionalne ali lokalne ravni držav</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1D12A51E" w14:textId="77777777" w:rsidTr="00822842">
        <w:trPr>
          <w:trHeight w:val="300"/>
        </w:trPr>
        <w:tc>
          <w:tcPr>
            <w:tcW w:w="1591" w:type="dxa"/>
          </w:tcPr>
          <w:p w14:paraId="3596BE48"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Subjekti javnega sektorja</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1E1F3B56" w14:textId="77777777" w:rsidTr="00822842">
        <w:tc>
          <w:tcPr>
            <w:tcW w:w="1591" w:type="dxa"/>
          </w:tcPr>
          <w:p w14:paraId="6F5522F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33C7DAF"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institucij</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491BDD7C" w14:textId="77777777" w:rsidTr="00822842">
        <w:tc>
          <w:tcPr>
            <w:tcW w:w="1591" w:type="dxa"/>
          </w:tcPr>
          <w:p w14:paraId="361626D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4E5DADF9"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podjetij – Posebni kreditni aranžmaji</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CC7D2C" w14:paraId="69712A5A" w14:textId="77777777" w:rsidTr="00822842">
        <w:trPr>
          <w:trHeight w:val="300"/>
        </w:trPr>
        <w:tc>
          <w:tcPr>
            <w:tcW w:w="1591" w:type="dxa"/>
          </w:tcPr>
          <w:p w14:paraId="4D0CB1AB"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Podjetja – odkupljene denarne terjatve</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7AB84916" w14:textId="77777777" w:rsidTr="00822842">
        <w:tc>
          <w:tcPr>
            <w:tcW w:w="1591" w:type="dxa"/>
          </w:tcPr>
          <w:p w14:paraId="54C00CE6"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253FF73F"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podjetij – Drugo</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B0254B" w:rsidRPr="002A677E" w14:paraId="37B600F2" w14:textId="77777777" w:rsidTr="00822842">
        <w:tc>
          <w:tcPr>
            <w:tcW w:w="1591" w:type="dxa"/>
          </w:tcPr>
          <w:p w14:paraId="56F265EC" w14:textId="557ACEF6" w:rsidR="00B0254B" w:rsidRPr="002A677E" w:rsidRDefault="00B0254B"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Pojasnjevalna postavka: podjetja – velika podjetja</w:t>
            </w:r>
          </w:p>
          <w:p w14:paraId="2C3CE8A6" w14:textId="6AFC835D" w:rsidR="00B0254B" w:rsidRPr="002A677E" w:rsidRDefault="00B0254B"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IRB.</w:t>
            </w:r>
          </w:p>
        </w:tc>
      </w:tr>
      <w:tr w:rsidR="007F42A0" w:rsidRPr="002A677E" w14:paraId="161E5A1A" w14:textId="77777777" w:rsidTr="00822842">
        <w:tc>
          <w:tcPr>
            <w:tcW w:w="1591" w:type="dxa"/>
          </w:tcPr>
          <w:p w14:paraId="783FE82E" w14:textId="48207EFB" w:rsidR="007F42A0" w:rsidRPr="002A677E" w:rsidRDefault="007F42A0"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Pojasnjevalna postavka: izpostavljenosti do podjetij – MSP</w:t>
            </w:r>
          </w:p>
          <w:p w14:paraId="46BB2F9C" w14:textId="571336D0" w:rsidR="007F42A0" w:rsidRPr="002A677E" w:rsidRDefault="007F42A0"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029E83FB" w14:textId="77777777" w:rsidTr="00822842">
        <w:tc>
          <w:tcPr>
            <w:tcW w:w="1591" w:type="dxa"/>
          </w:tcPr>
          <w:p w14:paraId="0AD8DC8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2F90AAA9"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Pristopi IRB, kadar se uporabljajo lastne ocene LGD in/ali </w:t>
            </w:r>
            <w:proofErr w:type="spellStart"/>
            <w:r>
              <w:rPr>
                <w:rStyle w:val="InstructionsTabelleberschrift"/>
                <w:rFonts w:ascii="Times New Roman" w:hAnsi="Times New Roman"/>
                <w:sz w:val="24"/>
              </w:rPr>
              <w:t>konverzijski</w:t>
            </w:r>
            <w:proofErr w:type="spellEnd"/>
            <w:r>
              <w:rPr>
                <w:rStyle w:val="InstructionsTabelleberschrift"/>
                <w:rFonts w:ascii="Times New Roman" w:hAnsi="Times New Roman"/>
                <w:sz w:val="24"/>
              </w:rPr>
              <w:t xml:space="preserve"> faktorji</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Predloga CR IRB na ravni celotne izpostavljenosti (kadar se uporabljajo lastne ocene LGD in/ali kreditni </w:t>
            </w:r>
            <w:proofErr w:type="spellStart"/>
            <w:r>
              <w:rPr>
                <w:rStyle w:val="FormatvorlageInstructionsTabelleText"/>
                <w:rFonts w:ascii="Times New Roman" w:hAnsi="Times New Roman"/>
                <w:sz w:val="24"/>
              </w:rPr>
              <w:t>konverzijski</w:t>
            </w:r>
            <w:proofErr w:type="spellEnd"/>
            <w:r>
              <w:rPr>
                <w:rStyle w:val="FormatvorlageInstructionsTabelleText"/>
                <w:rFonts w:ascii="Times New Roman" w:hAnsi="Times New Roman"/>
                <w:sz w:val="24"/>
              </w:rPr>
              <w:t xml:space="preserve"> faktor).</w:t>
            </w:r>
          </w:p>
        </w:tc>
      </w:tr>
      <w:tr w:rsidR="00CC7D2C" w:rsidRPr="002A677E" w14:paraId="0122BC82" w14:textId="77777777" w:rsidTr="00822842">
        <w:tc>
          <w:tcPr>
            <w:tcW w:w="1591" w:type="dxa"/>
          </w:tcPr>
          <w:p w14:paraId="1639DFA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45457DE8" w14:textId="228C689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enot centralne ravni držav in centralnih bank</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657B86EC" w14:textId="77777777" w:rsidTr="00822842">
        <w:trPr>
          <w:trHeight w:val="300"/>
        </w:trPr>
        <w:tc>
          <w:tcPr>
            <w:tcW w:w="1591" w:type="dxa"/>
          </w:tcPr>
          <w:p w14:paraId="2CA6669F"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Enote regionalne ali lokalne ravni držav</w:t>
            </w:r>
          </w:p>
          <w:p w14:paraId="6BB6F901"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28040919" w14:textId="77777777" w:rsidTr="00822842">
        <w:trPr>
          <w:trHeight w:val="300"/>
        </w:trPr>
        <w:tc>
          <w:tcPr>
            <w:tcW w:w="1591" w:type="dxa"/>
          </w:tcPr>
          <w:p w14:paraId="4EF3EF04"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Subjekti javnega sektorja</w:t>
            </w:r>
          </w:p>
          <w:p w14:paraId="52267284"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37061F50" w14:textId="77777777" w:rsidTr="00822842">
        <w:tc>
          <w:tcPr>
            <w:tcW w:w="1591" w:type="dxa"/>
          </w:tcPr>
          <w:p w14:paraId="2128DDA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34E9C8B8"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podjetij – Posebni kreditni aranžmaji</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2F4F9C2C" w14:textId="77777777" w:rsidTr="00822842">
        <w:trPr>
          <w:trHeight w:val="300"/>
        </w:trPr>
        <w:tc>
          <w:tcPr>
            <w:tcW w:w="1591" w:type="dxa"/>
          </w:tcPr>
          <w:p w14:paraId="00EC1257"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Podjetja – odkupljene denarne terjatve</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76FE2E8E" w14:textId="77777777" w:rsidTr="00822842">
        <w:tc>
          <w:tcPr>
            <w:tcW w:w="1591" w:type="dxa"/>
          </w:tcPr>
          <w:p w14:paraId="238E8CB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02A38451"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do podjetij – Drugo</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B0254B" w:rsidRPr="002A677E" w14:paraId="51D42F23" w14:textId="77777777" w:rsidTr="00822842">
        <w:tc>
          <w:tcPr>
            <w:tcW w:w="1591" w:type="dxa"/>
          </w:tcPr>
          <w:p w14:paraId="36C5AB84" w14:textId="7AC07343" w:rsidR="00B0254B" w:rsidRPr="1D13131D" w:rsidRDefault="00B0254B"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Pojasnjevalna postavka: podjetja – velika podjetja</w:t>
            </w:r>
          </w:p>
          <w:p w14:paraId="5851B687" w14:textId="21622467" w:rsidR="00B0254B" w:rsidRPr="002A677E" w:rsidRDefault="00B0254B"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IRB.</w:t>
            </w:r>
          </w:p>
        </w:tc>
      </w:tr>
      <w:tr w:rsidR="00756BE3" w:rsidRPr="002A677E" w14:paraId="6184FFB1" w14:textId="77777777" w:rsidTr="00822842">
        <w:tc>
          <w:tcPr>
            <w:tcW w:w="1591" w:type="dxa"/>
          </w:tcPr>
          <w:p w14:paraId="037905D4" w14:textId="4644B5DB" w:rsidR="00756BE3" w:rsidRDefault="00756BE3"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Pojasnjevalna postavka: izpostavljenosti do podjetij – MSP</w:t>
            </w:r>
          </w:p>
          <w:p w14:paraId="54E1479C" w14:textId="0B65AA60" w:rsidR="00756BE3" w:rsidRPr="002A677E" w:rsidRDefault="00756BE3"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7AAAD901" w14:textId="77777777" w:rsidTr="00822842">
        <w:tc>
          <w:tcPr>
            <w:tcW w:w="1591" w:type="dxa"/>
          </w:tcPr>
          <w:p w14:paraId="104D00DD" w14:textId="54CA7BBF"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2CBB0888"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na drobno – zavarovane s stanovanjskimi nepremičninami</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0A635E3B" w14:textId="77777777" w:rsidTr="00822842">
        <w:tc>
          <w:tcPr>
            <w:tcW w:w="1591" w:type="dxa"/>
          </w:tcPr>
          <w:p w14:paraId="576D4B8F"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59FD7FD1"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na drobno – Kvalificirane obnavljajoče</w:t>
            </w:r>
            <w:r w:rsidR="00C850AF">
              <w:rPr>
                <w:rStyle w:val="InstructionsTabelleberschrift"/>
                <w:rFonts w:ascii="Times New Roman" w:hAnsi="Times New Roman"/>
                <w:sz w:val="24"/>
              </w:rPr>
              <w:t> </w:t>
            </w:r>
            <w:r>
              <w:rPr>
                <w:rStyle w:val="InstructionsTabelleberschrift"/>
                <w:rFonts w:ascii="Times New Roman" w:hAnsi="Times New Roman"/>
                <w:sz w:val="24"/>
              </w:rPr>
              <w:t>se</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6A725962" w14:textId="77777777" w:rsidTr="00822842">
        <w:trPr>
          <w:trHeight w:val="300"/>
        </w:trPr>
        <w:tc>
          <w:tcPr>
            <w:tcW w:w="1591" w:type="dxa"/>
          </w:tcPr>
          <w:p w14:paraId="2122B748"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33278CBC"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8a</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na drobno – odkupljene denarne terjatve</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78150221" w14:textId="77777777" w:rsidTr="00822842">
        <w:tc>
          <w:tcPr>
            <w:tcW w:w="1591" w:type="dxa"/>
          </w:tcPr>
          <w:p w14:paraId="3FDBFE49" w14:textId="1E454574"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35805B07"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Izpostavljenosti na drobno – drugo</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14:paraId="48F2E283" w14:textId="77777777" w:rsidTr="00822842">
        <w:trPr>
          <w:trHeight w:val="300"/>
        </w:trPr>
        <w:tc>
          <w:tcPr>
            <w:tcW w:w="1591" w:type="dxa"/>
          </w:tcPr>
          <w:p w14:paraId="58FFAB84"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5F6F6E7F"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1.1.2.2.09.01</w:t>
            </w:r>
            <w:r w:rsidR="00432B39" w:rsidRPr="00432B39">
              <w:rPr>
                <w:rStyle w:val="InstructionsTabelleberschrift"/>
                <w:rFonts w:ascii="Times New Roman" w:hAnsi="Times New Roman"/>
                <w:sz w:val="24"/>
              </w:rPr>
              <w:t xml:space="preserve"> </w:t>
            </w:r>
            <w:r w:rsidR="00432B39" w:rsidRPr="00432B39">
              <w:rPr>
                <w:rStyle w:val="InstructionsTabelleberschrift"/>
                <w:rFonts w:ascii="Times New Roman" w:hAnsi="Times New Roman"/>
                <w:sz w:val="24"/>
              </w:rPr>
              <w:tab/>
            </w:r>
            <w:r>
              <w:rPr>
                <w:rStyle w:val="InstructionsTabelleberschrift"/>
                <w:rFonts w:ascii="Times New Roman" w:hAnsi="Times New Roman"/>
                <w:sz w:val="24"/>
              </w:rPr>
              <w:t xml:space="preserve">   od tega: zavarovane s stanovanjskimi nepremičninami</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756BE3" w:rsidRPr="002A677E" w14:paraId="709F4C16" w14:textId="77777777" w:rsidTr="00822842">
        <w:tc>
          <w:tcPr>
            <w:tcW w:w="1591" w:type="dxa"/>
          </w:tcPr>
          <w:p w14:paraId="0CBFBF2E" w14:textId="1A3FC28F" w:rsidR="00756BE3" w:rsidRPr="002A677E" w:rsidRDefault="00756BE3"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Pojasnjevalna postavka: izpostavljenosti na drobno – zavarovane z nepremičnino MSP </w:t>
            </w:r>
          </w:p>
        </w:tc>
      </w:tr>
      <w:tr w:rsidR="00756BE3" w:rsidRPr="002A677E" w14:paraId="4810E73E" w14:textId="77777777" w:rsidTr="00822842">
        <w:tc>
          <w:tcPr>
            <w:tcW w:w="1591" w:type="dxa"/>
          </w:tcPr>
          <w:p w14:paraId="2A36D16B" w14:textId="6E67FFF1" w:rsidR="00756BE3" w:rsidRPr="002A677E" w:rsidRDefault="00756BE3"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0412</w:t>
            </w:r>
          </w:p>
        </w:tc>
        <w:tc>
          <w:tcPr>
            <w:tcW w:w="7274" w:type="dxa"/>
          </w:tcPr>
          <w:p w14:paraId="140CBF3B" w14:textId="5B46DEF4" w:rsidR="00756BE3" w:rsidRPr="002A677E" w:rsidRDefault="00756BE3"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Pojasnjevalna postavka: izpostavljenosti na drobno – zavarovane z nepremičnino podjetij, ki niso MSP</w:t>
            </w:r>
          </w:p>
        </w:tc>
      </w:tr>
      <w:tr w:rsidR="00756BE3" w:rsidRPr="002A677E" w14:paraId="1D3FD668" w14:textId="77777777" w:rsidTr="00822842">
        <w:tc>
          <w:tcPr>
            <w:tcW w:w="1591" w:type="dxa"/>
          </w:tcPr>
          <w:p w14:paraId="467A0069" w14:textId="5C2F7CED" w:rsidR="00756BE3" w:rsidRPr="002A677E" w:rsidRDefault="00756BE3"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Pojasnjevalna postavka: izpostavljenosti na drobno – druga MSP</w:t>
            </w:r>
          </w:p>
        </w:tc>
      </w:tr>
      <w:tr w:rsidR="00756BE3" w:rsidRPr="002A677E" w14:paraId="1B3D655A" w14:textId="77777777" w:rsidTr="00822842">
        <w:tc>
          <w:tcPr>
            <w:tcW w:w="1591" w:type="dxa"/>
          </w:tcPr>
          <w:p w14:paraId="6DAE7B9E" w14:textId="0E4F0404" w:rsidR="00756BE3" w:rsidRPr="002A677E" w:rsidRDefault="00756BE3"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Pojasnjevalna postavka: Izpostavljenosti na drobno – Druga podjetja, ki niso MSP</w:t>
            </w:r>
          </w:p>
        </w:tc>
      </w:tr>
      <w:tr w:rsidR="00CC7D2C" w:rsidRPr="002A677E" w14:paraId="19BF2238" w14:textId="77777777" w:rsidTr="00822842">
        <w:tc>
          <w:tcPr>
            <w:tcW w:w="1591" w:type="dxa"/>
          </w:tcPr>
          <w:p w14:paraId="72AC328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DA3D65A"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Lastniški instrumenti po pristopu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EQU IRB.</w:t>
            </w:r>
          </w:p>
        </w:tc>
      </w:tr>
      <w:tr w:rsidR="00CC7D2C" w14:paraId="3572A03E" w14:textId="77777777" w:rsidTr="00822842">
        <w:trPr>
          <w:trHeight w:val="300"/>
        </w:trPr>
        <w:tc>
          <w:tcPr>
            <w:tcW w:w="1591" w:type="dxa"/>
          </w:tcPr>
          <w:p w14:paraId="5490702C"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Kolektivni naložbeni podjemi (KNP)</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CC7D2C" w:rsidRPr="002A677E" w14:paraId="7B2915BA" w14:textId="77777777" w:rsidTr="00822842">
        <w:tc>
          <w:tcPr>
            <w:tcW w:w="1591" w:type="dxa"/>
          </w:tcPr>
          <w:p w14:paraId="097A372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6820A4FD"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Druga sredstva iz naslova </w:t>
            </w:r>
            <w:proofErr w:type="spellStart"/>
            <w:r>
              <w:rPr>
                <w:rStyle w:val="InstructionsTabelleberschrift"/>
                <w:rFonts w:ascii="Times New Roman" w:hAnsi="Times New Roman"/>
                <w:sz w:val="24"/>
              </w:rPr>
              <w:t>nekreditnih</w:t>
            </w:r>
            <w:proofErr w:type="spellEnd"/>
            <w:r>
              <w:rPr>
                <w:rStyle w:val="InstructionsTabelleberschrift"/>
                <w:rFonts w:ascii="Times New Roman" w:hAnsi="Times New Roman"/>
                <w:sz w:val="24"/>
              </w:rPr>
              <w:t xml:space="preserve"> obveznosti</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Znesek, ki se poroča, je znesek tveganju prilagojenih izpostavljenosti, izračunan v skladu s členom 156</w:t>
            </w:r>
            <w:r>
              <w:rPr>
                <w:rFonts w:ascii="Times New Roman" w:hAnsi="Times New Roman"/>
                <w:sz w:val="24"/>
              </w:rPr>
              <w:t xml:space="preserve"> Uredbe (EU) št.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4D95128E"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1.1.2.5.1</w:t>
            </w:r>
            <w:r w:rsidR="00432B39" w:rsidRPr="00432B39">
              <w:rPr>
                <w:rStyle w:val="InstructionsTabelleberschrift"/>
                <w:rFonts w:ascii="Times New Roman" w:hAnsi="Times New Roman"/>
                <w:sz w:val="24"/>
              </w:rPr>
              <w:t xml:space="preserve"> </w:t>
            </w:r>
            <w:r w:rsidR="00432B39" w:rsidRPr="00432B39">
              <w:rPr>
                <w:rStyle w:val="InstructionsTabelleberschrift"/>
                <w:rFonts w:ascii="Times New Roman" w:hAnsi="Times New Roman"/>
                <w:sz w:val="24"/>
              </w:rPr>
              <w:tab/>
            </w:r>
            <w:r>
              <w:rPr>
                <w:rStyle w:val="InstructionsTabelleberschrift"/>
                <w:rFonts w:ascii="Times New Roman" w:hAnsi="Times New Roman"/>
                <w:sz w:val="24"/>
              </w:rPr>
              <w:t>od tega programska oprema, računovodsko obravnavana kot neopredmetena sredstva</w:t>
            </w:r>
          </w:p>
          <w:p w14:paraId="725F0A16"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tveganju prilagojenih izpostavljenosti v zvezi z delom programske opreme, računovodsko obravnavane kot neopredmetena sredstva, ki se ne odbijejo od postavk navadnega lastniškega temeljnega kapitala v skladu s členom 36(1), točka (b),</w:t>
            </w:r>
            <w:r>
              <w:t xml:space="preserve"> Uredbe (EU) št. 575/2013</w:t>
            </w:r>
            <w:r>
              <w:rPr>
                <w:rStyle w:val="FormatvorlageInstructionsTabelleText"/>
                <w:rFonts w:ascii="Times New Roman" w:hAnsi="Times New Roman"/>
                <w:sz w:val="24"/>
              </w:rPr>
              <w:t>, vendar imajo dodeljeno utež tveganja v skladu s členom 156</w:t>
            </w:r>
            <w:r>
              <w:t xml:space="preserve"> navedene uredbe</w:t>
            </w:r>
            <w:r>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2402FBE5"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izpostavljenosti tveganju za prispevke v jamstveni sklad CNS</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Členi 307, 308 in 309 Uredbe (EU) št. 575/2013.</w:t>
            </w:r>
          </w:p>
        </w:tc>
      </w:tr>
      <w:tr w:rsidR="00CC7D2C" w:rsidRPr="002A677E" w14:paraId="3CD00168" w14:textId="77777777" w:rsidTr="00822842">
        <w:tc>
          <w:tcPr>
            <w:tcW w:w="1591" w:type="dxa"/>
          </w:tcPr>
          <w:p w14:paraId="0020FA9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6DD8251A"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1.1.4</w:t>
            </w:r>
            <w:r w:rsidR="00432B39" w:rsidRPr="00432B39">
              <w:rPr>
                <w:rStyle w:val="InstructionsTabelleberschrift"/>
                <w:rFonts w:ascii="Times New Roman" w:hAnsi="Times New Roman"/>
                <w:sz w:val="24"/>
              </w:rPr>
              <w:t xml:space="preserve"> </w:t>
            </w:r>
            <w:r w:rsidR="00432B39" w:rsidRPr="00432B39">
              <w:rPr>
                <w:rStyle w:val="InstructionsTabelleberschrift"/>
                <w:rFonts w:ascii="Times New Roman" w:hAnsi="Times New Roman"/>
                <w:sz w:val="24"/>
              </w:rPr>
              <w:tab/>
            </w:r>
            <w:r>
              <w:rPr>
                <w:rStyle w:val="InstructionsTabelleberschrift"/>
                <w:rFonts w:ascii="Times New Roman" w:hAnsi="Times New Roman"/>
                <w:sz w:val="24"/>
              </w:rPr>
              <w:t>Pozicije v listinjenju</w:t>
            </w:r>
          </w:p>
          <w:p w14:paraId="3F47B3F8"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SEC.</w:t>
            </w:r>
          </w:p>
        </w:tc>
      </w:tr>
      <w:tr w:rsidR="00CC7D2C" w:rsidRPr="002A677E" w14:paraId="1C17D3F6" w14:textId="77777777" w:rsidTr="00822842">
        <w:tc>
          <w:tcPr>
            <w:tcW w:w="1591" w:type="dxa"/>
          </w:tcPr>
          <w:p w14:paraId="12D2D8E9"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1D6C3179" w:rsidR="00CC7D2C" w:rsidRPr="002A677E" w:rsidRDefault="00CC7D2C" w:rsidP="00206A48">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SKUPNE IZPOSTAVLJENOSTI ZA TVEGANJE PORAVNAVE/IZROČITVE</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Člen 92(3) in člen 92(4), točka (ca), Uredbe (EU) št. 575/2013.</w:t>
            </w:r>
          </w:p>
        </w:tc>
      </w:tr>
      <w:tr w:rsidR="00CC7D2C" w:rsidRPr="002A677E" w14:paraId="4EEACEE9" w14:textId="77777777" w:rsidTr="00822842">
        <w:tc>
          <w:tcPr>
            <w:tcW w:w="1591" w:type="dxa"/>
          </w:tcPr>
          <w:p w14:paraId="592B4E05"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3CD66021"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Tveganje poravnave/izročitve v netrgovalni knjigi</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CC7D2C" w:rsidRPr="002A677E" w14:paraId="557832BB" w14:textId="77777777" w:rsidTr="00822842">
        <w:tc>
          <w:tcPr>
            <w:tcW w:w="1591" w:type="dxa"/>
          </w:tcPr>
          <w:p w14:paraId="2110B32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14A37041"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Tveganje poravnave/izročitve v trgovalni knjigi</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CC7D2C" w:rsidRPr="002A677E" w14:paraId="446AA97B" w14:textId="77777777" w:rsidTr="00822842">
        <w:tc>
          <w:tcPr>
            <w:tcW w:w="1591" w:type="dxa"/>
          </w:tcPr>
          <w:p w14:paraId="7F3F1A6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35DA88E3"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SKUPNE IZPOSTAVLJENOSTI TVEGANJU ZA POSLE, KI SO PREDMET TRŽNEGA TVEGANJA</w:t>
            </w:r>
          </w:p>
          <w:p w14:paraId="12543B11" w14:textId="7D8A496A"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92(4), točka (b)(i) in točka (c), člen 92(5), točka (b), in člen 92(7), točka (b),</w:t>
            </w:r>
            <w:r>
              <w:t xml:space="preserve"> Uredbe (EU) št. 575/2013.</w:t>
            </w:r>
          </w:p>
        </w:tc>
      </w:tr>
      <w:tr w:rsidR="00CC7D2C" w:rsidRPr="002A677E" w14:paraId="68C87EDE" w14:textId="77777777" w:rsidTr="00822842">
        <w:tc>
          <w:tcPr>
            <w:tcW w:w="1591" w:type="dxa"/>
          </w:tcPr>
          <w:p w14:paraId="4AF4B74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14:paraId="29276E8A" w14:textId="3B16D6CC"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izpostavljenosti tveganju za posle, ki so predmet tržnega tveganja, izračunan s strani subjektov, ki uporabljajo izključno poenostavljeni standardizirani pristop (SSA)</w:t>
            </w:r>
          </w:p>
        </w:tc>
      </w:tr>
      <w:tr w:rsidR="00CC7D2C" w:rsidRPr="002A677E" w14:paraId="39DF4E48" w14:textId="77777777" w:rsidTr="00822842">
        <w:tc>
          <w:tcPr>
            <w:tcW w:w="1591" w:type="dxa"/>
          </w:tcPr>
          <w:p w14:paraId="6EB8099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53D402D5" w:rsidR="00CC7D2C" w:rsidRPr="008F3052"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Dolžniški instrumenti, s katerimi se trguje na borzi</w:t>
            </w:r>
          </w:p>
          <w:p w14:paraId="2C50FBF9" w14:textId="77777777" w:rsidR="00CC7D2C" w:rsidRPr="002A677E" w:rsidRDefault="00CC7D2C" w:rsidP="00206A4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Predloga MKR SA TDI na ravni vseh valut.</w:t>
            </w:r>
          </w:p>
        </w:tc>
      </w:tr>
      <w:tr w:rsidR="00CC7D2C" w:rsidRPr="002A677E" w14:paraId="5DBE1E93" w14:textId="77777777" w:rsidTr="00822842">
        <w:tc>
          <w:tcPr>
            <w:tcW w:w="1591" w:type="dxa"/>
          </w:tcPr>
          <w:p w14:paraId="46CAFD4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369E2E68"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Lastniški instrumenti</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MKR SA EQU na ravni vseh nacionalnih trgov. </w:t>
            </w:r>
          </w:p>
        </w:tc>
      </w:tr>
      <w:tr w:rsidR="00CC7D2C" w:rsidRPr="002A677E" w14:paraId="399123E4" w14:textId="77777777" w:rsidTr="00822842">
        <w:tc>
          <w:tcPr>
            <w:tcW w:w="1591" w:type="dxa"/>
          </w:tcPr>
          <w:p w14:paraId="61A7E4FC"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05C55EE2"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Posamezni pristop za pozicijsko tveganje v KNP</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Člen 348(1), člen 350(3), točka (c), in člen 364(2), točka (a), Uredbe (EU) št.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Skupni znesek izpostavljenosti tveganju za pozicije v KNP, če se kapitalske zahteve izračunajo v skladu s členom 348(1)</w:t>
            </w:r>
            <w:r>
              <w:rPr>
                <w:rFonts w:ascii="Times New Roman" w:hAnsi="Times New Roman"/>
                <w:sz w:val="24"/>
              </w:rPr>
              <w:t xml:space="preserve"> Uredbe (EU) št. 575/2013</w:t>
            </w:r>
            <w:r>
              <w:rPr>
                <w:rStyle w:val="FormatvorlageInstructionsTabelleText"/>
                <w:rFonts w:ascii="Times New Roman" w:hAnsi="Times New Roman"/>
                <w:sz w:val="24"/>
              </w:rPr>
              <w:t>, in sicer takoj ali kot posledica zgornje meje, določene v členu 350(3), točka (c), navedene uredbe.</w:t>
            </w:r>
            <w:r>
              <w:rPr>
                <w:rFonts w:ascii="Times New Roman" w:hAnsi="Times New Roman"/>
                <w:sz w:val="24"/>
              </w:rPr>
              <w:t xml:space="preserve"> Uredba (EU) št. 575/2013</w:t>
            </w:r>
            <w:r>
              <w:rPr>
                <w:rStyle w:val="FormatvorlageInstructionsTabelleText"/>
                <w:rFonts w:ascii="Times New Roman" w:hAnsi="Times New Roman"/>
                <w:sz w:val="24"/>
              </w:rPr>
              <w:t xml:space="preserve"> teh pozicij ne razporeja eksplicitno na obrestno tveganje ali tveganje lastniških finančnih instrumentov.</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Če se uporabi posamezni pristop iz prvega stavka člena 348(1) </w:t>
            </w:r>
            <w:r>
              <w:rPr>
                <w:rFonts w:ascii="Times New Roman" w:hAnsi="Times New Roman"/>
                <w:sz w:val="24"/>
              </w:rPr>
              <w:t>Uredbe (EU) št. 575/2013</w:t>
            </w:r>
            <w:r>
              <w:rPr>
                <w:rStyle w:val="FormatvorlageInstructionsTabelleText"/>
                <w:rFonts w:ascii="Times New Roman" w:hAnsi="Times New Roman"/>
                <w:sz w:val="24"/>
              </w:rPr>
              <w:t xml:space="preserve">, znaša sporočeni znesek 32 % neto pozicije zadevne izpostavljenosti do KNP, kar se pomnoži z 12,5.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 xml:space="preserve">Če se uporabi posamezni pristop iz drugega stavka člena 348(1) </w:t>
            </w:r>
            <w:r>
              <w:rPr>
                <w:rFonts w:ascii="Times New Roman" w:hAnsi="Times New Roman"/>
                <w:sz w:val="24"/>
              </w:rPr>
              <w:t>Uredbe (EU) št. 575/2013</w:t>
            </w:r>
            <w:r>
              <w:rPr>
                <w:rStyle w:val="FormatvorlageInstructionsTabelleText"/>
                <w:rFonts w:ascii="Times New Roman" w:hAnsi="Times New Roman"/>
                <w:sz w:val="24"/>
              </w:rPr>
              <w:t>, je znesek, ki se poroča, 32 % neto pozicije zadevne izpostavljenosti do KNP, kar se pomnoži z 12,5, ali razlika med 40 % te neto pozicije in kapitalskimi zahtevami, ki izhajajo iz valutnega tveganja, povezanega z izpostavljenostjo do KNP, pomnožena z 12,5, odvisno od tega, kateri znesek je višji.</w:t>
            </w:r>
          </w:p>
        </w:tc>
      </w:tr>
      <w:tr w:rsidR="00CC7D2C" w:rsidRPr="002A677E" w14:paraId="28B80C9E" w14:textId="77777777" w:rsidTr="00822842">
        <w:tc>
          <w:tcPr>
            <w:tcW w:w="1591" w:type="dxa"/>
          </w:tcPr>
          <w:p w14:paraId="101AC11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0FBD69A9"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Pojasnjevalna postavka: KNP, ki vlagajo izključno v dolžniške instrumente, s katerimi se trguje na borzi</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obrestnemu tveganju.</w:t>
            </w:r>
          </w:p>
        </w:tc>
      </w:tr>
      <w:tr w:rsidR="00CC7D2C" w:rsidRPr="002A677E" w14:paraId="4794D144" w14:textId="77777777" w:rsidTr="00822842">
        <w:tc>
          <w:tcPr>
            <w:tcW w:w="1591" w:type="dxa"/>
          </w:tcPr>
          <w:p w14:paraId="37C8C4BE"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26B454F6"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KNP, ki vlagajo izključno v lastniške instrumente ali v mešane instrumente</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tveganju lastniških finančnih instrumentov, ali v mešane instrumente oziroma kadar so sestavine KNP neznane.</w:t>
            </w:r>
          </w:p>
        </w:tc>
      </w:tr>
      <w:tr w:rsidR="00CC7D2C" w:rsidRPr="002A677E" w14:paraId="791EB8B4" w14:textId="77777777" w:rsidTr="00822842">
        <w:tc>
          <w:tcPr>
            <w:tcW w:w="1591" w:type="dxa"/>
          </w:tcPr>
          <w:p w14:paraId="332CF75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51E9B3B7"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Tuje valute</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FX.</w:t>
            </w:r>
          </w:p>
        </w:tc>
      </w:tr>
      <w:tr w:rsidR="00CC7D2C" w:rsidRPr="002A677E" w14:paraId="14555A31" w14:textId="77777777" w:rsidTr="00822842">
        <w:tc>
          <w:tcPr>
            <w:tcW w:w="1591" w:type="dxa"/>
          </w:tcPr>
          <w:p w14:paraId="2AA0CE1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404923FF"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Blago</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COM.</w:t>
            </w:r>
          </w:p>
        </w:tc>
      </w:tr>
      <w:tr w:rsidR="00CC7D2C" w:rsidRPr="002A677E" w14:paraId="7E365434" w14:textId="77777777" w:rsidTr="00822842">
        <w:tc>
          <w:tcPr>
            <w:tcW w:w="1591" w:type="dxa"/>
          </w:tcPr>
          <w:p w14:paraId="2971C931" w14:textId="77777777"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14:paraId="0D4029E8" w14:textId="2657F640"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izpostavljenosti tveganju za pozicijsko, valutno in blagovno tveganje, izračunan z uporabo notranjih modelov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Glej predlogo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proofErr w:type="spellStart"/>
                  <w:r>
                    <w:rPr>
                      <w:b/>
                    </w:rPr>
                    <w:t>Obrazložitveno</w:t>
                  </w:r>
                  <w:proofErr w:type="spellEnd"/>
                  <w:r>
                    <w:rPr>
                      <w:b/>
                    </w:rPr>
                    <w:t xml:space="preserve"> besedilo za namene posvetovanja</w:t>
                  </w:r>
                </w:p>
                <w:p w14:paraId="4B9D2A68" w14:textId="77777777" w:rsidR="00CC7D2C" w:rsidRDefault="00CC7D2C" w:rsidP="00822842">
                  <w:pPr>
                    <w:rPr>
                      <w:rStyle w:val="FormatvorlageInstructionsTabelleText"/>
                      <w:rFonts w:ascii="Times New Roman" w:hAnsi="Times New Roman"/>
                      <w:sz w:val="24"/>
                    </w:rPr>
                  </w:pPr>
                  <w:r>
                    <w:t>Ta vrstica bo črtana, ko sedanjega pristopa na podlagi notranjih modelov ne bo več mogoče uporabljati za izračun kapitalskih zahtev za tržna tveganja.</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1.3.3 Znesek izpostavljenosti tveganju za bilančne in zunajbilančne posle, ki so predmet tržnega tveganja, subjektov, ki uporabljajo izključno alternativni standardizirani pristop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Glej predlogo MKR ASA SUM.</w:t>
            </w:r>
          </w:p>
        </w:tc>
      </w:tr>
      <w:tr w:rsidR="00CC7D2C" w:rsidRPr="002A677E" w14:paraId="49157266" w14:textId="77777777" w:rsidTr="00822842">
        <w:tc>
          <w:tcPr>
            <w:tcW w:w="1591" w:type="dxa"/>
          </w:tcPr>
          <w:p w14:paraId="70F55B1E"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1.3.4 Znesek izpostavljenosti tveganju za bilančne in zunajbilančne posle, ki so predmet tržnega tveganja, subjektov, ki uporabljajo samo pristop alternativnih notranjih modelov (AIMA) ali kombinacijo AIMA in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Glej predlogo MKR AIMA SUM.</w:t>
            </w:r>
          </w:p>
        </w:tc>
      </w:tr>
      <w:tr w:rsidR="00CC7D2C" w:rsidRPr="002A677E" w14:paraId="63471CBC" w14:textId="77777777" w:rsidTr="00822842">
        <w:tc>
          <w:tcPr>
            <w:tcW w:w="1591" w:type="dxa"/>
          </w:tcPr>
          <w:p w14:paraId="56D27E5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 ZNESEK IZPOSTAVLJENOSTI TVEGANJU ZA PRERAZVRSTITVE MED NETRGOVALNO IN TRGOVALNO KNJIGO</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Glej predlogo MOV.</w:t>
            </w:r>
          </w:p>
        </w:tc>
      </w:tr>
      <w:tr w:rsidR="00CC7D2C" w:rsidRPr="002A677E" w14:paraId="7CCF2266" w14:textId="77777777" w:rsidTr="00822842">
        <w:tc>
          <w:tcPr>
            <w:tcW w:w="1591" w:type="dxa"/>
          </w:tcPr>
          <w:p w14:paraId="3A26433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5B6101D6"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SKUPNE IZPOSTAVLJENOSTI TVEGANJU ZA OPERATIVNO TVEGANJE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14:paraId="7EA9106C" w14:textId="45CAC894"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 in člen 92(4), točka (e), Uredbe (EU) št. 575/2013.</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Za investicijska podjetja v skladu s členoma 95(2) in 96(2) ter členom 98 </w:t>
            </w:r>
            <w:r>
              <w:rPr>
                <w:rFonts w:ascii="Times New Roman" w:hAnsi="Times New Roman"/>
                <w:sz w:val="24"/>
              </w:rPr>
              <w:t>Uredbe (EU) št. 575/2013</w:t>
            </w:r>
            <w:r>
              <w:rPr>
                <w:rStyle w:val="FormatvorlageInstructionsTabelleText"/>
                <w:rFonts w:ascii="Times New Roman" w:hAnsi="Times New Roman"/>
                <w:sz w:val="24"/>
              </w:rPr>
              <w:t xml:space="preserve"> je ta element enak nič.</w:t>
            </w:r>
          </w:p>
        </w:tc>
      </w:tr>
      <w:tr w:rsidR="00CC7D2C" w:rsidRPr="002A677E" w14:paraId="74D25245" w14:textId="77777777" w:rsidTr="00822842">
        <w:tc>
          <w:tcPr>
            <w:tcW w:w="1591" w:type="dxa"/>
          </w:tcPr>
          <w:p w14:paraId="3167AA14" w14:textId="0F7DC124" w:rsidR="00CC7D2C" w:rsidRPr="002A677E" w:rsidRDefault="00CC7D2C" w:rsidP="00206A48">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206A48">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206A48">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22FF6B25"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5</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DODATNI ZNESEK IZPOSTAVLJENOSTI TVEGANJU ZARADI STALNIH SPLOŠNIH STROŠKOV</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Člena 95(2) in 96(2), člen 97 in člen 98(1), točka (a), </w:t>
            </w:r>
            <w:r>
              <w:rPr>
                <w:rFonts w:ascii="Times New Roman" w:hAnsi="Times New Roman"/>
                <w:sz w:val="24"/>
              </w:rPr>
              <w:t>Uredbe (EU) št. 575/2013.</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Samo za investicijska podjetja v skladu s členoma 95(2) in 96(2) ter členom 98 </w:t>
            </w:r>
            <w:r>
              <w:rPr>
                <w:rFonts w:ascii="Times New Roman" w:hAnsi="Times New Roman"/>
                <w:sz w:val="24"/>
              </w:rPr>
              <w:t>Uredbe (EU) št. 575/2013</w:t>
            </w:r>
            <w:r>
              <w:rPr>
                <w:rStyle w:val="FormatvorlageInstructionsTabelleText"/>
                <w:rFonts w:ascii="Times New Roman" w:hAnsi="Times New Roman"/>
                <w:sz w:val="24"/>
              </w:rPr>
              <w:t xml:space="preserve">. Glej tudi člen 97 </w:t>
            </w:r>
            <w:r>
              <w:rPr>
                <w:rFonts w:ascii="Times New Roman" w:hAnsi="Times New Roman"/>
                <w:sz w:val="24"/>
              </w:rPr>
              <w:t>Uredbe (EU) št.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Investicijska podjetja iz člena 96 </w:t>
            </w:r>
            <w:r>
              <w:rPr>
                <w:rFonts w:ascii="Times New Roman" w:hAnsi="Times New Roman"/>
                <w:sz w:val="24"/>
              </w:rPr>
              <w:t>Uredbe (EU) št. 575/2013</w:t>
            </w:r>
            <w:r>
              <w:rPr>
                <w:rStyle w:val="FormatvorlageInstructionsTabelleText"/>
                <w:rFonts w:ascii="Times New Roman" w:hAnsi="Times New Roman"/>
                <w:sz w:val="24"/>
              </w:rPr>
              <w:t xml:space="preserve"> poročajo znesek iz člena 97, ki se pomnoži z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Investicijska podjetja iz člena 95 </w:t>
            </w:r>
            <w:r>
              <w:rPr>
                <w:rFonts w:ascii="Times New Roman" w:hAnsi="Times New Roman"/>
                <w:sz w:val="24"/>
              </w:rPr>
              <w:t>Uredbe (EU) št. 575/2013</w:t>
            </w:r>
            <w:r>
              <w:rPr>
                <w:rStyle w:val="FormatvorlageInstructionsTabelleText"/>
                <w:rFonts w:ascii="Times New Roman" w:hAnsi="Times New Roman"/>
                <w:sz w:val="24"/>
              </w:rPr>
              <w:t xml:space="preserve"> poročajo naslednje:</w:t>
            </w:r>
          </w:p>
          <w:p w14:paraId="37268ED3"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če je znesek iz člena 95(2), točka (a), Uredbe (EU) št. 575/2013 večji od zneska iz člena 95(2), točka (b), navedene uredbe, je znesek, ki ga je treba poročati, enak nič;</w:t>
            </w:r>
          </w:p>
          <w:p w14:paraId="5D420054"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če je</w:t>
            </w:r>
            <w:r>
              <w:t xml:space="preserve"> znesek</w:t>
            </w:r>
            <w:r>
              <w:rPr>
                <w:rStyle w:val="FormatvorlageInstructionsTabelleText"/>
                <w:rFonts w:ascii="Times New Roman" w:hAnsi="Times New Roman"/>
                <w:sz w:val="24"/>
              </w:rPr>
              <w:t xml:space="preserve"> iz člena 95(2), točka (b),</w:t>
            </w:r>
            <w:r>
              <w:t xml:space="preserve"> Uredbe (EU) št. 575/2013</w:t>
            </w:r>
            <w:r>
              <w:rPr>
                <w:rStyle w:val="FormatvorlageInstructionsTabelleText"/>
                <w:rFonts w:ascii="Times New Roman" w:hAnsi="Times New Roman"/>
                <w:sz w:val="24"/>
              </w:rPr>
              <w:t xml:space="preserve"> večji od zneska iz člena 95(2), točka (a),</w:t>
            </w:r>
            <w:r>
              <w:t xml:space="preserve"> navedene uredbe</w:t>
            </w:r>
            <w:r>
              <w:rPr>
                <w:rStyle w:val="FormatvorlageInstructionsTabelleText"/>
                <w:rFonts w:ascii="Times New Roman" w:hAnsi="Times New Roman"/>
                <w:sz w:val="24"/>
              </w:rPr>
              <w:t xml:space="preserve">, je znesek, ki ga je treba poročati, enak prvemu znesku, zmanjšanemu za drugi znesek. </w:t>
            </w:r>
          </w:p>
        </w:tc>
      </w:tr>
      <w:tr w:rsidR="00CC7D2C" w:rsidRPr="002A677E" w14:paraId="0430F55D" w14:textId="77777777" w:rsidTr="00822842">
        <w:tc>
          <w:tcPr>
            <w:tcW w:w="1591" w:type="dxa"/>
          </w:tcPr>
          <w:p w14:paraId="2F6AC678"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2E4CBDBD" w14:textId="1027BF83"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6</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SKUPNE IZPOSTAVLJENOSTI TVEGANJU ZA PRILAGODITEV KREDITNEGA VREDNOTENJA</w:t>
            </w:r>
          </w:p>
          <w:p w14:paraId="5117D4D3" w14:textId="785E084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92(4), točka (d),</w:t>
            </w:r>
            <w:r>
              <w:t xml:space="preserve"> Uredbe (EU) št. 575/2013.</w:t>
            </w:r>
          </w:p>
          <w:p w14:paraId="1A4C8257" w14:textId="77777777" w:rsidR="00CC7D2C" w:rsidRPr="002A677E" w:rsidRDefault="00CC7D2C" w:rsidP="00206A4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Glej predlogo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Standardizirani pristop (SA)</w:t>
            </w:r>
          </w:p>
          <w:p w14:paraId="52EE3666" w14:textId="77777777" w:rsidR="00CC7D2C" w:rsidRPr="002A677E" w:rsidRDefault="00CC7D2C" w:rsidP="00206A48">
            <w:pPr>
              <w:pStyle w:val="InstructionsText"/>
              <w:rPr>
                <w:rStyle w:val="InstructionsTabelleberschrift"/>
                <w:rFonts w:ascii="Times New Roman" w:hAnsi="Times New Roman"/>
                <w:sz w:val="24"/>
              </w:rPr>
            </w:pPr>
            <w:r>
              <w:t>Člen 383 Uredbe (EU) št. 575/2013.</w:t>
            </w:r>
          </w:p>
        </w:tc>
      </w:tr>
      <w:tr w:rsidR="00CC7D2C" w:rsidRPr="002A677E" w14:paraId="77449D06" w14:textId="77777777" w:rsidTr="00822842">
        <w:tc>
          <w:tcPr>
            <w:tcW w:w="1591" w:type="dxa"/>
          </w:tcPr>
          <w:p w14:paraId="06FEDF2B"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1.6.5 Polni osnovni pristop (F-BA)</w:t>
            </w:r>
          </w:p>
          <w:p w14:paraId="50E188A9" w14:textId="77777777" w:rsidR="00CC7D2C" w:rsidRPr="002A677E" w:rsidRDefault="00CC7D2C" w:rsidP="00206A48">
            <w:pPr>
              <w:pStyle w:val="InstructionsText"/>
              <w:rPr>
                <w:rStyle w:val="InstructionsTabelleberschrift"/>
                <w:rFonts w:ascii="Times New Roman" w:hAnsi="Times New Roman"/>
                <w:sz w:val="24"/>
              </w:rPr>
            </w:pPr>
            <w:r>
              <w:t>Člen 384(3) Uredbe (EU) št.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1.6.6 Omejeni osnovni pristop (R-BA)</w:t>
            </w:r>
          </w:p>
          <w:p w14:paraId="66955A99" w14:textId="77777777" w:rsidR="00CC7D2C" w:rsidRPr="002A677E" w:rsidRDefault="00CC7D2C" w:rsidP="00206A48">
            <w:pPr>
              <w:pStyle w:val="InstructionsText"/>
              <w:rPr>
                <w:rStyle w:val="InstructionsTabelleberschrift"/>
                <w:rFonts w:ascii="Times New Roman" w:hAnsi="Times New Roman"/>
                <w:sz w:val="24"/>
              </w:rPr>
            </w:pPr>
            <w:r>
              <w:t>Člen 384(2) Uredbe (EU) št. 575/2013.</w:t>
            </w:r>
          </w:p>
        </w:tc>
      </w:tr>
      <w:tr w:rsidR="00CC7D2C" w:rsidRPr="002A677E" w14:paraId="63F89364" w14:textId="77777777" w:rsidTr="00822842">
        <w:tc>
          <w:tcPr>
            <w:tcW w:w="1591" w:type="dxa"/>
          </w:tcPr>
          <w:p w14:paraId="74CBE8FC"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1.6.7 Poenostavljeni pristop</w:t>
            </w:r>
          </w:p>
          <w:p w14:paraId="5D4966C6" w14:textId="77777777" w:rsidR="00CC7D2C" w:rsidRPr="002A677E" w:rsidRDefault="00CC7D2C" w:rsidP="00206A48">
            <w:pPr>
              <w:pStyle w:val="InstructionsText"/>
              <w:rPr>
                <w:rStyle w:val="InstructionsTabelleberschrift"/>
                <w:rFonts w:ascii="Times New Roman" w:hAnsi="Times New Roman"/>
                <w:sz w:val="24"/>
              </w:rPr>
            </w:pPr>
            <w:r>
              <w:t>Člen 385 Uredbe (EU) št. 575/2013.</w:t>
            </w:r>
          </w:p>
        </w:tc>
      </w:tr>
      <w:tr w:rsidR="00CC7D2C" w:rsidRPr="002A677E" w14:paraId="73B500AF" w14:textId="77777777" w:rsidTr="00822842">
        <w:tc>
          <w:tcPr>
            <w:tcW w:w="1591" w:type="dxa"/>
          </w:tcPr>
          <w:p w14:paraId="523B5EE2"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206A48">
            <w:pPr>
              <w:pStyle w:val="InstructionsText"/>
              <w:rPr>
                <w:rStyle w:val="InstructionsTabelleberschrift"/>
              </w:rPr>
            </w:pPr>
            <w:r>
              <w:rPr>
                <w:rStyle w:val="InstructionsTabelleberschrift"/>
                <w:rFonts w:ascii="Times New Roman" w:hAnsi="Times New Roman"/>
                <w:sz w:val="24"/>
              </w:rPr>
              <w:t>1.6.8 Poenostavljena obravnava za pozicije v izvedenih finančnih instrumentih v KNP</w:t>
            </w:r>
          </w:p>
          <w:p w14:paraId="745B756E" w14:textId="77777777" w:rsidR="00CC7D2C" w:rsidRPr="002A677E" w:rsidRDefault="00CC7D2C" w:rsidP="00206A48">
            <w:pPr>
              <w:pStyle w:val="InstructionsText"/>
              <w:rPr>
                <w:rStyle w:val="InstructionsTabelleberschrift"/>
                <w:rFonts w:ascii="Times New Roman" w:hAnsi="Times New Roman"/>
                <w:sz w:val="24"/>
              </w:rPr>
            </w:pPr>
            <w:r>
              <w:t>Členi 132a(3), 152(3) in 325j(1) Uredbe (EU) št. 575/2013.</w:t>
            </w:r>
          </w:p>
        </w:tc>
      </w:tr>
      <w:tr w:rsidR="00CC7D2C" w:rsidRPr="002A677E" w14:paraId="3F998FA1" w14:textId="77777777" w:rsidTr="00822842">
        <w:tc>
          <w:tcPr>
            <w:tcW w:w="1591" w:type="dxa"/>
          </w:tcPr>
          <w:p w14:paraId="01E8200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11EA280A" w:rsidR="00CC7D2C" w:rsidRPr="002A677E" w:rsidRDefault="00CC7D2C" w:rsidP="00206A4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7</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ZNESEK SKUPNE IZPOSTAVLJENOSTI TVEGANJU V ZVEZI Z VELIKIMI IZPOSTAVLJENOSTMI V TRGOVALNI KNJIGI</w:t>
            </w:r>
          </w:p>
          <w:p w14:paraId="17AF6A9C" w14:textId="4455FFB8" w:rsidR="00CC7D2C" w:rsidRPr="002A677E" w:rsidRDefault="00CC7D2C" w:rsidP="00206A4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Člen 92(4), točka (b)(ii), in členi 395 do 401 </w:t>
            </w:r>
            <w:r>
              <w:t>Uredbe (EU) št. 575/2013.</w:t>
            </w:r>
          </w:p>
        </w:tc>
      </w:tr>
      <w:tr w:rsidR="00CC7D2C" w:rsidRPr="002A677E" w14:paraId="7EEB4A32" w14:textId="77777777" w:rsidTr="00822842">
        <w:tc>
          <w:tcPr>
            <w:tcW w:w="1591" w:type="dxa"/>
          </w:tcPr>
          <w:p w14:paraId="0127ECB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0928462E"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8</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DRUGI ZNESKI IZPOSTAVLJENOSTI TVEGANJU</w:t>
            </w:r>
          </w:p>
          <w:p w14:paraId="7BDD98B3"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Členi 3, 458 in 459 </w:t>
            </w:r>
            <w:r>
              <w:t>Uredbe (EU) št. 575/2013</w:t>
            </w:r>
            <w:r>
              <w:rPr>
                <w:rStyle w:val="InstructionsTabelleberschrift"/>
                <w:rFonts w:ascii="Times New Roman" w:hAnsi="Times New Roman"/>
                <w:b w:val="0"/>
                <w:sz w:val="24"/>
                <w:u w:val="none"/>
              </w:rPr>
              <w:t xml:space="preserve"> ter zneski izpostavljenosti tveganju, ki jih ni mogoče razvrstiti v nobeno od postavk 1.1 do 1.7. </w:t>
            </w:r>
          </w:p>
          <w:p w14:paraId="7F38083B"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poročajo zneske, potrebne za skladnost z naslednjim:</w:t>
            </w:r>
          </w:p>
          <w:p w14:paraId="23A0AD5B"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strožjimi bonitetnimi zahtevami, ki jih določi Komisija, v skladu s členoma 458 in 459 </w:t>
            </w:r>
            <w:r>
              <w:t>Uredbe (EU) št.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dodatnimi zneski izpostavljenosti tveganju v skladu s členom 3 </w:t>
            </w:r>
            <w:r>
              <w:t>Uredbe (EU) št. 575/2013</w:t>
            </w:r>
            <w:r>
              <w:rPr>
                <w:rStyle w:val="InstructionsTabelleberschrift"/>
                <w:rFonts w:ascii="Times New Roman" w:hAnsi="Times New Roman"/>
                <w:b w:val="0"/>
                <w:sz w:val="24"/>
                <w:u w:val="none"/>
              </w:rPr>
              <w:t>.</w:t>
            </w:r>
          </w:p>
          <w:p w14:paraId="0B094D68" w14:textId="77777777" w:rsidR="00CC7D2C" w:rsidRPr="002A677E" w:rsidRDefault="00CC7D2C" w:rsidP="00206A48">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 postavka ni povezana s predlogo s podrobnostmi. </w:t>
            </w:r>
          </w:p>
        </w:tc>
      </w:tr>
      <w:tr w:rsidR="00CC7D2C" w:rsidRPr="002A677E" w14:paraId="3DE721B2" w14:textId="77777777" w:rsidTr="00822842">
        <w:tc>
          <w:tcPr>
            <w:tcW w:w="1591" w:type="dxa"/>
          </w:tcPr>
          <w:p w14:paraId="238A61F1"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0EDC251C" w14:textId="594D1DD3"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 tega: dodatne strožje bonitetne zahteve na podlagi člena 458 Uredbe (EU) št. 575/2013</w:t>
            </w:r>
          </w:p>
          <w:p w14:paraId="2E884C62"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458</w:t>
            </w:r>
            <w:r>
              <w:t xml:space="preserve"> Uredbe (EU) št. 575/2013.</w:t>
            </w:r>
          </w:p>
        </w:tc>
      </w:tr>
      <w:tr w:rsidR="00CC7D2C" w:rsidRPr="002A677E" w14:paraId="5D504680" w14:textId="77777777" w:rsidTr="00822842">
        <w:tc>
          <w:tcPr>
            <w:tcW w:w="1591" w:type="dxa"/>
          </w:tcPr>
          <w:p w14:paraId="67047830"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0B7E593F" w:rsidR="00CC7D2C" w:rsidRPr="002A677E" w:rsidRDefault="00CC7D2C" w:rsidP="00206A48">
            <w:pPr>
              <w:pStyle w:val="InstructionsText"/>
            </w:pPr>
            <w:r>
              <w:rPr>
                <w:rStyle w:val="InstructionsTabelleberschrift"/>
                <w:rFonts w:ascii="Times New Roman" w:hAnsi="Times New Roman"/>
                <w:sz w:val="24"/>
              </w:rPr>
              <w:t>1.8.2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zahteve za velike izpostavljenosti</w:t>
            </w:r>
          </w:p>
          <w:p w14:paraId="242C94AC" w14:textId="77777777" w:rsidR="00CC7D2C" w:rsidRPr="002A677E" w:rsidRDefault="00CC7D2C" w:rsidP="00206A48">
            <w:pPr>
              <w:pStyle w:val="InstructionsText"/>
              <w:rPr>
                <w:rStyle w:val="InstructionsTabelleberschrift"/>
                <w:rFonts w:ascii="Times New Roman" w:hAnsi="Times New Roman"/>
                <w:sz w:val="24"/>
              </w:rPr>
            </w:pPr>
            <w:r>
              <w:t>Člen 458 Uredbe (EU) št. 575/2013.</w:t>
            </w:r>
          </w:p>
        </w:tc>
      </w:tr>
      <w:tr w:rsidR="00CC7D2C" w:rsidRPr="002A677E" w14:paraId="5527A68B" w14:textId="77777777" w:rsidTr="00822842">
        <w:tc>
          <w:tcPr>
            <w:tcW w:w="1591" w:type="dxa"/>
          </w:tcPr>
          <w:p w14:paraId="6BAD894B"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6E614DBC" w:rsidR="00CC7D2C" w:rsidRPr="002A677E" w:rsidRDefault="00CC7D2C" w:rsidP="00206A48">
            <w:pPr>
              <w:pStyle w:val="InstructionsText"/>
            </w:pPr>
            <w:r>
              <w:rPr>
                <w:rStyle w:val="InstructionsTabelleberschrift"/>
                <w:rFonts w:ascii="Times New Roman" w:hAnsi="Times New Roman"/>
                <w:sz w:val="24"/>
              </w:rPr>
              <w:t>1.8.2*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zaradi spremenjenih uteži tveganja, usmerjenih na nepremičninske balone v sektorju stanovanjskih in poslovnih nepremičnin</w:t>
            </w:r>
          </w:p>
          <w:p w14:paraId="6AE45898" w14:textId="77777777" w:rsidR="00CC7D2C" w:rsidRPr="002A677E" w:rsidRDefault="00CC7D2C" w:rsidP="00206A48">
            <w:pPr>
              <w:pStyle w:val="InstructionsText"/>
              <w:rPr>
                <w:rStyle w:val="InstructionsTabelleberschrift"/>
                <w:rFonts w:ascii="Times New Roman" w:hAnsi="Times New Roman"/>
                <w:sz w:val="24"/>
              </w:rPr>
            </w:pPr>
            <w:r>
              <w:t>Člen 458 Uredbe (EU) št. 575/2013.</w:t>
            </w:r>
          </w:p>
        </w:tc>
      </w:tr>
      <w:tr w:rsidR="00CC7D2C" w:rsidRPr="002A677E" w14:paraId="5206CB62" w14:textId="77777777" w:rsidTr="00822842">
        <w:tc>
          <w:tcPr>
            <w:tcW w:w="1591" w:type="dxa"/>
          </w:tcPr>
          <w:p w14:paraId="6D2D0EEA"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04F8DDFF" w:rsidR="00CC7D2C" w:rsidRPr="002A677E" w:rsidRDefault="00CC7D2C" w:rsidP="00206A48">
            <w:pPr>
              <w:pStyle w:val="InstructionsText"/>
            </w:pPr>
            <w:r>
              <w:rPr>
                <w:rStyle w:val="InstructionsTabelleberschrift"/>
                <w:rFonts w:ascii="Times New Roman" w:hAnsi="Times New Roman"/>
                <w:sz w:val="24"/>
              </w:rPr>
              <w:t>1.8.2**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zaradi izpostavljenosti znotraj finančnega sektorja</w:t>
            </w:r>
          </w:p>
          <w:p w14:paraId="0AD2BF6F" w14:textId="77777777" w:rsidR="00CC7D2C" w:rsidRPr="002A677E" w:rsidRDefault="00CC7D2C" w:rsidP="00206A48">
            <w:pPr>
              <w:pStyle w:val="InstructionsText"/>
              <w:rPr>
                <w:rStyle w:val="InstructionsTabelleberschrift"/>
                <w:rFonts w:ascii="Times New Roman" w:hAnsi="Times New Roman"/>
                <w:sz w:val="24"/>
              </w:rPr>
            </w:pPr>
            <w:r>
              <w:t>Člen 458 Uredbe (EU) št. 575/2013.</w:t>
            </w:r>
          </w:p>
        </w:tc>
      </w:tr>
      <w:tr w:rsidR="00CC7D2C" w:rsidRPr="002A677E" w14:paraId="701C4C92" w14:textId="77777777" w:rsidTr="00822842">
        <w:tc>
          <w:tcPr>
            <w:tcW w:w="1591" w:type="dxa"/>
          </w:tcPr>
          <w:p w14:paraId="69B54212"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46E783CE"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 tega: dodatne strožje bonitetne zahteve na podlagi člena 459 Uredbe (EU) št. 575/2013</w:t>
            </w:r>
          </w:p>
          <w:p w14:paraId="4F93B1E4" w14:textId="77777777" w:rsidR="00CC7D2C" w:rsidRPr="002A677E" w:rsidRDefault="00CC7D2C" w:rsidP="00206A4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459</w:t>
            </w:r>
            <w:r>
              <w:t xml:space="preserve"> Uredbe (EU) št.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206A48">
            <w:pPr>
              <w:pStyle w:val="InstructionsText"/>
            </w:pPr>
            <w:r>
              <w:t>1.8.3a       Od tega: dodatni znesek tveganju prilagojenih izpostavljenosti za tržno tveganje, ki ga naloži nadzornik na podlagi člena 110 Direktive 2013/36/EU</w:t>
            </w:r>
          </w:p>
          <w:p w14:paraId="6AA689E0" w14:textId="70B9ABFD" w:rsidR="005F24EB" w:rsidRPr="003D5537" w:rsidRDefault="003D5537" w:rsidP="00206A48">
            <w:pPr>
              <w:pStyle w:val="InstructionsText"/>
              <w:rPr>
                <w:b/>
                <w:bCs/>
              </w:rPr>
            </w:pPr>
            <w:r>
              <w:t>Člen 101 Direktive 2013/36/EU in nacionalni izvedbeni ukrepi iz navedenega člena.</w:t>
            </w:r>
          </w:p>
        </w:tc>
      </w:tr>
      <w:tr w:rsidR="00CC7D2C" w:rsidRPr="002A677E" w14:paraId="2C35FF15" w14:textId="77777777" w:rsidTr="00822842">
        <w:tc>
          <w:tcPr>
            <w:tcW w:w="1591" w:type="dxa"/>
            <w:shd w:val="clear" w:color="auto" w:fill="auto"/>
          </w:tcPr>
          <w:p w14:paraId="08B26797" w14:textId="77777777" w:rsidR="00CC7D2C" w:rsidRPr="001235ED"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4439EB66"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 tega: dodatni znesek izpostavljenosti tveganju v skladu s členom 3 Uredbe (EU) št. 575/2013</w:t>
            </w:r>
          </w:p>
          <w:p w14:paraId="1A39DDE5" w14:textId="77777777" w:rsidR="00CC7D2C" w:rsidRPr="002A677E" w:rsidRDefault="00CC7D2C"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w:t>
            </w:r>
            <w:r>
              <w:t xml:space="preserve"> Uredbe (EU) št. 575/2013.</w:t>
            </w:r>
          </w:p>
          <w:p w14:paraId="390266FE"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izpostavljenosti tveganju, ki se poroča. Vključuje le dodatne zneske (če ima na primer izpostavljenost 100 utež tveganja 20 % in institucije uporabijo utež tveganja 50 % na podlagi člena 3</w:t>
            </w:r>
            <w:r>
              <w:t xml:space="preserve"> Uredbe (EU) št. 575/2013</w:t>
            </w:r>
            <w:r>
              <w:rPr>
                <w:rStyle w:val="InstructionsTabelleberschrift"/>
                <w:rFonts w:ascii="Times New Roman" w:hAnsi="Times New Roman"/>
                <w:b w:val="0"/>
                <w:sz w:val="24"/>
                <w:u w:val="none"/>
              </w:rPr>
              <w:t xml:space="preserve">, je znesek, ki ga je treba poročati,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Pr>
              <w:t xml:space="preserve">         </w:t>
            </w:r>
            <w:r>
              <w:rPr>
                <w:rStyle w:val="InstructionsTabelleberschrift"/>
                <w:rFonts w:ascii="Times New Roman" w:hAnsi="Times New Roman"/>
                <w:sz w:val="24"/>
              </w:rPr>
              <w:t>Od tega:  dodatni znesek tveganju prilagojenih izpostavljenosti za tržno tveganje</w:t>
            </w:r>
          </w:p>
          <w:p w14:paraId="69E7A691" w14:textId="31285B3F" w:rsidR="003D5537" w:rsidRPr="002A677E" w:rsidRDefault="003D5537" w:rsidP="00206A48">
            <w:pPr>
              <w:pStyle w:val="InstructionsText"/>
              <w:rPr>
                <w:rStyle w:val="InstructionsTabelleberschrift"/>
                <w:rFonts w:ascii="Times New Roman" w:hAnsi="Times New Roman"/>
                <w:sz w:val="24"/>
              </w:rPr>
            </w:pPr>
            <w:r>
              <w:t>Med drugim vključuje primer tveganj, ki niso vključena v model za merjenje tveganj („</w:t>
            </w:r>
            <w:proofErr w:type="spellStart"/>
            <w:r>
              <w:t>risks</w:t>
            </w:r>
            <w:proofErr w:type="spellEnd"/>
            <w:r>
              <w:t xml:space="preserve"> not in </w:t>
            </w:r>
            <w:proofErr w:type="spellStart"/>
            <w:r>
              <w:t>the</w:t>
            </w:r>
            <w:proofErr w:type="spellEnd"/>
            <w:r>
              <w:t xml:space="preserve"> model </w:t>
            </w:r>
            <w:proofErr w:type="spellStart"/>
            <w:r>
              <w:t>engine</w:t>
            </w:r>
            <w:proofErr w:type="spellEnd"/>
            <w:r>
              <w:t>“).</w:t>
            </w:r>
          </w:p>
        </w:tc>
      </w:tr>
      <w:tr w:rsidR="003D5537" w:rsidRPr="002A677E" w14:paraId="609F339A" w14:textId="77777777" w:rsidTr="00822842">
        <w:tc>
          <w:tcPr>
            <w:tcW w:w="1591" w:type="dxa"/>
            <w:shd w:val="clear" w:color="auto" w:fill="auto"/>
          </w:tcPr>
          <w:p w14:paraId="7B448982" w14:textId="7643E064" w:rsidR="003D5537" w:rsidRPr="002A677E" w:rsidRDefault="003D5537" w:rsidP="00206A4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1.8.5     Od tega: prehodni znesek izpostavljenosti tveganju v zvezi s kriptosredstvi v skladu s členom 501d(2) Uredbe (EU) št. 575/2013</w:t>
            </w:r>
          </w:p>
          <w:p w14:paraId="0F5C3D0F" w14:textId="23BC2EEB" w:rsidR="003D5537" w:rsidRPr="003D5537" w:rsidRDefault="003D5537" w:rsidP="00206A4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Glej predlogo CRYPTO.</w:t>
            </w:r>
          </w:p>
        </w:tc>
      </w:tr>
    </w:tbl>
    <w:p w14:paraId="2E87962E" w14:textId="4CCD6472"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F03758">
        <w:t>1.</w:t>
      </w:r>
      <w:r w:rsidR="00206A48" w:rsidRPr="00F03758">
        <w:t>4</w:t>
      </w:r>
      <w:r w:rsidR="00206A48" w:rsidRPr="00F03758">
        <w:tab/>
      </w:r>
      <w:r>
        <w:t>C 03.00 – KAPITALSKI KOLIČNIKI IN RAVNI KAPITALA (CA3)</w:t>
      </w:r>
      <w:bookmarkEnd w:id="28"/>
      <w:bookmarkEnd w:id="29"/>
      <w:r>
        <w:t xml:space="preserve"> </w:t>
      </w:r>
      <w:bookmarkEnd w:id="30"/>
      <w:bookmarkEnd w:id="31"/>
    </w:p>
    <w:p w14:paraId="22993C7A" w14:textId="7549D038"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w:t>
      </w:r>
      <w:r w:rsidR="00206A48" w:rsidRPr="00C850AF">
        <w:rPr>
          <w:u w:val="none"/>
        </w:rPr>
        <w:t>1</w:t>
      </w:r>
      <w:r w:rsidR="00206A48" w:rsidRPr="00C850AF">
        <w:rPr>
          <w:u w:val="none"/>
        </w:rPr>
        <w:tab/>
      </w:r>
      <w:r>
        <w:t>Navodila za posamezne</w:t>
      </w:r>
      <w:bookmarkEnd w:id="32"/>
      <w:bookmarkEnd w:id="33"/>
      <w:r>
        <w:t xml:space="preserve"> pozicije</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206A48">
            <w:pPr>
              <w:pStyle w:val="InstructionsText"/>
            </w:pPr>
            <w:r>
              <w:t>Vrstice</w:t>
            </w:r>
          </w:p>
        </w:tc>
      </w:tr>
      <w:tr w:rsidR="00CC7D2C" w:rsidRPr="002A677E" w14:paraId="0AA1FB0D" w14:textId="77777777" w:rsidTr="00822842">
        <w:tc>
          <w:tcPr>
            <w:tcW w:w="1163" w:type="dxa"/>
          </w:tcPr>
          <w:p w14:paraId="3B644227" w14:textId="77777777" w:rsidR="00CC7D2C" w:rsidRPr="002A677E" w:rsidRDefault="00CC7D2C" w:rsidP="00206A48">
            <w:pPr>
              <w:pStyle w:val="InstructionsText"/>
            </w:pPr>
            <w:r>
              <w:lastRenderedPageBreak/>
              <w:t>0010</w:t>
            </w:r>
          </w:p>
        </w:tc>
        <w:tc>
          <w:tcPr>
            <w:tcW w:w="7620" w:type="dxa"/>
          </w:tcPr>
          <w:p w14:paraId="104AA172" w14:textId="77777777" w:rsidR="00CC7D2C" w:rsidRPr="002A677E" w:rsidRDefault="00CC7D2C" w:rsidP="00206A48">
            <w:pPr>
              <w:pStyle w:val="InstructionsText"/>
            </w:pPr>
            <w:r>
              <w:rPr>
                <w:rStyle w:val="InstructionsTabelleberschrift"/>
                <w:rFonts w:ascii="Times New Roman" w:hAnsi="Times New Roman"/>
                <w:sz w:val="24"/>
              </w:rPr>
              <w:t>1.</w:t>
            </w:r>
            <w:r w:rsidRPr="00F03758">
              <w:rPr>
                <w:u w:val="single"/>
              </w:rPr>
              <w:tab/>
            </w:r>
            <w:r>
              <w:rPr>
                <w:rStyle w:val="InstructionsTabelleberschrift"/>
                <w:rFonts w:ascii="Times New Roman" w:hAnsi="Times New Roman"/>
                <w:sz w:val="24"/>
              </w:rPr>
              <w:t>Količnik navadnega lastniškega temeljnega kapitala</w:t>
            </w:r>
          </w:p>
          <w:p w14:paraId="1A204CA3" w14:textId="77777777" w:rsidR="00CC7D2C" w:rsidRPr="002A677E" w:rsidRDefault="00CC7D2C" w:rsidP="00206A48">
            <w:pPr>
              <w:pStyle w:val="InstructionsText"/>
            </w:pPr>
            <w:r>
              <w:t>Člen 92(2), točka (a), Uredbe (EU) št. 575/2013.</w:t>
            </w:r>
          </w:p>
          <w:p w14:paraId="6428C1DC" w14:textId="77777777" w:rsidR="00CC7D2C" w:rsidRPr="002A677E" w:rsidRDefault="00CC7D2C" w:rsidP="00206A48">
            <w:pPr>
              <w:pStyle w:val="InstructionsText"/>
            </w:pPr>
            <w:r>
              <w:t>Količnik navadnega lastniškega temeljnega kapitala je navadni lastniški temeljni kapital institucije, izražen kot odstotni delež zneska njene skupne izpostavljenosti tveganju.</w:t>
            </w:r>
          </w:p>
        </w:tc>
      </w:tr>
      <w:tr w:rsidR="00CC7D2C" w:rsidRPr="002A677E" w14:paraId="3682C06B" w14:textId="77777777" w:rsidTr="00822842">
        <w:tc>
          <w:tcPr>
            <w:tcW w:w="1163" w:type="dxa"/>
          </w:tcPr>
          <w:p w14:paraId="0328EB4E" w14:textId="77777777" w:rsidR="00CC7D2C" w:rsidRPr="002A677E" w:rsidRDefault="00CC7D2C" w:rsidP="00206A48">
            <w:pPr>
              <w:pStyle w:val="InstructionsText"/>
            </w:pPr>
            <w:r>
              <w:t>0020</w:t>
            </w:r>
          </w:p>
        </w:tc>
        <w:tc>
          <w:tcPr>
            <w:tcW w:w="7620" w:type="dxa"/>
          </w:tcPr>
          <w:p w14:paraId="53D7D10C"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F03758">
              <w:rPr>
                <w:u w:val="single"/>
              </w:rPr>
              <w:tab/>
            </w:r>
            <w:r>
              <w:rPr>
                <w:rStyle w:val="InstructionsTabelleberschrift"/>
                <w:rFonts w:ascii="Times New Roman" w:hAnsi="Times New Roman"/>
                <w:sz w:val="24"/>
              </w:rPr>
              <w:t>Presežek (+)/primanjkljaj (‒) navadnega lastniškega temeljnega kapitala</w:t>
            </w:r>
          </w:p>
          <w:p w14:paraId="197B9EAB" w14:textId="77777777" w:rsidR="00CC7D2C" w:rsidRPr="002A677E" w:rsidRDefault="00CC7D2C" w:rsidP="00206A48">
            <w:pPr>
              <w:pStyle w:val="InstructionsText"/>
            </w:pPr>
            <w:r>
              <w:t>V tej postavki je prikazan znesek presežka ali primanjkljaja navadnega lastniškega temeljnega kapitala glede na zahteve iz člena 92(1), točka (a), Uredbe (EU) št. 575/2013 (4,5 %) v absolutnih vrednostih, tj. brez upoštevanja kapitalskih blažilnikov in prehodnih določb glede količnika.</w:t>
            </w:r>
          </w:p>
        </w:tc>
      </w:tr>
      <w:tr w:rsidR="00CC7D2C" w:rsidRPr="002A677E" w14:paraId="1005EC23" w14:textId="77777777" w:rsidTr="00822842">
        <w:tc>
          <w:tcPr>
            <w:tcW w:w="1163" w:type="dxa"/>
          </w:tcPr>
          <w:p w14:paraId="511C887C" w14:textId="77777777" w:rsidR="00CC7D2C" w:rsidRPr="002A677E" w:rsidRDefault="00CC7D2C" w:rsidP="00206A48">
            <w:pPr>
              <w:pStyle w:val="InstructionsText"/>
            </w:pPr>
            <w:r>
              <w:t>0030</w:t>
            </w:r>
          </w:p>
        </w:tc>
        <w:tc>
          <w:tcPr>
            <w:tcW w:w="7620" w:type="dxa"/>
          </w:tcPr>
          <w:p w14:paraId="4EACDF0D" w14:textId="77777777" w:rsidR="00CC7D2C" w:rsidRPr="002A677E" w:rsidRDefault="00CC7D2C" w:rsidP="00206A48">
            <w:pPr>
              <w:pStyle w:val="InstructionsText"/>
            </w:pPr>
            <w:r>
              <w:rPr>
                <w:rStyle w:val="InstructionsTabelleberschrift"/>
                <w:rFonts w:ascii="Times New Roman" w:hAnsi="Times New Roman"/>
                <w:sz w:val="24"/>
              </w:rPr>
              <w:t>3.</w:t>
            </w:r>
            <w:r w:rsidRPr="00F03758">
              <w:rPr>
                <w:u w:val="single"/>
              </w:rPr>
              <w:tab/>
            </w:r>
            <w:r>
              <w:rPr>
                <w:rStyle w:val="InstructionsTabelleberschrift"/>
                <w:rFonts w:ascii="Times New Roman" w:hAnsi="Times New Roman"/>
                <w:sz w:val="24"/>
              </w:rPr>
              <w:t>Količnik temeljnega kapitala</w:t>
            </w:r>
          </w:p>
          <w:p w14:paraId="58F5E60A" w14:textId="77777777" w:rsidR="00CC7D2C" w:rsidRPr="002A677E" w:rsidRDefault="00CC7D2C" w:rsidP="00206A48">
            <w:pPr>
              <w:pStyle w:val="InstructionsText"/>
            </w:pPr>
            <w:r>
              <w:t>Člen 92(2), točka (b), Uredbe (EU) št. 575/2013.</w:t>
            </w:r>
          </w:p>
          <w:p w14:paraId="6C86F22F" w14:textId="77777777" w:rsidR="00CC7D2C" w:rsidRPr="002A677E" w:rsidRDefault="00CC7D2C" w:rsidP="00206A48">
            <w:pPr>
              <w:pStyle w:val="InstructionsText"/>
            </w:pPr>
            <w:r>
              <w:t>Količnik temeljnega kapitala je temeljni kapital institucije, izražen kot odstotni delež zneska njene skupne izpostavljenosti tveganju.</w:t>
            </w:r>
          </w:p>
        </w:tc>
      </w:tr>
      <w:tr w:rsidR="00CC7D2C" w:rsidRPr="002A677E" w14:paraId="69E6CBD9" w14:textId="77777777" w:rsidTr="00822842">
        <w:tc>
          <w:tcPr>
            <w:tcW w:w="1163" w:type="dxa"/>
          </w:tcPr>
          <w:p w14:paraId="4E40C651" w14:textId="77777777" w:rsidR="00CC7D2C" w:rsidRPr="002A677E" w:rsidRDefault="00CC7D2C" w:rsidP="00206A48">
            <w:pPr>
              <w:pStyle w:val="InstructionsText"/>
            </w:pPr>
            <w:r>
              <w:t>0040</w:t>
            </w:r>
          </w:p>
        </w:tc>
        <w:tc>
          <w:tcPr>
            <w:tcW w:w="7620" w:type="dxa"/>
          </w:tcPr>
          <w:p w14:paraId="2604F5D5" w14:textId="77777777" w:rsidR="00CC7D2C" w:rsidRPr="002A677E" w:rsidRDefault="00CC7D2C" w:rsidP="00206A48">
            <w:pPr>
              <w:pStyle w:val="InstructionsText"/>
            </w:pPr>
            <w:r>
              <w:rPr>
                <w:rStyle w:val="InstructionsTabelleberschrift"/>
                <w:rFonts w:ascii="Times New Roman" w:hAnsi="Times New Roman"/>
                <w:sz w:val="24"/>
              </w:rPr>
              <w:t>4.</w:t>
            </w:r>
            <w:r w:rsidRPr="00F03758">
              <w:rPr>
                <w:u w:val="single"/>
              </w:rPr>
              <w:tab/>
            </w:r>
            <w:r>
              <w:rPr>
                <w:rStyle w:val="InstructionsTabelleberschrift"/>
                <w:rFonts w:ascii="Times New Roman" w:hAnsi="Times New Roman"/>
                <w:sz w:val="24"/>
              </w:rPr>
              <w:t>Presežek (+)/primanjkljaj (‒) temeljnega kapitala</w:t>
            </w:r>
          </w:p>
          <w:p w14:paraId="2757AF24" w14:textId="77777777" w:rsidR="00CC7D2C" w:rsidRPr="002A677E" w:rsidRDefault="00CC7D2C" w:rsidP="00206A48">
            <w:pPr>
              <w:pStyle w:val="InstructionsText"/>
            </w:pPr>
            <w:r>
              <w:t>V tej postavki je prikazan znesek presežka ali primanjkljaja temeljnega kapitala glede na zahteve iz člena 92(1), točka (b), Uredbe (EU) št. 575/2013 (6 %) v absolutnih vrednostih, tj. brez upoštevanja kapitalskih blažilnikov in prehodnih določb glede količnika.</w:t>
            </w:r>
          </w:p>
        </w:tc>
      </w:tr>
      <w:tr w:rsidR="00CC7D2C" w:rsidRPr="002A677E" w14:paraId="5A93B424" w14:textId="77777777" w:rsidTr="00822842">
        <w:tc>
          <w:tcPr>
            <w:tcW w:w="1163" w:type="dxa"/>
          </w:tcPr>
          <w:p w14:paraId="56272084" w14:textId="77777777" w:rsidR="00CC7D2C" w:rsidRPr="002A677E" w:rsidRDefault="00CC7D2C" w:rsidP="00206A48">
            <w:pPr>
              <w:pStyle w:val="InstructionsText"/>
            </w:pPr>
            <w:r>
              <w:t>0050</w:t>
            </w:r>
          </w:p>
        </w:tc>
        <w:tc>
          <w:tcPr>
            <w:tcW w:w="7620" w:type="dxa"/>
          </w:tcPr>
          <w:p w14:paraId="36175C3E" w14:textId="77777777" w:rsidR="00CC7D2C" w:rsidRPr="002A677E" w:rsidRDefault="00CC7D2C" w:rsidP="00206A48">
            <w:pPr>
              <w:pStyle w:val="InstructionsText"/>
            </w:pPr>
            <w:r>
              <w:rPr>
                <w:rStyle w:val="InstructionsTabelleberschrift"/>
                <w:rFonts w:ascii="Times New Roman" w:hAnsi="Times New Roman"/>
                <w:sz w:val="24"/>
              </w:rPr>
              <w:t>5.</w:t>
            </w:r>
            <w:r w:rsidRPr="00F03758">
              <w:rPr>
                <w:u w:val="single"/>
              </w:rPr>
              <w:tab/>
            </w:r>
            <w:r>
              <w:rPr>
                <w:rStyle w:val="InstructionsTabelleberschrift"/>
                <w:rFonts w:ascii="Times New Roman" w:hAnsi="Times New Roman"/>
                <w:sz w:val="24"/>
              </w:rPr>
              <w:t>Količnik skupnega kapitala</w:t>
            </w:r>
          </w:p>
          <w:p w14:paraId="393A8CC4" w14:textId="77777777" w:rsidR="00CC7D2C" w:rsidRPr="002A677E" w:rsidRDefault="00CC7D2C" w:rsidP="00206A48">
            <w:pPr>
              <w:pStyle w:val="InstructionsText"/>
            </w:pPr>
            <w:r>
              <w:t>Člen 92(2), točka (c), Uredbe (EU) št. 575/2013.</w:t>
            </w:r>
          </w:p>
          <w:p w14:paraId="163717AB" w14:textId="77777777" w:rsidR="00CC7D2C" w:rsidRPr="002A677E" w:rsidRDefault="00CC7D2C" w:rsidP="00206A48">
            <w:pPr>
              <w:pStyle w:val="InstructionsText"/>
            </w:pPr>
            <w:r>
              <w:t>Količnik skupnega kapitala je kapital institucije, izražen kot odstotni delež zneska njene skupne izpostavljenosti tveganju.</w:t>
            </w:r>
          </w:p>
        </w:tc>
      </w:tr>
      <w:tr w:rsidR="00CC7D2C" w:rsidRPr="002A677E" w14:paraId="604689C8" w14:textId="77777777" w:rsidTr="00822842">
        <w:tc>
          <w:tcPr>
            <w:tcW w:w="1163" w:type="dxa"/>
          </w:tcPr>
          <w:p w14:paraId="6F72ABAE" w14:textId="77777777" w:rsidR="00CC7D2C" w:rsidRPr="002A677E" w:rsidRDefault="00CC7D2C" w:rsidP="00206A48">
            <w:pPr>
              <w:pStyle w:val="InstructionsText"/>
            </w:pPr>
            <w:r>
              <w:t>0060</w:t>
            </w:r>
          </w:p>
        </w:tc>
        <w:tc>
          <w:tcPr>
            <w:tcW w:w="7620" w:type="dxa"/>
          </w:tcPr>
          <w:p w14:paraId="1D3133EA" w14:textId="77777777" w:rsidR="00CC7D2C" w:rsidRPr="002A677E" w:rsidRDefault="00CC7D2C" w:rsidP="00206A48">
            <w:pPr>
              <w:pStyle w:val="InstructionsText"/>
            </w:pPr>
            <w:r>
              <w:rPr>
                <w:rStyle w:val="InstructionsTabelleberschrift"/>
                <w:rFonts w:ascii="Times New Roman" w:hAnsi="Times New Roman"/>
                <w:sz w:val="24"/>
              </w:rPr>
              <w:t>6.</w:t>
            </w:r>
            <w:r w:rsidRPr="00C850AF">
              <w:rPr>
                <w:u w:val="single"/>
              </w:rPr>
              <w:tab/>
            </w:r>
            <w:r>
              <w:rPr>
                <w:rStyle w:val="InstructionsTabelleberschrift"/>
                <w:rFonts w:ascii="Times New Roman" w:hAnsi="Times New Roman"/>
                <w:sz w:val="24"/>
              </w:rPr>
              <w:t>Presežek (+)/primanjkljaj (‒) skupnega kapitala</w:t>
            </w:r>
          </w:p>
          <w:p w14:paraId="03A15BAC" w14:textId="77777777" w:rsidR="00CC7D2C" w:rsidRPr="002A677E" w:rsidRDefault="00CC7D2C" w:rsidP="00206A48">
            <w:pPr>
              <w:pStyle w:val="InstructionsText"/>
            </w:pPr>
            <w:r>
              <w:t>V tej postavki je prikazan znesek presežka ali primanjkljaja kapitala glede na zahteve iz člena 92(1), točka (c), Uredbe (EU) št. 575/2013 (8 %) v absolutnih vrednostih, tj. brez upoštevanja kapitalskih blažilnikov in prehodnih določb glede količnika.</w:t>
            </w:r>
          </w:p>
        </w:tc>
      </w:tr>
      <w:tr w:rsidR="00CC7D2C" w:rsidRPr="002A677E" w14:paraId="0DAE5A99" w14:textId="77777777" w:rsidTr="00822842">
        <w:tc>
          <w:tcPr>
            <w:tcW w:w="1163" w:type="dxa"/>
          </w:tcPr>
          <w:p w14:paraId="0D20B59F" w14:textId="77777777" w:rsidR="00CC7D2C" w:rsidRPr="002A677E" w:rsidRDefault="00CC7D2C" w:rsidP="00206A48">
            <w:pPr>
              <w:pStyle w:val="InstructionsText"/>
            </w:pPr>
            <w:r>
              <w:t>0070</w:t>
            </w:r>
          </w:p>
        </w:tc>
        <w:tc>
          <w:tcPr>
            <w:tcW w:w="7620" w:type="dxa"/>
          </w:tcPr>
          <w:p w14:paraId="3AE440D2" w14:textId="6D1D634B"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7</w:t>
            </w:r>
            <w:r w:rsidR="00C850AF">
              <w:rPr>
                <w:rStyle w:val="InstructionsTabelleberschrift"/>
                <w:rFonts w:ascii="Times New Roman" w:hAnsi="Times New Roman"/>
                <w:sz w:val="24"/>
              </w:rPr>
              <w:t>.</w:t>
            </w:r>
            <w:r>
              <w:rPr>
                <w:rStyle w:val="InstructionsTabelleberschrift"/>
                <w:rFonts w:ascii="Times New Roman" w:hAnsi="Times New Roman"/>
                <w:sz w:val="24"/>
              </w:rPr>
              <w:t xml:space="preserve">          Količnik navadnega lastniškega temeljnega kapitala glede na TREA brez upoštevanja izstopnega praga</w:t>
            </w:r>
          </w:p>
          <w:p w14:paraId="61978AA2" w14:textId="77777777" w:rsidR="00CC7D2C" w:rsidRPr="002A677E" w:rsidRDefault="00CC7D2C" w:rsidP="00206A48">
            <w:pPr>
              <w:pStyle w:val="InstructionsText"/>
              <w:rPr>
                <w:rStyle w:val="InstructionsTabelleberschrift"/>
                <w:rFonts w:ascii="Times New Roman" w:hAnsi="Times New Roman"/>
                <w:sz w:val="24"/>
              </w:rPr>
            </w:pPr>
            <w:r>
              <w:t>Količnik navadnega lastniškega temeljnega kapitala, kot je opredeljen v členu 92(2), točka (a), Uredbe (EU) št. 575/2013, izražen kot odstotek zneska skupne izpostavljenosti tveganju, izračunanega v skladu s členom 92(4) Uredbe (EU) št. 575/2013.</w:t>
            </w:r>
          </w:p>
        </w:tc>
      </w:tr>
      <w:tr w:rsidR="00CC7D2C" w:rsidRPr="002A677E" w14:paraId="717A56E9" w14:textId="77777777" w:rsidTr="00822842">
        <w:tc>
          <w:tcPr>
            <w:tcW w:w="1163" w:type="dxa"/>
          </w:tcPr>
          <w:p w14:paraId="74D648B7" w14:textId="77777777" w:rsidR="00CC7D2C" w:rsidRPr="002A677E" w:rsidRDefault="00CC7D2C" w:rsidP="00206A48">
            <w:pPr>
              <w:pStyle w:val="InstructionsText"/>
            </w:pPr>
            <w:r>
              <w:t>0080</w:t>
            </w:r>
          </w:p>
        </w:tc>
        <w:tc>
          <w:tcPr>
            <w:tcW w:w="7620" w:type="dxa"/>
          </w:tcPr>
          <w:p w14:paraId="5BB089F7" w14:textId="1B772371"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8</w:t>
            </w:r>
            <w:r w:rsidR="00C850AF">
              <w:rPr>
                <w:rStyle w:val="InstructionsTabelleberschrift"/>
                <w:rFonts w:ascii="Times New Roman" w:hAnsi="Times New Roman"/>
                <w:sz w:val="24"/>
              </w:rPr>
              <w:t>.</w:t>
            </w:r>
            <w:r>
              <w:rPr>
                <w:rStyle w:val="InstructionsTabelleberschrift"/>
                <w:rFonts w:ascii="Times New Roman" w:hAnsi="Times New Roman"/>
                <w:sz w:val="24"/>
              </w:rPr>
              <w:t xml:space="preserve">          Količnik temeljnega kapitala glede na TREA brez upoštevanja izstopnega praga</w:t>
            </w:r>
          </w:p>
          <w:p w14:paraId="1EA9C1BE" w14:textId="1AA1CC61" w:rsidR="00CC7D2C" w:rsidRPr="002A677E" w:rsidRDefault="00CC7D2C" w:rsidP="00206A48">
            <w:pPr>
              <w:pStyle w:val="InstructionsText"/>
              <w:rPr>
                <w:rStyle w:val="InstructionsTabelleberschrift"/>
                <w:rFonts w:ascii="Times New Roman" w:hAnsi="Times New Roman"/>
                <w:sz w:val="24"/>
              </w:rPr>
            </w:pPr>
            <w:r>
              <w:t>Količnik temeljnega kapitala, kot je opredeljen v členu 92(2), točka (b), Uredbe (EU) št. 575/2013, izražen kot odstotek zneska skupne izpostavljenosti tveganju, izračunanega v skladu s členom 92(4) Uredbe (EU) št. 575/2013.</w:t>
            </w:r>
          </w:p>
        </w:tc>
      </w:tr>
      <w:tr w:rsidR="00CC7D2C" w:rsidRPr="002A677E" w14:paraId="797CB102" w14:textId="77777777" w:rsidTr="00822842">
        <w:tc>
          <w:tcPr>
            <w:tcW w:w="1163" w:type="dxa"/>
          </w:tcPr>
          <w:p w14:paraId="7D650E05" w14:textId="77777777" w:rsidR="00CC7D2C" w:rsidRPr="002A677E" w:rsidRDefault="00CC7D2C" w:rsidP="00206A48">
            <w:pPr>
              <w:pStyle w:val="InstructionsText"/>
            </w:pPr>
            <w:r>
              <w:lastRenderedPageBreak/>
              <w:t>0090</w:t>
            </w:r>
          </w:p>
        </w:tc>
        <w:tc>
          <w:tcPr>
            <w:tcW w:w="7620" w:type="dxa"/>
          </w:tcPr>
          <w:p w14:paraId="28D7CCE1" w14:textId="44976ECE"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9</w:t>
            </w:r>
            <w:r w:rsidR="00C850AF">
              <w:rPr>
                <w:rStyle w:val="InstructionsTabelleberschrift"/>
                <w:rFonts w:ascii="Times New Roman" w:hAnsi="Times New Roman"/>
                <w:sz w:val="24"/>
              </w:rPr>
              <w:t>.</w:t>
            </w:r>
            <w:r>
              <w:rPr>
                <w:rStyle w:val="InstructionsTabelleberschrift"/>
                <w:rFonts w:ascii="Times New Roman" w:hAnsi="Times New Roman"/>
                <w:sz w:val="24"/>
              </w:rPr>
              <w:t xml:space="preserve">          Količnik skupnega kapitala glede na TREA brez upoštevanja izstopnega praga</w:t>
            </w:r>
          </w:p>
          <w:p w14:paraId="79DB9F56" w14:textId="77777777" w:rsidR="00CC7D2C" w:rsidRPr="002A677E" w:rsidRDefault="00CC7D2C" w:rsidP="00206A48">
            <w:pPr>
              <w:pStyle w:val="InstructionsText"/>
              <w:rPr>
                <w:rStyle w:val="InstructionsTabelleberschrift"/>
                <w:rFonts w:ascii="Times New Roman" w:hAnsi="Times New Roman"/>
                <w:sz w:val="24"/>
              </w:rPr>
            </w:pPr>
            <w:r>
              <w:t>Količnik skupnega kapitala, kot je opredeljen v členu 92(2), točka (c), Uredbe (EU) št. 575/2013, izražen kot odstotek zneska skupne izpostavljenosti tveganju, izračunanega v skladu s členom 92(4) Uredbe (EU) št. 575/2013.</w:t>
            </w:r>
          </w:p>
        </w:tc>
      </w:tr>
      <w:tr w:rsidR="00CC7D2C" w:rsidRPr="002A677E" w14:paraId="73FC1E78" w14:textId="77777777" w:rsidTr="00822842">
        <w:tc>
          <w:tcPr>
            <w:tcW w:w="1163" w:type="dxa"/>
          </w:tcPr>
          <w:p w14:paraId="3F9F82DA" w14:textId="77777777" w:rsidR="00CC7D2C" w:rsidRPr="002A677E" w:rsidRDefault="00CC7D2C" w:rsidP="00206A48">
            <w:pPr>
              <w:pStyle w:val="InstructionsText"/>
            </w:pPr>
            <w:r>
              <w:t>0130</w:t>
            </w:r>
          </w:p>
        </w:tc>
        <w:tc>
          <w:tcPr>
            <w:tcW w:w="7620" w:type="dxa"/>
          </w:tcPr>
          <w:p w14:paraId="656BB90A" w14:textId="77777777" w:rsidR="00CC7D2C" w:rsidRPr="001E3E85"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C850AF">
              <w:rPr>
                <w:u w:val="single"/>
              </w:rPr>
              <w:tab/>
            </w:r>
            <w:r>
              <w:rPr>
                <w:rStyle w:val="InstructionsTabelleberschrift"/>
                <w:rFonts w:ascii="Times New Roman" w:hAnsi="Times New Roman"/>
                <w:sz w:val="24"/>
              </w:rPr>
              <w:t>Količnik skupne kapitalske zahteve v okviru PNPO (TSCR)</w:t>
            </w:r>
          </w:p>
          <w:p w14:paraId="422D18B0" w14:textId="77777777" w:rsidR="00CC7D2C" w:rsidRPr="002A677E" w:rsidRDefault="00CC7D2C" w:rsidP="00206A48">
            <w:pPr>
              <w:pStyle w:val="InstructionsText"/>
            </w:pPr>
            <w:r>
              <w:t>Vsota (i) in (ii), kot sledi:</w:t>
            </w:r>
          </w:p>
          <w:p w14:paraId="5718EEA1" w14:textId="77777777" w:rsidR="00CC7D2C" w:rsidRPr="002A677E" w:rsidRDefault="00CC7D2C" w:rsidP="00206A48">
            <w:pPr>
              <w:pStyle w:val="InstructionsText"/>
            </w:pPr>
            <w:r>
              <w:t xml:space="preserve">količnika skupnega kapitala (8 %), kot je določen v členu 92(1), točka (c), Uredbe (EU) št. 575/2013; </w:t>
            </w:r>
          </w:p>
          <w:p w14:paraId="72877665" w14:textId="77777777" w:rsidR="00CC7D2C" w:rsidRPr="002A677E" w:rsidRDefault="00CC7D2C" w:rsidP="00206A48">
            <w:pPr>
              <w:pStyle w:val="InstructionsText"/>
            </w:pPr>
            <w:r>
              <w:t xml:space="preserve">dodatnih kapitalskih zahtev (zahtev v okviru drugega stebra – P2R) iz člena 104(1), točka (a), Direktive 2013/36/EU v obliki količnika. Te se določijo v skladu z merili iz </w:t>
            </w:r>
            <w:r>
              <w:rPr>
                <w:i/>
              </w:rPr>
              <w:t>smernic EBA o skupnih postopkih in metodologijah za proces nadzorniškega pregledovanja in ovrednotenja ter nadzorniškega stresnega testiranja</w:t>
            </w:r>
            <w:r>
              <w:t xml:space="preserve"> (smernice EBA glede PNPO).</w:t>
            </w:r>
          </w:p>
          <w:p w14:paraId="51D5EDB6" w14:textId="77777777" w:rsidR="00CC7D2C" w:rsidRPr="002A677E" w:rsidRDefault="00CC7D2C" w:rsidP="00206A48">
            <w:pPr>
              <w:pStyle w:val="InstructionsText"/>
            </w:pPr>
            <w:r>
              <w:t>Ta postavka odraža količnik skupne kapitalske zahteve v okviru PNPO (</w:t>
            </w:r>
            <w:r>
              <w:rPr>
                <w:i/>
              </w:rPr>
              <w:t xml:space="preserve">total SREP </w:t>
            </w:r>
            <w:proofErr w:type="spellStart"/>
            <w:r>
              <w:rPr>
                <w:i/>
              </w:rPr>
              <w:t>capital</w:t>
            </w:r>
            <w:proofErr w:type="spellEnd"/>
            <w:r>
              <w:rPr>
                <w:i/>
              </w:rPr>
              <w:t xml:space="preserve"> </w:t>
            </w:r>
            <w:proofErr w:type="spellStart"/>
            <w:r>
              <w:rPr>
                <w:i/>
              </w:rPr>
              <w:t>requirement</w:t>
            </w:r>
            <w:proofErr w:type="spellEnd"/>
            <w:r>
              <w:t xml:space="preserve"> – TSCR), kot ga instituciji sporoči pristojni organ. TSCR je opredeljena v oddelkih 7.4 in 7.5 smernic EBA glede PNPO.</w:t>
            </w:r>
          </w:p>
          <w:p w14:paraId="170D440C" w14:textId="77777777" w:rsidR="00CC7D2C" w:rsidRDefault="00CC7D2C" w:rsidP="00206A48">
            <w:pPr>
              <w:pStyle w:val="InstructionsText"/>
            </w:pPr>
            <w:r>
              <w:t xml:space="preserve">Če pristojni organ ni sporočil nobenih dodatnih kapitalskih zahtev, se poroča samo točka (i). </w:t>
            </w:r>
          </w:p>
          <w:p w14:paraId="72F84D88" w14:textId="77777777" w:rsidR="00CC7D2C" w:rsidRDefault="00CC7D2C" w:rsidP="00206A48">
            <w:pPr>
              <w:pStyle w:val="InstructionsText"/>
            </w:pPr>
            <w:r>
              <w:t>Če za institucijo velja izstopni prag, poročani podatki predstavljajo TSCR, ki je potreben za izpolnitev zahtev na datum poročanja ob upoštevanju določb člena 104a(6) Direktive 2013/36/EU.</w:t>
            </w:r>
          </w:p>
          <w:p w14:paraId="3AC35E0E" w14:textId="77777777" w:rsidR="00CC7D2C" w:rsidRPr="002A677E" w:rsidRDefault="00CC7D2C" w:rsidP="00206A48">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206A48">
            <w:pPr>
              <w:pStyle w:val="InstructionsText"/>
            </w:pPr>
            <w:r>
              <w:t>0140</w:t>
            </w:r>
          </w:p>
        </w:tc>
        <w:tc>
          <w:tcPr>
            <w:tcW w:w="7620" w:type="dxa"/>
          </w:tcPr>
          <w:p w14:paraId="1F58B3DE" w14:textId="0082BCFE"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 xml:space="preserve">TSCR: ki mora biti sestavljena iz navadnega lastniškega temeljnega kapitala </w:t>
            </w:r>
          </w:p>
          <w:p w14:paraId="28F90F3C" w14:textId="77777777" w:rsidR="00CC7D2C" w:rsidRPr="002A677E" w:rsidRDefault="00CC7D2C" w:rsidP="00206A48">
            <w:pPr>
              <w:pStyle w:val="InstructionsText"/>
            </w:pPr>
            <w:r>
              <w:t>Vsota (i) in (ii), kot sledi:</w:t>
            </w:r>
          </w:p>
          <w:p w14:paraId="75CA447D" w14:textId="77777777" w:rsidR="00CC7D2C" w:rsidRPr="002A677E" w:rsidRDefault="00CC7D2C" w:rsidP="00206A48">
            <w:pPr>
              <w:pStyle w:val="InstructionsText"/>
              <w:numPr>
                <w:ilvl w:val="0"/>
                <w:numId w:val="20"/>
              </w:numPr>
            </w:pPr>
            <w:r>
              <w:t>količnika navadnega lastniškega temeljnega kapitala (4,5 %), kot je določen v členu 92(1), točka (a), Uredbe (EU) št. 575/2013;</w:t>
            </w:r>
          </w:p>
          <w:p w14:paraId="6BB26B7D" w14:textId="77777777" w:rsidR="00CC7D2C" w:rsidRPr="002A677E" w:rsidRDefault="00CC7D2C" w:rsidP="00206A48">
            <w:pPr>
              <w:pStyle w:val="InstructionsText"/>
              <w:numPr>
                <w:ilvl w:val="0"/>
                <w:numId w:val="20"/>
              </w:numPr>
              <w:rPr>
                <w:b/>
                <w:bCs/>
                <w:u w:val="single"/>
              </w:rPr>
            </w:pPr>
            <w:r>
              <w:t>deleža količnika zahtev v okviru drugega stebra (P2R) iz točke (ii) vrstice 0130, ki mora biti v skladu z zahtevo pristojnega organa v obliki navadnega lastniškega temeljnega kapitala.</w:t>
            </w:r>
          </w:p>
          <w:p w14:paraId="36D292D2" w14:textId="77777777" w:rsidR="00CC7D2C" w:rsidRDefault="00CC7D2C" w:rsidP="00206A48">
            <w:pPr>
              <w:pStyle w:val="InstructionsText"/>
              <w:rPr>
                <w:rStyle w:val="InstructionsTabelleberschrift"/>
                <w:rFonts w:ascii="Times New Roman" w:hAnsi="Times New Roman"/>
                <w:b w:val="0"/>
                <w:sz w:val="24"/>
              </w:rPr>
            </w:pPr>
            <w:r>
              <w:t>Če pristojni organ ni sporočil nobenih dodatnih kapitalskih zahtev, ki morajo biti v obliki navadnega lastniškega temeljnega kapitala, se poroča samo točka (i).</w:t>
            </w:r>
            <w:r>
              <w:rPr>
                <w:rStyle w:val="InstructionsTabelleberschrift"/>
                <w:rFonts w:ascii="Times New Roman" w:hAnsi="Times New Roman"/>
                <w:b w:val="0"/>
                <w:sz w:val="24"/>
              </w:rPr>
              <w:t xml:space="preserve"> </w:t>
            </w:r>
          </w:p>
          <w:p w14:paraId="4757583B" w14:textId="77777777" w:rsidR="00CC7D2C" w:rsidRPr="002A677E" w:rsidRDefault="00CC7D2C" w:rsidP="00206A48">
            <w:pPr>
              <w:pStyle w:val="InstructionsText"/>
              <w:rPr>
                <w:rStyle w:val="InstructionsTabelleberschrift"/>
                <w:rFonts w:ascii="Times New Roman" w:hAnsi="Times New Roman"/>
                <w:sz w:val="24"/>
              </w:rPr>
            </w:pPr>
            <w:r>
              <w:t>Če za institucijo velja izstopni prag, poročani podatki predstavljajo TSCR, ki je potreben za izpolnitev zahtev na datum poročanja ob upoštevanju določb člena 104a(6) Direktive 2013/36/EU.</w:t>
            </w:r>
          </w:p>
        </w:tc>
      </w:tr>
      <w:tr w:rsidR="00CC7D2C" w:rsidRPr="002A677E" w14:paraId="7C142038" w14:textId="77777777" w:rsidTr="00822842">
        <w:tc>
          <w:tcPr>
            <w:tcW w:w="1163" w:type="dxa"/>
          </w:tcPr>
          <w:p w14:paraId="53C1BD78" w14:textId="77777777" w:rsidR="00CC7D2C" w:rsidRPr="002A677E" w:rsidRDefault="00CC7D2C" w:rsidP="00206A48">
            <w:pPr>
              <w:pStyle w:val="InstructionsText"/>
            </w:pPr>
            <w:r>
              <w:t>0150</w:t>
            </w:r>
          </w:p>
        </w:tc>
        <w:tc>
          <w:tcPr>
            <w:tcW w:w="7620" w:type="dxa"/>
          </w:tcPr>
          <w:p w14:paraId="4A8E85C7" w14:textId="3298FBD2"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C850AF">
              <w:rPr>
                <w:rStyle w:val="InstructionsTabelleberschrift"/>
                <w:rFonts w:ascii="Times New Roman" w:hAnsi="Times New Roman"/>
                <w:sz w:val="24"/>
              </w:rPr>
              <w:t>.</w:t>
            </w:r>
            <w:r>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TSCR: ki mora biti sestavljena iz temeljnega kapitala</w:t>
            </w:r>
          </w:p>
          <w:p w14:paraId="58AEED52" w14:textId="77777777" w:rsidR="00CC7D2C" w:rsidRPr="002A677E" w:rsidRDefault="00CC7D2C" w:rsidP="00206A48">
            <w:pPr>
              <w:pStyle w:val="InstructionsText"/>
            </w:pPr>
            <w:r>
              <w:t>Vsota (i) in (ii), kot sledi:</w:t>
            </w:r>
          </w:p>
          <w:p w14:paraId="49D34E50" w14:textId="77777777" w:rsidR="00CC7D2C" w:rsidRPr="002A677E" w:rsidRDefault="00CC7D2C" w:rsidP="00206A48">
            <w:pPr>
              <w:pStyle w:val="InstructionsText"/>
              <w:numPr>
                <w:ilvl w:val="0"/>
                <w:numId w:val="21"/>
              </w:numPr>
            </w:pPr>
            <w:r>
              <w:lastRenderedPageBreak/>
              <w:t>količnika temeljnega kapitala (6 %), kot je določen v členu 92(1), točka (b), Uredbe (EU) št. 575/2013;</w:t>
            </w:r>
          </w:p>
          <w:p w14:paraId="4A701FA4" w14:textId="77777777" w:rsidR="00CC7D2C" w:rsidRPr="002A677E" w:rsidRDefault="00CC7D2C" w:rsidP="00206A48">
            <w:pPr>
              <w:pStyle w:val="InstructionsText"/>
              <w:numPr>
                <w:ilvl w:val="0"/>
                <w:numId w:val="21"/>
              </w:numPr>
              <w:rPr>
                <w:bCs/>
                <w:u w:val="single"/>
              </w:rPr>
            </w:pPr>
            <w:r>
              <w:t>deleža količnika zahtev v okviru drugega stebra (P2R) iz točke (ii) vrstice 0130, ki mora biti v skladu z zahtevo pristojnega organa v obliki temeljnega kapitala.</w:t>
            </w:r>
          </w:p>
          <w:p w14:paraId="4A7AA27B" w14:textId="77777777" w:rsidR="00CC7D2C" w:rsidRDefault="00CC7D2C" w:rsidP="00206A48">
            <w:pPr>
              <w:pStyle w:val="InstructionsText"/>
            </w:pPr>
            <w:r>
              <w:t>Če pristojni organ ni sporočil nobenih dodatnih kapitalskih zahtev, ki morajo biti v obliki temeljnega kapitala, se poroča samo točka (i).</w:t>
            </w:r>
          </w:p>
          <w:p w14:paraId="5DB82299" w14:textId="77777777" w:rsidR="00CC7D2C" w:rsidRPr="002A677E" w:rsidRDefault="00CC7D2C" w:rsidP="00206A48">
            <w:pPr>
              <w:pStyle w:val="InstructionsText"/>
              <w:rPr>
                <w:rStyle w:val="InstructionsTabelleberschrift"/>
                <w:rFonts w:ascii="Times New Roman" w:hAnsi="Times New Roman"/>
                <w:b w:val="0"/>
                <w:sz w:val="24"/>
              </w:rPr>
            </w:pPr>
            <w:r>
              <w:t>Če za institucijo velja izstopni prag, poročani podatki predstavljajo TSCR, ki je potreben za izpolnitev zahtev na datum poročanja ob upoštevanju določb člena 104a(6) Direktive 2013/36/EU.</w:t>
            </w:r>
          </w:p>
        </w:tc>
      </w:tr>
      <w:tr w:rsidR="00CC7D2C" w:rsidRPr="002A677E" w14:paraId="2826A7E5" w14:textId="77777777" w:rsidTr="00822842">
        <w:tc>
          <w:tcPr>
            <w:tcW w:w="1163" w:type="dxa"/>
          </w:tcPr>
          <w:p w14:paraId="2B24FFFA" w14:textId="77777777" w:rsidR="00CC7D2C" w:rsidRPr="002A677E" w:rsidRDefault="00CC7D2C" w:rsidP="00206A48">
            <w:pPr>
              <w:pStyle w:val="InstructionsText"/>
            </w:pPr>
            <w:r>
              <w:lastRenderedPageBreak/>
              <w:t>0151</w:t>
            </w:r>
          </w:p>
        </w:tc>
        <w:tc>
          <w:tcPr>
            <w:tcW w:w="7620" w:type="dxa"/>
          </w:tcPr>
          <w:p w14:paraId="457CE892" w14:textId="32016CD3"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13a</w:t>
            </w:r>
            <w:r w:rsidR="00C850AF">
              <w:rPr>
                <w:rStyle w:val="InstructionsTabelleberschrift"/>
                <w:rFonts w:ascii="Times New Roman" w:hAnsi="Times New Roman"/>
                <w:sz w:val="24"/>
              </w:rPr>
              <w:t>.</w:t>
            </w:r>
            <w:r>
              <w:rPr>
                <w:rStyle w:val="InstructionsTabelleberschrift"/>
                <w:rFonts w:ascii="Times New Roman" w:hAnsi="Times New Roman"/>
                <w:sz w:val="24"/>
              </w:rPr>
              <w:t xml:space="preserve">     Količnik skupne kapitalske zahteve v okviru PNPO (TSCR) brez zgornje meje iz člena 104a(6), točka (a), Direktive 2013/36/EU</w:t>
            </w:r>
          </w:p>
          <w:p w14:paraId="63F2FF34" w14:textId="7D1FAC05" w:rsidR="00CC7D2C" w:rsidRDefault="00CC7D2C" w:rsidP="00206A48">
            <w:pPr>
              <w:pStyle w:val="InstructionsText"/>
            </w:pPr>
            <w:r>
              <w:t>Člen 104a(6), točka (a), Direktive 2013/36/EU.</w:t>
            </w:r>
          </w:p>
          <w:p w14:paraId="7C3569BE" w14:textId="77777777" w:rsidR="00CC7D2C" w:rsidRPr="002A677E" w:rsidRDefault="00CC7D2C" w:rsidP="00206A48">
            <w:pPr>
              <w:pStyle w:val="InstructionsText"/>
              <w:rPr>
                <w:rStyle w:val="InstructionsTabelleberschrift"/>
                <w:rFonts w:ascii="Times New Roman" w:hAnsi="Times New Roman"/>
                <w:sz w:val="24"/>
              </w:rPr>
            </w:pPr>
            <w:r>
              <w:t>Za institucije, za katere velja izstopni prag, količnik TSCR brez začasne zgornje meje iz člena 104a(6), točka (b), Direktive 2013/36/EU.</w:t>
            </w:r>
          </w:p>
        </w:tc>
      </w:tr>
      <w:tr w:rsidR="00CC7D2C" w:rsidRPr="002A677E" w14:paraId="02CF936B" w14:textId="77777777" w:rsidTr="00822842">
        <w:tc>
          <w:tcPr>
            <w:tcW w:w="1163" w:type="dxa"/>
          </w:tcPr>
          <w:p w14:paraId="6E03B80E" w14:textId="77777777" w:rsidR="00CC7D2C" w:rsidRPr="002A677E" w:rsidRDefault="00CC7D2C" w:rsidP="00206A48">
            <w:pPr>
              <w:pStyle w:val="InstructionsText"/>
            </w:pPr>
            <w:r>
              <w:t>0152</w:t>
            </w:r>
          </w:p>
        </w:tc>
        <w:tc>
          <w:tcPr>
            <w:tcW w:w="7620" w:type="dxa"/>
          </w:tcPr>
          <w:p w14:paraId="1FB8F650" w14:textId="7BB8AF35"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13a</w:t>
            </w:r>
            <w:r w:rsidR="00C850AF">
              <w:rPr>
                <w:rStyle w:val="InstructionsTabelleberschrift"/>
                <w:rFonts w:ascii="Times New Roman" w:hAnsi="Times New Roman"/>
                <w:sz w:val="24"/>
              </w:rPr>
              <w:t>.</w:t>
            </w:r>
            <w:r>
              <w:rPr>
                <w:rStyle w:val="InstructionsTabelleberschrift"/>
                <w:rFonts w:ascii="Times New Roman" w:hAnsi="Times New Roman"/>
                <w:sz w:val="24"/>
              </w:rPr>
              <w:t>*    TSCR: ki mora biti sestavljena iz navadnega lastniškega temeljnega kapitala</w:t>
            </w:r>
          </w:p>
          <w:p w14:paraId="15CE0D0B" w14:textId="43173606" w:rsidR="00CC7D2C" w:rsidRDefault="00CC7D2C" w:rsidP="00206A48">
            <w:pPr>
              <w:pStyle w:val="InstructionsText"/>
            </w:pPr>
            <w:r>
              <w:t>Člen 104a(6), točka (a), Direktive 2013/36/EU.</w:t>
            </w:r>
          </w:p>
          <w:p w14:paraId="1CD71865" w14:textId="77777777" w:rsidR="00CC7D2C" w:rsidRPr="002A677E" w:rsidRDefault="00CC7D2C" w:rsidP="00206A48">
            <w:pPr>
              <w:pStyle w:val="InstructionsText"/>
              <w:rPr>
                <w:rStyle w:val="InstructionsTabelleberschrift"/>
                <w:rFonts w:ascii="Times New Roman" w:hAnsi="Times New Roman"/>
                <w:sz w:val="24"/>
              </w:rPr>
            </w:pPr>
            <w:r>
              <w:t>Za institucije, za katere velja izstopni prag, količnik TSCR brez začasne zgornje meje iz člena 104a(6), točka (b), Direktive 2013/36/EU.</w:t>
            </w:r>
          </w:p>
        </w:tc>
      </w:tr>
      <w:tr w:rsidR="00CC7D2C" w:rsidRPr="002A677E" w14:paraId="52229381" w14:textId="77777777" w:rsidTr="00822842">
        <w:tc>
          <w:tcPr>
            <w:tcW w:w="1163" w:type="dxa"/>
          </w:tcPr>
          <w:p w14:paraId="7057103D" w14:textId="77777777" w:rsidR="00CC7D2C" w:rsidRPr="002A677E" w:rsidRDefault="00CC7D2C" w:rsidP="00206A48">
            <w:pPr>
              <w:pStyle w:val="InstructionsText"/>
            </w:pPr>
            <w:r>
              <w:t>0153</w:t>
            </w:r>
          </w:p>
        </w:tc>
        <w:tc>
          <w:tcPr>
            <w:tcW w:w="7620" w:type="dxa"/>
          </w:tcPr>
          <w:p w14:paraId="5716DFFC" w14:textId="7726708F"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13a</w:t>
            </w:r>
            <w:r w:rsidR="00C850AF">
              <w:rPr>
                <w:rStyle w:val="InstructionsTabelleberschrift"/>
                <w:rFonts w:ascii="Times New Roman" w:hAnsi="Times New Roman"/>
                <w:sz w:val="24"/>
              </w:rPr>
              <w:t>.</w:t>
            </w:r>
            <w:r>
              <w:rPr>
                <w:rStyle w:val="InstructionsTabelleberschrift"/>
                <w:rFonts w:ascii="Times New Roman" w:hAnsi="Times New Roman"/>
                <w:sz w:val="24"/>
              </w:rPr>
              <w:t>**  TSCR: ki mora biti sestavljena iz temeljnega kapitala</w:t>
            </w:r>
          </w:p>
          <w:p w14:paraId="244808EF" w14:textId="6711A984" w:rsidR="00CC7D2C" w:rsidRDefault="00CC7D2C" w:rsidP="00206A48">
            <w:pPr>
              <w:pStyle w:val="InstructionsText"/>
            </w:pPr>
            <w:r>
              <w:t>Člen 104a(6), točka (a), Direktive 2013/36/EU.</w:t>
            </w:r>
          </w:p>
          <w:p w14:paraId="7A8B6EB2" w14:textId="77777777" w:rsidR="00CC7D2C" w:rsidRPr="002A677E" w:rsidRDefault="00CC7D2C" w:rsidP="00206A48">
            <w:pPr>
              <w:pStyle w:val="InstructionsText"/>
              <w:rPr>
                <w:rStyle w:val="InstructionsTabelleberschrift"/>
                <w:rFonts w:ascii="Times New Roman" w:hAnsi="Times New Roman"/>
                <w:sz w:val="24"/>
              </w:rPr>
            </w:pPr>
            <w:r>
              <w:t>Za institucije, za katere velja izstopni prag, količnik TSCR brez začasne zgornje meje iz člena 104a(6), točka (b), Direktive 2013/36/EU.</w:t>
            </w:r>
          </w:p>
        </w:tc>
      </w:tr>
      <w:tr w:rsidR="00CC7D2C" w:rsidRPr="002A677E" w14:paraId="6ACB8E92" w14:textId="77777777" w:rsidTr="00822842">
        <w:tc>
          <w:tcPr>
            <w:tcW w:w="1163" w:type="dxa"/>
          </w:tcPr>
          <w:p w14:paraId="1381AAFC" w14:textId="77777777" w:rsidR="00CC7D2C" w:rsidRPr="002A677E" w:rsidRDefault="00CC7D2C" w:rsidP="00206A48">
            <w:pPr>
              <w:pStyle w:val="InstructionsText"/>
            </w:pPr>
            <w:r>
              <w:t>0160</w:t>
            </w:r>
          </w:p>
        </w:tc>
        <w:tc>
          <w:tcPr>
            <w:tcW w:w="7620" w:type="dxa"/>
          </w:tcPr>
          <w:p w14:paraId="70894755"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C850AF">
              <w:rPr>
                <w:u w:val="single"/>
              </w:rPr>
              <w:tab/>
            </w:r>
            <w:r>
              <w:rPr>
                <w:rStyle w:val="InstructionsTabelleberschrift"/>
                <w:rFonts w:ascii="Times New Roman" w:hAnsi="Times New Roman"/>
                <w:sz w:val="24"/>
              </w:rPr>
              <w:t>Količnik skupne kapitalske zahteve (OCR)</w:t>
            </w:r>
          </w:p>
          <w:p w14:paraId="5D827426" w14:textId="77777777" w:rsidR="00CC7D2C" w:rsidRPr="002A677E" w:rsidRDefault="00CC7D2C" w:rsidP="00206A48">
            <w:pPr>
              <w:pStyle w:val="InstructionsText"/>
            </w:pPr>
            <w:r>
              <w:t>Vsota (i) in (ii), kot sledi:</w:t>
            </w:r>
          </w:p>
          <w:p w14:paraId="70AEC1C6" w14:textId="77777777" w:rsidR="00CC7D2C" w:rsidRPr="002A677E" w:rsidRDefault="00CC7D2C" w:rsidP="00206A48">
            <w:pPr>
              <w:pStyle w:val="InstructionsText"/>
              <w:numPr>
                <w:ilvl w:val="0"/>
                <w:numId w:val="22"/>
              </w:numPr>
            </w:pPr>
            <w:r>
              <w:t>količnika TSCR iz vrstice 0130;</w:t>
            </w:r>
          </w:p>
          <w:p w14:paraId="7B4CBF50" w14:textId="77777777" w:rsidR="00CC7D2C" w:rsidRPr="002A677E" w:rsidRDefault="00CC7D2C" w:rsidP="00206A48">
            <w:pPr>
              <w:pStyle w:val="InstructionsText"/>
              <w:numPr>
                <w:ilvl w:val="0"/>
                <w:numId w:val="22"/>
              </w:numPr>
            </w:pPr>
            <w:r>
              <w:t>v obsegu, v katerem se uporablja v skladu z zakonodajo, količnika zahteve po skupnem blažilniku iz člena 128, točka 6, Direktive 2013/36/EU.</w:t>
            </w:r>
          </w:p>
          <w:p w14:paraId="4A545FF7" w14:textId="77777777" w:rsidR="00CC7D2C" w:rsidRPr="002A677E" w:rsidRDefault="00CC7D2C" w:rsidP="00206A48">
            <w:pPr>
              <w:pStyle w:val="InstructionsText"/>
            </w:pPr>
            <w:r>
              <w:t>Ta postavka odraža količnik skupne kapitalske zahteve (</w:t>
            </w:r>
            <w:proofErr w:type="spellStart"/>
            <w:r>
              <w:rPr>
                <w:i/>
              </w:rPr>
              <w:t>overall</w:t>
            </w:r>
            <w:proofErr w:type="spellEnd"/>
            <w:r>
              <w:rPr>
                <w:i/>
              </w:rPr>
              <w:t xml:space="preserve"> </w:t>
            </w:r>
            <w:proofErr w:type="spellStart"/>
            <w:r>
              <w:rPr>
                <w:i/>
              </w:rPr>
              <w:t>capital</w:t>
            </w:r>
            <w:proofErr w:type="spellEnd"/>
            <w:r>
              <w:rPr>
                <w:i/>
              </w:rPr>
              <w:t xml:space="preserve"> </w:t>
            </w:r>
            <w:proofErr w:type="spellStart"/>
            <w:r>
              <w:rPr>
                <w:i/>
              </w:rPr>
              <w:t>requirement</w:t>
            </w:r>
            <w:proofErr w:type="spellEnd"/>
            <w:r>
              <w:t> – OCR), kot je opredeljen v oddelku 7.5 smernic EBA glede PNPO.</w:t>
            </w:r>
          </w:p>
          <w:p w14:paraId="21F262F8" w14:textId="77777777" w:rsidR="00CC7D2C" w:rsidRPr="002A677E" w:rsidRDefault="00CC7D2C" w:rsidP="00206A48">
            <w:pPr>
              <w:pStyle w:val="InstructionsText"/>
              <w:rPr>
                <w:rStyle w:val="InstructionsTabelleberschrift"/>
                <w:rFonts w:ascii="Times New Roman" w:hAnsi="Times New Roman"/>
                <w:sz w:val="24"/>
              </w:rPr>
            </w:pPr>
            <w:r>
              <w:t>Če se zahteva po blažilniku ne uporablja, se poroča samo točka (i).</w:t>
            </w:r>
          </w:p>
        </w:tc>
      </w:tr>
      <w:tr w:rsidR="00CC7D2C" w:rsidRPr="002A677E" w14:paraId="5DBF6C6C" w14:textId="77777777" w:rsidTr="00822842">
        <w:tc>
          <w:tcPr>
            <w:tcW w:w="1163" w:type="dxa"/>
          </w:tcPr>
          <w:p w14:paraId="1E296603" w14:textId="77777777" w:rsidR="00CC7D2C" w:rsidRPr="002A677E" w:rsidRDefault="00CC7D2C" w:rsidP="00206A48">
            <w:pPr>
              <w:pStyle w:val="InstructionsText"/>
            </w:pPr>
            <w:r>
              <w:t>0170</w:t>
            </w:r>
          </w:p>
        </w:tc>
        <w:tc>
          <w:tcPr>
            <w:tcW w:w="7620" w:type="dxa"/>
          </w:tcPr>
          <w:p w14:paraId="353B3504" w14:textId="18B9208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 xml:space="preserve">OCR: ki mora biti sestavljena iz navadnega lastniškega temeljnega kapitala </w:t>
            </w:r>
          </w:p>
          <w:p w14:paraId="3B6DAF93" w14:textId="77777777" w:rsidR="00CC7D2C" w:rsidRPr="002A677E" w:rsidRDefault="00CC7D2C" w:rsidP="00206A48">
            <w:pPr>
              <w:pStyle w:val="InstructionsText"/>
            </w:pPr>
            <w:r>
              <w:t>Vsota (i) in (ii), kot sledi:</w:t>
            </w:r>
          </w:p>
          <w:p w14:paraId="79F55B10" w14:textId="77777777" w:rsidR="00CC7D2C" w:rsidRPr="002A677E" w:rsidRDefault="00CC7D2C" w:rsidP="00206A48">
            <w:pPr>
              <w:pStyle w:val="InstructionsText"/>
              <w:numPr>
                <w:ilvl w:val="0"/>
                <w:numId w:val="23"/>
              </w:numPr>
            </w:pPr>
            <w:r>
              <w:t>količnika TSCR, ki mora biti sestavljen iz navadnega lastniškega temeljnega kapitala, iz vrstice 0140;</w:t>
            </w:r>
          </w:p>
          <w:p w14:paraId="54B36BA6" w14:textId="77777777" w:rsidR="00CC7D2C" w:rsidRPr="002A677E" w:rsidRDefault="00CC7D2C" w:rsidP="00206A48">
            <w:pPr>
              <w:pStyle w:val="InstructionsText"/>
              <w:numPr>
                <w:ilvl w:val="0"/>
                <w:numId w:val="23"/>
              </w:numPr>
              <w:rPr>
                <w:bCs/>
                <w:u w:val="single"/>
              </w:rPr>
            </w:pPr>
            <w:r>
              <w:lastRenderedPageBreak/>
              <w:t>v obsegu, v katerem se uporablja v skladu z zakonodajo, količnika zahteve po skupnem blažilniku iz člena 128, točka 6, Direktive 2013/36/EU.</w:t>
            </w:r>
          </w:p>
          <w:p w14:paraId="02359C72" w14:textId="77777777" w:rsidR="00CC7D2C" w:rsidRPr="002A677E" w:rsidRDefault="00CC7D2C" w:rsidP="00206A48">
            <w:pPr>
              <w:pStyle w:val="InstructionsText"/>
              <w:rPr>
                <w:rStyle w:val="InstructionsTabelleberschrift"/>
                <w:rFonts w:ascii="Times New Roman" w:hAnsi="Times New Roman"/>
                <w:b w:val="0"/>
                <w:sz w:val="24"/>
              </w:rPr>
            </w:pPr>
            <w:r>
              <w:t>Če se zahteva po blažilniku ne uporablja, se poroča samo točka (i).</w:t>
            </w:r>
          </w:p>
        </w:tc>
      </w:tr>
      <w:tr w:rsidR="00CC7D2C" w:rsidRPr="002A677E" w14:paraId="466E0813" w14:textId="77777777" w:rsidTr="00822842">
        <w:tc>
          <w:tcPr>
            <w:tcW w:w="1163" w:type="dxa"/>
          </w:tcPr>
          <w:p w14:paraId="13AF4F1F" w14:textId="77777777" w:rsidR="00CC7D2C" w:rsidRPr="002A677E" w:rsidRDefault="00CC7D2C" w:rsidP="00206A48">
            <w:pPr>
              <w:pStyle w:val="InstructionsText"/>
            </w:pPr>
            <w:r>
              <w:lastRenderedPageBreak/>
              <w:t>0180</w:t>
            </w:r>
          </w:p>
        </w:tc>
        <w:tc>
          <w:tcPr>
            <w:tcW w:w="7620" w:type="dxa"/>
          </w:tcPr>
          <w:p w14:paraId="477B013F" w14:textId="11228BC8"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C850AF">
              <w:rPr>
                <w:rStyle w:val="InstructionsTabelleberschrift"/>
                <w:rFonts w:ascii="Times New Roman" w:hAnsi="Times New Roman"/>
                <w:sz w:val="24"/>
              </w:rPr>
              <w:t>.</w:t>
            </w:r>
            <w:r>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OCR: ki mora biti sestavljena iz temeljnega kapitala</w:t>
            </w:r>
          </w:p>
          <w:p w14:paraId="54EBB570" w14:textId="77777777" w:rsidR="00CC7D2C" w:rsidRPr="002A677E" w:rsidRDefault="00CC7D2C" w:rsidP="00206A48">
            <w:pPr>
              <w:pStyle w:val="InstructionsText"/>
            </w:pPr>
            <w:r>
              <w:t>Vsota (i) in (ii), kot sledi:</w:t>
            </w:r>
          </w:p>
          <w:p w14:paraId="719C6493" w14:textId="77777777" w:rsidR="00CC7D2C" w:rsidRPr="002A677E" w:rsidRDefault="00CC7D2C" w:rsidP="00206A48">
            <w:pPr>
              <w:pStyle w:val="InstructionsText"/>
              <w:numPr>
                <w:ilvl w:val="0"/>
                <w:numId w:val="24"/>
              </w:numPr>
            </w:pPr>
            <w:r>
              <w:t>količnika TSCR, ki mora biti sestavljen iz temeljnega kapitala, iz vrstice 0150;</w:t>
            </w:r>
          </w:p>
          <w:p w14:paraId="17CB41E8" w14:textId="77777777" w:rsidR="00CC7D2C" w:rsidRPr="002A677E" w:rsidRDefault="00CC7D2C" w:rsidP="00206A48">
            <w:pPr>
              <w:pStyle w:val="InstructionsText"/>
              <w:numPr>
                <w:ilvl w:val="0"/>
                <w:numId w:val="24"/>
              </w:numPr>
              <w:rPr>
                <w:bCs/>
                <w:u w:val="single"/>
              </w:rPr>
            </w:pPr>
            <w:r>
              <w:t>v obsegu, v katerem se uporablja v skladu z zakonodajo, količnika zahteve po skupnem blažilniku iz člena 128, točka 6, Direktive 2013/36/EU.</w:t>
            </w:r>
          </w:p>
          <w:p w14:paraId="6BAC2756" w14:textId="77777777" w:rsidR="00CC7D2C" w:rsidRPr="002A677E" w:rsidRDefault="00CC7D2C" w:rsidP="00206A48">
            <w:pPr>
              <w:pStyle w:val="InstructionsText"/>
              <w:rPr>
                <w:rStyle w:val="InstructionsTabelleberschrift"/>
                <w:rFonts w:ascii="Times New Roman" w:hAnsi="Times New Roman"/>
                <w:b w:val="0"/>
                <w:sz w:val="24"/>
              </w:rPr>
            </w:pPr>
            <w:r>
              <w:t>Če se zahteva po blažilniku ne uporablja, se poroča samo točka (i).</w:t>
            </w:r>
          </w:p>
        </w:tc>
      </w:tr>
      <w:tr w:rsidR="00CC7D2C" w:rsidRPr="002A677E" w14:paraId="1C64807A" w14:textId="77777777" w:rsidTr="00822842">
        <w:tc>
          <w:tcPr>
            <w:tcW w:w="1163" w:type="dxa"/>
          </w:tcPr>
          <w:p w14:paraId="0638A83B" w14:textId="77777777" w:rsidR="00CC7D2C" w:rsidRPr="002A677E" w:rsidRDefault="00CC7D2C" w:rsidP="00206A48">
            <w:pPr>
              <w:pStyle w:val="InstructionsText"/>
            </w:pPr>
            <w:r>
              <w:t>0190</w:t>
            </w:r>
          </w:p>
        </w:tc>
        <w:tc>
          <w:tcPr>
            <w:tcW w:w="7620" w:type="dxa"/>
          </w:tcPr>
          <w:p w14:paraId="469AA56B"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C850AF">
              <w:rPr>
                <w:u w:val="single"/>
              </w:rPr>
              <w:tab/>
            </w:r>
            <w:r>
              <w:rPr>
                <w:rStyle w:val="InstructionsTabelleberschrift"/>
                <w:rFonts w:ascii="Times New Roman" w:hAnsi="Times New Roman"/>
                <w:sz w:val="24"/>
              </w:rPr>
              <w:t>Količnik skupne kapitalske zahteve (OCR) in smernice glede kapitala v okviru drugega stebra (P2G)</w:t>
            </w:r>
          </w:p>
          <w:p w14:paraId="35C8C660" w14:textId="77777777" w:rsidR="00CC7D2C" w:rsidRPr="002A677E" w:rsidRDefault="00CC7D2C" w:rsidP="00206A48">
            <w:pPr>
              <w:pStyle w:val="InstructionsText"/>
            </w:pPr>
            <w:r>
              <w:t>Vsota (i) in (ii), kot sledi:</w:t>
            </w:r>
          </w:p>
          <w:p w14:paraId="726F15CE" w14:textId="77777777" w:rsidR="00CC7D2C" w:rsidRPr="002A677E" w:rsidRDefault="00CC7D2C" w:rsidP="00206A48">
            <w:pPr>
              <w:pStyle w:val="InstructionsText"/>
              <w:numPr>
                <w:ilvl w:val="0"/>
                <w:numId w:val="25"/>
              </w:numPr>
            </w:pPr>
            <w:r>
              <w:t>količnika OCR iz vrstice 160;</w:t>
            </w:r>
          </w:p>
          <w:p w14:paraId="2AA4843C" w14:textId="77777777" w:rsidR="00CC7D2C" w:rsidRPr="002A677E" w:rsidRDefault="00CC7D2C" w:rsidP="00206A48">
            <w:pPr>
              <w:pStyle w:val="InstructionsText"/>
              <w:numPr>
                <w:ilvl w:val="0"/>
                <w:numId w:val="25"/>
              </w:numPr>
              <w:rPr>
                <w:bCs/>
                <w:u w:val="single"/>
              </w:rPr>
            </w:pPr>
            <w:r>
              <w:t>če se uporablja, smernice glede dodatnega kapitala, ki jo sporoči pristojni organ (smernica glede kapitala v okviru drugega stebra – P2G), iz člena 104b(3) Direktive 2013/36/EU v obliki količnika. Smernica se določi v skladu z oddelkom 7.7.1 smernic EBA glede PNPO. P2G se vključi samo, če jo je pristojni organ sporočil instituciji.</w:t>
            </w:r>
          </w:p>
          <w:p w14:paraId="0471CA24" w14:textId="77777777" w:rsidR="00CC7D2C" w:rsidRPr="002A677E" w:rsidRDefault="00CC7D2C" w:rsidP="00206A48">
            <w:pPr>
              <w:pStyle w:val="InstructionsText"/>
              <w:rPr>
                <w:rStyle w:val="InstructionsTabelleberschrift"/>
                <w:rFonts w:ascii="Times New Roman" w:hAnsi="Times New Roman"/>
                <w:b w:val="0"/>
                <w:sz w:val="24"/>
              </w:rPr>
            </w:pPr>
            <w:r>
              <w:t xml:space="preserve">Če pristojni organ ni sporočil nobene smernice glede kapitala v okviru drugega stebra (P2G), se poroča samo točka (i). </w:t>
            </w:r>
          </w:p>
        </w:tc>
      </w:tr>
      <w:tr w:rsidR="00CC7D2C" w:rsidRPr="002A677E" w14:paraId="5ED669FA" w14:textId="77777777" w:rsidTr="00822842">
        <w:tc>
          <w:tcPr>
            <w:tcW w:w="1163" w:type="dxa"/>
          </w:tcPr>
          <w:p w14:paraId="56A1810A" w14:textId="77777777" w:rsidR="00CC7D2C" w:rsidRPr="002A677E" w:rsidRDefault="00CC7D2C" w:rsidP="00206A48">
            <w:pPr>
              <w:pStyle w:val="InstructionsText"/>
            </w:pPr>
            <w:r>
              <w:t>0200</w:t>
            </w:r>
          </w:p>
        </w:tc>
        <w:tc>
          <w:tcPr>
            <w:tcW w:w="7620" w:type="dxa"/>
          </w:tcPr>
          <w:p w14:paraId="0CE049BB" w14:textId="755920D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 xml:space="preserve">OCR in P2G: ki morata biti sestavljeni iz navadnega lastniškega temeljnega kapitala </w:t>
            </w:r>
          </w:p>
          <w:p w14:paraId="13795065" w14:textId="77777777" w:rsidR="00CC7D2C" w:rsidRPr="002A677E" w:rsidRDefault="00CC7D2C" w:rsidP="00206A48">
            <w:pPr>
              <w:pStyle w:val="InstructionsText"/>
            </w:pPr>
            <w:r>
              <w:t>Vsota (i) in (ii), kot sledi:</w:t>
            </w:r>
          </w:p>
          <w:p w14:paraId="300DF4C8" w14:textId="77777777" w:rsidR="00CC7D2C" w:rsidRPr="002A677E" w:rsidRDefault="00CC7D2C" w:rsidP="00206A48">
            <w:pPr>
              <w:pStyle w:val="InstructionsText"/>
              <w:numPr>
                <w:ilvl w:val="0"/>
                <w:numId w:val="26"/>
              </w:numPr>
            </w:pPr>
            <w:r>
              <w:t>količnika OCR, ki mora biti sestavljen iz navadnega lastniškega temeljnega kapitala, iz vrstice 0170;</w:t>
            </w:r>
          </w:p>
          <w:p w14:paraId="22745814" w14:textId="77777777" w:rsidR="00CC7D2C" w:rsidRPr="002A677E" w:rsidRDefault="00CC7D2C" w:rsidP="00206A48">
            <w:pPr>
              <w:pStyle w:val="InstructionsText"/>
              <w:numPr>
                <w:ilvl w:val="0"/>
                <w:numId w:val="26"/>
              </w:numPr>
              <w:rPr>
                <w:bCs/>
                <w:u w:val="single"/>
              </w:rPr>
            </w:pPr>
            <w:r>
              <w:t>če se uporablja, deleža smernice glede kapitala v okviru drugega stebra (P2G) iz točke (ii) vrstice 0190, ki mora biti v skladu z zahtevo pristojnega organa v obliki navadnega lastniškega temeljnega kapitala. Smernica glede kapitala v okviru drugega stebra (P2G) se vključi samo, če jo je pristojni organ sporočil instituciji.</w:t>
            </w:r>
          </w:p>
          <w:p w14:paraId="6463AC50" w14:textId="77777777" w:rsidR="00CC7D2C" w:rsidRPr="002A677E" w:rsidRDefault="00CC7D2C" w:rsidP="00206A48">
            <w:pPr>
              <w:pStyle w:val="InstructionsText"/>
              <w:rPr>
                <w:rStyle w:val="InstructionsTabelleberschrift"/>
                <w:rFonts w:ascii="Times New Roman" w:hAnsi="Times New Roman"/>
                <w:b w:val="0"/>
                <w:sz w:val="24"/>
              </w:rPr>
            </w:pPr>
            <w:r>
              <w:t>Če pristojni organ ni sporočil nobene smernice glede kapitala v okviru drugega stebra (P2G), se poroča samo točka (i).</w:t>
            </w:r>
          </w:p>
        </w:tc>
      </w:tr>
      <w:tr w:rsidR="00CC7D2C" w:rsidRPr="002A677E" w14:paraId="06764FAD" w14:textId="77777777" w:rsidTr="00822842">
        <w:tc>
          <w:tcPr>
            <w:tcW w:w="1163" w:type="dxa"/>
          </w:tcPr>
          <w:p w14:paraId="62AC91C1" w14:textId="77777777" w:rsidR="00CC7D2C" w:rsidRPr="002A677E" w:rsidRDefault="00CC7D2C" w:rsidP="00206A48">
            <w:pPr>
              <w:pStyle w:val="InstructionsText"/>
            </w:pPr>
            <w:r>
              <w:t>0210</w:t>
            </w:r>
          </w:p>
        </w:tc>
        <w:tc>
          <w:tcPr>
            <w:tcW w:w="7620" w:type="dxa"/>
          </w:tcPr>
          <w:p w14:paraId="11609593" w14:textId="774EBAB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C850AF">
              <w:rPr>
                <w:rStyle w:val="InstructionsTabelleberschrift"/>
                <w:rFonts w:ascii="Times New Roman" w:hAnsi="Times New Roman"/>
                <w:sz w:val="24"/>
              </w:rPr>
              <w:t>.</w:t>
            </w:r>
            <w:r>
              <w:rPr>
                <w:rStyle w:val="InstructionsTabelleberschrift"/>
                <w:rFonts w:ascii="Times New Roman" w:hAnsi="Times New Roman"/>
                <w:sz w:val="24"/>
              </w:rPr>
              <w:t>*</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 xml:space="preserve">OCR in P2G: ki morata biti sestavljeni iz temeljnega kapitala </w:t>
            </w:r>
          </w:p>
          <w:p w14:paraId="4156D090" w14:textId="77777777" w:rsidR="00CC7D2C" w:rsidRPr="002A677E" w:rsidRDefault="00CC7D2C" w:rsidP="00206A48">
            <w:pPr>
              <w:pStyle w:val="InstructionsText"/>
            </w:pPr>
            <w:r>
              <w:t>Vsota (i) in (ii), kot sledi:</w:t>
            </w:r>
          </w:p>
          <w:p w14:paraId="3A8C0BF0" w14:textId="77777777" w:rsidR="00CC7D2C" w:rsidRPr="002A677E" w:rsidRDefault="00CC7D2C" w:rsidP="00206A48">
            <w:pPr>
              <w:pStyle w:val="InstructionsText"/>
              <w:numPr>
                <w:ilvl w:val="0"/>
                <w:numId w:val="27"/>
              </w:numPr>
            </w:pPr>
            <w:r>
              <w:t>količnika OCR, ki mora biti sestavljen iz temeljnega kapitala, iz vrstice 0180;</w:t>
            </w:r>
          </w:p>
          <w:p w14:paraId="29B2D80C" w14:textId="77777777" w:rsidR="00CC7D2C" w:rsidRPr="002A677E" w:rsidRDefault="00CC7D2C" w:rsidP="00206A48">
            <w:pPr>
              <w:pStyle w:val="InstructionsText"/>
              <w:numPr>
                <w:ilvl w:val="0"/>
                <w:numId w:val="27"/>
              </w:numPr>
            </w:pPr>
            <w:r>
              <w:lastRenderedPageBreak/>
              <w:t>če se uporablja, deleža smernice glede kapitala v okviru drugega stebra (P2G) iz točke (ii) vrstice 0190, ki mora biti v skladu z zahtevo pristojnega organa v obliki temeljnega kapitala. Smernica glede kapitala v okviru drugega stebra (P2G) se vključi samo, če jo je pristojni organ sporočil instituciji.</w:t>
            </w:r>
          </w:p>
          <w:p w14:paraId="4D170060"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Če pristojni organ ni sporočil nobene smernice glede kapitala v okviru drugega stebra (P2G), se poroča samo točka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206A48">
            <w:pPr>
              <w:pStyle w:val="InstructionsText"/>
            </w:pPr>
            <w:r>
              <w:lastRenderedPageBreak/>
              <w:t>0220</w:t>
            </w:r>
          </w:p>
        </w:tc>
        <w:tc>
          <w:tcPr>
            <w:tcW w:w="7620" w:type="dxa"/>
          </w:tcPr>
          <w:p w14:paraId="0E9CF9E6"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(+)/primanjkljaj (–) navadnega lastniškega temeljnega kapitala glede na zahteve iz člena 92 Uredbe (EU) št. 575/2013 in člena 104a Direktive 2013/36/EU</w:t>
            </w:r>
          </w:p>
          <w:p w14:paraId="372BA67A" w14:textId="77777777" w:rsidR="00CC7D2C" w:rsidRPr="002A677E" w:rsidRDefault="00CC7D2C" w:rsidP="00206A48">
            <w:pPr>
              <w:pStyle w:val="InstructionsText"/>
            </w:pPr>
            <w:r>
              <w:t>V tej postavki je v absolutnih vrednostih prikazan znesek presežka ali primanjkljaja navadnega lastniškega temeljnega kapitala glede na zahteve iz člena 92(1), točka (a), Uredbe (EU) št. 575/2013 (4,5 %) in člena 104a Direktive 2013/36/EU – brez dodatnega kapitala, ki se zahteva za obravnavanje tveganja prevelikega finančnega vzvoda v skladu z odstavkom 3 navedenega člena –, v obsegu, v katerem mora biti zahteva iz člena 104a navedene direktive izpolnjena z navadnim lastniškim temeljnim kapitalom. Kadar mora institucija uporabiti navadni lastniški temeljni kapital za izpolnitev zahtev iz člena 92(1), točka (b) in/ali (c), Uredbe (EU) št. 575/2013 ter/ali člena 104a Direktive 2013/36/EU v obsegu, ki presega tistega, v katerem mora biti slednja izpolnjena z navadnim lastniškim temeljnim kapitalom, se to upošteva pri sporočenem presežku ali primanjkljaju.</w:t>
            </w:r>
          </w:p>
          <w:p w14:paraId="209E5975" w14:textId="77777777" w:rsidR="00CC7D2C" w:rsidRPr="002A677E" w:rsidRDefault="00CC7D2C" w:rsidP="00206A48">
            <w:pPr>
              <w:pStyle w:val="InstructionsText"/>
              <w:rPr>
                <w:rStyle w:val="InstructionsTabelleberschrift"/>
                <w:rFonts w:ascii="Times New Roman" w:hAnsi="Times New Roman"/>
                <w:sz w:val="24"/>
              </w:rPr>
            </w:pPr>
            <w:r>
              <w:t>Ta znesek odraža navadni lastniški temeljni kapital, ki je na voljo za izpolnitev zahteve po skupnem blažilniku in drugih zahtev.</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Količnik navadnega lastniškega temeljnega kapitala ob polnem upoštevanju predpisov </w:t>
            </w:r>
          </w:p>
          <w:p w14:paraId="2949E777" w14:textId="77777777" w:rsidR="00CC7D2C" w:rsidRPr="009A3DD3" w:rsidRDefault="00CC7D2C" w:rsidP="00822842">
            <w:pPr>
              <w:rPr>
                <w:rFonts w:ascii="Times New Roman" w:hAnsi="Times New Roman"/>
                <w:sz w:val="24"/>
              </w:rPr>
            </w:pPr>
            <w:r>
              <w:rPr>
                <w:rFonts w:ascii="Times New Roman" w:hAnsi="Times New Roman"/>
                <w:sz w:val="24"/>
              </w:rPr>
              <w:t>Člen 92(2), točka (a), Uredbe (EU) št. 575/2013 brez uporabe člena 465 navedene uredbe.</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Količnik temeljnega kapitala ob polnem upoštevanju predpisov </w:t>
            </w:r>
          </w:p>
          <w:p w14:paraId="39EB4D1F" w14:textId="77777777" w:rsidR="00CC7D2C" w:rsidRPr="009A3DD3" w:rsidRDefault="00CC7D2C" w:rsidP="00822842">
            <w:pPr>
              <w:rPr>
                <w:rFonts w:ascii="Times New Roman" w:hAnsi="Times New Roman"/>
                <w:sz w:val="24"/>
              </w:rPr>
            </w:pPr>
            <w:r>
              <w:rPr>
                <w:rFonts w:ascii="Times New Roman" w:hAnsi="Times New Roman"/>
                <w:sz w:val="24"/>
              </w:rPr>
              <w:t>Člen 92(2), točka (b), Uredbe (EU) št. 575/2013 brez uporabe člena 465 navedene uredbe.</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Količnik skupnega kapitala ob polnem upoštevanju predpisov </w:t>
            </w:r>
          </w:p>
          <w:p w14:paraId="45149E78" w14:textId="77777777" w:rsidR="00CC7D2C" w:rsidRPr="009A3DD3" w:rsidRDefault="00CC7D2C" w:rsidP="00822842">
            <w:pPr>
              <w:rPr>
                <w:rFonts w:ascii="Times New Roman" w:hAnsi="Times New Roman"/>
                <w:sz w:val="24"/>
              </w:rPr>
            </w:pPr>
            <w:r>
              <w:rPr>
                <w:rFonts w:ascii="Times New Roman" w:hAnsi="Times New Roman"/>
                <w:sz w:val="24"/>
              </w:rPr>
              <w:t>Člen 92(2), točka (c), Uredbe (EU) št. 575/2013 brez uporabe člena 465 navedene uredbe.</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Količnik navadnega lastniškega temeljnega kapitala brez uporabe prehodnih določb glede izstopnega praga S-TREA (člen 465(3), (4), (5) in (7) Uredbe (EU) št.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Člen 92(2), točka (a), Uredbe (EU) št. 575/2013 brez uporabe člena 465(3), (4), (5) in (7) navedene uredbe.</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lastRenderedPageBreak/>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Količnik temeljnega kapitala brez uporabe prehodnih določb glede izstopnega praga S-TREA (člen 465(3), (4), (5) in (7) Uredbe (EU) št.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Člen 92(2), točka (b), Uredbe (EU) št. 575/2013 brez uporabe člena 465(3), (4), (5) in (7) navedene uredbe.</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Količnik skupnega kapitala brez uporabe prehodnih določb glede izstopnega praga S-TREA (člen 465(3), (4), (5) in (7) Uredbe (EU) št.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Člen 92(2), točka (c), Uredbe (EU) št. 575/2013 brez uporabe člena 465(3), (4), (5) in (7) navedene uredbe.</w:t>
            </w:r>
          </w:p>
        </w:tc>
      </w:tr>
    </w:tbl>
    <w:p w14:paraId="43FFE992" w14:textId="77777777" w:rsidR="00CC7D2C" w:rsidRPr="002A677E" w:rsidRDefault="00CC7D2C" w:rsidP="00206A48">
      <w:pPr>
        <w:pStyle w:val="InstructionsText"/>
      </w:pPr>
    </w:p>
    <w:p w14:paraId="4BB05863" w14:textId="6B3E215A"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w:t>
      </w:r>
      <w:r w:rsidR="00206A48" w:rsidRPr="00F6783D">
        <w:rPr>
          <w:u w:val="none"/>
        </w:rPr>
        <w:t>5</w:t>
      </w:r>
      <w:r w:rsidR="00F6783D">
        <w:rPr>
          <w:u w:val="none"/>
        </w:rPr>
        <w:tab/>
      </w:r>
      <w:r w:rsidR="00F6783D" w:rsidRPr="00F6783D">
        <w:rPr>
          <w:u w:val="none"/>
        </w:rPr>
        <w:tab/>
      </w:r>
      <w:r>
        <w:t>C 04.00 – POJASNJEVALNE POSTAVKE (CA4)</w:t>
      </w:r>
      <w:bookmarkEnd w:id="37"/>
      <w:bookmarkEnd w:id="38"/>
      <w:r>
        <w:t xml:space="preserve"> </w:t>
      </w:r>
      <w:bookmarkEnd w:id="39"/>
      <w:bookmarkEnd w:id="40"/>
    </w:p>
    <w:p w14:paraId="473B9958" w14:textId="6271C58E"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w:t>
      </w:r>
      <w:r w:rsidR="00206A48" w:rsidRPr="00F6783D">
        <w:rPr>
          <w:u w:val="none"/>
        </w:rPr>
        <w:t>1</w:t>
      </w:r>
      <w:r w:rsidR="00206A48" w:rsidRPr="00F6783D">
        <w:rPr>
          <w:u w:val="none"/>
        </w:rPr>
        <w:tab/>
      </w:r>
      <w:r>
        <w:t>Navodila za posamezne</w:t>
      </w:r>
      <w:bookmarkEnd w:id="41"/>
      <w:bookmarkEnd w:id="42"/>
      <w:r>
        <w:t xml:space="preserve"> pozicije</w:t>
      </w:r>
      <w:bookmarkEnd w:id="43"/>
      <w:bookmarkEnd w:id="44"/>
      <w:bookmarkEnd w:id="45"/>
    </w:p>
    <w:p w14:paraId="54769477" w14:textId="77777777" w:rsidR="00CC7D2C" w:rsidRPr="002A677E" w:rsidRDefault="00CC7D2C" w:rsidP="00206A48">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206A48">
            <w:pPr>
              <w:pStyle w:val="InstructionsText"/>
            </w:pPr>
            <w:r>
              <w:t>Vrstice</w:t>
            </w:r>
          </w:p>
        </w:tc>
      </w:tr>
      <w:tr w:rsidR="00CC7D2C" w:rsidRPr="002A677E" w14:paraId="68CF0504" w14:textId="77777777" w:rsidTr="00822842">
        <w:tc>
          <w:tcPr>
            <w:tcW w:w="1474" w:type="dxa"/>
          </w:tcPr>
          <w:p w14:paraId="7A09D1A8" w14:textId="77777777" w:rsidR="00CC7D2C" w:rsidRPr="002A677E" w:rsidRDefault="00CC7D2C" w:rsidP="00206A48">
            <w:pPr>
              <w:pStyle w:val="InstructionsText"/>
            </w:pPr>
            <w:r>
              <w:t>0010</w:t>
            </w:r>
          </w:p>
        </w:tc>
        <w:tc>
          <w:tcPr>
            <w:tcW w:w="7049" w:type="dxa"/>
          </w:tcPr>
          <w:p w14:paraId="65BD25C5" w14:textId="77777777" w:rsidR="00CC7D2C" w:rsidRPr="002A677E" w:rsidRDefault="00CC7D2C" w:rsidP="00206A48">
            <w:pPr>
              <w:pStyle w:val="InstructionsText"/>
            </w:pPr>
            <w:r>
              <w:rPr>
                <w:rStyle w:val="InstructionsTabelleberschrift"/>
                <w:rFonts w:ascii="Times New Roman" w:hAnsi="Times New Roman"/>
                <w:sz w:val="24"/>
              </w:rPr>
              <w:t>1.</w:t>
            </w:r>
            <w:r w:rsidRPr="00F6783D">
              <w:rPr>
                <w:u w:val="single"/>
              </w:rPr>
              <w:tab/>
            </w:r>
            <w:r>
              <w:rPr>
                <w:rStyle w:val="InstructionsTabelleberschrift"/>
                <w:rFonts w:ascii="Times New Roman" w:hAnsi="Times New Roman"/>
                <w:sz w:val="24"/>
              </w:rPr>
              <w:t>Odložene terjatve za davek skupaj</w:t>
            </w:r>
          </w:p>
          <w:p w14:paraId="245EEDA1" w14:textId="77777777" w:rsidR="00CC7D2C" w:rsidRPr="002A677E" w:rsidRDefault="00CC7D2C" w:rsidP="00206A48">
            <w:pPr>
              <w:pStyle w:val="InstructionsText"/>
            </w:pPr>
            <w:r>
              <w:t>Znesek, ki se poroča v tem polju, je enak znesku, ki se poroča v zadnji potrjeni/revidirani računovodski bilanci stanja.</w:t>
            </w:r>
          </w:p>
        </w:tc>
      </w:tr>
      <w:tr w:rsidR="00CC7D2C" w:rsidRPr="002A677E" w14:paraId="6A0E9EA3" w14:textId="77777777" w:rsidTr="00822842">
        <w:tc>
          <w:tcPr>
            <w:tcW w:w="1474" w:type="dxa"/>
          </w:tcPr>
          <w:p w14:paraId="690047E3" w14:textId="77777777" w:rsidR="00CC7D2C" w:rsidRPr="002A677E" w:rsidRDefault="00CC7D2C" w:rsidP="00206A48">
            <w:pPr>
              <w:pStyle w:val="InstructionsText"/>
            </w:pPr>
            <w:r>
              <w:t>0020</w:t>
            </w:r>
          </w:p>
        </w:tc>
        <w:tc>
          <w:tcPr>
            <w:tcW w:w="7049" w:type="dxa"/>
          </w:tcPr>
          <w:p w14:paraId="4AD2BCB6" w14:textId="4F780B60" w:rsidR="00CC7D2C" w:rsidRPr="002A677E" w:rsidRDefault="00CC7D2C" w:rsidP="00206A48">
            <w:pPr>
              <w:pStyle w:val="InstructionsText"/>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terjatve za davek, ki se ne nanašajo na prihodnji dobiček</w:t>
            </w:r>
          </w:p>
          <w:p w14:paraId="119E6584" w14:textId="77777777" w:rsidR="00CC7D2C" w:rsidRPr="002A677E" w:rsidRDefault="00CC7D2C" w:rsidP="00206A48">
            <w:pPr>
              <w:pStyle w:val="InstructionsText"/>
            </w:pPr>
            <w:r>
              <w:t>Člen 39(2) Uredbe (EU) št. 575/2013.</w:t>
            </w:r>
          </w:p>
          <w:p w14:paraId="04A932CD" w14:textId="77777777" w:rsidR="00CC7D2C" w:rsidRPr="002A677E" w:rsidRDefault="00CC7D2C" w:rsidP="00206A48">
            <w:pPr>
              <w:pStyle w:val="InstructionsText"/>
            </w:pPr>
            <w:r>
              <w:t>Odložene terjatve za davek, ustvarjene pred 23. novembrom 2016, ki se ne nanašajo na prihodnji dobiček in se zato zanje uporabi utež tveganja.</w:t>
            </w:r>
          </w:p>
        </w:tc>
      </w:tr>
      <w:tr w:rsidR="00CC7D2C" w:rsidRPr="002A677E" w14:paraId="2F7B8C1E" w14:textId="77777777" w:rsidTr="00822842">
        <w:tc>
          <w:tcPr>
            <w:tcW w:w="1474" w:type="dxa"/>
          </w:tcPr>
          <w:p w14:paraId="4DE8CDF2" w14:textId="77777777" w:rsidR="00CC7D2C" w:rsidRPr="002A677E" w:rsidRDefault="00CC7D2C" w:rsidP="00206A48">
            <w:pPr>
              <w:pStyle w:val="InstructionsText"/>
            </w:pPr>
            <w:r>
              <w:t>0030</w:t>
            </w:r>
          </w:p>
        </w:tc>
        <w:tc>
          <w:tcPr>
            <w:tcW w:w="7049" w:type="dxa"/>
          </w:tcPr>
          <w:p w14:paraId="7731AAFB" w14:textId="44484238" w:rsidR="00CC7D2C" w:rsidRPr="002A677E" w:rsidRDefault="00CC7D2C" w:rsidP="00206A48">
            <w:pPr>
              <w:pStyle w:val="InstructionsText"/>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terjatve za davek, ki se nanašajo na prihodnji dobiček in ne izhajajo iz začasnih razlik</w:t>
            </w:r>
          </w:p>
          <w:p w14:paraId="477958DE" w14:textId="77777777" w:rsidR="00CC7D2C" w:rsidRPr="002A677E" w:rsidRDefault="00CC7D2C" w:rsidP="00206A48">
            <w:pPr>
              <w:pStyle w:val="InstructionsText"/>
            </w:pPr>
            <w:r>
              <w:t>Člen 36(1), točka (c), in člen 38 Uredbe (EU) št. 575/2013.</w:t>
            </w:r>
          </w:p>
          <w:p w14:paraId="155315E4" w14:textId="77777777" w:rsidR="00CC7D2C" w:rsidRPr="002A677E" w:rsidRDefault="00CC7D2C" w:rsidP="00206A48">
            <w:pPr>
              <w:pStyle w:val="InstructionsText"/>
            </w:pPr>
            <w:r>
              <w:t>Odložene terjatve za davek, ki se nanašajo na prihodnji dobiček, vendar ne izhajajo iz začasnih razlik, zaradi česar se zanje ne uporabi noben prag (to pomeni, da so v celoti odbite od navadnega lastniškega temeljnega kapitala).</w:t>
            </w:r>
          </w:p>
        </w:tc>
      </w:tr>
      <w:tr w:rsidR="00CC7D2C" w:rsidRPr="002A677E" w14:paraId="3583A917" w14:textId="77777777" w:rsidTr="00822842">
        <w:tc>
          <w:tcPr>
            <w:tcW w:w="1474" w:type="dxa"/>
          </w:tcPr>
          <w:p w14:paraId="31BB2EE5" w14:textId="77777777" w:rsidR="00CC7D2C" w:rsidRPr="002A677E" w:rsidRDefault="00CC7D2C" w:rsidP="00206A48">
            <w:pPr>
              <w:pStyle w:val="InstructionsText"/>
            </w:pPr>
            <w:r>
              <w:t>0040</w:t>
            </w:r>
          </w:p>
        </w:tc>
        <w:tc>
          <w:tcPr>
            <w:tcW w:w="7049" w:type="dxa"/>
          </w:tcPr>
          <w:p w14:paraId="7502D26B" w14:textId="4CEF24D8" w:rsidR="00CC7D2C" w:rsidRPr="002A677E" w:rsidRDefault="00CC7D2C" w:rsidP="00206A48">
            <w:pPr>
              <w:pStyle w:val="InstructionsText"/>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terjatve za davek, ki se nanašajo na prihodnji dobiček in izhajajo iz začasnih razlik</w:t>
            </w:r>
          </w:p>
          <w:p w14:paraId="084F3ACD" w14:textId="77777777" w:rsidR="00CC7D2C" w:rsidRPr="002A677E" w:rsidRDefault="00CC7D2C" w:rsidP="00206A48">
            <w:pPr>
              <w:pStyle w:val="InstructionsText"/>
            </w:pPr>
            <w:r>
              <w:t>Člen 36(1), točka (c), člen 38 in člen 48(1), točka (a), Uredbe (EU) št. 575/2013.</w:t>
            </w:r>
          </w:p>
          <w:p w14:paraId="628F7B8D" w14:textId="77777777" w:rsidR="00CC7D2C" w:rsidRPr="002A677E" w:rsidRDefault="00CC7D2C" w:rsidP="00206A48">
            <w:pPr>
              <w:pStyle w:val="InstructionsText"/>
            </w:pPr>
            <w:r>
              <w:t>Odložene terjatve za davek, ki se nanašajo na prihodnji dobiček in izhajajo iz začasnih razlik, zaradi česar se za njihov odbitek od navadnega lastniškega temeljnega kapitala uporabita praga 10 % in 17,65 % iz člena 48 Uredbe (EU) št. 575/2013.</w:t>
            </w:r>
          </w:p>
        </w:tc>
      </w:tr>
      <w:tr w:rsidR="00CC7D2C" w:rsidRPr="002A677E" w14:paraId="3E13A5F7" w14:textId="77777777" w:rsidTr="00822842">
        <w:tc>
          <w:tcPr>
            <w:tcW w:w="1474" w:type="dxa"/>
          </w:tcPr>
          <w:p w14:paraId="16FA9B2B" w14:textId="77777777" w:rsidR="00CC7D2C" w:rsidRPr="002A677E" w:rsidRDefault="00CC7D2C" w:rsidP="00206A48">
            <w:pPr>
              <w:pStyle w:val="InstructionsText"/>
            </w:pPr>
            <w:r>
              <w:lastRenderedPageBreak/>
              <w:t>0050</w:t>
            </w:r>
          </w:p>
        </w:tc>
        <w:tc>
          <w:tcPr>
            <w:tcW w:w="7049" w:type="dxa"/>
          </w:tcPr>
          <w:p w14:paraId="271F82DC" w14:textId="77777777" w:rsidR="00CC7D2C" w:rsidRPr="002A677E" w:rsidRDefault="00CC7D2C" w:rsidP="00206A48">
            <w:pPr>
              <w:pStyle w:val="InstructionsText"/>
            </w:pPr>
            <w:r>
              <w:rPr>
                <w:rStyle w:val="InstructionsTabelleberschrift"/>
                <w:rFonts w:ascii="Times New Roman" w:hAnsi="Times New Roman"/>
                <w:sz w:val="24"/>
              </w:rPr>
              <w:t>2. Odložene obveznosti za davek skupaj</w:t>
            </w:r>
          </w:p>
          <w:p w14:paraId="7EEBFB46" w14:textId="77777777" w:rsidR="00CC7D2C" w:rsidRPr="002A677E" w:rsidRDefault="00CC7D2C" w:rsidP="00206A48">
            <w:pPr>
              <w:pStyle w:val="InstructionsText"/>
            </w:pPr>
            <w:r>
              <w:t>Znesek, ki se poroča v tem polju, je enak znesku, ki se poroča v zadnji potrjeni/revidirani računovodski bilanci stanja.</w:t>
            </w:r>
          </w:p>
        </w:tc>
      </w:tr>
      <w:tr w:rsidR="00CC7D2C" w:rsidRPr="002A677E" w14:paraId="222A2B0C" w14:textId="77777777" w:rsidTr="00822842">
        <w:tc>
          <w:tcPr>
            <w:tcW w:w="1474" w:type="dxa"/>
          </w:tcPr>
          <w:p w14:paraId="12D2C030" w14:textId="77777777" w:rsidR="00CC7D2C" w:rsidRPr="002A677E" w:rsidRDefault="00CC7D2C" w:rsidP="00206A48">
            <w:pPr>
              <w:pStyle w:val="InstructionsText"/>
            </w:pPr>
            <w:r>
              <w:t>0060</w:t>
            </w:r>
          </w:p>
        </w:tc>
        <w:tc>
          <w:tcPr>
            <w:tcW w:w="7049" w:type="dxa"/>
          </w:tcPr>
          <w:p w14:paraId="3A23A18B" w14:textId="3C48AB24" w:rsidR="00CC7D2C" w:rsidRPr="002A677E" w:rsidRDefault="00CC7D2C" w:rsidP="00206A48">
            <w:pPr>
              <w:pStyle w:val="InstructionsText"/>
            </w:pPr>
            <w:r>
              <w:rPr>
                <w:rStyle w:val="InstructionsTabelleberschrift"/>
                <w:rFonts w:ascii="Times New Roman" w:hAnsi="Times New Roman"/>
                <w:sz w:val="24"/>
              </w:rPr>
              <w:t>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ki se ne odbijejo od odloženih terjatev za davek, ki se nanašajo na prihodnji dobiček</w:t>
            </w:r>
          </w:p>
          <w:p w14:paraId="03F91C81" w14:textId="77777777" w:rsidR="00CC7D2C" w:rsidRPr="002A677E" w:rsidRDefault="00CC7D2C" w:rsidP="00206A48">
            <w:pPr>
              <w:pStyle w:val="InstructionsText"/>
            </w:pPr>
            <w:r>
              <w:t>Člen 38, odstavka 3 in 4, Uredbe (EU) št. 575/2013.</w:t>
            </w:r>
          </w:p>
          <w:p w14:paraId="06C72D86" w14:textId="77777777" w:rsidR="00CC7D2C" w:rsidRPr="002A677E" w:rsidRDefault="00CC7D2C" w:rsidP="00206A48">
            <w:pPr>
              <w:pStyle w:val="InstructionsText"/>
            </w:pPr>
            <w:r>
              <w:t>Odložene obveznosti za davek, za katere pogoji iz člena 38, odstavka 3 in 4, Uredbe (EU) št. 575/2013 niso izpolnjeni. Zato ta postavka vključuje odložene obveznosti za davek, ki zmanjšujejo znesek dobrega imena, drugih neopredmetenih sredstev ali sredstev pokojninskega sklada z določenimi pravicami, ki jih je treba odbiti, poročane v postavkah 1.1.1.10.3, 1.1.1.11.2 oziroma 1.1.1.14.2 predloge CA1.</w:t>
            </w:r>
          </w:p>
        </w:tc>
      </w:tr>
      <w:tr w:rsidR="00CC7D2C" w:rsidRPr="002A677E" w14:paraId="5BFF850F" w14:textId="77777777" w:rsidTr="00822842">
        <w:tc>
          <w:tcPr>
            <w:tcW w:w="1474" w:type="dxa"/>
          </w:tcPr>
          <w:p w14:paraId="46C23C22" w14:textId="77777777" w:rsidR="00CC7D2C" w:rsidRPr="002A677E" w:rsidRDefault="00CC7D2C" w:rsidP="00206A48">
            <w:pPr>
              <w:pStyle w:val="InstructionsText"/>
            </w:pPr>
            <w:r>
              <w:t>0070</w:t>
            </w:r>
          </w:p>
        </w:tc>
        <w:tc>
          <w:tcPr>
            <w:tcW w:w="7049" w:type="dxa"/>
          </w:tcPr>
          <w:p w14:paraId="2489B6DA" w14:textId="4D72295D" w:rsidR="00CC7D2C" w:rsidRPr="002A677E" w:rsidRDefault="00CC7D2C" w:rsidP="00206A48">
            <w:pPr>
              <w:pStyle w:val="InstructionsText"/>
            </w:pPr>
            <w:r>
              <w:rPr>
                <w:rStyle w:val="InstructionsTabelleberschrift"/>
                <w:rFonts w:ascii="Times New Roman" w:hAnsi="Times New Roman"/>
                <w:sz w:val="24"/>
              </w:rPr>
              <w:t>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obveznosti za davek, ki se odbijejo od odloženih terjatev za davek, ki se nanašajo na prihodnji dobiček</w:t>
            </w:r>
          </w:p>
          <w:p w14:paraId="52387C25" w14:textId="77777777" w:rsidR="00CC7D2C" w:rsidRPr="002A677E" w:rsidRDefault="00CC7D2C" w:rsidP="00206A48">
            <w:pPr>
              <w:pStyle w:val="InstructionsText"/>
            </w:pPr>
            <w:r>
              <w:t>Člen 38 Uredbe (EU) št. 575/2013.</w:t>
            </w:r>
          </w:p>
        </w:tc>
      </w:tr>
      <w:tr w:rsidR="00CC7D2C" w:rsidRPr="002A677E" w14:paraId="7EB41DD9" w14:textId="77777777" w:rsidTr="00822842">
        <w:tc>
          <w:tcPr>
            <w:tcW w:w="1474" w:type="dxa"/>
          </w:tcPr>
          <w:p w14:paraId="74A086AF" w14:textId="77777777" w:rsidR="00CC7D2C" w:rsidRPr="002A677E" w:rsidRDefault="00CC7D2C" w:rsidP="00206A48">
            <w:pPr>
              <w:pStyle w:val="InstructionsText"/>
            </w:pPr>
            <w:r>
              <w:t>0080</w:t>
            </w:r>
          </w:p>
        </w:tc>
        <w:tc>
          <w:tcPr>
            <w:tcW w:w="7049" w:type="dxa"/>
          </w:tcPr>
          <w:p w14:paraId="4D5BD98A" w14:textId="34CDC381" w:rsidR="00CC7D2C" w:rsidRPr="002A677E" w:rsidRDefault="00CC7D2C" w:rsidP="00206A48">
            <w:pPr>
              <w:pStyle w:val="InstructionsText"/>
            </w:pPr>
            <w:r>
              <w:rPr>
                <w:rStyle w:val="InstructionsTabelleberschrift"/>
                <w:rFonts w:ascii="Times New Roman" w:hAnsi="Times New Roman"/>
                <w:sz w:val="24"/>
              </w:rPr>
              <w:t>2.2.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Odbitne odložene obveznosti za davek, povezane z odloženimi terjatvami za davek, ki se nanašajo na prihodnji dobiček in ne izhajajo iz začasnih razlik</w:t>
            </w:r>
          </w:p>
          <w:p w14:paraId="57B5679C" w14:textId="77777777" w:rsidR="00CC7D2C" w:rsidRPr="002A677E" w:rsidRDefault="00CC7D2C" w:rsidP="00206A48">
            <w:pPr>
              <w:pStyle w:val="InstructionsText"/>
            </w:pPr>
            <w:r>
              <w:t>Člen 38, odstavki 3, 4 in 5, Uredbe (EU) št. 575/2013.</w:t>
            </w:r>
          </w:p>
          <w:p w14:paraId="6554BBC3" w14:textId="77777777" w:rsidR="00CC7D2C" w:rsidRPr="002A677E" w:rsidRDefault="00CC7D2C" w:rsidP="00206A48">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 odstavka 3 in 4, Uredbe (EU) št. 575/2013 in niso razporejene na odložene terjatve za davek, ki se nanašajo na prihodnji dobiček in izhajajo iz začasnih razlik, kakor je določeno v členu 38(5) Uredbe (EU) št. 575/2013.</w:t>
            </w:r>
          </w:p>
        </w:tc>
      </w:tr>
      <w:tr w:rsidR="00CC7D2C" w:rsidRPr="002A677E" w14:paraId="0A4C3052" w14:textId="77777777" w:rsidTr="00822842">
        <w:tc>
          <w:tcPr>
            <w:tcW w:w="1474" w:type="dxa"/>
          </w:tcPr>
          <w:p w14:paraId="5EEA1141" w14:textId="77777777" w:rsidR="00CC7D2C" w:rsidRPr="002A677E" w:rsidRDefault="00CC7D2C" w:rsidP="00206A48">
            <w:pPr>
              <w:pStyle w:val="InstructionsText"/>
            </w:pPr>
            <w:r>
              <w:t>0090</w:t>
            </w:r>
          </w:p>
        </w:tc>
        <w:tc>
          <w:tcPr>
            <w:tcW w:w="7049" w:type="dxa"/>
          </w:tcPr>
          <w:p w14:paraId="54A4DB87" w14:textId="1EB09E5D" w:rsidR="00CC7D2C" w:rsidRPr="002A677E" w:rsidRDefault="00CC7D2C" w:rsidP="00206A48">
            <w:pPr>
              <w:pStyle w:val="InstructionsText"/>
            </w:pPr>
            <w:r>
              <w:rPr>
                <w:rStyle w:val="InstructionsTabelleberschrift"/>
                <w:rFonts w:ascii="Times New Roman" w:hAnsi="Times New Roman"/>
                <w:sz w:val="24"/>
              </w:rPr>
              <w:t>2.2.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Odbitne odložene obveznosti za davek, povezane z odloženimi terjatvami za davek, ki se nanašajo na prihodnji dobiček in izhajajo iz začasnih razlik</w:t>
            </w:r>
          </w:p>
          <w:p w14:paraId="5386BFFB" w14:textId="77777777" w:rsidR="00CC7D2C" w:rsidRPr="002A677E" w:rsidRDefault="00CC7D2C" w:rsidP="00206A48">
            <w:pPr>
              <w:pStyle w:val="InstructionsText"/>
            </w:pPr>
            <w:r>
              <w:t>Člen 38, odstavki 3, 4 in 5, Uredbe (EU) št. 575/2013.</w:t>
            </w:r>
          </w:p>
          <w:p w14:paraId="737FD646" w14:textId="77777777" w:rsidR="00CC7D2C" w:rsidRPr="002A677E" w:rsidRDefault="00CC7D2C" w:rsidP="00206A48">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 odstavka 3 in 4, Uredbe (EU) št. 575/2013, in so razporejene na odložene terjatve za davek, ki se nanašajo na prihodnji dobiček in izhajajo iz začasnih razlik, kakor je določeno v členu 38(5) Uredbe (EU) št. 575/2013.</w:t>
            </w:r>
          </w:p>
        </w:tc>
      </w:tr>
      <w:tr w:rsidR="00CC7D2C" w:rsidRPr="002A677E" w14:paraId="5784AB1C" w14:textId="77777777" w:rsidTr="00822842">
        <w:tc>
          <w:tcPr>
            <w:tcW w:w="1474" w:type="dxa"/>
          </w:tcPr>
          <w:p w14:paraId="27E67B0E" w14:textId="77777777" w:rsidR="00CC7D2C" w:rsidRPr="002A677E" w:rsidRDefault="00CC7D2C" w:rsidP="00206A48">
            <w:pPr>
              <w:pStyle w:val="InstructionsText"/>
            </w:pPr>
            <w:r>
              <w:t>0093</w:t>
            </w:r>
          </w:p>
        </w:tc>
        <w:tc>
          <w:tcPr>
            <w:tcW w:w="7049" w:type="dxa"/>
          </w:tcPr>
          <w:p w14:paraId="500B8394" w14:textId="07539FDA" w:rsidR="00CC7D2C" w:rsidRPr="002A677E" w:rsidRDefault="00CC7D2C" w:rsidP="00206A48">
            <w:pPr>
              <w:pStyle w:val="InstructionsText"/>
            </w:pPr>
            <w:r>
              <w:rPr>
                <w:rStyle w:val="InstructionsTabelleberschrift"/>
                <w:rFonts w:ascii="Times New Roman" w:hAnsi="Times New Roman"/>
                <w:sz w:val="24"/>
              </w:rPr>
              <w:t>2A</w:t>
            </w:r>
            <w:r w:rsidR="00F6783D">
              <w:rPr>
                <w:rStyle w:val="InstructionsTabelleberschrift"/>
                <w:rFonts w:ascii="Times New Roman" w:hAnsi="Times New Roman"/>
                <w:sz w:val="24"/>
              </w:rPr>
              <w:t xml:space="preserve"> </w:t>
            </w:r>
            <w:r>
              <w:rPr>
                <w:rStyle w:val="InstructionsTabelleberschrift"/>
                <w:rFonts w:ascii="Times New Roman" w:hAnsi="Times New Roman"/>
                <w:sz w:val="24"/>
              </w:rPr>
              <w:t>Preplačilo davka in prenos davčne izgube v predhodno obdobje</w:t>
            </w:r>
          </w:p>
          <w:p w14:paraId="64C3A725" w14:textId="77777777" w:rsidR="00CC7D2C" w:rsidRPr="002A677E" w:rsidRDefault="00CC7D2C" w:rsidP="00206A48">
            <w:pPr>
              <w:pStyle w:val="InstructionsText"/>
            </w:pPr>
            <w:r>
              <w:t>Člen 39(1) Uredbe (EU) št. 575/2013.</w:t>
            </w:r>
          </w:p>
          <w:p w14:paraId="40F0233D" w14:textId="77777777" w:rsidR="00CC7D2C" w:rsidRPr="002A677E" w:rsidRDefault="00CC7D2C" w:rsidP="00206A48">
            <w:pPr>
              <w:pStyle w:val="InstructionsText"/>
              <w:rPr>
                <w:rStyle w:val="InstructionsTabelleberschrift"/>
                <w:rFonts w:ascii="Times New Roman" w:hAnsi="Times New Roman"/>
                <w:b w:val="0"/>
                <w:bCs w:val="0"/>
                <w:sz w:val="24"/>
                <w:u w:val="none"/>
              </w:rPr>
            </w:pPr>
            <w:r>
              <w:t>Znesek preplačil davka in davčnih izgub, prenesenih v predhodno obdobje, ki se ne odbijejo od kapitala v skladu s členom 39(1) Uredbe (EU) št. 575/2013; poroča se znesek pred uporabo uteži tveganja.</w:t>
            </w:r>
          </w:p>
        </w:tc>
      </w:tr>
      <w:tr w:rsidR="00CC7D2C" w:rsidRPr="002A677E" w14:paraId="0969065C" w14:textId="77777777" w:rsidTr="00822842">
        <w:tc>
          <w:tcPr>
            <w:tcW w:w="1474" w:type="dxa"/>
          </w:tcPr>
          <w:p w14:paraId="17A523BF" w14:textId="77777777" w:rsidR="00CC7D2C" w:rsidRPr="002A677E" w:rsidRDefault="00CC7D2C" w:rsidP="00206A48">
            <w:pPr>
              <w:pStyle w:val="InstructionsText"/>
            </w:pPr>
            <w:r>
              <w:lastRenderedPageBreak/>
              <w:t>0096</w:t>
            </w:r>
          </w:p>
        </w:tc>
        <w:tc>
          <w:tcPr>
            <w:tcW w:w="7049" w:type="dxa"/>
          </w:tcPr>
          <w:p w14:paraId="3559104F" w14:textId="2E28245F" w:rsidR="00CC7D2C" w:rsidRPr="002A677E" w:rsidRDefault="00CC7D2C" w:rsidP="00206A48">
            <w:pPr>
              <w:pStyle w:val="InstructionsText"/>
            </w:pPr>
            <w:r>
              <w:rPr>
                <w:rStyle w:val="InstructionsTabelleberschrift"/>
                <w:rFonts w:ascii="Times New Roman" w:hAnsi="Times New Roman"/>
                <w:sz w:val="24"/>
              </w:rPr>
              <w:t>2B</w:t>
            </w:r>
            <w:r w:rsidRPr="00F6783D">
              <w:rPr>
                <w:rStyle w:val="InstructionsTabelleberschrift"/>
                <w:rFonts w:ascii="Times New Roman" w:hAnsi="Times New Roman"/>
                <w:sz w:val="24"/>
              </w:rPr>
              <w:tab/>
            </w:r>
            <w:r>
              <w:rPr>
                <w:rStyle w:val="InstructionsTabelleberschrift"/>
                <w:rFonts w:ascii="Times New Roman" w:hAnsi="Times New Roman"/>
                <w:sz w:val="24"/>
              </w:rPr>
              <w:t>Odložene terjatve za davek, za katere se uporabi utež tveganja 250</w:t>
            </w:r>
            <w:r>
              <w:t> </w:t>
            </w:r>
            <w:r>
              <w:rPr>
                <w:rStyle w:val="InstructionsTabelleberschrift"/>
                <w:rFonts w:ascii="Times New Roman" w:hAnsi="Times New Roman"/>
                <w:sz w:val="24"/>
              </w:rPr>
              <w:t>%</w:t>
            </w:r>
          </w:p>
          <w:p w14:paraId="34D369D6" w14:textId="77777777" w:rsidR="00CC7D2C" w:rsidRPr="002A677E" w:rsidRDefault="00CC7D2C" w:rsidP="00206A48">
            <w:pPr>
              <w:pStyle w:val="InstructionsText"/>
            </w:pPr>
            <w:r>
              <w:t>Člen 48(4) Uredbe (EU) št. 575/2013.</w:t>
            </w:r>
          </w:p>
          <w:p w14:paraId="2D9006FE" w14:textId="38F73BDB" w:rsidR="00CC7D2C" w:rsidRPr="002A677E" w:rsidRDefault="00CC7D2C" w:rsidP="00206A48">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48(1) Uredbe (EU) št. 575/2013, ampak se zanje v skladu s členom 48(4) navedene uredbe uporabi utež tveganja 250 %, ob upoštevanju učinka člena 470 in člena 478(2) navedene uredbe. Poroča se znesek odloženih terjatev za davek pred uporabo uteži tveganja.</w:t>
            </w:r>
          </w:p>
        </w:tc>
      </w:tr>
      <w:tr w:rsidR="00CC7D2C" w:rsidRPr="002A677E" w14:paraId="7B66A306" w14:textId="77777777" w:rsidTr="00822842">
        <w:tc>
          <w:tcPr>
            <w:tcW w:w="1474" w:type="dxa"/>
          </w:tcPr>
          <w:p w14:paraId="1D25A0DC" w14:textId="77777777" w:rsidR="00CC7D2C" w:rsidRPr="002A677E" w:rsidRDefault="00CC7D2C" w:rsidP="00206A48">
            <w:pPr>
              <w:pStyle w:val="InstructionsText"/>
            </w:pPr>
            <w:r>
              <w:t>0097</w:t>
            </w:r>
          </w:p>
        </w:tc>
        <w:tc>
          <w:tcPr>
            <w:tcW w:w="7049" w:type="dxa"/>
          </w:tcPr>
          <w:p w14:paraId="4798DC8E" w14:textId="77777777" w:rsidR="00CC7D2C" w:rsidRPr="002A677E" w:rsidRDefault="00CC7D2C" w:rsidP="00206A48">
            <w:pPr>
              <w:pStyle w:val="InstructionsText"/>
            </w:pPr>
            <w:r>
              <w:rPr>
                <w:rStyle w:val="InstructionsTabelleberschrift"/>
                <w:rFonts w:ascii="Times New Roman" w:hAnsi="Times New Roman"/>
                <w:sz w:val="24"/>
              </w:rPr>
              <w:t>2C</w:t>
            </w:r>
            <w:r w:rsidRPr="00F6783D">
              <w:rPr>
                <w:u w:val="single"/>
              </w:rPr>
              <w:tab/>
            </w:r>
            <w:r>
              <w:rPr>
                <w:rStyle w:val="InstructionsTabelleberschrift"/>
                <w:rFonts w:ascii="Times New Roman" w:hAnsi="Times New Roman"/>
                <w:sz w:val="24"/>
              </w:rPr>
              <w:t>Odložene terjatve za davek, za katere se uporabi utež tveganja 0</w:t>
            </w:r>
            <w:r>
              <w:t> </w:t>
            </w:r>
            <w:r>
              <w:rPr>
                <w:rStyle w:val="InstructionsTabelleberschrift"/>
                <w:rFonts w:ascii="Times New Roman" w:hAnsi="Times New Roman"/>
                <w:sz w:val="24"/>
              </w:rPr>
              <w:t>%</w:t>
            </w:r>
          </w:p>
          <w:p w14:paraId="4E521C1C" w14:textId="77777777" w:rsidR="00CC7D2C" w:rsidRPr="002A677E" w:rsidRDefault="00CC7D2C" w:rsidP="00206A48">
            <w:pPr>
              <w:pStyle w:val="InstructionsText"/>
            </w:pPr>
            <w:r>
              <w:t>Člen 469(1), točka (d), členi 470, člen 472(5) in člen 478 Uredbe (EU) št. 575/2013.</w:t>
            </w:r>
          </w:p>
          <w:p w14:paraId="3F0D46EC" w14:textId="119A199E" w:rsidR="00CC7D2C" w:rsidRPr="002A677E" w:rsidRDefault="00CC7D2C" w:rsidP="00206A48">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469(1), točka (d), členom 470 in členom 478(2) Uredbe (EU) št. 575/2013, ampak se zanje v skladu s členom 472(5) navedene uredbe uporabi utež tveganja 0 %. Poroča se znesek odloženih terjatev za davek pred uporabo uteži tveganja.</w:t>
            </w:r>
          </w:p>
        </w:tc>
      </w:tr>
      <w:tr w:rsidR="00CC7D2C" w:rsidRPr="002A677E" w14:paraId="3C504F47" w14:textId="77777777" w:rsidTr="00822842">
        <w:tc>
          <w:tcPr>
            <w:tcW w:w="1474" w:type="dxa"/>
          </w:tcPr>
          <w:p w14:paraId="2B890E79" w14:textId="77777777" w:rsidR="00CC7D2C" w:rsidRPr="002A677E" w:rsidRDefault="00CC7D2C" w:rsidP="00206A48">
            <w:pPr>
              <w:pStyle w:val="InstructionsText"/>
            </w:pPr>
            <w:r>
              <w:t>0901</w:t>
            </w:r>
          </w:p>
        </w:tc>
        <w:tc>
          <w:tcPr>
            <w:tcW w:w="7049" w:type="dxa"/>
          </w:tcPr>
          <w:p w14:paraId="43FD0402"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Programska oprema, računovodsko obravnavana kot neopredmetena sredstva, izvzeta iz odbitka od postavk navadnega lastniškega temeljnega kapitala</w:t>
            </w:r>
          </w:p>
          <w:p w14:paraId="5C8FA893" w14:textId="77777777" w:rsidR="00CC7D2C" w:rsidRPr="002A677E" w:rsidRDefault="00CC7D2C" w:rsidP="00206A48">
            <w:pPr>
              <w:pStyle w:val="InstructionsText"/>
            </w:pPr>
            <w:r>
              <w:t>Člen 36(1), točka (b), Uredbe (EU) št. 575/2013.</w:t>
            </w:r>
          </w:p>
          <w:p w14:paraId="0E43062B" w14:textId="77777777" w:rsidR="00CC7D2C" w:rsidRPr="002A677E" w:rsidRDefault="00CC7D2C" w:rsidP="00206A48">
            <w:pPr>
              <w:pStyle w:val="InstructionsText"/>
              <w:rPr>
                <w:rStyle w:val="InstructionsTabelleberschrift"/>
                <w:rFonts w:ascii="Times New Roman" w:hAnsi="Times New Roman"/>
                <w:sz w:val="24"/>
              </w:rPr>
            </w:pPr>
            <w:r>
              <w:t>Institucije poročajo znesek preudarno vrednotene programske opreme, izvzete iz odbitka od postavk navadnega lastniškega temeljnega kapitala v skladu s členom 13a Delegirane uredbo (EU) št. 241/2014.</w:t>
            </w:r>
          </w:p>
        </w:tc>
      </w:tr>
      <w:tr w:rsidR="00CC7D2C" w:rsidRPr="002A677E" w14:paraId="24F20D09" w14:textId="77777777" w:rsidTr="00822842">
        <w:tc>
          <w:tcPr>
            <w:tcW w:w="1474" w:type="dxa"/>
          </w:tcPr>
          <w:p w14:paraId="6FFE1E59" w14:textId="77777777" w:rsidR="00CC7D2C" w:rsidRPr="002A677E" w:rsidRDefault="00CC7D2C" w:rsidP="00206A48">
            <w:pPr>
              <w:pStyle w:val="InstructionsText"/>
            </w:pPr>
            <w:r>
              <w:t>0905</w:t>
            </w:r>
          </w:p>
        </w:tc>
        <w:tc>
          <w:tcPr>
            <w:tcW w:w="7049" w:type="dxa"/>
          </w:tcPr>
          <w:p w14:paraId="02DF2815"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Instrumenti dodatnega temeljnega kapitala in povezani vplačani presežek kapitala, razvrščeni kot lastniški kapital v skladu z veljavnimi računovodskimi standardi</w:t>
            </w:r>
          </w:p>
          <w:p w14:paraId="461168E6" w14:textId="77777777" w:rsidR="00CC7D2C" w:rsidRPr="002A677E" w:rsidRDefault="00CC7D2C" w:rsidP="00206A48">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lastniški kapital v skladu z veljavnim računovodskim standardom.</w:t>
            </w:r>
          </w:p>
        </w:tc>
      </w:tr>
      <w:tr w:rsidR="00CC7D2C" w:rsidRPr="002A677E" w14:paraId="382EEB77" w14:textId="77777777" w:rsidTr="00822842">
        <w:tc>
          <w:tcPr>
            <w:tcW w:w="1474" w:type="dxa"/>
          </w:tcPr>
          <w:p w14:paraId="74EAD5B4" w14:textId="77777777" w:rsidR="00CC7D2C" w:rsidRPr="002A677E" w:rsidRDefault="00CC7D2C" w:rsidP="00206A48">
            <w:pPr>
              <w:pStyle w:val="InstructionsText"/>
            </w:pPr>
            <w:r>
              <w:t>0906</w:t>
            </w:r>
          </w:p>
        </w:tc>
        <w:tc>
          <w:tcPr>
            <w:tcW w:w="7049" w:type="dxa"/>
          </w:tcPr>
          <w:p w14:paraId="70154682"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Instrumenti dodatnega temeljnega kapitala in povezani vplačani presežek kapitala, razvrščeni kot obveznosti v skladu z veljavnimi računovodskimi standardi</w:t>
            </w:r>
          </w:p>
          <w:p w14:paraId="7B3EED9F" w14:textId="77777777" w:rsidR="00CC7D2C" w:rsidRPr="002A677E" w:rsidRDefault="00CC7D2C" w:rsidP="00206A48">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obveznosti v skladu z veljavnim računovodskim standardom.</w:t>
            </w:r>
          </w:p>
        </w:tc>
      </w:tr>
      <w:tr w:rsidR="00CC7D2C" w:rsidRPr="002A677E" w14:paraId="58E52AB1" w14:textId="77777777" w:rsidTr="00822842">
        <w:tc>
          <w:tcPr>
            <w:tcW w:w="1474" w:type="dxa"/>
          </w:tcPr>
          <w:p w14:paraId="7B0C140F" w14:textId="77777777" w:rsidR="00CC7D2C" w:rsidRPr="002A677E" w:rsidRDefault="00CC7D2C" w:rsidP="00206A48">
            <w:pPr>
              <w:pStyle w:val="InstructionsText"/>
            </w:pPr>
            <w:r>
              <w:t>0100</w:t>
            </w:r>
          </w:p>
        </w:tc>
        <w:tc>
          <w:tcPr>
            <w:tcW w:w="7049" w:type="dxa"/>
          </w:tcPr>
          <w:p w14:paraId="196A8FDE"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Pr="00F6783D">
              <w:rPr>
                <w:u w:val="single"/>
              </w:rPr>
              <w:tab/>
            </w:r>
            <w:r>
              <w:rPr>
                <w:rStyle w:val="InstructionsTabelleberschrift"/>
                <w:rFonts w:ascii="Times New Roman" w:hAnsi="Times New Roman"/>
                <w:sz w:val="24"/>
              </w:rPr>
              <w:t>Presežek (+) ali primanjkljaj (–) popravkov zaradi kreditnega tveganja, dodatnih prilagoditev vrednosti in drugih zmanjšanj kapitala na pričakovane izgube za izpostavljenosti, ki niso neplačane, po pristopu IRB</w:t>
            </w:r>
          </w:p>
          <w:p w14:paraId="281DFA69" w14:textId="77777777" w:rsidR="00CC7D2C" w:rsidRPr="002A677E" w:rsidRDefault="00CC7D2C" w:rsidP="00206A48">
            <w:pPr>
              <w:pStyle w:val="InstructionsText"/>
            </w:pPr>
            <w:r>
              <w:lastRenderedPageBreak/>
              <w:t>Člen 36(1), točka (d), člen 62, točka (d), člena 158 in 159 Uredbe (EU) št. 575/2013.</w:t>
            </w:r>
          </w:p>
          <w:p w14:paraId="211C61EB" w14:textId="77777777" w:rsidR="00CC7D2C" w:rsidRPr="002A677E" w:rsidRDefault="00CC7D2C" w:rsidP="00206A48">
            <w:pPr>
              <w:pStyle w:val="InstructionsText"/>
            </w:pPr>
            <w:r>
              <w:t>To postavko poročajo le institucije, ki uporabljajo pristop IRB.</w:t>
            </w:r>
          </w:p>
        </w:tc>
      </w:tr>
      <w:tr w:rsidR="00CC7D2C" w:rsidRPr="002A677E" w14:paraId="60712358" w14:textId="77777777" w:rsidTr="00822842">
        <w:tc>
          <w:tcPr>
            <w:tcW w:w="1474" w:type="dxa"/>
          </w:tcPr>
          <w:p w14:paraId="6AA3BC96" w14:textId="77777777" w:rsidR="00CC7D2C" w:rsidRPr="002A677E" w:rsidRDefault="00CC7D2C" w:rsidP="00206A48">
            <w:pPr>
              <w:pStyle w:val="InstructionsText"/>
            </w:pPr>
            <w:r>
              <w:lastRenderedPageBreak/>
              <w:t>0110</w:t>
            </w:r>
          </w:p>
        </w:tc>
        <w:tc>
          <w:tcPr>
            <w:tcW w:w="7049" w:type="dxa"/>
          </w:tcPr>
          <w:p w14:paraId="2686C31A" w14:textId="15435DD2" w:rsidR="00CC7D2C" w:rsidRPr="002A677E" w:rsidRDefault="00CC7D2C" w:rsidP="00206A48">
            <w:pPr>
              <w:pStyle w:val="InstructionsText"/>
            </w:pPr>
            <w:r>
              <w:rPr>
                <w:rStyle w:val="InstructionsTabelleberschrift"/>
                <w:rFonts w:ascii="Times New Roman" w:hAnsi="Times New Roman"/>
                <w:sz w:val="24"/>
              </w:rPr>
              <w:t>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Skupaj popravki zaradi kreditnega tveganja, dodatne prilagoditve vrednosti in druga zmanjšanja kapitala, izračunani za vključitev v izračun zneska pričakovane izgube</w:t>
            </w:r>
          </w:p>
          <w:p w14:paraId="1AF7728C" w14:textId="77777777" w:rsidR="00CC7D2C" w:rsidRPr="002A677E" w:rsidRDefault="00CC7D2C" w:rsidP="00206A48">
            <w:pPr>
              <w:pStyle w:val="InstructionsText"/>
            </w:pPr>
            <w:r>
              <w:t>Člen 159 Uredbe (EU) št. 575/2013.</w:t>
            </w:r>
          </w:p>
          <w:p w14:paraId="21F21DE2" w14:textId="77777777" w:rsidR="00CC7D2C" w:rsidRPr="002A677E" w:rsidRDefault="00CC7D2C" w:rsidP="00206A48">
            <w:pPr>
              <w:pStyle w:val="InstructionsText"/>
            </w:pPr>
            <w:r>
              <w:t>To postavko poročajo le institucije, ki uporabljajo pristop IRB.</w:t>
            </w:r>
          </w:p>
        </w:tc>
      </w:tr>
      <w:tr w:rsidR="00CC7D2C" w:rsidRPr="002A677E" w14:paraId="4D77A801" w14:textId="77777777" w:rsidTr="00822842">
        <w:tc>
          <w:tcPr>
            <w:tcW w:w="1474" w:type="dxa"/>
          </w:tcPr>
          <w:p w14:paraId="6F65C24E" w14:textId="77777777" w:rsidR="00CC7D2C" w:rsidRPr="002A677E" w:rsidRDefault="00CC7D2C" w:rsidP="00206A48">
            <w:pPr>
              <w:pStyle w:val="InstructionsText"/>
            </w:pPr>
            <w:r>
              <w:t>0120</w:t>
            </w:r>
          </w:p>
        </w:tc>
        <w:tc>
          <w:tcPr>
            <w:tcW w:w="7049" w:type="dxa"/>
          </w:tcPr>
          <w:p w14:paraId="2DDC1449" w14:textId="594A3331" w:rsidR="00CC7D2C" w:rsidRPr="002A677E" w:rsidRDefault="00CC7D2C" w:rsidP="00206A48">
            <w:pPr>
              <w:pStyle w:val="InstructionsText"/>
            </w:pPr>
            <w:r>
              <w:rPr>
                <w:rStyle w:val="InstructionsTabelleberschrift"/>
                <w:rFonts w:ascii="Times New Roman" w:hAnsi="Times New Roman"/>
                <w:sz w:val="24"/>
              </w:rPr>
              <w:t>3.1.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Splošni popravki zaradi kreditnega tveganja</w:t>
            </w:r>
          </w:p>
          <w:p w14:paraId="6F03085D" w14:textId="77777777" w:rsidR="00CC7D2C" w:rsidRPr="002A677E" w:rsidRDefault="00CC7D2C" w:rsidP="00206A48">
            <w:pPr>
              <w:pStyle w:val="InstructionsText"/>
            </w:pPr>
            <w:r>
              <w:t>Člen 159 Uredbe (EU) št. 575/2013.</w:t>
            </w:r>
          </w:p>
          <w:p w14:paraId="6264BB70" w14:textId="77777777" w:rsidR="00CC7D2C" w:rsidRPr="002A677E" w:rsidRDefault="00CC7D2C" w:rsidP="00206A48">
            <w:pPr>
              <w:pStyle w:val="InstructionsText"/>
            </w:pPr>
            <w:r>
              <w:t>To postavko poročajo le institucije, ki uporabljajo pristop IRB.</w:t>
            </w:r>
          </w:p>
        </w:tc>
      </w:tr>
      <w:tr w:rsidR="00CC7D2C" w:rsidRPr="002A677E" w14:paraId="6FF7B336" w14:textId="77777777" w:rsidTr="00822842">
        <w:tc>
          <w:tcPr>
            <w:tcW w:w="1474" w:type="dxa"/>
          </w:tcPr>
          <w:p w14:paraId="027512EC" w14:textId="77777777" w:rsidR="00CC7D2C" w:rsidRPr="002A677E" w:rsidRDefault="00CC7D2C" w:rsidP="00206A48">
            <w:pPr>
              <w:pStyle w:val="InstructionsText"/>
            </w:pPr>
            <w:r>
              <w:t>0130</w:t>
            </w:r>
          </w:p>
        </w:tc>
        <w:tc>
          <w:tcPr>
            <w:tcW w:w="7049" w:type="dxa"/>
          </w:tcPr>
          <w:p w14:paraId="60639211" w14:textId="4A787C48" w:rsidR="00CC7D2C" w:rsidRPr="002A677E" w:rsidRDefault="00CC7D2C" w:rsidP="00206A48">
            <w:pPr>
              <w:pStyle w:val="InstructionsText"/>
            </w:pPr>
            <w:r>
              <w:rPr>
                <w:rStyle w:val="InstructionsTabelleberschrift"/>
                <w:rFonts w:ascii="Times New Roman" w:hAnsi="Times New Roman"/>
                <w:sz w:val="24"/>
              </w:rPr>
              <w:t>3.1.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Posebni popravki zaradi kreditnega tveganja</w:t>
            </w:r>
          </w:p>
          <w:p w14:paraId="66E78811" w14:textId="77777777" w:rsidR="00CC7D2C" w:rsidRPr="002A677E" w:rsidRDefault="00CC7D2C" w:rsidP="00206A48">
            <w:pPr>
              <w:pStyle w:val="InstructionsText"/>
            </w:pPr>
            <w:r>
              <w:t>Člen 159 Uredbe (EU) št. 575/2013.</w:t>
            </w:r>
          </w:p>
          <w:p w14:paraId="5B5BE89D" w14:textId="77777777" w:rsidR="00CC7D2C" w:rsidRPr="002A677E" w:rsidRDefault="00CC7D2C" w:rsidP="00206A48">
            <w:pPr>
              <w:pStyle w:val="InstructionsText"/>
            </w:pPr>
            <w:r>
              <w:t>To postavko poročajo le institucije, ki uporabljajo pristop IRB.</w:t>
            </w:r>
          </w:p>
        </w:tc>
      </w:tr>
      <w:tr w:rsidR="00CC7D2C" w:rsidRPr="002A677E" w14:paraId="1507DD8C" w14:textId="77777777" w:rsidTr="00822842">
        <w:tc>
          <w:tcPr>
            <w:tcW w:w="1474" w:type="dxa"/>
          </w:tcPr>
          <w:p w14:paraId="0CA31934" w14:textId="77777777" w:rsidR="00CC7D2C" w:rsidRPr="002A677E" w:rsidRDefault="00CC7D2C" w:rsidP="00206A48">
            <w:pPr>
              <w:pStyle w:val="InstructionsText"/>
            </w:pPr>
            <w:r>
              <w:t>0131</w:t>
            </w:r>
          </w:p>
        </w:tc>
        <w:tc>
          <w:tcPr>
            <w:tcW w:w="7049" w:type="dxa"/>
          </w:tcPr>
          <w:p w14:paraId="680A99A9" w14:textId="04D3A5DB"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Dodatne prilagoditve vrednosti in druga zmanjšanja kapitala</w:t>
            </w:r>
          </w:p>
          <w:p w14:paraId="79B5C3F4"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Členi 34, 110 in 159 </w:t>
            </w:r>
            <w:r>
              <w:t>Uredbe (EU) št. 575/2013.</w:t>
            </w:r>
          </w:p>
          <w:p w14:paraId="4D2B667E" w14:textId="77777777" w:rsidR="00CC7D2C" w:rsidRPr="002A677E" w:rsidRDefault="00CC7D2C" w:rsidP="00206A48">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CC7D2C" w:rsidRPr="002A677E" w14:paraId="2D986C78" w14:textId="77777777" w:rsidTr="00822842">
        <w:tc>
          <w:tcPr>
            <w:tcW w:w="1474" w:type="dxa"/>
          </w:tcPr>
          <w:p w14:paraId="69CAFB4E" w14:textId="77777777" w:rsidR="00CC7D2C" w:rsidRPr="002A677E" w:rsidRDefault="00CC7D2C" w:rsidP="00206A48">
            <w:pPr>
              <w:pStyle w:val="InstructionsText"/>
            </w:pPr>
            <w:r>
              <w:t>0140</w:t>
            </w:r>
          </w:p>
        </w:tc>
        <w:tc>
          <w:tcPr>
            <w:tcW w:w="7049" w:type="dxa"/>
          </w:tcPr>
          <w:p w14:paraId="2B17C910" w14:textId="67E97B3C" w:rsidR="00CC7D2C" w:rsidRPr="002A677E" w:rsidRDefault="00CC7D2C" w:rsidP="00206A48">
            <w:pPr>
              <w:pStyle w:val="InstructionsText"/>
            </w:pPr>
            <w:r>
              <w:rPr>
                <w:rStyle w:val="InstructionsTabelleberschrift"/>
                <w:rFonts w:ascii="Times New Roman" w:hAnsi="Times New Roman"/>
                <w:sz w:val="24"/>
              </w:rPr>
              <w:t>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Skupaj izračunane pričakovane izgube </w:t>
            </w:r>
          </w:p>
          <w:p w14:paraId="4A89299A" w14:textId="77777777" w:rsidR="00CC7D2C" w:rsidRPr="002A677E" w:rsidRDefault="00CC7D2C" w:rsidP="00206A48">
            <w:pPr>
              <w:pStyle w:val="InstructionsText"/>
            </w:pPr>
            <w:r>
              <w:t>Člen 158, odstavki 5, 6 in 10, in člen 159 Uredbe (EU) št. 575/2013.</w:t>
            </w:r>
          </w:p>
          <w:p w14:paraId="0B0DDB08" w14:textId="77777777" w:rsidR="00CC7D2C" w:rsidRPr="002A677E" w:rsidRDefault="00CC7D2C" w:rsidP="00206A48">
            <w:pPr>
              <w:pStyle w:val="InstructionsText"/>
            </w:pPr>
            <w:r>
              <w:t>To postavko poročajo le institucije, ki uporabljajo pristop IRB. Poroča se le pričakovana izguba, povezana z izpostavljenostmi, ki niso neplačane.</w:t>
            </w:r>
          </w:p>
        </w:tc>
      </w:tr>
      <w:tr w:rsidR="00CC7D2C" w:rsidRPr="002A677E" w14:paraId="0CCA5EBD" w14:textId="77777777" w:rsidTr="00822842">
        <w:tc>
          <w:tcPr>
            <w:tcW w:w="1474" w:type="dxa"/>
          </w:tcPr>
          <w:p w14:paraId="4B85F1AA" w14:textId="77777777" w:rsidR="00CC7D2C" w:rsidRPr="002A677E" w:rsidRDefault="00CC7D2C" w:rsidP="00206A48">
            <w:pPr>
              <w:pStyle w:val="InstructionsText"/>
            </w:pPr>
            <w:r>
              <w:t>0145</w:t>
            </w:r>
          </w:p>
        </w:tc>
        <w:tc>
          <w:tcPr>
            <w:tcW w:w="7049" w:type="dxa"/>
          </w:tcPr>
          <w:p w14:paraId="6C94D7D4"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4. Presežek (+) ali primanjkljaj (–) posebnih popravkov zaradi kreditnega tveganja na pričakovane izgube za neplačane izpostavljenosti, po pristopu IRB</w:t>
            </w:r>
          </w:p>
          <w:p w14:paraId="2528CE63" w14:textId="77777777" w:rsidR="00CC7D2C" w:rsidRPr="002A677E" w:rsidRDefault="00CC7D2C" w:rsidP="00206A48">
            <w:pPr>
              <w:pStyle w:val="InstructionsText"/>
            </w:pPr>
            <w:r>
              <w:t>Člen 36(1), točka (d), člen 62, točka (d), člena 158 in 159 Uredbe (EU) št. 575/2013.</w:t>
            </w:r>
          </w:p>
          <w:p w14:paraId="298274DF" w14:textId="77777777" w:rsidR="00CC7D2C" w:rsidRPr="002A677E" w:rsidRDefault="00CC7D2C" w:rsidP="00206A48">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CC7D2C" w:rsidRPr="002A677E" w14:paraId="49FDD675" w14:textId="77777777" w:rsidTr="00822842">
        <w:tc>
          <w:tcPr>
            <w:tcW w:w="1474" w:type="dxa"/>
          </w:tcPr>
          <w:p w14:paraId="4AA13653" w14:textId="77777777" w:rsidR="00CC7D2C" w:rsidRPr="002A677E" w:rsidRDefault="00CC7D2C" w:rsidP="00206A48">
            <w:pPr>
              <w:pStyle w:val="InstructionsText"/>
            </w:pPr>
            <w:r>
              <w:t>0150</w:t>
            </w:r>
          </w:p>
        </w:tc>
        <w:tc>
          <w:tcPr>
            <w:tcW w:w="7049" w:type="dxa"/>
          </w:tcPr>
          <w:p w14:paraId="25ADFACD" w14:textId="64113610"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Posebne prilagoditve zaradi kreditnega tveganja in pozicije, ki so obravnavane podobno</w:t>
            </w:r>
          </w:p>
          <w:p w14:paraId="1E7B4C7D" w14:textId="77777777" w:rsidR="00CC7D2C" w:rsidRPr="002A677E" w:rsidRDefault="00CC7D2C" w:rsidP="00206A48">
            <w:pPr>
              <w:pStyle w:val="InstructionsText"/>
            </w:pPr>
            <w:r>
              <w:t>Člen 159 Uredbe (EU) št. 575/2013.</w:t>
            </w:r>
          </w:p>
          <w:p w14:paraId="7B320BDB" w14:textId="77777777" w:rsidR="00CC7D2C" w:rsidRPr="002A677E" w:rsidRDefault="00CC7D2C" w:rsidP="00206A48">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CC7D2C" w:rsidRPr="002A677E" w14:paraId="2F2C21CB" w14:textId="77777777" w:rsidTr="00822842">
        <w:tc>
          <w:tcPr>
            <w:tcW w:w="1474" w:type="dxa"/>
          </w:tcPr>
          <w:p w14:paraId="2A1910C2" w14:textId="77777777" w:rsidR="00CC7D2C" w:rsidRPr="002A677E" w:rsidRDefault="00CC7D2C" w:rsidP="00206A48">
            <w:pPr>
              <w:pStyle w:val="InstructionsText"/>
            </w:pPr>
            <w:r>
              <w:t>0155</w:t>
            </w:r>
          </w:p>
        </w:tc>
        <w:tc>
          <w:tcPr>
            <w:tcW w:w="7049" w:type="dxa"/>
          </w:tcPr>
          <w:p w14:paraId="1EA4BC8B" w14:textId="6D1E95DD"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Skupaj izračunane pričakovane izgube</w:t>
            </w:r>
          </w:p>
          <w:p w14:paraId="30E1E0B6" w14:textId="77777777" w:rsidR="00CC7D2C" w:rsidRPr="002A677E" w:rsidRDefault="00CC7D2C" w:rsidP="00206A48">
            <w:pPr>
              <w:pStyle w:val="InstructionsText"/>
              <w:rPr>
                <w:rStyle w:val="InstructionsTabelleberschrift"/>
                <w:rFonts w:ascii="Times New Roman" w:hAnsi="Times New Roman"/>
                <w:sz w:val="24"/>
              </w:rPr>
            </w:pPr>
            <w:r>
              <w:t>Člen 158, odstavki 5, 6 in 10, in člen 159 Uredbe (EU) št. 575/2013.</w:t>
            </w:r>
          </w:p>
          <w:p w14:paraId="64767324" w14:textId="77777777" w:rsidR="00CC7D2C" w:rsidRPr="002A677E" w:rsidRDefault="00CC7D2C" w:rsidP="00206A48">
            <w:pPr>
              <w:pStyle w:val="InstructionsText"/>
              <w:rPr>
                <w:rStyle w:val="InstructionsTabelleberschrift"/>
                <w:rFonts w:ascii="Times New Roman" w:hAnsi="Times New Roman"/>
                <w:b w:val="0"/>
                <w:bCs w:val="0"/>
                <w:sz w:val="24"/>
                <w:u w:val="none"/>
              </w:rPr>
            </w:pPr>
            <w:r>
              <w:t>To postavko poročajo le institucije, ki uporabljajo pristop IRB. Poroča se le pričakovana izguba, povezana z neplačanimi izpostavljenostmi.</w:t>
            </w:r>
          </w:p>
        </w:tc>
      </w:tr>
      <w:tr w:rsidR="00CC7D2C" w:rsidRPr="002A677E" w14:paraId="3D2CC5A7" w14:textId="77777777" w:rsidTr="00822842">
        <w:tc>
          <w:tcPr>
            <w:tcW w:w="1474" w:type="dxa"/>
          </w:tcPr>
          <w:p w14:paraId="4B1929EF" w14:textId="77777777" w:rsidR="00CC7D2C" w:rsidRPr="002A677E" w:rsidRDefault="00CC7D2C" w:rsidP="00206A48">
            <w:pPr>
              <w:pStyle w:val="InstructionsText"/>
            </w:pPr>
            <w:r>
              <w:lastRenderedPageBreak/>
              <w:t>0160</w:t>
            </w:r>
          </w:p>
        </w:tc>
        <w:tc>
          <w:tcPr>
            <w:tcW w:w="7049" w:type="dxa"/>
          </w:tcPr>
          <w:p w14:paraId="1F6A90B7" w14:textId="77777777" w:rsidR="00CC7D2C" w:rsidRPr="002A677E" w:rsidRDefault="00CC7D2C" w:rsidP="00206A48">
            <w:pPr>
              <w:pStyle w:val="InstructionsText"/>
            </w:pPr>
            <w:r>
              <w:rPr>
                <w:rStyle w:val="InstructionsTabelleberschrift"/>
                <w:rFonts w:ascii="Times New Roman" w:hAnsi="Times New Roman"/>
                <w:sz w:val="24"/>
              </w:rPr>
              <w:t>5.</w:t>
            </w:r>
            <w:r w:rsidRPr="00F6783D">
              <w:rPr>
                <w:u w:val="single"/>
              </w:rPr>
              <w:tab/>
            </w:r>
            <w:r>
              <w:rPr>
                <w:rStyle w:val="InstructionsTabelleberschrift"/>
                <w:rFonts w:ascii="Times New Roman" w:hAnsi="Times New Roman"/>
                <w:sz w:val="24"/>
              </w:rPr>
              <w:t>Zneski tveganju prilagojenih izpostavljenosti za izračun zgornje meje za presežek rezervacij, sprejemljivih kot dodatni kapital</w:t>
            </w:r>
          </w:p>
          <w:p w14:paraId="563E7C9E" w14:textId="77777777" w:rsidR="00CC7D2C" w:rsidRPr="002A677E" w:rsidRDefault="00CC7D2C" w:rsidP="00206A48">
            <w:pPr>
              <w:pStyle w:val="InstructionsText"/>
            </w:pPr>
            <w:r>
              <w:t>Člen 62, točka (d), Uredbe (EU) št. 575/2013.</w:t>
            </w:r>
          </w:p>
          <w:p w14:paraId="363FA5D2" w14:textId="77777777" w:rsidR="00CC7D2C" w:rsidRPr="002A677E" w:rsidRDefault="00CC7D2C" w:rsidP="00206A48">
            <w:pPr>
              <w:pStyle w:val="InstructionsText"/>
            </w:pPr>
            <w:r>
              <w:t xml:space="preserve">Za institucije, ki uporabljajo pristop IRB, je presežni znesek rezervacij (za pričakovane izgube), sprejemljivih za vključitev v dodatni kapital, </w:t>
            </w:r>
            <w:r>
              <w:rPr>
                <w:rStyle w:val="FormatvorlageInstructionsTabelleText"/>
                <w:rFonts w:ascii="Times New Roman" w:hAnsi="Times New Roman"/>
                <w:sz w:val="24"/>
              </w:rPr>
              <w:t xml:space="preserve">v skladu s </w:t>
            </w:r>
            <w:r>
              <w:t>členom 62, točka (d), Uredbe (EU) št. 575/2013 omejen na 0,6 % zneskov tveganju prilagojenih izpostavljenosti, izračunanih na podlagi pristopa IRB.</w:t>
            </w:r>
          </w:p>
          <w:p w14:paraId="42C93CC2" w14:textId="77777777" w:rsidR="00CC7D2C" w:rsidRPr="002A677E" w:rsidRDefault="00CC7D2C" w:rsidP="00206A48">
            <w:pPr>
              <w:pStyle w:val="InstructionsText"/>
            </w:pPr>
            <w:r>
              <w:t>Znesek, ki se poroča v tej postavki, je znesek tveganju prilagojenih izpostavljenosti (kar pomeni, da ni pomnožen z 0,6 %) in je osnova za izračun omejitve.</w:t>
            </w:r>
          </w:p>
        </w:tc>
      </w:tr>
      <w:tr w:rsidR="00CC7D2C" w:rsidRPr="002A677E" w14:paraId="60C783AB" w14:textId="77777777" w:rsidTr="00822842">
        <w:tc>
          <w:tcPr>
            <w:tcW w:w="1474" w:type="dxa"/>
          </w:tcPr>
          <w:p w14:paraId="79A77613" w14:textId="77777777" w:rsidR="00CC7D2C" w:rsidRPr="002A677E" w:rsidRDefault="00CC7D2C" w:rsidP="00206A48">
            <w:pPr>
              <w:pStyle w:val="InstructionsText"/>
            </w:pPr>
            <w:r>
              <w:t>0170</w:t>
            </w:r>
          </w:p>
        </w:tc>
        <w:tc>
          <w:tcPr>
            <w:tcW w:w="7049" w:type="dxa"/>
          </w:tcPr>
          <w:p w14:paraId="2869B203" w14:textId="77777777" w:rsidR="00CC7D2C" w:rsidRPr="002A677E" w:rsidRDefault="00CC7D2C" w:rsidP="00206A48">
            <w:pPr>
              <w:pStyle w:val="InstructionsText"/>
            </w:pPr>
            <w:r>
              <w:rPr>
                <w:rStyle w:val="InstructionsTabelleberschrift"/>
                <w:rFonts w:ascii="Times New Roman" w:hAnsi="Times New Roman"/>
                <w:sz w:val="24"/>
              </w:rPr>
              <w:t>6.</w:t>
            </w:r>
            <w:r w:rsidRPr="00F6783D">
              <w:rPr>
                <w:u w:val="single"/>
              </w:rPr>
              <w:tab/>
            </w:r>
            <w:r>
              <w:rPr>
                <w:rStyle w:val="InstructionsTabelleberschrift"/>
                <w:rFonts w:ascii="Times New Roman" w:hAnsi="Times New Roman"/>
                <w:sz w:val="24"/>
              </w:rPr>
              <w:t>Skupaj bruto rezervacije, sprejemljive za vključitev v dodatni kapital</w:t>
            </w:r>
          </w:p>
          <w:p w14:paraId="79DEE159" w14:textId="77777777" w:rsidR="00CC7D2C" w:rsidRPr="002A677E" w:rsidRDefault="00CC7D2C" w:rsidP="00206A48">
            <w:pPr>
              <w:pStyle w:val="InstructionsText"/>
            </w:pPr>
            <w:r>
              <w:t>Člen 62, točka (c), Uredbe (EU) št. 575/2013.</w:t>
            </w:r>
          </w:p>
          <w:p w14:paraId="7677FF60" w14:textId="77777777" w:rsidR="00CC7D2C" w:rsidRPr="002A677E" w:rsidRDefault="00CC7D2C" w:rsidP="00206A48">
            <w:pPr>
              <w:pStyle w:val="InstructionsText"/>
            </w:pPr>
            <w:r>
              <w:t>Ta postavka vključuje splošne popravke zaradi kreditnega tveganja, ki so sprejemljivi za vključitev v dodatni kapital, pred uporabo zgornje meje.</w:t>
            </w:r>
          </w:p>
          <w:p w14:paraId="748D0361" w14:textId="77777777" w:rsidR="00CC7D2C" w:rsidRPr="002A677E" w:rsidRDefault="00CC7D2C" w:rsidP="00206A48">
            <w:pPr>
              <w:pStyle w:val="InstructionsText"/>
            </w:pPr>
            <w:r>
              <w:t>V znesku, ki se poroča, so upoštevani davčni učinki.</w:t>
            </w:r>
          </w:p>
        </w:tc>
      </w:tr>
      <w:tr w:rsidR="00CC7D2C" w:rsidRPr="002A677E" w14:paraId="61A88AE0" w14:textId="77777777" w:rsidTr="00822842">
        <w:tc>
          <w:tcPr>
            <w:tcW w:w="1474" w:type="dxa"/>
          </w:tcPr>
          <w:p w14:paraId="61131275" w14:textId="77777777" w:rsidR="00CC7D2C" w:rsidRPr="002A677E" w:rsidRDefault="00CC7D2C" w:rsidP="00206A48">
            <w:pPr>
              <w:pStyle w:val="InstructionsText"/>
            </w:pPr>
            <w:r>
              <w:t>0180</w:t>
            </w:r>
          </w:p>
        </w:tc>
        <w:tc>
          <w:tcPr>
            <w:tcW w:w="7049" w:type="dxa"/>
          </w:tcPr>
          <w:p w14:paraId="33B7FC74" w14:textId="77777777" w:rsidR="00CC7D2C" w:rsidRPr="002A677E" w:rsidRDefault="00CC7D2C" w:rsidP="00206A48">
            <w:pPr>
              <w:pStyle w:val="InstructionsText"/>
            </w:pPr>
            <w:r>
              <w:rPr>
                <w:rStyle w:val="InstructionsTabelleberschrift"/>
                <w:rFonts w:ascii="Times New Roman" w:hAnsi="Times New Roman"/>
                <w:sz w:val="24"/>
              </w:rPr>
              <w:t>7.</w:t>
            </w:r>
            <w:r w:rsidRPr="00F6783D">
              <w:rPr>
                <w:u w:val="single"/>
              </w:rPr>
              <w:tab/>
            </w:r>
            <w:r>
              <w:rPr>
                <w:rStyle w:val="InstructionsTabelleberschrift"/>
                <w:rFonts w:ascii="Times New Roman" w:hAnsi="Times New Roman"/>
                <w:sz w:val="24"/>
              </w:rPr>
              <w:t>Zneski tveganju prilagojenih izpostavljenosti za izračun zgornje meje za rezervacije, sprejemljive kot dodatni kapital</w:t>
            </w:r>
          </w:p>
          <w:p w14:paraId="345CC1D6" w14:textId="77777777" w:rsidR="00CC7D2C" w:rsidRPr="002A677E" w:rsidRDefault="00CC7D2C" w:rsidP="00206A48">
            <w:pPr>
              <w:pStyle w:val="InstructionsText"/>
            </w:pPr>
            <w:r>
              <w:t>Člen 62, točka (c), Uredbe (EU) št. 575/2013.</w:t>
            </w:r>
          </w:p>
          <w:p w14:paraId="65850475" w14:textId="77777777" w:rsidR="00CC7D2C" w:rsidRPr="002A677E" w:rsidRDefault="00CC7D2C" w:rsidP="00206A48">
            <w:pPr>
              <w:pStyle w:val="InstructionsText"/>
            </w:pPr>
            <w:r>
              <w:t>V skladu s členom 62, točka (c), Uredbe (EU) št. 575/2013 so popravki zaradi kreditnega tveganja, sprejemljivi za vključitev v dodatni kapital, omejeni na 1,25 % zneskov tveganju prilagojenih izpostavljenosti.</w:t>
            </w:r>
          </w:p>
          <w:p w14:paraId="3B08F4EA" w14:textId="77777777" w:rsidR="00CC7D2C" w:rsidRPr="002A677E" w:rsidRDefault="00CC7D2C" w:rsidP="00206A48">
            <w:pPr>
              <w:pStyle w:val="InstructionsText"/>
            </w:pPr>
            <w:r>
              <w:t>Znesek, ki se poroča v tej postavki, je znesek tveganju prilagojenih izpostavljenosti (kar pomeni, da ni pomnožen z 1,25 %) in je osnova za izračun omejitve.</w:t>
            </w:r>
          </w:p>
        </w:tc>
      </w:tr>
      <w:tr w:rsidR="00CC7D2C" w:rsidRPr="002A677E" w14:paraId="42A495BB" w14:textId="77777777" w:rsidTr="00822842">
        <w:tc>
          <w:tcPr>
            <w:tcW w:w="1474" w:type="dxa"/>
          </w:tcPr>
          <w:p w14:paraId="19E4935C" w14:textId="77777777" w:rsidR="00CC7D2C" w:rsidRPr="002A677E" w:rsidRDefault="00CC7D2C" w:rsidP="00206A48">
            <w:pPr>
              <w:pStyle w:val="InstructionsText"/>
            </w:pPr>
            <w:r>
              <w:t>0190</w:t>
            </w:r>
          </w:p>
        </w:tc>
        <w:tc>
          <w:tcPr>
            <w:tcW w:w="7049" w:type="dxa"/>
          </w:tcPr>
          <w:p w14:paraId="70F5FE0C" w14:textId="77777777" w:rsidR="00CC7D2C" w:rsidRPr="002A677E" w:rsidRDefault="00CC7D2C" w:rsidP="00206A48">
            <w:pPr>
              <w:pStyle w:val="InstructionsText"/>
            </w:pPr>
            <w:r>
              <w:rPr>
                <w:rStyle w:val="InstructionsTabelleberschrift"/>
                <w:rFonts w:ascii="Times New Roman" w:hAnsi="Times New Roman"/>
                <w:sz w:val="24"/>
              </w:rPr>
              <w:t>8.</w:t>
            </w:r>
            <w:r w:rsidRPr="00F6783D">
              <w:rPr>
                <w:u w:val="single"/>
              </w:rPr>
              <w:tab/>
            </w:r>
            <w:r>
              <w:rPr>
                <w:rStyle w:val="InstructionsTabelleberschrift"/>
                <w:rFonts w:ascii="Times New Roman" w:hAnsi="Times New Roman"/>
                <w:sz w:val="24"/>
              </w:rPr>
              <w:t xml:space="preserve">Prag za </w:t>
            </w:r>
            <w:proofErr w:type="spellStart"/>
            <w:r>
              <w:rPr>
                <w:rStyle w:val="InstructionsTabelleberschrift"/>
                <w:rFonts w:ascii="Times New Roman" w:hAnsi="Times New Roman"/>
                <w:sz w:val="24"/>
              </w:rPr>
              <w:t>neodbite</w:t>
            </w:r>
            <w:proofErr w:type="spellEnd"/>
            <w:r>
              <w:rPr>
                <w:rStyle w:val="InstructionsTabelleberschrift"/>
                <w:rFonts w:ascii="Times New Roman" w:hAnsi="Times New Roman"/>
                <w:sz w:val="24"/>
              </w:rPr>
              <w:t xml:space="preserve"> deleže v subjektih finančnega sektorja, v katerih institucija nima pomembne naložbe</w:t>
            </w:r>
          </w:p>
          <w:p w14:paraId="281FF318" w14:textId="77777777" w:rsidR="00CC7D2C" w:rsidRPr="002A677E" w:rsidRDefault="00CC7D2C" w:rsidP="00206A48">
            <w:pPr>
              <w:pStyle w:val="InstructionsText"/>
            </w:pPr>
            <w:r>
              <w:t>Člen 46(1), točka (a), Uredbe (EU) št. 575/2013.</w:t>
            </w:r>
          </w:p>
          <w:p w14:paraId="6CBDA660" w14:textId="77777777" w:rsidR="00CC7D2C" w:rsidRPr="002A677E" w:rsidRDefault="00CC7D2C" w:rsidP="00206A48">
            <w:pPr>
              <w:pStyle w:val="InstructionsText"/>
            </w:pPr>
            <w:r>
              <w:t>Ta postavka vključuje prag, do katerega se deleži v subjektih finančnega sektorja, v katerih institucija nima pomembne naložbe, ne odbijejo. Znesek se izračuna s seštetjem vseh postavk, ki so osnova praga, tako dobljena vsota pa se nato zmnoži z 10 %.</w:t>
            </w:r>
          </w:p>
        </w:tc>
      </w:tr>
      <w:tr w:rsidR="00CC7D2C" w:rsidRPr="002A677E" w14:paraId="016320B7" w14:textId="77777777" w:rsidTr="00822842">
        <w:tc>
          <w:tcPr>
            <w:tcW w:w="1474" w:type="dxa"/>
          </w:tcPr>
          <w:p w14:paraId="3F10ED4B" w14:textId="77777777" w:rsidR="00CC7D2C" w:rsidRPr="002A677E" w:rsidRDefault="00CC7D2C" w:rsidP="00206A48">
            <w:pPr>
              <w:pStyle w:val="InstructionsText"/>
            </w:pPr>
            <w:r>
              <w:t>0200</w:t>
            </w:r>
          </w:p>
        </w:tc>
        <w:tc>
          <w:tcPr>
            <w:tcW w:w="7049" w:type="dxa"/>
          </w:tcPr>
          <w:p w14:paraId="076C1F3B" w14:textId="77777777" w:rsidR="00CC7D2C" w:rsidRPr="002A677E" w:rsidRDefault="00CC7D2C" w:rsidP="00206A48">
            <w:pPr>
              <w:pStyle w:val="InstructionsText"/>
            </w:pPr>
            <w:r>
              <w:rPr>
                <w:rStyle w:val="InstructionsTabelleberschrift"/>
                <w:rFonts w:ascii="Times New Roman" w:hAnsi="Times New Roman"/>
                <w:sz w:val="24"/>
              </w:rPr>
              <w:t>9.</w:t>
            </w:r>
            <w:r w:rsidRPr="00F6783D">
              <w:rPr>
                <w:u w:val="single"/>
              </w:rPr>
              <w:tab/>
            </w:r>
            <w:r>
              <w:rPr>
                <w:rStyle w:val="InstructionsTabelleberschrift"/>
                <w:rFonts w:ascii="Times New Roman" w:hAnsi="Times New Roman"/>
                <w:sz w:val="24"/>
              </w:rPr>
              <w:t xml:space="preserve">10-odstotni prag navadnega lastniškega temeljnega kapitala </w:t>
            </w:r>
          </w:p>
          <w:p w14:paraId="59F6CAC3" w14:textId="77777777" w:rsidR="00CC7D2C" w:rsidRPr="002A677E" w:rsidRDefault="00CC7D2C" w:rsidP="00206A48">
            <w:pPr>
              <w:pStyle w:val="InstructionsText"/>
            </w:pPr>
            <w:r>
              <w:t>Člen 48(1), točki (a) in (b), Uredbe (EU) št. 575/2013.</w:t>
            </w:r>
          </w:p>
          <w:p w14:paraId="6BCD7ABF" w14:textId="77777777" w:rsidR="00CC7D2C" w:rsidRPr="002A677E" w:rsidRDefault="00CC7D2C" w:rsidP="00206A48">
            <w:pPr>
              <w:pStyle w:val="InstructionsText"/>
            </w:pPr>
            <w:r>
              <w:t>Postavka vključuje prag 10 % za deleže v subjektih finančnega sektorja, v katerih ima institucija pomembno naložbo, ter za odložene terjatve za davek, ki se nanašajo na prihodnji dobiček in izhajajo iz začasnih razlik.</w:t>
            </w:r>
          </w:p>
          <w:p w14:paraId="44EADE68" w14:textId="77777777" w:rsidR="00CC7D2C" w:rsidRPr="002A677E" w:rsidRDefault="00CC7D2C" w:rsidP="00206A48">
            <w:pPr>
              <w:pStyle w:val="InstructionsText"/>
            </w:pPr>
            <w:r>
              <w:lastRenderedPageBreak/>
              <w:t>Znesek se izračuna s seštetjem vseh postavk, ki so osnova praga, tako dobljena vsota pa se nato zmnoži z 10 %.</w:t>
            </w:r>
          </w:p>
        </w:tc>
      </w:tr>
      <w:tr w:rsidR="00CC7D2C" w:rsidRPr="002A677E" w14:paraId="60475AA7" w14:textId="77777777" w:rsidTr="00822842">
        <w:tc>
          <w:tcPr>
            <w:tcW w:w="1474" w:type="dxa"/>
          </w:tcPr>
          <w:p w14:paraId="52EAB34B" w14:textId="77777777" w:rsidR="00CC7D2C" w:rsidRPr="002A677E" w:rsidRDefault="00CC7D2C" w:rsidP="00206A48">
            <w:pPr>
              <w:pStyle w:val="InstructionsText"/>
            </w:pPr>
            <w:r>
              <w:lastRenderedPageBreak/>
              <w:t>0210</w:t>
            </w:r>
          </w:p>
        </w:tc>
        <w:tc>
          <w:tcPr>
            <w:tcW w:w="7049" w:type="dxa"/>
          </w:tcPr>
          <w:p w14:paraId="10ED2189" w14:textId="77777777" w:rsidR="00CC7D2C" w:rsidRPr="002A677E" w:rsidRDefault="00CC7D2C" w:rsidP="00206A48">
            <w:pPr>
              <w:pStyle w:val="InstructionsText"/>
            </w:pPr>
            <w:r>
              <w:rPr>
                <w:rStyle w:val="InstructionsTabelleberschrift"/>
                <w:rFonts w:ascii="Times New Roman" w:hAnsi="Times New Roman"/>
                <w:sz w:val="24"/>
              </w:rPr>
              <w:t>10.</w:t>
            </w:r>
            <w:r w:rsidRPr="00F6783D">
              <w:rPr>
                <w:u w:val="single"/>
              </w:rPr>
              <w:tab/>
            </w:r>
            <w:r>
              <w:rPr>
                <w:rStyle w:val="InstructionsTabelleberschrift"/>
                <w:rFonts w:ascii="Times New Roman" w:hAnsi="Times New Roman"/>
                <w:sz w:val="24"/>
              </w:rPr>
              <w:t xml:space="preserve">17,65-odstotni prag navadnega lastniškega temeljnega kapitala </w:t>
            </w:r>
          </w:p>
          <w:p w14:paraId="742C492D" w14:textId="77777777" w:rsidR="00CC7D2C" w:rsidRPr="002A677E" w:rsidRDefault="00CC7D2C" w:rsidP="00206A48">
            <w:pPr>
              <w:pStyle w:val="InstructionsText"/>
            </w:pPr>
            <w:r>
              <w:t>Člen 48(1) Uredbe (EU) št. 575/2013.</w:t>
            </w:r>
          </w:p>
          <w:p w14:paraId="62003D54" w14:textId="77777777" w:rsidR="00CC7D2C" w:rsidRPr="002A677E" w:rsidRDefault="00CC7D2C" w:rsidP="00206A48">
            <w:pPr>
              <w:pStyle w:val="InstructionsText"/>
            </w:pPr>
            <w:r>
              <w:t>Postavka vključuje prag 17,65 % za deleže v subjektih finančnega sektorja, v katerih ima institucija pomembno naložbo, ter za odložene terjatve za davek, ki se nanašajo na prihodnji dobiček in izhajajo iz začasnih razlik, ki se uporabi po 10-odstotnem pragu.</w:t>
            </w:r>
          </w:p>
          <w:p w14:paraId="3E3DB4A1" w14:textId="77777777" w:rsidR="00CC7D2C" w:rsidRPr="002A677E" w:rsidRDefault="00CC7D2C" w:rsidP="00206A48">
            <w:pPr>
              <w:pStyle w:val="InstructionsText"/>
            </w:pPr>
            <w:r>
              <w:t>Prag se izračuna tako, da pripoznani znesek obeh postavk ne presega 15 % končnega navadnega lastniškega temeljnega kapitala, tj. navadnega lastniškega temeljnega kapitala, ki se izračuna po vseh odbitkih in ne vključuje prilagoditev zaradi prehodnih določb.</w:t>
            </w:r>
          </w:p>
        </w:tc>
      </w:tr>
      <w:tr w:rsidR="00CC7D2C" w:rsidRPr="002A677E" w14:paraId="0142E433" w14:textId="77777777" w:rsidTr="00822842">
        <w:tc>
          <w:tcPr>
            <w:tcW w:w="1474" w:type="dxa"/>
          </w:tcPr>
          <w:p w14:paraId="2C6DB487" w14:textId="77777777" w:rsidR="00CC7D2C" w:rsidRPr="002A677E" w:rsidRDefault="00CC7D2C" w:rsidP="00206A48">
            <w:pPr>
              <w:pStyle w:val="InstructionsText"/>
            </w:pPr>
            <w:r>
              <w:t>0225</w:t>
            </w:r>
          </w:p>
        </w:tc>
        <w:tc>
          <w:tcPr>
            <w:tcW w:w="7049" w:type="dxa"/>
          </w:tcPr>
          <w:p w14:paraId="07B35C30"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F6783D">
              <w:rPr>
                <w:u w:val="single"/>
              </w:rPr>
              <w:tab/>
            </w:r>
            <w:r>
              <w:rPr>
                <w:rStyle w:val="InstructionsTabelleberschrift"/>
                <w:rFonts w:ascii="Times New Roman" w:hAnsi="Times New Roman"/>
                <w:sz w:val="24"/>
              </w:rPr>
              <w:t>Sprejemljiv kapital za namene kvalificiranih deležev zunaj finančnega sektorja</w:t>
            </w:r>
          </w:p>
          <w:p w14:paraId="06E4594F"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Člen 4(1), točka 71, točka (a),</w:t>
            </w:r>
            <w:r>
              <w:t xml:space="preserve"> Uredbe (EU) št. 575/2013.</w:t>
            </w:r>
          </w:p>
        </w:tc>
      </w:tr>
      <w:tr w:rsidR="00CC7D2C" w:rsidRPr="002A677E" w14:paraId="01AAA752" w14:textId="77777777" w:rsidTr="00822842">
        <w:tc>
          <w:tcPr>
            <w:tcW w:w="1474" w:type="dxa"/>
          </w:tcPr>
          <w:p w14:paraId="7E392A5A" w14:textId="77777777" w:rsidR="00CC7D2C" w:rsidRPr="002A677E" w:rsidRDefault="00CC7D2C" w:rsidP="00206A48">
            <w:pPr>
              <w:pStyle w:val="InstructionsText"/>
            </w:pPr>
            <w:r>
              <w:t>0230</w:t>
            </w:r>
          </w:p>
        </w:tc>
        <w:tc>
          <w:tcPr>
            <w:tcW w:w="7049" w:type="dxa"/>
          </w:tcPr>
          <w:p w14:paraId="721AB6E1" w14:textId="77777777" w:rsidR="00CC7D2C" w:rsidRPr="002A677E" w:rsidRDefault="00CC7D2C" w:rsidP="00206A48">
            <w:pPr>
              <w:pStyle w:val="InstructionsText"/>
            </w:pPr>
            <w:r>
              <w:rPr>
                <w:rStyle w:val="InstructionsTabelleberschrift"/>
                <w:rFonts w:ascii="Times New Roman" w:hAnsi="Times New Roman"/>
                <w:sz w:val="24"/>
              </w:rPr>
              <w:t>12.</w:t>
            </w:r>
            <w:r w:rsidRPr="00F6783D">
              <w:rPr>
                <w:u w:val="single"/>
              </w:rPr>
              <w:tab/>
            </w:r>
            <w:r>
              <w:rPr>
                <w:rStyle w:val="InstructionsTabelleberschrift"/>
                <w:rFonts w:ascii="Times New Roman" w:hAnsi="Times New Roman"/>
                <w:sz w:val="24"/>
              </w:rPr>
              <w:t>Deleži v navadnem lastniškem temeljnem kapitalu subjektov finančnega sektorja, v katerih institucija nima pomembne naložbe, pri čemer se odštejejo kratke pozicije</w:t>
            </w:r>
          </w:p>
          <w:p w14:paraId="05E6C89B" w14:textId="77777777" w:rsidR="00CC7D2C" w:rsidRPr="002A677E" w:rsidRDefault="00CC7D2C" w:rsidP="00206A48">
            <w:pPr>
              <w:pStyle w:val="InstructionsText"/>
            </w:pPr>
            <w:r>
              <w:t>Členi 44, 45, 46 in 49 Uredbe (EU) št. 575/2013.</w:t>
            </w:r>
          </w:p>
        </w:tc>
      </w:tr>
      <w:tr w:rsidR="00CC7D2C" w:rsidRPr="002A677E" w14:paraId="26F36F77" w14:textId="77777777" w:rsidTr="00822842">
        <w:tc>
          <w:tcPr>
            <w:tcW w:w="1474" w:type="dxa"/>
          </w:tcPr>
          <w:p w14:paraId="0AE1B36F" w14:textId="77777777" w:rsidR="00CC7D2C" w:rsidRPr="002A677E" w:rsidRDefault="00CC7D2C" w:rsidP="00206A48">
            <w:pPr>
              <w:pStyle w:val="InstructionsText"/>
            </w:pPr>
            <w:r>
              <w:t>0240</w:t>
            </w:r>
          </w:p>
        </w:tc>
        <w:tc>
          <w:tcPr>
            <w:tcW w:w="7049" w:type="dxa"/>
          </w:tcPr>
          <w:p w14:paraId="0FAD571C" w14:textId="45F1E43E" w:rsidR="00CC7D2C" w:rsidRPr="002A677E" w:rsidRDefault="00CC7D2C" w:rsidP="00206A48">
            <w:pPr>
              <w:pStyle w:val="InstructionsText"/>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navadnem lastniškem temeljnem kapitalu subjektov finančnega sektorja, v katerih institucija nima pomembne naložbe</w:t>
            </w:r>
          </w:p>
          <w:p w14:paraId="07F396F8" w14:textId="77777777" w:rsidR="00CC7D2C" w:rsidRPr="002A677E" w:rsidRDefault="00CC7D2C" w:rsidP="00206A48">
            <w:pPr>
              <w:pStyle w:val="InstructionsText"/>
            </w:pPr>
            <w:r>
              <w:t>Členi 44, 45, 46 in 49 Uredbe (EU) št. 575/2013.</w:t>
            </w:r>
          </w:p>
        </w:tc>
      </w:tr>
      <w:tr w:rsidR="00CC7D2C" w:rsidRPr="002A677E" w14:paraId="2EA80006" w14:textId="77777777" w:rsidTr="00822842">
        <w:tc>
          <w:tcPr>
            <w:tcW w:w="1474" w:type="dxa"/>
          </w:tcPr>
          <w:p w14:paraId="6407EF5F" w14:textId="77777777" w:rsidR="00CC7D2C" w:rsidRPr="002A677E" w:rsidRDefault="00CC7D2C" w:rsidP="00206A48">
            <w:pPr>
              <w:pStyle w:val="InstructionsText"/>
            </w:pPr>
            <w:r>
              <w:t>0250</w:t>
            </w:r>
          </w:p>
        </w:tc>
        <w:tc>
          <w:tcPr>
            <w:tcW w:w="7049" w:type="dxa"/>
          </w:tcPr>
          <w:p w14:paraId="1F770E7B" w14:textId="56B29C7C" w:rsidR="00CC7D2C" w:rsidRPr="002A677E" w:rsidRDefault="00CC7D2C" w:rsidP="00206A48">
            <w:pPr>
              <w:pStyle w:val="InstructionsText"/>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navadnem lastniškem temeljnem kapitalu subjektov finančnega sektorja, v katerih institucija nima pomembne naložbe</w:t>
            </w:r>
          </w:p>
          <w:p w14:paraId="35734353" w14:textId="77777777" w:rsidR="00CC7D2C" w:rsidRPr="002A677E" w:rsidRDefault="00CC7D2C" w:rsidP="00206A48">
            <w:pPr>
              <w:pStyle w:val="InstructionsText"/>
            </w:pPr>
            <w:r>
              <w:t>Členi 44, 46 in 49 Uredbe (EU) št. 575/2013.</w:t>
            </w:r>
          </w:p>
          <w:p w14:paraId="21EA9B4D" w14:textId="77777777" w:rsidR="00CC7D2C" w:rsidRPr="002A677E" w:rsidRDefault="00CC7D2C" w:rsidP="00206A48">
            <w:pPr>
              <w:pStyle w:val="InstructionsText"/>
            </w:pPr>
            <w:r>
              <w:t>Neposredni deleži v navadnem lastniškem temeljnem kapitalu subjektov finančnega sektorja, v katerih institucija nima pomembne naložbe, razen:</w:t>
            </w:r>
          </w:p>
          <w:p w14:paraId="40548BC6" w14:textId="77777777" w:rsidR="00CC7D2C" w:rsidRPr="002A677E" w:rsidRDefault="00CC7D2C" w:rsidP="00206A48">
            <w:pPr>
              <w:pStyle w:val="InstructionsText"/>
            </w:pPr>
            <w:r>
              <w:t>(a)</w:t>
            </w:r>
            <w:r>
              <w:tab/>
              <w:t xml:space="preserve">pozicij iz izvedbe prve prodaje teh instrumentov z obveznostjo odkupa, ki jih je institucija imela pet delovnih dni ali manj; </w:t>
            </w:r>
          </w:p>
          <w:p w14:paraId="06830A9E" w14:textId="77777777" w:rsidR="00CC7D2C" w:rsidRPr="002A677E" w:rsidRDefault="00CC7D2C" w:rsidP="00206A48">
            <w:pPr>
              <w:pStyle w:val="InstructionsText"/>
            </w:pPr>
            <w:r>
              <w:t>(b)</w:t>
            </w:r>
            <w:r>
              <w:tab/>
              <w:t xml:space="preserve">zneskov v zvezi z naložbami, za katere se uporablja katera koli druga možnost iz člena 49, in </w:t>
            </w:r>
          </w:p>
          <w:p w14:paraId="6C3B0126" w14:textId="77777777" w:rsidR="00CC7D2C" w:rsidRPr="002A677E" w:rsidRDefault="00CC7D2C" w:rsidP="00206A48">
            <w:pPr>
              <w:pStyle w:val="InstructionsText"/>
            </w:pPr>
            <w:r>
              <w:t>(c)</w:t>
            </w:r>
            <w:r>
              <w:tab/>
              <w:t>deležev, ki se obravnavajo kot vzajemni navzkrižni deleži v skladu s členom 36(1), točka (g), Uredbe (EU) št. 575/2013.</w:t>
            </w:r>
          </w:p>
        </w:tc>
      </w:tr>
      <w:tr w:rsidR="00CC7D2C" w:rsidRPr="002A677E" w14:paraId="029CB7B9" w14:textId="77777777" w:rsidTr="00822842">
        <w:tc>
          <w:tcPr>
            <w:tcW w:w="1474" w:type="dxa"/>
          </w:tcPr>
          <w:p w14:paraId="7E15AB56" w14:textId="77777777" w:rsidR="00CC7D2C" w:rsidRPr="002A677E" w:rsidRDefault="00CC7D2C" w:rsidP="00206A48">
            <w:pPr>
              <w:pStyle w:val="InstructionsText"/>
            </w:pPr>
            <w:r>
              <w:t>0260</w:t>
            </w:r>
          </w:p>
        </w:tc>
        <w:tc>
          <w:tcPr>
            <w:tcW w:w="7049" w:type="dxa"/>
          </w:tcPr>
          <w:p w14:paraId="205AF52F" w14:textId="3E950FE1" w:rsidR="00CC7D2C" w:rsidRPr="002A677E" w:rsidRDefault="00CC7D2C" w:rsidP="00206A48">
            <w:pPr>
              <w:pStyle w:val="InstructionsText"/>
            </w:pPr>
            <w:r>
              <w:rPr>
                <w:rStyle w:val="InstructionsTabelleberschrift"/>
                <w:rFonts w:ascii="Times New Roman" w:hAnsi="Times New Roman"/>
                <w:sz w:val="24"/>
              </w:rPr>
              <w:t>12.1.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5C7CD820" w14:textId="77777777" w:rsidR="00CC7D2C" w:rsidRPr="002A677E" w:rsidRDefault="00CC7D2C" w:rsidP="00206A48">
            <w:pPr>
              <w:pStyle w:val="InstructionsText"/>
            </w:pPr>
            <w:r>
              <w:t>Člen 45 Uredbe (EU) št. 575/2013.</w:t>
            </w:r>
          </w:p>
          <w:p w14:paraId="3C7C2B7A" w14:textId="77777777" w:rsidR="00CC7D2C" w:rsidRPr="002A677E" w:rsidRDefault="00CC7D2C" w:rsidP="00206A48">
            <w:pPr>
              <w:pStyle w:val="InstructionsText"/>
            </w:pPr>
            <w:r>
              <w:t xml:space="preserve">V skladu s členom 45, točka (a), Uredbe (EU) št. 575/2013 je dovoljen pobot kratkih pozicij v isti osnovni izpostavljenosti, če je </w:t>
            </w:r>
            <w:r>
              <w:lastRenderedPageBreak/>
              <w:t>datum zapadlosti kratke pozicije enak ali poznejši kot datum zapadlosti dolge pozicije ali pa ima kratka pozicija preostalo zapadlost vsaj eno leto.</w:t>
            </w:r>
          </w:p>
        </w:tc>
      </w:tr>
      <w:tr w:rsidR="00CC7D2C" w:rsidRPr="002A677E" w14:paraId="25EDF7FA" w14:textId="77777777" w:rsidTr="00822842">
        <w:tc>
          <w:tcPr>
            <w:tcW w:w="1474" w:type="dxa"/>
          </w:tcPr>
          <w:p w14:paraId="5140E3DC" w14:textId="77777777" w:rsidR="00CC7D2C" w:rsidRPr="002A677E" w:rsidRDefault="00CC7D2C" w:rsidP="00206A48">
            <w:pPr>
              <w:pStyle w:val="InstructionsText"/>
            </w:pPr>
            <w:r>
              <w:lastRenderedPageBreak/>
              <w:t>0270</w:t>
            </w:r>
          </w:p>
        </w:tc>
        <w:tc>
          <w:tcPr>
            <w:tcW w:w="7049" w:type="dxa"/>
          </w:tcPr>
          <w:p w14:paraId="41725CD8" w14:textId="4502CFB0" w:rsidR="00CC7D2C" w:rsidRPr="002A677E" w:rsidRDefault="00CC7D2C" w:rsidP="00206A48">
            <w:pPr>
              <w:pStyle w:val="InstructionsText"/>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navadnem lastniškem temeljnem kapitalu subjektov finančnega sektorja, v katerih institucija nima pomembne naložbe</w:t>
            </w:r>
          </w:p>
          <w:p w14:paraId="5B60A6DB" w14:textId="77777777" w:rsidR="00CC7D2C" w:rsidRPr="002A677E" w:rsidRDefault="00CC7D2C" w:rsidP="00206A48">
            <w:pPr>
              <w:pStyle w:val="InstructionsText"/>
            </w:pPr>
            <w:r>
              <w:t>Člen 4(1), točka 114, in člena 44 in 45 Uredbe (EU) št. 575/2013.</w:t>
            </w:r>
          </w:p>
        </w:tc>
      </w:tr>
      <w:tr w:rsidR="00CC7D2C" w:rsidRPr="002A677E" w14:paraId="72270045" w14:textId="77777777" w:rsidTr="00822842">
        <w:tc>
          <w:tcPr>
            <w:tcW w:w="1474" w:type="dxa"/>
          </w:tcPr>
          <w:p w14:paraId="354EF22F" w14:textId="77777777" w:rsidR="00CC7D2C" w:rsidRPr="002A677E" w:rsidRDefault="00CC7D2C" w:rsidP="00206A48">
            <w:pPr>
              <w:pStyle w:val="InstructionsText"/>
            </w:pPr>
            <w:r>
              <w:t>0280</w:t>
            </w:r>
          </w:p>
        </w:tc>
        <w:tc>
          <w:tcPr>
            <w:tcW w:w="7049" w:type="dxa"/>
          </w:tcPr>
          <w:p w14:paraId="30ADD00A" w14:textId="779A96FD" w:rsidR="00CC7D2C" w:rsidRPr="002A677E" w:rsidRDefault="00CC7D2C" w:rsidP="00206A48">
            <w:pPr>
              <w:pStyle w:val="InstructionsText"/>
            </w:pPr>
            <w:r>
              <w:rPr>
                <w:rStyle w:val="InstructionsTabelleberschrift"/>
                <w:rFonts w:ascii="Times New Roman" w:hAnsi="Times New Roman"/>
                <w:sz w:val="24"/>
              </w:rPr>
              <w:t>12.2.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navadnem lastniškem temeljnem kapitalu subjektov finančnega sektorja, v katerih institucija nima pomembne naložbe</w:t>
            </w:r>
          </w:p>
          <w:p w14:paraId="1712D6BE" w14:textId="77777777" w:rsidR="00CC7D2C" w:rsidRPr="002A677E" w:rsidRDefault="00CC7D2C" w:rsidP="00206A48">
            <w:pPr>
              <w:pStyle w:val="InstructionsText"/>
            </w:pPr>
            <w:r>
              <w:t>Člen 4(1), točka 114, in člena 44 in 45 Uredbe (EU) št. 575/2013.</w:t>
            </w:r>
          </w:p>
          <w:p w14:paraId="48C4F8F6" w14:textId="77777777" w:rsidR="00CC7D2C" w:rsidRPr="002A677E" w:rsidRDefault="00CC7D2C" w:rsidP="00206A48">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478FC936" w14:textId="77777777" w:rsidR="00CC7D2C" w:rsidRPr="002A677E" w:rsidRDefault="00CC7D2C" w:rsidP="00206A48">
            <w:pPr>
              <w:pStyle w:val="InstructionsText"/>
            </w:pPr>
            <w:r>
              <w:t>Deleži, ki se obravnavajo kot vzajemni navzkrižni deleži v skladu s členom 36(1), točka (g), Uredbe (EU) št. 575/2013, niso vključeni.</w:t>
            </w:r>
          </w:p>
        </w:tc>
      </w:tr>
      <w:tr w:rsidR="00CC7D2C" w:rsidRPr="002A677E" w14:paraId="70929844" w14:textId="77777777" w:rsidTr="00822842">
        <w:trPr>
          <w:trHeight w:val="850"/>
        </w:trPr>
        <w:tc>
          <w:tcPr>
            <w:tcW w:w="1474" w:type="dxa"/>
          </w:tcPr>
          <w:p w14:paraId="5D42473C" w14:textId="77777777" w:rsidR="00CC7D2C" w:rsidRPr="002A677E" w:rsidRDefault="00CC7D2C" w:rsidP="00206A48">
            <w:pPr>
              <w:pStyle w:val="InstructionsText"/>
            </w:pPr>
            <w:r>
              <w:t>0290</w:t>
            </w:r>
          </w:p>
        </w:tc>
        <w:tc>
          <w:tcPr>
            <w:tcW w:w="7049" w:type="dxa"/>
          </w:tcPr>
          <w:p w14:paraId="52B39F7D" w14:textId="7D2FE83D" w:rsidR="00CC7D2C" w:rsidRPr="002A677E" w:rsidRDefault="00CC7D2C" w:rsidP="00206A48">
            <w:pPr>
              <w:pStyle w:val="InstructionsText"/>
            </w:pPr>
            <w:r>
              <w:rPr>
                <w:rStyle w:val="InstructionsTabelleberschrift"/>
                <w:rFonts w:ascii="Times New Roman" w:hAnsi="Times New Roman"/>
                <w:sz w:val="24"/>
              </w:rPr>
              <w:t>12.2.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4FFA5E51" w14:textId="77777777" w:rsidR="00CC7D2C" w:rsidRPr="002A677E" w:rsidRDefault="00CC7D2C" w:rsidP="00206A48">
            <w:pPr>
              <w:pStyle w:val="InstructionsText"/>
            </w:pPr>
            <w:r>
              <w:t>Člen 4(1), točka 114, in člen 45 Uredbe (EU) št. 575/2013.</w:t>
            </w:r>
          </w:p>
          <w:p w14:paraId="53013672" w14:textId="77777777" w:rsidR="00CC7D2C" w:rsidRPr="002A677E" w:rsidRDefault="00CC7D2C" w:rsidP="00206A48">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1C10DCE6" w14:textId="77777777" w:rsidTr="00822842">
        <w:tc>
          <w:tcPr>
            <w:tcW w:w="1474" w:type="dxa"/>
          </w:tcPr>
          <w:p w14:paraId="42E85546" w14:textId="77777777" w:rsidR="00CC7D2C" w:rsidRPr="002A677E" w:rsidRDefault="00CC7D2C" w:rsidP="00206A48">
            <w:pPr>
              <w:pStyle w:val="InstructionsText"/>
            </w:pPr>
            <w:r>
              <w:t>0291</w:t>
            </w:r>
          </w:p>
        </w:tc>
        <w:tc>
          <w:tcPr>
            <w:tcW w:w="7049" w:type="dxa"/>
            <w:vAlign w:val="center"/>
          </w:tcPr>
          <w:p w14:paraId="661C3FE9" w14:textId="7F612728"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navadnem lastniškem temeljnem kapitalu subjektov finančnega sektorja, v katerih institucija nima pomembne naložbe</w:t>
            </w:r>
          </w:p>
          <w:p w14:paraId="64CCB38C" w14:textId="77777777" w:rsidR="00CC7D2C" w:rsidRPr="002A677E" w:rsidRDefault="00CC7D2C" w:rsidP="00206A48">
            <w:pPr>
              <w:pStyle w:val="InstructionsText"/>
              <w:rPr>
                <w:rStyle w:val="InstructionsTabelleberschrift"/>
                <w:rFonts w:ascii="Times New Roman" w:hAnsi="Times New Roman"/>
                <w:b w:val="0"/>
                <w:sz w:val="24"/>
                <w:u w:val="none"/>
              </w:rPr>
            </w:pPr>
            <w:r>
              <w:t>Člen 4(1), točka 126, ter člena 44 in 45 Uredbe (EU) št. 575/2013.</w:t>
            </w:r>
          </w:p>
        </w:tc>
      </w:tr>
      <w:tr w:rsidR="00CC7D2C" w:rsidRPr="002A677E" w14:paraId="546A26BD" w14:textId="77777777" w:rsidTr="00822842">
        <w:tc>
          <w:tcPr>
            <w:tcW w:w="1474" w:type="dxa"/>
          </w:tcPr>
          <w:p w14:paraId="4DF731A1" w14:textId="77777777" w:rsidR="00CC7D2C" w:rsidRPr="002A677E" w:rsidRDefault="00CC7D2C" w:rsidP="00206A48">
            <w:pPr>
              <w:pStyle w:val="InstructionsText"/>
            </w:pPr>
            <w:r>
              <w:t>0292</w:t>
            </w:r>
          </w:p>
        </w:tc>
        <w:tc>
          <w:tcPr>
            <w:tcW w:w="7049" w:type="dxa"/>
            <w:vAlign w:val="center"/>
          </w:tcPr>
          <w:p w14:paraId="1F37D1AB" w14:textId="7B99C695"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navadnem lastniškem temeljnem kapitalu subjektov finančnega sektorja, v katerih institucija nima pomembne naložbe</w:t>
            </w:r>
          </w:p>
          <w:p w14:paraId="3B736157" w14:textId="77777777" w:rsidR="00CC7D2C" w:rsidRPr="002A677E" w:rsidRDefault="00CC7D2C" w:rsidP="00206A48">
            <w:pPr>
              <w:pStyle w:val="InstructionsText"/>
              <w:rPr>
                <w:rStyle w:val="InstructionsTabelleberschrift"/>
                <w:rFonts w:ascii="Times New Roman" w:hAnsi="Times New Roman"/>
                <w:b w:val="0"/>
                <w:sz w:val="24"/>
                <w:u w:val="none"/>
              </w:rPr>
            </w:pPr>
            <w:r>
              <w:t>Člen 4(1), točka 126, ter člena 44 in 45 Uredbe (EU) št. 575/2013.</w:t>
            </w:r>
          </w:p>
        </w:tc>
      </w:tr>
      <w:tr w:rsidR="00CC7D2C" w:rsidRPr="002A677E" w14:paraId="3479AAB0" w14:textId="77777777" w:rsidTr="00822842">
        <w:tc>
          <w:tcPr>
            <w:tcW w:w="1474" w:type="dxa"/>
          </w:tcPr>
          <w:p w14:paraId="075CFC3A" w14:textId="77777777" w:rsidR="00CC7D2C" w:rsidRPr="002A677E" w:rsidRDefault="00CC7D2C" w:rsidP="00206A48">
            <w:pPr>
              <w:pStyle w:val="InstructionsText"/>
            </w:pPr>
            <w:r>
              <w:t>0293</w:t>
            </w:r>
          </w:p>
        </w:tc>
        <w:tc>
          <w:tcPr>
            <w:tcW w:w="7049" w:type="dxa"/>
            <w:vAlign w:val="center"/>
          </w:tcPr>
          <w:p w14:paraId="1544EF33" w14:textId="603C60FF"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10993EDD"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4(1), točka 126, in člen 45 </w:t>
            </w:r>
            <w:r>
              <w:t>Uredbe (EU) št. 575/2013</w:t>
            </w:r>
            <w:r>
              <w:rPr>
                <w:rStyle w:val="InstructionsTabelleberschrift"/>
                <w:rFonts w:ascii="Times New Roman" w:hAnsi="Times New Roman"/>
                <w:b w:val="0"/>
                <w:sz w:val="24"/>
                <w:u w:val="none"/>
              </w:rPr>
              <w:t>.</w:t>
            </w:r>
          </w:p>
          <w:p w14:paraId="620D54C3" w14:textId="77777777" w:rsidR="00CC7D2C" w:rsidRPr="002A677E" w:rsidRDefault="00CC7D2C" w:rsidP="00206A48">
            <w:pPr>
              <w:pStyle w:val="InstructionsText"/>
              <w:rPr>
                <w:rStyle w:val="InstructionsTabelleberschrift"/>
                <w:rFonts w:ascii="Times New Roman" w:hAnsi="Times New Roman"/>
                <w:b w:val="0"/>
                <w:sz w:val="24"/>
                <w:u w:val="none"/>
              </w:rPr>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49B8F446" w14:textId="77777777" w:rsidTr="00822842">
        <w:tc>
          <w:tcPr>
            <w:tcW w:w="1474" w:type="dxa"/>
          </w:tcPr>
          <w:p w14:paraId="3A95E05A" w14:textId="77777777" w:rsidR="00CC7D2C" w:rsidRPr="002A677E" w:rsidRDefault="00CC7D2C" w:rsidP="00206A48">
            <w:pPr>
              <w:pStyle w:val="InstructionsText"/>
            </w:pPr>
            <w:r>
              <w:lastRenderedPageBreak/>
              <w:t>0300</w:t>
            </w:r>
          </w:p>
        </w:tc>
        <w:tc>
          <w:tcPr>
            <w:tcW w:w="7049" w:type="dxa"/>
          </w:tcPr>
          <w:p w14:paraId="22CCC24D"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F6783D">
              <w:rPr>
                <w:u w:val="single"/>
              </w:rPr>
              <w:tab/>
            </w:r>
            <w:r>
              <w:rPr>
                <w:rStyle w:val="InstructionsTabelleberschrift"/>
                <w:rFonts w:ascii="Times New Roman" w:hAnsi="Times New Roman"/>
                <w:sz w:val="24"/>
              </w:rPr>
              <w:t>Deleži v dodatnem temeljnem kapitalu subjektov finančnega sektorja, v katerih institucija nima pomembne naložbe, pri čemer se odštejejo kratke pozicije</w:t>
            </w:r>
          </w:p>
          <w:p w14:paraId="2446C324" w14:textId="77777777" w:rsidR="00CC7D2C" w:rsidRPr="002A677E" w:rsidRDefault="00CC7D2C" w:rsidP="00206A48">
            <w:pPr>
              <w:pStyle w:val="InstructionsText"/>
            </w:pPr>
            <w:r>
              <w:t>Členi 58, 59 in 60 Uredbe (EU) št. 575/2013.</w:t>
            </w:r>
          </w:p>
        </w:tc>
      </w:tr>
      <w:tr w:rsidR="00CC7D2C" w:rsidRPr="002A677E" w14:paraId="630703DF" w14:textId="77777777" w:rsidTr="00822842">
        <w:tc>
          <w:tcPr>
            <w:tcW w:w="1474" w:type="dxa"/>
          </w:tcPr>
          <w:p w14:paraId="5780041C" w14:textId="77777777" w:rsidR="00CC7D2C" w:rsidRPr="002A677E" w:rsidRDefault="00CC7D2C" w:rsidP="00206A48">
            <w:pPr>
              <w:pStyle w:val="InstructionsText"/>
            </w:pPr>
            <w:r>
              <w:t>0310</w:t>
            </w:r>
          </w:p>
        </w:tc>
        <w:tc>
          <w:tcPr>
            <w:tcW w:w="7049" w:type="dxa"/>
          </w:tcPr>
          <w:p w14:paraId="652A887A" w14:textId="18715309" w:rsidR="00CC7D2C" w:rsidRPr="002A677E" w:rsidRDefault="00CC7D2C" w:rsidP="00206A48">
            <w:pPr>
              <w:pStyle w:val="InstructionsText"/>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dodatnem temeljnem kapitalu subjektov finančnega sektorja, v katerih institucija nima pomembne naložbe</w:t>
            </w:r>
          </w:p>
          <w:p w14:paraId="2BC29626" w14:textId="77777777" w:rsidR="00CC7D2C" w:rsidRPr="002A677E" w:rsidRDefault="00CC7D2C" w:rsidP="00206A48">
            <w:pPr>
              <w:pStyle w:val="InstructionsText"/>
            </w:pPr>
            <w:r>
              <w:t>Člena 58 in 59 ter člen 60(2) Uredbe (EU) št. 575/2013.</w:t>
            </w:r>
          </w:p>
        </w:tc>
      </w:tr>
      <w:tr w:rsidR="00CC7D2C" w:rsidRPr="002A677E" w14:paraId="2DD3B3A5" w14:textId="77777777" w:rsidTr="00822842">
        <w:tc>
          <w:tcPr>
            <w:tcW w:w="1474" w:type="dxa"/>
          </w:tcPr>
          <w:p w14:paraId="1F2C7A93" w14:textId="77777777" w:rsidR="00CC7D2C" w:rsidRPr="002A677E" w:rsidRDefault="00CC7D2C" w:rsidP="00206A48">
            <w:pPr>
              <w:pStyle w:val="InstructionsText"/>
            </w:pPr>
            <w:r>
              <w:t>0320</w:t>
            </w:r>
          </w:p>
        </w:tc>
        <w:tc>
          <w:tcPr>
            <w:tcW w:w="7049" w:type="dxa"/>
          </w:tcPr>
          <w:p w14:paraId="086716D9" w14:textId="5171A856" w:rsidR="00CC7D2C" w:rsidRPr="002A677E" w:rsidRDefault="00CC7D2C" w:rsidP="00206A48">
            <w:pPr>
              <w:pStyle w:val="InstructionsText"/>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dodatnem temeljnem kapitalu subjektov finančnega sektorja, v katerih institucija nima pomembne naložbe</w:t>
            </w:r>
          </w:p>
          <w:p w14:paraId="75E43435" w14:textId="77777777" w:rsidR="00CC7D2C" w:rsidRPr="002A677E" w:rsidRDefault="00CC7D2C" w:rsidP="00206A48">
            <w:pPr>
              <w:pStyle w:val="InstructionsText"/>
            </w:pPr>
            <w:r>
              <w:t>Člen 58 in člen 60(2) Uredbe (EU) št. 575/2013.</w:t>
            </w:r>
          </w:p>
          <w:p w14:paraId="4EB3C9FE" w14:textId="77777777" w:rsidR="00CC7D2C" w:rsidRPr="002A677E" w:rsidRDefault="00CC7D2C" w:rsidP="00206A48">
            <w:pPr>
              <w:pStyle w:val="InstructionsText"/>
            </w:pPr>
            <w:r>
              <w:t>Neposredni deleži v dodatnem temeljnem kapitalu subjektov finančnega sektorja, v katerih institucija nima pomembne naložbe, razen:</w:t>
            </w:r>
          </w:p>
          <w:p w14:paraId="6258EF1C" w14:textId="77777777" w:rsidR="00CC7D2C" w:rsidRPr="002A677E" w:rsidRDefault="00CC7D2C" w:rsidP="00206A48">
            <w:pPr>
              <w:pStyle w:val="InstructionsText"/>
            </w:pPr>
            <w:r>
              <w:t>(a)</w:t>
            </w:r>
            <w:r>
              <w:tab/>
              <w:t xml:space="preserve">pozicij iz izvedbe prve prodaje teh instrumentov z obveznostjo odkupa, ki jih je institucija imela pet delovnih dni ali manj; ter </w:t>
            </w:r>
          </w:p>
          <w:p w14:paraId="08D9FD36" w14:textId="77777777" w:rsidR="00CC7D2C" w:rsidRPr="002A677E" w:rsidRDefault="00CC7D2C" w:rsidP="00206A48">
            <w:pPr>
              <w:pStyle w:val="InstructionsText"/>
            </w:pPr>
            <w:r>
              <w:t>(b)</w:t>
            </w:r>
            <w:r>
              <w:tab/>
              <w:t>deležev, ki se obravnavajo kot vzajemni navzkrižni deleži v skladu s členom 56, točka (b), Uredbe (EU) št. 575/2013.</w:t>
            </w:r>
          </w:p>
        </w:tc>
      </w:tr>
      <w:tr w:rsidR="00CC7D2C" w:rsidRPr="002A677E" w14:paraId="1085BDCA" w14:textId="77777777" w:rsidTr="00822842">
        <w:tc>
          <w:tcPr>
            <w:tcW w:w="1474" w:type="dxa"/>
          </w:tcPr>
          <w:p w14:paraId="2D9F8F2B" w14:textId="77777777" w:rsidR="00CC7D2C" w:rsidRPr="002A677E" w:rsidRDefault="00CC7D2C" w:rsidP="00206A48">
            <w:pPr>
              <w:pStyle w:val="InstructionsText"/>
            </w:pPr>
            <w:r>
              <w:t>0330</w:t>
            </w:r>
          </w:p>
        </w:tc>
        <w:tc>
          <w:tcPr>
            <w:tcW w:w="7049" w:type="dxa"/>
          </w:tcPr>
          <w:p w14:paraId="5D44305F" w14:textId="00887D1E" w:rsidR="00CC7D2C" w:rsidRPr="002A677E" w:rsidRDefault="00CC7D2C" w:rsidP="00206A48">
            <w:pPr>
              <w:pStyle w:val="InstructionsText"/>
            </w:pPr>
            <w:r>
              <w:rPr>
                <w:rStyle w:val="InstructionsTabelleberschrift"/>
                <w:rFonts w:ascii="Times New Roman" w:hAnsi="Times New Roman"/>
                <w:sz w:val="24"/>
              </w:rPr>
              <w:t>13.1.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1C009EDB" w14:textId="77777777" w:rsidR="00CC7D2C" w:rsidRPr="002A677E" w:rsidRDefault="00CC7D2C" w:rsidP="00206A48">
            <w:pPr>
              <w:pStyle w:val="InstructionsText"/>
            </w:pPr>
            <w:r>
              <w:t>Člen 59 Uredbe (EU) št. 575/2013.</w:t>
            </w:r>
          </w:p>
          <w:p w14:paraId="5EDAF213" w14:textId="77777777" w:rsidR="00CC7D2C" w:rsidRPr="002A677E" w:rsidRDefault="00CC7D2C" w:rsidP="00206A48">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11527949" w14:textId="77777777" w:rsidTr="00822842">
        <w:tc>
          <w:tcPr>
            <w:tcW w:w="1474" w:type="dxa"/>
          </w:tcPr>
          <w:p w14:paraId="75CE9DA9" w14:textId="77777777" w:rsidR="00CC7D2C" w:rsidRPr="002A677E" w:rsidRDefault="00CC7D2C" w:rsidP="00206A48">
            <w:pPr>
              <w:pStyle w:val="InstructionsText"/>
            </w:pPr>
            <w:r>
              <w:t>0340</w:t>
            </w:r>
          </w:p>
        </w:tc>
        <w:tc>
          <w:tcPr>
            <w:tcW w:w="7049" w:type="dxa"/>
          </w:tcPr>
          <w:p w14:paraId="12834DD7" w14:textId="709E1F05" w:rsidR="00CC7D2C" w:rsidRPr="002A677E" w:rsidRDefault="00CC7D2C" w:rsidP="00206A48">
            <w:pPr>
              <w:pStyle w:val="InstructionsText"/>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dodatnem temeljnem kapitalu subjektov finančnega sektorja, v katerih institucija nima pomembne naložbe</w:t>
            </w:r>
          </w:p>
          <w:p w14:paraId="524DE4E1" w14:textId="77777777" w:rsidR="00CC7D2C" w:rsidRPr="002A677E" w:rsidRDefault="00CC7D2C" w:rsidP="00206A48">
            <w:pPr>
              <w:pStyle w:val="InstructionsText"/>
            </w:pPr>
            <w:r>
              <w:t>Člen 4(1), točka 114, in člena 58 in 59 Uredbe (EU) št. 575/2013.</w:t>
            </w:r>
          </w:p>
        </w:tc>
      </w:tr>
      <w:tr w:rsidR="00CC7D2C" w:rsidRPr="002A677E" w14:paraId="779C9C51" w14:textId="77777777" w:rsidTr="00822842">
        <w:tc>
          <w:tcPr>
            <w:tcW w:w="1474" w:type="dxa"/>
          </w:tcPr>
          <w:p w14:paraId="2403AE6D" w14:textId="77777777" w:rsidR="00CC7D2C" w:rsidRPr="002A677E" w:rsidRDefault="00CC7D2C" w:rsidP="00206A48">
            <w:pPr>
              <w:pStyle w:val="InstructionsText"/>
            </w:pPr>
            <w:r>
              <w:t>0350</w:t>
            </w:r>
          </w:p>
        </w:tc>
        <w:tc>
          <w:tcPr>
            <w:tcW w:w="7049" w:type="dxa"/>
          </w:tcPr>
          <w:p w14:paraId="3C475B52" w14:textId="7ABF1126" w:rsidR="00CC7D2C" w:rsidRPr="002A677E" w:rsidRDefault="00CC7D2C" w:rsidP="00206A48">
            <w:pPr>
              <w:pStyle w:val="InstructionsText"/>
            </w:pPr>
            <w:r>
              <w:rPr>
                <w:rStyle w:val="InstructionsTabelleberschrift"/>
                <w:rFonts w:ascii="Times New Roman" w:hAnsi="Times New Roman"/>
                <w:sz w:val="24"/>
              </w:rPr>
              <w:t>13.2.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dodatnem temeljnem kapitalu subjektov finančnega sektorja, v katerih institucija nima pomembne naložbe</w:t>
            </w:r>
          </w:p>
          <w:p w14:paraId="18873CD2" w14:textId="77777777" w:rsidR="00CC7D2C" w:rsidRPr="002A677E" w:rsidRDefault="00CC7D2C" w:rsidP="00206A48">
            <w:pPr>
              <w:pStyle w:val="InstructionsText"/>
            </w:pPr>
            <w:r>
              <w:t>Člen 4(1), točka 114, in člena 58 in 59 Uredbe (EU) št. 575/2013.</w:t>
            </w:r>
          </w:p>
          <w:p w14:paraId="17350A93" w14:textId="77777777" w:rsidR="00CC7D2C" w:rsidRPr="002A677E" w:rsidRDefault="00CC7D2C" w:rsidP="00206A48">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68E36B69" w14:textId="77777777" w:rsidR="00CC7D2C" w:rsidRPr="002A677E" w:rsidRDefault="00CC7D2C" w:rsidP="00206A48">
            <w:pPr>
              <w:pStyle w:val="InstructionsText"/>
            </w:pPr>
            <w:r>
              <w:t>Deleži, ki se obravnavajo kot vzajemni navzkrižni deleži v skladu s členom 56, točka (b), Uredbe (EU) št. 575/2013, niso vključeni.</w:t>
            </w:r>
          </w:p>
        </w:tc>
      </w:tr>
      <w:tr w:rsidR="00CC7D2C" w:rsidRPr="002A677E" w14:paraId="7B68D862" w14:textId="77777777" w:rsidTr="00822842">
        <w:tc>
          <w:tcPr>
            <w:tcW w:w="1474" w:type="dxa"/>
          </w:tcPr>
          <w:p w14:paraId="4E25D552" w14:textId="77777777" w:rsidR="00CC7D2C" w:rsidRPr="002A677E" w:rsidRDefault="00CC7D2C" w:rsidP="00206A48">
            <w:pPr>
              <w:pStyle w:val="InstructionsText"/>
            </w:pPr>
            <w:r>
              <w:lastRenderedPageBreak/>
              <w:t>0360</w:t>
            </w:r>
          </w:p>
        </w:tc>
        <w:tc>
          <w:tcPr>
            <w:tcW w:w="7049" w:type="dxa"/>
          </w:tcPr>
          <w:p w14:paraId="1C759B69" w14:textId="40DF77C2" w:rsidR="00CC7D2C" w:rsidRPr="002A677E" w:rsidRDefault="00CC7D2C" w:rsidP="00206A48">
            <w:pPr>
              <w:pStyle w:val="InstructionsText"/>
            </w:pPr>
            <w:r>
              <w:rPr>
                <w:rStyle w:val="InstructionsTabelleberschrift"/>
                <w:rFonts w:ascii="Times New Roman" w:hAnsi="Times New Roman"/>
                <w:sz w:val="24"/>
              </w:rPr>
              <w:t>13.2.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66D7BED8" w14:textId="77777777" w:rsidR="00CC7D2C" w:rsidRPr="002A677E" w:rsidRDefault="00CC7D2C" w:rsidP="00206A48">
            <w:pPr>
              <w:pStyle w:val="InstructionsText"/>
            </w:pPr>
            <w:r>
              <w:t>Člen 4(1), točka 114, in člen 59 Uredbe (EU) št. 575/2013.</w:t>
            </w:r>
          </w:p>
          <w:p w14:paraId="7DC14B0B" w14:textId="77777777" w:rsidR="00CC7D2C" w:rsidRPr="002A677E" w:rsidRDefault="00CC7D2C" w:rsidP="00206A48">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1DE58E80" w14:textId="77777777" w:rsidTr="00822842">
        <w:tc>
          <w:tcPr>
            <w:tcW w:w="1474" w:type="dxa"/>
          </w:tcPr>
          <w:p w14:paraId="00421D51" w14:textId="77777777" w:rsidR="00CC7D2C" w:rsidRPr="002A677E" w:rsidRDefault="00CC7D2C" w:rsidP="00206A48">
            <w:pPr>
              <w:pStyle w:val="InstructionsText"/>
            </w:pPr>
            <w:r>
              <w:t>0361</w:t>
            </w:r>
          </w:p>
        </w:tc>
        <w:tc>
          <w:tcPr>
            <w:tcW w:w="7049" w:type="dxa"/>
            <w:vAlign w:val="center"/>
          </w:tcPr>
          <w:p w14:paraId="036B6DB1" w14:textId="53254C0F" w:rsidR="00CC7D2C" w:rsidRPr="002A677E" w:rsidRDefault="00CC7D2C" w:rsidP="00206A48">
            <w:pPr>
              <w:pStyle w:val="InstructionsText"/>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dodatnem temeljnem kapitalu subjektov finančnega sektorja, v katerih institucija nima pomembne naložbe</w:t>
            </w:r>
          </w:p>
          <w:p w14:paraId="4B5BDACC"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CC7D2C" w:rsidRPr="002A677E" w14:paraId="5DFCF3C7" w14:textId="77777777" w:rsidTr="00822842">
        <w:tc>
          <w:tcPr>
            <w:tcW w:w="1474" w:type="dxa"/>
          </w:tcPr>
          <w:p w14:paraId="0A9895A7" w14:textId="77777777" w:rsidR="00CC7D2C" w:rsidRPr="002A677E" w:rsidRDefault="00CC7D2C" w:rsidP="00206A48">
            <w:pPr>
              <w:pStyle w:val="InstructionsText"/>
            </w:pPr>
            <w:r>
              <w:t>0362</w:t>
            </w:r>
          </w:p>
        </w:tc>
        <w:tc>
          <w:tcPr>
            <w:tcW w:w="7049" w:type="dxa"/>
            <w:vAlign w:val="center"/>
          </w:tcPr>
          <w:p w14:paraId="1AB1D048" w14:textId="5473914E" w:rsidR="00CC7D2C" w:rsidRPr="002A677E" w:rsidRDefault="00CC7D2C" w:rsidP="00206A48">
            <w:pPr>
              <w:pStyle w:val="InstructionsText"/>
            </w:pPr>
            <w:r>
              <w:rPr>
                <w:rStyle w:val="InstructionsTabelleberschrift"/>
                <w:rFonts w:ascii="Times New Roman" w:hAnsi="Times New Roman"/>
                <w:sz w:val="24"/>
              </w:rPr>
              <w:t>13.3.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dodatnem temeljnem kapitalu subjektov finančnega sektorja, v katerih institucija nima pomembne naložbe</w:t>
            </w:r>
          </w:p>
          <w:p w14:paraId="32901EDE"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CC7D2C" w:rsidRPr="002A677E" w14:paraId="68C6A097" w14:textId="77777777" w:rsidTr="00822842">
        <w:tc>
          <w:tcPr>
            <w:tcW w:w="1474" w:type="dxa"/>
          </w:tcPr>
          <w:p w14:paraId="4C20FDEC" w14:textId="77777777" w:rsidR="00CC7D2C" w:rsidRPr="002A677E" w:rsidRDefault="00CC7D2C" w:rsidP="00206A48">
            <w:pPr>
              <w:pStyle w:val="InstructionsText"/>
            </w:pPr>
            <w:r>
              <w:t>0363</w:t>
            </w:r>
          </w:p>
        </w:tc>
        <w:tc>
          <w:tcPr>
            <w:tcW w:w="7049" w:type="dxa"/>
            <w:vAlign w:val="center"/>
          </w:tcPr>
          <w:p w14:paraId="28BA1E67" w14:textId="65CD9E8B" w:rsidR="00CC7D2C" w:rsidRPr="002A677E" w:rsidRDefault="00CC7D2C" w:rsidP="00206A48">
            <w:pPr>
              <w:pStyle w:val="InstructionsText"/>
            </w:pPr>
            <w:r>
              <w:rPr>
                <w:rStyle w:val="InstructionsTabelleberschrift"/>
                <w:rFonts w:ascii="Times New Roman" w:hAnsi="Times New Roman"/>
                <w:sz w:val="24"/>
              </w:rPr>
              <w:t>13.3.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072D1CD4" w14:textId="77777777" w:rsidR="00CC7D2C" w:rsidRPr="002A677E" w:rsidRDefault="00CC7D2C" w:rsidP="00206A48">
            <w:pPr>
              <w:pStyle w:val="InstructionsText"/>
            </w:pPr>
            <w:r>
              <w:t>Člen 4(1), točka 126, in člen 59 Uredbe (EU) št. 575/2013.</w:t>
            </w:r>
          </w:p>
          <w:p w14:paraId="68B7A876" w14:textId="77777777" w:rsidR="00CC7D2C" w:rsidRPr="002A677E" w:rsidRDefault="00CC7D2C" w:rsidP="00206A48">
            <w:pPr>
              <w:pStyle w:val="InstructionsText"/>
              <w:rPr>
                <w:rStyle w:val="InstructionsTabelleberschrift"/>
                <w:rFonts w:ascii="Times New Roman" w:hAnsi="Times New Roman"/>
                <w:b w:val="0"/>
                <w:bCs w:val="0"/>
                <w:sz w:val="24"/>
                <w:u w:val="none"/>
              </w:rPr>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74FB9FB1" w14:textId="77777777" w:rsidTr="00822842">
        <w:tc>
          <w:tcPr>
            <w:tcW w:w="1474" w:type="dxa"/>
          </w:tcPr>
          <w:p w14:paraId="270BA603" w14:textId="77777777" w:rsidR="00CC7D2C" w:rsidRPr="002A677E" w:rsidRDefault="00CC7D2C" w:rsidP="00206A48">
            <w:pPr>
              <w:pStyle w:val="InstructionsText"/>
            </w:pPr>
            <w:r>
              <w:t>0370</w:t>
            </w:r>
          </w:p>
        </w:tc>
        <w:tc>
          <w:tcPr>
            <w:tcW w:w="7049" w:type="dxa"/>
          </w:tcPr>
          <w:p w14:paraId="04EC7CD0" w14:textId="77777777" w:rsidR="00CC7D2C" w:rsidRPr="002A677E" w:rsidRDefault="00CC7D2C" w:rsidP="00206A48">
            <w:pPr>
              <w:pStyle w:val="InstructionsText"/>
            </w:pPr>
            <w:r>
              <w:rPr>
                <w:rStyle w:val="InstructionsTabelleberschrift"/>
                <w:rFonts w:ascii="Times New Roman" w:hAnsi="Times New Roman"/>
                <w:sz w:val="24"/>
              </w:rPr>
              <w:t>14.</w:t>
            </w:r>
            <w:r w:rsidRPr="00F6783D">
              <w:rPr>
                <w:u w:val="single"/>
              </w:rPr>
              <w:tab/>
            </w:r>
            <w:r>
              <w:rPr>
                <w:rStyle w:val="InstructionsTabelleberschrift"/>
                <w:rFonts w:ascii="Times New Roman" w:hAnsi="Times New Roman"/>
                <w:sz w:val="24"/>
              </w:rPr>
              <w:t>Deleži v dodatnem kapitalu subjektov finančnega sektorja, v katerih institucija nima pomembne naložbe, pri čemer se odštejejo kratke pozicije</w:t>
            </w:r>
          </w:p>
          <w:p w14:paraId="7F7CE21E" w14:textId="77777777" w:rsidR="00CC7D2C" w:rsidRPr="002A677E" w:rsidRDefault="00CC7D2C" w:rsidP="00206A48">
            <w:pPr>
              <w:pStyle w:val="InstructionsText"/>
            </w:pPr>
            <w:r>
              <w:t>Členi 68, 69 in 70 Uredbe (EU) št. 575/2013.</w:t>
            </w:r>
          </w:p>
        </w:tc>
      </w:tr>
      <w:tr w:rsidR="00CC7D2C" w:rsidRPr="002A677E" w14:paraId="3575655C" w14:textId="77777777" w:rsidTr="00822842">
        <w:tc>
          <w:tcPr>
            <w:tcW w:w="1474" w:type="dxa"/>
          </w:tcPr>
          <w:p w14:paraId="742A40CF" w14:textId="77777777" w:rsidR="00CC7D2C" w:rsidRPr="002A677E" w:rsidRDefault="00CC7D2C" w:rsidP="00206A48">
            <w:pPr>
              <w:pStyle w:val="InstructionsText"/>
            </w:pPr>
            <w:r>
              <w:t>0380</w:t>
            </w:r>
          </w:p>
        </w:tc>
        <w:tc>
          <w:tcPr>
            <w:tcW w:w="7049" w:type="dxa"/>
          </w:tcPr>
          <w:p w14:paraId="14053A9D" w14:textId="686B9DB2" w:rsidR="00CC7D2C" w:rsidRPr="002A677E" w:rsidRDefault="00CC7D2C" w:rsidP="00206A48">
            <w:pPr>
              <w:pStyle w:val="InstructionsText"/>
            </w:pPr>
            <w:r>
              <w:rPr>
                <w:rStyle w:val="InstructionsTabelleberschrift"/>
                <w:rFonts w:ascii="Times New Roman" w:hAnsi="Times New Roman"/>
                <w:sz w:val="24"/>
              </w:rPr>
              <w:t>14.</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dodatnem kapitalu subjektov finančnega sektorja, v katerih institucija nima pomembne naložbe</w:t>
            </w:r>
          </w:p>
          <w:p w14:paraId="27A664CA" w14:textId="77777777" w:rsidR="00CC7D2C" w:rsidRPr="002A677E" w:rsidRDefault="00CC7D2C" w:rsidP="00206A48">
            <w:pPr>
              <w:pStyle w:val="InstructionsText"/>
            </w:pPr>
            <w:r>
              <w:t>Člena 68 in 69 ter 70(2) Uredbe (EU) št. 575/2013.</w:t>
            </w:r>
          </w:p>
        </w:tc>
      </w:tr>
      <w:tr w:rsidR="00CC7D2C" w:rsidRPr="002A677E" w14:paraId="7A4D414E" w14:textId="77777777" w:rsidTr="00822842">
        <w:tc>
          <w:tcPr>
            <w:tcW w:w="1474" w:type="dxa"/>
          </w:tcPr>
          <w:p w14:paraId="73BE5B4D" w14:textId="77777777" w:rsidR="00CC7D2C" w:rsidRPr="002A677E" w:rsidRDefault="00CC7D2C" w:rsidP="00206A48">
            <w:pPr>
              <w:pStyle w:val="InstructionsText"/>
            </w:pPr>
            <w:r>
              <w:t>0390</w:t>
            </w:r>
          </w:p>
        </w:tc>
        <w:tc>
          <w:tcPr>
            <w:tcW w:w="7049" w:type="dxa"/>
          </w:tcPr>
          <w:p w14:paraId="68C193DA" w14:textId="6E199C3B" w:rsidR="00CC7D2C" w:rsidRPr="002A677E" w:rsidRDefault="00CC7D2C" w:rsidP="00206A48">
            <w:pPr>
              <w:pStyle w:val="InstructionsText"/>
            </w:pPr>
            <w:r>
              <w:rPr>
                <w:rStyle w:val="InstructionsTabelleberschrift"/>
                <w:rFonts w:ascii="Times New Roman" w:hAnsi="Times New Roman"/>
                <w:sz w:val="24"/>
              </w:rPr>
              <w:t>14.1.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dodatnem kapitalu subjektov finančnega sektorja, v katerih institucija nima pomembne naložbe</w:t>
            </w:r>
          </w:p>
          <w:p w14:paraId="65520E33" w14:textId="77777777" w:rsidR="00CC7D2C" w:rsidRPr="002A677E" w:rsidRDefault="00CC7D2C" w:rsidP="00206A48">
            <w:pPr>
              <w:pStyle w:val="InstructionsText"/>
            </w:pPr>
            <w:r>
              <w:t>Člen 68 in člen 70(2) Uredbe (EU) št. 575/2013.</w:t>
            </w:r>
          </w:p>
          <w:p w14:paraId="17F7ABF9" w14:textId="77777777" w:rsidR="00CC7D2C" w:rsidRPr="002A677E" w:rsidRDefault="00CC7D2C" w:rsidP="00206A48">
            <w:pPr>
              <w:pStyle w:val="InstructionsText"/>
            </w:pPr>
            <w:r>
              <w:t>Neposredni deleži v dodatnem kapitalu subjektov finančnega sektorja, v katerih institucija nima pomembne naložbe, razen:</w:t>
            </w:r>
          </w:p>
          <w:p w14:paraId="138D2316" w14:textId="77777777" w:rsidR="00CC7D2C" w:rsidRPr="002A677E" w:rsidRDefault="00CC7D2C" w:rsidP="00206A48">
            <w:pPr>
              <w:pStyle w:val="InstructionsText"/>
            </w:pPr>
            <w:r>
              <w:t>(a)</w:t>
            </w:r>
            <w:r>
              <w:tab/>
              <w:t xml:space="preserve">pozicij iz izvedbe prve prodaje teh instrumentov z obveznostjo odkupa, ki jih je institucija imela pet delovnih dni ali manj; ter </w:t>
            </w:r>
          </w:p>
          <w:p w14:paraId="2887BC3D" w14:textId="77777777" w:rsidR="00CC7D2C" w:rsidRPr="002A677E" w:rsidRDefault="00CC7D2C" w:rsidP="00206A48">
            <w:pPr>
              <w:pStyle w:val="InstructionsText"/>
            </w:pPr>
            <w:r>
              <w:t>(b)</w:t>
            </w:r>
            <w:r>
              <w:tab/>
              <w:t>deležev, ki se obravnavajo kot vzajemni navzkrižni deleži v skladu s členom 66, točka (b), Uredbe (EU) št. 575/2013.</w:t>
            </w:r>
          </w:p>
        </w:tc>
      </w:tr>
      <w:tr w:rsidR="00CC7D2C" w:rsidRPr="002A677E" w14:paraId="5F3D0269" w14:textId="77777777" w:rsidTr="00822842">
        <w:tc>
          <w:tcPr>
            <w:tcW w:w="1474" w:type="dxa"/>
          </w:tcPr>
          <w:p w14:paraId="00CF42AE" w14:textId="77777777" w:rsidR="00CC7D2C" w:rsidRPr="002A677E" w:rsidRDefault="00CC7D2C" w:rsidP="00206A48">
            <w:pPr>
              <w:pStyle w:val="InstructionsText"/>
            </w:pPr>
            <w:r>
              <w:lastRenderedPageBreak/>
              <w:t>0400</w:t>
            </w:r>
          </w:p>
        </w:tc>
        <w:tc>
          <w:tcPr>
            <w:tcW w:w="7049" w:type="dxa"/>
          </w:tcPr>
          <w:p w14:paraId="2A3DABB5" w14:textId="18460A9E" w:rsidR="00CC7D2C" w:rsidRPr="002A677E" w:rsidRDefault="00CC7D2C" w:rsidP="00206A48">
            <w:pPr>
              <w:pStyle w:val="InstructionsText"/>
            </w:pPr>
            <w:r>
              <w:rPr>
                <w:rStyle w:val="InstructionsTabelleberschrift"/>
                <w:rFonts w:ascii="Times New Roman" w:hAnsi="Times New Roman"/>
                <w:sz w:val="24"/>
              </w:rPr>
              <w:t>14.1.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1AF115D3" w14:textId="77777777" w:rsidR="00CC7D2C" w:rsidRPr="002A677E" w:rsidRDefault="00CC7D2C" w:rsidP="00206A48">
            <w:pPr>
              <w:pStyle w:val="InstructionsText"/>
            </w:pPr>
            <w:r>
              <w:t>Člen 69 Uredbe (EU) št. 575/2013.</w:t>
            </w:r>
          </w:p>
          <w:p w14:paraId="2DDF012E" w14:textId="77777777" w:rsidR="00CC7D2C" w:rsidRPr="002A677E" w:rsidRDefault="00CC7D2C" w:rsidP="00206A48">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6EC67C75" w14:textId="77777777" w:rsidTr="00822842">
        <w:tc>
          <w:tcPr>
            <w:tcW w:w="1474" w:type="dxa"/>
          </w:tcPr>
          <w:p w14:paraId="42925D49" w14:textId="77777777" w:rsidR="00CC7D2C" w:rsidRPr="002A677E" w:rsidRDefault="00CC7D2C" w:rsidP="00206A48">
            <w:pPr>
              <w:pStyle w:val="InstructionsText"/>
            </w:pPr>
            <w:r>
              <w:t>0410</w:t>
            </w:r>
          </w:p>
        </w:tc>
        <w:tc>
          <w:tcPr>
            <w:tcW w:w="7049" w:type="dxa"/>
          </w:tcPr>
          <w:p w14:paraId="0411814E" w14:textId="1B12F9DF" w:rsidR="00CC7D2C" w:rsidRPr="002A677E" w:rsidRDefault="00CC7D2C" w:rsidP="00206A48">
            <w:pPr>
              <w:pStyle w:val="InstructionsText"/>
            </w:pPr>
            <w:r>
              <w:rPr>
                <w:rStyle w:val="InstructionsTabelleberschrift"/>
                <w:rFonts w:ascii="Times New Roman" w:hAnsi="Times New Roman"/>
                <w:sz w:val="24"/>
              </w:rPr>
              <w:t>14.</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dodatnem kapitalu subjektov finančnega sektorja, v katerih institucija nima pomembne naložbe</w:t>
            </w:r>
          </w:p>
          <w:p w14:paraId="2E9A4143" w14:textId="77777777" w:rsidR="00CC7D2C" w:rsidRPr="002A677E" w:rsidRDefault="00CC7D2C" w:rsidP="00206A48">
            <w:pPr>
              <w:pStyle w:val="InstructionsText"/>
            </w:pPr>
            <w:r>
              <w:t>Člen 4(1), točka 114, in člena 68 in 69 Uredbe (EU) št. 575/2013.</w:t>
            </w:r>
          </w:p>
        </w:tc>
      </w:tr>
      <w:tr w:rsidR="00CC7D2C" w:rsidRPr="002A677E" w14:paraId="494E5F97" w14:textId="77777777" w:rsidTr="00822842">
        <w:tc>
          <w:tcPr>
            <w:tcW w:w="1474" w:type="dxa"/>
          </w:tcPr>
          <w:p w14:paraId="4FA17B88" w14:textId="77777777" w:rsidR="00CC7D2C" w:rsidRPr="002A677E" w:rsidRDefault="00CC7D2C" w:rsidP="00206A48">
            <w:pPr>
              <w:pStyle w:val="InstructionsText"/>
            </w:pPr>
            <w:r>
              <w:t>0420</w:t>
            </w:r>
          </w:p>
        </w:tc>
        <w:tc>
          <w:tcPr>
            <w:tcW w:w="7049" w:type="dxa"/>
          </w:tcPr>
          <w:p w14:paraId="010CE0F5" w14:textId="6EAD514E" w:rsidR="00CC7D2C" w:rsidRPr="002A677E" w:rsidRDefault="00CC7D2C" w:rsidP="00206A48">
            <w:pPr>
              <w:pStyle w:val="InstructionsText"/>
            </w:pPr>
            <w:r>
              <w:rPr>
                <w:rStyle w:val="InstructionsTabelleberschrift"/>
                <w:rFonts w:ascii="Times New Roman" w:hAnsi="Times New Roman"/>
                <w:sz w:val="24"/>
              </w:rPr>
              <w:t>14.2.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dodatnem kapitalu subjektov finančnega sektorja, v katerih institucija nima pomembne naložbe</w:t>
            </w:r>
          </w:p>
          <w:p w14:paraId="661ED498" w14:textId="77777777" w:rsidR="00CC7D2C" w:rsidRPr="002A677E" w:rsidRDefault="00CC7D2C" w:rsidP="00206A48">
            <w:pPr>
              <w:pStyle w:val="InstructionsText"/>
            </w:pPr>
            <w:r>
              <w:t>Člen 4(1), točka 114, in člena 68 in 69 Uredbe (EU) št. 575/2013.</w:t>
            </w:r>
          </w:p>
          <w:p w14:paraId="47CEB0E6" w14:textId="77777777" w:rsidR="00CC7D2C" w:rsidRPr="002A677E" w:rsidRDefault="00CC7D2C" w:rsidP="00206A48">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5F653926" w14:textId="77777777" w:rsidR="00CC7D2C" w:rsidRPr="002A677E" w:rsidRDefault="00CC7D2C" w:rsidP="00206A48">
            <w:pPr>
              <w:pStyle w:val="InstructionsText"/>
            </w:pPr>
            <w:r>
              <w:t>Deleži, ki se obravnavajo kot vzajemni navzkrižni deleži v skladu s členom 66. točka (b), Uredbe (EU) št. 575/2013, niso vključeni.</w:t>
            </w:r>
          </w:p>
        </w:tc>
      </w:tr>
      <w:tr w:rsidR="00CC7D2C" w:rsidRPr="002A677E" w14:paraId="5466EA1E" w14:textId="77777777" w:rsidTr="00822842">
        <w:tc>
          <w:tcPr>
            <w:tcW w:w="1474" w:type="dxa"/>
          </w:tcPr>
          <w:p w14:paraId="5EB5F633" w14:textId="77777777" w:rsidR="00CC7D2C" w:rsidRPr="002A677E" w:rsidRDefault="00CC7D2C" w:rsidP="00206A48">
            <w:pPr>
              <w:pStyle w:val="InstructionsText"/>
            </w:pPr>
            <w:r>
              <w:t>0430</w:t>
            </w:r>
          </w:p>
        </w:tc>
        <w:tc>
          <w:tcPr>
            <w:tcW w:w="7049" w:type="dxa"/>
          </w:tcPr>
          <w:p w14:paraId="05B2F446" w14:textId="627B8120" w:rsidR="00CC7D2C" w:rsidRPr="002A677E" w:rsidRDefault="00CC7D2C" w:rsidP="00206A48">
            <w:pPr>
              <w:pStyle w:val="InstructionsText"/>
            </w:pPr>
            <w:r>
              <w:rPr>
                <w:rStyle w:val="InstructionsTabelleberschrift"/>
                <w:rFonts w:ascii="Times New Roman" w:hAnsi="Times New Roman"/>
                <w:sz w:val="24"/>
              </w:rPr>
              <w:t>14.2.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3D51CA91" w14:textId="77777777" w:rsidR="00CC7D2C" w:rsidRPr="002A677E" w:rsidRDefault="00CC7D2C" w:rsidP="00206A48">
            <w:pPr>
              <w:pStyle w:val="InstructionsText"/>
            </w:pPr>
            <w:r>
              <w:t>Člen 4(1), točka 114, in člen 69 Uredbe (EU) št. 575/2013.</w:t>
            </w:r>
          </w:p>
          <w:p w14:paraId="05D4EBCE" w14:textId="77777777" w:rsidR="00CC7D2C" w:rsidRPr="002A677E" w:rsidRDefault="00CC7D2C" w:rsidP="00206A48">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4925BD96" w14:textId="77777777" w:rsidTr="00822842">
        <w:tc>
          <w:tcPr>
            <w:tcW w:w="1474" w:type="dxa"/>
          </w:tcPr>
          <w:p w14:paraId="0B306827" w14:textId="77777777" w:rsidR="00CC7D2C" w:rsidRPr="002A677E" w:rsidRDefault="00CC7D2C" w:rsidP="00206A48">
            <w:pPr>
              <w:pStyle w:val="InstructionsText"/>
            </w:pPr>
            <w:r>
              <w:t>0431</w:t>
            </w:r>
          </w:p>
        </w:tc>
        <w:tc>
          <w:tcPr>
            <w:tcW w:w="7049" w:type="dxa"/>
          </w:tcPr>
          <w:p w14:paraId="5B185F2E" w14:textId="36BF3ABD" w:rsidR="00CC7D2C" w:rsidRPr="002A677E" w:rsidRDefault="00CC7D2C" w:rsidP="00206A48">
            <w:pPr>
              <w:pStyle w:val="InstructionsText"/>
            </w:pPr>
            <w:r>
              <w:rPr>
                <w:rStyle w:val="InstructionsTabelleberschrift"/>
                <w:rFonts w:ascii="Times New Roman" w:hAnsi="Times New Roman"/>
                <w:sz w:val="24"/>
              </w:rPr>
              <w:t>14.</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dodatnem kapitalu subjektov finančnega sektorja, v katerih institucija nima pomembne naložbe</w:t>
            </w:r>
          </w:p>
          <w:p w14:paraId="51085EB2" w14:textId="77777777" w:rsidR="00CC7D2C" w:rsidRPr="002A677E" w:rsidRDefault="00CC7D2C" w:rsidP="00206A48">
            <w:pPr>
              <w:pStyle w:val="InstructionsText"/>
              <w:rPr>
                <w:rStyle w:val="InstructionsTabelleberschrift"/>
                <w:rFonts w:ascii="Times New Roman" w:hAnsi="Times New Roman"/>
                <w:sz w:val="24"/>
              </w:rPr>
            </w:pPr>
            <w:r>
              <w:t>Člen 4(1), točka 126, in člena 68 in 69 Uredbe (EU) št. 575/2013.</w:t>
            </w:r>
          </w:p>
        </w:tc>
      </w:tr>
      <w:tr w:rsidR="00CC7D2C" w:rsidRPr="002A677E" w14:paraId="505DDB25" w14:textId="77777777" w:rsidTr="00822842">
        <w:tc>
          <w:tcPr>
            <w:tcW w:w="1474" w:type="dxa"/>
          </w:tcPr>
          <w:p w14:paraId="47E7050C" w14:textId="77777777" w:rsidR="00CC7D2C" w:rsidRPr="002A677E" w:rsidRDefault="00CC7D2C" w:rsidP="00206A48">
            <w:pPr>
              <w:pStyle w:val="InstructionsText"/>
            </w:pPr>
            <w:r>
              <w:t>0432</w:t>
            </w:r>
          </w:p>
        </w:tc>
        <w:tc>
          <w:tcPr>
            <w:tcW w:w="7049" w:type="dxa"/>
          </w:tcPr>
          <w:p w14:paraId="04B98A3C" w14:textId="6318D71F" w:rsidR="00CC7D2C" w:rsidRPr="002A677E" w:rsidRDefault="00CC7D2C" w:rsidP="00206A48">
            <w:pPr>
              <w:pStyle w:val="InstructionsText"/>
            </w:pPr>
            <w:r>
              <w:rPr>
                <w:rStyle w:val="InstructionsTabelleberschrift"/>
                <w:rFonts w:ascii="Times New Roman" w:hAnsi="Times New Roman"/>
                <w:sz w:val="24"/>
              </w:rPr>
              <w:t>14.3.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dodatnem kapitalu subjektov finančnega sektorja, v katerih institucija nima pomembne naložbe</w:t>
            </w:r>
          </w:p>
          <w:p w14:paraId="5CF8D059"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CC7D2C" w:rsidRPr="002A677E" w14:paraId="36FD440F" w14:textId="77777777" w:rsidTr="00822842">
        <w:tc>
          <w:tcPr>
            <w:tcW w:w="1474" w:type="dxa"/>
          </w:tcPr>
          <w:p w14:paraId="3BACFB19" w14:textId="77777777" w:rsidR="00CC7D2C" w:rsidRPr="002A677E" w:rsidRDefault="00CC7D2C" w:rsidP="00206A48">
            <w:pPr>
              <w:pStyle w:val="InstructionsText"/>
            </w:pPr>
            <w:r>
              <w:t>0433</w:t>
            </w:r>
          </w:p>
        </w:tc>
        <w:tc>
          <w:tcPr>
            <w:tcW w:w="7049" w:type="dxa"/>
          </w:tcPr>
          <w:p w14:paraId="7629D40E" w14:textId="530C34EE" w:rsidR="00CC7D2C" w:rsidRPr="002A677E" w:rsidRDefault="00CC7D2C" w:rsidP="00206A48">
            <w:pPr>
              <w:pStyle w:val="InstructionsText"/>
            </w:pPr>
            <w:r>
              <w:rPr>
                <w:rStyle w:val="InstructionsTabelleberschrift"/>
                <w:rFonts w:ascii="Times New Roman" w:hAnsi="Times New Roman"/>
                <w:sz w:val="24"/>
              </w:rPr>
              <w:t>14.3.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3DB92575" w14:textId="77777777" w:rsidR="00CC7D2C" w:rsidRPr="002A677E" w:rsidRDefault="00CC7D2C" w:rsidP="00206A48">
            <w:pPr>
              <w:pStyle w:val="InstructionsText"/>
            </w:pPr>
            <w:r>
              <w:t>Člen 4(1), točka 126, in člen 69 Uredbe (EU) št. 575/2013.</w:t>
            </w:r>
          </w:p>
          <w:p w14:paraId="02DEC376" w14:textId="77777777" w:rsidR="00CC7D2C" w:rsidRPr="002A677E" w:rsidRDefault="00CC7D2C" w:rsidP="00206A48">
            <w:pPr>
              <w:pStyle w:val="InstructionsText"/>
              <w:rPr>
                <w:rStyle w:val="InstructionsTabelleberschrift"/>
                <w:rFonts w:ascii="Times New Roman" w:hAnsi="Times New Roman"/>
                <w:b w:val="0"/>
                <w:bCs w:val="0"/>
                <w:sz w:val="24"/>
                <w:u w:val="none"/>
              </w:rPr>
            </w:pPr>
            <w:r>
              <w:lastRenderedPageBreak/>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706BD1BD" w14:textId="77777777" w:rsidTr="00822842">
        <w:tc>
          <w:tcPr>
            <w:tcW w:w="1474" w:type="dxa"/>
          </w:tcPr>
          <w:p w14:paraId="2D28C427" w14:textId="77777777" w:rsidR="00CC7D2C" w:rsidRPr="002A677E" w:rsidRDefault="00CC7D2C" w:rsidP="00206A48">
            <w:pPr>
              <w:pStyle w:val="InstructionsText"/>
            </w:pPr>
            <w:r>
              <w:lastRenderedPageBreak/>
              <w:t>0440</w:t>
            </w:r>
          </w:p>
        </w:tc>
        <w:tc>
          <w:tcPr>
            <w:tcW w:w="7049" w:type="dxa"/>
          </w:tcPr>
          <w:p w14:paraId="0FF9C857" w14:textId="77777777" w:rsidR="00CC7D2C" w:rsidRPr="002A677E" w:rsidRDefault="00CC7D2C" w:rsidP="00206A48">
            <w:pPr>
              <w:pStyle w:val="InstructionsText"/>
            </w:pPr>
            <w:r>
              <w:rPr>
                <w:rStyle w:val="InstructionsTabelleberschrift"/>
                <w:rFonts w:ascii="Times New Roman" w:hAnsi="Times New Roman"/>
                <w:sz w:val="24"/>
              </w:rPr>
              <w:t>15.</w:t>
            </w:r>
            <w:r w:rsidRPr="00F6783D">
              <w:rPr>
                <w:u w:val="single"/>
              </w:rPr>
              <w:tab/>
            </w:r>
            <w:r>
              <w:rPr>
                <w:rStyle w:val="InstructionsTabelleberschrift"/>
                <w:rFonts w:ascii="Times New Roman" w:hAnsi="Times New Roman"/>
                <w:sz w:val="24"/>
              </w:rPr>
              <w:t>Deleži v navadnem lastniškem temeljnem kapitalu subjektov finančnega sektorja, v katerih ima institucija pomembno naložbo, pri čemer se odštejejo kratke pozicije</w:t>
            </w:r>
          </w:p>
          <w:p w14:paraId="7C875F9C" w14:textId="77777777" w:rsidR="00CC7D2C" w:rsidRPr="002A677E" w:rsidRDefault="00CC7D2C" w:rsidP="00206A48">
            <w:pPr>
              <w:pStyle w:val="InstructionsText"/>
            </w:pPr>
            <w:r>
              <w:t>Členi 44, 45, 47 in 49 Uredbe (EU) št. 575/2013.</w:t>
            </w:r>
          </w:p>
        </w:tc>
      </w:tr>
      <w:tr w:rsidR="00CC7D2C" w:rsidRPr="002A677E" w14:paraId="6AA27B3D" w14:textId="77777777" w:rsidTr="00822842">
        <w:tc>
          <w:tcPr>
            <w:tcW w:w="1474" w:type="dxa"/>
          </w:tcPr>
          <w:p w14:paraId="735A396A" w14:textId="77777777" w:rsidR="00CC7D2C" w:rsidRPr="002A677E" w:rsidRDefault="00CC7D2C" w:rsidP="00206A48">
            <w:pPr>
              <w:pStyle w:val="InstructionsText"/>
            </w:pPr>
            <w:r>
              <w:t>0450</w:t>
            </w:r>
          </w:p>
        </w:tc>
        <w:tc>
          <w:tcPr>
            <w:tcW w:w="7049" w:type="dxa"/>
          </w:tcPr>
          <w:p w14:paraId="67599E27" w14:textId="1B899AB1" w:rsidR="00CC7D2C" w:rsidRPr="002A677E" w:rsidRDefault="00CC7D2C" w:rsidP="00206A48">
            <w:pPr>
              <w:pStyle w:val="InstructionsText"/>
            </w:pPr>
            <w:r>
              <w:rPr>
                <w:rStyle w:val="InstructionsTabelleberschrift"/>
                <w:rFonts w:ascii="Times New Roman" w:hAnsi="Times New Roman"/>
                <w:sz w:val="24"/>
              </w:rPr>
              <w:t>15.</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navadnem lastniškem temeljnem kapitalu subjektov finančnega sektorja, v katerih ima institucija pomembno naložbo</w:t>
            </w:r>
          </w:p>
          <w:p w14:paraId="741527BD" w14:textId="77777777" w:rsidR="00CC7D2C" w:rsidRPr="002A677E" w:rsidRDefault="00CC7D2C" w:rsidP="00206A48">
            <w:pPr>
              <w:pStyle w:val="InstructionsText"/>
            </w:pPr>
            <w:r>
              <w:t>Členi 44, 45, 47 in 49 Uredbe (EU) št. 575/2013.</w:t>
            </w:r>
          </w:p>
        </w:tc>
      </w:tr>
      <w:tr w:rsidR="00CC7D2C" w:rsidRPr="002A677E" w14:paraId="595C7F4D" w14:textId="77777777" w:rsidTr="00822842">
        <w:tc>
          <w:tcPr>
            <w:tcW w:w="1474" w:type="dxa"/>
          </w:tcPr>
          <w:p w14:paraId="765EBD7B" w14:textId="77777777" w:rsidR="00CC7D2C" w:rsidRPr="002A677E" w:rsidRDefault="00CC7D2C" w:rsidP="00206A48">
            <w:pPr>
              <w:pStyle w:val="InstructionsText"/>
            </w:pPr>
            <w:r>
              <w:t>0460</w:t>
            </w:r>
          </w:p>
        </w:tc>
        <w:tc>
          <w:tcPr>
            <w:tcW w:w="7049" w:type="dxa"/>
          </w:tcPr>
          <w:p w14:paraId="2B980E39" w14:textId="690C06E6" w:rsidR="00CC7D2C" w:rsidRPr="002A677E" w:rsidRDefault="00CC7D2C" w:rsidP="00206A48">
            <w:pPr>
              <w:pStyle w:val="InstructionsText"/>
            </w:pPr>
            <w:r>
              <w:rPr>
                <w:rStyle w:val="InstructionsTabelleberschrift"/>
                <w:rFonts w:ascii="Times New Roman" w:hAnsi="Times New Roman"/>
                <w:sz w:val="24"/>
              </w:rPr>
              <w:t>15.1.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navadnem lastniškem temeljnem kapitalu subjektov finančnega sektorja, v katerih ima institucija pomembno naložbo</w:t>
            </w:r>
          </w:p>
          <w:p w14:paraId="036661F9" w14:textId="77777777" w:rsidR="00CC7D2C" w:rsidRPr="002A677E" w:rsidRDefault="00CC7D2C" w:rsidP="00206A48">
            <w:pPr>
              <w:pStyle w:val="InstructionsText"/>
            </w:pPr>
            <w:r>
              <w:t>Členi 44, 45, 47 in 49 Uredbe (EU) št. 575/2013.</w:t>
            </w:r>
          </w:p>
          <w:p w14:paraId="09C948F4" w14:textId="77777777" w:rsidR="00CC7D2C" w:rsidRPr="002A677E" w:rsidRDefault="00CC7D2C" w:rsidP="00206A48">
            <w:pPr>
              <w:pStyle w:val="InstructionsText"/>
            </w:pPr>
            <w:r>
              <w:t>Neposredni deleži v navadnem lastniškem temeljnem kapitalu subjektov finančnega sektorja, v katerih ima institucija pomembno naložbo, razen:</w:t>
            </w:r>
          </w:p>
          <w:p w14:paraId="0A0074A9" w14:textId="77777777" w:rsidR="00CC7D2C" w:rsidRPr="002A677E" w:rsidRDefault="00CC7D2C" w:rsidP="00206A48">
            <w:pPr>
              <w:pStyle w:val="InstructionsText"/>
            </w:pPr>
            <w:r>
              <w:t>(a)</w:t>
            </w:r>
            <w:r>
              <w:tab/>
              <w:t xml:space="preserve">pozicij iz izvedbe prve prodaje teh instrumentov z obveznostjo odkupa, ki jih je institucija imela pet delovnih dni ali manj; </w:t>
            </w:r>
          </w:p>
          <w:p w14:paraId="4E883DD4" w14:textId="77777777" w:rsidR="00CC7D2C" w:rsidRPr="002A677E" w:rsidRDefault="00CC7D2C" w:rsidP="00206A48">
            <w:pPr>
              <w:pStyle w:val="InstructionsText"/>
            </w:pPr>
            <w:r>
              <w:t>(b)</w:t>
            </w:r>
            <w:r>
              <w:tab/>
              <w:t xml:space="preserve">zneskov v zvezi z naložbami, za katere se uporablja katera koli druga možnost iz člena 49, in </w:t>
            </w:r>
          </w:p>
          <w:p w14:paraId="5BB8BDF6" w14:textId="77777777" w:rsidR="00CC7D2C" w:rsidRPr="002A677E" w:rsidRDefault="00CC7D2C" w:rsidP="00206A48">
            <w:pPr>
              <w:pStyle w:val="InstructionsText"/>
            </w:pPr>
            <w:r>
              <w:t>(c)</w:t>
            </w:r>
            <w:r>
              <w:tab/>
              <w:t>deležev, ki se obravnavajo kot vzajemni navzkrižni deleži v skladu s členom 36(1), točka (g), Uredbe (EU) št. 575/2013.</w:t>
            </w:r>
          </w:p>
        </w:tc>
      </w:tr>
      <w:tr w:rsidR="00CC7D2C" w:rsidRPr="002A677E" w14:paraId="2554683F" w14:textId="77777777" w:rsidTr="00822842">
        <w:tc>
          <w:tcPr>
            <w:tcW w:w="1474" w:type="dxa"/>
          </w:tcPr>
          <w:p w14:paraId="4C8C8D41" w14:textId="77777777" w:rsidR="00CC7D2C" w:rsidRPr="002A677E" w:rsidRDefault="00CC7D2C" w:rsidP="00206A48">
            <w:pPr>
              <w:pStyle w:val="InstructionsText"/>
            </w:pPr>
            <w:r>
              <w:t>0470</w:t>
            </w:r>
          </w:p>
        </w:tc>
        <w:tc>
          <w:tcPr>
            <w:tcW w:w="7049" w:type="dxa"/>
          </w:tcPr>
          <w:p w14:paraId="4713E01D" w14:textId="34F544DE" w:rsidR="00CC7D2C" w:rsidRPr="002A677E" w:rsidRDefault="00CC7D2C" w:rsidP="00206A48">
            <w:pPr>
              <w:pStyle w:val="InstructionsText"/>
            </w:pPr>
            <w:r>
              <w:rPr>
                <w:rStyle w:val="InstructionsTabelleberschrift"/>
                <w:rFonts w:ascii="Times New Roman" w:hAnsi="Times New Roman"/>
                <w:sz w:val="24"/>
              </w:rPr>
              <w:t>15.1.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608988C8" w14:textId="77777777" w:rsidR="00CC7D2C" w:rsidRPr="002A677E" w:rsidRDefault="00CC7D2C" w:rsidP="00206A48">
            <w:pPr>
              <w:pStyle w:val="InstructionsText"/>
            </w:pPr>
            <w:r>
              <w:t>Člen 45 Uredbe (EU) št. 575/2013.</w:t>
            </w:r>
          </w:p>
          <w:p w14:paraId="17514F1A" w14:textId="77777777" w:rsidR="00CC7D2C" w:rsidRPr="002A677E" w:rsidRDefault="00CC7D2C" w:rsidP="00206A48">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61B04000" w14:textId="77777777" w:rsidTr="00822842">
        <w:tc>
          <w:tcPr>
            <w:tcW w:w="1474" w:type="dxa"/>
          </w:tcPr>
          <w:p w14:paraId="322FFD86" w14:textId="77777777" w:rsidR="00CC7D2C" w:rsidRPr="002A677E" w:rsidRDefault="00CC7D2C" w:rsidP="00206A48">
            <w:pPr>
              <w:pStyle w:val="InstructionsText"/>
            </w:pPr>
            <w:r>
              <w:t>0480</w:t>
            </w:r>
          </w:p>
        </w:tc>
        <w:tc>
          <w:tcPr>
            <w:tcW w:w="7049" w:type="dxa"/>
          </w:tcPr>
          <w:p w14:paraId="761DBFD7" w14:textId="33C7FD5D" w:rsidR="00CC7D2C" w:rsidRPr="002A677E" w:rsidRDefault="00CC7D2C" w:rsidP="00206A48">
            <w:pPr>
              <w:pStyle w:val="InstructionsText"/>
            </w:pPr>
            <w:r>
              <w:rPr>
                <w:rStyle w:val="InstructionsTabelleberschrift"/>
                <w:rFonts w:ascii="Times New Roman" w:hAnsi="Times New Roman"/>
                <w:sz w:val="24"/>
              </w:rPr>
              <w:t>15.</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navadnem lastniškem temeljnem kapitalu subjektov finančnega sektorja, v katerih ima institucija pomembno naložbo</w:t>
            </w:r>
          </w:p>
          <w:p w14:paraId="6E5583DA" w14:textId="77777777" w:rsidR="00CC7D2C" w:rsidRPr="002A677E" w:rsidRDefault="00CC7D2C" w:rsidP="00206A48">
            <w:pPr>
              <w:pStyle w:val="InstructionsText"/>
            </w:pPr>
            <w:r>
              <w:t>Člen 4(1), točka 114, in člena 44 in 45 Uredbe (EU) št. 575/2013.</w:t>
            </w:r>
          </w:p>
        </w:tc>
      </w:tr>
      <w:tr w:rsidR="00CC7D2C" w:rsidRPr="002A677E" w14:paraId="18C8A22C" w14:textId="77777777" w:rsidTr="00822842">
        <w:tc>
          <w:tcPr>
            <w:tcW w:w="1474" w:type="dxa"/>
          </w:tcPr>
          <w:p w14:paraId="419418F1" w14:textId="77777777" w:rsidR="00CC7D2C" w:rsidRPr="002A677E" w:rsidRDefault="00CC7D2C" w:rsidP="00206A48">
            <w:pPr>
              <w:pStyle w:val="InstructionsText"/>
            </w:pPr>
            <w:r>
              <w:t>0490</w:t>
            </w:r>
          </w:p>
        </w:tc>
        <w:tc>
          <w:tcPr>
            <w:tcW w:w="7049" w:type="dxa"/>
          </w:tcPr>
          <w:p w14:paraId="698DA054" w14:textId="5A168A7C" w:rsidR="00CC7D2C" w:rsidRPr="002A677E" w:rsidRDefault="00CC7D2C" w:rsidP="00206A48">
            <w:pPr>
              <w:pStyle w:val="InstructionsText"/>
            </w:pPr>
            <w:r>
              <w:rPr>
                <w:rStyle w:val="InstructionsTabelleberschrift"/>
                <w:rFonts w:ascii="Times New Roman" w:hAnsi="Times New Roman"/>
                <w:sz w:val="24"/>
              </w:rPr>
              <w:t>15.2.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navadnem lastniškem temeljnem kapitalu subjektov finančnega sektorja, v katerih ima institucija pomembno naložbo</w:t>
            </w:r>
          </w:p>
          <w:p w14:paraId="794C9AFE" w14:textId="77777777" w:rsidR="00CC7D2C" w:rsidRPr="002A677E" w:rsidRDefault="00CC7D2C" w:rsidP="00206A48">
            <w:pPr>
              <w:pStyle w:val="InstructionsText"/>
            </w:pPr>
            <w:r>
              <w:t>Člen 4(1), točka 114, in člena 44 in 45 Uredbe (EU) št. 575/2013.</w:t>
            </w:r>
          </w:p>
          <w:p w14:paraId="0AE2F25F" w14:textId="77777777" w:rsidR="00CC7D2C" w:rsidRPr="002A677E" w:rsidRDefault="00CC7D2C" w:rsidP="00206A48">
            <w:pPr>
              <w:pStyle w:val="InstructionsText"/>
            </w:pPr>
            <w:r>
              <w:lastRenderedPageBreak/>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3F78CFCC" w14:textId="77777777" w:rsidR="00CC7D2C" w:rsidRPr="002A677E" w:rsidRDefault="00CC7D2C" w:rsidP="00206A48">
            <w:pPr>
              <w:pStyle w:val="InstructionsText"/>
            </w:pPr>
            <w:r>
              <w:t>Deleži, ki se obravnavajo kot vzajemni navzkrižni deleži v skladu s členom 36(1), točka (g), Uredbe (EU) št. 575/2013, niso vključeni.</w:t>
            </w:r>
          </w:p>
        </w:tc>
      </w:tr>
      <w:tr w:rsidR="00CC7D2C" w:rsidRPr="002A677E" w14:paraId="0928CCF4" w14:textId="77777777" w:rsidTr="00822842">
        <w:tc>
          <w:tcPr>
            <w:tcW w:w="1474" w:type="dxa"/>
          </w:tcPr>
          <w:p w14:paraId="64023C63" w14:textId="77777777" w:rsidR="00CC7D2C" w:rsidRPr="002A677E" w:rsidRDefault="00CC7D2C" w:rsidP="00206A48">
            <w:pPr>
              <w:pStyle w:val="InstructionsText"/>
            </w:pPr>
            <w:r>
              <w:lastRenderedPageBreak/>
              <w:t>0500</w:t>
            </w:r>
          </w:p>
        </w:tc>
        <w:tc>
          <w:tcPr>
            <w:tcW w:w="7049" w:type="dxa"/>
          </w:tcPr>
          <w:p w14:paraId="44D389F7" w14:textId="7D484405" w:rsidR="00CC7D2C" w:rsidRPr="002A677E" w:rsidRDefault="00CC7D2C" w:rsidP="00206A48">
            <w:pPr>
              <w:pStyle w:val="InstructionsText"/>
            </w:pPr>
            <w:r>
              <w:rPr>
                <w:rStyle w:val="InstructionsTabelleberschrift"/>
                <w:rFonts w:ascii="Times New Roman" w:hAnsi="Times New Roman"/>
                <w:sz w:val="24"/>
              </w:rPr>
              <w:t>15.2.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0260A712" w14:textId="77777777" w:rsidR="00CC7D2C" w:rsidRPr="002A677E" w:rsidRDefault="00CC7D2C" w:rsidP="00206A48">
            <w:pPr>
              <w:pStyle w:val="InstructionsText"/>
            </w:pPr>
            <w:r>
              <w:t>Člen 4(1), točka 114, in člen 45 Uredbe (EU) št. 575/2013.</w:t>
            </w:r>
          </w:p>
          <w:p w14:paraId="50F604F3" w14:textId="77777777" w:rsidR="00CC7D2C" w:rsidRPr="002A677E" w:rsidRDefault="00CC7D2C" w:rsidP="00206A48">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069A7FC4" w14:textId="77777777" w:rsidTr="00822842">
        <w:tc>
          <w:tcPr>
            <w:tcW w:w="1474" w:type="dxa"/>
          </w:tcPr>
          <w:p w14:paraId="7D4B5B9E" w14:textId="77777777" w:rsidR="00CC7D2C" w:rsidRPr="002A677E" w:rsidRDefault="00CC7D2C" w:rsidP="00206A48">
            <w:pPr>
              <w:pStyle w:val="InstructionsText"/>
            </w:pPr>
            <w:r>
              <w:t>0501</w:t>
            </w:r>
          </w:p>
        </w:tc>
        <w:tc>
          <w:tcPr>
            <w:tcW w:w="7049" w:type="dxa"/>
          </w:tcPr>
          <w:p w14:paraId="4F06B854" w14:textId="0628FF73" w:rsidR="00CC7D2C" w:rsidRPr="002A677E" w:rsidRDefault="00CC7D2C" w:rsidP="00206A48">
            <w:pPr>
              <w:pStyle w:val="InstructionsText"/>
            </w:pPr>
            <w:r>
              <w:rPr>
                <w:rStyle w:val="InstructionsTabelleberschrift"/>
                <w:rFonts w:ascii="Times New Roman" w:hAnsi="Times New Roman"/>
                <w:sz w:val="24"/>
              </w:rPr>
              <w:t>15.</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navadnem lastniškem temeljnem kapitalu subjektov finančnega sektorja, v katerih ima institucija pomembno naložbo</w:t>
            </w:r>
          </w:p>
          <w:p w14:paraId="4FDA5923" w14:textId="77777777" w:rsidR="00CC7D2C" w:rsidRPr="002A677E" w:rsidRDefault="00CC7D2C" w:rsidP="00206A48">
            <w:pPr>
              <w:pStyle w:val="InstructionsText"/>
            </w:pPr>
            <w:r>
              <w:t>Člen 4(1), točka 126, in člena 44 in 45 Uredbe (EU) št. 575/2013.</w:t>
            </w:r>
          </w:p>
        </w:tc>
      </w:tr>
      <w:tr w:rsidR="00CC7D2C" w:rsidRPr="002A677E" w14:paraId="39E8504B" w14:textId="77777777" w:rsidTr="00822842">
        <w:tc>
          <w:tcPr>
            <w:tcW w:w="1474" w:type="dxa"/>
          </w:tcPr>
          <w:p w14:paraId="702432D4" w14:textId="77777777" w:rsidR="00CC7D2C" w:rsidRPr="002A677E" w:rsidRDefault="00CC7D2C" w:rsidP="00206A48">
            <w:pPr>
              <w:pStyle w:val="InstructionsText"/>
            </w:pPr>
            <w:r>
              <w:t>0502</w:t>
            </w:r>
          </w:p>
        </w:tc>
        <w:tc>
          <w:tcPr>
            <w:tcW w:w="7049" w:type="dxa"/>
          </w:tcPr>
          <w:p w14:paraId="37BEEACC" w14:textId="799B56EE" w:rsidR="00CC7D2C" w:rsidRPr="002A677E" w:rsidRDefault="00CC7D2C" w:rsidP="00206A48">
            <w:pPr>
              <w:pStyle w:val="InstructionsText"/>
            </w:pPr>
            <w:r>
              <w:rPr>
                <w:rStyle w:val="InstructionsTabelleberschrift"/>
                <w:rFonts w:ascii="Times New Roman" w:hAnsi="Times New Roman"/>
                <w:sz w:val="24"/>
              </w:rPr>
              <w:t>15.3.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navadnem lastniškem temeljnem kapitalu subjektov finančnega sektorja, v katerih ima institucija pomembno naložbo</w:t>
            </w:r>
          </w:p>
          <w:p w14:paraId="324270A6" w14:textId="77777777" w:rsidR="00CC7D2C" w:rsidRPr="002A677E" w:rsidRDefault="00CC7D2C" w:rsidP="00206A48">
            <w:pPr>
              <w:pStyle w:val="InstructionsText"/>
            </w:pPr>
            <w:r>
              <w:t>Člen 4(1), točka 126, in člena 44 in 45 Uredbe (EU) št. 575/2013.</w:t>
            </w:r>
          </w:p>
        </w:tc>
      </w:tr>
      <w:tr w:rsidR="00CC7D2C" w:rsidRPr="002A677E" w14:paraId="1FCF3A8A" w14:textId="77777777" w:rsidTr="00822842">
        <w:tc>
          <w:tcPr>
            <w:tcW w:w="1474" w:type="dxa"/>
          </w:tcPr>
          <w:p w14:paraId="205D2BBC" w14:textId="77777777" w:rsidR="00CC7D2C" w:rsidRPr="002A677E" w:rsidRDefault="00CC7D2C" w:rsidP="00206A48">
            <w:pPr>
              <w:pStyle w:val="InstructionsText"/>
            </w:pPr>
            <w:r>
              <w:t>0503</w:t>
            </w:r>
          </w:p>
        </w:tc>
        <w:tc>
          <w:tcPr>
            <w:tcW w:w="7049" w:type="dxa"/>
          </w:tcPr>
          <w:p w14:paraId="316380A6" w14:textId="6C5E427E" w:rsidR="00CC7D2C" w:rsidRPr="002A677E" w:rsidRDefault="00CC7D2C" w:rsidP="00206A48">
            <w:pPr>
              <w:pStyle w:val="InstructionsText"/>
            </w:pPr>
            <w:r>
              <w:rPr>
                <w:rStyle w:val="InstructionsTabelleberschrift"/>
                <w:rFonts w:ascii="Times New Roman" w:hAnsi="Times New Roman"/>
                <w:sz w:val="24"/>
              </w:rPr>
              <w:t>15.3.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514B205E" w14:textId="77777777" w:rsidR="00CC7D2C" w:rsidRPr="002A677E" w:rsidRDefault="00CC7D2C" w:rsidP="00206A48">
            <w:pPr>
              <w:pStyle w:val="InstructionsText"/>
            </w:pPr>
            <w:r>
              <w:t>Člen 4(1), točka 126, in člen 45 Uredbe (EU) št. 575/2013.</w:t>
            </w:r>
          </w:p>
          <w:p w14:paraId="4A259B9A" w14:textId="77777777" w:rsidR="00CC7D2C" w:rsidRPr="002A677E" w:rsidRDefault="00CC7D2C" w:rsidP="00206A48">
            <w:pPr>
              <w:pStyle w:val="InstructionsText"/>
            </w:pPr>
            <w:r>
              <w:t>V skladu s členom 45,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7FC3D32E" w14:textId="77777777" w:rsidTr="00822842">
        <w:tc>
          <w:tcPr>
            <w:tcW w:w="1474" w:type="dxa"/>
          </w:tcPr>
          <w:p w14:paraId="6C058092" w14:textId="77777777" w:rsidR="00CC7D2C" w:rsidRPr="002A677E" w:rsidRDefault="00CC7D2C" w:rsidP="00206A48">
            <w:pPr>
              <w:pStyle w:val="InstructionsText"/>
            </w:pPr>
            <w:r>
              <w:t>0504</w:t>
            </w:r>
          </w:p>
        </w:tc>
        <w:tc>
          <w:tcPr>
            <w:tcW w:w="7049" w:type="dxa"/>
          </w:tcPr>
          <w:p w14:paraId="2A2242F9"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navadni lastniški temeljni kapital subjektov finančnega sektorja, v katerih ima institucija pomembno naložbo – za katere se uporabi utež tveganja 250 %</w:t>
            </w:r>
          </w:p>
          <w:p w14:paraId="7F700D84" w14:textId="77777777" w:rsidR="00CC7D2C" w:rsidRPr="002A677E" w:rsidRDefault="00CC7D2C" w:rsidP="00206A48">
            <w:pPr>
              <w:pStyle w:val="InstructionsText"/>
            </w:pPr>
            <w:r>
              <w:t>Člen 48(4) Uredbe (EU) št. 575/2013.</w:t>
            </w:r>
          </w:p>
          <w:p w14:paraId="08C3709A" w14:textId="77777777" w:rsidR="00CC7D2C" w:rsidRPr="002A677E" w:rsidRDefault="00CC7D2C" w:rsidP="00206A48">
            <w:pPr>
              <w:pStyle w:val="InstructionsText"/>
            </w:pPr>
            <w:r>
              <w:t>Znesek pomembnih naložb v navadni lastniški temeljni kapital subjektov finančnega sektorja, ki se ne odbijejo v skladu s členom 48(1) Uredbe (EU) št. 575/2013, ampak se zanje v skladu s členom 48(4) navedene uredbe uporabi utež tveganja 250 %.</w:t>
            </w:r>
          </w:p>
          <w:p w14:paraId="4CC369EF" w14:textId="77777777" w:rsidR="00CC7D2C" w:rsidRPr="002A677E" w:rsidRDefault="00CC7D2C" w:rsidP="00206A48">
            <w:pPr>
              <w:pStyle w:val="InstructionsText"/>
              <w:rPr>
                <w:rStyle w:val="InstructionsTabelleberschrift"/>
                <w:rFonts w:ascii="Times New Roman" w:hAnsi="Times New Roman"/>
                <w:sz w:val="24"/>
              </w:rPr>
            </w:pPr>
            <w:r>
              <w:t>Poroča se znesek pomembnih naložb za davek pred uporabo uteži tveganja.</w:t>
            </w:r>
          </w:p>
        </w:tc>
      </w:tr>
      <w:tr w:rsidR="00CC7D2C" w:rsidRPr="002A677E" w14:paraId="17CC32B9" w14:textId="77777777" w:rsidTr="00822842">
        <w:tc>
          <w:tcPr>
            <w:tcW w:w="1474" w:type="dxa"/>
          </w:tcPr>
          <w:p w14:paraId="1689985B" w14:textId="77777777" w:rsidR="00CC7D2C" w:rsidRPr="002A677E" w:rsidRDefault="00CC7D2C" w:rsidP="00206A48">
            <w:pPr>
              <w:pStyle w:val="InstructionsText"/>
            </w:pPr>
            <w:r>
              <w:lastRenderedPageBreak/>
              <w:t>0510</w:t>
            </w:r>
          </w:p>
        </w:tc>
        <w:tc>
          <w:tcPr>
            <w:tcW w:w="7049" w:type="dxa"/>
          </w:tcPr>
          <w:p w14:paraId="37A68C4A" w14:textId="77777777" w:rsidR="00CC7D2C" w:rsidRPr="002A677E" w:rsidRDefault="00CC7D2C" w:rsidP="00206A48">
            <w:pPr>
              <w:pStyle w:val="InstructionsText"/>
            </w:pPr>
            <w:r>
              <w:rPr>
                <w:rStyle w:val="InstructionsTabelleberschrift"/>
                <w:rFonts w:ascii="Times New Roman" w:hAnsi="Times New Roman"/>
                <w:sz w:val="24"/>
              </w:rPr>
              <w:t>16 Deleži v dodatnem temeljnem kapitalu subjektov finančnega sektorja, v katerih ima institucija pomembno naložbo, pri čemer se odštejejo kratke pozicije</w:t>
            </w:r>
          </w:p>
          <w:p w14:paraId="0B60B353" w14:textId="77777777" w:rsidR="00CC7D2C" w:rsidRPr="002A677E" w:rsidRDefault="00CC7D2C" w:rsidP="00206A48">
            <w:pPr>
              <w:pStyle w:val="InstructionsText"/>
            </w:pPr>
            <w:r>
              <w:t>Člena 58 in 59 Uredbe (EU) št. 575/2013.</w:t>
            </w:r>
          </w:p>
        </w:tc>
      </w:tr>
      <w:tr w:rsidR="00CC7D2C" w:rsidRPr="002A677E" w14:paraId="3BA4BEFE" w14:textId="77777777" w:rsidTr="00822842">
        <w:tc>
          <w:tcPr>
            <w:tcW w:w="1474" w:type="dxa"/>
          </w:tcPr>
          <w:p w14:paraId="0FC2A632" w14:textId="77777777" w:rsidR="00CC7D2C" w:rsidRPr="002A677E" w:rsidRDefault="00CC7D2C" w:rsidP="00206A48">
            <w:pPr>
              <w:pStyle w:val="InstructionsText"/>
            </w:pPr>
            <w:r>
              <w:t>0520</w:t>
            </w:r>
          </w:p>
        </w:tc>
        <w:tc>
          <w:tcPr>
            <w:tcW w:w="7049" w:type="dxa"/>
          </w:tcPr>
          <w:p w14:paraId="396E8E7A" w14:textId="073FC232" w:rsidR="00CC7D2C" w:rsidRPr="002A677E" w:rsidRDefault="00CC7D2C" w:rsidP="00206A48">
            <w:pPr>
              <w:pStyle w:val="InstructionsText"/>
            </w:pPr>
            <w:r>
              <w:rPr>
                <w:rStyle w:val="InstructionsTabelleberschrift"/>
                <w:rFonts w:ascii="Times New Roman" w:hAnsi="Times New Roman"/>
                <w:sz w:val="24"/>
              </w:rPr>
              <w:t>16.</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dodatnem temeljnem kapitalu subjektov finančnega sektorja, v katerih ima institucija pomembno naložbo</w:t>
            </w:r>
          </w:p>
          <w:p w14:paraId="615CAEA4" w14:textId="77777777" w:rsidR="00CC7D2C" w:rsidRPr="002A677E" w:rsidRDefault="00CC7D2C" w:rsidP="00206A48">
            <w:pPr>
              <w:pStyle w:val="InstructionsText"/>
            </w:pPr>
            <w:r>
              <w:t>Člena 58 in 59 Uredbe (EU) št. 575/2013.</w:t>
            </w:r>
          </w:p>
        </w:tc>
      </w:tr>
      <w:tr w:rsidR="00CC7D2C" w:rsidRPr="002A677E" w14:paraId="4BE82DE3" w14:textId="77777777" w:rsidTr="00822842">
        <w:tc>
          <w:tcPr>
            <w:tcW w:w="1474" w:type="dxa"/>
          </w:tcPr>
          <w:p w14:paraId="3A3FE1F4" w14:textId="77777777" w:rsidR="00CC7D2C" w:rsidRPr="002A677E" w:rsidRDefault="00CC7D2C" w:rsidP="00206A48">
            <w:pPr>
              <w:pStyle w:val="InstructionsText"/>
            </w:pPr>
            <w:r>
              <w:t>0530</w:t>
            </w:r>
          </w:p>
        </w:tc>
        <w:tc>
          <w:tcPr>
            <w:tcW w:w="7049" w:type="dxa"/>
          </w:tcPr>
          <w:p w14:paraId="3FCC12A6" w14:textId="74DC03C9" w:rsidR="00CC7D2C" w:rsidRPr="002A677E" w:rsidRDefault="00CC7D2C" w:rsidP="00206A48">
            <w:pPr>
              <w:pStyle w:val="InstructionsText"/>
            </w:pPr>
            <w:r>
              <w:rPr>
                <w:rStyle w:val="InstructionsTabelleberschrift"/>
                <w:rFonts w:ascii="Times New Roman" w:hAnsi="Times New Roman"/>
                <w:sz w:val="24"/>
              </w:rPr>
              <w:t>16.1.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dodatnem temeljnem kapitalu subjektov finančnega sektorja, v katerih ima institucija pomembno naložbo</w:t>
            </w:r>
          </w:p>
          <w:p w14:paraId="12F44F50" w14:textId="77777777" w:rsidR="00CC7D2C" w:rsidRPr="002A677E" w:rsidRDefault="00CC7D2C" w:rsidP="00206A48">
            <w:pPr>
              <w:pStyle w:val="InstructionsText"/>
            </w:pPr>
            <w:r>
              <w:t>Člen 58 Uredbe (EU) št. 575/2013.</w:t>
            </w:r>
          </w:p>
          <w:p w14:paraId="41935DD8" w14:textId="77777777" w:rsidR="00CC7D2C" w:rsidRPr="002A677E" w:rsidRDefault="00CC7D2C" w:rsidP="00206A48">
            <w:pPr>
              <w:pStyle w:val="InstructionsText"/>
            </w:pPr>
            <w:r>
              <w:t>Neposredni deleži v dodatnem temeljnem kapitalu subjektov finančnega sektorja, v katerih ima institucija pomembno naložbo, razen:</w:t>
            </w:r>
          </w:p>
          <w:p w14:paraId="4D8400A2" w14:textId="77777777" w:rsidR="00CC7D2C" w:rsidRPr="002A677E" w:rsidRDefault="00CC7D2C" w:rsidP="00206A48">
            <w:pPr>
              <w:pStyle w:val="InstructionsText"/>
            </w:pPr>
            <w:r>
              <w:t>(a)</w:t>
            </w:r>
            <w:r>
              <w:tab/>
              <w:t>pozicij iz izvedbe prve prodaje teh instrumentov z obveznostjo odkupa, ki jih je institucija imela pet delovnih dni ali manj (člen 56, točka (d), Uredbe (EU) št. 575/2013); in</w:t>
            </w:r>
          </w:p>
          <w:p w14:paraId="5C192689" w14:textId="77777777" w:rsidR="00CC7D2C" w:rsidRPr="002A677E" w:rsidRDefault="00CC7D2C" w:rsidP="00206A48">
            <w:pPr>
              <w:pStyle w:val="InstructionsText"/>
            </w:pPr>
            <w:r>
              <w:t>(b)</w:t>
            </w:r>
            <w:r>
              <w:tab/>
              <w:t>deležev, ki se obravnavajo kot vzajemni navzkrižni deleži v skladu s členom 56, točka (b), Uredbe (EU) št. 575/2013.</w:t>
            </w:r>
          </w:p>
        </w:tc>
      </w:tr>
      <w:tr w:rsidR="00CC7D2C" w:rsidRPr="002A677E" w14:paraId="1D1E9595" w14:textId="77777777" w:rsidTr="00822842">
        <w:tc>
          <w:tcPr>
            <w:tcW w:w="1474" w:type="dxa"/>
          </w:tcPr>
          <w:p w14:paraId="25352852" w14:textId="77777777" w:rsidR="00CC7D2C" w:rsidRPr="002A677E" w:rsidRDefault="00CC7D2C" w:rsidP="00206A48">
            <w:pPr>
              <w:pStyle w:val="InstructionsText"/>
            </w:pPr>
            <w:r>
              <w:t>0540</w:t>
            </w:r>
          </w:p>
        </w:tc>
        <w:tc>
          <w:tcPr>
            <w:tcW w:w="7049" w:type="dxa"/>
          </w:tcPr>
          <w:p w14:paraId="035896E1" w14:textId="1B677D77" w:rsidR="00CC7D2C" w:rsidRPr="002A677E" w:rsidRDefault="00CC7D2C" w:rsidP="00206A48">
            <w:pPr>
              <w:pStyle w:val="InstructionsText"/>
            </w:pPr>
            <w:r>
              <w:rPr>
                <w:rStyle w:val="InstructionsTabelleberschrift"/>
                <w:rFonts w:ascii="Times New Roman" w:hAnsi="Times New Roman"/>
                <w:sz w:val="24"/>
              </w:rPr>
              <w:t>16.1.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78A0D4FB" w14:textId="77777777" w:rsidR="00CC7D2C" w:rsidRPr="002A677E" w:rsidRDefault="00CC7D2C" w:rsidP="00206A48">
            <w:pPr>
              <w:pStyle w:val="InstructionsText"/>
            </w:pPr>
            <w:r>
              <w:t>Člen 59 Uredbe (EU) št. 575/2013.</w:t>
            </w:r>
          </w:p>
          <w:p w14:paraId="4D179792" w14:textId="77777777" w:rsidR="00CC7D2C" w:rsidRPr="002A677E" w:rsidRDefault="00CC7D2C" w:rsidP="00206A48">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5EB6D4E9" w14:textId="77777777" w:rsidTr="00822842">
        <w:tc>
          <w:tcPr>
            <w:tcW w:w="1474" w:type="dxa"/>
          </w:tcPr>
          <w:p w14:paraId="395D2AEE" w14:textId="77777777" w:rsidR="00CC7D2C" w:rsidRPr="002A677E" w:rsidRDefault="00CC7D2C" w:rsidP="00206A48">
            <w:pPr>
              <w:pStyle w:val="InstructionsText"/>
            </w:pPr>
            <w:r>
              <w:t>0550</w:t>
            </w:r>
          </w:p>
        </w:tc>
        <w:tc>
          <w:tcPr>
            <w:tcW w:w="7049" w:type="dxa"/>
          </w:tcPr>
          <w:p w14:paraId="4644AFF9" w14:textId="2D0D7203" w:rsidR="00CC7D2C" w:rsidRPr="002A677E" w:rsidRDefault="00CC7D2C" w:rsidP="00206A48">
            <w:pPr>
              <w:pStyle w:val="InstructionsText"/>
            </w:pPr>
            <w:r>
              <w:rPr>
                <w:rStyle w:val="InstructionsTabelleberschrift"/>
                <w:rFonts w:ascii="Times New Roman" w:hAnsi="Times New Roman"/>
                <w:sz w:val="24"/>
              </w:rPr>
              <w:t>16.</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dodatnem temeljnem kapitalu subjektov finančnega sektorja, v katerih ima institucija pomembno naložbo</w:t>
            </w:r>
          </w:p>
          <w:p w14:paraId="541FB02F" w14:textId="77777777" w:rsidR="00CC7D2C" w:rsidRPr="002A677E" w:rsidRDefault="00CC7D2C" w:rsidP="00206A48">
            <w:pPr>
              <w:pStyle w:val="InstructionsText"/>
            </w:pPr>
            <w:r>
              <w:t>Člen 4(1), točka 114, in člena 58 in 59 Uredbe (EU) št. 575/2013.</w:t>
            </w:r>
          </w:p>
        </w:tc>
      </w:tr>
      <w:tr w:rsidR="00CC7D2C" w:rsidRPr="002A677E" w14:paraId="0E40D2F9" w14:textId="77777777" w:rsidTr="00822842">
        <w:tc>
          <w:tcPr>
            <w:tcW w:w="1474" w:type="dxa"/>
          </w:tcPr>
          <w:p w14:paraId="2712E6AE" w14:textId="77777777" w:rsidR="00CC7D2C" w:rsidRPr="002A677E" w:rsidRDefault="00CC7D2C" w:rsidP="00206A48">
            <w:pPr>
              <w:pStyle w:val="InstructionsText"/>
            </w:pPr>
            <w:r>
              <w:t>0560</w:t>
            </w:r>
          </w:p>
        </w:tc>
        <w:tc>
          <w:tcPr>
            <w:tcW w:w="7049" w:type="dxa"/>
          </w:tcPr>
          <w:p w14:paraId="1B287A9A" w14:textId="4C7458B2" w:rsidR="00CC7D2C" w:rsidRPr="002A677E" w:rsidRDefault="00CC7D2C" w:rsidP="00206A48">
            <w:pPr>
              <w:pStyle w:val="InstructionsText"/>
            </w:pPr>
            <w:r>
              <w:rPr>
                <w:rStyle w:val="InstructionsTabelleberschrift"/>
                <w:rFonts w:ascii="Times New Roman" w:hAnsi="Times New Roman"/>
                <w:sz w:val="24"/>
              </w:rPr>
              <w:t>16.2.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dodatnem temeljnem kapitalu subjektov finančnega sektorja, v katerih ima institucija pomembno naložbo</w:t>
            </w:r>
          </w:p>
          <w:p w14:paraId="7AF4342B" w14:textId="77777777" w:rsidR="00CC7D2C" w:rsidRPr="002A677E" w:rsidRDefault="00CC7D2C" w:rsidP="00206A48">
            <w:pPr>
              <w:pStyle w:val="InstructionsText"/>
            </w:pPr>
            <w:r>
              <w:t>Člen 4(1), točka 114, in člena 58 in 59 Uredbe (EU) št. 575/2013.</w:t>
            </w:r>
          </w:p>
          <w:p w14:paraId="058247BE" w14:textId="77777777" w:rsidR="00CC7D2C" w:rsidRPr="002A677E" w:rsidRDefault="00CC7D2C" w:rsidP="00206A48">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7206E9B6" w14:textId="77777777" w:rsidR="00CC7D2C" w:rsidRPr="002A677E" w:rsidRDefault="00CC7D2C" w:rsidP="00206A48">
            <w:pPr>
              <w:pStyle w:val="InstructionsText"/>
            </w:pPr>
            <w:r>
              <w:lastRenderedPageBreak/>
              <w:t>Deleži, ki se obravnavajo kot vzajemni navzkrižni deleži v skladu s členom 56. točka (b), Uredbe (EU) št. 575/2013, niso vključeni.</w:t>
            </w:r>
          </w:p>
        </w:tc>
      </w:tr>
      <w:tr w:rsidR="00CC7D2C" w:rsidRPr="002A677E" w14:paraId="2370C611" w14:textId="77777777" w:rsidTr="00822842">
        <w:tc>
          <w:tcPr>
            <w:tcW w:w="1474" w:type="dxa"/>
          </w:tcPr>
          <w:p w14:paraId="67EA44A4" w14:textId="77777777" w:rsidR="00CC7D2C" w:rsidRPr="002A677E" w:rsidRDefault="00CC7D2C" w:rsidP="00206A48">
            <w:pPr>
              <w:pStyle w:val="InstructionsText"/>
            </w:pPr>
            <w:r>
              <w:lastRenderedPageBreak/>
              <w:t>0570</w:t>
            </w:r>
          </w:p>
        </w:tc>
        <w:tc>
          <w:tcPr>
            <w:tcW w:w="7049" w:type="dxa"/>
          </w:tcPr>
          <w:p w14:paraId="21582B89" w14:textId="412E2F58" w:rsidR="00CC7D2C" w:rsidRPr="002A677E" w:rsidRDefault="00CC7D2C" w:rsidP="00206A48">
            <w:pPr>
              <w:pStyle w:val="InstructionsText"/>
            </w:pPr>
            <w:r>
              <w:rPr>
                <w:rStyle w:val="InstructionsTabelleberschrift"/>
                <w:rFonts w:ascii="Times New Roman" w:hAnsi="Times New Roman"/>
                <w:sz w:val="24"/>
              </w:rPr>
              <w:t>16.2.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4E8AE615" w14:textId="77777777" w:rsidR="00CC7D2C" w:rsidRPr="002A677E" w:rsidRDefault="00CC7D2C" w:rsidP="00206A48">
            <w:pPr>
              <w:pStyle w:val="InstructionsText"/>
            </w:pPr>
            <w:r>
              <w:t>Člen 4(1), točka 114, in člen 59 Uredbe (EU) št. 575/2013.</w:t>
            </w:r>
          </w:p>
          <w:p w14:paraId="41A9A020" w14:textId="77777777" w:rsidR="00CC7D2C" w:rsidRPr="002A677E" w:rsidRDefault="00CC7D2C" w:rsidP="00206A48">
            <w:pPr>
              <w:pStyle w:val="InstructionsText"/>
            </w:pPr>
            <w:r>
              <w:t>V skladu s členom 59,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363F20CE" w14:textId="77777777" w:rsidTr="00822842">
        <w:tc>
          <w:tcPr>
            <w:tcW w:w="1474" w:type="dxa"/>
          </w:tcPr>
          <w:p w14:paraId="386B36DE" w14:textId="77777777" w:rsidR="00CC7D2C" w:rsidRPr="002A677E" w:rsidRDefault="00CC7D2C" w:rsidP="00206A48">
            <w:pPr>
              <w:pStyle w:val="InstructionsText"/>
            </w:pPr>
            <w:r>
              <w:t>0571</w:t>
            </w:r>
          </w:p>
        </w:tc>
        <w:tc>
          <w:tcPr>
            <w:tcW w:w="7049" w:type="dxa"/>
          </w:tcPr>
          <w:p w14:paraId="0424C170" w14:textId="4433BEA5" w:rsidR="00CC7D2C" w:rsidRPr="002A677E" w:rsidRDefault="00CC7D2C" w:rsidP="00206A48">
            <w:pPr>
              <w:pStyle w:val="InstructionsText"/>
            </w:pPr>
            <w:r>
              <w:rPr>
                <w:rStyle w:val="InstructionsTabelleberschrift"/>
                <w:rFonts w:ascii="Times New Roman" w:hAnsi="Times New Roman"/>
                <w:sz w:val="24"/>
              </w:rPr>
              <w:t>16.</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dodatnem temeljnem kapitalu subjektov finančnega sektorja, v katerih ima institucija pomembno naložbo</w:t>
            </w:r>
          </w:p>
          <w:p w14:paraId="111D908D"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CC7D2C" w:rsidRPr="002A677E" w14:paraId="30D98AA6" w14:textId="77777777" w:rsidTr="00822842">
        <w:tc>
          <w:tcPr>
            <w:tcW w:w="1474" w:type="dxa"/>
          </w:tcPr>
          <w:p w14:paraId="2EDA3F6D" w14:textId="77777777" w:rsidR="00CC7D2C" w:rsidRPr="002A677E" w:rsidRDefault="00CC7D2C" w:rsidP="00206A48">
            <w:pPr>
              <w:pStyle w:val="InstructionsText"/>
            </w:pPr>
            <w:r>
              <w:t>0572</w:t>
            </w:r>
          </w:p>
        </w:tc>
        <w:tc>
          <w:tcPr>
            <w:tcW w:w="7049" w:type="dxa"/>
          </w:tcPr>
          <w:p w14:paraId="05C0021B" w14:textId="6E17E559" w:rsidR="00CC7D2C" w:rsidRPr="002A677E" w:rsidRDefault="00CC7D2C" w:rsidP="00206A48">
            <w:pPr>
              <w:pStyle w:val="InstructionsText"/>
            </w:pPr>
            <w:r>
              <w:rPr>
                <w:rStyle w:val="InstructionsTabelleberschrift"/>
                <w:rFonts w:ascii="Times New Roman" w:hAnsi="Times New Roman"/>
                <w:sz w:val="24"/>
              </w:rPr>
              <w:t>16.3.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dodatnem temeljnem kapitalu subjektov finančnega sektorja, v katerih ima institucija pomembno naložbo</w:t>
            </w:r>
          </w:p>
          <w:p w14:paraId="321D808E"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58 in 59 Uredbe (EU) št. 575/2013.</w:t>
            </w:r>
          </w:p>
        </w:tc>
      </w:tr>
      <w:tr w:rsidR="00CC7D2C" w:rsidRPr="002A677E" w14:paraId="5508FF5B" w14:textId="77777777" w:rsidTr="00822842">
        <w:tc>
          <w:tcPr>
            <w:tcW w:w="1474" w:type="dxa"/>
          </w:tcPr>
          <w:p w14:paraId="24A8CB96" w14:textId="77777777" w:rsidR="00CC7D2C" w:rsidRPr="002A677E" w:rsidRDefault="00CC7D2C" w:rsidP="00206A48">
            <w:pPr>
              <w:pStyle w:val="InstructionsText"/>
            </w:pPr>
            <w:r>
              <w:t>0573</w:t>
            </w:r>
          </w:p>
        </w:tc>
        <w:tc>
          <w:tcPr>
            <w:tcW w:w="7049" w:type="dxa"/>
          </w:tcPr>
          <w:p w14:paraId="7A9705B1" w14:textId="25AE1CBD" w:rsidR="00CC7D2C" w:rsidRPr="002A677E" w:rsidRDefault="00CC7D2C" w:rsidP="00206A48">
            <w:pPr>
              <w:pStyle w:val="InstructionsText"/>
            </w:pPr>
            <w:r>
              <w:rPr>
                <w:rStyle w:val="InstructionsTabelleberschrift"/>
                <w:rFonts w:ascii="Times New Roman" w:hAnsi="Times New Roman"/>
                <w:sz w:val="24"/>
              </w:rPr>
              <w:t>16.3.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0EC24D17" w14:textId="77777777" w:rsidR="00CC7D2C" w:rsidRPr="002A677E" w:rsidRDefault="00CC7D2C" w:rsidP="00206A48">
            <w:pPr>
              <w:pStyle w:val="InstructionsText"/>
            </w:pPr>
            <w:r>
              <w:t>Člen 4(1), točka 126, in člen 59 Uredbe (EU) št. 575/2013.</w:t>
            </w:r>
          </w:p>
          <w:p w14:paraId="4F143383" w14:textId="77777777" w:rsidR="00CC7D2C" w:rsidRPr="002A677E" w:rsidRDefault="00CC7D2C" w:rsidP="00206A48">
            <w:pPr>
              <w:pStyle w:val="InstructionsText"/>
              <w:rPr>
                <w:rStyle w:val="InstructionsTabelleberschrift"/>
                <w:rFonts w:ascii="Times New Roman" w:hAnsi="Times New Roman"/>
                <w:b w:val="0"/>
                <w:bCs w:val="0"/>
                <w:sz w:val="24"/>
                <w:u w:val="none"/>
              </w:rPr>
            </w:pPr>
            <w:r>
              <w:t xml:space="preserve">V skladu s členom 59, točka (a), Uredbe (EU) št. 575/2013 </w:t>
            </w:r>
            <w:r>
              <w:rPr>
                <w:rStyle w:val="InstructionsTabelleberschrift"/>
                <w:rFonts w:ascii="Times New Roman" w:hAnsi="Times New Roman"/>
                <w:b w:val="0"/>
                <w:sz w:val="24"/>
                <w:u w:val="none"/>
              </w:rPr>
              <w:t>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71A70E5F" w14:textId="77777777" w:rsidTr="00822842">
        <w:tc>
          <w:tcPr>
            <w:tcW w:w="1474" w:type="dxa"/>
          </w:tcPr>
          <w:p w14:paraId="55392CEF" w14:textId="77777777" w:rsidR="00CC7D2C" w:rsidRPr="002A677E" w:rsidRDefault="00CC7D2C" w:rsidP="00206A48">
            <w:pPr>
              <w:pStyle w:val="InstructionsText"/>
            </w:pPr>
            <w:r>
              <w:t>0580</w:t>
            </w:r>
          </w:p>
        </w:tc>
        <w:tc>
          <w:tcPr>
            <w:tcW w:w="7049" w:type="dxa"/>
          </w:tcPr>
          <w:p w14:paraId="0D7DB5BA" w14:textId="77777777" w:rsidR="00CC7D2C" w:rsidRPr="002A677E" w:rsidRDefault="00CC7D2C" w:rsidP="00206A48">
            <w:pPr>
              <w:pStyle w:val="InstructionsText"/>
            </w:pPr>
            <w:r>
              <w:rPr>
                <w:rStyle w:val="InstructionsTabelleberschrift"/>
                <w:rFonts w:ascii="Times New Roman" w:hAnsi="Times New Roman"/>
                <w:sz w:val="24"/>
              </w:rPr>
              <w:t>17 Deleži v dodatnem kapitalu subjektov finančnega sektorja, v katerih ima institucija pomembno naložbo, pri čemer se odštejejo kratke pozicije</w:t>
            </w:r>
          </w:p>
          <w:p w14:paraId="2AB15F70" w14:textId="77777777" w:rsidR="00CC7D2C" w:rsidRPr="002A677E" w:rsidRDefault="00CC7D2C" w:rsidP="00206A48">
            <w:pPr>
              <w:pStyle w:val="InstructionsText"/>
            </w:pPr>
            <w:r>
              <w:t>Člena 68 in 69 Uredbe (EU) št. 575/2013.</w:t>
            </w:r>
          </w:p>
        </w:tc>
      </w:tr>
      <w:tr w:rsidR="00CC7D2C" w:rsidRPr="002A677E" w14:paraId="3465B7C9" w14:textId="77777777" w:rsidTr="00822842">
        <w:tc>
          <w:tcPr>
            <w:tcW w:w="1474" w:type="dxa"/>
          </w:tcPr>
          <w:p w14:paraId="30DF45AE" w14:textId="77777777" w:rsidR="00CC7D2C" w:rsidRPr="002A677E" w:rsidRDefault="00CC7D2C" w:rsidP="00206A48">
            <w:pPr>
              <w:pStyle w:val="InstructionsText"/>
            </w:pPr>
            <w:r>
              <w:t>0590</w:t>
            </w:r>
          </w:p>
        </w:tc>
        <w:tc>
          <w:tcPr>
            <w:tcW w:w="7049" w:type="dxa"/>
          </w:tcPr>
          <w:p w14:paraId="0080DEBC" w14:textId="4911698F" w:rsidR="00CC7D2C" w:rsidRPr="002A677E" w:rsidRDefault="00CC7D2C" w:rsidP="00206A48">
            <w:pPr>
              <w:pStyle w:val="InstructionsText"/>
            </w:pPr>
            <w:r>
              <w:rPr>
                <w:rStyle w:val="InstructionsTabelleberschrift"/>
                <w:rFonts w:ascii="Times New Roman" w:hAnsi="Times New Roman"/>
                <w:sz w:val="24"/>
              </w:rPr>
              <w:t>17.</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Neposredni deleži v dodatnem kapitalu subjektov finančnega sektorja, v katerih ima institucija pomembno naložbo</w:t>
            </w:r>
          </w:p>
          <w:p w14:paraId="6AED8073" w14:textId="77777777" w:rsidR="00CC7D2C" w:rsidRPr="002A677E" w:rsidRDefault="00CC7D2C" w:rsidP="00206A48">
            <w:pPr>
              <w:pStyle w:val="InstructionsText"/>
            </w:pPr>
            <w:r>
              <w:t>Člena 68 in 69 Uredbe (EU) št. 575/2013.</w:t>
            </w:r>
          </w:p>
        </w:tc>
      </w:tr>
      <w:tr w:rsidR="00CC7D2C" w:rsidRPr="002A677E" w14:paraId="55ED923E" w14:textId="77777777" w:rsidTr="00822842">
        <w:tc>
          <w:tcPr>
            <w:tcW w:w="1474" w:type="dxa"/>
          </w:tcPr>
          <w:p w14:paraId="3D4870B6" w14:textId="77777777" w:rsidR="00CC7D2C" w:rsidRPr="002A677E" w:rsidRDefault="00CC7D2C" w:rsidP="00206A48">
            <w:pPr>
              <w:pStyle w:val="InstructionsText"/>
            </w:pPr>
            <w:r>
              <w:t>0600</w:t>
            </w:r>
          </w:p>
        </w:tc>
        <w:tc>
          <w:tcPr>
            <w:tcW w:w="7049" w:type="dxa"/>
          </w:tcPr>
          <w:p w14:paraId="1F18D607" w14:textId="1C4DFF16" w:rsidR="00CC7D2C" w:rsidRPr="002A677E" w:rsidRDefault="00CC7D2C" w:rsidP="00206A48">
            <w:pPr>
              <w:pStyle w:val="InstructionsText"/>
            </w:pPr>
            <w:r>
              <w:rPr>
                <w:rStyle w:val="InstructionsTabelleberschrift"/>
                <w:rFonts w:ascii="Times New Roman" w:hAnsi="Times New Roman"/>
                <w:sz w:val="24"/>
              </w:rPr>
              <w:t>17.1.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neposredni deleži v dodatnem kapitalu subjektov finančnega sektorja, v katerih ima institucija pomembno naložbo</w:t>
            </w:r>
          </w:p>
          <w:p w14:paraId="16D79134" w14:textId="77777777" w:rsidR="00CC7D2C" w:rsidRPr="002A677E" w:rsidRDefault="00CC7D2C" w:rsidP="00206A48">
            <w:pPr>
              <w:pStyle w:val="InstructionsText"/>
            </w:pPr>
            <w:r>
              <w:t>Člen 68 Uredbe (EU) št. 575/2013.</w:t>
            </w:r>
          </w:p>
          <w:p w14:paraId="66EA3661" w14:textId="77777777" w:rsidR="00CC7D2C" w:rsidRPr="002A677E" w:rsidRDefault="00CC7D2C" w:rsidP="00206A48">
            <w:pPr>
              <w:pStyle w:val="InstructionsText"/>
            </w:pPr>
            <w:r>
              <w:t>Neposredni deleži v dodatnem kapitalu subjektov finančnega sektorja, v katerih ima institucija pomembno naložbo, razen:</w:t>
            </w:r>
          </w:p>
          <w:p w14:paraId="423513CF" w14:textId="77777777" w:rsidR="00CC7D2C" w:rsidRPr="002A677E" w:rsidRDefault="00CC7D2C" w:rsidP="00206A48">
            <w:pPr>
              <w:pStyle w:val="InstructionsText"/>
            </w:pPr>
            <w:r>
              <w:lastRenderedPageBreak/>
              <w:t>(a)</w:t>
            </w:r>
            <w:r>
              <w:tab/>
              <w:t xml:space="preserve">pozicij iz izvedbe prve prodaje teh instrumentov z obveznostjo odkupa, ki jih je institucija imela pet delovnih dni ali manj (člen 66, točka (d), Uredbe (EU) št. 575/2013); in </w:t>
            </w:r>
          </w:p>
          <w:p w14:paraId="0945CD9C" w14:textId="77777777" w:rsidR="00CC7D2C" w:rsidRPr="002A677E" w:rsidRDefault="00CC7D2C" w:rsidP="00206A48">
            <w:pPr>
              <w:pStyle w:val="InstructionsText"/>
            </w:pPr>
            <w:r>
              <w:t>(b)</w:t>
            </w:r>
            <w:r>
              <w:tab/>
              <w:t>deležev, ki se obravnavajo kot vzajemni navzkrižni deleži v skladu s členom 66, točka (b), Uredbe (EU) št. 575/2013.</w:t>
            </w:r>
          </w:p>
        </w:tc>
      </w:tr>
      <w:tr w:rsidR="00CC7D2C" w:rsidRPr="002A677E" w14:paraId="2EED4ED3" w14:textId="77777777" w:rsidTr="00822842">
        <w:tc>
          <w:tcPr>
            <w:tcW w:w="1474" w:type="dxa"/>
          </w:tcPr>
          <w:p w14:paraId="161033AF" w14:textId="77777777" w:rsidR="00CC7D2C" w:rsidRPr="002A677E" w:rsidRDefault="00CC7D2C" w:rsidP="00206A48">
            <w:pPr>
              <w:pStyle w:val="InstructionsText"/>
            </w:pPr>
            <w:r>
              <w:lastRenderedPageBreak/>
              <w:t>0610</w:t>
            </w:r>
          </w:p>
        </w:tc>
        <w:tc>
          <w:tcPr>
            <w:tcW w:w="7049" w:type="dxa"/>
          </w:tcPr>
          <w:p w14:paraId="069B8E47" w14:textId="16F4DB18" w:rsidR="00CC7D2C" w:rsidRPr="002A677E" w:rsidRDefault="00CC7D2C" w:rsidP="00206A48">
            <w:pPr>
              <w:pStyle w:val="InstructionsText"/>
            </w:pPr>
            <w:r>
              <w:rPr>
                <w:rStyle w:val="InstructionsTabelleberschrift"/>
                <w:rFonts w:ascii="Times New Roman" w:hAnsi="Times New Roman"/>
                <w:sz w:val="24"/>
              </w:rPr>
              <w:t>17.1.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z neposrednimi bruto deleži, vključenimi zgoraj</w:t>
            </w:r>
          </w:p>
          <w:p w14:paraId="18ADFB22" w14:textId="77777777" w:rsidR="00CC7D2C" w:rsidRPr="002A677E" w:rsidRDefault="00CC7D2C" w:rsidP="00206A48">
            <w:pPr>
              <w:pStyle w:val="InstructionsText"/>
            </w:pPr>
            <w:r>
              <w:t>Člen 69 Uredbe (EU) št. 575/2013.</w:t>
            </w:r>
          </w:p>
          <w:p w14:paraId="658809D0" w14:textId="77777777" w:rsidR="00CC7D2C" w:rsidRPr="002A677E" w:rsidRDefault="00CC7D2C" w:rsidP="00206A48">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186F2090" w14:textId="77777777" w:rsidTr="00822842">
        <w:tc>
          <w:tcPr>
            <w:tcW w:w="1474" w:type="dxa"/>
          </w:tcPr>
          <w:p w14:paraId="60F5BB75" w14:textId="77777777" w:rsidR="00CC7D2C" w:rsidRPr="002A677E" w:rsidRDefault="00CC7D2C" w:rsidP="00206A48">
            <w:pPr>
              <w:pStyle w:val="InstructionsText"/>
            </w:pPr>
            <w:r>
              <w:t>0620</w:t>
            </w:r>
          </w:p>
        </w:tc>
        <w:tc>
          <w:tcPr>
            <w:tcW w:w="7049" w:type="dxa"/>
          </w:tcPr>
          <w:p w14:paraId="4E256A4B" w14:textId="0C2B5F5B" w:rsidR="00CC7D2C" w:rsidRPr="002A677E" w:rsidRDefault="00CC7D2C" w:rsidP="00206A48">
            <w:pPr>
              <w:pStyle w:val="InstructionsText"/>
            </w:pPr>
            <w:r>
              <w:rPr>
                <w:rStyle w:val="InstructionsTabelleberschrift"/>
                <w:rFonts w:ascii="Times New Roman" w:hAnsi="Times New Roman"/>
                <w:sz w:val="24"/>
              </w:rPr>
              <w:t>17.</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Posredni deleži v dodatnem kapitalu subjektov finančnega sektorja, v katerih ima institucija pomembno naložbo</w:t>
            </w:r>
          </w:p>
          <w:p w14:paraId="0C6BA394" w14:textId="77777777" w:rsidR="00CC7D2C" w:rsidRPr="002A677E" w:rsidRDefault="00CC7D2C" w:rsidP="00206A48">
            <w:pPr>
              <w:pStyle w:val="InstructionsText"/>
            </w:pPr>
            <w:r>
              <w:t>Člen 4(1), točka 114, in člena 68 in 69 Uredbe (EU) št. 575/2013.</w:t>
            </w:r>
          </w:p>
        </w:tc>
      </w:tr>
      <w:tr w:rsidR="00CC7D2C" w:rsidRPr="002A677E" w14:paraId="3099D730" w14:textId="77777777" w:rsidTr="00822842">
        <w:tc>
          <w:tcPr>
            <w:tcW w:w="1474" w:type="dxa"/>
          </w:tcPr>
          <w:p w14:paraId="7A40E5D6" w14:textId="77777777" w:rsidR="00CC7D2C" w:rsidRPr="002A677E" w:rsidRDefault="00CC7D2C" w:rsidP="00206A48">
            <w:pPr>
              <w:pStyle w:val="InstructionsText"/>
            </w:pPr>
            <w:r>
              <w:t>0630</w:t>
            </w:r>
          </w:p>
        </w:tc>
        <w:tc>
          <w:tcPr>
            <w:tcW w:w="7049" w:type="dxa"/>
          </w:tcPr>
          <w:p w14:paraId="26BE456B" w14:textId="5F2908B0" w:rsidR="00CC7D2C" w:rsidRPr="002A677E" w:rsidRDefault="00CC7D2C" w:rsidP="00206A48">
            <w:pPr>
              <w:pStyle w:val="InstructionsText"/>
            </w:pPr>
            <w:r>
              <w:rPr>
                <w:rStyle w:val="InstructionsTabelleberschrift"/>
                <w:rFonts w:ascii="Times New Roman" w:hAnsi="Times New Roman"/>
                <w:sz w:val="24"/>
              </w:rPr>
              <w:t>17.2.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posredni deleži v dodatnem kapitalu subjektov finančnega sektorja, v katerih ima institucija pomembno naložbo</w:t>
            </w:r>
          </w:p>
          <w:p w14:paraId="6C79EB51" w14:textId="77777777" w:rsidR="00CC7D2C" w:rsidRPr="002A677E" w:rsidRDefault="00CC7D2C" w:rsidP="00206A48">
            <w:pPr>
              <w:pStyle w:val="InstructionsText"/>
            </w:pPr>
            <w:r>
              <w:t>Člen 4(1), točka 114, in člena 68 in 69 Uredbe (EU) št. 575/2013.</w:t>
            </w:r>
          </w:p>
          <w:p w14:paraId="1C456D47" w14:textId="77777777" w:rsidR="00CC7D2C" w:rsidRPr="002A677E" w:rsidRDefault="00CC7D2C" w:rsidP="00206A48">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2E7DF12B" w14:textId="77777777" w:rsidR="00CC7D2C" w:rsidRPr="002A677E" w:rsidRDefault="00CC7D2C" w:rsidP="00206A48">
            <w:pPr>
              <w:pStyle w:val="InstructionsText"/>
            </w:pPr>
            <w:r>
              <w:t>Deleži, ki se obravnavajo kot vzajemni navzkrižni deleži v skladu s členom 66. točka (b), Uredbe (EU) št. 575/2013, niso vključeni.</w:t>
            </w:r>
          </w:p>
        </w:tc>
      </w:tr>
      <w:tr w:rsidR="00CC7D2C" w:rsidRPr="002A677E" w14:paraId="1E2990D7" w14:textId="77777777" w:rsidTr="00822842">
        <w:tc>
          <w:tcPr>
            <w:tcW w:w="1474" w:type="dxa"/>
          </w:tcPr>
          <w:p w14:paraId="18E11ABE" w14:textId="77777777" w:rsidR="00CC7D2C" w:rsidRPr="002A677E" w:rsidRDefault="00CC7D2C" w:rsidP="00206A48">
            <w:pPr>
              <w:pStyle w:val="InstructionsText"/>
            </w:pPr>
            <w:r>
              <w:t>0640</w:t>
            </w:r>
          </w:p>
        </w:tc>
        <w:tc>
          <w:tcPr>
            <w:tcW w:w="7049" w:type="dxa"/>
          </w:tcPr>
          <w:p w14:paraId="0ECB9762" w14:textId="530E52C4" w:rsidR="00CC7D2C" w:rsidRPr="002A677E" w:rsidRDefault="00CC7D2C" w:rsidP="00206A48">
            <w:pPr>
              <w:pStyle w:val="InstructionsText"/>
            </w:pPr>
            <w:r>
              <w:rPr>
                <w:rStyle w:val="InstructionsTabelleberschrift"/>
                <w:rFonts w:ascii="Times New Roman" w:hAnsi="Times New Roman"/>
                <w:sz w:val="24"/>
              </w:rPr>
              <w:t>17.2.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posrednimi bruto deleži, vključenimi zgoraj</w:t>
            </w:r>
          </w:p>
          <w:p w14:paraId="337B5275" w14:textId="77777777" w:rsidR="00CC7D2C" w:rsidRPr="002A677E" w:rsidRDefault="00CC7D2C" w:rsidP="00206A48">
            <w:pPr>
              <w:pStyle w:val="InstructionsText"/>
            </w:pPr>
            <w:r>
              <w:t>Člen 4(1), točka 114, in člen 69 Uredbe (EU) št. 575/2013.</w:t>
            </w:r>
          </w:p>
          <w:p w14:paraId="1D1733C3" w14:textId="77777777" w:rsidR="00CC7D2C" w:rsidRPr="002A677E" w:rsidRDefault="00CC7D2C" w:rsidP="00206A48">
            <w:pPr>
              <w:pStyle w:val="InstructionsText"/>
            </w:pPr>
            <w:r>
              <w:t>V skladu s členom 69, točka (a), Uredbe (EU) št. 575/2013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4BBC825C" w14:textId="77777777" w:rsidTr="00822842">
        <w:tc>
          <w:tcPr>
            <w:tcW w:w="1474" w:type="dxa"/>
          </w:tcPr>
          <w:p w14:paraId="3BA64925" w14:textId="77777777" w:rsidR="00CC7D2C" w:rsidRPr="002A677E" w:rsidRDefault="00CC7D2C" w:rsidP="00206A48">
            <w:pPr>
              <w:pStyle w:val="InstructionsText"/>
            </w:pPr>
            <w:r>
              <w:t>0641</w:t>
            </w:r>
          </w:p>
        </w:tc>
        <w:tc>
          <w:tcPr>
            <w:tcW w:w="7049" w:type="dxa"/>
            <w:vAlign w:val="center"/>
          </w:tcPr>
          <w:p w14:paraId="7550DD64" w14:textId="0CBA68A5" w:rsidR="00CC7D2C" w:rsidRPr="002A677E" w:rsidRDefault="00CC7D2C" w:rsidP="00206A48">
            <w:pPr>
              <w:pStyle w:val="InstructionsText"/>
            </w:pPr>
            <w:r>
              <w:rPr>
                <w:rStyle w:val="InstructionsTabelleberschrift"/>
                <w:rFonts w:ascii="Times New Roman" w:hAnsi="Times New Roman"/>
                <w:sz w:val="24"/>
              </w:rPr>
              <w:t>17.</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Sintetični deleži v dodatnem kapitalu subjektov finančnega sektorja, v katerih ima institucija pomembno naložbo</w:t>
            </w:r>
          </w:p>
          <w:p w14:paraId="3A4A3413"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CC7D2C" w:rsidRPr="002A677E" w14:paraId="51CCFD73" w14:textId="77777777" w:rsidTr="00822842">
        <w:tc>
          <w:tcPr>
            <w:tcW w:w="1474" w:type="dxa"/>
          </w:tcPr>
          <w:p w14:paraId="19E1EBE0" w14:textId="77777777" w:rsidR="00CC7D2C" w:rsidRPr="002A677E" w:rsidRDefault="00CC7D2C" w:rsidP="00206A48">
            <w:pPr>
              <w:pStyle w:val="InstructionsText"/>
            </w:pPr>
            <w:r>
              <w:lastRenderedPageBreak/>
              <w:t>0642</w:t>
            </w:r>
          </w:p>
        </w:tc>
        <w:tc>
          <w:tcPr>
            <w:tcW w:w="7049" w:type="dxa"/>
            <w:vAlign w:val="center"/>
          </w:tcPr>
          <w:p w14:paraId="0B22ABCC" w14:textId="45FC9596" w:rsidR="00CC7D2C" w:rsidRPr="002A677E" w:rsidRDefault="00CC7D2C" w:rsidP="00206A48">
            <w:pPr>
              <w:pStyle w:val="InstructionsText"/>
            </w:pPr>
            <w:r>
              <w:rPr>
                <w:rStyle w:val="InstructionsTabelleberschrift"/>
                <w:rFonts w:ascii="Times New Roman" w:hAnsi="Times New Roman"/>
                <w:sz w:val="24"/>
              </w:rPr>
              <w:t>17.3.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Bruto sintetični deleži v dodatnem kapitalu subjektov finančnega sektorja, v katerih ima institucija pomembno naložbo</w:t>
            </w:r>
          </w:p>
          <w:p w14:paraId="4C256628" w14:textId="77777777" w:rsidR="00CC7D2C" w:rsidRPr="002A677E" w:rsidRDefault="00CC7D2C" w:rsidP="00206A48">
            <w:pPr>
              <w:pStyle w:val="InstructionsText"/>
              <w:rPr>
                <w:rStyle w:val="InstructionsTabelleberschrift"/>
                <w:rFonts w:ascii="Times New Roman" w:hAnsi="Times New Roman"/>
                <w:b w:val="0"/>
                <w:bCs w:val="0"/>
                <w:sz w:val="24"/>
                <w:u w:val="none"/>
              </w:rPr>
            </w:pPr>
            <w:r>
              <w:t>Člen 4(1), točka 126, in člena 68 in 69 Uredbe (EU) št. 575/2013.</w:t>
            </w:r>
          </w:p>
        </w:tc>
      </w:tr>
      <w:tr w:rsidR="00CC7D2C" w:rsidRPr="002A677E" w14:paraId="5FD57E23" w14:textId="77777777" w:rsidTr="00822842">
        <w:tc>
          <w:tcPr>
            <w:tcW w:w="1474" w:type="dxa"/>
          </w:tcPr>
          <w:p w14:paraId="4023F45A" w14:textId="77777777" w:rsidR="00CC7D2C" w:rsidRPr="002A677E" w:rsidRDefault="00CC7D2C" w:rsidP="00206A48">
            <w:pPr>
              <w:pStyle w:val="InstructionsText"/>
            </w:pPr>
            <w:r>
              <w:t>0643</w:t>
            </w:r>
          </w:p>
        </w:tc>
        <w:tc>
          <w:tcPr>
            <w:tcW w:w="7049" w:type="dxa"/>
            <w:vAlign w:val="center"/>
          </w:tcPr>
          <w:p w14:paraId="3E61F6CA" w14:textId="34A38EAB" w:rsidR="00CC7D2C" w:rsidRPr="002A677E" w:rsidRDefault="00CC7D2C" w:rsidP="00206A48">
            <w:pPr>
              <w:pStyle w:val="InstructionsText"/>
            </w:pPr>
            <w:r>
              <w:rPr>
                <w:rStyle w:val="InstructionsTabelleberschrift"/>
                <w:rFonts w:ascii="Times New Roman" w:hAnsi="Times New Roman"/>
                <w:sz w:val="24"/>
              </w:rPr>
              <w:t>17.3.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Dovoljen pobot kratkih pozicij v zvezi s sintetičnimi bruto deleži, vključenimi zgoraj</w:t>
            </w:r>
          </w:p>
          <w:p w14:paraId="4F4571E8" w14:textId="77777777" w:rsidR="00CC7D2C" w:rsidRPr="002A677E" w:rsidRDefault="00CC7D2C" w:rsidP="00206A48">
            <w:pPr>
              <w:pStyle w:val="InstructionsText"/>
            </w:pPr>
            <w:r>
              <w:t>Člen 4(1), točka 126, in člen 69 Uredbe (EU) št. 575/2013.</w:t>
            </w:r>
          </w:p>
          <w:p w14:paraId="362FB8E8" w14:textId="77777777" w:rsidR="00CC7D2C" w:rsidRPr="002A677E" w:rsidRDefault="00CC7D2C" w:rsidP="00206A48">
            <w:pPr>
              <w:pStyle w:val="InstructionsText"/>
              <w:rPr>
                <w:rStyle w:val="InstructionsTabelleberschrift"/>
                <w:rFonts w:ascii="Times New Roman" w:hAnsi="Times New Roman"/>
                <w:b w:val="0"/>
                <w:bCs w:val="0"/>
                <w:sz w:val="24"/>
                <w:u w:val="none"/>
              </w:rPr>
            </w:pPr>
            <w:r>
              <w:t>V skladu s členom 69, točka (a), Uredbe (EU) št. 575/2013</w:t>
            </w:r>
            <w:r>
              <w:rPr>
                <w:rStyle w:val="InstructionsTabelleberschrift"/>
                <w:rFonts w:ascii="Times New Roman" w:hAnsi="Times New Roman"/>
                <w:b w:val="0"/>
                <w:sz w:val="24"/>
                <w:u w:val="none"/>
              </w:rPr>
              <w:t xml:space="preserve"> je dovoljen pobot kratkih pozicij v isti osnovni izpostavljenosti, če je datum zapadlosti kratke pozicije enak ali poznejši kot datum zapadlosti dolge pozicije ali pa ima kratka pozicija preostalo zapadlost vsaj eno leto.</w:t>
            </w:r>
          </w:p>
        </w:tc>
      </w:tr>
      <w:tr w:rsidR="00CC7D2C" w:rsidRPr="002A677E" w14:paraId="40BA3B7E" w14:textId="77777777" w:rsidTr="00822842">
        <w:tc>
          <w:tcPr>
            <w:tcW w:w="1474" w:type="dxa"/>
          </w:tcPr>
          <w:p w14:paraId="1C54E719" w14:textId="77777777" w:rsidR="00CC7D2C" w:rsidRPr="002A677E" w:rsidRDefault="00CC7D2C" w:rsidP="00206A48">
            <w:pPr>
              <w:pStyle w:val="InstructionsText"/>
            </w:pPr>
            <w:r>
              <w:t>0650</w:t>
            </w:r>
          </w:p>
        </w:tc>
        <w:tc>
          <w:tcPr>
            <w:tcW w:w="7049" w:type="dxa"/>
          </w:tcPr>
          <w:p w14:paraId="00327085" w14:textId="77777777" w:rsidR="00CC7D2C" w:rsidRPr="002A677E" w:rsidRDefault="00CC7D2C" w:rsidP="00206A48">
            <w:pPr>
              <w:pStyle w:val="InstructionsText"/>
            </w:pPr>
            <w:r>
              <w:rPr>
                <w:rStyle w:val="InstructionsTabelleberschrift"/>
                <w:rFonts w:ascii="Times New Roman" w:hAnsi="Times New Roman"/>
                <w:sz w:val="24"/>
              </w:rPr>
              <w:t>18 Tveganju prilagojene izpostavljenosti deležev v navadnem lastniškem temeljnem kapitalu subjektov finančnega sektorja, ki se ne odbijejo od navadnega lastniškega temeljnega kapitala institucije</w:t>
            </w:r>
          </w:p>
          <w:p w14:paraId="2A1347E7" w14:textId="77777777" w:rsidR="00CC7D2C" w:rsidRPr="002A677E" w:rsidRDefault="00CC7D2C" w:rsidP="00206A48">
            <w:pPr>
              <w:pStyle w:val="InstructionsText"/>
            </w:pPr>
            <w:r>
              <w:t>Členi 46(4), 48(4) in 49(4) Uredbe (EU) št. 575/2013.</w:t>
            </w:r>
          </w:p>
        </w:tc>
      </w:tr>
      <w:tr w:rsidR="00CC7D2C" w:rsidRPr="002A677E" w14:paraId="48CB694B" w14:textId="77777777" w:rsidTr="00822842">
        <w:tc>
          <w:tcPr>
            <w:tcW w:w="1474" w:type="dxa"/>
          </w:tcPr>
          <w:p w14:paraId="43891914" w14:textId="77777777" w:rsidR="00CC7D2C" w:rsidRPr="002A677E" w:rsidRDefault="00CC7D2C" w:rsidP="00206A48">
            <w:pPr>
              <w:pStyle w:val="InstructionsText"/>
            </w:pPr>
            <w:r>
              <w:t>0660</w:t>
            </w:r>
          </w:p>
        </w:tc>
        <w:tc>
          <w:tcPr>
            <w:tcW w:w="7049" w:type="dxa"/>
          </w:tcPr>
          <w:p w14:paraId="7D93F8F7" w14:textId="77777777" w:rsidR="00CC7D2C" w:rsidRPr="002A677E" w:rsidRDefault="00CC7D2C" w:rsidP="00206A48">
            <w:pPr>
              <w:pStyle w:val="InstructionsText"/>
            </w:pPr>
            <w:r>
              <w:rPr>
                <w:rStyle w:val="InstructionsTabelleberschrift"/>
                <w:rFonts w:ascii="Times New Roman" w:hAnsi="Times New Roman"/>
                <w:sz w:val="24"/>
              </w:rPr>
              <w:t>19 Tveganju prilagojene izpostavljenosti deležev v dodatnem temeljnem kapitalu subjektov finančnega sektorja, ki se ne odbijejo od dodatnega temeljnega kapitala institucije</w:t>
            </w:r>
          </w:p>
          <w:p w14:paraId="30C320BB" w14:textId="77777777" w:rsidR="00CC7D2C" w:rsidRPr="002A677E" w:rsidRDefault="00CC7D2C" w:rsidP="00206A48">
            <w:pPr>
              <w:pStyle w:val="InstructionsText"/>
            </w:pPr>
            <w:r>
              <w:t>Člen 60(4) Uredbe (EU) št. 575/2013.</w:t>
            </w:r>
          </w:p>
        </w:tc>
      </w:tr>
      <w:tr w:rsidR="00CC7D2C" w:rsidRPr="002A677E" w14:paraId="1623E6A7" w14:textId="77777777" w:rsidTr="00822842">
        <w:tc>
          <w:tcPr>
            <w:tcW w:w="1474" w:type="dxa"/>
          </w:tcPr>
          <w:p w14:paraId="3E934766" w14:textId="77777777" w:rsidR="00CC7D2C" w:rsidRPr="002A677E" w:rsidRDefault="00CC7D2C" w:rsidP="00206A48">
            <w:pPr>
              <w:pStyle w:val="InstructionsText"/>
            </w:pPr>
            <w:r>
              <w:t>0670</w:t>
            </w:r>
          </w:p>
        </w:tc>
        <w:tc>
          <w:tcPr>
            <w:tcW w:w="7049" w:type="dxa"/>
          </w:tcPr>
          <w:p w14:paraId="3326F623" w14:textId="77777777" w:rsidR="00CC7D2C" w:rsidRPr="002A677E" w:rsidRDefault="00CC7D2C" w:rsidP="00206A48">
            <w:pPr>
              <w:pStyle w:val="InstructionsText"/>
            </w:pPr>
            <w:r>
              <w:rPr>
                <w:rStyle w:val="InstructionsTabelleberschrift"/>
                <w:rFonts w:ascii="Times New Roman" w:hAnsi="Times New Roman"/>
                <w:sz w:val="24"/>
              </w:rPr>
              <w:t>20 Tveganju prilagojene izpostavljenosti deležev v dodatnem kapitalu subjektov finančnega sektorja, ki se ne odbijejo od dodatnega kapitala institucije</w:t>
            </w:r>
          </w:p>
          <w:p w14:paraId="78BD6DA2" w14:textId="77777777" w:rsidR="00CC7D2C" w:rsidRPr="002A677E" w:rsidRDefault="00CC7D2C" w:rsidP="00206A48">
            <w:pPr>
              <w:pStyle w:val="InstructionsText"/>
            </w:pPr>
            <w:r>
              <w:t>Člen 70(4) Uredbe (EU) št. 575/2013.</w:t>
            </w:r>
          </w:p>
        </w:tc>
      </w:tr>
      <w:tr w:rsidR="00CC7D2C" w:rsidRPr="002A677E" w14:paraId="28C63A85" w14:textId="77777777" w:rsidTr="00822842">
        <w:tc>
          <w:tcPr>
            <w:tcW w:w="1474" w:type="dxa"/>
          </w:tcPr>
          <w:p w14:paraId="7A543F73" w14:textId="77777777" w:rsidR="00CC7D2C" w:rsidRPr="002A677E" w:rsidRDefault="00CC7D2C" w:rsidP="00206A48">
            <w:pPr>
              <w:pStyle w:val="InstructionsText"/>
            </w:pPr>
            <w:r>
              <w:t>0680</w:t>
            </w:r>
          </w:p>
        </w:tc>
        <w:tc>
          <w:tcPr>
            <w:tcW w:w="7049" w:type="dxa"/>
          </w:tcPr>
          <w:p w14:paraId="0D13141E" w14:textId="77777777" w:rsidR="00CC7D2C" w:rsidRPr="002A677E" w:rsidRDefault="00CC7D2C" w:rsidP="00206A48">
            <w:pPr>
              <w:pStyle w:val="InstructionsText"/>
            </w:pPr>
            <w:r>
              <w:rPr>
                <w:rStyle w:val="InstructionsTabelleberschrift"/>
                <w:rFonts w:ascii="Times New Roman" w:hAnsi="Times New Roman"/>
                <w:sz w:val="24"/>
              </w:rPr>
              <w:t>21.</w:t>
            </w:r>
            <w:r w:rsidRPr="00F6783D">
              <w:rPr>
                <w:u w:val="single"/>
              </w:rPr>
              <w:tab/>
            </w:r>
            <w:r>
              <w:rPr>
                <w:rStyle w:val="InstructionsTabelleberschrift"/>
                <w:rFonts w:ascii="Times New Roman" w:hAnsi="Times New Roman"/>
                <w:sz w:val="24"/>
              </w:rPr>
              <w:t>Deleži v instrumentih navadnega lastniškega temeljnega kapitala subjektov finančnega sektorja, v katerih institucija nima pomembne naložbe z začasno opustitvijo</w:t>
            </w:r>
          </w:p>
          <w:p w14:paraId="2FF787C2" w14:textId="77777777" w:rsidR="00CC7D2C" w:rsidRPr="002A677E" w:rsidRDefault="00CC7D2C" w:rsidP="00206A48">
            <w:pPr>
              <w:pStyle w:val="InstructionsText"/>
            </w:pPr>
            <w:r>
              <w:t>Člen 79 Uredbe (EU) št. 575/2013.</w:t>
            </w:r>
          </w:p>
          <w:p w14:paraId="461FF48B" w14:textId="77777777" w:rsidR="00CC7D2C" w:rsidRPr="002A677E" w:rsidRDefault="00CC7D2C" w:rsidP="00206A48">
            <w:pPr>
              <w:pStyle w:val="InstructionsText"/>
            </w:pPr>
            <w:r>
              <w:t>Pristojni organ lahko začasno opusti uporabo določb glede odbitkov od navadnega lastniškega temeljnega kapitala za deleže v instrumentih posebnega subjekta finančnega sektorja, kadar so navedeni deleži obravnavani kot finančna pomoč za reorganizacijo in ohranitev zadevnega subjekta.</w:t>
            </w:r>
          </w:p>
          <w:p w14:paraId="52F554E2" w14:textId="77777777" w:rsidR="00CC7D2C" w:rsidRPr="002A677E" w:rsidRDefault="00CC7D2C" w:rsidP="00206A48">
            <w:pPr>
              <w:pStyle w:val="InstructionsText"/>
            </w:pPr>
            <w:r>
              <w:t>Opozoriti je treba, da se ti instrumenti poročajo tudi v postavki 12.1.</w:t>
            </w:r>
          </w:p>
        </w:tc>
      </w:tr>
      <w:tr w:rsidR="00CC7D2C" w:rsidRPr="002A677E" w14:paraId="33D6B99C" w14:textId="77777777" w:rsidTr="00822842">
        <w:tc>
          <w:tcPr>
            <w:tcW w:w="1474" w:type="dxa"/>
          </w:tcPr>
          <w:p w14:paraId="57BFC0AE" w14:textId="77777777" w:rsidR="00CC7D2C" w:rsidRPr="002A677E" w:rsidRDefault="00CC7D2C" w:rsidP="00206A48">
            <w:pPr>
              <w:pStyle w:val="InstructionsText"/>
            </w:pPr>
            <w:r>
              <w:t>0690</w:t>
            </w:r>
          </w:p>
        </w:tc>
        <w:tc>
          <w:tcPr>
            <w:tcW w:w="7049" w:type="dxa"/>
          </w:tcPr>
          <w:p w14:paraId="724FAE2C" w14:textId="77777777" w:rsidR="00CC7D2C" w:rsidRPr="002A677E" w:rsidRDefault="00CC7D2C" w:rsidP="00206A48">
            <w:pPr>
              <w:pStyle w:val="InstructionsText"/>
            </w:pPr>
            <w:r>
              <w:rPr>
                <w:rStyle w:val="InstructionsTabelleberschrift"/>
                <w:rFonts w:ascii="Times New Roman" w:hAnsi="Times New Roman"/>
                <w:sz w:val="24"/>
              </w:rPr>
              <w:t>22.</w:t>
            </w:r>
            <w:r w:rsidRPr="00F6783D">
              <w:rPr>
                <w:u w:val="single"/>
              </w:rPr>
              <w:tab/>
            </w:r>
            <w:r>
              <w:rPr>
                <w:rStyle w:val="InstructionsTabelleberschrift"/>
                <w:rFonts w:ascii="Times New Roman" w:hAnsi="Times New Roman"/>
                <w:sz w:val="24"/>
              </w:rPr>
              <w:t>Deleži v instrumentih navadnega lastniškega temeljnega kapitala subjektov finančnega sektorja, v katerih ima institucija pomembno naložbo z začasno opustitvijo</w:t>
            </w:r>
          </w:p>
          <w:p w14:paraId="75D9BB74" w14:textId="77777777" w:rsidR="00CC7D2C" w:rsidRPr="002A677E" w:rsidRDefault="00CC7D2C" w:rsidP="00206A48">
            <w:pPr>
              <w:pStyle w:val="InstructionsText"/>
            </w:pPr>
            <w:r>
              <w:t>Člen 79 Uredbe (EU) št. 575/2013.</w:t>
            </w:r>
          </w:p>
          <w:p w14:paraId="3CF93984" w14:textId="77777777" w:rsidR="00CC7D2C" w:rsidRPr="002A677E" w:rsidRDefault="00CC7D2C" w:rsidP="00206A48">
            <w:pPr>
              <w:pStyle w:val="InstructionsText"/>
            </w:pPr>
            <w:r>
              <w:t xml:space="preserve">Pristojni organ lahko opusti uporabo določb glede odbitkov od navadnega lastniškega temeljnega kapitala za deleže v instrumentih posebnega subjekta finančnega sektorja, kadar so navedeni deleži </w:t>
            </w:r>
            <w:r>
              <w:lastRenderedPageBreak/>
              <w:t>obravnavani kot finančna pomoč za reorganizacijo in ohranitev zadevnega subjekta.</w:t>
            </w:r>
          </w:p>
          <w:p w14:paraId="402057D7" w14:textId="77777777" w:rsidR="00CC7D2C" w:rsidRPr="002A677E" w:rsidRDefault="00CC7D2C" w:rsidP="00206A48">
            <w:pPr>
              <w:pStyle w:val="InstructionsText"/>
            </w:pPr>
            <w:r>
              <w:t>Opozoriti je treba, da se ti instrumenti poročajo tudi v postavki 15.1.</w:t>
            </w:r>
          </w:p>
        </w:tc>
      </w:tr>
      <w:tr w:rsidR="00CC7D2C" w:rsidRPr="002A677E" w14:paraId="1ABB660F" w14:textId="77777777" w:rsidTr="00822842">
        <w:tc>
          <w:tcPr>
            <w:tcW w:w="1474" w:type="dxa"/>
          </w:tcPr>
          <w:p w14:paraId="4F9B5BBB" w14:textId="77777777" w:rsidR="00CC7D2C" w:rsidRPr="002A677E" w:rsidRDefault="00CC7D2C" w:rsidP="00206A48">
            <w:pPr>
              <w:pStyle w:val="InstructionsText"/>
            </w:pPr>
            <w:r>
              <w:lastRenderedPageBreak/>
              <w:t>0700</w:t>
            </w:r>
          </w:p>
        </w:tc>
        <w:tc>
          <w:tcPr>
            <w:tcW w:w="7049" w:type="dxa"/>
          </w:tcPr>
          <w:p w14:paraId="161AE868" w14:textId="316DDCFC" w:rsidR="00CC7D2C" w:rsidRPr="002A677E" w:rsidRDefault="00CC7D2C" w:rsidP="00206A48">
            <w:pPr>
              <w:pStyle w:val="InstructionsText"/>
            </w:pPr>
            <w:r>
              <w:rPr>
                <w:rStyle w:val="InstructionsTabelleberschrift"/>
                <w:rFonts w:ascii="Times New Roman" w:hAnsi="Times New Roman"/>
                <w:sz w:val="24"/>
              </w:rPr>
              <w:t>23.</w:t>
            </w:r>
            <w:r w:rsidR="00F6783D" w:rsidRPr="00F6783D">
              <w:rPr>
                <w:rStyle w:val="InstructionsTabelleberschrift"/>
                <w:rFonts w:ascii="Times New Roman" w:hAnsi="Times New Roman"/>
                <w:sz w:val="24"/>
              </w:rPr>
              <w:t xml:space="preserve"> </w:t>
            </w:r>
            <w:r>
              <w:rPr>
                <w:rStyle w:val="InstructionsTabelleberschrift"/>
                <w:rFonts w:ascii="Times New Roman" w:hAnsi="Times New Roman"/>
                <w:sz w:val="24"/>
              </w:rPr>
              <w:t>Deleži v instrumentih dodatnega temeljnega kapitala subjektov finančnega sektorja, v katerih institucija nima pomembne naložbe z začasno opustitvijo</w:t>
            </w:r>
          </w:p>
          <w:p w14:paraId="21529E99" w14:textId="77777777" w:rsidR="00CC7D2C" w:rsidRPr="002A677E" w:rsidRDefault="00CC7D2C" w:rsidP="00206A48">
            <w:pPr>
              <w:pStyle w:val="InstructionsText"/>
            </w:pPr>
            <w:r>
              <w:t>Člen 79 Uredbe (EU) št. 575/2013.</w:t>
            </w:r>
          </w:p>
          <w:p w14:paraId="799B0BA0" w14:textId="77777777" w:rsidR="00CC7D2C" w:rsidRPr="002A677E" w:rsidRDefault="00CC7D2C" w:rsidP="00206A48">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4C19F43B" w14:textId="77777777" w:rsidR="00CC7D2C" w:rsidRPr="002A677E" w:rsidRDefault="00CC7D2C" w:rsidP="00206A48">
            <w:pPr>
              <w:pStyle w:val="InstructionsText"/>
            </w:pPr>
            <w:r>
              <w:t>Opozoriti je treba, da se ti instrumenti poročajo tudi v postavki 13.1.</w:t>
            </w:r>
          </w:p>
        </w:tc>
      </w:tr>
      <w:tr w:rsidR="00CC7D2C" w:rsidRPr="002A677E" w14:paraId="44ED5ED4" w14:textId="77777777" w:rsidTr="00822842">
        <w:tc>
          <w:tcPr>
            <w:tcW w:w="1474" w:type="dxa"/>
          </w:tcPr>
          <w:p w14:paraId="22471322" w14:textId="77777777" w:rsidR="00CC7D2C" w:rsidRPr="002A677E" w:rsidRDefault="00CC7D2C" w:rsidP="00206A48">
            <w:pPr>
              <w:pStyle w:val="InstructionsText"/>
            </w:pPr>
            <w:r>
              <w:t>0710</w:t>
            </w:r>
          </w:p>
        </w:tc>
        <w:tc>
          <w:tcPr>
            <w:tcW w:w="7049" w:type="dxa"/>
          </w:tcPr>
          <w:p w14:paraId="1BB5D659" w14:textId="77777777" w:rsidR="00CC7D2C" w:rsidRPr="002A677E" w:rsidRDefault="00CC7D2C" w:rsidP="00206A48">
            <w:pPr>
              <w:pStyle w:val="InstructionsText"/>
            </w:pPr>
            <w:r>
              <w:rPr>
                <w:rStyle w:val="InstructionsTabelleberschrift"/>
                <w:rFonts w:ascii="Times New Roman" w:hAnsi="Times New Roman"/>
                <w:sz w:val="24"/>
              </w:rPr>
              <w:t>24.</w:t>
            </w:r>
            <w:r w:rsidRPr="00F6783D">
              <w:rPr>
                <w:u w:val="single"/>
              </w:rPr>
              <w:tab/>
            </w:r>
            <w:r>
              <w:rPr>
                <w:rStyle w:val="InstructionsTabelleberschrift"/>
                <w:rFonts w:ascii="Times New Roman" w:hAnsi="Times New Roman"/>
                <w:sz w:val="24"/>
              </w:rPr>
              <w:t>Deleži v instrumentih dodatnega temeljnega kapitala subjektov finančnega sektorja, v katerih ima institucija pomembno naložbo z začasno opustitvijo</w:t>
            </w:r>
          </w:p>
          <w:p w14:paraId="29ECC364" w14:textId="77777777" w:rsidR="00CC7D2C" w:rsidRPr="002A677E" w:rsidRDefault="00CC7D2C" w:rsidP="00206A48">
            <w:pPr>
              <w:pStyle w:val="InstructionsText"/>
            </w:pPr>
            <w:r>
              <w:t>Člen 79 Uredbe (EU) št. 575/2013.</w:t>
            </w:r>
          </w:p>
          <w:p w14:paraId="7B10897F" w14:textId="77777777" w:rsidR="00CC7D2C" w:rsidRPr="002A677E" w:rsidRDefault="00CC7D2C" w:rsidP="00206A48">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4477D9DA" w14:textId="77777777" w:rsidR="00CC7D2C" w:rsidRPr="002A677E" w:rsidRDefault="00CC7D2C" w:rsidP="00206A48">
            <w:pPr>
              <w:pStyle w:val="InstructionsText"/>
            </w:pPr>
            <w:r>
              <w:t>Opozoriti je treba, da se ti instrumenti poročajo tudi v postavki 16.1.</w:t>
            </w:r>
          </w:p>
        </w:tc>
      </w:tr>
      <w:tr w:rsidR="00CC7D2C" w:rsidRPr="002A677E" w14:paraId="78052D02" w14:textId="77777777" w:rsidTr="00822842">
        <w:tc>
          <w:tcPr>
            <w:tcW w:w="1474" w:type="dxa"/>
          </w:tcPr>
          <w:p w14:paraId="615BD4AA" w14:textId="77777777" w:rsidR="00CC7D2C" w:rsidRPr="002A677E" w:rsidRDefault="00CC7D2C" w:rsidP="00206A48">
            <w:pPr>
              <w:pStyle w:val="InstructionsText"/>
            </w:pPr>
            <w:r>
              <w:t>0720</w:t>
            </w:r>
          </w:p>
        </w:tc>
        <w:tc>
          <w:tcPr>
            <w:tcW w:w="7049" w:type="dxa"/>
          </w:tcPr>
          <w:p w14:paraId="1AFA5BF2" w14:textId="77777777" w:rsidR="00CC7D2C" w:rsidRPr="002A677E" w:rsidRDefault="00CC7D2C" w:rsidP="00206A48">
            <w:pPr>
              <w:pStyle w:val="InstructionsText"/>
            </w:pPr>
            <w:r>
              <w:rPr>
                <w:rStyle w:val="InstructionsTabelleberschrift"/>
                <w:rFonts w:ascii="Times New Roman" w:hAnsi="Times New Roman"/>
                <w:sz w:val="24"/>
              </w:rPr>
              <w:t>25.</w:t>
            </w:r>
            <w:r w:rsidRPr="00F6783D">
              <w:rPr>
                <w:u w:val="single"/>
              </w:rPr>
              <w:tab/>
            </w:r>
            <w:r>
              <w:rPr>
                <w:rStyle w:val="InstructionsTabelleberschrift"/>
                <w:rFonts w:ascii="Times New Roman" w:hAnsi="Times New Roman"/>
                <w:sz w:val="24"/>
              </w:rPr>
              <w:t>Deleži v instrumentih dodatnega kapitala subjektov finančnega sektorja, v katerih institucija nima pomembne naložbe z začasno opustitvijo</w:t>
            </w:r>
          </w:p>
          <w:p w14:paraId="11A612C2" w14:textId="77777777" w:rsidR="00CC7D2C" w:rsidRPr="002A677E" w:rsidRDefault="00CC7D2C" w:rsidP="00206A48">
            <w:pPr>
              <w:pStyle w:val="InstructionsText"/>
            </w:pPr>
            <w:r>
              <w:t>Člen 79 Uredbe (EU) št. 575/2013.</w:t>
            </w:r>
          </w:p>
          <w:p w14:paraId="2B2A46AA" w14:textId="77777777" w:rsidR="00CC7D2C" w:rsidRPr="002A677E" w:rsidRDefault="00CC7D2C" w:rsidP="00206A48">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0FE5A55A" w14:textId="77777777" w:rsidR="00CC7D2C" w:rsidRPr="002A677E" w:rsidRDefault="00CC7D2C" w:rsidP="00206A48">
            <w:pPr>
              <w:pStyle w:val="InstructionsText"/>
            </w:pPr>
            <w:r>
              <w:t>Opozoriti je treba, da se ti instrumenti poročajo tudi v postavki 14.1.</w:t>
            </w:r>
          </w:p>
        </w:tc>
      </w:tr>
      <w:tr w:rsidR="00CC7D2C" w:rsidRPr="002A677E" w14:paraId="553DEE26" w14:textId="77777777" w:rsidTr="00822842">
        <w:tc>
          <w:tcPr>
            <w:tcW w:w="1474" w:type="dxa"/>
          </w:tcPr>
          <w:p w14:paraId="799C9238" w14:textId="77777777" w:rsidR="00CC7D2C" w:rsidRPr="002A677E" w:rsidRDefault="00CC7D2C" w:rsidP="00206A48">
            <w:pPr>
              <w:pStyle w:val="InstructionsText"/>
            </w:pPr>
            <w:r>
              <w:t>0730</w:t>
            </w:r>
          </w:p>
        </w:tc>
        <w:tc>
          <w:tcPr>
            <w:tcW w:w="7049" w:type="dxa"/>
          </w:tcPr>
          <w:p w14:paraId="06A26F26" w14:textId="77777777" w:rsidR="00CC7D2C" w:rsidRPr="002A677E" w:rsidRDefault="00CC7D2C" w:rsidP="00206A48">
            <w:pPr>
              <w:pStyle w:val="InstructionsText"/>
            </w:pPr>
            <w:r>
              <w:rPr>
                <w:rStyle w:val="InstructionsTabelleberschrift"/>
                <w:rFonts w:ascii="Times New Roman" w:hAnsi="Times New Roman"/>
                <w:sz w:val="24"/>
              </w:rPr>
              <w:t>26.</w:t>
            </w:r>
            <w:r w:rsidRPr="00F6783D">
              <w:rPr>
                <w:u w:val="single"/>
              </w:rPr>
              <w:tab/>
            </w:r>
            <w:r>
              <w:rPr>
                <w:rStyle w:val="InstructionsTabelleberschrift"/>
                <w:rFonts w:ascii="Times New Roman" w:hAnsi="Times New Roman"/>
                <w:sz w:val="24"/>
              </w:rPr>
              <w:t>Deleži v instrumentih dodatnega kapitala subjektov finančnega sektorja, v katerih ima institucija pomembno naložbo z začasno opustitvijo</w:t>
            </w:r>
          </w:p>
          <w:p w14:paraId="208EC193" w14:textId="77777777" w:rsidR="00CC7D2C" w:rsidRPr="002A677E" w:rsidRDefault="00CC7D2C" w:rsidP="00206A48">
            <w:pPr>
              <w:pStyle w:val="InstructionsText"/>
            </w:pPr>
            <w:r>
              <w:t>Člen 79 Uredbe (EU) št. 575/2013.</w:t>
            </w:r>
          </w:p>
          <w:p w14:paraId="1FA4E3CB" w14:textId="77777777" w:rsidR="00CC7D2C" w:rsidRPr="002A677E" w:rsidRDefault="00CC7D2C" w:rsidP="00206A48">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13C3AFDA" w14:textId="77777777" w:rsidR="00CC7D2C" w:rsidRPr="002A677E" w:rsidRDefault="00CC7D2C" w:rsidP="00206A48">
            <w:pPr>
              <w:pStyle w:val="InstructionsText"/>
            </w:pPr>
            <w:r>
              <w:t>Opozoriti je treba, da se ti instrumenti poročajo tudi v postavki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206A48">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206A48">
            <w:pPr>
              <w:pStyle w:val="InstructionsText"/>
            </w:pPr>
            <w:r>
              <w:rPr>
                <w:rStyle w:val="InstructionsTabelleberschrift"/>
                <w:rFonts w:ascii="Times New Roman" w:hAnsi="Times New Roman"/>
                <w:sz w:val="24"/>
              </w:rPr>
              <w:t>27.</w:t>
            </w:r>
            <w:r w:rsidRPr="00F6783D">
              <w:rPr>
                <w:u w:val="single"/>
              </w:rPr>
              <w:tab/>
            </w:r>
            <w:r>
              <w:rPr>
                <w:rStyle w:val="InstructionsTabelleberschrift"/>
                <w:rFonts w:ascii="Times New Roman" w:hAnsi="Times New Roman"/>
                <w:sz w:val="24"/>
              </w:rPr>
              <w:t>Zahteva po skupnem blažilniku</w:t>
            </w:r>
          </w:p>
          <w:p w14:paraId="0AF29A6F" w14:textId="77777777" w:rsidR="00CC7D2C" w:rsidRPr="002A677E" w:rsidRDefault="00CC7D2C" w:rsidP="00206A48">
            <w:pPr>
              <w:pStyle w:val="InstructionsText"/>
            </w:pPr>
            <w:r>
              <w:lastRenderedPageBreak/>
              <w:t>Člen 128, točka 6, Direktive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206A48">
            <w:pPr>
              <w:pStyle w:val="InstructionsText"/>
            </w:pPr>
            <w:r>
              <w:lastRenderedPageBreak/>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206A48">
            <w:pPr>
              <w:pStyle w:val="InstructionsText"/>
            </w:pPr>
            <w:r>
              <w:rPr>
                <w:rStyle w:val="InstructionsTabelleberschrift"/>
                <w:rFonts w:ascii="Times New Roman" w:hAnsi="Times New Roman"/>
                <w:sz w:val="24"/>
              </w:rPr>
              <w:t>Varovalni kapitalski blažilnik</w:t>
            </w:r>
          </w:p>
          <w:p w14:paraId="1304A556" w14:textId="77777777" w:rsidR="00CC7D2C" w:rsidRPr="002A677E" w:rsidRDefault="00CC7D2C" w:rsidP="00206A48">
            <w:pPr>
              <w:pStyle w:val="InstructionsText"/>
            </w:pPr>
            <w:r>
              <w:t xml:space="preserve">Člen 128, točka 1, in člen 129 Direktive 2013/36/EU. </w:t>
            </w:r>
          </w:p>
          <w:p w14:paraId="34478878" w14:textId="77777777" w:rsidR="00CC7D2C" w:rsidRPr="002A677E" w:rsidRDefault="00CC7D2C" w:rsidP="00206A48">
            <w:pPr>
              <w:pStyle w:val="InstructionsText"/>
            </w:pPr>
            <w:r>
              <w:t>V skladu s členom 129(1) Direktive 2013/36/EU je varovalni kapitalski blažilnik dodatni znesek navadnega lastniškega temeljnega kapitala. Ker je stopnja varovalnega kapitalskega blažilnika v višini 2,5 % stalna, se znesek poroča v tej vrstici.</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206A48">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206A48">
            <w:pPr>
              <w:pStyle w:val="InstructionsText"/>
            </w:pPr>
            <w:r>
              <w:rPr>
                <w:rStyle w:val="InstructionsTabelleberschrift"/>
                <w:rFonts w:ascii="Times New Roman" w:hAnsi="Times New Roman"/>
                <w:sz w:val="24"/>
              </w:rPr>
              <w:t xml:space="preserve">Varovalni blažilnik zaradi </w:t>
            </w:r>
            <w:proofErr w:type="spellStart"/>
            <w:r>
              <w:rPr>
                <w:rStyle w:val="InstructionsTabelleberschrift"/>
                <w:rFonts w:ascii="Times New Roman" w:hAnsi="Times New Roman"/>
                <w:sz w:val="24"/>
              </w:rPr>
              <w:t>makrobonitetnega</w:t>
            </w:r>
            <w:proofErr w:type="spellEnd"/>
            <w:r>
              <w:rPr>
                <w:rStyle w:val="InstructionsTabelleberschrift"/>
                <w:rFonts w:ascii="Times New Roman" w:hAnsi="Times New Roman"/>
                <w:sz w:val="24"/>
              </w:rPr>
              <w:t xml:space="preserve"> ali sistemskega tveganja, ugotovljenega na ravni države članice </w:t>
            </w:r>
          </w:p>
          <w:p w14:paraId="6B9D8D9B" w14:textId="77777777" w:rsidR="00CC7D2C" w:rsidRPr="002A677E" w:rsidRDefault="00CC7D2C" w:rsidP="00206A48">
            <w:pPr>
              <w:pStyle w:val="InstructionsText"/>
            </w:pPr>
            <w:r>
              <w:t>Člen 458(2), točka (d)(iv), Uredbe (EU) št. 575/2013.</w:t>
            </w:r>
          </w:p>
          <w:p w14:paraId="164E576A" w14:textId="77777777" w:rsidR="00CC7D2C" w:rsidRPr="002A677E" w:rsidRDefault="00CC7D2C" w:rsidP="00206A48">
            <w:pPr>
              <w:pStyle w:val="InstructionsText"/>
            </w:pPr>
            <w:r>
              <w:t xml:space="preserve">V tej vrstici se poroča znesek varovalnega blažilnika zaradi </w:t>
            </w:r>
            <w:proofErr w:type="spellStart"/>
            <w:r>
              <w:t>makrobonitetnega</w:t>
            </w:r>
            <w:proofErr w:type="spellEnd"/>
            <w:r>
              <w:t xml:space="preserve"> ali sistemskega tveganja, ugotovljenega na ravni države članice, ki se lahko v skladu s členom 458 Uredbe (EU) št. 575/2013 zahteva poleg varovalnega kapitalskega blažilnika.</w:t>
            </w:r>
          </w:p>
          <w:p w14:paraId="567C4AC2" w14:textId="77777777" w:rsidR="00CC7D2C" w:rsidRPr="002A677E" w:rsidRDefault="00CC7D2C" w:rsidP="00206A48">
            <w:pPr>
              <w:pStyle w:val="InstructionsText"/>
            </w:pPr>
            <w:r>
              <w:t>Znesek, ki se poroča, predstavlja znesek kapitala, ki je potreben za izpolnitev ustreznih zahtev po kapitalskem blažilniku na datum poročanja.</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206A48">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206A48">
            <w:pPr>
              <w:pStyle w:val="InstructionsText"/>
            </w:pPr>
            <w:r>
              <w:rPr>
                <w:rStyle w:val="InstructionsTabelleberschrift"/>
                <w:rFonts w:ascii="Times New Roman" w:hAnsi="Times New Roman"/>
                <w:sz w:val="24"/>
              </w:rPr>
              <w:t xml:space="preserve">Posamezni instituciji lasten proticiklični kapitalski blažilnik </w:t>
            </w:r>
          </w:p>
          <w:p w14:paraId="5911F73C" w14:textId="77777777" w:rsidR="00CC7D2C" w:rsidRPr="002A677E" w:rsidRDefault="00CC7D2C" w:rsidP="00206A48">
            <w:pPr>
              <w:pStyle w:val="InstructionsText"/>
            </w:pPr>
            <w:r>
              <w:t xml:space="preserve">Člen 128, točka 2, in členi 130, 135 in 140 Direktive 2013/36/EU. </w:t>
            </w:r>
          </w:p>
          <w:p w14:paraId="2146B003" w14:textId="77777777" w:rsidR="00CC7D2C" w:rsidRPr="002A677E" w:rsidRDefault="00CC7D2C" w:rsidP="00206A48">
            <w:pPr>
              <w:pStyle w:val="InstructionsText"/>
            </w:pPr>
            <w:r>
              <w:t>Znesek, ki se poroča, predstavlja znesek kapitala, ki je potreben za izpolnitev ustreznih zahtev po kapitalskem blažilniku na datum poročanja.</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206A48">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206A48">
            <w:pPr>
              <w:pStyle w:val="InstructionsText"/>
            </w:pPr>
            <w:r>
              <w:rPr>
                <w:rStyle w:val="InstructionsTabelleberschrift"/>
                <w:rFonts w:ascii="Times New Roman" w:hAnsi="Times New Roman"/>
                <w:sz w:val="24"/>
              </w:rPr>
              <w:t xml:space="preserve">Blažilnik sistemskih tveganj </w:t>
            </w:r>
          </w:p>
          <w:p w14:paraId="441B636C" w14:textId="77777777" w:rsidR="00CC7D2C" w:rsidRPr="002A677E" w:rsidRDefault="00CC7D2C" w:rsidP="00206A48">
            <w:pPr>
              <w:pStyle w:val="InstructionsText"/>
            </w:pPr>
            <w:r>
              <w:t xml:space="preserve">Člen 128, točka 5, ter člena 133 in 134 Direktive 2013/36/EU. </w:t>
            </w:r>
          </w:p>
          <w:p w14:paraId="69C1F43C" w14:textId="77777777" w:rsidR="00CC7D2C" w:rsidRPr="002A677E" w:rsidRDefault="00CC7D2C" w:rsidP="00206A48">
            <w:pPr>
              <w:pStyle w:val="InstructionsText"/>
            </w:pPr>
            <w:r>
              <w:t>Znesek, ki se poroča, predstavlja znesek kapitala, ki je potreben za izpolnitev ustreznih zahtev po kapitalskem blažilniku na datum poročanja.</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206A48">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p>
          <w:p w14:paraId="4259170F"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128, točka 3, in člen 131 </w:t>
            </w:r>
            <w:r>
              <w:t>Direktive 2013/36/EU.</w:t>
            </w:r>
          </w:p>
          <w:p w14:paraId="6ED66F1E" w14:textId="77777777" w:rsidR="00CC7D2C" w:rsidRPr="002A677E" w:rsidRDefault="00CC7D2C" w:rsidP="00206A48">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206A48">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Blažilnik za druge sistemsko pomembne institucije </w:t>
            </w:r>
          </w:p>
          <w:p w14:paraId="295F628B"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128, točka 4, in člen 131 </w:t>
            </w:r>
            <w:r>
              <w:t>Direktive 2013/36/EU.</w:t>
            </w:r>
          </w:p>
          <w:p w14:paraId="4B543D3F" w14:textId="77777777" w:rsidR="00CC7D2C" w:rsidRPr="002A677E" w:rsidRDefault="00CC7D2C" w:rsidP="00206A48">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206A48">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F6783D">
              <w:rPr>
                <w:u w:val="single"/>
              </w:rPr>
              <w:tab/>
            </w:r>
            <w:r>
              <w:rPr>
                <w:rStyle w:val="InstructionsTabelleberschrift"/>
                <w:rFonts w:ascii="Times New Roman" w:hAnsi="Times New Roman"/>
                <w:sz w:val="24"/>
              </w:rPr>
              <w:t>Kapitalske zahteve v zvezi s prilagoditvami v okviru drugega stebra</w:t>
            </w:r>
          </w:p>
          <w:p w14:paraId="7A04542A"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104a(1) </w:t>
            </w:r>
            <w:r>
              <w:t>Direktive 2013/36/EU</w:t>
            </w:r>
            <w:r>
              <w:rPr>
                <w:rStyle w:val="InstructionsTabelleberschrift"/>
                <w:rFonts w:ascii="Times New Roman" w:hAnsi="Times New Roman"/>
                <w:b w:val="0"/>
                <w:sz w:val="24"/>
                <w:u w:val="none"/>
              </w:rPr>
              <w:t xml:space="preserve">. </w:t>
            </w:r>
          </w:p>
          <w:p w14:paraId="131DD05D"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Če pristojni organ odloči, da mora institucija izračunati dodatne kapitalske zahteve zaradi drugega stebra, se znesek teh dodatnih kapitalskih zahtev poroča v tej vrstici.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206A48">
            <w:pPr>
              <w:pStyle w:val="InstructionsText"/>
            </w:pPr>
            <w:r>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F6783D">
              <w:rPr>
                <w:u w:val="single"/>
              </w:rPr>
              <w:tab/>
            </w:r>
            <w:r>
              <w:rPr>
                <w:rStyle w:val="InstructionsTabelleberschrift"/>
                <w:rFonts w:ascii="Times New Roman" w:hAnsi="Times New Roman"/>
                <w:sz w:val="24"/>
              </w:rPr>
              <w:t>Ustanovni kapital</w:t>
            </w:r>
          </w:p>
          <w:p w14:paraId="46BF5068"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12 ter 28 do 31</w:t>
            </w:r>
            <w:r>
              <w:t xml:space="preserve"> Direktive 2013/36/EU</w:t>
            </w:r>
            <w:r>
              <w:rPr>
                <w:rStyle w:val="InstructionsTabelleberschrift"/>
                <w:rFonts w:ascii="Times New Roman" w:hAnsi="Times New Roman"/>
                <w:b w:val="0"/>
                <w:sz w:val="24"/>
                <w:u w:val="none"/>
              </w:rPr>
              <w:t xml:space="preserve"> ter člen 93</w:t>
            </w:r>
            <w:r>
              <w:t xml:space="preserve"> Uredbe (EU) št.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206A48">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F6783D">
              <w:rPr>
                <w:u w:val="single"/>
              </w:rPr>
              <w:tab/>
            </w:r>
            <w:r>
              <w:rPr>
                <w:rStyle w:val="InstructionsTabelleberschrift"/>
                <w:rFonts w:ascii="Times New Roman" w:hAnsi="Times New Roman"/>
                <w:sz w:val="24"/>
              </w:rPr>
              <w:t>Kapital na podlagi stalnih splošnih stroškov</w:t>
            </w:r>
          </w:p>
          <w:p w14:paraId="0512C5F3" w14:textId="77777777" w:rsidR="00CC7D2C" w:rsidRDefault="00CC7D2C" w:rsidP="00206A48">
            <w:pPr>
              <w:pStyle w:val="InstructionsText"/>
            </w:pPr>
            <w:r>
              <w:rPr>
                <w:rStyle w:val="InstructionsTabelleberschrift"/>
                <w:rFonts w:ascii="Times New Roman" w:hAnsi="Times New Roman"/>
                <w:b w:val="0"/>
                <w:sz w:val="24"/>
                <w:u w:val="none"/>
              </w:rPr>
              <w:t>Člena 95(</w:t>
            </w:r>
            <w:r>
              <w:rPr>
                <w:rStyle w:val="InstructionsTabelleberschrift"/>
                <w:rFonts w:ascii="Times New Roman" w:hAnsi="Times New Roman"/>
                <w:b w:val="0"/>
                <w:sz w:val="24"/>
              </w:rPr>
              <w:t xml:space="preserve">2), točka (b), člen </w:t>
            </w:r>
            <w:r>
              <w:rPr>
                <w:rStyle w:val="InstructionsTabelleberschrift"/>
                <w:rFonts w:ascii="Times New Roman" w:hAnsi="Times New Roman"/>
                <w:b w:val="0"/>
                <w:sz w:val="24"/>
                <w:u w:val="none"/>
              </w:rPr>
              <w:t xml:space="preserve">96(2), točka (b), člen 97 in člen 98(1), točka (a), </w:t>
            </w:r>
            <w:r>
              <w:t>Uredbe (EU) št. 575/2013.</w:t>
            </w:r>
          </w:p>
          <w:p w14:paraId="3C40AD1B" w14:textId="77777777" w:rsidR="00CC7D2C" w:rsidRPr="00232921" w:rsidRDefault="00CC7D2C" w:rsidP="00206A48">
            <w:pPr>
              <w:pStyle w:val="InstructionsText"/>
              <w:rPr>
                <w:rStyle w:val="InstructionsTabelleberschrift"/>
                <w:rFonts w:ascii="Times New Roman" w:hAnsi="Times New Roman"/>
                <w:b w:val="0"/>
                <w:sz w:val="24"/>
                <w:u w:val="none"/>
              </w:rPr>
            </w:pPr>
            <w:r>
              <w:t>Poročani znesek je kapitalska zahteva, ki izhaja iz uporabe omenjenih členov.</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206A48">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F6783D">
              <w:rPr>
                <w:u w:val="single"/>
              </w:rPr>
              <w:tab/>
            </w:r>
            <w:r>
              <w:rPr>
                <w:rStyle w:val="InstructionsTabelleberschrift"/>
                <w:rFonts w:ascii="Times New Roman" w:hAnsi="Times New Roman"/>
                <w:sz w:val="24"/>
              </w:rPr>
              <w:t>Tuje originalne izpostavljenosti</w:t>
            </w:r>
          </w:p>
          <w:p w14:paraId="16401F26"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ki so potrebne za izračun praga za poročanje v zvezi s predlogo CR GB v skladu s členom 5(5) te izvedbene uredbe. Prag se izračuna na podlagi originalne izpostavljenosti pred uporabo konverzijskega faktorja. </w:t>
            </w:r>
          </w:p>
          <w:p w14:paraId="34F7B9BD"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p w14:paraId="1E9D65B3"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 odstopanjem od člena 21(1), točka (a), te izvedene uredbe se ta vrstica vedno izpolni.</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206A48">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Pr="00F6783D">
              <w:rPr>
                <w:u w:val="single"/>
              </w:rPr>
              <w:tab/>
            </w:r>
            <w:r>
              <w:rPr>
                <w:rStyle w:val="InstructionsTabelleberschrift"/>
                <w:rFonts w:ascii="Times New Roman" w:hAnsi="Times New Roman"/>
                <w:sz w:val="24"/>
              </w:rPr>
              <w:t>Skupaj originalne izpostavljenosti</w:t>
            </w:r>
          </w:p>
          <w:p w14:paraId="543A84DC"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ki so potrebne za izračun praga za poročanje v zvezi s predlogo CR GB v skladu s členom 5(5) te izvedbene uredbe. Prag se izračuna na podlagi originalne izpostavljenosti pred uporabo konverzijskega faktorja.</w:t>
            </w:r>
          </w:p>
          <w:p w14:paraId="6407DB57"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p w14:paraId="1C767645"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 odstopanjem od člena 21(1), točka (a), te izvedene uredbe se ta vrstica vedno izpolni.</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206A48">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12B38E87"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F6783D">
              <w:rPr>
                <w:rStyle w:val="InstructionsTabelleberschrift"/>
                <w:rFonts w:ascii="Times New Roman" w:hAnsi="Times New Roman"/>
                <w:sz w:val="24"/>
              </w:rPr>
              <w:t>.</w:t>
            </w:r>
            <w:r>
              <w:rPr>
                <w:rStyle w:val="InstructionsTabelleberschrift"/>
                <w:rFonts w:ascii="Times New Roman" w:hAnsi="Times New Roman"/>
                <w:sz w:val="24"/>
              </w:rPr>
              <w:t xml:space="preserve">   PRILAGODITEV IZSTOPNEGA PRAGA PRED UPORABO PREHODNE ZGORNJE MEJE</w:t>
            </w:r>
          </w:p>
          <w:p w14:paraId="0E5E8397" w14:textId="77777777" w:rsidR="00CC7D2C" w:rsidRPr="002A677E" w:rsidRDefault="00CC7D2C" w:rsidP="00206A48">
            <w:pPr>
              <w:pStyle w:val="InstructionsText"/>
              <w:rPr>
                <w:rStyle w:val="InstructionsTabelleberschrift"/>
                <w:rFonts w:ascii="Times New Roman" w:hAnsi="Times New Roman"/>
                <w:sz w:val="24"/>
              </w:rPr>
            </w:pPr>
            <w:r>
              <w:t>Za institucije, za katere velja izstopni prag v skladu s členom 92(3) Uredbe (EU) št. 575/2013, prilagoditev izstopnega praga brez uporabe prehodne zgornje meje, kot je določena v členu 465(2) Uredbe (EU) št.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206A48">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0D6F7A1B"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34</w:t>
            </w:r>
            <w:r w:rsidR="00F6783D">
              <w:rPr>
                <w:rStyle w:val="InstructionsTabelleberschrift"/>
                <w:rFonts w:ascii="Times New Roman" w:hAnsi="Times New Roman"/>
                <w:sz w:val="24"/>
              </w:rPr>
              <w:t>.</w:t>
            </w:r>
            <w:r>
              <w:rPr>
                <w:rStyle w:val="InstructionsTabelleberschrift"/>
                <w:rFonts w:ascii="Times New Roman" w:hAnsi="Times New Roman"/>
                <w:sz w:val="24"/>
              </w:rPr>
              <w:t xml:space="preserve">   PRILAGODITEV IZSTOPNEGA PRAGA PO UPORABI PREHODNE ZGORNJE MEJE</w:t>
            </w:r>
          </w:p>
          <w:p w14:paraId="373CB5D0" w14:textId="77777777" w:rsidR="00CC7D2C" w:rsidRDefault="00CC7D2C" w:rsidP="00206A48">
            <w:pPr>
              <w:pStyle w:val="InstructionsText"/>
              <w:rPr>
                <w:rStyle w:val="InstructionsTabelleberschrift"/>
                <w:rFonts w:ascii="Times New Roman" w:hAnsi="Times New Roman"/>
                <w:sz w:val="24"/>
              </w:rPr>
            </w:pPr>
            <w:r>
              <w:t xml:space="preserve">Za institucije, za katere velja izstopni prag v skladu s členom 92(3) Uredbe (EU) št. 575/2013, prilagoditev izstopnega praga po </w:t>
            </w:r>
            <w:r>
              <w:lastRenderedPageBreak/>
              <w:t>uporabi prehodne zgornje meje, kot je določena v členu 465(2) Uredbe (EU) št.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206A48">
            <w:pPr>
              <w:pStyle w:val="InstructionsText"/>
            </w:pPr>
            <w:r>
              <w:lastRenderedPageBreak/>
              <w:t>0890</w:t>
            </w:r>
          </w:p>
        </w:tc>
        <w:tc>
          <w:tcPr>
            <w:tcW w:w="7049" w:type="dxa"/>
            <w:tcBorders>
              <w:top w:val="single" w:sz="4" w:space="0" w:color="auto"/>
              <w:left w:val="single" w:sz="4" w:space="0" w:color="auto"/>
              <w:bottom w:val="single" w:sz="4" w:space="0" w:color="auto"/>
              <w:right w:val="single" w:sz="4" w:space="0" w:color="auto"/>
            </w:tcBorders>
          </w:tcPr>
          <w:p w14:paraId="3DC9A371" w14:textId="08AC25F8"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35</w:t>
            </w:r>
            <w:r w:rsidR="00F6783D">
              <w:rPr>
                <w:rStyle w:val="InstructionsTabelleberschrift"/>
                <w:rFonts w:ascii="Times New Roman" w:hAnsi="Times New Roman"/>
                <w:sz w:val="24"/>
              </w:rPr>
              <w:t>.</w:t>
            </w:r>
            <w:r>
              <w:rPr>
                <w:rStyle w:val="InstructionsTabelleberschrift"/>
                <w:rFonts w:ascii="Times New Roman" w:hAnsi="Times New Roman"/>
                <w:sz w:val="24"/>
              </w:rPr>
              <w:t xml:space="preserve">     PRILAGODITEV IZSTOPNEGA PRAGA OB POLNEM UPOŠTEVANJU PREDPISOV </w:t>
            </w:r>
          </w:p>
          <w:p w14:paraId="7B9000EF" w14:textId="77777777" w:rsidR="00CC7D2C" w:rsidRPr="002A677E" w:rsidRDefault="00CC7D2C" w:rsidP="00206A48">
            <w:pPr>
              <w:pStyle w:val="InstructionsText"/>
              <w:rPr>
                <w:rStyle w:val="InstructionsTabelleberschrift"/>
                <w:rFonts w:ascii="Times New Roman" w:hAnsi="Times New Roman"/>
                <w:sz w:val="24"/>
              </w:rPr>
            </w:pPr>
            <w:r>
              <w:t>Za institucije, za katere velja izstopni prag v skladu s členom 92(3) Uredbe (EU) št. 575/2013, prilagoditev izstopnega praga brez uporabe vseh prehodnih ureditev iz člena 465 Uredbe (EU) št.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206A48">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4F394B7F" w:rsidR="00CC7D2C"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36</w:t>
            </w:r>
            <w:r w:rsidR="00F6783D">
              <w:rPr>
                <w:rStyle w:val="InstructionsTabelleberschrift"/>
                <w:rFonts w:ascii="Times New Roman" w:hAnsi="Times New Roman"/>
                <w:sz w:val="24"/>
              </w:rPr>
              <w:t>.</w:t>
            </w:r>
            <w:r>
              <w:rPr>
                <w:rStyle w:val="InstructionsTabelleberschrift"/>
                <w:rFonts w:ascii="Times New Roman" w:hAnsi="Times New Roman"/>
                <w:sz w:val="24"/>
              </w:rPr>
              <w:t xml:space="preserve">        Uporabljen izstopni prag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Izstopni prag, izražen v odstotkih, ki ga banka uporablja pri</w:t>
            </w:r>
          </w:p>
          <w:p w14:paraId="4826F3C6" w14:textId="77777777" w:rsidR="00CC7D2C" w:rsidRPr="002A677E" w:rsidRDefault="00CC7D2C" w:rsidP="00206A48">
            <w:pPr>
              <w:pStyle w:val="InstructionsText"/>
              <w:rPr>
                <w:rStyle w:val="InstructionsTabelleberschrift"/>
                <w:rFonts w:ascii="Times New Roman" w:hAnsi="Times New Roman"/>
                <w:sz w:val="24"/>
              </w:rPr>
            </w:pPr>
            <w:r>
              <w:t>izračunu vrednosti prilagoditve praga: faktor v skladu s členom 92(3) in členom 465(1) Uredbe (EU) št. 575/2013.</w:t>
            </w:r>
          </w:p>
        </w:tc>
      </w:tr>
    </w:tbl>
    <w:p w14:paraId="7D92FC07" w14:textId="77777777" w:rsidR="00CC7D2C" w:rsidRPr="002A677E" w:rsidRDefault="00CC7D2C" w:rsidP="00206A48">
      <w:pPr>
        <w:pStyle w:val="InstructionsText"/>
      </w:pPr>
    </w:p>
    <w:p w14:paraId="0ADBA3FD" w14:textId="4A3CBA81"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CD3273">
        <w:t>1.</w:t>
      </w:r>
      <w:r w:rsidR="00206A48" w:rsidRPr="00CD3273">
        <w:t>6</w:t>
      </w:r>
      <w:r w:rsidR="00206A48" w:rsidRPr="00CD3273">
        <w:tab/>
      </w:r>
      <w:r>
        <w:t>PREHODNE DOLOČBE in INSTRUMENTI, ZA KATERE SE UPORABLJAJO PREDHODNA PRAVILA: INSTRUMENTI, KI NE TVORIJO DRŽAVNE POMOČI (CA5</w:t>
      </w:r>
      <w:bookmarkEnd w:id="46"/>
      <w:r>
        <w:t>)</w:t>
      </w:r>
      <w:bookmarkEnd w:id="47"/>
      <w:bookmarkEnd w:id="48"/>
    </w:p>
    <w:p w14:paraId="272ED5BD" w14:textId="4B0CEE54"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CD3273">
        <w:t>1.6.</w:t>
      </w:r>
      <w:r w:rsidR="00206A48" w:rsidRPr="00CD3273">
        <w:t>1</w:t>
      </w:r>
      <w:r w:rsidR="00206A48" w:rsidRPr="00CD3273">
        <w:tab/>
      </w:r>
      <w:r>
        <w:t>Splošne opombe</w:t>
      </w:r>
      <w:bookmarkEnd w:id="50"/>
      <w:bookmarkEnd w:id="51"/>
      <w:bookmarkEnd w:id="52"/>
      <w:bookmarkEnd w:id="53"/>
    </w:p>
    <w:p w14:paraId="4ACA694F" w14:textId="23018CE1" w:rsidR="00CC7D2C" w:rsidRPr="00CD3273" w:rsidRDefault="00CC7D2C" w:rsidP="00CD3273">
      <w:pPr>
        <w:pStyle w:val="InstructionsText2"/>
        <w:numPr>
          <w:ilvl w:val="0"/>
          <w:numId w:val="38"/>
        </w:numPr>
        <w:ind w:left="0" w:firstLine="0"/>
        <w:rPr>
          <w:noProof/>
          <w:lang w:val="en-GB"/>
        </w:rPr>
      </w:pPr>
      <w:r w:rsidRPr="00CD3273">
        <w:rPr>
          <w:noProof/>
          <w:lang w:val="en-GB"/>
        </w:rPr>
        <w:t xml:space="preserve">V predlogi CA5 je povzet izračun kapitalskih sestavin in odbitkov, za katere veljajo prehodne določbe iz členov 465 do 491, 494a in 494b Uredbe (EU) št. 575/2013. </w:t>
      </w:r>
    </w:p>
    <w:p w14:paraId="5236D7A3" w14:textId="77777777" w:rsidR="00CC7D2C" w:rsidRPr="002A677E" w:rsidRDefault="00CC7D2C" w:rsidP="00206A48">
      <w:pPr>
        <w:pStyle w:val="InstructionsText2"/>
      </w:pPr>
      <w:r>
        <w:fldChar w:fldCharType="begin"/>
      </w:r>
      <w:r>
        <w:instrText>seq paragraphs</w:instrText>
      </w:r>
      <w:r>
        <w:fldChar w:fldCharType="separate"/>
      </w:r>
      <w:r>
        <w:t>17</w:t>
      </w:r>
      <w:r>
        <w:fldChar w:fldCharType="end"/>
      </w:r>
      <w:r>
        <w:t>.</w:t>
      </w:r>
      <w:r>
        <w:tab/>
        <w:t>Predloga CA5 ima naslednjo strukturo:</w:t>
      </w:r>
    </w:p>
    <w:p w14:paraId="1CFB5D30" w14:textId="77777777" w:rsidR="00CC7D2C" w:rsidRPr="00CD3273" w:rsidRDefault="00CC7D2C" w:rsidP="00CD3273">
      <w:pPr>
        <w:pStyle w:val="InstructionsText2"/>
        <w:ind w:left="993"/>
        <w:rPr>
          <w:lang w:val="en-GB"/>
        </w:rPr>
      </w:pPr>
      <w:r w:rsidRPr="00CD3273">
        <w:rPr>
          <w:lang w:val="en-GB"/>
        </w:rPr>
        <w:t>(a)</w:t>
      </w:r>
      <w:r w:rsidRPr="00CD3273">
        <w:rPr>
          <w:lang w:val="en-GB"/>
        </w:rPr>
        <w:tab/>
        <w:t>v predlogi CA5.1 so povzete skupne prilagoditve, ki jih je treba izvesti za različne sestavine kapitala (sporočene v predlogi CA1 v skladu s končnimi določbami) zaradi uporabe prehodnih določb. Sestavine te predloge so predstavljene kot „prilagoditve“ različnih sestavnih delov kapitala v predlogi CA1, da se v sestavnih delih kapitala odražajo učinki prehodnih določb;</w:t>
      </w:r>
    </w:p>
    <w:p w14:paraId="7232AD29" w14:textId="77777777" w:rsidR="00CC7D2C" w:rsidRPr="00CD3273" w:rsidRDefault="00CC7D2C" w:rsidP="00CD3273">
      <w:pPr>
        <w:pStyle w:val="InstructionsText2"/>
        <w:ind w:left="993"/>
        <w:rPr>
          <w:lang w:val="en-GB"/>
        </w:rPr>
      </w:pPr>
      <w:r w:rsidRPr="00CD3273">
        <w:rPr>
          <w:lang w:val="en-GB"/>
        </w:rPr>
        <w:t>(b)</w:t>
      </w:r>
      <w:r w:rsidRPr="00CD3273">
        <w:rPr>
          <w:lang w:val="en-GB"/>
        </w:rPr>
        <w:tab/>
        <w:t xml:space="preserve">v predlogi 5.2 so navedene dodatne podrobnosti o izračunu navedenih instrumentov, za katere se uporabljajo predhodna pravila, ki ne tvorijo državne pomoči. </w:t>
      </w:r>
    </w:p>
    <w:bookmarkStart w:id="54" w:name="_Toc307386943"/>
    <w:p w14:paraId="1D29FCFA" w14:textId="77777777" w:rsidR="00CC7D2C" w:rsidRPr="002A677E" w:rsidRDefault="00CC7D2C" w:rsidP="00206A48">
      <w:pPr>
        <w:pStyle w:val="InstructionsText2"/>
      </w:pPr>
      <w:r>
        <w:fldChar w:fldCharType="begin"/>
      </w:r>
      <w:r>
        <w:instrText xml:space="preserve"> seq paragraphs </w:instrText>
      </w:r>
      <w:r>
        <w:fldChar w:fldCharType="separate"/>
      </w:r>
      <w:r>
        <w:t>18</w:t>
      </w:r>
      <w:r>
        <w:fldChar w:fldCharType="end"/>
      </w:r>
      <w:r>
        <w:t>.</w:t>
      </w:r>
      <w:r>
        <w:tab/>
        <w:t>Institucije v prvih štirih stolpcih poročajo prilagoditve navadnega lastniškega temeljnega kapitala, dodatnega temeljnega kapitala, dodatnega kapitala in znesek, ki ga je treba obravnavati kot tveganju prilagojena sredstva. Poleg tega morajo institucije v stolpcu 0050 poročati veljavni odstotek, v stolpcu 0060 pa sprejemljivi znesek brez upoštevanja prehodnih določb.</w:t>
      </w:r>
    </w:p>
    <w:p w14:paraId="6EDAB8B1" w14:textId="77777777" w:rsidR="00CC7D2C" w:rsidRPr="002A677E" w:rsidRDefault="00CC7D2C" w:rsidP="00206A48">
      <w:pPr>
        <w:pStyle w:val="InstructionsText2"/>
      </w:pPr>
      <w:r>
        <w:fldChar w:fldCharType="begin"/>
      </w:r>
      <w:r>
        <w:instrText>seq paragraphs</w:instrText>
      </w:r>
      <w:r>
        <w:fldChar w:fldCharType="separate"/>
      </w:r>
      <w:r>
        <w:t>19</w:t>
      </w:r>
      <w:r>
        <w:fldChar w:fldCharType="end"/>
      </w:r>
      <w:r>
        <w:t>.</w:t>
      </w:r>
      <w:r>
        <w:tab/>
        <w:t>Institucije poročajo sestavine v predlogi CA5 le v obdobju veljavnosti prehodnih določb iz dela 10 Uredbe (EU) št. 575/2013.</w:t>
      </w:r>
    </w:p>
    <w:p w14:paraId="57EC4F24" w14:textId="77777777" w:rsidR="00CC7D2C" w:rsidRPr="002A677E" w:rsidRDefault="00CC7D2C" w:rsidP="00206A48">
      <w:pPr>
        <w:pStyle w:val="InstructionsText2"/>
      </w:pPr>
      <w:r>
        <w:fldChar w:fldCharType="begin"/>
      </w:r>
      <w:r>
        <w:instrText>seq paragraphs</w:instrText>
      </w:r>
      <w:r>
        <w:fldChar w:fldCharType="separate"/>
      </w:r>
      <w:r>
        <w:t>20</w:t>
      </w:r>
      <w:r>
        <w:fldChar w:fldCharType="end"/>
      </w:r>
      <w:r>
        <w:t>.</w:t>
      </w:r>
      <w:r>
        <w:tab/>
        <w:t>V skladu z nekaterimi prehodnimi določbami je potreben odbitek od temeljnega kapitala. V tem primeru se preostali znesek odbitka ali odbitkov upošteva pri temeljnem kapitalu, v primeru dodatnega temeljnega kapitala, ki ni zadosten, da bi lahko pokril ta znesek, pa se presežek odbije od navadnega lastniškega temeljnega kapitala.</w:t>
      </w:r>
    </w:p>
    <w:p w14:paraId="1FA50733" w14:textId="3450E2D1"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F03758">
        <w:lastRenderedPageBreak/>
        <w:t>1.6.</w:t>
      </w:r>
      <w:r w:rsidR="00206A48" w:rsidRPr="00F03758">
        <w:t>2</w:t>
      </w:r>
      <w:r w:rsidR="00206A48" w:rsidRPr="00F03758">
        <w:tab/>
      </w:r>
      <w:r>
        <w:t>C 05.01 – PREHODNE DOLOČBE (CA5.1)</w:t>
      </w:r>
      <w:bookmarkEnd w:id="55"/>
      <w:bookmarkEnd w:id="56"/>
      <w:r>
        <w:t xml:space="preserve"> </w:t>
      </w:r>
      <w:bookmarkEnd w:id="57"/>
      <w:bookmarkEnd w:id="58"/>
    </w:p>
    <w:p w14:paraId="1911F151" w14:textId="77777777" w:rsidR="00CC7D2C" w:rsidRPr="002A677E" w:rsidRDefault="00CC7D2C" w:rsidP="00206A48">
      <w:pPr>
        <w:pStyle w:val="InstructionsText2"/>
      </w:pPr>
      <w:r>
        <w:fldChar w:fldCharType="begin"/>
      </w:r>
      <w:r>
        <w:instrText>seq paragraphs</w:instrText>
      </w:r>
      <w:r>
        <w:fldChar w:fldCharType="separate"/>
      </w:r>
      <w:r>
        <w:t>21</w:t>
      </w:r>
      <w:r>
        <w:fldChar w:fldCharType="end"/>
      </w:r>
      <w:r>
        <w:t>.</w:t>
      </w:r>
      <w:r>
        <w:tab/>
        <w:t xml:space="preserve">Institucije v predlogi CA5.1 poročajo prehodne določbe za sestavne dele kapitala iz členov 465 do 491, 494a in 494b Uredbe (EU) št. 575/2013 glede na uporabo končnih določb iz dela 2, naslov II, Uredbe (EU) št. 575/2013. </w:t>
      </w:r>
    </w:p>
    <w:p w14:paraId="60637655" w14:textId="77777777" w:rsidR="00CC7D2C" w:rsidRPr="002A677E" w:rsidRDefault="00CC7D2C" w:rsidP="00206A48">
      <w:pPr>
        <w:pStyle w:val="InstructionsText2"/>
      </w:pPr>
      <w:r>
        <w:fldChar w:fldCharType="begin"/>
      </w:r>
      <w:r>
        <w:instrText>seq paragraphs</w:instrText>
      </w:r>
      <w:r>
        <w:fldChar w:fldCharType="separate"/>
      </w:r>
      <w:r>
        <w:t>22</w:t>
      </w:r>
      <w:r>
        <w:fldChar w:fldCharType="end"/>
      </w:r>
      <w:r>
        <w:t>.</w:t>
      </w:r>
      <w:r>
        <w:tab/>
        <w:t>Institucije v vrsticah 0060 do 0065 poročajo informacije o prehodnih določbah glede instrumentov, za katere se uporabljajo predhodna pravila. Vrednosti, ki jih je treba poročati v vrstici 0060 predloge CA5.1, odražajo prehodne določbe iz Uredbe (EU) št. 575/2013 iz različice, ki je veljala do 26. junija 2019, in se jih lahko pridobi iz ustreznih oddelkov predloge CA5.2. Vrstice 0061 do 0065 zajemajo učinek prehodnih določb iz členov 494a in 494b Uredbe (EU) št. 575/2013.</w:t>
      </w:r>
    </w:p>
    <w:p w14:paraId="62BF86C6" w14:textId="77777777" w:rsidR="00CC7D2C" w:rsidRPr="002A677E" w:rsidRDefault="00CC7D2C" w:rsidP="00206A48">
      <w:pPr>
        <w:pStyle w:val="InstructionsText2"/>
      </w:pPr>
      <w:r>
        <w:fldChar w:fldCharType="begin"/>
      </w:r>
      <w:r>
        <w:instrText>seq paragraphs</w:instrText>
      </w:r>
      <w:r>
        <w:fldChar w:fldCharType="separate"/>
      </w:r>
      <w:r>
        <w:t>23</w:t>
      </w:r>
      <w:r>
        <w:fldChar w:fldCharType="end"/>
      </w:r>
      <w:r>
        <w:t>.</w:t>
      </w:r>
      <w:r>
        <w:tab/>
        <w:t>Institucije v vrsticah 0070 do 0092 poročajo informacije o prehodnih določbah glede manjšinskih deležev ter instrumentov dodatnega temeljnega kapitala in dodatnega kapitala, ki jih izdajo podrejene družbe (v skladu s členoma 479 in 480 Uredbe (EU) št. 575/2013).</w:t>
      </w:r>
    </w:p>
    <w:p w14:paraId="68A24959" w14:textId="77777777" w:rsidR="00CC7D2C" w:rsidRPr="002A677E" w:rsidRDefault="00CC7D2C" w:rsidP="00206A48">
      <w:pPr>
        <w:pStyle w:val="InstructionsText2"/>
      </w:pPr>
      <w:r>
        <w:fldChar w:fldCharType="begin"/>
      </w:r>
      <w:r>
        <w:instrText>seq paragraphs</w:instrText>
      </w:r>
      <w:r>
        <w:fldChar w:fldCharType="separate"/>
      </w:r>
      <w:r>
        <w:t>24</w:t>
      </w:r>
      <w:r>
        <w:fldChar w:fldCharType="end"/>
      </w:r>
      <w:r>
        <w:t>.</w:t>
      </w:r>
      <w:r>
        <w:tab/>
        <w:t>Institucije od vrstice 0100 naprej poročajo informacije o učinku prehodnih določb v zvezi z nerealiziranimi dobički in izgubami, odbitki, dodatnim filtri in odbitki ter MSRP 9.</w:t>
      </w:r>
    </w:p>
    <w:p w14:paraId="34E4B8FE" w14:textId="77777777" w:rsidR="00CC7D2C" w:rsidRPr="002A677E" w:rsidRDefault="00CC7D2C" w:rsidP="00206A48">
      <w:pPr>
        <w:pStyle w:val="InstructionsText2"/>
      </w:pPr>
      <w:r>
        <w:fldChar w:fldCharType="begin"/>
      </w:r>
      <w:r>
        <w:instrText>seq paragraphs</w:instrText>
      </w:r>
      <w:r>
        <w:fldChar w:fldCharType="separate"/>
      </w:r>
      <w:r>
        <w:t>25</w:t>
      </w:r>
      <w:r>
        <w:fldChar w:fldCharType="end"/>
      </w:r>
      <w:r>
        <w:t>.</w:t>
      </w:r>
      <w:r>
        <w:tab/>
        <w:t xml:space="preserve">V nekaterih primerih lahko prehodni odbitki od navadnega lastniškega temeljnega kapitala, dodatnega temeljnega kapitala ali dodatnega kapitala presegajo navadni lastniški temeljni kapital, dodatni temeljni kapital ali dodatni kapital institucije. Če ta učinek izhaja iz prehodnih določb, se prikaže v ustreznih celicah predloge CA1. Prilagoditve v stolpcih predloge CA5 zato ne vključujejo učinkov prelivanja, če ni na voljo dovolj razpoložljivega kapitala. </w:t>
      </w:r>
    </w:p>
    <w:p w14:paraId="4599C410" w14:textId="48055E00"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w:t>
      </w:r>
      <w:r w:rsidR="00206A48" w:rsidRPr="00206A48">
        <w:t>1</w:t>
      </w:r>
      <w:r w:rsidR="00206A48" w:rsidRPr="00206A48">
        <w:tab/>
      </w:r>
      <w:r>
        <w:t>Navodila za posamezne pozicije</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206A48">
            <w:pPr>
              <w:pStyle w:val="InstructionsText"/>
            </w:pPr>
            <w:r>
              <w:t>Stolpci</w:t>
            </w:r>
          </w:p>
        </w:tc>
      </w:tr>
      <w:tr w:rsidR="00CC7D2C" w:rsidRPr="002A677E" w14:paraId="5ABB1C97" w14:textId="77777777" w:rsidTr="00822842">
        <w:tc>
          <w:tcPr>
            <w:tcW w:w="894" w:type="dxa"/>
          </w:tcPr>
          <w:p w14:paraId="066B52F9"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navadnega lastniškega temeljnega kapitala</w:t>
            </w:r>
          </w:p>
        </w:tc>
      </w:tr>
      <w:tr w:rsidR="00CC7D2C" w:rsidRPr="002A677E" w14:paraId="70486C66" w14:textId="77777777" w:rsidTr="00822842">
        <w:tc>
          <w:tcPr>
            <w:tcW w:w="894" w:type="dxa"/>
          </w:tcPr>
          <w:p w14:paraId="5744AAF7"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temeljnega kapitala</w:t>
            </w:r>
          </w:p>
        </w:tc>
      </w:tr>
      <w:tr w:rsidR="00CC7D2C" w:rsidRPr="002A677E" w14:paraId="3240AC81" w14:textId="77777777" w:rsidTr="00822842">
        <w:tc>
          <w:tcPr>
            <w:tcW w:w="894" w:type="dxa"/>
          </w:tcPr>
          <w:p w14:paraId="257368A3"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kapitala</w:t>
            </w:r>
          </w:p>
        </w:tc>
      </w:tr>
      <w:tr w:rsidR="00CC7D2C" w:rsidRPr="002A677E" w14:paraId="6B5722C9" w14:textId="77777777" w:rsidTr="00822842">
        <w:tc>
          <w:tcPr>
            <w:tcW w:w="894" w:type="dxa"/>
          </w:tcPr>
          <w:p w14:paraId="76268D54"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vključene v tveganju prilagojena sredstva</w:t>
            </w:r>
          </w:p>
          <w:p w14:paraId="2AB15337"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Stolpec 0040 vključuje zadevne zneske za prilagoditev zneska skupne izpostavljenosti tveganju iz člena 92(3) </w:t>
            </w:r>
            <w:r>
              <w:t>Uredbe (EU) št. 575/2013</w:t>
            </w:r>
            <w:r>
              <w:rPr>
                <w:rStyle w:val="InstructionsTabelleText"/>
                <w:rFonts w:ascii="Times New Roman" w:hAnsi="Times New Roman"/>
                <w:sz w:val="24"/>
              </w:rPr>
              <w:t xml:space="preserve"> zaradi prehodnih določb. Poročani zneski upoštevajo uporabo določb iz dela 3, naslov II, poglavje 2 ali 3, ali dela 3, naslov IV, v skladu s členom 92(4) </w:t>
            </w:r>
            <w:r>
              <w:t>Uredbe (EU) št. 575/2013</w:t>
            </w:r>
            <w:r>
              <w:rPr>
                <w:rStyle w:val="InstructionsTabelleText"/>
                <w:rFonts w:ascii="Times New Roman" w:hAnsi="Times New Roman"/>
                <w:sz w:val="24"/>
              </w:rPr>
              <w:t>. To pomeni, da je treba prehodne zneske, za katere veljajo določbe dela 3, naslov II, poglavje 2 ali 3, poročati kot zneske tveganju prilagojenih izpostavljenosti, medtem ko morajo prehodni zneski, za katere velja del 3, naslov IV, predstavljati kapitalske zahteve, pomnožene z 12,5.</w:t>
            </w:r>
          </w:p>
          <w:p w14:paraId="6FD2215F"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Čeprav so stolpci 0010 do 0030 neposredno povezani s predlogo CA1, prilagoditve zneska skupne izpostavljenosti tveganju niso neposredno povezane z zadevnimi predlogami za kreditno tveganje. Morebitne prilagoditve zneska skupne izpostavljenosti tveganju, ki so posledica </w:t>
            </w:r>
            <w:r>
              <w:rPr>
                <w:rStyle w:val="InstructionsTabelleText"/>
                <w:rFonts w:ascii="Times New Roman" w:hAnsi="Times New Roman"/>
                <w:sz w:val="24"/>
              </w:rPr>
              <w:lastRenderedPageBreak/>
              <w:t xml:space="preserve">prehodnih določb, se vključijo neposredno v predloge CR SA, CR IRB, CR EQU IRB, MKR SA TDI, MKR SA EQU ali MKR IM. Poleg tega se ti učinki poročajo v stolpcu 0040 predloge CA5.1. Navedeni zneski so zato le pojasnjevalne postavke. </w:t>
            </w:r>
          </w:p>
        </w:tc>
      </w:tr>
      <w:tr w:rsidR="00CC7D2C" w:rsidRPr="002A677E" w14:paraId="36DEBFE4" w14:textId="77777777" w:rsidTr="00822842">
        <w:tc>
          <w:tcPr>
            <w:tcW w:w="894" w:type="dxa"/>
          </w:tcPr>
          <w:p w14:paraId="08DE5ACE"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554E45F6"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Veljavni odstotek</w:t>
            </w:r>
          </w:p>
        </w:tc>
      </w:tr>
      <w:tr w:rsidR="00CC7D2C" w:rsidRPr="002A677E" w14:paraId="4825B315" w14:textId="77777777" w:rsidTr="00822842">
        <w:tc>
          <w:tcPr>
            <w:tcW w:w="894" w:type="dxa"/>
          </w:tcPr>
          <w:p w14:paraId="1A745949"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Sprejemljiv znesek brez prehodnih določb</w:t>
            </w:r>
          </w:p>
          <w:p w14:paraId="0688C622"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Ta stolpec vključuje zneske posameznih instrumentov pred uporabo prehodnih določb, tj. osnovni znesek, potreben za izračun prilagoditev.</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206A48">
            <w:pPr>
              <w:pStyle w:val="InstructionsText"/>
            </w:pPr>
            <w:r>
              <w:t>Vrstice</w:t>
            </w:r>
          </w:p>
        </w:tc>
      </w:tr>
      <w:tr w:rsidR="00CC7D2C" w:rsidRPr="002A677E" w14:paraId="63DE0CB7" w14:textId="77777777" w:rsidTr="00822842">
        <w:tc>
          <w:tcPr>
            <w:tcW w:w="1012" w:type="dxa"/>
          </w:tcPr>
          <w:p w14:paraId="64D99990"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206A4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F03758">
              <w:rPr>
                <w:u w:val="single"/>
              </w:rPr>
              <w:tab/>
            </w:r>
            <w:r>
              <w:rPr>
                <w:rStyle w:val="InstructionsTabelleberschrift"/>
                <w:rFonts w:ascii="Times New Roman" w:hAnsi="Times New Roman"/>
                <w:sz w:val="24"/>
              </w:rPr>
              <w:t>Skupaj prilagoditve</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V tej vrstici je naveden skupni učinek prehodnih prilagoditev različnih vrst kapitala in tveganju prilagojenih zneskov, ki izhajajo iz teh prilagoditev.</w:t>
            </w:r>
          </w:p>
        </w:tc>
      </w:tr>
      <w:tr w:rsidR="00CC7D2C" w:rsidRPr="002A677E" w14:paraId="22DFE315" w14:textId="77777777" w:rsidTr="00822842">
        <w:tc>
          <w:tcPr>
            <w:tcW w:w="1012" w:type="dxa"/>
          </w:tcPr>
          <w:p w14:paraId="589AB8F2"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E6DCCF6"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za katere se uporabljajo predhodna pravila</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Členi 483 do 491</w:t>
            </w:r>
            <w:r>
              <w:rPr>
                <w:rFonts w:ascii="Times New Roman" w:hAnsi="Times New Roman"/>
                <w:sz w:val="24"/>
              </w:rPr>
              <w:t xml:space="preserve"> Uredbe (EU) št.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V tej vrstici so navedeni skupni učinki instrumentov, za katere se prehodno uporabljajo predhodna pravila, po različnih vrstah kapitala.</w:t>
            </w:r>
          </w:p>
        </w:tc>
      </w:tr>
      <w:tr w:rsidR="00CC7D2C" w:rsidRPr="002A677E" w14:paraId="3A5937F1" w14:textId="77777777" w:rsidTr="00822842">
        <w:tc>
          <w:tcPr>
            <w:tcW w:w="1012" w:type="dxa"/>
          </w:tcPr>
          <w:p w14:paraId="021760AB"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6ED6E5B0"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ki ne tvorijo državne pomoči</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Zneski, ki se poročajo, se pridobijo iz stolpca 060 predloge CA5.2.</w:t>
            </w:r>
          </w:p>
        </w:tc>
      </w:tr>
      <w:tr w:rsidR="00CC7D2C" w:rsidRPr="002A677E" w14:paraId="577CA2FB" w14:textId="77777777" w:rsidTr="00822842">
        <w:tc>
          <w:tcPr>
            <w:tcW w:w="1012" w:type="dxa"/>
          </w:tcPr>
          <w:p w14:paraId="0BC3F697"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396EEDE8"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izdani prek subjektov s posebnim namenom</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Člen 494a</w:t>
            </w:r>
            <w:r>
              <w:rPr>
                <w:rFonts w:ascii="Times New Roman" w:hAnsi="Times New Roman"/>
                <w:sz w:val="24"/>
              </w:rPr>
              <w:t xml:space="preserve"> Uredbe (EU) št. 575/2013</w:t>
            </w:r>
          </w:p>
        </w:tc>
      </w:tr>
      <w:tr w:rsidR="00CC7D2C" w:rsidRPr="002A677E" w14:paraId="112C8A49" w14:textId="77777777" w:rsidTr="00822842">
        <w:tc>
          <w:tcPr>
            <w:tcW w:w="1012" w:type="dxa"/>
          </w:tcPr>
          <w:p w14:paraId="63856ADF"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3C9D7CC"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Instrumenti, izdani pred 27. junijem 2019, ki ne izpolnjujejo meril primernosti v zvezi s pooblastili za odpis in konverzijo v skladu s členom 59 </w:t>
            </w:r>
            <w:r>
              <w:rPr>
                <w:rFonts w:ascii="Times New Roman" w:hAnsi="Times New Roman"/>
                <w:sz w:val="24"/>
              </w:rPr>
              <w:t>Direktive 2014/59/EU</w:t>
            </w:r>
            <w:r>
              <w:rPr>
                <w:rStyle w:val="InstructionsTabelleberschrift"/>
                <w:rFonts w:ascii="Times New Roman" w:hAnsi="Times New Roman"/>
                <w:sz w:val="24"/>
              </w:rPr>
              <w:t xml:space="preserve"> ali zanje veljajo dogovori o poravnavi ali pobotu</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w:t>
            </w:r>
            <w:r>
              <w:rPr>
                <w:rFonts w:ascii="Times New Roman" w:hAnsi="Times New Roman"/>
                <w:sz w:val="24"/>
              </w:rPr>
              <w:t xml:space="preserve"> Uredbe (EU) št.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enega ali več meril primernosti iz člena 52(1), točke (p), (q) in (r), </w:t>
            </w:r>
            <w:r>
              <w:rPr>
                <w:rFonts w:ascii="Times New Roman" w:hAnsi="Times New Roman"/>
                <w:sz w:val="24"/>
              </w:rPr>
              <w:t>navedene uredbe</w:t>
            </w:r>
            <w:r>
              <w:rPr>
                <w:rStyle w:val="InstructionsTabelleberschrift"/>
                <w:rFonts w:ascii="Times New Roman" w:hAnsi="Times New Roman"/>
                <w:b w:val="0"/>
                <w:sz w:val="24"/>
                <w:u w:val="none"/>
              </w:rPr>
              <w:t xml:space="preserve"> ali člena 63, točke (n), (o) in (p),</w:t>
            </w:r>
            <w:r>
              <w:rPr>
                <w:rFonts w:ascii="Times New Roman" w:hAnsi="Times New Roman"/>
                <w:sz w:val="24"/>
              </w:rPr>
              <w:t xml:space="preserve"> navedene uredbe</w:t>
            </w:r>
            <w:r>
              <w:rPr>
                <w:rStyle w:val="InstructionsTabelleberschrift"/>
                <w:rFonts w:ascii="Times New Roman" w:hAnsi="Times New Roman"/>
                <w:b w:val="0"/>
                <w:sz w:val="24"/>
                <w:u w:val="none"/>
              </w:rPr>
              <w:t>, kot je ustrezno.</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primeru instrumentov dodatnega kapitala, ki so sprejemljivi v skladu s členom 494b(2) </w:t>
            </w:r>
            <w:r>
              <w:rPr>
                <w:rFonts w:ascii="Times New Roman" w:hAnsi="Times New Roman"/>
                <w:sz w:val="24"/>
              </w:rPr>
              <w:t>Uredbe (EU) št. 575/2013</w:t>
            </w:r>
            <w:r>
              <w:rPr>
                <w:rStyle w:val="InstructionsTabelleberschrift"/>
                <w:rFonts w:ascii="Times New Roman" w:hAnsi="Times New Roman"/>
                <w:b w:val="0"/>
                <w:sz w:val="24"/>
                <w:u w:val="none"/>
              </w:rPr>
              <w:t xml:space="preserve">, se upoštevajo določbe o amortizaciji iz člena 64 </w:t>
            </w:r>
            <w:r>
              <w:rPr>
                <w:rFonts w:ascii="Times New Roman" w:hAnsi="Times New Roman"/>
                <w:sz w:val="24"/>
              </w:rPr>
              <w:t>navedene uredbe</w:t>
            </w:r>
            <w:r>
              <w:rPr>
                <w:rStyle w:val="InstructionsTabelleberschrift"/>
                <w:rFonts w:ascii="Times New Roman" w:hAnsi="Times New Roman"/>
                <w:b w:val="0"/>
                <w:sz w:val="24"/>
                <w:u w:val="none"/>
              </w:rPr>
              <w:t>.</w:t>
            </w:r>
          </w:p>
        </w:tc>
      </w:tr>
      <w:tr w:rsidR="00CC7D2C" w:rsidRPr="002A677E" w14:paraId="55C3C1E1" w14:textId="77777777" w:rsidTr="00822842">
        <w:tc>
          <w:tcPr>
            <w:tcW w:w="1012" w:type="dxa"/>
          </w:tcPr>
          <w:p w14:paraId="74C1C71E"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5A3D9A65"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instrumenti brez pravno ali pogodbeno obveznega odpisa ali konverzije pri izvajanju pooblastil v skladu s členom 59 Direktive 2014/59/EU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(p), in člen 63, točka (n), </w:t>
            </w:r>
            <w:r>
              <w:rPr>
                <w:rFonts w:ascii="Times New Roman" w:hAnsi="Times New Roman"/>
                <w:sz w:val="24"/>
              </w:rPr>
              <w:t>Uredbe (EU) št.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Institucije poročajo znesek instrumentov iz področja uporabe člena 494b</w:t>
            </w:r>
            <w:r>
              <w:rPr>
                <w:rFonts w:ascii="Times New Roman" w:hAnsi="Times New Roman"/>
                <w:sz w:val="24"/>
              </w:rPr>
              <w:t xml:space="preserve"> Uredbe (EU) št. 575/2013, </w:t>
            </w:r>
            <w:r>
              <w:rPr>
                <w:rStyle w:val="InstructionsTabelleberschrift"/>
                <w:rFonts w:ascii="Times New Roman" w:hAnsi="Times New Roman"/>
                <w:b w:val="0"/>
                <w:sz w:val="24"/>
                <w:u w:val="none"/>
              </w:rPr>
              <w:t>ki ne izpolnjujejo meril primernosti iz člena 52(1), točka (p), ali člena 63, točka (n), navedene uredbe, kot je ustrezno.</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(q) ali (r), </w:t>
            </w:r>
            <w:r>
              <w:rPr>
                <w:rFonts w:ascii="Times New Roman" w:hAnsi="Times New Roman"/>
                <w:sz w:val="24"/>
              </w:rPr>
              <w:t>Uredbe (EU) št. 575/2013</w:t>
            </w:r>
            <w:r>
              <w:rPr>
                <w:rStyle w:val="InstructionsTabelleberschrift"/>
                <w:rFonts w:ascii="Times New Roman" w:hAnsi="Times New Roman"/>
                <w:b w:val="0"/>
                <w:sz w:val="24"/>
                <w:u w:val="none"/>
              </w:rPr>
              <w:t xml:space="preserve"> ali člena 63, točka (o) ali (p),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CC7D2C" w:rsidRPr="002A677E" w14:paraId="7EF97E41" w14:textId="77777777" w:rsidTr="00822842">
        <w:tc>
          <w:tcPr>
            <w:tcW w:w="1012" w:type="dxa"/>
          </w:tcPr>
          <w:p w14:paraId="51F1A7D5"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56704CD4"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instrumenti, ki jih ureja pravo tretje države, brez učinkovitega in izvršljivega izvajanja pooblastil v skladu s členom 59 Direktive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(q), in člen 63, točka (o), </w:t>
            </w:r>
            <w:r>
              <w:rPr>
                <w:rFonts w:ascii="Times New Roman" w:hAnsi="Times New Roman"/>
                <w:sz w:val="24"/>
              </w:rPr>
              <w:t>Uredbe (EU) št.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meril primernosti iz člena 52(1), točka (q), ali člena 63, točka (o), </w:t>
            </w:r>
            <w:r>
              <w:rPr>
                <w:rFonts w:ascii="Times New Roman" w:hAnsi="Times New Roman"/>
                <w:sz w:val="24"/>
              </w:rPr>
              <w:t>navedene uredbe</w:t>
            </w:r>
            <w:r>
              <w:rPr>
                <w:rStyle w:val="InstructionsTabelleberschrift"/>
                <w:rFonts w:ascii="Times New Roman" w:hAnsi="Times New Roman"/>
                <w:b w:val="0"/>
                <w:sz w:val="24"/>
                <w:u w:val="none"/>
              </w:rPr>
              <w:t>, kot je ustrezno.</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(p) ali (r), </w:t>
            </w:r>
            <w:r>
              <w:rPr>
                <w:rFonts w:ascii="Times New Roman" w:hAnsi="Times New Roman"/>
                <w:sz w:val="24"/>
              </w:rPr>
              <w:t xml:space="preserve">Uredbe (EU) št. 575/2013 </w:t>
            </w:r>
            <w:r>
              <w:rPr>
                <w:rStyle w:val="InstructionsTabelleberschrift"/>
                <w:rFonts w:ascii="Times New Roman" w:hAnsi="Times New Roman"/>
                <w:b w:val="0"/>
                <w:sz w:val="24"/>
                <w:u w:val="none"/>
              </w:rPr>
              <w:t xml:space="preserve">ali člena 63, točka (n) ali (p),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CC7D2C" w:rsidRPr="002A677E" w14:paraId="41B5C856" w14:textId="77777777" w:rsidTr="00822842">
        <w:tc>
          <w:tcPr>
            <w:tcW w:w="1012" w:type="dxa"/>
          </w:tcPr>
          <w:p w14:paraId="446D7A86"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14B70E61"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sidR="00C850AF" w:rsidRPr="00C850AF">
              <w:rPr>
                <w:rStyle w:val="InstructionsTabelleberschrift"/>
                <w:rFonts w:ascii="Times New Roman" w:hAnsi="Times New Roman"/>
                <w:sz w:val="24"/>
              </w:rPr>
              <w:t>*</w:t>
            </w:r>
            <w:r w:rsidR="00C850AF" w:rsidRPr="00C850AF">
              <w:rPr>
                <w:rStyle w:val="InstructionsTabelleberschrift"/>
                <w:rFonts w:ascii="Times New Roman" w:hAnsi="Times New Roman"/>
                <w:sz w:val="24"/>
              </w:rPr>
              <w:tab/>
            </w:r>
            <w:r>
              <w:rPr>
                <w:rStyle w:val="InstructionsTabelleberschrift"/>
                <w:rFonts w:ascii="Times New Roman" w:hAnsi="Times New Roman"/>
                <w:sz w:val="24"/>
              </w:rPr>
              <w:t>od tega: instrumenti, za katere veljajo dogovori o poravnavi ali pobotu</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494b, člen 52(1), točka (r), in člen 63, točka (p), </w:t>
            </w:r>
            <w:r>
              <w:rPr>
                <w:rFonts w:ascii="Times New Roman" w:hAnsi="Times New Roman"/>
                <w:sz w:val="24"/>
              </w:rPr>
              <w:t>Uredbe (EU) št.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w:t>
            </w:r>
            <w:r>
              <w:rPr>
                <w:rFonts w:ascii="Times New Roman" w:hAnsi="Times New Roman"/>
                <w:sz w:val="24"/>
              </w:rPr>
              <w:t xml:space="preserve"> Uredbe (EU) št. 575/2013</w:t>
            </w:r>
            <w:r>
              <w:rPr>
                <w:rStyle w:val="InstructionsTabelleberschrift"/>
                <w:rFonts w:ascii="Times New Roman" w:hAnsi="Times New Roman"/>
                <w:b w:val="0"/>
                <w:sz w:val="24"/>
                <w:u w:val="none"/>
              </w:rPr>
              <w:t xml:space="preserve">, ki ne izpolnjujejo meril primernosti iz člena 52(1), točka (r), navedene uredbe ali člena 63, točka (p), </w:t>
            </w:r>
            <w:r>
              <w:rPr>
                <w:rFonts w:ascii="Times New Roman" w:hAnsi="Times New Roman"/>
                <w:sz w:val="24"/>
              </w:rPr>
              <w:t>navedene uredbe</w:t>
            </w:r>
            <w:r>
              <w:rPr>
                <w:rStyle w:val="InstructionsTabelleberschrift"/>
                <w:rFonts w:ascii="Times New Roman" w:hAnsi="Times New Roman"/>
                <w:b w:val="0"/>
                <w:sz w:val="24"/>
                <w:u w:val="none"/>
              </w:rPr>
              <w:t>, kot je ustrezno.</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 vključuje tudi instrumente, ki dodatno ne izpolnjujejo meril primernosti iz člena 52(1), točka (p) ali (q), </w:t>
            </w:r>
            <w:r>
              <w:rPr>
                <w:rFonts w:ascii="Times New Roman" w:hAnsi="Times New Roman"/>
                <w:sz w:val="24"/>
              </w:rPr>
              <w:t xml:space="preserve">Uredbe (EU) št. 575/2013 </w:t>
            </w:r>
            <w:r>
              <w:rPr>
                <w:rStyle w:val="InstructionsTabelleberschrift"/>
                <w:rFonts w:ascii="Times New Roman" w:hAnsi="Times New Roman"/>
                <w:b w:val="0"/>
                <w:sz w:val="24"/>
                <w:u w:val="none"/>
              </w:rPr>
              <w:t xml:space="preserve">ali člena 63, točka (n) ali (o) </w:t>
            </w:r>
            <w:r>
              <w:rPr>
                <w:rFonts w:ascii="Times New Roman" w:hAnsi="Times New Roman"/>
                <w:sz w:val="24"/>
              </w:rPr>
              <w:t>navedene uredbe</w:t>
            </w:r>
            <w:r>
              <w:rPr>
                <w:rStyle w:val="InstructionsTabelleberschrift"/>
                <w:rFonts w:ascii="Times New Roman" w:hAnsi="Times New Roman"/>
                <w:b w:val="0"/>
                <w:sz w:val="24"/>
                <w:u w:val="none"/>
              </w:rPr>
              <w:t>, kot je ustrezno.</w:t>
            </w:r>
          </w:p>
        </w:tc>
      </w:tr>
      <w:tr w:rsidR="00CC7D2C" w:rsidRPr="002A677E" w14:paraId="0FFFDE9A" w14:textId="77777777" w:rsidTr="00822842">
        <w:tc>
          <w:tcPr>
            <w:tcW w:w="1012" w:type="dxa"/>
          </w:tcPr>
          <w:p w14:paraId="75D3684D"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56EB50A3" w:rsidR="00CC7D2C" w:rsidRPr="002A677E" w:rsidRDefault="00CC7D2C" w:rsidP="00206A48">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Manjšinski deleži in ekvivalenti</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Člena 479 in 480 </w:t>
            </w:r>
            <w:r>
              <w:rPr>
                <w:rFonts w:ascii="Times New Roman" w:hAnsi="Times New Roman"/>
                <w:sz w:val="24"/>
              </w:rPr>
              <w:t>Uredbe (EU) št.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V tej vrstici so navedeni učinki prehodnih določb na manjšinske deleže, sprejemljive kot navaden lastniški temeljni kapital, kvalificirane instrumente temeljnega kapitala, sprejemljive kot konsolidirani dodatni temeljni kapital, in kvalificirani kapital, sprejemljiv kot konsolidirani dodatni kapital.</w:t>
            </w:r>
          </w:p>
        </w:tc>
      </w:tr>
      <w:tr w:rsidR="00CC7D2C" w:rsidRPr="002A677E" w14:paraId="5FFD2D4B" w14:textId="77777777" w:rsidTr="00822842">
        <w:tc>
          <w:tcPr>
            <w:tcW w:w="1012" w:type="dxa"/>
          </w:tcPr>
          <w:p w14:paraId="660B82A0"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685B44C1" w:rsidR="00CC7D2C" w:rsidRPr="002A677E" w:rsidRDefault="00CC7D2C" w:rsidP="00206A4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Kapitalski instrumenti in postavke, ki se ne štejejo za manjšinske deleže</w:t>
            </w:r>
          </w:p>
          <w:p w14:paraId="0C0141BB" w14:textId="77777777" w:rsidR="00CC7D2C" w:rsidRPr="002A677E" w:rsidRDefault="00CC7D2C" w:rsidP="00206A48">
            <w:pPr>
              <w:pStyle w:val="InstructionsText"/>
              <w:rPr>
                <w:rStyle w:val="InstructionsTabelleText"/>
                <w:rFonts w:ascii="Times New Roman" w:hAnsi="Times New Roman"/>
                <w:bCs/>
                <w:sz w:val="24"/>
              </w:rPr>
            </w:pPr>
            <w:r>
              <w:rPr>
                <w:rStyle w:val="InstructionsTabelleText"/>
                <w:rFonts w:ascii="Times New Roman" w:hAnsi="Times New Roman"/>
                <w:sz w:val="24"/>
              </w:rPr>
              <w:t>Člen 479</w:t>
            </w:r>
            <w:r>
              <w:t xml:space="preserve"> Uredbe (EU) št. 575/2013.</w:t>
            </w:r>
          </w:p>
          <w:p w14:paraId="27436818" w14:textId="77777777" w:rsidR="00CC7D2C" w:rsidRPr="002A677E" w:rsidRDefault="00CC7D2C" w:rsidP="00206A48">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Znesek, ki se poroča v stolpcu 060 te vrstice, je znesek, ki se uvrsti med konsolidacijske rezerve v skladu s prejšnjo zakonodajo. </w:t>
            </w:r>
          </w:p>
        </w:tc>
      </w:tr>
      <w:tr w:rsidR="00CC7D2C" w:rsidRPr="002A677E" w14:paraId="3F49ECF4" w14:textId="77777777" w:rsidTr="00822842">
        <w:tc>
          <w:tcPr>
            <w:tcW w:w="1012" w:type="dxa"/>
          </w:tcPr>
          <w:p w14:paraId="0EBF8884"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29E41B07"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Prehodno pripoznanje manjšinskih deležev v konsolidiranem kapitalu</w:t>
            </w:r>
          </w:p>
          <w:p w14:paraId="3BF8A481"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Člena 84 in 480 </w:t>
            </w:r>
            <w:r>
              <w:t>Uredbe (EU) št. 575/2013.</w:t>
            </w:r>
          </w:p>
          <w:p w14:paraId="4CCBBE22" w14:textId="77777777" w:rsidR="00CC7D2C" w:rsidRPr="002A677E" w:rsidRDefault="00CC7D2C" w:rsidP="00206A48">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0060 te vrstice, je sprejemljiv znesek brez prehodnih določb.</w:t>
            </w:r>
          </w:p>
        </w:tc>
      </w:tr>
      <w:tr w:rsidR="00CC7D2C" w:rsidRPr="002A677E" w14:paraId="7D7D8266" w14:textId="77777777" w:rsidTr="00822842">
        <w:tc>
          <w:tcPr>
            <w:tcW w:w="1012" w:type="dxa"/>
          </w:tcPr>
          <w:p w14:paraId="121414E0"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14:paraId="27718CC0" w14:textId="5E4761E5"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Prehodno pripoznanje kvalificiranega dodatnega temeljnega kapitala v konsolidiranem kapitalu</w:t>
            </w:r>
          </w:p>
          <w:p w14:paraId="4A315E24"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Člena 85 in 480 </w:t>
            </w:r>
            <w:r>
              <w:t>Uredbe (EU) št. 575/2013.</w:t>
            </w:r>
          </w:p>
          <w:p w14:paraId="62F5745A"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CC7D2C" w:rsidRPr="002A677E" w14:paraId="77DEC336" w14:textId="77777777" w:rsidTr="00822842">
        <w:tc>
          <w:tcPr>
            <w:tcW w:w="1012" w:type="dxa"/>
          </w:tcPr>
          <w:p w14:paraId="53007DDC"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47942A65"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1.2.</w:t>
            </w:r>
            <w:r w:rsidR="00206A48" w:rsidRPr="00206A48">
              <w:rPr>
                <w:rStyle w:val="InstructionsTabelleberschrift"/>
                <w:rFonts w:ascii="Times New Roman" w:hAnsi="Times New Roman"/>
                <w:sz w:val="24"/>
              </w:rPr>
              <w:t>4</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Prehodno pripoznanje kvalificiranega dodatnega kapitala v konsolidiranem kapitalu</w:t>
            </w:r>
          </w:p>
          <w:p w14:paraId="16966D71"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Člena 87 in 480 </w:t>
            </w:r>
            <w:r>
              <w:t>Uredbe (EU) št. 575/2013.</w:t>
            </w:r>
          </w:p>
          <w:p w14:paraId="23F1372F"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CC7D2C" w:rsidRPr="002A677E" w14:paraId="507B4FAC" w14:textId="77777777" w:rsidTr="00822842">
        <w:tc>
          <w:tcPr>
            <w:tcW w:w="1012" w:type="dxa"/>
          </w:tcPr>
          <w:p w14:paraId="37F3F736"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1717A018"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Druge prehodne prilagoditve</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Členi 468 do 478 in člen 481 </w:t>
            </w:r>
            <w:r>
              <w:rPr>
                <w:rFonts w:ascii="Times New Roman" w:hAnsi="Times New Roman"/>
                <w:sz w:val="24"/>
              </w:rPr>
              <w:t>Uredbe (EU) št.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prilagoditev odbitka od različnih vrst kapitala, nerealiziranih dobičkov in izgub, dodatnih filtrov in odbitkov ter tveganju prilagojenih zneskov, ki izhajajo iz teh prilagoditev.</w:t>
            </w:r>
          </w:p>
        </w:tc>
      </w:tr>
      <w:tr w:rsidR="00CC7D2C" w:rsidRPr="002A677E" w14:paraId="58AB5CC6" w14:textId="77777777" w:rsidTr="00822842">
        <w:tc>
          <w:tcPr>
            <w:tcW w:w="1012" w:type="dxa"/>
          </w:tcPr>
          <w:p w14:paraId="25AC6250" w14:textId="77777777" w:rsidR="00CC7D2C" w:rsidRPr="001235ED"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Nerealizirani dobički in izgube iz nekaterih dolžniških izpostavljenosti do enot centralne, regionalne in lokalne ravni držav ter subjektov javnega sektorja</w:t>
            </w:r>
          </w:p>
          <w:p w14:paraId="1495FA2D"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Text"/>
                <w:rFonts w:ascii="Times New Roman" w:hAnsi="Times New Roman"/>
                <w:sz w:val="24"/>
              </w:rPr>
              <w:t>Člen 468</w:t>
            </w:r>
            <w:r>
              <w:t xml:space="preserve"> Uredbe (EU) št. 575/2013.</w:t>
            </w:r>
          </w:p>
        </w:tc>
      </w:tr>
      <w:tr w:rsidR="00CC7D2C" w:rsidRPr="002A677E" w14:paraId="3788B8D6" w14:textId="77777777" w:rsidTr="00822842">
        <w:tc>
          <w:tcPr>
            <w:tcW w:w="1012" w:type="dxa"/>
          </w:tcPr>
          <w:p w14:paraId="4112FC42" w14:textId="77777777" w:rsidR="00CC7D2C" w:rsidRPr="001235ED"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od tega: znesek A</w:t>
            </w:r>
          </w:p>
          <w:p w14:paraId="73AFBA3D" w14:textId="77777777" w:rsidR="00CC7D2C" w:rsidRPr="002A677E" w:rsidRDefault="00CC7D2C" w:rsidP="00206A4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Znesek A, kot je izračunan v skladu s formulo iz člena 468(1) </w:t>
            </w:r>
            <w:r>
              <w:t>Uredbe (EU) št. 575/2013.</w:t>
            </w:r>
          </w:p>
        </w:tc>
      </w:tr>
      <w:tr w:rsidR="00CC7D2C" w:rsidRPr="002A677E" w14:paraId="124094E3" w14:textId="77777777" w:rsidTr="00822842">
        <w:tc>
          <w:tcPr>
            <w:tcW w:w="1012" w:type="dxa"/>
          </w:tcPr>
          <w:p w14:paraId="1327BB31"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6AFEDFB3"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Odbitki</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Člen 36(1) in členi 469 do 478 </w:t>
            </w:r>
            <w:r>
              <w:rPr>
                <w:rFonts w:ascii="Times New Roman" w:hAnsi="Times New Roman"/>
                <w:sz w:val="24"/>
              </w:rPr>
              <w:t>Uredbe (EU) št.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odbitke.</w:t>
            </w:r>
          </w:p>
        </w:tc>
      </w:tr>
      <w:tr w:rsidR="00CC7D2C" w:rsidRPr="002A677E" w14:paraId="3EA9AE2F" w14:textId="77777777" w:rsidTr="00822842">
        <w:tc>
          <w:tcPr>
            <w:tcW w:w="1012" w:type="dxa"/>
          </w:tcPr>
          <w:p w14:paraId="529C9651"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4E2E0940"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Odložene terjatve za davek, ki se nanašajo na prihodnji dobiček in ne izhajajo iz začasnih razlik</w:t>
            </w:r>
          </w:p>
          <w:p w14:paraId="08D3639D"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 36(1), točka (c), člena 469(1) in 472(5) in člen 478 </w:t>
            </w:r>
            <w:r>
              <w:t>Uredbe (EU) št. 575/2013.</w:t>
            </w:r>
          </w:p>
          <w:p w14:paraId="30A136AF"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Pri določanju zneska zgoraj navedenih odloženih terjatev za davek, ki se odbije, institucije upoštevajo določbe člena 38 </w:t>
            </w:r>
            <w:r>
              <w:t>Uredbe (EU) št. 575/2013</w:t>
            </w:r>
            <w:r>
              <w:rPr>
                <w:rStyle w:val="InstructionsTabelleText"/>
                <w:rFonts w:ascii="Times New Roman" w:hAnsi="Times New Roman"/>
                <w:sz w:val="24"/>
              </w:rPr>
              <w:t xml:space="preserve"> v zvezi z zmanjšanjem odloženih terjatev za davek za odložene obveznosti za davek.</w:t>
            </w:r>
          </w:p>
          <w:p w14:paraId="33BB9757"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Znesek, ki se poroča v stolpcu 0060 te vrstice: skupni znesek v skladu s členom 469(1) </w:t>
            </w:r>
            <w:r>
              <w:t>Uredbe (EU) št. 575/2013</w:t>
            </w:r>
            <w:r>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25B90B03"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206A48" w:rsidRPr="00206A48">
              <w:rPr>
                <w:rStyle w:val="InstructionsTabelleberschrift"/>
                <w:rFonts w:ascii="Times New Roman" w:hAnsi="Times New Roman"/>
                <w:sz w:val="24"/>
              </w:rPr>
              <w:t>9</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 xml:space="preserve">Odložene terjatve za davek, ki se nanašajo na prihodnji dobiček in izhajajo iz začasnih razlik, ter instrumenti navadnega </w:t>
            </w:r>
            <w:r>
              <w:rPr>
                <w:rStyle w:val="InstructionsTabelleberschrift"/>
                <w:rFonts w:ascii="Times New Roman" w:hAnsi="Times New Roman"/>
                <w:sz w:val="24"/>
              </w:rPr>
              <w:lastRenderedPageBreak/>
              <w:t>lastniškega temeljnega kapitala subjektov finančnega sektorja, v katerih ima institucija pomembno naložbo</w:t>
            </w:r>
          </w:p>
          <w:p w14:paraId="308D07D4"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Člen 470, odstavka 2 in 3, </w:t>
            </w:r>
            <w:r>
              <w:t>Uredbe (EU) št. 575/2013.</w:t>
            </w:r>
          </w:p>
          <w:p w14:paraId="2D7218B3"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Člen 470(1)</w:t>
            </w:r>
            <w:r>
              <w:t xml:space="preserve"> Uredbe (EU) št. 575/2013.</w:t>
            </w:r>
          </w:p>
        </w:tc>
      </w:tr>
      <w:tr w:rsidR="00CC7D2C" w:rsidRPr="002A677E" w14:paraId="07322B57" w14:textId="77777777" w:rsidTr="00822842">
        <w:tc>
          <w:tcPr>
            <w:tcW w:w="1012" w:type="dxa"/>
          </w:tcPr>
          <w:p w14:paraId="29C65FDD"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3A586672" w14:textId="77777777"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Odložene terjatve za davek, ki se nanašajo na prihodnji dobiček in izhajajo iz začasnih razlik</w:t>
            </w:r>
          </w:p>
          <w:p w14:paraId="6C5EEFFD" w14:textId="77777777" w:rsidR="00CC7D2C" w:rsidRPr="002A677E" w:rsidRDefault="00CC7D2C" w:rsidP="00206A48">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Člen 469(1), točka (c), člen 472(5) in člen 478 </w:t>
            </w:r>
            <w:r>
              <w:t>Uredbe (EU) št. 575/2013.</w:t>
            </w:r>
          </w:p>
          <w:p w14:paraId="1129AF2E"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 xml:space="preserve">Del odloženih terjatev za davek, ki se nanašajo na prihodnji dobiček in izhajajo iz začasnih razlik, ki presega prag 10 % iz člena 470(2), točka (a), </w:t>
            </w:r>
            <w:r>
              <w:t>Uredbe (EU) št. 575/2013</w:t>
            </w:r>
            <w:r>
              <w:rPr>
                <w:rStyle w:val="InstructionsTabelleText"/>
                <w:rFonts w:ascii="Times New Roman" w:hAnsi="Times New Roman"/>
                <w:sz w:val="24"/>
              </w:rPr>
              <w:t>.</w:t>
            </w:r>
          </w:p>
        </w:tc>
      </w:tr>
      <w:tr w:rsidR="00CC7D2C" w:rsidRPr="002A677E" w14:paraId="3AEB8FA0" w14:textId="77777777" w:rsidTr="00822842">
        <w:tc>
          <w:tcPr>
            <w:tcW w:w="1012" w:type="dxa"/>
          </w:tcPr>
          <w:p w14:paraId="2AB561DA"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3ACE67EC" w:rsidR="00CC7D2C" w:rsidRPr="002A677E" w:rsidRDefault="00CC7D2C" w:rsidP="00206A48">
            <w:pPr>
              <w:pStyle w:val="InstructionsText"/>
              <w:rPr>
                <w:rStyle w:val="InstructionsTabelleberschrift"/>
                <w:rFonts w:ascii="Times New Roman" w:hAnsi="Times New Roman"/>
                <w:sz w:val="24"/>
              </w:rPr>
            </w:pPr>
            <w:r>
              <w:rPr>
                <w:rStyle w:val="InstructionsTabelleberschrift"/>
                <w:rFonts w:ascii="Times New Roman" w:hAnsi="Times New Roman"/>
                <w:sz w:val="24"/>
              </w:rPr>
              <w:t>1.3.2.1</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Izvzetje iz odbitka deležev v lastniškem kapitalu zavarovalnic od postavk navadnega lastniškega temeljnega kapitala</w:t>
            </w:r>
          </w:p>
          <w:p w14:paraId="0B0E33F2" w14:textId="77777777" w:rsidR="00CC7D2C" w:rsidRPr="002A677E" w:rsidRDefault="00CC7D2C" w:rsidP="00206A4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471</w:t>
            </w:r>
            <w:r>
              <w:t xml:space="preserve"> Uredbe (EU) št. 575/2013.</w:t>
            </w:r>
          </w:p>
        </w:tc>
      </w:tr>
      <w:tr w:rsidR="00CC7D2C" w:rsidRPr="002A677E" w14:paraId="356893BD" w14:textId="77777777" w:rsidTr="00822842">
        <w:tc>
          <w:tcPr>
            <w:tcW w:w="1012" w:type="dxa"/>
          </w:tcPr>
          <w:p w14:paraId="79F1B640"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5BDBBB04" w:rsidR="00CC7D2C" w:rsidRPr="002A677E" w:rsidRDefault="00CC7D2C" w:rsidP="00206A48">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Dodatni filtri in odbitki</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Člen 481</w:t>
            </w:r>
            <w:r>
              <w:rPr>
                <w:rFonts w:ascii="Times New Roman" w:hAnsi="Times New Roman"/>
                <w:sz w:val="24"/>
              </w:rPr>
              <w:t xml:space="preserve"> Uredbe (EU) št. 575/2013.</w:t>
            </w:r>
          </w:p>
          <w:p w14:paraId="4D751914"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dodatne filtre in odbitke.</w:t>
            </w:r>
          </w:p>
          <w:p w14:paraId="204FEDF5" w14:textId="77777777" w:rsidR="00CC7D2C" w:rsidRPr="002A677E" w:rsidRDefault="00CC7D2C" w:rsidP="00206A48">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Institucije v skladu s členom 481 </w:t>
            </w:r>
            <w:r>
              <w:t>Uredbe (EU) št. 575/2013</w:t>
            </w:r>
            <w:r>
              <w:rPr>
                <w:rStyle w:val="InstructionsTabelleText"/>
                <w:rFonts w:ascii="Times New Roman" w:hAnsi="Times New Roman"/>
                <w:sz w:val="24"/>
              </w:rPr>
              <w:t xml:space="preserve"> v postavki 1.3.3 poročajo informacije v zvezi s filtri in odbitki, ki se zahtevajo v skladu z nacionalnimi ukrepi za prenos členov 57 in 66 Direktive 2006/48/ES ter členov 13 in 16 Direktive 2006/49/ES in se ne zahtevajo v skladu z delom 2. </w:t>
            </w:r>
          </w:p>
        </w:tc>
      </w:tr>
    </w:tbl>
    <w:p w14:paraId="0A071A2D" w14:textId="77777777" w:rsidR="00CC7D2C" w:rsidRPr="002A677E" w:rsidRDefault="00CC7D2C" w:rsidP="00CC7D2C">
      <w:pPr>
        <w:spacing w:after="0"/>
        <w:rPr>
          <w:rFonts w:ascii="Times New Roman" w:hAnsi="Times New Roman"/>
          <w:sz w:val="24"/>
        </w:rPr>
      </w:pPr>
    </w:p>
    <w:p w14:paraId="4D83F2F5" w14:textId="4F7E7C6E"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w:t>
      </w:r>
      <w:r w:rsidR="00206A48" w:rsidRPr="00F03758">
        <w:rPr>
          <w:u w:val="none"/>
        </w:rPr>
        <w:t>3</w:t>
      </w:r>
      <w:r w:rsidR="00206A48" w:rsidRPr="00F03758">
        <w:rPr>
          <w:u w:val="none"/>
        </w:rPr>
        <w:tab/>
      </w:r>
      <w:r>
        <w:t>C 05.02 – INSTRUMENTI, ZA KATERE SE UPORABLJAJO PREDHODNA PRAVILA: INSTRUMENTI, KI NE TVORIJO DRŽAVNE POMOČI (CA5.2)</w:t>
      </w:r>
      <w:bookmarkEnd w:id="63"/>
      <w:bookmarkEnd w:id="64"/>
      <w:bookmarkEnd w:id="65"/>
      <w:r>
        <w:rPr>
          <w:u w:val="none"/>
        </w:rPr>
        <w:t xml:space="preserve"> </w:t>
      </w:r>
      <w:bookmarkEnd w:id="66"/>
    </w:p>
    <w:p w14:paraId="5A0C8D33" w14:textId="77777777" w:rsidR="00CC7D2C" w:rsidRPr="002A677E" w:rsidRDefault="00CC7D2C" w:rsidP="00206A48">
      <w:pPr>
        <w:pStyle w:val="InstructionsText2"/>
      </w:pPr>
      <w:r>
        <w:fldChar w:fldCharType="begin"/>
      </w:r>
      <w:r>
        <w:instrText>seq paragraphs</w:instrText>
      </w:r>
      <w:r>
        <w:fldChar w:fldCharType="separate"/>
      </w:r>
      <w:r>
        <w:t>26</w:t>
      </w:r>
      <w:r>
        <w:fldChar w:fldCharType="end"/>
      </w:r>
      <w:r>
        <w:t>.</w:t>
      </w:r>
      <w:r>
        <w:tab/>
        <w:t>Institucije poročajo informacije v zvezi s prehodnimi določbami glede instrumentov, za katere se uporabljajo predhodna pravila in ki ne tvorijo državne pomoči (členi 484 do 491 Uredbe (EU) št. 575/2013).</w:t>
      </w:r>
    </w:p>
    <w:p w14:paraId="2E91C275" w14:textId="0C188580"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w:t>
      </w:r>
      <w:r w:rsidR="00206A48" w:rsidRPr="00F03758">
        <w:rPr>
          <w:u w:val="none"/>
        </w:rPr>
        <w:t>1</w:t>
      </w:r>
      <w:r w:rsidR="00206A48" w:rsidRPr="00F03758">
        <w:rPr>
          <w:u w:val="none"/>
        </w:rPr>
        <w:tab/>
      </w:r>
      <w:r>
        <w:t>Navodila za posamezne pozicije</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Stolpci</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Znesek instrumentov s povezanim vplačanim presežkom kapitala</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484, odstavki 3, 4 in 5, </w:t>
            </w:r>
            <w:r>
              <w:rPr>
                <w:rFonts w:ascii="Times New Roman" w:hAnsi="Times New Roman"/>
                <w:sz w:val="24"/>
              </w:rPr>
              <w:t>Uredbe (EU) št.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Instrumenti, ki so primerni oz. sprejemljivi za posamezne vrstice, vključno z njihovimi povezanimi vplačanimi presežki kapitala.</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Osnova za izračun omejitve</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486, odstavki 2, 3 in 4, </w:t>
            </w:r>
            <w:r>
              <w:rPr>
                <w:rFonts w:ascii="Times New Roman" w:hAnsi="Times New Roman"/>
                <w:sz w:val="24"/>
              </w:rPr>
              <w:t>Uredbe (EU) št.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Veljavni odstotek</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486(5)</w:t>
            </w:r>
            <w:r>
              <w:rPr>
                <w:rFonts w:ascii="Times New Roman" w:hAnsi="Times New Roman"/>
                <w:sz w:val="24"/>
              </w:rPr>
              <w:t xml:space="preserve"> Uredbe (EU) št.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Omejitev</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486, odstavki 2 do 5,</w:t>
            </w:r>
            <w:r>
              <w:rPr>
                <w:rFonts w:ascii="Times New Roman" w:hAnsi="Times New Roman"/>
                <w:sz w:val="24"/>
              </w:rPr>
              <w:t xml:space="preserve"> Uredbe (EU) št.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Znesek, ki presega omejitve glede uporabe predhodnih pravil</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486(2) do (5)</w:t>
            </w:r>
            <w:r>
              <w:rPr>
                <w:rFonts w:ascii="Times New Roman" w:hAnsi="Times New Roman"/>
                <w:sz w:val="24"/>
              </w:rPr>
              <w:t xml:space="preserve"> Uredbe (EU) št.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Skupni znesek z uporabo predhodnih pravil</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je enak zneskom, ki so poročani v ustreznih stolpcih v vrstici 060 predloge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Vrstice</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sidRPr="00F03758">
              <w:rPr>
                <w:u w:val="single"/>
              </w:rPr>
              <w:tab/>
            </w:r>
            <w:r>
              <w:rPr>
                <w:rStyle w:val="InstructionsTabelleberschrift"/>
                <w:rFonts w:ascii="Times New Roman" w:hAnsi="Times New Roman"/>
                <w:sz w:val="24"/>
              </w:rPr>
              <w:t>Instrumenti, ki izpolnjujejo pogoje za člen 57, točka (a), Direktive 2006/48/ES</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484(3)</w:t>
            </w:r>
            <w:r>
              <w:rPr>
                <w:rFonts w:ascii="Times New Roman" w:hAnsi="Times New Roman"/>
                <w:sz w:val="24"/>
              </w:rPr>
              <w:t xml:space="preserve"> Uredbe (EU) št.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Pr="00F03758">
              <w:rPr>
                <w:u w:val="single"/>
              </w:rPr>
              <w:tab/>
            </w:r>
            <w:r>
              <w:rPr>
                <w:rStyle w:val="InstructionsTabelleberschrift"/>
                <w:rFonts w:ascii="Times New Roman" w:hAnsi="Times New Roman"/>
                <w:sz w:val="24"/>
              </w:rPr>
              <w:t>Instrumenti, ki izpolnjujejo pogoje za člen 57, točka (ca), ter člen 154(8) in (9) Direktive 2006/48/ES, v okviru omejitve iz člena 489 Uredbe (EU) št.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484(4)</w:t>
            </w:r>
            <w:r>
              <w:rPr>
                <w:rFonts w:ascii="Times New Roman" w:hAnsi="Times New Roman"/>
                <w:sz w:val="24"/>
              </w:rPr>
              <w:t xml:space="preserve"> Uredbe (EU) št.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03F225C4"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Skupaj instrumenti brez odpoklica ali spodbude za odkup</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Člen 484(4) CRR in člen 489 </w:t>
            </w:r>
            <w:r>
              <w:rPr>
                <w:rFonts w:ascii="Times New Roman" w:hAnsi="Times New Roman"/>
                <w:sz w:val="24"/>
              </w:rPr>
              <w:t>Delegirane uredbe (EU) št.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3E8C8E3B" w14:textId="6FB38659"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za katere se uporabljajo predhodna pravila, z odpoklicem in spodbudo za odkup</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Člen 489</w:t>
            </w:r>
            <w:r>
              <w:rPr>
                <w:rFonts w:ascii="Times New Roman" w:hAnsi="Times New Roman"/>
                <w:sz w:val="24"/>
              </w:rPr>
              <w:t xml:space="preserve"> Uredbe (EU) št.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3182DC46"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z odpoklicem, ki ga je mogoče uveljavljati po datumu poročanja, pri čemer izpolnjujejo pogoje iz člena 52 Uredbe (EU) št. 575/2013 po datumu dejanske zapadlosti</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489(3) in člen 491, točka (a), </w:t>
            </w:r>
            <w:r>
              <w:rPr>
                <w:rFonts w:ascii="Times New Roman" w:hAnsi="Times New Roman"/>
                <w:sz w:val="24"/>
              </w:rPr>
              <w:t>Uredbe (EU) št.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120B881B"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z odpoklicem, ki ga je mogoče uveljavljati po datumu poročanja, pri čemer ne izpolnjujejo pogojev iz člena 52 Uredbe (EU) št. 575/2013 po datumu dejanske zapadlosti</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489(5) in člen 491, točka (a), </w:t>
            </w:r>
            <w:r>
              <w:rPr>
                <w:rFonts w:ascii="Times New Roman" w:hAnsi="Times New Roman"/>
                <w:sz w:val="24"/>
              </w:rPr>
              <w:t>Uredbe (EU) št.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1F8084D2"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Instrumenti z odpoklicem, ki ga je mogoče uveljavljati pred 20. julijem 2011 ali na ta datum, pri čemer ne izpolnjujejo pogojev iz člena 52 Uredbe (EU) št. 575/2013 po datumu dejanske zapadlosti</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489(6) in člen 491, točka (c), </w:t>
            </w:r>
            <w:r>
              <w:rPr>
                <w:rFonts w:ascii="Times New Roman" w:hAnsi="Times New Roman"/>
                <w:sz w:val="24"/>
              </w:rPr>
              <w:t>Uredbe (EU) št.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2243F042"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Preseganje omejitve instrumentov navadnega lastniškega temeljnega kapitala, za katere se uporabljajo predhodna pravila</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487(1)</w:t>
            </w:r>
            <w:r>
              <w:rPr>
                <w:rFonts w:ascii="Times New Roman" w:hAnsi="Times New Roman"/>
                <w:sz w:val="24"/>
              </w:rPr>
              <w:t xml:space="preserve"> Uredbe (EU) št.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Preseganje omejitve instrumentov navadnega lastniškega temeljnega kapitala, za katere se uporabljajo predhodna pravila, se lahko obravnava kot instrumenti, za katere se lahko uporabljajo predhodna pravila, tako kot za instrumente dodatnega temeljnega kapitala.</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sidRPr="00F03758">
              <w:rPr>
                <w:u w:val="single"/>
              </w:rPr>
              <w:tab/>
            </w:r>
            <w:r>
              <w:rPr>
                <w:rStyle w:val="InstructionsTabelleberschrift"/>
                <w:rFonts w:ascii="Times New Roman" w:hAnsi="Times New Roman"/>
                <w:sz w:val="24"/>
              </w:rPr>
              <w:t>Postavke, ki izpolnjujejo pogoje za člen 57, točka (e), (f), (g) ali (h), Direktive 2006/48/ES, v okviru omejitve iz člena 490 Uredbe (EU) št.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Člen 484(5)</w:t>
            </w:r>
            <w:r>
              <w:rPr>
                <w:rFonts w:ascii="Times New Roman" w:hAnsi="Times New Roman"/>
                <w:sz w:val="24"/>
              </w:rPr>
              <w:t xml:space="preserve"> Uredbe (EU) št.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05A58798" w14:textId="05B2AD44"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Skupaj postavke brez spodbude za odkup</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490</w:t>
            </w:r>
            <w:r>
              <w:rPr>
                <w:rFonts w:ascii="Times New Roman" w:hAnsi="Times New Roman"/>
                <w:sz w:val="24"/>
              </w:rPr>
              <w:t xml:space="preserve"> Uredbe (EU) št.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1521F47E"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Postavke, za katere se uporabljajo predhodna pravila, s spodbudo za odkup</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490</w:t>
            </w:r>
            <w:r>
              <w:rPr>
                <w:rFonts w:ascii="Times New Roman" w:hAnsi="Times New Roman"/>
                <w:sz w:val="24"/>
              </w:rPr>
              <w:t xml:space="preserve"> Uredbe (EU) št.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4D1A2C93"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sidR="00206A48" w:rsidRPr="00206A48">
              <w:rPr>
                <w:rStyle w:val="InstructionsTabelleberschrift"/>
                <w:rFonts w:ascii="Times New Roman" w:hAnsi="Times New Roman"/>
                <w:sz w:val="24"/>
              </w:rPr>
              <w:t>1</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Postavke z odpoklicem, ki ga je mogoče uveljavljati po datumu poročanja, pri čemer izpolnjujejo pogoje iz člena 63 Uredbe (EU) št. 575/2013 po datumu dejanske zapadlosti</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490(3) in člen 491, točka (a), </w:t>
            </w:r>
            <w:r>
              <w:rPr>
                <w:rFonts w:ascii="Times New Roman" w:hAnsi="Times New Roman"/>
                <w:sz w:val="24"/>
              </w:rPr>
              <w:t>Uredbe (EU) št.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5D2EDEC1"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w:t>
            </w:r>
            <w:r w:rsidR="00206A48" w:rsidRPr="00206A48">
              <w:rPr>
                <w:rStyle w:val="InstructionsTabelleberschrift"/>
                <w:rFonts w:ascii="Times New Roman" w:hAnsi="Times New Roman"/>
                <w:sz w:val="24"/>
              </w:rPr>
              <w:t>2</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Postavke z odpoklicem, ki ga je mogoče uveljavljati po datumu poročanja, pri čemer ne izpolnjujejo pogojev iz člena 63 Uredbe (EU) št. 575/2013 po datumu dejanske zapadlosti</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490(5) in člen 491, točka (a), </w:t>
            </w:r>
            <w:r>
              <w:rPr>
                <w:rFonts w:ascii="Times New Roman" w:hAnsi="Times New Roman"/>
                <w:sz w:val="24"/>
              </w:rPr>
              <w:t>Uredbe (EU) št.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6C27C01A"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Postavke z odpoklicem, ki ga je mogoče uveljavljati pred 20. julijem 2011 ali na ta datum, pri čemer ne izpolnjujejo pogojev iz člena 63 Uredbe (EU) št. 575/2013 po datumu dejanske zapadlosti</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Člen 490(6) in člen 491, točka (c), </w:t>
            </w:r>
            <w:r>
              <w:rPr>
                <w:rFonts w:ascii="Times New Roman" w:hAnsi="Times New Roman"/>
                <w:sz w:val="24"/>
              </w:rPr>
              <w:t>Uredbe (EU) št.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6989EE9"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w:t>
            </w:r>
            <w:r w:rsidR="00206A48" w:rsidRPr="00206A48">
              <w:rPr>
                <w:rStyle w:val="InstructionsTabelleberschrift"/>
                <w:rFonts w:ascii="Times New Roman" w:hAnsi="Times New Roman"/>
                <w:sz w:val="24"/>
              </w:rPr>
              <w:t>3</w:t>
            </w:r>
            <w:r w:rsidR="00206A48" w:rsidRPr="00206A48">
              <w:rPr>
                <w:rStyle w:val="InstructionsTabelleberschrift"/>
                <w:rFonts w:ascii="Times New Roman" w:hAnsi="Times New Roman"/>
                <w:sz w:val="24"/>
              </w:rPr>
              <w:tab/>
            </w:r>
            <w:r>
              <w:rPr>
                <w:rStyle w:val="InstructionsTabelleberschrift"/>
                <w:rFonts w:ascii="Times New Roman" w:hAnsi="Times New Roman"/>
                <w:sz w:val="24"/>
              </w:rPr>
              <w:t>Preseganje omejitve instrumentov dodatnega temeljnega kapitala, za katere se uporabljajo predhodna pravila</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Člen 487(2)</w:t>
            </w:r>
            <w:r>
              <w:rPr>
                <w:rFonts w:ascii="Times New Roman" w:hAnsi="Times New Roman"/>
                <w:sz w:val="24"/>
              </w:rPr>
              <w:t xml:space="preserve"> Uredbe (EU) št.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Preseganje omejitve instrumentov dodatnega temeljnega kapitala, za katere se uporabljajo predhodna pravila, se lahko obravnava kot instrumenti, za katere se lahko uporabljajo predhodna pravila, tako kot za instrumente dodatnega kapitala.</w:t>
            </w:r>
          </w:p>
        </w:tc>
      </w:tr>
    </w:tbl>
    <w:p w14:paraId="6B9B322A" w14:textId="77777777" w:rsidR="00E26A90" w:rsidRDefault="00E26A90"/>
    <w:p w14:paraId="5F847FCD" w14:textId="5E711959" w:rsidR="00CC7D2C" w:rsidRPr="00F03758" w:rsidRDefault="00F03758">
      <w:pPr>
        <w:rPr>
          <w:rFonts w:ascii="Times New Roman" w:hAnsi="Times New Roman"/>
        </w:rPr>
      </w:pPr>
      <w:r w:rsidRPr="00F03758">
        <w:rPr>
          <w:rFonts w:ascii="Times New Roman" w:hAnsi="Times New Roman"/>
        </w:rPr>
        <w:t>“</w:t>
      </w:r>
    </w:p>
    <w:sectPr w:rsidR="00CC7D2C" w:rsidRPr="00F03758">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Delegirana uredba Komisije (EU) št. 241/2014 z dne 7. januarja 2014 o dopolnitvi Uredbe (EU) št. 575/2013 Evropskega parlamenta in Sveta v zvezi z regulativnimi tehničnimi standardi glede kapitalskih zahtev za institucije (UL L 74, 14.3.2014, str.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CA7686"/>
    <w:multiLevelType w:val="hybridMultilevel"/>
    <w:tmpl w:val="96E8C4EC"/>
    <w:lvl w:ilvl="0" w:tplc="BB8A25A8">
      <w:start w:val="16"/>
      <w:numFmt w:val="decimal"/>
      <w:lvlText w:val="%1."/>
      <w:lvlJc w:val="left"/>
      <w:pPr>
        <w:ind w:left="393"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7"/>
  </w:num>
  <w:num w:numId="3" w16cid:durableId="286200695">
    <w:abstractNumId w:val="36"/>
  </w:num>
  <w:num w:numId="4" w16cid:durableId="487287975">
    <w:abstractNumId w:val="20"/>
  </w:num>
  <w:num w:numId="5" w16cid:durableId="1754350949">
    <w:abstractNumId w:val="30"/>
  </w:num>
  <w:num w:numId="6" w16cid:durableId="1507597667">
    <w:abstractNumId w:val="16"/>
  </w:num>
  <w:num w:numId="7" w16cid:durableId="139271283">
    <w:abstractNumId w:val="35"/>
  </w:num>
  <w:num w:numId="8" w16cid:durableId="763764270">
    <w:abstractNumId w:val="8"/>
  </w:num>
  <w:num w:numId="9" w16cid:durableId="1561986968">
    <w:abstractNumId w:val="28"/>
  </w:num>
  <w:num w:numId="10" w16cid:durableId="1349260748">
    <w:abstractNumId w:val="14"/>
  </w:num>
  <w:num w:numId="11" w16cid:durableId="1097991330">
    <w:abstractNumId w:val="22"/>
  </w:num>
  <w:num w:numId="12" w16cid:durableId="858469680">
    <w:abstractNumId w:val="9"/>
  </w:num>
  <w:num w:numId="13" w16cid:durableId="1485394352">
    <w:abstractNumId w:val="29"/>
  </w:num>
  <w:num w:numId="14" w16cid:durableId="881021889">
    <w:abstractNumId w:val="26"/>
  </w:num>
  <w:num w:numId="15" w16cid:durableId="1923681300">
    <w:abstractNumId w:val="12"/>
  </w:num>
  <w:num w:numId="16" w16cid:durableId="211188018">
    <w:abstractNumId w:val="21"/>
  </w:num>
  <w:num w:numId="17" w16cid:durableId="373817584">
    <w:abstractNumId w:val="11"/>
  </w:num>
  <w:num w:numId="18" w16cid:durableId="1615165847">
    <w:abstractNumId w:val="31"/>
  </w:num>
  <w:num w:numId="19" w16cid:durableId="429467310">
    <w:abstractNumId w:val="4"/>
  </w:num>
  <w:num w:numId="20" w16cid:durableId="1023021418">
    <w:abstractNumId w:val="13"/>
  </w:num>
  <w:num w:numId="21" w16cid:durableId="510485648">
    <w:abstractNumId w:val="19"/>
  </w:num>
  <w:num w:numId="22" w16cid:durableId="863594772">
    <w:abstractNumId w:val="25"/>
  </w:num>
  <w:num w:numId="23" w16cid:durableId="1184786628">
    <w:abstractNumId w:val="32"/>
  </w:num>
  <w:num w:numId="24" w16cid:durableId="156314703">
    <w:abstractNumId w:val="7"/>
  </w:num>
  <w:num w:numId="25" w16cid:durableId="1106079368">
    <w:abstractNumId w:val="17"/>
  </w:num>
  <w:num w:numId="26" w16cid:durableId="1353070508">
    <w:abstractNumId w:val="24"/>
  </w:num>
  <w:num w:numId="27" w16cid:durableId="70588701">
    <w:abstractNumId w:val="5"/>
  </w:num>
  <w:num w:numId="28" w16cid:durableId="1079792157">
    <w:abstractNumId w:val="18"/>
  </w:num>
  <w:num w:numId="29" w16cid:durableId="1333265662">
    <w:abstractNumId w:val="2"/>
  </w:num>
  <w:num w:numId="30" w16cid:durableId="737484550">
    <w:abstractNumId w:val="15"/>
  </w:num>
  <w:num w:numId="31" w16cid:durableId="309210531">
    <w:abstractNumId w:val="34"/>
  </w:num>
  <w:num w:numId="32" w16cid:durableId="166527561">
    <w:abstractNumId w:val="1"/>
  </w:num>
  <w:num w:numId="33" w16cid:durableId="1544101633">
    <w:abstractNumId w:val="33"/>
  </w:num>
  <w:num w:numId="34" w16cid:durableId="44380249">
    <w:abstractNumId w:val="23"/>
  </w:num>
  <w:num w:numId="35" w16cid:durableId="1838038624">
    <w:abstractNumId w:val="0"/>
  </w:num>
  <w:num w:numId="36" w16cid:durableId="1856265522">
    <w:abstractNumId w:val="10"/>
  </w:num>
  <w:num w:numId="37" w16cid:durableId="261912047">
    <w:abstractNumId w:val="12"/>
  </w:num>
  <w:num w:numId="38" w16cid:durableId="1955940470">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06A48"/>
    <w:rsid w:val="00224FE1"/>
    <w:rsid w:val="00287E31"/>
    <w:rsid w:val="002F0B1D"/>
    <w:rsid w:val="00320EFD"/>
    <w:rsid w:val="00320FF3"/>
    <w:rsid w:val="00345B4F"/>
    <w:rsid w:val="00390E63"/>
    <w:rsid w:val="003C36D5"/>
    <w:rsid w:val="003D5537"/>
    <w:rsid w:val="003D745D"/>
    <w:rsid w:val="00421644"/>
    <w:rsid w:val="00432B39"/>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AF0E1D"/>
    <w:rsid w:val="00B0254B"/>
    <w:rsid w:val="00B3752E"/>
    <w:rsid w:val="00B550EF"/>
    <w:rsid w:val="00B71F25"/>
    <w:rsid w:val="00B753FA"/>
    <w:rsid w:val="00C32586"/>
    <w:rsid w:val="00C850AF"/>
    <w:rsid w:val="00CC220A"/>
    <w:rsid w:val="00CC7D2C"/>
    <w:rsid w:val="00CD3273"/>
    <w:rsid w:val="00D1404A"/>
    <w:rsid w:val="00D15A2C"/>
    <w:rsid w:val="00D5131F"/>
    <w:rsid w:val="00DA32D5"/>
    <w:rsid w:val="00DD523D"/>
    <w:rsid w:val="00E14A9A"/>
    <w:rsid w:val="00E26A90"/>
    <w:rsid w:val="00EF07A1"/>
    <w:rsid w:val="00F03758"/>
    <w:rsid w:val="00F07734"/>
    <w:rsid w:val="00F6783D"/>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sl-SI"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06A48"/>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206A48"/>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spacing w:after="240"/>
      <w:ind w:left="0"/>
    </w:pPr>
  </w:style>
  <w:style w:type="character" w:customStyle="1" w:styleId="Instructionsberschrift3Char">
    <w:name w:val="Instructions Überschrift 3 Char"/>
    <w:locked/>
    <w:rsid w:val="00CC7D2C"/>
    <w:rPr>
      <w:rFonts w:ascii="Verdana" w:hAnsi="Verdana" w:cs="Arial"/>
      <w:b/>
      <w:bCs/>
      <w:sz w:val="26"/>
      <w:szCs w:val="26"/>
      <w:u w:val="single"/>
      <w:lang w:val="sl-SI"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A084DB-8CB8-49E0-A3D0-559E216CAC59}"/>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65</Pages>
  <Words>20606</Words>
  <Characters>118279</Characters>
  <Application>Microsoft Office Word</Application>
  <DocSecurity>0</DocSecurity>
  <Lines>3032</Lines>
  <Paragraphs>1928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2025-01-22T14:48:02Z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d8499b86-3e04-481c-b37e-5dd2e7d14024</vt:lpwstr>
  </property>
  <property fmtid="{D5CDD505-2E9C-101B-9397-08002B2CF9AE}" pid="10" name="MSIP_Label_6bd9ddd1-4d20-43f6-abfa-fc3c07406f94_ContentBits">
    <vt:lpwstr>0</vt:lpwstr>
  </property>
</Properties>
</file>