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Pr="0030568A" w:rsidRDefault="00771EE5" w:rsidP="00771EE5">
      <w:pPr>
        <w:jc w:val="center"/>
        <w:rPr>
          <w:rFonts w:ascii="Times New Roman" w:hAnsi="Times New Roman"/>
          <w:sz w:val="24"/>
          <w:szCs w:val="22"/>
        </w:rPr>
      </w:pPr>
      <w:r w:rsidRPr="0030568A">
        <w:rPr>
          <w:rFonts w:ascii="Times New Roman" w:hAnsi="Times New Roman"/>
          <w:sz w:val="24"/>
        </w:rPr>
        <w:t>IT</w:t>
      </w:r>
    </w:p>
    <w:p w14:paraId="22FD1957" w14:textId="77777777" w:rsidR="00441DF2" w:rsidRPr="0030568A" w:rsidRDefault="00441DF2" w:rsidP="00771EE5">
      <w:pPr>
        <w:rPr>
          <w:rFonts w:ascii="Times New Roman" w:hAnsi="Times New Roman"/>
          <w:sz w:val="24"/>
        </w:rPr>
      </w:pPr>
    </w:p>
    <w:p w14:paraId="62C1E171" w14:textId="77777777" w:rsidR="00441DF2" w:rsidRPr="0030568A" w:rsidRDefault="00441DF2" w:rsidP="00441DF2">
      <w:pPr>
        <w:jc w:val="center"/>
        <w:rPr>
          <w:rFonts w:ascii="Times New Roman" w:hAnsi="Times New Roman"/>
          <w:sz w:val="24"/>
        </w:rPr>
      </w:pPr>
      <w:r w:rsidRPr="0030568A">
        <w:rPr>
          <w:rFonts w:ascii="Times New Roman" w:hAnsi="Times New Roman"/>
          <w:sz w:val="24"/>
        </w:rPr>
        <w:t>ALLEGATO II</w:t>
      </w:r>
    </w:p>
    <w:p w14:paraId="42F286CA" w14:textId="16A34E67" w:rsidR="00441DF2" w:rsidRPr="0030568A" w:rsidRDefault="0030568A" w:rsidP="00441DF2">
      <w:pPr>
        <w:jc w:val="center"/>
        <w:rPr>
          <w:rFonts w:ascii="Times New Roman" w:hAnsi="Times New Roman"/>
          <w:sz w:val="24"/>
        </w:rPr>
      </w:pPr>
      <w:r w:rsidRPr="0030568A">
        <w:rPr>
          <w:rFonts w:ascii="Times New Roman" w:hAnsi="Times New Roman"/>
          <w:sz w:val="24"/>
        </w:rPr>
        <w:t>"</w:t>
      </w:r>
      <w:r w:rsidR="00441DF2" w:rsidRPr="0030568A">
        <w:rPr>
          <w:rFonts w:ascii="Times New Roman" w:hAnsi="Times New Roman"/>
          <w:sz w:val="24"/>
        </w:rPr>
        <w:t>ALLEGATO II</w:t>
      </w:r>
    </w:p>
    <w:p w14:paraId="6D29CBF2" w14:textId="12A2F995" w:rsidR="00441DF2" w:rsidRPr="0030568A" w:rsidRDefault="00441DF2" w:rsidP="00441DF2">
      <w:pPr>
        <w:jc w:val="center"/>
        <w:rPr>
          <w:rFonts w:ascii="Times New Roman" w:hAnsi="Times New Roman"/>
          <w:b/>
          <w:sz w:val="24"/>
        </w:rPr>
      </w:pPr>
      <w:r w:rsidRPr="0030568A">
        <w:rPr>
          <w:rFonts w:ascii="Times New Roman" w:hAnsi="Times New Roman"/>
          <w:b/>
          <w:sz w:val="24"/>
        </w:rPr>
        <w:t>ISTRUZIONI PER LE SEGNALAZIONI RIGUARDANTI I FONDI PROPRI E I</w:t>
      </w:r>
      <w:r w:rsidR="0030568A" w:rsidRPr="0030568A">
        <w:rPr>
          <w:rFonts w:ascii="Times New Roman" w:hAnsi="Times New Roman"/>
          <w:b/>
          <w:sz w:val="24"/>
        </w:rPr>
        <w:t> </w:t>
      </w:r>
      <w:r w:rsidRPr="0030568A">
        <w:rPr>
          <w:rFonts w:ascii="Times New Roman" w:hAnsi="Times New Roman"/>
          <w:b/>
          <w:sz w:val="24"/>
        </w:rPr>
        <w:t>REQUISITI DI FONDI PROPRI</w:t>
      </w:r>
    </w:p>
    <w:p w14:paraId="7781F793" w14:textId="77777777" w:rsidR="00441DF2" w:rsidRPr="0030568A" w:rsidRDefault="00441DF2" w:rsidP="00441DF2">
      <w:pPr>
        <w:jc w:val="center"/>
        <w:rPr>
          <w:rFonts w:ascii="Times New Roman" w:hAnsi="Times New Roman"/>
          <w:b/>
          <w:sz w:val="24"/>
          <w:lang w:eastAsia="de-DE"/>
        </w:rPr>
      </w:pPr>
    </w:p>
    <w:p w14:paraId="5003BB90" w14:textId="77777777" w:rsidR="00441DF2" w:rsidRPr="0030568A" w:rsidRDefault="00441DF2" w:rsidP="00441DF2">
      <w:pPr>
        <w:rPr>
          <w:rFonts w:ascii="Times New Roman" w:hAnsi="Times New Roman"/>
          <w:sz w:val="24"/>
        </w:rPr>
      </w:pPr>
    </w:p>
    <w:p w14:paraId="3A3F5236" w14:textId="77777777" w:rsidR="00441DF2" w:rsidRPr="0030568A"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30568A">
        <w:rPr>
          <w:rFonts w:ascii="Times New Roman" w:hAnsi="Times New Roman"/>
          <w:b/>
          <w:color w:val="000000" w:themeColor="text1"/>
          <w:sz w:val="24"/>
          <w:u w:val="single"/>
        </w:rPr>
        <w:t>PARTE II: ISTRUZIONI RELATIVE AI MODELLI</w:t>
      </w:r>
      <w:bookmarkEnd w:id="0"/>
      <w:bookmarkEnd w:id="1"/>
      <w:bookmarkEnd w:id="2"/>
    </w:p>
    <w:p w14:paraId="2A41C5B9" w14:textId="77777777" w:rsidR="00441DF2" w:rsidRPr="0030568A" w:rsidRDefault="00441DF2" w:rsidP="00441DF2">
      <w:pPr>
        <w:rPr>
          <w:lang w:eastAsia="x-none"/>
        </w:rPr>
      </w:pPr>
    </w:p>
    <w:p w14:paraId="783AFAE2" w14:textId="29BB9ADF" w:rsidR="00EE75F2" w:rsidRPr="0030568A" w:rsidRDefault="00441DF2">
      <w:r w:rsidRPr="0030568A">
        <w:t>(…)</w:t>
      </w:r>
    </w:p>
    <w:p w14:paraId="0FC12B51" w14:textId="77777777" w:rsidR="006063BD" w:rsidRPr="0030568A"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sidRPr="0030568A">
        <w:rPr>
          <w:rFonts w:ascii="Times New Roman" w:hAnsi="Times New Roman"/>
          <w:sz w:val="24"/>
          <w:u w:val="none"/>
        </w:rPr>
        <w:t>3.5.</w:t>
      </w:r>
      <w:r w:rsidRPr="0030568A">
        <w:rPr>
          <w:u w:val="none"/>
        </w:rPr>
        <w:tab/>
      </w:r>
      <w:r w:rsidRPr="0030568A">
        <w:rPr>
          <w:rFonts w:ascii="Times New Roman" w:hAnsi="Times New Roman"/>
          <w:sz w:val="24"/>
        </w:rPr>
        <w:t>C 10.01 e C 10.02 — Esposizioni in strumenti di capitale in base al metodo IRB (CR EQU IRB 1 e CR EQU IRB 2)</w:t>
      </w:r>
      <w:bookmarkEnd w:id="3"/>
    </w:p>
    <w:p w14:paraId="00A76F16" w14:textId="77777777" w:rsidR="006063BD" w:rsidRPr="0030568A" w:rsidRDefault="006063BD" w:rsidP="006063BD">
      <w:pPr>
        <w:pStyle w:val="Instructionsberschrift2"/>
        <w:numPr>
          <w:ilvl w:val="0"/>
          <w:numId w:val="0"/>
        </w:numPr>
        <w:rPr>
          <w:rFonts w:ascii="Times New Roman" w:hAnsi="Times New Roman" w:cs="Times New Roman"/>
          <w:sz w:val="24"/>
        </w:rPr>
      </w:pPr>
      <w:bookmarkStart w:id="4" w:name="_Toc151714428"/>
      <w:r w:rsidRPr="0030568A">
        <w:rPr>
          <w:rFonts w:ascii="Times New Roman" w:hAnsi="Times New Roman"/>
          <w:sz w:val="24"/>
        </w:rPr>
        <w:t>3.5.1.</w:t>
      </w:r>
      <w:r w:rsidRPr="0030568A">
        <w:tab/>
      </w:r>
      <w:r w:rsidRPr="0030568A">
        <w:rPr>
          <w:rFonts w:ascii="Times New Roman" w:hAnsi="Times New Roman"/>
          <w:sz w:val="24"/>
        </w:rPr>
        <w:t>Osservazioni di carattere generale</w:t>
      </w:r>
      <w:bookmarkEnd w:id="4"/>
    </w:p>
    <w:p w14:paraId="325D5C5C" w14:textId="725092B5" w:rsidR="006063BD" w:rsidRPr="0030568A" w:rsidRDefault="006063BD" w:rsidP="006063BD">
      <w:pPr>
        <w:pStyle w:val="InstructionsText2"/>
        <w:numPr>
          <w:ilvl w:val="0"/>
          <w:numId w:val="0"/>
        </w:numPr>
        <w:ind w:left="993"/>
      </w:pPr>
      <w:r w:rsidRPr="0030568A">
        <w:t>92. Il modello CR EQU IRB consta di due modelli: il modello CR EQU IRB 1, che offre un quadro generale delle esposizioni cui è applicato il metodo IRB della classe di esposizioni in strumenti di capitale e dei differenti metodi di calcolo degli importi complessivi dell</w:t>
      </w:r>
      <w:r w:rsidR="0030568A" w:rsidRPr="0030568A">
        <w:t>'</w:t>
      </w:r>
      <w:r w:rsidRPr="0030568A">
        <w:t xml:space="preserve">esposizione al rischio, e il modello CR EQU IRB 2, che espone la ripartizione delle esposizioni totali assegnate alle classi di debitori secondo il metodo PD/LGD. Nelle seguenti istruzioni, il termine </w:t>
      </w:r>
      <w:r w:rsidR="0030568A" w:rsidRPr="0030568A">
        <w:t>"</w:t>
      </w:r>
      <w:r w:rsidRPr="0030568A">
        <w:t>CR EQU IRB</w:t>
      </w:r>
      <w:r w:rsidR="0030568A" w:rsidRPr="0030568A">
        <w:t>"</w:t>
      </w:r>
      <w:r w:rsidRPr="0030568A">
        <w:t xml:space="preserve"> si riferisce sia al modello CR EQU IRB 1 che al modello CR EQU IRB 2, in funzione della loro applicabilità.</w:t>
      </w:r>
    </w:p>
    <w:p w14:paraId="42AD0632" w14:textId="628582B8" w:rsidR="006063BD" w:rsidRPr="0030568A" w:rsidRDefault="006063BD" w:rsidP="006063BD">
      <w:pPr>
        <w:pStyle w:val="InstructionsText2"/>
        <w:numPr>
          <w:ilvl w:val="0"/>
          <w:numId w:val="0"/>
        </w:numPr>
        <w:ind w:left="993"/>
      </w:pPr>
      <w:r w:rsidRPr="0030568A">
        <w:fldChar w:fldCharType="begin"/>
      </w:r>
      <w:r w:rsidRPr="0030568A">
        <w:instrText>seq paragraphs</w:instrText>
      </w:r>
      <w:r w:rsidRPr="0030568A">
        <w:fldChar w:fldCharType="separate"/>
      </w:r>
      <w:r w:rsidR="0030568A" w:rsidRPr="0030568A">
        <w:t>1</w:t>
      </w:r>
      <w:r w:rsidRPr="0030568A">
        <w:fldChar w:fldCharType="end"/>
      </w:r>
      <w:r w:rsidRPr="0030568A">
        <w:t>.</w:t>
      </w:r>
      <w:r w:rsidRPr="0030568A">
        <w:tab/>
        <w:t xml:space="preserve">Il modello CR EQU IRB fornisce informazioni sul calcolo degli importi delle esposizioni ponderati per il rischio di credito (articolo 92, paragrafo 4, lettera a), del regolamento (UE) </w:t>
      </w:r>
      <w:r w:rsidR="0030568A" w:rsidRPr="0030568A">
        <w:t>n. </w:t>
      </w:r>
      <w:r w:rsidRPr="0030568A">
        <w:t>575/2013), per le esposizioni soggette all</w:t>
      </w:r>
      <w:r w:rsidR="0030568A" w:rsidRPr="0030568A">
        <w:t>'</w:t>
      </w:r>
      <w:r w:rsidRPr="0030568A">
        <w:t xml:space="preserve">articolo 495, paragrafo 1, lettera b), del regolamento (UE) </w:t>
      </w:r>
      <w:r w:rsidR="0030568A" w:rsidRPr="0030568A">
        <w:t>n. </w:t>
      </w:r>
      <w:r w:rsidRPr="0030568A">
        <w:t xml:space="preserve">575/2013, trattate conformemente alla parte tre, titolo II, capo 3, del regolamento (UE) </w:t>
      </w:r>
      <w:r w:rsidR="0030568A" w:rsidRPr="0030568A">
        <w:t>n. </w:t>
      </w:r>
      <w:r w:rsidRPr="0030568A">
        <w:t>575/2013 per le esposizioni in strumenti di capitale di cui all</w:t>
      </w:r>
      <w:r w:rsidR="0030568A" w:rsidRPr="0030568A">
        <w:t>'</w:t>
      </w:r>
      <w:r w:rsidRPr="0030568A">
        <w:t>articolo 147, paragrafo 2, lettera e), di tale regolamento. Le esposizioni in strumenti di capitale soggette all</w:t>
      </w:r>
      <w:r w:rsidR="0030568A" w:rsidRPr="0030568A">
        <w:t>'</w:t>
      </w:r>
      <w:r w:rsidRPr="0030568A">
        <w:t>articolo 495, paragrafo 1, lettera a), e all</w:t>
      </w:r>
      <w:r w:rsidR="0030568A" w:rsidRPr="0030568A">
        <w:t>'</w:t>
      </w:r>
      <w:r w:rsidRPr="0030568A">
        <w:t>articolo</w:t>
      </w:r>
      <w:r w:rsidR="0030568A" w:rsidRPr="0030568A">
        <w:t> </w:t>
      </w:r>
      <w:r w:rsidRPr="0030568A">
        <w:t>495, paragrafo</w:t>
      </w:r>
      <w:r w:rsidR="0030568A" w:rsidRPr="0030568A">
        <w:t> </w:t>
      </w:r>
      <w:r w:rsidRPr="0030568A">
        <w:t xml:space="preserve">2, del regolamento (UE) </w:t>
      </w:r>
      <w:r w:rsidR="0030568A" w:rsidRPr="0030568A">
        <w:t>n. </w:t>
      </w:r>
      <w:r w:rsidRPr="0030568A">
        <w:t>575/2013 sono segnalate nel modello CR SA (C 07.00). Anche le esposizioni in strumenti di capitale soggette all</w:t>
      </w:r>
      <w:r w:rsidR="0030568A" w:rsidRPr="0030568A">
        <w:t>'</w:t>
      </w:r>
      <w:r w:rsidRPr="0030568A">
        <w:t xml:space="preserve">articolo 495 bis, paragrafo 3, del regolamento (UE) </w:t>
      </w:r>
      <w:r w:rsidR="0030568A" w:rsidRPr="0030568A">
        <w:t>n. </w:t>
      </w:r>
      <w:r w:rsidRPr="0030568A">
        <w:t>575/2013 sono segnalate nel modello CR SA (C 07.00).</w:t>
      </w:r>
    </w:p>
    <w:p w14:paraId="02D38A2A" w14:textId="62D9572D" w:rsidR="006063BD" w:rsidRPr="0030568A" w:rsidRDefault="006063BD" w:rsidP="006063BD">
      <w:pPr>
        <w:pStyle w:val="InstructionsText2"/>
        <w:numPr>
          <w:ilvl w:val="0"/>
          <w:numId w:val="0"/>
        </w:numPr>
        <w:ind w:left="993"/>
      </w:pPr>
      <w:r w:rsidRPr="0030568A">
        <w:fldChar w:fldCharType="begin"/>
      </w:r>
      <w:r w:rsidRPr="0030568A">
        <w:instrText>seq paragraphs</w:instrText>
      </w:r>
      <w:r w:rsidRPr="0030568A">
        <w:fldChar w:fldCharType="separate"/>
      </w:r>
      <w:r w:rsidR="0030568A" w:rsidRPr="0030568A">
        <w:t>2</w:t>
      </w:r>
      <w:r w:rsidRPr="0030568A">
        <w:fldChar w:fldCharType="end"/>
      </w:r>
      <w:r w:rsidRPr="0030568A">
        <w:t>.</w:t>
      </w:r>
      <w:r w:rsidRPr="0030568A">
        <w:tab/>
        <w:t>Conformemente all</w:t>
      </w:r>
      <w:r w:rsidR="0030568A" w:rsidRPr="0030568A">
        <w:t>'</w:t>
      </w:r>
      <w:r w:rsidRPr="0030568A">
        <w:t>articolo</w:t>
      </w:r>
      <w:r w:rsidR="0030568A" w:rsidRPr="0030568A">
        <w:t> </w:t>
      </w:r>
      <w:r w:rsidRPr="0030568A">
        <w:t>147, paragrafo</w:t>
      </w:r>
      <w:r w:rsidR="0030568A" w:rsidRPr="0030568A">
        <w:t> </w:t>
      </w:r>
      <w:r w:rsidRPr="0030568A">
        <w:t xml:space="preserve">6, del regolamento (UE) </w:t>
      </w:r>
      <w:r w:rsidR="0030568A" w:rsidRPr="0030568A">
        <w:t>n. </w:t>
      </w:r>
      <w:r w:rsidRPr="0030568A">
        <w:t>575/2013, le esposizioni di cui all</w:t>
      </w:r>
      <w:r w:rsidR="0030568A" w:rsidRPr="0030568A">
        <w:t>'</w:t>
      </w:r>
      <w:r w:rsidRPr="0030568A">
        <w:t xml:space="preserve">articolo 133, paragrafo 1, del regolamento (UE) </w:t>
      </w:r>
      <w:r w:rsidR="0030568A" w:rsidRPr="0030568A">
        <w:t>n. </w:t>
      </w:r>
      <w:r w:rsidRPr="0030568A">
        <w:t xml:space="preserve">575/2013 sono assegnate alla classe di esposizioni </w:t>
      </w:r>
      <w:r w:rsidR="0030568A" w:rsidRPr="0030568A">
        <w:t>"</w:t>
      </w:r>
      <w:r w:rsidRPr="0030568A">
        <w:t>Esposizioni in strumenti di capitale</w:t>
      </w:r>
      <w:r w:rsidR="0030568A" w:rsidRPr="0030568A">
        <w:t>"</w:t>
      </w:r>
      <w:r w:rsidRPr="0030568A">
        <w:t xml:space="preserve">, a meno che non siano assegnate alla classe di esposizioni </w:t>
      </w:r>
      <w:r w:rsidR="0030568A" w:rsidRPr="0030568A">
        <w:t>"</w:t>
      </w:r>
      <w:r w:rsidRPr="0030568A">
        <w:t>Esposizioni sotto forma di quote o di azioni in OIC</w:t>
      </w:r>
      <w:r w:rsidR="0030568A" w:rsidRPr="0030568A">
        <w:t>"</w:t>
      </w:r>
      <w:r w:rsidRPr="0030568A">
        <w:t>.</w:t>
      </w:r>
    </w:p>
    <w:p w14:paraId="520150D0" w14:textId="562F3843" w:rsidR="006063BD" w:rsidRPr="0030568A" w:rsidRDefault="006063BD" w:rsidP="006063BD">
      <w:pPr>
        <w:pStyle w:val="InstructionsText2"/>
        <w:numPr>
          <w:ilvl w:val="0"/>
          <w:numId w:val="0"/>
        </w:numPr>
        <w:ind w:left="993"/>
      </w:pPr>
      <w:r w:rsidRPr="0030568A">
        <w:fldChar w:fldCharType="begin"/>
      </w:r>
      <w:r w:rsidRPr="0030568A">
        <w:instrText>seq paragraphs</w:instrText>
      </w:r>
      <w:r w:rsidRPr="0030568A">
        <w:fldChar w:fldCharType="separate"/>
      </w:r>
      <w:r w:rsidR="0030568A" w:rsidRPr="0030568A">
        <w:t>3</w:t>
      </w:r>
      <w:r w:rsidRPr="0030568A">
        <w:fldChar w:fldCharType="end"/>
      </w:r>
      <w:r w:rsidRPr="0030568A">
        <w:t>.</w:t>
      </w:r>
      <w:r w:rsidRPr="0030568A">
        <w:tab/>
        <w:t>[Eliminato]</w:t>
      </w:r>
    </w:p>
    <w:p w14:paraId="178611EC" w14:textId="2898F785" w:rsidR="006063BD" w:rsidRPr="0030568A" w:rsidRDefault="006063BD" w:rsidP="006063BD">
      <w:pPr>
        <w:pStyle w:val="InstructionsText2"/>
        <w:numPr>
          <w:ilvl w:val="0"/>
          <w:numId w:val="0"/>
        </w:numPr>
        <w:ind w:left="993"/>
      </w:pPr>
      <w:r w:rsidRPr="0030568A">
        <w:lastRenderedPageBreak/>
        <w:fldChar w:fldCharType="begin"/>
      </w:r>
      <w:r w:rsidRPr="0030568A">
        <w:instrText>seq paragraphs</w:instrText>
      </w:r>
      <w:r w:rsidRPr="0030568A">
        <w:fldChar w:fldCharType="separate"/>
      </w:r>
      <w:r w:rsidR="0030568A" w:rsidRPr="0030568A">
        <w:t>4</w:t>
      </w:r>
      <w:r w:rsidRPr="0030568A">
        <w:fldChar w:fldCharType="end"/>
      </w:r>
      <w:r w:rsidRPr="0030568A">
        <w:t>.</w:t>
      </w:r>
      <w:r w:rsidRPr="0030568A">
        <w:tab/>
        <w:t>Conformemente all</w:t>
      </w:r>
      <w:r w:rsidR="0030568A" w:rsidRPr="0030568A">
        <w:t>'</w:t>
      </w:r>
      <w:r w:rsidRPr="0030568A">
        <w:t xml:space="preserve">articolo 495, paragrafo 1, lettera b), del regolamento (UE) </w:t>
      </w:r>
      <w:r w:rsidR="0030568A" w:rsidRPr="0030568A">
        <w:t>n. </w:t>
      </w:r>
      <w:r w:rsidRPr="0030568A">
        <w:t xml:space="preserve">575/2013, gli enti forniscono il modello CR EQU IRB quando applicano uno dei tre metodi: </w:t>
      </w:r>
    </w:p>
    <w:p w14:paraId="0D6A3825" w14:textId="77777777" w:rsidR="006063BD" w:rsidRPr="0030568A" w:rsidRDefault="006063BD" w:rsidP="006063BD">
      <w:pPr>
        <w:pStyle w:val="InstructionsText"/>
      </w:pPr>
      <w:r w:rsidRPr="0030568A">
        <w:t>- metodo della ponderazione semplice;</w:t>
      </w:r>
    </w:p>
    <w:p w14:paraId="3EF899C4" w14:textId="77777777" w:rsidR="006063BD" w:rsidRPr="0030568A" w:rsidRDefault="006063BD" w:rsidP="006063BD">
      <w:pPr>
        <w:pStyle w:val="InstructionsText"/>
      </w:pPr>
      <w:r w:rsidRPr="0030568A">
        <w:t>- metodo PD/LGD;</w:t>
      </w:r>
    </w:p>
    <w:p w14:paraId="622FC220" w14:textId="77777777" w:rsidR="006063BD" w:rsidRPr="0030568A" w:rsidRDefault="006063BD" w:rsidP="006063BD">
      <w:pPr>
        <w:pStyle w:val="InstructionsText"/>
      </w:pPr>
      <w:r w:rsidRPr="0030568A">
        <w:t>- metodo dei modelli interni.</w:t>
      </w:r>
    </w:p>
    <w:p w14:paraId="5D37423B" w14:textId="005EBF61" w:rsidR="006063BD" w:rsidRPr="0030568A" w:rsidRDefault="006063BD" w:rsidP="006063BD">
      <w:pPr>
        <w:pStyle w:val="InstructionsText2"/>
        <w:numPr>
          <w:ilvl w:val="0"/>
          <w:numId w:val="0"/>
        </w:numPr>
        <w:ind w:left="1353"/>
      </w:pPr>
      <w:r w:rsidRPr="0030568A">
        <w:t>Conformemente all</w:t>
      </w:r>
      <w:r w:rsidR="0030568A" w:rsidRPr="0030568A">
        <w:t>'</w:t>
      </w:r>
      <w:r w:rsidRPr="0030568A">
        <w:t xml:space="preserve">articolo 495, paragrafo 1, lettera b), del regolamento (UE) </w:t>
      </w:r>
      <w:r w:rsidR="0030568A" w:rsidRPr="0030568A">
        <w:t>n. </w:t>
      </w:r>
      <w:r w:rsidRPr="0030568A">
        <w:t>575/2013, gli enti possono applicare metodi diversi (metodo della ponderazione semplice, metodo PD/LGD o metodo dei modelli interni) a portafogli diversi se utilizzano tali metodi differenti a livello interno.</w:t>
      </w:r>
    </w:p>
    <w:p w14:paraId="2BF4ADE6" w14:textId="3A3FC4FA" w:rsidR="006063BD" w:rsidRPr="0030568A" w:rsidRDefault="006063BD" w:rsidP="006063BD">
      <w:pPr>
        <w:pStyle w:val="InstructionsText2"/>
        <w:numPr>
          <w:ilvl w:val="0"/>
          <w:numId w:val="0"/>
        </w:numPr>
        <w:ind w:left="1353"/>
      </w:pPr>
      <w:r w:rsidRPr="0030568A">
        <w:t>Inoltre, gli enti che applicano il metodo IRB segnalano nel modello CR EQU IRB anche gli importi ponderati per il rischio delle esposizioni in strumenti di capitale cui si applica un trattamento fisso di ponderazione del rischio (senza tuttavia essere trattate esplicitamente secondo il metodo della ponderazione semplice o senza l</w:t>
      </w:r>
      <w:r w:rsidR="0030568A" w:rsidRPr="0030568A">
        <w:t>'</w:t>
      </w:r>
      <w:r w:rsidRPr="0030568A">
        <w:t>applicazione parziale, in via temporanea o permanente, del metodo standardizzato per il rischio di credito), ad esempio le esposizioni in strumenti di capitale alle quali si applica una ponderazione del rischio del 250 % conformemente all</w:t>
      </w:r>
      <w:r w:rsidR="0030568A" w:rsidRPr="0030568A">
        <w:t>'</w:t>
      </w:r>
      <w:r w:rsidRPr="0030568A">
        <w:t xml:space="preserve">articolo 48, paragrafo 4, del regolamento (UE) </w:t>
      </w:r>
      <w:r w:rsidR="0030568A" w:rsidRPr="0030568A">
        <w:t>n. </w:t>
      </w:r>
      <w:r w:rsidRPr="0030568A">
        <w:t>575/2013 e, rispettivamente, una ponderazione del rischio del 370 % conformemente all</w:t>
      </w:r>
      <w:r w:rsidR="0030568A" w:rsidRPr="0030568A">
        <w:t>'</w:t>
      </w:r>
      <w:r w:rsidRPr="0030568A">
        <w:t>articolo 471, paragrafo 2, di tale regolamento.</w:t>
      </w:r>
    </w:p>
    <w:p w14:paraId="4BBD6043" w14:textId="467889B4" w:rsidR="006063BD" w:rsidRPr="0030568A" w:rsidRDefault="00A65C1A" w:rsidP="0092685D">
      <w:pPr>
        <w:pStyle w:val="InstructionsText2"/>
        <w:numPr>
          <w:ilvl w:val="0"/>
          <w:numId w:val="0"/>
        </w:numPr>
        <w:ind w:left="993"/>
      </w:pPr>
      <w:r w:rsidRPr="0030568A">
        <w:t>97.</w:t>
      </w:r>
      <w:r w:rsidRPr="0030568A">
        <w:tab/>
        <w:t>[Eliminato]</w:t>
      </w:r>
    </w:p>
    <w:p w14:paraId="6DA8654B" w14:textId="00C1712F" w:rsidR="00546AF1" w:rsidRPr="0030568A" w:rsidRDefault="00546AF1" w:rsidP="0092685D">
      <w:pPr>
        <w:pStyle w:val="InstructionsText2"/>
        <w:numPr>
          <w:ilvl w:val="0"/>
          <w:numId w:val="0"/>
        </w:numPr>
        <w:ind w:left="993"/>
      </w:pPr>
      <w:r w:rsidRPr="0030568A">
        <w:t xml:space="preserve">97a. Le seguenti istruzioni si riferiscono al regolamento (UE) </w:t>
      </w:r>
      <w:r w:rsidR="0030568A" w:rsidRPr="0030568A">
        <w:t>n. </w:t>
      </w:r>
      <w:r w:rsidRPr="0030568A">
        <w:t>575/2013 nella versione applicabile all</w:t>
      </w:r>
      <w:r w:rsidR="0030568A" w:rsidRPr="0030568A">
        <w:t>'</w:t>
      </w:r>
      <w:r w:rsidRPr="0030568A">
        <w:t>8 luglio 2024.</w:t>
      </w:r>
    </w:p>
    <w:p w14:paraId="3B22CAB3" w14:textId="77777777" w:rsidR="006063BD" w:rsidRPr="0030568A" w:rsidRDefault="006063BD" w:rsidP="006063BD">
      <w:pPr>
        <w:pStyle w:val="InstructionsText"/>
      </w:pPr>
    </w:p>
    <w:p w14:paraId="40C6FF22" w14:textId="77777777" w:rsidR="006063BD" w:rsidRPr="0030568A"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sidRPr="0030568A">
        <w:rPr>
          <w:rFonts w:ascii="Times New Roman" w:hAnsi="Times New Roman"/>
          <w:sz w:val="24"/>
          <w:u w:val="none"/>
        </w:rPr>
        <w:t>3.5.2.</w:t>
      </w:r>
      <w:r w:rsidRPr="0030568A">
        <w:rPr>
          <w:u w:val="none"/>
        </w:rPr>
        <w:tab/>
      </w:r>
      <w:r w:rsidRPr="0030568A">
        <w:rPr>
          <w:rFonts w:ascii="Times New Roman" w:hAnsi="Times New Roman"/>
          <w:sz w:val="24"/>
        </w:rPr>
        <w:t>Istruzioni relative a posizioni specifiche (valide sia per il modello CR EQU IRB 1 che per il modello CR EQU IRB 2)</w:t>
      </w:r>
      <w:bookmarkEnd w:id="5"/>
      <w:bookmarkEnd w:id="6"/>
      <w:bookmarkEnd w:id="7"/>
      <w:bookmarkEnd w:id="8"/>
      <w:bookmarkEnd w:id="9"/>
    </w:p>
    <w:tbl>
      <w:tblPr>
        <w:tblW w:w="0" w:type="auto"/>
        <w:tblLook w:val="01E0" w:firstRow="1" w:lastRow="1" w:firstColumn="1" w:lastColumn="1" w:noHBand="0" w:noVBand="0"/>
      </w:tblPr>
      <w:tblGrid>
        <w:gridCol w:w="852"/>
        <w:gridCol w:w="8004"/>
      </w:tblGrid>
      <w:tr w:rsidR="006063BD" w:rsidRPr="0030568A"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30568A" w:rsidRDefault="006063BD" w:rsidP="00E07FE9">
            <w:pPr>
              <w:spacing w:beforeLines="60" w:before="144" w:afterLines="60" w:after="144"/>
              <w:rPr>
                <w:rStyle w:val="InstructionsTabelleText"/>
                <w:rFonts w:ascii="Times New Roman" w:hAnsi="Times New Roman"/>
                <w:b/>
                <w:sz w:val="24"/>
              </w:rPr>
            </w:pPr>
            <w:r w:rsidRPr="0030568A">
              <w:rPr>
                <w:rStyle w:val="InstructionsTabelleText"/>
                <w:rFonts w:ascii="Times New Roman" w:hAnsi="Times New Roman"/>
                <w:b/>
                <w:sz w:val="24"/>
              </w:rPr>
              <w:t>Colonne</w:t>
            </w:r>
          </w:p>
        </w:tc>
      </w:tr>
      <w:tr w:rsidR="006063BD" w:rsidRPr="0030568A"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0005</w:t>
            </w:r>
          </w:p>
        </w:tc>
        <w:tc>
          <w:tcPr>
            <w:tcW w:w="8004" w:type="dxa"/>
          </w:tcPr>
          <w:p w14:paraId="44A21873"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CLASSE DI DEBITORI (IDENTIFICATIVO DELLA RIGA)</w:t>
            </w:r>
          </w:p>
          <w:p w14:paraId="1990DE2E" w14:textId="758A4657" w:rsidR="006063BD" w:rsidRPr="0030568A" w:rsidRDefault="006063BD" w:rsidP="00E07FE9">
            <w:pPr>
              <w:spacing w:beforeLines="60" w:before="144" w:afterLines="60" w:after="144"/>
              <w:rPr>
                <w:rStyle w:val="InstructionsTabelleberschrift"/>
                <w:rFonts w:ascii="Times New Roman" w:hAnsi="Times New Roman"/>
                <w:b w:val="0"/>
                <w:sz w:val="24"/>
              </w:rPr>
            </w:pPr>
            <w:r w:rsidRPr="0030568A">
              <w:rPr>
                <w:rStyle w:val="InstructionsTabelleberschrift"/>
                <w:rFonts w:ascii="Times New Roman" w:hAnsi="Times New Roman"/>
                <w:sz w:val="24"/>
              </w:rPr>
              <w:t xml:space="preserve">La classe di debitori è un identificativo della riga ed è unico per ciascuna riga del modello. </w:t>
            </w:r>
            <w:r w:rsidRPr="0030568A">
              <w:rPr>
                <w:rFonts w:ascii="Times New Roman" w:hAnsi="Times New Roman"/>
                <w:sz w:val="24"/>
              </w:rPr>
              <w:t>Segue l</w:t>
            </w:r>
            <w:r w:rsidR="0030568A" w:rsidRPr="0030568A">
              <w:rPr>
                <w:rFonts w:ascii="Times New Roman" w:hAnsi="Times New Roman"/>
                <w:sz w:val="24"/>
              </w:rPr>
              <w:t>'</w:t>
            </w:r>
            <w:r w:rsidRPr="0030568A">
              <w:rPr>
                <w:rFonts w:ascii="Times New Roman" w:hAnsi="Times New Roman"/>
                <w:sz w:val="24"/>
              </w:rPr>
              <w:t>ordine numerico 1, 2, 3 ecc.</w:t>
            </w:r>
          </w:p>
        </w:tc>
      </w:tr>
      <w:tr w:rsidR="006063BD" w:rsidRPr="0030568A"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0010</w:t>
            </w:r>
          </w:p>
        </w:tc>
        <w:tc>
          <w:tcPr>
            <w:tcW w:w="8004" w:type="dxa"/>
          </w:tcPr>
          <w:p w14:paraId="30BFEC80"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 xml:space="preserve">SCALA DI RATING INTERNI </w:t>
            </w:r>
          </w:p>
          <w:p w14:paraId="4DE0AB3D"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PROBABILITÀ DI DEFAULT ASSEGNATA ALLA CLASSE DI DEBITORI (%)</w:t>
            </w:r>
          </w:p>
          <w:p w14:paraId="3F16319B" w14:textId="1391F746"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Gli enti che applicano il metodo PD/LGD segnalano nella colonna 0010 la probabilità di default (PD) calcolata a norma dell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 xml:space="preserve">articolo 165, paragrafo 1, del regolamento (UE) </w:t>
            </w:r>
            <w:r w:rsidR="0030568A" w:rsidRPr="0030568A">
              <w:rPr>
                <w:rStyle w:val="InstructionsTabelleText"/>
                <w:rFonts w:ascii="Times New Roman" w:hAnsi="Times New Roman"/>
                <w:sz w:val="24"/>
              </w:rPr>
              <w:t>n. </w:t>
            </w:r>
            <w:r w:rsidRPr="0030568A">
              <w:rPr>
                <w:rStyle w:val="InstructionsTabelleText"/>
                <w:rFonts w:ascii="Times New Roman" w:hAnsi="Times New Roman"/>
                <w:sz w:val="24"/>
              </w:rPr>
              <w:t>575/2013.</w:t>
            </w:r>
          </w:p>
          <w:p w14:paraId="5179D71B" w14:textId="179F5EA9"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La PD assegnata alla classe o al pool di debitori da segnalare è conforme ai requisiti minimi previsti dalla parte tre, titolo</w:t>
            </w:r>
            <w:r w:rsidR="0030568A" w:rsidRPr="0030568A">
              <w:rPr>
                <w:rStyle w:val="InstructionsTabelleText"/>
                <w:rFonts w:ascii="Times New Roman" w:hAnsi="Times New Roman"/>
                <w:sz w:val="24"/>
              </w:rPr>
              <w:t> </w:t>
            </w:r>
            <w:r w:rsidRPr="0030568A">
              <w:rPr>
                <w:rStyle w:val="InstructionsTabelleText"/>
                <w:rFonts w:ascii="Times New Roman" w:hAnsi="Times New Roman"/>
                <w:sz w:val="24"/>
              </w:rPr>
              <w:t>II, capo</w:t>
            </w:r>
            <w:r w:rsidR="0030568A" w:rsidRPr="0030568A">
              <w:rPr>
                <w:rStyle w:val="InstructionsTabelleText"/>
                <w:rFonts w:ascii="Times New Roman" w:hAnsi="Times New Roman"/>
                <w:sz w:val="24"/>
              </w:rPr>
              <w:t> </w:t>
            </w:r>
            <w:r w:rsidRPr="0030568A">
              <w:rPr>
                <w:rStyle w:val="InstructionsTabelleText"/>
                <w:rFonts w:ascii="Times New Roman" w:hAnsi="Times New Roman"/>
                <w:sz w:val="24"/>
              </w:rPr>
              <w:t>3, sezione</w:t>
            </w:r>
            <w:r w:rsidR="0030568A" w:rsidRPr="0030568A">
              <w:rPr>
                <w:rStyle w:val="InstructionsTabelleText"/>
                <w:rFonts w:ascii="Times New Roman" w:hAnsi="Times New Roman"/>
                <w:sz w:val="24"/>
              </w:rPr>
              <w:t> </w:t>
            </w:r>
            <w:r w:rsidRPr="0030568A">
              <w:rPr>
                <w:rStyle w:val="InstructionsTabelleText"/>
                <w:rFonts w:ascii="Times New Roman" w:hAnsi="Times New Roman"/>
                <w:sz w:val="24"/>
              </w:rPr>
              <w:t xml:space="preserve">6, del </w:t>
            </w:r>
            <w:r w:rsidRPr="0030568A">
              <w:rPr>
                <w:rStyle w:val="InstructionsTabelleText"/>
                <w:rFonts w:ascii="Times New Roman" w:hAnsi="Times New Roman"/>
                <w:sz w:val="24"/>
              </w:rPr>
              <w:lastRenderedPageBreak/>
              <w:t xml:space="preserve">regolamento (UE) </w:t>
            </w:r>
            <w:r w:rsidR="0030568A" w:rsidRPr="0030568A">
              <w:rPr>
                <w:rStyle w:val="InstructionsTabelleText"/>
                <w:rFonts w:ascii="Times New Roman" w:hAnsi="Times New Roman"/>
                <w:sz w:val="24"/>
              </w:rPr>
              <w:t>n. </w:t>
            </w:r>
            <w:r w:rsidRPr="0030568A">
              <w:rPr>
                <w:rStyle w:val="InstructionsTabelleText"/>
                <w:rFonts w:ascii="Times New Roman" w:hAnsi="Times New Roman"/>
                <w:sz w:val="24"/>
              </w:rPr>
              <w:t>575/2013. Per ogni singola classe o singolo pool di debitori è indicata la PD ad essa o ad esso attribuita. Tutti i parametri di rischio segnalati sono ricavati dai parametri di rischio utilizzati nella scala di rating interni approvata dall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autorità competente.</w:t>
            </w:r>
          </w:p>
          <w:p w14:paraId="4A3E11CE" w14:textId="748FD8B4"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Per gli importi relativi a un</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 xml:space="preserve">aggregazione di classi o pool di debitori (ad esempio </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esposizioni totali</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 si riporta la media ponderata per 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esposizione delle PD attribuite alle classi o ai pool di debitori compresi nell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aggregazione considerata. Ai fini del calcolo della PD media ponderata per 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esposizione si deve tener conto di tutte le esposizioni, comprese quelle in stato di default. Per il calcolo della PD media ponderata per 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esposizione si applica, a fini di ponderazione, il valore dell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 xml:space="preserve">esposizione tenuto conto della protezione del credito di tipo personale (colonna 0060). </w:t>
            </w:r>
          </w:p>
        </w:tc>
      </w:tr>
      <w:tr w:rsidR="006063BD" w:rsidRPr="0030568A"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lastRenderedPageBreak/>
              <w:t>0020</w:t>
            </w:r>
          </w:p>
        </w:tc>
        <w:tc>
          <w:tcPr>
            <w:tcW w:w="8004" w:type="dxa"/>
          </w:tcPr>
          <w:p w14:paraId="7DFAAD46" w14:textId="635E625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ESPOSIZIONE ORIGINARIA PRIMA DELL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APPLICAZIONE DEI FATTORI DI CONVERSIONE</w:t>
            </w:r>
          </w:p>
          <w:p w14:paraId="14D647B9" w14:textId="31EEF1A4" w:rsidR="006063BD" w:rsidRPr="0030568A" w:rsidRDefault="006063BD" w:rsidP="00E07FE9">
            <w:pPr>
              <w:autoSpaceDE w:val="0"/>
              <w:autoSpaceDN w:val="0"/>
              <w:adjustRightInd w:val="0"/>
              <w:spacing w:before="0" w:after="0"/>
              <w:rPr>
                <w:rStyle w:val="InstructionsTabelleText"/>
                <w:rFonts w:ascii="Times New Roman" w:hAnsi="Times New Roman"/>
                <w:sz w:val="24"/>
              </w:rPr>
            </w:pPr>
            <w:r w:rsidRPr="0030568A">
              <w:rPr>
                <w:rStyle w:val="InstructionsTabelleText"/>
                <w:rFonts w:ascii="Times New Roman" w:hAnsi="Times New Roman"/>
                <w:sz w:val="24"/>
              </w:rPr>
              <w:t>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ente segnala nella colonna 0020 il valore dell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esposizione originaria (prima dell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applicazione dei fattori di conversione). Conformemente all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 xml:space="preserve">articolo 167 del regolamento (UE) </w:t>
            </w:r>
            <w:r w:rsidR="0030568A" w:rsidRPr="0030568A">
              <w:rPr>
                <w:rStyle w:val="InstructionsTabelleText"/>
                <w:rFonts w:ascii="Times New Roman" w:hAnsi="Times New Roman"/>
                <w:sz w:val="24"/>
              </w:rPr>
              <w:t>n. </w:t>
            </w:r>
            <w:r w:rsidRPr="0030568A">
              <w:rPr>
                <w:rStyle w:val="InstructionsTabelleText"/>
                <w:rFonts w:ascii="Times New Roman" w:hAnsi="Times New Roman"/>
                <w:sz w:val="24"/>
              </w:rPr>
              <w:t>575/2013, il valore delle esposizioni in strumenti di capitale è il valore contabile rimanente dopo 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applicazione delle rettifiche di valore su crediti specifiche. Il</w:t>
            </w:r>
            <w:r w:rsidRPr="0030568A">
              <w:rPr>
                <w:rFonts w:ascii="Times New Roman" w:hAnsi="Times New Roman"/>
                <w:sz w:val="24"/>
              </w:rPr>
              <w:t xml:space="preserve"> valore delle esposizioni in strumenti di capitale fuori bilancio è pari al valore nominale ridotto delle rettifiche di valore su crediti specifiche.</w:t>
            </w:r>
          </w:p>
          <w:p w14:paraId="7B8A5042" w14:textId="6E21726F"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Gli enti comprendono nella colonna 0020 anche gli elementi fuori bilancio di cui all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allegato I</w:t>
            </w:r>
            <w:r w:rsidRPr="0030568A">
              <w:rPr>
                <w:rFonts w:ascii="Times New Roman" w:hAnsi="Times New Roman"/>
                <w:sz w:val="24"/>
              </w:rPr>
              <w:t xml:space="preserve"> del regolamento (UE) </w:t>
            </w:r>
            <w:r w:rsidR="0030568A" w:rsidRPr="0030568A">
              <w:rPr>
                <w:rFonts w:ascii="Times New Roman" w:hAnsi="Times New Roman"/>
                <w:sz w:val="24"/>
              </w:rPr>
              <w:t>n. </w:t>
            </w:r>
            <w:r w:rsidRPr="0030568A">
              <w:rPr>
                <w:rFonts w:ascii="Times New Roman" w:hAnsi="Times New Roman"/>
                <w:sz w:val="24"/>
              </w:rPr>
              <w:t xml:space="preserve">575/2013 assegnati alla classe delle esposizioni in strumenti di capitale (ossia la </w:t>
            </w:r>
            <w:r w:rsidR="0030568A" w:rsidRPr="0030568A">
              <w:rPr>
                <w:rFonts w:ascii="Times New Roman" w:hAnsi="Times New Roman"/>
                <w:sz w:val="24"/>
              </w:rPr>
              <w:t>"</w:t>
            </w:r>
            <w:r w:rsidRPr="0030568A">
              <w:rPr>
                <w:rFonts w:ascii="Times New Roman" w:hAnsi="Times New Roman"/>
                <w:sz w:val="24"/>
              </w:rPr>
              <w:t>parte non pagata di azioni sottoscritte</w:t>
            </w:r>
            <w:r w:rsidR="0030568A" w:rsidRPr="0030568A">
              <w:rPr>
                <w:rFonts w:ascii="Times New Roman" w:hAnsi="Times New Roman"/>
                <w:sz w:val="24"/>
              </w:rPr>
              <w:t>"</w:t>
            </w:r>
            <w:r w:rsidRPr="0030568A">
              <w:rPr>
                <w:rFonts w:ascii="Times New Roman" w:hAnsi="Times New Roman"/>
                <w:sz w:val="24"/>
              </w:rPr>
              <w:t>).</w:t>
            </w:r>
          </w:p>
          <w:p w14:paraId="0435DBD5" w14:textId="0F46EC48"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Gli enti che applicano il metodo della ponderazione semplice o il metodo PD/LGD (di cui all</w:t>
            </w:r>
            <w:r w:rsidR="0030568A" w:rsidRPr="0030568A">
              <w:rPr>
                <w:rFonts w:ascii="Times New Roman" w:hAnsi="Times New Roman"/>
                <w:sz w:val="24"/>
              </w:rPr>
              <w:t>'</w:t>
            </w:r>
            <w:r w:rsidRPr="0030568A">
              <w:rPr>
                <w:rFonts w:ascii="Times New Roman" w:hAnsi="Times New Roman"/>
                <w:sz w:val="24"/>
              </w:rPr>
              <w:t xml:space="preserve">articolo 165, paragrafo 1, del regolamento (UE) </w:t>
            </w:r>
            <w:r w:rsidR="0030568A" w:rsidRPr="0030568A">
              <w:rPr>
                <w:rFonts w:ascii="Times New Roman" w:hAnsi="Times New Roman"/>
                <w:sz w:val="24"/>
              </w:rPr>
              <w:t>n. </w:t>
            </w:r>
            <w:r w:rsidRPr="0030568A">
              <w:rPr>
                <w:rFonts w:ascii="Times New Roman" w:hAnsi="Times New Roman"/>
                <w:sz w:val="24"/>
              </w:rPr>
              <w:t>575/2013) tengono conto anche della compensazione di cui all</w:t>
            </w:r>
            <w:r w:rsidR="0030568A" w:rsidRPr="0030568A">
              <w:rPr>
                <w:rFonts w:ascii="Times New Roman" w:hAnsi="Times New Roman"/>
                <w:sz w:val="24"/>
              </w:rPr>
              <w:t>'</w:t>
            </w:r>
            <w:r w:rsidRPr="0030568A">
              <w:rPr>
                <w:rFonts w:ascii="Times New Roman" w:hAnsi="Times New Roman"/>
                <w:sz w:val="24"/>
              </w:rPr>
              <w:t>articolo 155, paragrafo 2, secondo comma, di tale regolamento.</w:t>
            </w:r>
            <w:r w:rsidRPr="0030568A">
              <w:rPr>
                <w:rStyle w:val="InstructionsTabelleText"/>
                <w:rFonts w:ascii="Times New Roman" w:hAnsi="Times New Roman"/>
                <w:sz w:val="24"/>
              </w:rPr>
              <w:t xml:space="preserve"> </w:t>
            </w:r>
          </w:p>
        </w:tc>
      </w:tr>
      <w:tr w:rsidR="006063BD" w:rsidRPr="0030568A"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0030-0040</w:t>
            </w:r>
          </w:p>
        </w:tc>
        <w:tc>
          <w:tcPr>
            <w:tcW w:w="8004" w:type="dxa"/>
          </w:tcPr>
          <w:p w14:paraId="2893F262" w14:textId="3567EC12"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TECNICHE DI ATTENUAZIONE DEL RISCHIO DI CREDITO (CRM) CON EFFETTI DI SOSTITUZIONE SULL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ESPOSIZIONE</w:t>
            </w:r>
          </w:p>
          <w:p w14:paraId="4EC65FBC"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PROTEZIONE DEL CREDITO DI TIPO PERSONALE</w:t>
            </w:r>
          </w:p>
          <w:p w14:paraId="2B5389BD"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GARANZIE</w:t>
            </w:r>
          </w:p>
          <w:p w14:paraId="3ED7D45A"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DERIVATI SU CREDITI</w:t>
            </w:r>
          </w:p>
          <w:p w14:paraId="78FA5F7A" w14:textId="6981E51E"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 xml:space="preserve">Indipendentemente dal metodo applicato al calcolo degli importi ponderati per il rischio delle esposizioni in strumenti di capitale, gli enti possono rilevare le protezioni del credito di tipo personale ottenute per le esposizioni in strumenti di capitale (articolo 155, paragrafi 2, 3 e 4, del regolamento (UE) </w:t>
            </w:r>
            <w:r w:rsidR="0030568A" w:rsidRPr="0030568A">
              <w:rPr>
                <w:rFonts w:ascii="Times New Roman" w:hAnsi="Times New Roman"/>
                <w:sz w:val="24"/>
              </w:rPr>
              <w:t>n. </w:t>
            </w:r>
            <w:r w:rsidRPr="0030568A">
              <w:rPr>
                <w:rFonts w:ascii="Times New Roman" w:hAnsi="Times New Roman"/>
                <w:sz w:val="24"/>
              </w:rPr>
              <w:t>575/2013).</w:t>
            </w:r>
            <w:r w:rsidRPr="0030568A">
              <w:rPr>
                <w:rStyle w:val="InstructionsTabelleText"/>
                <w:rFonts w:ascii="Times New Roman" w:hAnsi="Times New Roman"/>
                <w:sz w:val="24"/>
              </w:rPr>
              <w:t xml:space="preserve"> </w:t>
            </w:r>
            <w:r w:rsidRPr="0030568A">
              <w:rPr>
                <w:rFonts w:ascii="Times New Roman" w:hAnsi="Times New Roman"/>
                <w:sz w:val="24"/>
              </w:rPr>
              <w:t>Gli enti che applicano il metodo della ponderazione semplice o il metodo PD/LGD segnalano nelle colonne 0030 e 0040 l</w:t>
            </w:r>
            <w:r w:rsidR="0030568A" w:rsidRPr="0030568A">
              <w:rPr>
                <w:rFonts w:ascii="Times New Roman" w:hAnsi="Times New Roman"/>
                <w:sz w:val="24"/>
              </w:rPr>
              <w:t>'</w:t>
            </w:r>
            <w:r w:rsidRPr="0030568A">
              <w:rPr>
                <w:rFonts w:ascii="Times New Roman" w:hAnsi="Times New Roman"/>
                <w:sz w:val="24"/>
              </w:rPr>
              <w:t>importo della protezione del credito di tipo personale in forma di garanzie (colonna</w:t>
            </w:r>
            <w:r w:rsidR="0030568A" w:rsidRPr="0030568A">
              <w:rPr>
                <w:rFonts w:ascii="Times New Roman" w:hAnsi="Times New Roman"/>
                <w:sz w:val="24"/>
              </w:rPr>
              <w:t> </w:t>
            </w:r>
            <w:r w:rsidRPr="0030568A">
              <w:rPr>
                <w:rFonts w:ascii="Times New Roman" w:hAnsi="Times New Roman"/>
                <w:sz w:val="24"/>
              </w:rPr>
              <w:t>0030) o di derivati su crediti (colonna</w:t>
            </w:r>
            <w:r w:rsidR="0030568A" w:rsidRPr="0030568A">
              <w:rPr>
                <w:rFonts w:ascii="Times New Roman" w:hAnsi="Times New Roman"/>
                <w:sz w:val="24"/>
              </w:rPr>
              <w:t> </w:t>
            </w:r>
            <w:r w:rsidRPr="0030568A">
              <w:rPr>
                <w:rFonts w:ascii="Times New Roman" w:hAnsi="Times New Roman"/>
                <w:sz w:val="24"/>
              </w:rPr>
              <w:t xml:space="preserve">0040) rilevato secondo i metodi di cui alla parte tre, titolo II, capo 4, del regolamento (UE) </w:t>
            </w:r>
            <w:r w:rsidR="0030568A" w:rsidRPr="0030568A">
              <w:rPr>
                <w:rFonts w:ascii="Times New Roman" w:hAnsi="Times New Roman"/>
                <w:sz w:val="24"/>
              </w:rPr>
              <w:t>n. </w:t>
            </w:r>
            <w:r w:rsidRPr="0030568A">
              <w:rPr>
                <w:rFonts w:ascii="Times New Roman" w:hAnsi="Times New Roman"/>
                <w:sz w:val="24"/>
              </w:rPr>
              <w:t>575/2013.</w:t>
            </w:r>
          </w:p>
        </w:tc>
      </w:tr>
      <w:tr w:rsidR="006063BD" w:rsidRPr="0030568A"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lastRenderedPageBreak/>
              <w:t>0050</w:t>
            </w:r>
          </w:p>
        </w:tc>
        <w:tc>
          <w:tcPr>
            <w:tcW w:w="8004" w:type="dxa"/>
          </w:tcPr>
          <w:p w14:paraId="2E63B5A9" w14:textId="38641F31"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TECNICHE DI ATTENUAZIONE DEL RISCHIO DI CREDITO (CRM) CON EFFETTI DI SOSTITUZIONE SULL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ESPOSIZIONE</w:t>
            </w:r>
          </w:p>
          <w:p w14:paraId="423CDDE6" w14:textId="34C1A71E"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SOSTITUZIONE DELL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ESPOSIZIONE DOVUTA ALL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ATTENUAZIONE DEL RISCHIO DI CREDITO</w:t>
            </w:r>
          </w:p>
          <w:p w14:paraId="3419A1AA"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 DEFLUSSI TOTALI</w:t>
            </w:r>
          </w:p>
          <w:p w14:paraId="565BB9D1" w14:textId="16681BA1"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L</w:t>
            </w:r>
            <w:r w:rsidR="0030568A" w:rsidRPr="0030568A">
              <w:rPr>
                <w:rFonts w:ascii="Times New Roman" w:hAnsi="Times New Roman"/>
                <w:sz w:val="24"/>
              </w:rPr>
              <w:t>'</w:t>
            </w:r>
            <w:r w:rsidRPr="0030568A">
              <w:rPr>
                <w:rFonts w:ascii="Times New Roman" w:hAnsi="Times New Roman"/>
                <w:sz w:val="24"/>
              </w:rPr>
              <w:t>ente segnala nella colonna 0050 la parte dell</w:t>
            </w:r>
            <w:r w:rsidR="0030568A" w:rsidRPr="0030568A">
              <w:rPr>
                <w:rFonts w:ascii="Times New Roman" w:hAnsi="Times New Roman"/>
                <w:sz w:val="24"/>
              </w:rPr>
              <w:t>'</w:t>
            </w:r>
            <w:r w:rsidRPr="0030568A">
              <w:rPr>
                <w:rFonts w:ascii="Times New Roman" w:hAnsi="Times New Roman"/>
                <w:sz w:val="24"/>
              </w:rPr>
              <w:t>esposizione originaria prima dell</w:t>
            </w:r>
            <w:r w:rsidR="0030568A" w:rsidRPr="0030568A">
              <w:rPr>
                <w:rFonts w:ascii="Times New Roman" w:hAnsi="Times New Roman"/>
                <w:sz w:val="24"/>
              </w:rPr>
              <w:t>'</w:t>
            </w:r>
            <w:r w:rsidRPr="0030568A">
              <w:rPr>
                <w:rFonts w:ascii="Times New Roman" w:hAnsi="Times New Roman"/>
                <w:sz w:val="24"/>
              </w:rPr>
              <w:t xml:space="preserve">applicazione dei fattori di conversione garantita dalla protezione del credito di tipo personale rilevata secondo i metodi di cui alla parte tre, titolo II, capo 4, del regolamento (UE) </w:t>
            </w:r>
            <w:r w:rsidR="0030568A" w:rsidRPr="0030568A">
              <w:rPr>
                <w:rFonts w:ascii="Times New Roman" w:hAnsi="Times New Roman"/>
                <w:sz w:val="24"/>
              </w:rPr>
              <w:t>n. </w:t>
            </w:r>
            <w:r w:rsidRPr="0030568A">
              <w:rPr>
                <w:rFonts w:ascii="Times New Roman" w:hAnsi="Times New Roman"/>
                <w:sz w:val="24"/>
              </w:rPr>
              <w:t>575/2013.</w:t>
            </w:r>
          </w:p>
        </w:tc>
      </w:tr>
      <w:tr w:rsidR="006063BD" w:rsidRPr="0030568A"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0060</w:t>
            </w:r>
          </w:p>
        </w:tc>
        <w:tc>
          <w:tcPr>
            <w:tcW w:w="8004" w:type="dxa"/>
          </w:tcPr>
          <w:p w14:paraId="706B98F2" w14:textId="5CF9E3D0"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VALORE DELL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ESPOSIZIONE</w:t>
            </w:r>
          </w:p>
          <w:p w14:paraId="6AD76A6E" w14:textId="1EAA65C5"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Gli enti che applicano il metodo della ponderazione semplice o il metodo PD/LGD segnalano nella colonna 0060 il valore dell</w:t>
            </w:r>
            <w:r w:rsidR="0030568A" w:rsidRPr="0030568A">
              <w:rPr>
                <w:rFonts w:ascii="Times New Roman" w:hAnsi="Times New Roman"/>
                <w:sz w:val="24"/>
              </w:rPr>
              <w:t>'</w:t>
            </w:r>
            <w:r w:rsidRPr="0030568A">
              <w:rPr>
                <w:rFonts w:ascii="Times New Roman" w:hAnsi="Times New Roman"/>
                <w:sz w:val="24"/>
              </w:rPr>
              <w:t>esposizione tenendo conto degli effetti di sostituzione derivanti dalla protezione del credito di tipo personale (articolo</w:t>
            </w:r>
            <w:r w:rsidR="0030568A" w:rsidRPr="0030568A">
              <w:rPr>
                <w:rFonts w:ascii="Times New Roman" w:hAnsi="Times New Roman"/>
                <w:sz w:val="24"/>
              </w:rPr>
              <w:t> </w:t>
            </w:r>
            <w:r w:rsidRPr="0030568A">
              <w:rPr>
                <w:rFonts w:ascii="Times New Roman" w:hAnsi="Times New Roman"/>
                <w:sz w:val="24"/>
              </w:rPr>
              <w:t xml:space="preserve">155, paragrafi 2 e 3, e articolo 167 del regolamento (UE) </w:t>
            </w:r>
            <w:r w:rsidR="0030568A" w:rsidRPr="0030568A">
              <w:rPr>
                <w:rFonts w:ascii="Times New Roman" w:hAnsi="Times New Roman"/>
                <w:sz w:val="24"/>
              </w:rPr>
              <w:t>n. </w:t>
            </w:r>
            <w:r w:rsidRPr="0030568A">
              <w:rPr>
                <w:rFonts w:ascii="Times New Roman" w:hAnsi="Times New Roman"/>
                <w:sz w:val="24"/>
              </w:rPr>
              <w:t>575/2013).</w:t>
            </w:r>
          </w:p>
          <w:p w14:paraId="651AFB2A" w14:textId="386D1D9D"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Nel caso delle esposizioni in strumenti di capitale fuori bilancio, il valore dell</w:t>
            </w:r>
            <w:r w:rsidR="0030568A" w:rsidRPr="0030568A">
              <w:rPr>
                <w:rFonts w:ascii="Times New Roman" w:hAnsi="Times New Roman"/>
                <w:sz w:val="24"/>
              </w:rPr>
              <w:t>'</w:t>
            </w:r>
            <w:r w:rsidRPr="0030568A">
              <w:rPr>
                <w:rFonts w:ascii="Times New Roman" w:hAnsi="Times New Roman"/>
                <w:sz w:val="24"/>
              </w:rPr>
              <w:t xml:space="preserve">esposizione è pari al valore nominale ridotto delle rettifiche di valore su crediti specifiche (articolo 167 del regolamento (UE) </w:t>
            </w:r>
            <w:r w:rsidR="0030568A" w:rsidRPr="0030568A">
              <w:rPr>
                <w:rFonts w:ascii="Times New Roman" w:hAnsi="Times New Roman"/>
                <w:sz w:val="24"/>
              </w:rPr>
              <w:t>n. </w:t>
            </w:r>
            <w:r w:rsidRPr="0030568A">
              <w:rPr>
                <w:rFonts w:ascii="Times New Roman" w:hAnsi="Times New Roman"/>
                <w:sz w:val="24"/>
              </w:rPr>
              <w:t>575/2013).</w:t>
            </w:r>
          </w:p>
        </w:tc>
      </w:tr>
      <w:tr w:rsidR="006063BD" w:rsidRPr="0030568A"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0061</w:t>
            </w:r>
          </w:p>
        </w:tc>
        <w:tc>
          <w:tcPr>
            <w:tcW w:w="8004" w:type="dxa"/>
          </w:tcPr>
          <w:p w14:paraId="453CE433"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DI CUI: ELEMENTI FUORI BILANCIO</w:t>
            </w:r>
          </w:p>
          <w:p w14:paraId="4C0B5E6E" w14:textId="77777777" w:rsidR="006063BD" w:rsidRPr="0030568A" w:rsidRDefault="006063BD" w:rsidP="00E07FE9">
            <w:pPr>
              <w:spacing w:beforeLines="60" w:before="144" w:afterLines="60" w:after="144"/>
              <w:rPr>
                <w:rStyle w:val="InstructionsTabelleberschrift"/>
                <w:rFonts w:ascii="Times New Roman" w:hAnsi="Times New Roman"/>
                <w:b w:val="0"/>
                <w:sz w:val="24"/>
              </w:rPr>
            </w:pPr>
            <w:r w:rsidRPr="0030568A">
              <w:rPr>
                <w:rStyle w:val="InstructionsTabelleberschrift"/>
                <w:rFonts w:ascii="Times New Roman" w:hAnsi="Times New Roman"/>
                <w:sz w:val="24"/>
              </w:rPr>
              <w:t xml:space="preserve">Cfr. le istruzioni relative al modello CR-SA. </w:t>
            </w:r>
          </w:p>
        </w:tc>
      </w:tr>
      <w:tr w:rsidR="006063BD" w:rsidRPr="0030568A"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0070</w:t>
            </w:r>
          </w:p>
        </w:tc>
        <w:tc>
          <w:tcPr>
            <w:tcW w:w="8004" w:type="dxa"/>
          </w:tcPr>
          <w:p w14:paraId="0937B83C" w14:textId="0D206E42"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LGD MEDIA PONDERATA PER L</w:t>
            </w:r>
            <w:r w:rsidR="0030568A" w:rsidRPr="0030568A">
              <w:rPr>
                <w:rStyle w:val="InstructionsTabelleberschrift"/>
                <w:rFonts w:ascii="Times New Roman" w:hAnsi="Times New Roman"/>
                <w:sz w:val="24"/>
              </w:rPr>
              <w:t>'</w:t>
            </w:r>
            <w:r w:rsidRPr="0030568A">
              <w:rPr>
                <w:rStyle w:val="InstructionsTabelleberschrift"/>
                <w:rFonts w:ascii="Times New Roman" w:hAnsi="Times New Roman"/>
                <w:sz w:val="24"/>
              </w:rPr>
              <w:t>ESPOSIZIONE (%)</w:t>
            </w:r>
          </w:p>
          <w:p w14:paraId="39A39197" w14:textId="1F5CABD8"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Gli enti che applicano il metodo PD/LGD segnalano la media ponderata per 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esposizione delle LGD assegnate alle classi o ai pool di debitori compresi nell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aggregazione.</w:t>
            </w:r>
          </w:p>
          <w:p w14:paraId="531525BF" w14:textId="79A7CEFF"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Per il calcolo della LGD media ponderata per 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esposizione è utilizzato il valore dell</w:t>
            </w:r>
            <w:r w:rsidR="0030568A" w:rsidRPr="0030568A">
              <w:rPr>
                <w:rStyle w:val="InstructionsTabelleText"/>
                <w:rFonts w:ascii="Times New Roman" w:hAnsi="Times New Roman"/>
                <w:sz w:val="24"/>
              </w:rPr>
              <w:t>'</w:t>
            </w:r>
            <w:r w:rsidRPr="0030568A">
              <w:rPr>
                <w:rStyle w:val="InstructionsTabelleText"/>
                <w:rFonts w:ascii="Times New Roman" w:hAnsi="Times New Roman"/>
                <w:sz w:val="24"/>
              </w:rPr>
              <w:t xml:space="preserve">esposizione tenuto conto della protezione del credito di tipo personale (colonna 0060). </w:t>
            </w:r>
          </w:p>
          <w:p w14:paraId="6D55ECB2" w14:textId="0DA52467"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Gli enti tengono conto delle disposizioni dell</w:t>
            </w:r>
            <w:r w:rsidR="0030568A" w:rsidRPr="0030568A">
              <w:rPr>
                <w:rFonts w:ascii="Times New Roman" w:hAnsi="Times New Roman"/>
                <w:sz w:val="24"/>
              </w:rPr>
              <w:t>'</w:t>
            </w:r>
            <w:r w:rsidRPr="0030568A">
              <w:rPr>
                <w:rFonts w:ascii="Times New Roman" w:hAnsi="Times New Roman"/>
                <w:sz w:val="24"/>
              </w:rPr>
              <w:t>articolo</w:t>
            </w:r>
            <w:r w:rsidR="0030568A" w:rsidRPr="0030568A">
              <w:rPr>
                <w:rFonts w:ascii="Times New Roman" w:hAnsi="Times New Roman"/>
                <w:sz w:val="24"/>
              </w:rPr>
              <w:t> </w:t>
            </w:r>
            <w:r w:rsidRPr="0030568A">
              <w:rPr>
                <w:rFonts w:ascii="Times New Roman" w:hAnsi="Times New Roman"/>
                <w:sz w:val="24"/>
              </w:rPr>
              <w:t>165, paragrafo</w:t>
            </w:r>
            <w:r w:rsidR="0030568A" w:rsidRPr="0030568A">
              <w:rPr>
                <w:rFonts w:ascii="Times New Roman" w:hAnsi="Times New Roman"/>
                <w:sz w:val="24"/>
              </w:rPr>
              <w:t> </w:t>
            </w:r>
            <w:r w:rsidRPr="0030568A">
              <w:rPr>
                <w:rFonts w:ascii="Times New Roman" w:hAnsi="Times New Roman"/>
                <w:sz w:val="24"/>
              </w:rPr>
              <w:t xml:space="preserve">2, del regolamento (UE) </w:t>
            </w:r>
            <w:r w:rsidR="0030568A" w:rsidRPr="0030568A">
              <w:rPr>
                <w:rFonts w:ascii="Times New Roman" w:hAnsi="Times New Roman"/>
                <w:sz w:val="24"/>
              </w:rPr>
              <w:t>n. </w:t>
            </w:r>
            <w:r w:rsidRPr="0030568A">
              <w:rPr>
                <w:rFonts w:ascii="Times New Roman" w:hAnsi="Times New Roman"/>
                <w:sz w:val="24"/>
              </w:rPr>
              <w:t>575/2013.</w:t>
            </w:r>
          </w:p>
        </w:tc>
      </w:tr>
      <w:tr w:rsidR="006063BD" w:rsidRPr="0030568A"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0080</w:t>
            </w:r>
          </w:p>
        </w:tc>
        <w:tc>
          <w:tcPr>
            <w:tcW w:w="8004" w:type="dxa"/>
          </w:tcPr>
          <w:p w14:paraId="4A7F554B"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IMPORTO DELLE ESPOSIZIONI PONDERATO PER IL RISCHIO</w:t>
            </w:r>
          </w:p>
          <w:p w14:paraId="11F80B1F" w14:textId="412AA54A"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L</w:t>
            </w:r>
            <w:r w:rsidR="0030568A" w:rsidRPr="0030568A">
              <w:rPr>
                <w:rFonts w:ascii="Times New Roman" w:hAnsi="Times New Roman"/>
                <w:sz w:val="24"/>
              </w:rPr>
              <w:t>'</w:t>
            </w:r>
            <w:r w:rsidRPr="0030568A">
              <w:rPr>
                <w:rFonts w:ascii="Times New Roman" w:hAnsi="Times New Roman"/>
                <w:sz w:val="24"/>
              </w:rPr>
              <w:t>ente segnala gli importi ponderati per il rischio delle esposizioni in strumenti di capitale calcolati a norma dell</w:t>
            </w:r>
            <w:r w:rsidR="0030568A" w:rsidRPr="0030568A">
              <w:rPr>
                <w:rFonts w:ascii="Times New Roman" w:hAnsi="Times New Roman"/>
                <w:sz w:val="24"/>
              </w:rPr>
              <w:t>'</w:t>
            </w:r>
            <w:r w:rsidRPr="0030568A">
              <w:rPr>
                <w:rFonts w:ascii="Times New Roman" w:hAnsi="Times New Roman"/>
                <w:sz w:val="24"/>
              </w:rPr>
              <w:t xml:space="preserve">articolo 155 del regolamento (UE) </w:t>
            </w:r>
            <w:r w:rsidR="0030568A" w:rsidRPr="0030568A">
              <w:rPr>
                <w:rFonts w:ascii="Times New Roman" w:hAnsi="Times New Roman"/>
                <w:sz w:val="24"/>
              </w:rPr>
              <w:t>n. </w:t>
            </w:r>
            <w:r w:rsidRPr="0030568A">
              <w:rPr>
                <w:rFonts w:ascii="Times New Roman" w:hAnsi="Times New Roman"/>
                <w:sz w:val="24"/>
              </w:rPr>
              <w:t>575/2013.</w:t>
            </w:r>
          </w:p>
          <w:p w14:paraId="73CF54D0" w14:textId="05DD8D3B"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Se gli enti che applicano il metodo PD/LGD non dispongono di sufficienti informazioni per poter impiegare la definizione di default di cui all</w:t>
            </w:r>
            <w:r w:rsidR="0030568A" w:rsidRPr="0030568A">
              <w:rPr>
                <w:rFonts w:ascii="Times New Roman" w:hAnsi="Times New Roman"/>
                <w:sz w:val="24"/>
              </w:rPr>
              <w:t>'</w:t>
            </w:r>
            <w:r w:rsidRPr="0030568A">
              <w:rPr>
                <w:rFonts w:ascii="Times New Roman" w:hAnsi="Times New Roman"/>
                <w:sz w:val="24"/>
              </w:rPr>
              <w:t>articolo</w:t>
            </w:r>
            <w:r w:rsidR="0030568A" w:rsidRPr="0030568A">
              <w:rPr>
                <w:rFonts w:ascii="Times New Roman" w:hAnsi="Times New Roman"/>
                <w:sz w:val="24"/>
              </w:rPr>
              <w:t> </w:t>
            </w:r>
            <w:r w:rsidRPr="0030568A">
              <w:rPr>
                <w:rFonts w:ascii="Times New Roman" w:hAnsi="Times New Roman"/>
                <w:sz w:val="24"/>
              </w:rPr>
              <w:t xml:space="preserve">178 del regolamento (UE) </w:t>
            </w:r>
            <w:r w:rsidR="0030568A" w:rsidRPr="0030568A">
              <w:rPr>
                <w:rFonts w:ascii="Times New Roman" w:hAnsi="Times New Roman"/>
                <w:sz w:val="24"/>
              </w:rPr>
              <w:t>n. </w:t>
            </w:r>
            <w:r w:rsidRPr="0030568A">
              <w:rPr>
                <w:rFonts w:ascii="Times New Roman" w:hAnsi="Times New Roman"/>
                <w:sz w:val="24"/>
              </w:rPr>
              <w:t>575/2013, ai fattori di ponderazione è assegnato un fattore di graduazione di 1,5 quando si calcolano gli importi delle esposizioni ponderati per il rischio (articolo</w:t>
            </w:r>
            <w:r w:rsidR="0030568A" w:rsidRPr="0030568A">
              <w:rPr>
                <w:rFonts w:ascii="Times New Roman" w:hAnsi="Times New Roman"/>
                <w:sz w:val="24"/>
              </w:rPr>
              <w:t> </w:t>
            </w:r>
            <w:r w:rsidRPr="0030568A">
              <w:rPr>
                <w:rFonts w:ascii="Times New Roman" w:hAnsi="Times New Roman"/>
                <w:sz w:val="24"/>
              </w:rPr>
              <w:t>155, paragrafo</w:t>
            </w:r>
            <w:r w:rsidR="0030568A" w:rsidRPr="0030568A">
              <w:rPr>
                <w:rFonts w:ascii="Times New Roman" w:hAnsi="Times New Roman"/>
                <w:sz w:val="24"/>
              </w:rPr>
              <w:t> </w:t>
            </w:r>
            <w:r w:rsidRPr="0030568A">
              <w:rPr>
                <w:rFonts w:ascii="Times New Roman" w:hAnsi="Times New Roman"/>
                <w:sz w:val="24"/>
              </w:rPr>
              <w:t xml:space="preserve">3, del regolamento (UE) </w:t>
            </w:r>
            <w:r w:rsidR="0030568A" w:rsidRPr="0030568A">
              <w:rPr>
                <w:rFonts w:ascii="Times New Roman" w:hAnsi="Times New Roman"/>
                <w:sz w:val="24"/>
              </w:rPr>
              <w:t>n. </w:t>
            </w:r>
            <w:r w:rsidRPr="0030568A">
              <w:rPr>
                <w:rFonts w:ascii="Times New Roman" w:hAnsi="Times New Roman"/>
                <w:sz w:val="24"/>
              </w:rPr>
              <w:t>575/2013).</w:t>
            </w:r>
            <w:r w:rsidRPr="0030568A">
              <w:rPr>
                <w:rStyle w:val="InstructionsTabelleText"/>
                <w:rFonts w:ascii="Times New Roman" w:hAnsi="Times New Roman"/>
                <w:sz w:val="24"/>
              </w:rPr>
              <w:t xml:space="preserve"> </w:t>
            </w:r>
          </w:p>
          <w:p w14:paraId="73F5A45F" w14:textId="2FE8B850"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Per quanto riguarda il parametro M (</w:t>
            </w:r>
            <w:r w:rsidR="0030568A" w:rsidRPr="0030568A">
              <w:rPr>
                <w:rFonts w:ascii="Times New Roman" w:hAnsi="Times New Roman"/>
                <w:sz w:val="24"/>
              </w:rPr>
              <w:t>"</w:t>
            </w:r>
            <w:r w:rsidRPr="0030568A">
              <w:rPr>
                <w:rFonts w:ascii="Times New Roman" w:hAnsi="Times New Roman"/>
                <w:sz w:val="24"/>
              </w:rPr>
              <w:t>maturity</w:t>
            </w:r>
            <w:r w:rsidR="0030568A" w:rsidRPr="0030568A">
              <w:rPr>
                <w:rFonts w:ascii="Times New Roman" w:hAnsi="Times New Roman"/>
                <w:sz w:val="24"/>
              </w:rPr>
              <w:t>"</w:t>
            </w:r>
            <w:r w:rsidRPr="0030568A">
              <w:rPr>
                <w:rFonts w:ascii="Times New Roman" w:hAnsi="Times New Roman"/>
                <w:sz w:val="24"/>
              </w:rPr>
              <w:t xml:space="preserve">, durata) immesso nella funzione di ponderazione del rischio, la durata assegnata alle esposizioni in strumenti di </w:t>
            </w:r>
            <w:r w:rsidRPr="0030568A">
              <w:rPr>
                <w:rFonts w:ascii="Times New Roman" w:hAnsi="Times New Roman"/>
                <w:sz w:val="24"/>
              </w:rPr>
              <w:lastRenderedPageBreak/>
              <w:t>capitale è di cinque anni (articolo</w:t>
            </w:r>
            <w:r w:rsidR="0030568A" w:rsidRPr="0030568A">
              <w:rPr>
                <w:rFonts w:ascii="Times New Roman" w:hAnsi="Times New Roman"/>
                <w:sz w:val="24"/>
              </w:rPr>
              <w:t> </w:t>
            </w:r>
            <w:r w:rsidRPr="0030568A">
              <w:rPr>
                <w:rFonts w:ascii="Times New Roman" w:hAnsi="Times New Roman"/>
                <w:sz w:val="24"/>
              </w:rPr>
              <w:t>165, paragrafo</w:t>
            </w:r>
            <w:r w:rsidR="0030568A" w:rsidRPr="0030568A">
              <w:rPr>
                <w:rFonts w:ascii="Times New Roman" w:hAnsi="Times New Roman"/>
                <w:sz w:val="24"/>
              </w:rPr>
              <w:t> </w:t>
            </w:r>
            <w:r w:rsidRPr="0030568A">
              <w:rPr>
                <w:rFonts w:ascii="Times New Roman" w:hAnsi="Times New Roman"/>
                <w:sz w:val="24"/>
              </w:rPr>
              <w:t xml:space="preserve">3, del regolamento (UE) </w:t>
            </w:r>
            <w:r w:rsidR="0030568A" w:rsidRPr="0030568A">
              <w:rPr>
                <w:rFonts w:ascii="Times New Roman" w:hAnsi="Times New Roman"/>
                <w:sz w:val="24"/>
              </w:rPr>
              <w:t>n. </w:t>
            </w:r>
            <w:r w:rsidRPr="0030568A">
              <w:rPr>
                <w:rFonts w:ascii="Times New Roman" w:hAnsi="Times New Roman"/>
                <w:sz w:val="24"/>
              </w:rPr>
              <w:t>575/2013).</w:t>
            </w:r>
          </w:p>
        </w:tc>
      </w:tr>
      <w:tr w:rsidR="006063BD" w:rsidRPr="0030568A"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lastRenderedPageBreak/>
              <w:t>0090</w:t>
            </w:r>
          </w:p>
        </w:tc>
        <w:tc>
          <w:tcPr>
            <w:tcW w:w="8004" w:type="dxa"/>
          </w:tcPr>
          <w:p w14:paraId="12D0755F" w14:textId="77777777" w:rsidR="006063BD" w:rsidRPr="0030568A" w:rsidRDefault="006063BD" w:rsidP="00E07FE9">
            <w:pPr>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VOCE PER MEMORIA: IMPORTO DELLE PERDITE ATTESE</w:t>
            </w:r>
          </w:p>
          <w:p w14:paraId="623383B8" w14:textId="229F86BC" w:rsidR="006063BD" w:rsidRPr="0030568A" w:rsidRDefault="006063BD" w:rsidP="00E07FE9">
            <w:pPr>
              <w:spacing w:beforeLines="60" w:before="144" w:afterLines="60" w:after="144"/>
              <w:rPr>
                <w:rStyle w:val="InstructionsTabelleText"/>
                <w:rFonts w:ascii="Times New Roman" w:hAnsi="Times New Roman"/>
                <w:sz w:val="24"/>
              </w:rPr>
            </w:pPr>
            <w:r w:rsidRPr="0030568A">
              <w:rPr>
                <w:rFonts w:ascii="Times New Roman" w:hAnsi="Times New Roman"/>
                <w:sz w:val="24"/>
              </w:rPr>
              <w:t>L</w:t>
            </w:r>
            <w:r w:rsidR="0030568A" w:rsidRPr="0030568A">
              <w:rPr>
                <w:rFonts w:ascii="Times New Roman" w:hAnsi="Times New Roman"/>
                <w:sz w:val="24"/>
              </w:rPr>
              <w:t>'</w:t>
            </w:r>
            <w:r w:rsidRPr="0030568A">
              <w:rPr>
                <w:rFonts w:ascii="Times New Roman" w:hAnsi="Times New Roman"/>
                <w:sz w:val="24"/>
              </w:rPr>
              <w:t>ente segnala nella colonna 0090 l</w:t>
            </w:r>
            <w:r w:rsidR="0030568A" w:rsidRPr="0030568A">
              <w:rPr>
                <w:rFonts w:ascii="Times New Roman" w:hAnsi="Times New Roman"/>
                <w:sz w:val="24"/>
              </w:rPr>
              <w:t>'</w:t>
            </w:r>
            <w:r w:rsidRPr="0030568A">
              <w:rPr>
                <w:rFonts w:ascii="Times New Roman" w:hAnsi="Times New Roman"/>
                <w:sz w:val="24"/>
              </w:rPr>
              <w:t>importo delle perdite attese delle esposizioni in strumenti di capitale calcolato ai sensi dell</w:t>
            </w:r>
            <w:r w:rsidR="0030568A" w:rsidRPr="0030568A">
              <w:rPr>
                <w:rFonts w:ascii="Times New Roman" w:hAnsi="Times New Roman"/>
                <w:sz w:val="24"/>
              </w:rPr>
              <w:t>'</w:t>
            </w:r>
            <w:r w:rsidRPr="0030568A">
              <w:rPr>
                <w:rFonts w:ascii="Times New Roman" w:hAnsi="Times New Roman"/>
                <w:sz w:val="24"/>
              </w:rPr>
              <w:t xml:space="preserve">articolo 158, paragrafi 4, 7, 8 e 9, del regolamento (UE) </w:t>
            </w:r>
            <w:r w:rsidR="0030568A" w:rsidRPr="0030568A">
              <w:rPr>
                <w:rFonts w:ascii="Times New Roman" w:hAnsi="Times New Roman"/>
                <w:sz w:val="24"/>
              </w:rPr>
              <w:t>n. </w:t>
            </w:r>
            <w:r w:rsidRPr="0030568A">
              <w:rPr>
                <w:rFonts w:ascii="Times New Roman" w:hAnsi="Times New Roman"/>
                <w:sz w:val="24"/>
              </w:rPr>
              <w:t>575/2013.</w:t>
            </w:r>
            <w:r w:rsidRPr="0030568A">
              <w:rPr>
                <w:rStyle w:val="InstructionsTabelleText"/>
                <w:rFonts w:ascii="Times New Roman" w:hAnsi="Times New Roman"/>
                <w:sz w:val="24"/>
              </w:rPr>
              <w:t xml:space="preserve"> </w:t>
            </w:r>
          </w:p>
        </w:tc>
      </w:tr>
    </w:tbl>
    <w:p w14:paraId="5929752F" w14:textId="77777777" w:rsidR="006063BD" w:rsidRPr="0030568A" w:rsidRDefault="006063BD" w:rsidP="006063BD">
      <w:pPr>
        <w:pStyle w:val="InstructionsText"/>
      </w:pPr>
    </w:p>
    <w:p w14:paraId="26816B4F" w14:textId="6AF26945" w:rsidR="006063BD" w:rsidRPr="0030568A" w:rsidRDefault="006063BD" w:rsidP="006063BD">
      <w:pPr>
        <w:pStyle w:val="InstructionsText2"/>
        <w:numPr>
          <w:ilvl w:val="0"/>
          <w:numId w:val="0"/>
        </w:numPr>
        <w:ind w:left="993"/>
      </w:pPr>
      <w:r w:rsidRPr="0030568A">
        <w:fldChar w:fldCharType="begin"/>
      </w:r>
      <w:r w:rsidRPr="0030568A">
        <w:instrText>seq paragraphs</w:instrText>
      </w:r>
      <w:r w:rsidRPr="0030568A">
        <w:fldChar w:fldCharType="separate"/>
      </w:r>
      <w:r w:rsidR="0030568A" w:rsidRPr="0030568A">
        <w:t>5</w:t>
      </w:r>
      <w:r w:rsidRPr="0030568A">
        <w:fldChar w:fldCharType="end"/>
      </w:r>
      <w:r w:rsidRPr="0030568A">
        <w:t>.</w:t>
      </w:r>
      <w:r w:rsidRPr="0030568A">
        <w:tab/>
        <w:t>[Eliminato]</w:t>
      </w:r>
    </w:p>
    <w:tbl>
      <w:tblPr>
        <w:tblW w:w="9524" w:type="dxa"/>
        <w:tblLook w:val="01E0" w:firstRow="1" w:lastRow="1" w:firstColumn="1" w:lastColumn="1" w:noHBand="0" w:noVBand="0"/>
      </w:tblPr>
      <w:tblGrid>
        <w:gridCol w:w="1608"/>
        <w:gridCol w:w="7916"/>
      </w:tblGrid>
      <w:tr w:rsidR="006063BD" w:rsidRPr="0030568A"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30568A" w:rsidRDefault="006063BD" w:rsidP="00E07FE9">
            <w:pPr>
              <w:spacing w:beforeLines="60" w:before="144" w:afterLines="60" w:after="144"/>
              <w:rPr>
                <w:rStyle w:val="InstructionsTabelleText"/>
                <w:rFonts w:ascii="Times New Roman" w:hAnsi="Times New Roman"/>
                <w:b/>
                <w:sz w:val="24"/>
              </w:rPr>
            </w:pPr>
            <w:r w:rsidRPr="0030568A">
              <w:rPr>
                <w:rStyle w:val="InstructionsTabelleText"/>
                <w:rFonts w:ascii="Times New Roman" w:hAnsi="Times New Roman"/>
                <w:b/>
                <w:sz w:val="24"/>
              </w:rPr>
              <w:t>Righe</w:t>
            </w:r>
          </w:p>
        </w:tc>
      </w:tr>
      <w:tr w:rsidR="006063BD" w:rsidRPr="0030568A"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CR EQU IRB 1 — riga 0020</w:t>
            </w:r>
          </w:p>
          <w:p w14:paraId="1F763B4F" w14:textId="77777777" w:rsidR="006063BD" w:rsidRPr="0030568A"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30568A" w:rsidRDefault="006063BD" w:rsidP="00E07FE9">
            <w:pPr>
              <w:keepNext/>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 xml:space="preserve">METODO PD/LGD: TOTALE </w:t>
            </w:r>
          </w:p>
          <w:p w14:paraId="19AC2738" w14:textId="7D6EBCD1" w:rsidR="006063BD" w:rsidRPr="0030568A" w:rsidRDefault="006063BD" w:rsidP="00E07FE9">
            <w:pPr>
              <w:keepNext/>
              <w:spacing w:beforeLines="60" w:before="144" w:afterLines="60" w:after="144"/>
              <w:rPr>
                <w:rStyle w:val="InstructionsTabelleText"/>
                <w:rFonts w:ascii="Times New Roman" w:hAnsi="Times New Roman"/>
                <w:sz w:val="24"/>
              </w:rPr>
            </w:pPr>
            <w:r w:rsidRPr="0030568A">
              <w:rPr>
                <w:rFonts w:ascii="Times New Roman" w:hAnsi="Times New Roman"/>
                <w:sz w:val="24"/>
              </w:rPr>
              <w:t>Gli enti che applicano il metodo PD/LGD (articolo</w:t>
            </w:r>
            <w:r w:rsidR="0030568A" w:rsidRPr="0030568A">
              <w:rPr>
                <w:rFonts w:ascii="Times New Roman" w:hAnsi="Times New Roman"/>
                <w:sz w:val="24"/>
              </w:rPr>
              <w:t> </w:t>
            </w:r>
            <w:r w:rsidRPr="0030568A">
              <w:rPr>
                <w:rFonts w:ascii="Times New Roman" w:hAnsi="Times New Roman"/>
                <w:sz w:val="24"/>
              </w:rPr>
              <w:t>155, paragrafo</w:t>
            </w:r>
            <w:r w:rsidR="0030568A" w:rsidRPr="0030568A">
              <w:rPr>
                <w:rFonts w:ascii="Times New Roman" w:hAnsi="Times New Roman"/>
                <w:sz w:val="24"/>
              </w:rPr>
              <w:t> </w:t>
            </w:r>
            <w:r w:rsidRPr="0030568A">
              <w:rPr>
                <w:rFonts w:ascii="Times New Roman" w:hAnsi="Times New Roman"/>
                <w:sz w:val="24"/>
              </w:rPr>
              <w:t xml:space="preserve">3, del regolamento (UE) </w:t>
            </w:r>
            <w:r w:rsidR="0030568A" w:rsidRPr="0030568A">
              <w:rPr>
                <w:rFonts w:ascii="Times New Roman" w:hAnsi="Times New Roman"/>
                <w:sz w:val="24"/>
              </w:rPr>
              <w:t>n. </w:t>
            </w:r>
            <w:r w:rsidRPr="0030568A">
              <w:rPr>
                <w:rFonts w:ascii="Times New Roman" w:hAnsi="Times New Roman"/>
                <w:sz w:val="24"/>
              </w:rPr>
              <w:t>575/2013) segnalano le informazioni richieste nella riga</w:t>
            </w:r>
            <w:r w:rsidR="0030568A" w:rsidRPr="0030568A">
              <w:rPr>
                <w:rFonts w:ascii="Times New Roman" w:hAnsi="Times New Roman"/>
                <w:sz w:val="24"/>
              </w:rPr>
              <w:t> </w:t>
            </w:r>
            <w:r w:rsidRPr="0030568A">
              <w:rPr>
                <w:rFonts w:ascii="Times New Roman" w:hAnsi="Times New Roman"/>
                <w:sz w:val="24"/>
              </w:rPr>
              <w:t>0020 del modello CR EQU IRB 1.</w:t>
            </w:r>
          </w:p>
        </w:tc>
      </w:tr>
      <w:tr w:rsidR="006063BD" w:rsidRPr="0030568A"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CR EQU IRB 1 — righe 0050 - 0090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30568A" w:rsidRDefault="006063BD" w:rsidP="00E07FE9">
            <w:pPr>
              <w:rPr>
                <w:rStyle w:val="InstructionsTabelleText"/>
                <w:rFonts w:ascii="Times New Roman" w:hAnsi="Times New Roman"/>
                <w:b/>
                <w:sz w:val="24"/>
                <w:u w:val="single"/>
              </w:rPr>
            </w:pPr>
            <w:r w:rsidRPr="0030568A">
              <w:rPr>
                <w:rStyle w:val="InstructionsTabelleText"/>
                <w:rFonts w:ascii="Times New Roman" w:hAnsi="Times New Roman"/>
                <w:b/>
                <w:sz w:val="24"/>
                <w:u w:val="single"/>
              </w:rPr>
              <w:t>METODO DELLA PONDERAZIONE SEMPLICE DEL RISCHIO: TOTALE</w:t>
            </w:r>
          </w:p>
          <w:p w14:paraId="4AD71E33" w14:textId="77777777" w:rsidR="006063BD" w:rsidRPr="0030568A" w:rsidRDefault="006063BD" w:rsidP="00E07FE9">
            <w:pPr>
              <w:rPr>
                <w:rStyle w:val="InstructionsTabelleText"/>
                <w:rFonts w:ascii="Times New Roman" w:hAnsi="Times New Roman"/>
                <w:b/>
                <w:sz w:val="24"/>
                <w:u w:val="single"/>
              </w:rPr>
            </w:pPr>
            <w:r w:rsidRPr="0030568A">
              <w:rPr>
                <w:rStyle w:val="InstructionsTabelleText"/>
                <w:rFonts w:ascii="Times New Roman" w:hAnsi="Times New Roman"/>
                <w:b/>
                <w:sz w:val="24"/>
                <w:u w:val="single"/>
              </w:rPr>
              <w:t>RIPARTIZIONE PER FATTORE DI PONDERAZIONE DEL RISCHIO DELLE ESPOSIZIONI TOTALI IN BASE AL METODO DELLA PONDERAZIONE SEMPLICE</w:t>
            </w:r>
          </w:p>
          <w:p w14:paraId="39AE74C7" w14:textId="52D4B913" w:rsidR="006063BD" w:rsidRPr="0030568A" w:rsidRDefault="006063BD" w:rsidP="00E07FE9">
            <w:pPr>
              <w:keepNext/>
              <w:spacing w:beforeLines="60" w:before="144" w:afterLines="60" w:after="144"/>
              <w:rPr>
                <w:rStyle w:val="InstructionsTabelleText"/>
                <w:rFonts w:ascii="Times New Roman" w:hAnsi="Times New Roman"/>
                <w:sz w:val="24"/>
              </w:rPr>
            </w:pPr>
            <w:r w:rsidRPr="0030568A">
              <w:rPr>
                <w:rFonts w:ascii="Times New Roman" w:hAnsi="Times New Roman"/>
                <w:sz w:val="24"/>
              </w:rPr>
              <w:t>Gli enti che applicano il metodo della ponderazione semplice (articolo</w:t>
            </w:r>
            <w:r w:rsidR="0030568A" w:rsidRPr="0030568A">
              <w:rPr>
                <w:rFonts w:ascii="Times New Roman" w:hAnsi="Times New Roman"/>
                <w:sz w:val="24"/>
              </w:rPr>
              <w:t> </w:t>
            </w:r>
            <w:r w:rsidRPr="0030568A">
              <w:rPr>
                <w:rFonts w:ascii="Times New Roman" w:hAnsi="Times New Roman"/>
                <w:sz w:val="24"/>
              </w:rPr>
              <w:t>155, paragrafo</w:t>
            </w:r>
            <w:r w:rsidR="0030568A" w:rsidRPr="0030568A">
              <w:rPr>
                <w:rFonts w:ascii="Times New Roman" w:hAnsi="Times New Roman"/>
                <w:sz w:val="24"/>
              </w:rPr>
              <w:t> </w:t>
            </w:r>
            <w:r w:rsidRPr="0030568A">
              <w:rPr>
                <w:rFonts w:ascii="Times New Roman" w:hAnsi="Times New Roman"/>
                <w:sz w:val="24"/>
              </w:rPr>
              <w:t xml:space="preserve">2, del regolamento (UE) </w:t>
            </w:r>
            <w:r w:rsidR="0030568A" w:rsidRPr="0030568A">
              <w:rPr>
                <w:rFonts w:ascii="Times New Roman" w:hAnsi="Times New Roman"/>
                <w:sz w:val="24"/>
              </w:rPr>
              <w:t>n. </w:t>
            </w:r>
            <w:r w:rsidRPr="0030568A">
              <w:rPr>
                <w:rFonts w:ascii="Times New Roman" w:hAnsi="Times New Roman"/>
                <w:sz w:val="24"/>
              </w:rPr>
              <w:t>575/2013) segnalano le informazioni richieste in base alle caratteristiche delle esposizioni sottostanti nelle righe da</w:t>
            </w:r>
            <w:r w:rsidR="0030568A" w:rsidRPr="0030568A">
              <w:rPr>
                <w:rFonts w:ascii="Times New Roman" w:hAnsi="Times New Roman"/>
                <w:sz w:val="24"/>
              </w:rPr>
              <w:t> </w:t>
            </w:r>
            <w:r w:rsidRPr="0030568A">
              <w:rPr>
                <w:rFonts w:ascii="Times New Roman" w:hAnsi="Times New Roman"/>
                <w:sz w:val="24"/>
              </w:rPr>
              <w:t>0050 a 0090.</w:t>
            </w:r>
          </w:p>
        </w:tc>
      </w:tr>
      <w:tr w:rsidR="006063BD" w:rsidRPr="0030568A"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30568A" w:rsidRDefault="006063BD" w:rsidP="00E07FE9">
            <w:pPr>
              <w:spacing w:beforeLines="60" w:before="144" w:afterLines="60" w:after="144"/>
              <w:rPr>
                <w:rStyle w:val="InstructionsTabelleText"/>
                <w:rFonts w:ascii="Times New Roman" w:hAnsi="Times New Roman"/>
                <w:sz w:val="24"/>
              </w:rPr>
            </w:pPr>
            <w:r w:rsidRPr="0030568A">
              <w:rPr>
                <w:rStyle w:val="InstructionsTabelleText"/>
                <w:rFonts w:ascii="Times New Roman" w:hAnsi="Times New Roman"/>
                <w:sz w:val="24"/>
              </w:rPr>
              <w:t>CR EQU IRB 1 — riga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30568A" w:rsidRDefault="006063BD" w:rsidP="00E07FE9">
            <w:pPr>
              <w:rPr>
                <w:rStyle w:val="InstructionsTabelleberschrift"/>
                <w:rFonts w:ascii="Times New Roman" w:hAnsi="Times New Roman"/>
                <w:sz w:val="24"/>
              </w:rPr>
            </w:pPr>
            <w:r w:rsidRPr="0030568A">
              <w:rPr>
                <w:rStyle w:val="InstructionsTabelleberschrift"/>
                <w:rFonts w:ascii="Times New Roman" w:hAnsi="Times New Roman"/>
                <w:sz w:val="24"/>
              </w:rPr>
              <w:t>METODO DEI MODELLI INTERNI</w:t>
            </w:r>
          </w:p>
          <w:p w14:paraId="186E4F54" w14:textId="61E30A2F" w:rsidR="006063BD" w:rsidRPr="0030568A" w:rsidRDefault="006063BD" w:rsidP="00E07FE9">
            <w:pPr>
              <w:pStyle w:val="InstructionsText"/>
              <w:rPr>
                <w:rStyle w:val="FormatvorlageInstructionsTabelleText"/>
                <w:bCs w:val="0"/>
              </w:rPr>
            </w:pPr>
            <w:r w:rsidRPr="0030568A">
              <w:t>Gli enti che applicano il metodo dei modelli interni (articolo 155, paragrafo</w:t>
            </w:r>
            <w:r w:rsidR="0030568A" w:rsidRPr="0030568A">
              <w:t> </w:t>
            </w:r>
            <w:r w:rsidRPr="0030568A">
              <w:t xml:space="preserve">4, del regolamento (UE) </w:t>
            </w:r>
            <w:r w:rsidR="0030568A" w:rsidRPr="0030568A">
              <w:t>n. </w:t>
            </w:r>
            <w:r w:rsidRPr="0030568A">
              <w:t>575/2013) segnalano le informazioni richieste nella riga 0100.</w:t>
            </w:r>
          </w:p>
        </w:tc>
      </w:tr>
      <w:tr w:rsidR="006063BD" w:rsidRPr="0030568A"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30568A" w:rsidRDefault="006063BD" w:rsidP="00E07FE9">
            <w:pPr>
              <w:spacing w:beforeLines="60" w:before="144" w:afterLines="60" w:after="144"/>
              <w:rPr>
                <w:rStyle w:val="InstructionsTabelleText"/>
                <w:rFonts w:ascii="Times New Roman" w:hAnsi="Times New Roman"/>
                <w:bCs/>
                <w:sz w:val="24"/>
              </w:rPr>
            </w:pPr>
            <w:r w:rsidRPr="0030568A">
              <w:rPr>
                <w:rStyle w:val="InstructionsTabelleText"/>
                <w:rFonts w:ascii="Times New Roman" w:hAnsi="Times New Roman"/>
                <w:sz w:val="24"/>
              </w:rPr>
              <w:t>CR EQU IRB 1 — riga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30568A" w:rsidRDefault="006063BD" w:rsidP="00E07FE9">
            <w:pPr>
              <w:rPr>
                <w:rStyle w:val="InstructionsTabelleberschrift"/>
                <w:rFonts w:ascii="Times New Roman" w:hAnsi="Times New Roman"/>
                <w:sz w:val="24"/>
              </w:rPr>
            </w:pPr>
            <w:r w:rsidRPr="0030568A">
              <w:rPr>
                <w:rStyle w:val="InstructionsTabelleberschrift"/>
                <w:rFonts w:ascii="Times New Roman" w:hAnsi="Times New Roman"/>
                <w:sz w:val="24"/>
              </w:rPr>
              <w:t>ESPOSIZIONI IN STRUMENTI DI CAPITALE SOGGETTE A FATTORI DI PONDERAZIONE DEL RISCHIO</w:t>
            </w:r>
          </w:p>
          <w:p w14:paraId="7E2EA0A2" w14:textId="67CF7CAB" w:rsidR="006063BD" w:rsidRPr="0030568A" w:rsidRDefault="006063BD" w:rsidP="00E07FE9">
            <w:pPr>
              <w:rPr>
                <w:rFonts w:ascii="Times New Roman" w:hAnsi="Times New Roman"/>
                <w:sz w:val="24"/>
              </w:rPr>
            </w:pPr>
            <w:r w:rsidRPr="0030568A">
              <w:rPr>
                <w:rFonts w:ascii="Times New Roman" w:hAnsi="Times New Roman"/>
                <w:sz w:val="24"/>
              </w:rPr>
              <w:t>Gli enti che applicano il metodo IRB segnalano gli importi ponderati per il rischio delle esposizioni in strumenti di capitale cui si applica un trattamento fisso di ponderazione del rischio (senza tuttavia essere trattate esplicitamente secondo il metodo della ponderazione semplice o senza l</w:t>
            </w:r>
            <w:r w:rsidR="0030568A" w:rsidRPr="0030568A">
              <w:rPr>
                <w:rFonts w:ascii="Times New Roman" w:hAnsi="Times New Roman"/>
                <w:sz w:val="24"/>
              </w:rPr>
              <w:t>'</w:t>
            </w:r>
            <w:r w:rsidRPr="0030568A">
              <w:rPr>
                <w:rFonts w:ascii="Times New Roman" w:hAnsi="Times New Roman"/>
                <w:sz w:val="24"/>
              </w:rPr>
              <w:t>applicazione parziale, in via temporanea o permanente, del metodo standardizzato per il rischio di credito). Sono comprese le seguenti esposizioni:</w:t>
            </w:r>
          </w:p>
          <w:p w14:paraId="5DD55598" w14:textId="34495F32" w:rsidR="006063BD" w:rsidRPr="0030568A" w:rsidRDefault="006063BD" w:rsidP="00E07FE9">
            <w:pPr>
              <w:rPr>
                <w:rStyle w:val="FormatvorlageInstructionsTabelleText"/>
                <w:rFonts w:ascii="Times New Roman" w:hAnsi="Times New Roman"/>
                <w:sz w:val="24"/>
              </w:rPr>
            </w:pPr>
            <w:r w:rsidRPr="0030568A">
              <w:rPr>
                <w:rFonts w:ascii="Times New Roman" w:hAnsi="Times New Roman"/>
                <w:sz w:val="24"/>
              </w:rPr>
              <w:t>-</w:t>
            </w:r>
            <w:r w:rsidRPr="0030568A">
              <w:rPr>
                <w:rStyle w:val="FormatvorlageInstructionsTabelleText"/>
                <w:rFonts w:ascii="Times New Roman" w:hAnsi="Times New Roman"/>
                <w:sz w:val="24"/>
              </w:rPr>
              <w:t xml:space="preserve"> l</w:t>
            </w:r>
            <w:r w:rsidR="0030568A" w:rsidRPr="0030568A">
              <w:rPr>
                <w:rStyle w:val="FormatvorlageInstructionsTabelleText"/>
                <w:rFonts w:ascii="Times New Roman" w:hAnsi="Times New Roman"/>
                <w:sz w:val="24"/>
              </w:rPr>
              <w:t>'</w:t>
            </w:r>
            <w:r w:rsidRPr="0030568A">
              <w:rPr>
                <w:rStyle w:val="FormatvorlageInstructionsTabelleText"/>
                <w:rFonts w:ascii="Times New Roman" w:hAnsi="Times New Roman"/>
                <w:sz w:val="24"/>
              </w:rPr>
              <w:t>importo dell</w:t>
            </w:r>
            <w:r w:rsidR="0030568A" w:rsidRPr="0030568A">
              <w:rPr>
                <w:rStyle w:val="FormatvorlageInstructionsTabelleText"/>
                <w:rFonts w:ascii="Times New Roman" w:hAnsi="Times New Roman"/>
                <w:sz w:val="24"/>
              </w:rPr>
              <w:t>'</w:t>
            </w:r>
            <w:r w:rsidRPr="0030568A">
              <w:rPr>
                <w:rStyle w:val="FormatvorlageInstructionsTabelleText"/>
                <w:rFonts w:ascii="Times New Roman" w:hAnsi="Times New Roman"/>
                <w:sz w:val="24"/>
              </w:rPr>
              <w:t>esposizione ponderato per il rischio delle posizioni in strumenti di capitale di soggetti del settore finanziario trattate conformemente all</w:t>
            </w:r>
            <w:r w:rsidR="0030568A" w:rsidRPr="0030568A">
              <w:rPr>
                <w:rStyle w:val="FormatvorlageInstructionsTabelleText"/>
                <w:rFonts w:ascii="Times New Roman" w:hAnsi="Times New Roman"/>
                <w:sz w:val="24"/>
              </w:rPr>
              <w:t>'</w:t>
            </w:r>
            <w:r w:rsidRPr="0030568A">
              <w:rPr>
                <w:rStyle w:val="FormatvorlageInstructionsTabelleText"/>
                <w:rFonts w:ascii="Times New Roman" w:hAnsi="Times New Roman"/>
                <w:sz w:val="24"/>
              </w:rPr>
              <w:t>articolo</w:t>
            </w:r>
            <w:r w:rsidR="0030568A" w:rsidRPr="0030568A">
              <w:rPr>
                <w:rStyle w:val="FormatvorlageInstructionsTabelleText"/>
                <w:rFonts w:ascii="Times New Roman" w:hAnsi="Times New Roman"/>
                <w:sz w:val="24"/>
              </w:rPr>
              <w:t> </w:t>
            </w:r>
            <w:r w:rsidRPr="0030568A">
              <w:rPr>
                <w:rStyle w:val="FormatvorlageInstructionsTabelleText"/>
                <w:rFonts w:ascii="Times New Roman" w:hAnsi="Times New Roman"/>
                <w:sz w:val="24"/>
              </w:rPr>
              <w:t xml:space="preserve">48, paragrafo 4, del regolamento (UE) </w:t>
            </w:r>
            <w:r w:rsidR="0030568A" w:rsidRPr="0030568A">
              <w:rPr>
                <w:rStyle w:val="FormatvorlageInstructionsTabelleText"/>
                <w:rFonts w:ascii="Times New Roman" w:hAnsi="Times New Roman"/>
                <w:sz w:val="24"/>
              </w:rPr>
              <w:t>n. </w:t>
            </w:r>
            <w:r w:rsidRPr="0030568A">
              <w:rPr>
                <w:rStyle w:val="FormatvorlageInstructionsTabelleText"/>
                <w:rFonts w:ascii="Times New Roman" w:hAnsi="Times New Roman"/>
                <w:sz w:val="24"/>
              </w:rPr>
              <w:t>575/2013 e</w:t>
            </w:r>
          </w:p>
          <w:p w14:paraId="5C41940A" w14:textId="5C33E2D0" w:rsidR="006063BD" w:rsidRPr="0030568A" w:rsidRDefault="006063BD" w:rsidP="00E07FE9">
            <w:pPr>
              <w:rPr>
                <w:rStyle w:val="FormatvorlageInstructionsTabelleText"/>
                <w:rFonts w:ascii="Times New Roman" w:hAnsi="Times New Roman"/>
                <w:sz w:val="24"/>
              </w:rPr>
            </w:pPr>
            <w:r w:rsidRPr="0030568A">
              <w:rPr>
                <w:rStyle w:val="FormatvorlageInstructionsTabelleText"/>
                <w:rFonts w:ascii="Times New Roman" w:hAnsi="Times New Roman"/>
                <w:sz w:val="24"/>
              </w:rPr>
              <w:lastRenderedPageBreak/>
              <w:t>- le posizioni in strumenti di capitale con una ponderazione del rischio del 370 % conformemente all</w:t>
            </w:r>
            <w:r w:rsidR="0030568A" w:rsidRPr="0030568A">
              <w:rPr>
                <w:rStyle w:val="FormatvorlageInstructionsTabelleText"/>
                <w:rFonts w:ascii="Times New Roman" w:hAnsi="Times New Roman"/>
                <w:sz w:val="24"/>
              </w:rPr>
              <w:t>'</w:t>
            </w:r>
            <w:r w:rsidRPr="0030568A">
              <w:rPr>
                <w:rStyle w:val="FormatvorlageInstructionsTabelleText"/>
                <w:rFonts w:ascii="Times New Roman" w:hAnsi="Times New Roman"/>
                <w:sz w:val="24"/>
              </w:rPr>
              <w:t xml:space="preserve">articolo 471, paragrafo 2, del regolamento (UE) </w:t>
            </w:r>
            <w:r w:rsidR="0030568A" w:rsidRPr="0030568A">
              <w:rPr>
                <w:rStyle w:val="FormatvorlageInstructionsTabelleText"/>
                <w:rFonts w:ascii="Times New Roman" w:hAnsi="Times New Roman"/>
                <w:sz w:val="24"/>
              </w:rPr>
              <w:t>n. </w:t>
            </w:r>
            <w:r w:rsidRPr="0030568A">
              <w:rPr>
                <w:rStyle w:val="FormatvorlageInstructionsTabelleText"/>
                <w:rFonts w:ascii="Times New Roman" w:hAnsi="Times New Roman"/>
                <w:sz w:val="24"/>
              </w:rPr>
              <w:t>575/2013 sono segnalate nella riga 0110.</w:t>
            </w:r>
          </w:p>
        </w:tc>
      </w:tr>
      <w:tr w:rsidR="006063BD" w:rsidRPr="0030568A"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30568A" w:rsidRDefault="006063BD" w:rsidP="00E07FE9">
            <w:pPr>
              <w:rPr>
                <w:rStyle w:val="InstructionsTabelleText"/>
                <w:rFonts w:ascii="Times New Roman" w:hAnsi="Times New Roman"/>
                <w:sz w:val="24"/>
              </w:rPr>
            </w:pPr>
            <w:r w:rsidRPr="0030568A">
              <w:rPr>
                <w:rStyle w:val="InstructionsTabelleText"/>
                <w:rFonts w:ascii="Times New Roman" w:hAnsi="Times New Roman"/>
                <w:sz w:val="24"/>
              </w:rPr>
              <w:lastRenderedPageBreak/>
              <w:t>CR EQU IRB 2</w:t>
            </w:r>
          </w:p>
          <w:p w14:paraId="6FA49741" w14:textId="77777777" w:rsidR="006063BD" w:rsidRPr="0030568A"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30568A" w:rsidRDefault="006063BD" w:rsidP="00E07FE9">
            <w:pPr>
              <w:keepNext/>
              <w:spacing w:beforeLines="60" w:before="144" w:afterLines="60" w:after="144"/>
              <w:rPr>
                <w:rStyle w:val="InstructionsTabelleberschrift"/>
                <w:rFonts w:ascii="Times New Roman" w:hAnsi="Times New Roman"/>
                <w:sz w:val="24"/>
              </w:rPr>
            </w:pPr>
            <w:r w:rsidRPr="0030568A">
              <w:rPr>
                <w:rStyle w:val="InstructionsTabelleberschrift"/>
                <w:rFonts w:ascii="Times New Roman" w:hAnsi="Times New Roman"/>
                <w:sz w:val="24"/>
              </w:rPr>
              <w:t>RIPARTIZIONE DELLE ESPOSIZIONI TOTALI PER CLASSE DI DEBITORI IN BASE AL METODO PD/LGD</w:t>
            </w:r>
          </w:p>
          <w:p w14:paraId="248ED9FE" w14:textId="4CB6D112" w:rsidR="006063BD" w:rsidRPr="0030568A" w:rsidRDefault="006063BD" w:rsidP="00E07FE9">
            <w:pPr>
              <w:keepNext/>
              <w:spacing w:beforeLines="60" w:before="144" w:afterLines="60" w:after="144"/>
              <w:rPr>
                <w:rStyle w:val="InstructionsTabelleText"/>
                <w:rFonts w:ascii="Times New Roman" w:hAnsi="Times New Roman"/>
                <w:sz w:val="24"/>
              </w:rPr>
            </w:pPr>
            <w:r w:rsidRPr="0030568A">
              <w:rPr>
                <w:rFonts w:ascii="Times New Roman" w:hAnsi="Times New Roman"/>
                <w:sz w:val="24"/>
              </w:rPr>
              <w:t>Gli enti che applicano il metodo PD/LGD (articolo</w:t>
            </w:r>
            <w:r w:rsidR="0030568A" w:rsidRPr="0030568A">
              <w:rPr>
                <w:rFonts w:ascii="Times New Roman" w:hAnsi="Times New Roman"/>
                <w:sz w:val="24"/>
              </w:rPr>
              <w:t> </w:t>
            </w:r>
            <w:r w:rsidRPr="0030568A">
              <w:rPr>
                <w:rFonts w:ascii="Times New Roman" w:hAnsi="Times New Roman"/>
                <w:sz w:val="24"/>
              </w:rPr>
              <w:t>155, paragrafo</w:t>
            </w:r>
            <w:r w:rsidR="0030568A" w:rsidRPr="0030568A">
              <w:rPr>
                <w:rFonts w:ascii="Times New Roman" w:hAnsi="Times New Roman"/>
                <w:sz w:val="24"/>
              </w:rPr>
              <w:t> </w:t>
            </w:r>
            <w:r w:rsidRPr="0030568A">
              <w:rPr>
                <w:rFonts w:ascii="Times New Roman" w:hAnsi="Times New Roman"/>
                <w:sz w:val="24"/>
              </w:rPr>
              <w:t xml:space="preserve">3, del regolamento (UE) </w:t>
            </w:r>
            <w:r w:rsidR="0030568A" w:rsidRPr="0030568A">
              <w:rPr>
                <w:rFonts w:ascii="Times New Roman" w:hAnsi="Times New Roman"/>
                <w:sz w:val="24"/>
              </w:rPr>
              <w:t>n. </w:t>
            </w:r>
            <w:r w:rsidRPr="0030568A">
              <w:rPr>
                <w:rFonts w:ascii="Times New Roman" w:hAnsi="Times New Roman"/>
                <w:sz w:val="24"/>
              </w:rPr>
              <w:t>575/2013) segnalano le informazioni richieste nel modello CR EQU IRB 2.</w:t>
            </w:r>
          </w:p>
          <w:p w14:paraId="174DA1AB" w14:textId="77777777" w:rsidR="006063BD" w:rsidRPr="0030568A" w:rsidRDefault="006063BD" w:rsidP="00E07FE9">
            <w:pPr>
              <w:rPr>
                <w:rStyle w:val="InstructionsTabelleberschrift"/>
                <w:rFonts w:ascii="Times New Roman" w:hAnsi="Times New Roman"/>
                <w:b w:val="0"/>
                <w:bCs w:val="0"/>
                <w:sz w:val="24"/>
              </w:rPr>
            </w:pPr>
            <w:r w:rsidRPr="0030568A">
              <w:rPr>
                <w:rStyle w:val="InstructionsTabelleText"/>
                <w:rFonts w:ascii="Times New Roman" w:hAnsi="Times New Roman"/>
                <w:sz w:val="24"/>
              </w:rPr>
              <w:t>Gli enti che applicano il metodo PD/LGD e che utilizzano una scala di rating unica, o sono in grado di effettuare segnalazioni in conformità di una scala tipo interna, segnalano nel modello CR EQU IRB 2 le classi o i pool di rating associati a detta scala di rating unica/scala tipo. In tutti gli altri casi, le differenti scale di rating sono riunite e classificate secondo i seguenti criteri: le classi o i pool di debitori delle differenti scale di rating sono accorpati e ordinati a partire dalla classe o dal pool con la PD più bassa alla classe o al pool con la PD più alta.</w:t>
            </w:r>
          </w:p>
        </w:tc>
      </w:tr>
    </w:tbl>
    <w:p w14:paraId="6582749C" w14:textId="77777777" w:rsidR="006063BD" w:rsidRPr="0030568A" w:rsidRDefault="006063BD" w:rsidP="006063BD">
      <w:pPr>
        <w:spacing w:before="0" w:after="0"/>
        <w:jc w:val="left"/>
        <w:rPr>
          <w:rStyle w:val="InstructionsTabelleText"/>
          <w:rFonts w:ascii="Times New Roman" w:hAnsi="Times New Roman"/>
          <w:sz w:val="24"/>
        </w:rPr>
      </w:pPr>
    </w:p>
    <w:sectPr w:rsidR="006063BD" w:rsidRPr="0030568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3F2A7BA2"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Per l</w:t>
                          </w:r>
                          <w:r w:rsidR="0030568A">
                            <w:rPr>
                              <w:rFonts w:ascii="Calibri" w:hAnsi="Calibri"/>
                              <w:color w:val="000000"/>
                              <w:sz w:val="24"/>
                            </w:rPr>
                            <w:t>'</w:t>
                          </w:r>
                          <w:r>
                            <w:rPr>
                              <w:rFonts w:ascii="Calibri" w:hAnsi="Calibri"/>
                              <w:color w:val="000000"/>
                              <w:sz w:val="24"/>
                            </w:rPr>
                            <w:t>uso ordinario dell</w:t>
                          </w:r>
                          <w:r w:rsidR="0030568A">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3F2A7BA2"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Per l</w:t>
                    </w:r>
                    <w:r w:rsidR="0030568A">
                      <w:rPr>
                        <w:rFonts w:ascii="Calibri" w:hAnsi="Calibri"/>
                        <w:color w:val="000000"/>
                        <w:sz w:val="24"/>
                      </w:rPr>
                      <w:t>'</w:t>
                    </w:r>
                    <w:r>
                      <w:rPr>
                        <w:rFonts w:ascii="Calibri" w:hAnsi="Calibri"/>
                        <w:color w:val="000000"/>
                        <w:sz w:val="24"/>
                      </w:rPr>
                      <w:t>uso ordinario dell</w:t>
                    </w:r>
                    <w:r w:rsidR="0030568A">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267F920F"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Per l</w:t>
                          </w:r>
                          <w:r w:rsidR="0030568A">
                            <w:rPr>
                              <w:rFonts w:ascii="Calibri" w:hAnsi="Calibri"/>
                              <w:color w:val="000000"/>
                              <w:sz w:val="24"/>
                            </w:rPr>
                            <w:t>'</w:t>
                          </w:r>
                          <w:r>
                            <w:rPr>
                              <w:rFonts w:ascii="Calibri" w:hAnsi="Calibri"/>
                              <w:color w:val="000000"/>
                              <w:sz w:val="24"/>
                            </w:rPr>
                            <w:t>uso ordinario dell</w:t>
                          </w:r>
                          <w:r w:rsidR="0030568A">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267F920F"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Per l</w:t>
                    </w:r>
                    <w:r w:rsidR="0030568A">
                      <w:rPr>
                        <w:rFonts w:ascii="Calibri" w:hAnsi="Calibri"/>
                        <w:color w:val="000000"/>
                        <w:sz w:val="24"/>
                      </w:rPr>
                      <w:t>'</w:t>
                    </w:r>
                    <w:r>
                      <w:rPr>
                        <w:rFonts w:ascii="Calibri" w:hAnsi="Calibri"/>
                        <w:color w:val="000000"/>
                        <w:sz w:val="24"/>
                      </w:rPr>
                      <w:t>uso ordinario dell</w:t>
                    </w:r>
                    <w:r w:rsidR="0030568A">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0F11D5EE"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Per l</w:t>
                          </w:r>
                          <w:r w:rsidR="0030568A">
                            <w:rPr>
                              <w:rFonts w:ascii="Calibri" w:hAnsi="Calibri"/>
                              <w:color w:val="000000"/>
                              <w:sz w:val="24"/>
                            </w:rPr>
                            <w:t>'</w:t>
                          </w:r>
                          <w:r>
                            <w:rPr>
                              <w:rFonts w:ascii="Calibri" w:hAnsi="Calibri"/>
                              <w:color w:val="000000"/>
                              <w:sz w:val="24"/>
                            </w:rPr>
                            <w:t>uso ordinario dell</w:t>
                          </w:r>
                          <w:r w:rsidR="0030568A">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0F11D5EE"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Per l</w:t>
                    </w:r>
                    <w:r w:rsidR="0030568A">
                      <w:rPr>
                        <w:rFonts w:ascii="Calibri" w:hAnsi="Calibri"/>
                        <w:color w:val="000000"/>
                        <w:sz w:val="24"/>
                      </w:rPr>
                      <w:t>'</w:t>
                    </w:r>
                    <w:r>
                      <w:rPr>
                        <w:rFonts w:ascii="Calibri" w:hAnsi="Calibri"/>
                        <w:color w:val="000000"/>
                        <w:sz w:val="24"/>
                      </w:rPr>
                      <w:t>uso ordinario dell</w:t>
                    </w:r>
                    <w:r w:rsidR="0030568A">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0568A"/>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BD4911"/>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3.xml><?xml version="1.0" encoding="utf-8"?>
<ds:datastoreItem xmlns:ds="http://schemas.openxmlformats.org/officeDocument/2006/customXml" ds:itemID="{4D14206E-7CA4-4348-8A75-D020E55BFB6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2005</Words>
  <Characters>10787</Characters>
  <Application>Microsoft Office Word</Application>
  <DocSecurity>0</DocSecurity>
  <Lines>256</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