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HU</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IV. MELLÉKLET</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„XVII. MELLÉKLET</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ÚTMUTATÓ A MEGTERHELT ESZKÖZÖKRE VONATKOZÓ ADATSZOLGÁLTATÁSHOZ</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Tartalomjegyzék</w:t>
      </w:r>
    </w:p>
    <w:p w14:paraId="5DBD318F" w14:textId="6A5F0C52" w:rsidR="007E2AEF"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8706978" w:history="1">
        <w:r w:rsidR="007E2AEF" w:rsidRPr="005E33CC">
          <w:rPr>
            <w:rStyle w:val="Hyperlink"/>
            <w:rFonts w:ascii="Times New Roman" w:hAnsi="Times New Roman"/>
          </w:rPr>
          <w:t>ÁLTALÁNOS ÚTMUTATÓ</w:t>
        </w:r>
        <w:r w:rsidR="007E2AEF">
          <w:rPr>
            <w:webHidden/>
          </w:rPr>
          <w:tab/>
        </w:r>
        <w:r w:rsidR="007E2AEF">
          <w:rPr>
            <w:webHidden/>
          </w:rPr>
          <w:fldChar w:fldCharType="begin"/>
        </w:r>
        <w:r w:rsidR="007E2AEF">
          <w:rPr>
            <w:webHidden/>
          </w:rPr>
          <w:instrText xml:space="preserve"> PAGEREF _Toc188706978 \h </w:instrText>
        </w:r>
        <w:r w:rsidR="007E2AEF">
          <w:rPr>
            <w:webHidden/>
          </w:rPr>
        </w:r>
        <w:r w:rsidR="007E2AEF">
          <w:rPr>
            <w:webHidden/>
          </w:rPr>
          <w:fldChar w:fldCharType="separate"/>
        </w:r>
        <w:r w:rsidR="003C1DA4">
          <w:rPr>
            <w:webHidden/>
          </w:rPr>
          <w:t>3</w:t>
        </w:r>
        <w:r w:rsidR="007E2AEF">
          <w:rPr>
            <w:webHidden/>
          </w:rPr>
          <w:fldChar w:fldCharType="end"/>
        </w:r>
      </w:hyperlink>
    </w:p>
    <w:p w14:paraId="3E231FE1" w14:textId="1E991A27"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79" w:history="1">
        <w:r w:rsidR="007E2AEF" w:rsidRPr="005E33CC">
          <w:rPr>
            <w:rStyle w:val="Hyperlink"/>
            <w:rFonts w:ascii="Times New Roman" w:hAnsi="Times New Roman"/>
          </w:rPr>
          <w:t>1. FELÉPÍTÉS ÉS SZABÁLYOK</w:t>
        </w:r>
        <w:r w:rsidR="007E2AEF">
          <w:rPr>
            <w:webHidden/>
          </w:rPr>
          <w:tab/>
        </w:r>
        <w:r w:rsidR="007E2AEF">
          <w:rPr>
            <w:webHidden/>
          </w:rPr>
          <w:fldChar w:fldCharType="begin"/>
        </w:r>
        <w:r w:rsidR="007E2AEF">
          <w:rPr>
            <w:webHidden/>
          </w:rPr>
          <w:instrText xml:space="preserve"> PAGEREF _Toc188706979 \h </w:instrText>
        </w:r>
        <w:r w:rsidR="007E2AEF">
          <w:rPr>
            <w:webHidden/>
          </w:rPr>
        </w:r>
        <w:r w:rsidR="007E2AEF">
          <w:rPr>
            <w:webHidden/>
          </w:rPr>
          <w:fldChar w:fldCharType="separate"/>
        </w:r>
        <w:r>
          <w:rPr>
            <w:webHidden/>
          </w:rPr>
          <w:t>3</w:t>
        </w:r>
        <w:r w:rsidR="007E2AEF">
          <w:rPr>
            <w:webHidden/>
          </w:rPr>
          <w:fldChar w:fldCharType="end"/>
        </w:r>
      </w:hyperlink>
    </w:p>
    <w:p w14:paraId="648AC7EA" w14:textId="091D96D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0" w:history="1">
        <w:r w:rsidR="007E2AEF" w:rsidRPr="005E33CC">
          <w:rPr>
            <w:rStyle w:val="Hyperlink"/>
            <w:rFonts w:ascii="Times New Roman" w:hAnsi="Times New Roman"/>
          </w:rPr>
          <w:t>1.1.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Felépítés</w:t>
        </w:r>
        <w:r w:rsidR="007E2AEF">
          <w:rPr>
            <w:webHidden/>
          </w:rPr>
          <w:tab/>
        </w:r>
        <w:r w:rsidR="007E2AEF">
          <w:rPr>
            <w:webHidden/>
          </w:rPr>
          <w:fldChar w:fldCharType="begin"/>
        </w:r>
        <w:r w:rsidR="007E2AEF">
          <w:rPr>
            <w:webHidden/>
          </w:rPr>
          <w:instrText xml:space="preserve"> PAGEREF _Toc188706980 \h </w:instrText>
        </w:r>
        <w:r w:rsidR="007E2AEF">
          <w:rPr>
            <w:webHidden/>
          </w:rPr>
        </w:r>
        <w:r w:rsidR="007E2AEF">
          <w:rPr>
            <w:webHidden/>
          </w:rPr>
          <w:fldChar w:fldCharType="separate"/>
        </w:r>
        <w:r>
          <w:rPr>
            <w:webHidden/>
          </w:rPr>
          <w:t>3</w:t>
        </w:r>
        <w:r w:rsidR="007E2AEF">
          <w:rPr>
            <w:webHidden/>
          </w:rPr>
          <w:fldChar w:fldCharType="end"/>
        </w:r>
      </w:hyperlink>
    </w:p>
    <w:p w14:paraId="3B24394B" w14:textId="0D2E2CC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1" w:history="1">
        <w:r w:rsidR="007E2AEF" w:rsidRPr="005E33CC">
          <w:rPr>
            <w:rStyle w:val="Hyperlink"/>
            <w:rFonts w:ascii="Times New Roman" w:hAnsi="Times New Roman"/>
          </w:rPr>
          <w:t>1.2.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Számviteli szabályok</w:t>
        </w:r>
        <w:r w:rsidR="007E2AEF">
          <w:rPr>
            <w:webHidden/>
          </w:rPr>
          <w:tab/>
        </w:r>
        <w:r w:rsidR="007E2AEF">
          <w:rPr>
            <w:webHidden/>
          </w:rPr>
          <w:fldChar w:fldCharType="begin"/>
        </w:r>
        <w:r w:rsidR="007E2AEF">
          <w:rPr>
            <w:webHidden/>
          </w:rPr>
          <w:instrText xml:space="preserve"> PAGEREF _Toc188706981 \h </w:instrText>
        </w:r>
        <w:r w:rsidR="007E2AEF">
          <w:rPr>
            <w:webHidden/>
          </w:rPr>
        </w:r>
        <w:r w:rsidR="007E2AEF">
          <w:rPr>
            <w:webHidden/>
          </w:rPr>
          <w:fldChar w:fldCharType="separate"/>
        </w:r>
        <w:r>
          <w:rPr>
            <w:webHidden/>
          </w:rPr>
          <w:t>3</w:t>
        </w:r>
        <w:r w:rsidR="007E2AEF">
          <w:rPr>
            <w:webHidden/>
          </w:rPr>
          <w:fldChar w:fldCharType="end"/>
        </w:r>
      </w:hyperlink>
    </w:p>
    <w:p w14:paraId="77B6D18D" w14:textId="39D34D89"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2" w:history="1">
        <w:r w:rsidR="007E2AEF" w:rsidRPr="005E33CC">
          <w:rPr>
            <w:rStyle w:val="Hyperlink"/>
            <w:rFonts w:ascii="Times New Roman" w:hAnsi="Times New Roman"/>
          </w:rPr>
          <w:t>1.3.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Számozási szabályok</w:t>
        </w:r>
        <w:r w:rsidR="007E2AEF">
          <w:rPr>
            <w:webHidden/>
          </w:rPr>
          <w:tab/>
        </w:r>
        <w:r w:rsidR="007E2AEF">
          <w:rPr>
            <w:webHidden/>
          </w:rPr>
          <w:fldChar w:fldCharType="begin"/>
        </w:r>
        <w:r w:rsidR="007E2AEF">
          <w:rPr>
            <w:webHidden/>
          </w:rPr>
          <w:instrText xml:space="preserve"> PAGEREF _Toc188706982 \h </w:instrText>
        </w:r>
        <w:r w:rsidR="007E2AEF">
          <w:rPr>
            <w:webHidden/>
          </w:rPr>
        </w:r>
        <w:r w:rsidR="007E2AEF">
          <w:rPr>
            <w:webHidden/>
          </w:rPr>
          <w:fldChar w:fldCharType="separate"/>
        </w:r>
        <w:r>
          <w:rPr>
            <w:webHidden/>
          </w:rPr>
          <w:t>3</w:t>
        </w:r>
        <w:r w:rsidR="007E2AEF">
          <w:rPr>
            <w:webHidden/>
          </w:rPr>
          <w:fldChar w:fldCharType="end"/>
        </w:r>
      </w:hyperlink>
    </w:p>
    <w:p w14:paraId="3B921039" w14:textId="0DC0F7EA"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3" w:history="1">
        <w:r w:rsidR="007E2AEF" w:rsidRPr="005E33CC">
          <w:rPr>
            <w:rStyle w:val="Hyperlink"/>
            <w:rFonts w:ascii="Times New Roman" w:hAnsi="Times New Roman"/>
          </w:rPr>
          <w:t>1.4.</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Előjelre vonatkozó szabályok</w:t>
        </w:r>
        <w:r w:rsidR="007E2AEF">
          <w:rPr>
            <w:webHidden/>
          </w:rPr>
          <w:tab/>
        </w:r>
        <w:r w:rsidR="007E2AEF">
          <w:rPr>
            <w:webHidden/>
          </w:rPr>
          <w:fldChar w:fldCharType="begin"/>
        </w:r>
        <w:r w:rsidR="007E2AEF">
          <w:rPr>
            <w:webHidden/>
          </w:rPr>
          <w:instrText xml:space="preserve"> PAGEREF _Toc188706983 \h </w:instrText>
        </w:r>
        <w:r w:rsidR="007E2AEF">
          <w:rPr>
            <w:webHidden/>
          </w:rPr>
        </w:r>
        <w:r w:rsidR="007E2AEF">
          <w:rPr>
            <w:webHidden/>
          </w:rPr>
          <w:fldChar w:fldCharType="separate"/>
        </w:r>
        <w:r>
          <w:rPr>
            <w:webHidden/>
          </w:rPr>
          <w:t>4</w:t>
        </w:r>
        <w:r w:rsidR="007E2AEF">
          <w:rPr>
            <w:webHidden/>
          </w:rPr>
          <w:fldChar w:fldCharType="end"/>
        </w:r>
      </w:hyperlink>
    </w:p>
    <w:p w14:paraId="6D853A3D" w14:textId="2A8EA119"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4" w:history="1">
        <w:r w:rsidR="007E2AEF" w:rsidRPr="005E33CC">
          <w:rPr>
            <w:rStyle w:val="Hyperlink"/>
            <w:rFonts w:ascii="Times New Roman" w:hAnsi="Times New Roman"/>
          </w:rPr>
          <w:t>1.5.</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Alkalmazás szintje</w:t>
        </w:r>
        <w:r w:rsidR="007E2AEF">
          <w:rPr>
            <w:webHidden/>
          </w:rPr>
          <w:tab/>
        </w:r>
        <w:r w:rsidR="007E2AEF">
          <w:rPr>
            <w:webHidden/>
          </w:rPr>
          <w:fldChar w:fldCharType="begin"/>
        </w:r>
        <w:r w:rsidR="007E2AEF">
          <w:rPr>
            <w:webHidden/>
          </w:rPr>
          <w:instrText xml:space="preserve"> PAGEREF _Toc188706984 \h </w:instrText>
        </w:r>
        <w:r w:rsidR="007E2AEF">
          <w:rPr>
            <w:webHidden/>
          </w:rPr>
        </w:r>
        <w:r w:rsidR="007E2AEF">
          <w:rPr>
            <w:webHidden/>
          </w:rPr>
          <w:fldChar w:fldCharType="separate"/>
        </w:r>
        <w:r>
          <w:rPr>
            <w:webHidden/>
          </w:rPr>
          <w:t>4</w:t>
        </w:r>
        <w:r w:rsidR="007E2AEF">
          <w:rPr>
            <w:webHidden/>
          </w:rPr>
          <w:fldChar w:fldCharType="end"/>
        </w:r>
      </w:hyperlink>
    </w:p>
    <w:p w14:paraId="2B1826B4" w14:textId="290731A7"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5" w:history="1">
        <w:r w:rsidR="007E2AEF" w:rsidRPr="005E33CC">
          <w:rPr>
            <w:rStyle w:val="Hyperlink"/>
            <w:rFonts w:ascii="Times New Roman" w:hAnsi="Times New Roman"/>
          </w:rPr>
          <w:t>1.6.</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Arányosság</w:t>
        </w:r>
        <w:r w:rsidR="007E2AEF">
          <w:rPr>
            <w:webHidden/>
          </w:rPr>
          <w:tab/>
        </w:r>
        <w:r w:rsidR="007E2AEF">
          <w:rPr>
            <w:webHidden/>
          </w:rPr>
          <w:fldChar w:fldCharType="begin"/>
        </w:r>
        <w:r w:rsidR="007E2AEF">
          <w:rPr>
            <w:webHidden/>
          </w:rPr>
          <w:instrText xml:space="preserve"> PAGEREF _Toc188706985 \h </w:instrText>
        </w:r>
        <w:r w:rsidR="007E2AEF">
          <w:rPr>
            <w:webHidden/>
          </w:rPr>
        </w:r>
        <w:r w:rsidR="007E2AEF">
          <w:rPr>
            <w:webHidden/>
          </w:rPr>
          <w:fldChar w:fldCharType="separate"/>
        </w:r>
        <w:r>
          <w:rPr>
            <w:webHidden/>
          </w:rPr>
          <w:t>4</w:t>
        </w:r>
        <w:r w:rsidR="007E2AEF">
          <w:rPr>
            <w:webHidden/>
          </w:rPr>
          <w:fldChar w:fldCharType="end"/>
        </w:r>
      </w:hyperlink>
    </w:p>
    <w:p w14:paraId="58919AA3" w14:textId="37DA593E"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6" w:history="1">
        <w:r w:rsidR="007E2AEF" w:rsidRPr="005E33CC">
          <w:rPr>
            <w:rStyle w:val="Hyperlink"/>
            <w:rFonts w:ascii="Times New Roman" w:hAnsi="Times New Roman"/>
          </w:rPr>
          <w:t>1.7.</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Megterhelt eszköz fogalommeghatározása</w:t>
        </w:r>
        <w:r w:rsidR="007E2AEF">
          <w:rPr>
            <w:webHidden/>
          </w:rPr>
          <w:tab/>
        </w:r>
        <w:r w:rsidR="007E2AEF">
          <w:rPr>
            <w:webHidden/>
          </w:rPr>
          <w:fldChar w:fldCharType="begin"/>
        </w:r>
        <w:r w:rsidR="007E2AEF">
          <w:rPr>
            <w:webHidden/>
          </w:rPr>
          <w:instrText xml:space="preserve"> PAGEREF _Toc188706986 \h </w:instrText>
        </w:r>
        <w:r w:rsidR="007E2AEF">
          <w:rPr>
            <w:webHidden/>
          </w:rPr>
        </w:r>
        <w:r w:rsidR="007E2AEF">
          <w:rPr>
            <w:webHidden/>
          </w:rPr>
          <w:fldChar w:fldCharType="separate"/>
        </w:r>
        <w:r>
          <w:rPr>
            <w:webHidden/>
          </w:rPr>
          <w:t>4</w:t>
        </w:r>
        <w:r w:rsidR="007E2AEF">
          <w:rPr>
            <w:webHidden/>
          </w:rPr>
          <w:fldChar w:fldCharType="end"/>
        </w:r>
      </w:hyperlink>
    </w:p>
    <w:p w14:paraId="64E6317C" w14:textId="14949361"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7" w:history="1">
        <w:r w:rsidR="007E2AEF" w:rsidRPr="005E33CC">
          <w:rPr>
            <w:rStyle w:val="Hyperlink"/>
            <w:rFonts w:ascii="Times New Roman" w:hAnsi="Times New Roman"/>
          </w:rPr>
          <w:t>TÁBLASPECIFIKUS ÚTMUTATÓ</w:t>
        </w:r>
        <w:r w:rsidR="007E2AEF">
          <w:rPr>
            <w:webHidden/>
          </w:rPr>
          <w:tab/>
        </w:r>
        <w:r w:rsidR="007E2AEF">
          <w:rPr>
            <w:webHidden/>
          </w:rPr>
          <w:fldChar w:fldCharType="begin"/>
        </w:r>
        <w:r w:rsidR="007E2AEF">
          <w:rPr>
            <w:webHidden/>
          </w:rPr>
          <w:instrText xml:space="preserve"> PAGEREF _Toc188706987 \h </w:instrText>
        </w:r>
        <w:r w:rsidR="007E2AEF">
          <w:rPr>
            <w:webHidden/>
          </w:rPr>
        </w:r>
        <w:r w:rsidR="007E2AEF">
          <w:rPr>
            <w:webHidden/>
          </w:rPr>
          <w:fldChar w:fldCharType="separate"/>
        </w:r>
        <w:r>
          <w:rPr>
            <w:webHidden/>
          </w:rPr>
          <w:t>5</w:t>
        </w:r>
        <w:r w:rsidR="007E2AEF">
          <w:rPr>
            <w:webHidden/>
          </w:rPr>
          <w:fldChar w:fldCharType="end"/>
        </w:r>
      </w:hyperlink>
    </w:p>
    <w:p w14:paraId="6E054CD1" w14:textId="41AF1EE0"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8" w:history="1">
        <w:r w:rsidR="007E2AEF" w:rsidRPr="005E33CC">
          <w:rPr>
            <w:rStyle w:val="Hyperlink"/>
            <w:rFonts w:ascii="Times New Roman" w:hAnsi="Times New Roman"/>
          </w:rPr>
          <w:t>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rész: Megterhelés áttekintése</w:t>
        </w:r>
        <w:r w:rsidR="007E2AEF">
          <w:rPr>
            <w:webHidden/>
          </w:rPr>
          <w:tab/>
        </w:r>
        <w:r w:rsidR="007E2AEF">
          <w:rPr>
            <w:webHidden/>
          </w:rPr>
          <w:fldChar w:fldCharType="begin"/>
        </w:r>
        <w:r w:rsidR="007E2AEF">
          <w:rPr>
            <w:webHidden/>
          </w:rPr>
          <w:instrText xml:space="preserve"> PAGEREF _Toc188706988 \h </w:instrText>
        </w:r>
        <w:r w:rsidR="007E2AEF">
          <w:rPr>
            <w:webHidden/>
          </w:rPr>
        </w:r>
        <w:r w:rsidR="007E2AEF">
          <w:rPr>
            <w:webHidden/>
          </w:rPr>
          <w:fldChar w:fldCharType="separate"/>
        </w:r>
        <w:r>
          <w:rPr>
            <w:webHidden/>
          </w:rPr>
          <w:t>5</w:t>
        </w:r>
        <w:r w:rsidR="007E2AEF">
          <w:rPr>
            <w:webHidden/>
          </w:rPr>
          <w:fldChar w:fldCharType="end"/>
        </w:r>
      </w:hyperlink>
    </w:p>
    <w:p w14:paraId="5C60E7E8" w14:textId="7FB282EC"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89" w:history="1">
        <w:r w:rsidR="007E2AEF" w:rsidRPr="005E33CC">
          <w:rPr>
            <w:rStyle w:val="Hyperlink"/>
            <w:rFonts w:ascii="Times New Roman" w:hAnsi="Times New Roman"/>
          </w:rPr>
          <w:t>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AE-ASS tábla. Az adatszolgáltató intézmény eszközei</w:t>
        </w:r>
        <w:r w:rsidR="007E2AEF">
          <w:rPr>
            <w:webHidden/>
          </w:rPr>
          <w:tab/>
        </w:r>
        <w:r w:rsidR="007E2AEF">
          <w:rPr>
            <w:webHidden/>
          </w:rPr>
          <w:fldChar w:fldCharType="begin"/>
        </w:r>
        <w:r w:rsidR="007E2AEF">
          <w:rPr>
            <w:webHidden/>
          </w:rPr>
          <w:instrText xml:space="preserve"> PAGEREF _Toc188706989 \h </w:instrText>
        </w:r>
        <w:r w:rsidR="007E2AEF">
          <w:rPr>
            <w:webHidden/>
          </w:rPr>
        </w:r>
        <w:r w:rsidR="007E2AEF">
          <w:rPr>
            <w:webHidden/>
          </w:rPr>
          <w:fldChar w:fldCharType="separate"/>
        </w:r>
        <w:r>
          <w:rPr>
            <w:webHidden/>
          </w:rPr>
          <w:t>6</w:t>
        </w:r>
        <w:r w:rsidR="007E2AEF">
          <w:rPr>
            <w:webHidden/>
          </w:rPr>
          <w:fldChar w:fldCharType="end"/>
        </w:r>
      </w:hyperlink>
    </w:p>
    <w:p w14:paraId="0CADA466" w14:textId="6DE701F3"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0" w:history="1">
        <w:r w:rsidR="007E2AEF" w:rsidRPr="005E33CC">
          <w:rPr>
            <w:rStyle w:val="Hyperlink"/>
            <w:rFonts w:ascii="Times New Roman" w:hAnsi="Times New Roman"/>
          </w:rPr>
          <w:t>2.1.1.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_Toc188706990 \h </w:instrText>
        </w:r>
        <w:r w:rsidR="007E2AEF">
          <w:rPr>
            <w:webHidden/>
          </w:rPr>
        </w:r>
        <w:r w:rsidR="007E2AEF">
          <w:rPr>
            <w:webHidden/>
          </w:rPr>
          <w:fldChar w:fldCharType="separate"/>
        </w:r>
        <w:r>
          <w:rPr>
            <w:webHidden/>
          </w:rPr>
          <w:t>6</w:t>
        </w:r>
        <w:r w:rsidR="007E2AEF">
          <w:rPr>
            <w:webHidden/>
          </w:rPr>
          <w:fldChar w:fldCharType="end"/>
        </w:r>
      </w:hyperlink>
    </w:p>
    <w:p w14:paraId="7C888CDB" w14:textId="17BF110D"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1" w:history="1">
        <w:r w:rsidR="007E2AEF" w:rsidRPr="005E33CC">
          <w:rPr>
            <w:rStyle w:val="Hyperlink"/>
            <w:rFonts w:ascii="Times New Roman" w:hAnsi="Times New Roman"/>
          </w:rPr>
          <w:t>2.1.2.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_Toc188706991 \h </w:instrText>
        </w:r>
        <w:r w:rsidR="007E2AEF">
          <w:rPr>
            <w:webHidden/>
          </w:rPr>
        </w:r>
        <w:r w:rsidR="007E2AEF">
          <w:rPr>
            <w:webHidden/>
          </w:rPr>
          <w:fldChar w:fldCharType="separate"/>
        </w:r>
        <w:r>
          <w:rPr>
            <w:webHidden/>
          </w:rPr>
          <w:t>8</w:t>
        </w:r>
        <w:r w:rsidR="007E2AEF">
          <w:rPr>
            <w:webHidden/>
          </w:rPr>
          <w:fldChar w:fldCharType="end"/>
        </w:r>
      </w:hyperlink>
    </w:p>
    <w:p w14:paraId="1D90A96B" w14:textId="532ACE6B"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2" w:history="1">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_Toc188706992 \h </w:instrText>
        </w:r>
        <w:r w:rsidR="007E2AEF">
          <w:rPr>
            <w:webHidden/>
          </w:rPr>
        </w:r>
        <w:r w:rsidR="007E2AEF">
          <w:rPr>
            <w:webHidden/>
          </w:rPr>
          <w:fldChar w:fldCharType="separate"/>
        </w:r>
        <w:r>
          <w:rPr>
            <w:webHidden/>
          </w:rPr>
          <w:t>10</w:t>
        </w:r>
        <w:r w:rsidR="007E2AEF">
          <w:rPr>
            <w:webHidden/>
          </w:rPr>
          <w:fldChar w:fldCharType="end"/>
        </w:r>
      </w:hyperlink>
    </w:p>
    <w:p w14:paraId="51C02B16" w14:textId="1C077E38"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3" w:history="1">
        <w:r w:rsidR="007E2AEF" w:rsidRPr="005E33CC">
          <w:rPr>
            <w:rStyle w:val="Hyperlink"/>
            <w:rFonts w:ascii="Times New Roman" w:hAnsi="Times New Roman"/>
          </w:rPr>
          <w:t>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AE-COL. Az adatszolgáltató intézmény által kapott biztosíték</w:t>
        </w:r>
        <w:r w:rsidR="007E2AEF">
          <w:rPr>
            <w:webHidden/>
          </w:rPr>
          <w:tab/>
        </w:r>
        <w:r w:rsidR="007E2AEF">
          <w:rPr>
            <w:webHidden/>
          </w:rPr>
          <w:fldChar w:fldCharType="begin"/>
        </w:r>
        <w:r w:rsidR="007E2AEF">
          <w:rPr>
            <w:webHidden/>
          </w:rPr>
          <w:instrText xml:space="preserve"> PAGEREF _Toc188706993 \h </w:instrText>
        </w:r>
        <w:r w:rsidR="007E2AEF">
          <w:rPr>
            <w:webHidden/>
          </w:rPr>
        </w:r>
        <w:r w:rsidR="007E2AEF">
          <w:rPr>
            <w:webHidden/>
          </w:rPr>
          <w:fldChar w:fldCharType="separate"/>
        </w:r>
        <w:r>
          <w:rPr>
            <w:webHidden/>
          </w:rPr>
          <w:t>13</w:t>
        </w:r>
        <w:r w:rsidR="007E2AEF">
          <w:rPr>
            <w:webHidden/>
          </w:rPr>
          <w:fldChar w:fldCharType="end"/>
        </w:r>
      </w:hyperlink>
    </w:p>
    <w:p w14:paraId="5441D431" w14:textId="777868CA"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4" w:history="1">
        <w:r w:rsidR="007E2AEF" w:rsidRPr="005E33CC">
          <w:rPr>
            <w:rStyle w:val="Hyperlink"/>
            <w:rFonts w:ascii="Times New Roman" w:hAnsi="Times New Roman"/>
          </w:rPr>
          <w:t>2.2.1.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_Toc188706994 \h </w:instrText>
        </w:r>
        <w:r w:rsidR="007E2AEF">
          <w:rPr>
            <w:webHidden/>
          </w:rPr>
        </w:r>
        <w:r w:rsidR="007E2AEF">
          <w:rPr>
            <w:webHidden/>
          </w:rPr>
          <w:fldChar w:fldCharType="separate"/>
        </w:r>
        <w:r>
          <w:rPr>
            <w:webHidden/>
          </w:rPr>
          <w:t>13</w:t>
        </w:r>
        <w:r w:rsidR="007E2AEF">
          <w:rPr>
            <w:webHidden/>
          </w:rPr>
          <w:fldChar w:fldCharType="end"/>
        </w:r>
      </w:hyperlink>
    </w:p>
    <w:p w14:paraId="7C763689" w14:textId="633A8FB9"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5" w:history="1">
        <w:r w:rsidR="007E2AEF" w:rsidRPr="005E33CC">
          <w:rPr>
            <w:rStyle w:val="Hyperlink"/>
            <w:rFonts w:ascii="Times New Roman" w:hAnsi="Times New Roman"/>
          </w:rPr>
          <w:t>2.2.2.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_Toc188706995 \h </w:instrText>
        </w:r>
        <w:r w:rsidR="007E2AEF">
          <w:rPr>
            <w:webHidden/>
          </w:rPr>
        </w:r>
        <w:r w:rsidR="007E2AEF">
          <w:rPr>
            <w:webHidden/>
          </w:rPr>
          <w:fldChar w:fldCharType="separate"/>
        </w:r>
        <w:r>
          <w:rPr>
            <w:webHidden/>
          </w:rPr>
          <w:t>14</w:t>
        </w:r>
        <w:r w:rsidR="007E2AEF">
          <w:rPr>
            <w:webHidden/>
          </w:rPr>
          <w:fldChar w:fldCharType="end"/>
        </w:r>
      </w:hyperlink>
    </w:p>
    <w:p w14:paraId="5E1724B2" w14:textId="618CF29B"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6" w:history="1">
        <w:r w:rsidR="007E2AEF" w:rsidRPr="005E33CC">
          <w:rPr>
            <w:rStyle w:val="Hyperlink"/>
            <w:rFonts w:ascii="Times New Roman" w:hAnsi="Times New Roman"/>
          </w:rPr>
          <w:t>2.2.3.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_Toc188706996 \h </w:instrText>
        </w:r>
        <w:r w:rsidR="007E2AEF">
          <w:rPr>
            <w:webHidden/>
          </w:rPr>
        </w:r>
        <w:r w:rsidR="007E2AEF">
          <w:rPr>
            <w:webHidden/>
          </w:rPr>
          <w:fldChar w:fldCharType="separate"/>
        </w:r>
        <w:r>
          <w:rPr>
            <w:webHidden/>
          </w:rPr>
          <w:t>17</w:t>
        </w:r>
        <w:r w:rsidR="007E2AEF">
          <w:rPr>
            <w:webHidden/>
          </w:rPr>
          <w:fldChar w:fldCharType="end"/>
        </w:r>
      </w:hyperlink>
    </w:p>
    <w:p w14:paraId="38E7B57A" w14:textId="2C4BC29A"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7" w:history="1">
        <w:r w:rsidR="007E2AEF" w:rsidRPr="005E33CC">
          <w:rPr>
            <w:rStyle w:val="Hyperlink"/>
            <w:rFonts w:ascii="Times New Roman" w:hAnsi="Times New Roman"/>
          </w:rPr>
          <w:t>2.3.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AE-NPL. Még nem elzálogosított saját kibocsátású fedezett kötvények és értékpapírosítások</w:t>
        </w:r>
        <w:r w:rsidR="007E2AEF">
          <w:rPr>
            <w:webHidden/>
          </w:rPr>
          <w:tab/>
        </w:r>
        <w:r w:rsidR="007E2AEF">
          <w:rPr>
            <w:webHidden/>
          </w:rPr>
          <w:fldChar w:fldCharType="begin"/>
        </w:r>
        <w:r w:rsidR="007E2AEF">
          <w:rPr>
            <w:webHidden/>
          </w:rPr>
          <w:instrText xml:space="preserve"> PAGEREF _Toc188706997 \h </w:instrText>
        </w:r>
        <w:r w:rsidR="007E2AEF">
          <w:rPr>
            <w:webHidden/>
          </w:rPr>
        </w:r>
        <w:r w:rsidR="007E2AEF">
          <w:rPr>
            <w:webHidden/>
          </w:rPr>
          <w:fldChar w:fldCharType="separate"/>
        </w:r>
        <w:r>
          <w:rPr>
            <w:webHidden/>
          </w:rPr>
          <w:t>19</w:t>
        </w:r>
        <w:r w:rsidR="007E2AEF">
          <w:rPr>
            <w:webHidden/>
          </w:rPr>
          <w:fldChar w:fldCharType="end"/>
        </w:r>
      </w:hyperlink>
    </w:p>
    <w:p w14:paraId="2C29E9FB" w14:textId="68E3CDBB"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8" w:history="1">
        <w:r w:rsidR="007E2AEF" w:rsidRPr="005E33CC">
          <w:rPr>
            <w:rStyle w:val="Hyperlink"/>
            <w:rFonts w:ascii="Times New Roman" w:hAnsi="Times New Roman"/>
          </w:rPr>
          <w:t>2.3.1.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_Toc188706998 \h </w:instrText>
        </w:r>
        <w:r w:rsidR="007E2AEF">
          <w:rPr>
            <w:webHidden/>
          </w:rPr>
        </w:r>
        <w:r w:rsidR="007E2AEF">
          <w:rPr>
            <w:webHidden/>
          </w:rPr>
          <w:fldChar w:fldCharType="separate"/>
        </w:r>
        <w:r>
          <w:rPr>
            <w:webHidden/>
          </w:rPr>
          <w:t>19</w:t>
        </w:r>
        <w:r w:rsidR="007E2AEF">
          <w:rPr>
            <w:webHidden/>
          </w:rPr>
          <w:fldChar w:fldCharType="end"/>
        </w:r>
      </w:hyperlink>
    </w:p>
    <w:p w14:paraId="5F0201CC" w14:textId="5666CCD0"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6999" w:history="1">
        <w:r w:rsidR="007E2AEF" w:rsidRPr="005E33CC">
          <w:rPr>
            <w:rStyle w:val="Hyperlink"/>
            <w:rFonts w:ascii="Times New Roman" w:hAnsi="Times New Roman"/>
          </w:rPr>
          <w:t>2.3.2.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_Toc188706999 \h </w:instrText>
        </w:r>
        <w:r w:rsidR="007E2AEF">
          <w:rPr>
            <w:webHidden/>
          </w:rPr>
        </w:r>
        <w:r w:rsidR="007E2AEF">
          <w:rPr>
            <w:webHidden/>
          </w:rPr>
          <w:fldChar w:fldCharType="separate"/>
        </w:r>
        <w:r>
          <w:rPr>
            <w:webHidden/>
          </w:rPr>
          <w:t>19</w:t>
        </w:r>
        <w:r w:rsidR="007E2AEF">
          <w:rPr>
            <w:webHidden/>
          </w:rPr>
          <w:fldChar w:fldCharType="end"/>
        </w:r>
      </w:hyperlink>
    </w:p>
    <w:p w14:paraId="6B0BD11D" w14:textId="091E33D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0" w:history="1">
        <w:r w:rsidR="007E2AEF" w:rsidRPr="005E33CC">
          <w:rPr>
            <w:rStyle w:val="Hyperlink"/>
            <w:rFonts w:ascii="Times New Roman" w:hAnsi="Times New Roman"/>
          </w:rPr>
          <w:t>2.3.3.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_Toc188707000 \h </w:instrText>
        </w:r>
        <w:r w:rsidR="007E2AEF">
          <w:rPr>
            <w:webHidden/>
          </w:rPr>
        </w:r>
        <w:r w:rsidR="007E2AEF">
          <w:rPr>
            <w:webHidden/>
          </w:rPr>
          <w:fldChar w:fldCharType="separate"/>
        </w:r>
        <w:r>
          <w:rPr>
            <w:webHidden/>
          </w:rPr>
          <w:t>20</w:t>
        </w:r>
        <w:r w:rsidR="007E2AEF">
          <w:rPr>
            <w:webHidden/>
          </w:rPr>
          <w:fldChar w:fldCharType="end"/>
        </w:r>
      </w:hyperlink>
    </w:p>
    <w:p w14:paraId="3F6235DA" w14:textId="3DB64DB0"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1" w:history="1">
        <w:r w:rsidR="007E2AEF" w:rsidRPr="005E33CC">
          <w:rPr>
            <w:rStyle w:val="Hyperlink"/>
            <w:rFonts w:ascii="Times New Roman" w:hAnsi="Times New Roman"/>
          </w:rPr>
          <w:t>2.4.</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AE-SOU. Megterhelés forrásai</w:t>
        </w:r>
        <w:r w:rsidR="007E2AEF">
          <w:rPr>
            <w:webHidden/>
          </w:rPr>
          <w:tab/>
        </w:r>
        <w:r w:rsidR="007E2AEF">
          <w:rPr>
            <w:webHidden/>
          </w:rPr>
          <w:fldChar w:fldCharType="begin"/>
        </w:r>
        <w:r w:rsidR="007E2AEF">
          <w:rPr>
            <w:webHidden/>
          </w:rPr>
          <w:instrText xml:space="preserve"> PAGEREF _Toc188707001 \h </w:instrText>
        </w:r>
        <w:r w:rsidR="007E2AEF">
          <w:rPr>
            <w:webHidden/>
          </w:rPr>
        </w:r>
        <w:r w:rsidR="007E2AEF">
          <w:rPr>
            <w:webHidden/>
          </w:rPr>
          <w:fldChar w:fldCharType="separate"/>
        </w:r>
        <w:r>
          <w:rPr>
            <w:webHidden/>
          </w:rPr>
          <w:t>21</w:t>
        </w:r>
        <w:r w:rsidR="007E2AEF">
          <w:rPr>
            <w:webHidden/>
          </w:rPr>
          <w:fldChar w:fldCharType="end"/>
        </w:r>
      </w:hyperlink>
    </w:p>
    <w:p w14:paraId="35B8D0D3" w14:textId="18AD2561"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2" w:history="1">
        <w:r w:rsidR="007E2AEF" w:rsidRPr="005E33CC">
          <w:rPr>
            <w:rStyle w:val="Hyperlink"/>
            <w:rFonts w:ascii="Times New Roman" w:hAnsi="Times New Roman"/>
          </w:rPr>
          <w:t>2.4.1.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_Toc188707002 \h </w:instrText>
        </w:r>
        <w:r w:rsidR="007E2AEF">
          <w:rPr>
            <w:webHidden/>
          </w:rPr>
        </w:r>
        <w:r w:rsidR="007E2AEF">
          <w:rPr>
            <w:webHidden/>
          </w:rPr>
          <w:fldChar w:fldCharType="separate"/>
        </w:r>
        <w:r>
          <w:rPr>
            <w:webHidden/>
          </w:rPr>
          <w:t>21</w:t>
        </w:r>
        <w:r w:rsidR="007E2AEF">
          <w:rPr>
            <w:webHidden/>
          </w:rPr>
          <w:fldChar w:fldCharType="end"/>
        </w:r>
      </w:hyperlink>
    </w:p>
    <w:p w14:paraId="0E300652" w14:textId="403DA053"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3" w:history="1">
        <w:r w:rsidR="007E2AEF" w:rsidRPr="005E33CC">
          <w:rPr>
            <w:rStyle w:val="Hyperlink"/>
            <w:rFonts w:ascii="Times New Roman" w:hAnsi="Times New Roman"/>
          </w:rPr>
          <w:t>2.4.2.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_Toc188707003 \h </w:instrText>
        </w:r>
        <w:r w:rsidR="007E2AEF">
          <w:rPr>
            <w:webHidden/>
          </w:rPr>
        </w:r>
        <w:r w:rsidR="007E2AEF">
          <w:rPr>
            <w:webHidden/>
          </w:rPr>
          <w:fldChar w:fldCharType="separate"/>
        </w:r>
        <w:r>
          <w:rPr>
            <w:webHidden/>
          </w:rPr>
          <w:t>21</w:t>
        </w:r>
        <w:r w:rsidR="007E2AEF">
          <w:rPr>
            <w:webHidden/>
          </w:rPr>
          <w:fldChar w:fldCharType="end"/>
        </w:r>
      </w:hyperlink>
    </w:p>
    <w:p w14:paraId="636F3F32" w14:textId="2CA4A532"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4" w:history="1">
        <w:r w:rsidR="007E2AEF" w:rsidRPr="005E33CC">
          <w:rPr>
            <w:rStyle w:val="Hyperlink"/>
            <w:rFonts w:ascii="Times New Roman" w:hAnsi="Times New Roman"/>
          </w:rPr>
          <w:t>2.4.3.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_Toc188707004 \h </w:instrText>
        </w:r>
        <w:r w:rsidR="007E2AEF">
          <w:rPr>
            <w:webHidden/>
          </w:rPr>
        </w:r>
        <w:r w:rsidR="007E2AEF">
          <w:rPr>
            <w:webHidden/>
          </w:rPr>
          <w:fldChar w:fldCharType="separate"/>
        </w:r>
        <w:r>
          <w:rPr>
            <w:webHidden/>
          </w:rPr>
          <w:t>23</w:t>
        </w:r>
        <w:r w:rsidR="007E2AEF">
          <w:rPr>
            <w:webHidden/>
          </w:rPr>
          <w:fldChar w:fldCharType="end"/>
        </w:r>
      </w:hyperlink>
    </w:p>
    <w:p w14:paraId="3DD83EFA" w14:textId="0C7CB7D9"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5" w:history="1">
        <w:r w:rsidR="007E2AEF" w:rsidRPr="005E33CC">
          <w:rPr>
            <w:rStyle w:val="Hyperlink"/>
            <w:rFonts w:ascii="Times New Roman" w:hAnsi="Times New Roman"/>
          </w:rPr>
          <w:t>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B. rész: Lejárati adatok</w:t>
        </w:r>
        <w:r w:rsidR="007E2AEF">
          <w:rPr>
            <w:webHidden/>
          </w:rPr>
          <w:tab/>
        </w:r>
        <w:r w:rsidR="007E2AEF">
          <w:rPr>
            <w:webHidden/>
          </w:rPr>
          <w:fldChar w:fldCharType="begin"/>
        </w:r>
        <w:r w:rsidR="007E2AEF">
          <w:rPr>
            <w:webHidden/>
          </w:rPr>
          <w:instrText xml:space="preserve"> PAGEREF _Toc188707005 \h </w:instrText>
        </w:r>
        <w:r w:rsidR="007E2AEF">
          <w:rPr>
            <w:webHidden/>
          </w:rPr>
        </w:r>
        <w:r w:rsidR="007E2AEF">
          <w:rPr>
            <w:webHidden/>
          </w:rPr>
          <w:fldChar w:fldCharType="separate"/>
        </w:r>
        <w:r>
          <w:rPr>
            <w:webHidden/>
          </w:rPr>
          <w:t>24</w:t>
        </w:r>
        <w:r w:rsidR="007E2AEF">
          <w:rPr>
            <w:webHidden/>
          </w:rPr>
          <w:fldChar w:fldCharType="end"/>
        </w:r>
      </w:hyperlink>
    </w:p>
    <w:p w14:paraId="2BF4C02F" w14:textId="45E2570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6" w:history="1">
        <w:r w:rsidR="007E2AEF" w:rsidRPr="005E33CC">
          <w:rPr>
            <w:rStyle w:val="Hyperlink"/>
            <w:rFonts w:ascii="Times New Roman" w:hAnsi="Times New Roman"/>
          </w:rPr>
          <w:t>3.1.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_Toc188707006 \h </w:instrText>
        </w:r>
        <w:r w:rsidR="007E2AEF">
          <w:rPr>
            <w:webHidden/>
          </w:rPr>
        </w:r>
        <w:r w:rsidR="007E2AEF">
          <w:rPr>
            <w:webHidden/>
          </w:rPr>
          <w:fldChar w:fldCharType="separate"/>
        </w:r>
        <w:r>
          <w:rPr>
            <w:webHidden/>
          </w:rPr>
          <w:t>24</w:t>
        </w:r>
        <w:r w:rsidR="007E2AEF">
          <w:rPr>
            <w:webHidden/>
          </w:rPr>
          <w:fldChar w:fldCharType="end"/>
        </w:r>
      </w:hyperlink>
    </w:p>
    <w:p w14:paraId="677D89DD" w14:textId="79E572A8"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7" w:history="1">
        <w:r w:rsidR="007E2AEF" w:rsidRPr="005E33CC">
          <w:rPr>
            <w:rStyle w:val="Hyperlink"/>
            <w:rFonts w:ascii="Times New Roman" w:hAnsi="Times New Roman"/>
          </w:rPr>
          <w:t>3.2.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AE-MAT. Lejárati adatok</w:t>
        </w:r>
        <w:r w:rsidR="007E2AEF">
          <w:rPr>
            <w:webHidden/>
          </w:rPr>
          <w:tab/>
        </w:r>
        <w:r w:rsidR="007E2AEF">
          <w:rPr>
            <w:webHidden/>
          </w:rPr>
          <w:fldChar w:fldCharType="begin"/>
        </w:r>
        <w:r w:rsidR="007E2AEF">
          <w:rPr>
            <w:webHidden/>
          </w:rPr>
          <w:instrText xml:space="preserve"> PAGEREF _Toc188707007 \h </w:instrText>
        </w:r>
        <w:r w:rsidR="007E2AEF">
          <w:rPr>
            <w:webHidden/>
          </w:rPr>
        </w:r>
        <w:r w:rsidR="007E2AEF">
          <w:rPr>
            <w:webHidden/>
          </w:rPr>
          <w:fldChar w:fldCharType="separate"/>
        </w:r>
        <w:r>
          <w:rPr>
            <w:webHidden/>
          </w:rPr>
          <w:t>25</w:t>
        </w:r>
        <w:r w:rsidR="007E2AEF">
          <w:rPr>
            <w:webHidden/>
          </w:rPr>
          <w:fldChar w:fldCharType="end"/>
        </w:r>
      </w:hyperlink>
    </w:p>
    <w:p w14:paraId="561EC55E" w14:textId="259C971A"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8" w:history="1">
        <w:r w:rsidR="007E2AEF" w:rsidRPr="005E33CC">
          <w:rPr>
            <w:rStyle w:val="Hyperlink"/>
            <w:rFonts w:ascii="Times New Roman" w:hAnsi="Times New Roman"/>
          </w:rPr>
          <w:t>3.2.1.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_Toc188707008 \h </w:instrText>
        </w:r>
        <w:r w:rsidR="007E2AEF">
          <w:rPr>
            <w:webHidden/>
          </w:rPr>
        </w:r>
        <w:r w:rsidR="007E2AEF">
          <w:rPr>
            <w:webHidden/>
          </w:rPr>
          <w:fldChar w:fldCharType="separate"/>
        </w:r>
        <w:r>
          <w:rPr>
            <w:webHidden/>
          </w:rPr>
          <w:t>25</w:t>
        </w:r>
        <w:r w:rsidR="007E2AEF">
          <w:rPr>
            <w:webHidden/>
          </w:rPr>
          <w:fldChar w:fldCharType="end"/>
        </w:r>
      </w:hyperlink>
    </w:p>
    <w:p w14:paraId="75867811" w14:textId="38430150"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09" w:history="1">
        <w:r w:rsidR="007E2AEF" w:rsidRPr="005E33CC">
          <w:rPr>
            <w:rStyle w:val="Hyperlink"/>
            <w:rFonts w:ascii="Times New Roman" w:hAnsi="Times New Roman"/>
          </w:rPr>
          <w:t>3.2.2.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_Toc188707009 \h </w:instrText>
        </w:r>
        <w:r w:rsidR="007E2AEF">
          <w:rPr>
            <w:webHidden/>
          </w:rPr>
        </w:r>
        <w:r w:rsidR="007E2AEF">
          <w:rPr>
            <w:webHidden/>
          </w:rPr>
          <w:fldChar w:fldCharType="separate"/>
        </w:r>
        <w:r>
          <w:rPr>
            <w:webHidden/>
          </w:rPr>
          <w:t>25</w:t>
        </w:r>
        <w:r w:rsidR="007E2AEF">
          <w:rPr>
            <w:webHidden/>
          </w:rPr>
          <w:fldChar w:fldCharType="end"/>
        </w:r>
      </w:hyperlink>
    </w:p>
    <w:p w14:paraId="42B92AF9" w14:textId="55F518D8"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0" w:history="1">
        <w:r w:rsidR="007E2AEF" w:rsidRPr="005E33CC">
          <w:rPr>
            <w:rStyle w:val="Hyperlink"/>
            <w:rFonts w:ascii="Times New Roman" w:hAnsi="Times New Roman"/>
          </w:rPr>
          <w:t>4.</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C. rész: Függő megterhelés</w:t>
        </w:r>
        <w:r w:rsidR="007E2AEF">
          <w:rPr>
            <w:webHidden/>
          </w:rPr>
          <w:tab/>
        </w:r>
        <w:r w:rsidR="007E2AEF">
          <w:rPr>
            <w:webHidden/>
          </w:rPr>
          <w:fldChar w:fldCharType="begin"/>
        </w:r>
        <w:r w:rsidR="007E2AEF">
          <w:rPr>
            <w:webHidden/>
          </w:rPr>
          <w:instrText xml:space="preserve"> PAGEREF _Toc188707010 \h </w:instrText>
        </w:r>
        <w:r w:rsidR="007E2AEF">
          <w:rPr>
            <w:webHidden/>
          </w:rPr>
        </w:r>
        <w:r w:rsidR="007E2AEF">
          <w:rPr>
            <w:webHidden/>
          </w:rPr>
          <w:fldChar w:fldCharType="separate"/>
        </w:r>
        <w:r>
          <w:rPr>
            <w:webHidden/>
          </w:rPr>
          <w:t>26</w:t>
        </w:r>
        <w:r w:rsidR="007E2AEF">
          <w:rPr>
            <w:webHidden/>
          </w:rPr>
          <w:fldChar w:fldCharType="end"/>
        </w:r>
      </w:hyperlink>
    </w:p>
    <w:p w14:paraId="54B2639A" w14:textId="1F83458D"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1" w:history="1">
        <w:r w:rsidR="007E2AEF" w:rsidRPr="005E33CC">
          <w:rPr>
            <w:rStyle w:val="Hyperlink"/>
            <w:rFonts w:ascii="Times New Roman" w:hAnsi="Times New Roman"/>
          </w:rPr>
          <w:t>4.1.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_Toc188707011 \h </w:instrText>
        </w:r>
        <w:r w:rsidR="007E2AEF">
          <w:rPr>
            <w:webHidden/>
          </w:rPr>
        </w:r>
        <w:r w:rsidR="007E2AEF">
          <w:rPr>
            <w:webHidden/>
          </w:rPr>
          <w:fldChar w:fldCharType="separate"/>
        </w:r>
        <w:r>
          <w:rPr>
            <w:webHidden/>
          </w:rPr>
          <w:t>26</w:t>
        </w:r>
        <w:r w:rsidR="007E2AEF">
          <w:rPr>
            <w:webHidden/>
          </w:rPr>
          <w:fldChar w:fldCharType="end"/>
        </w:r>
      </w:hyperlink>
    </w:p>
    <w:p w14:paraId="5AA40048" w14:textId="21099EBC"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2" w:history="1">
        <w:r w:rsidR="007E2AEF" w:rsidRPr="005E33CC">
          <w:rPr>
            <w:rStyle w:val="Hyperlink"/>
            <w:rFonts w:ascii="Times New Roman" w:hAnsi="Times New Roman"/>
          </w:rPr>
          <w:t>4.1.1.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forgatókönyv: A megterhelt eszközök 30 %-os csökkentése</w:t>
        </w:r>
        <w:r w:rsidR="007E2AEF">
          <w:rPr>
            <w:webHidden/>
          </w:rPr>
          <w:tab/>
        </w:r>
        <w:r w:rsidR="007E2AEF">
          <w:rPr>
            <w:webHidden/>
          </w:rPr>
          <w:fldChar w:fldCharType="begin"/>
        </w:r>
        <w:r w:rsidR="007E2AEF">
          <w:rPr>
            <w:webHidden/>
          </w:rPr>
          <w:instrText xml:space="preserve"> PAGEREF _Toc188707012 \h </w:instrText>
        </w:r>
        <w:r w:rsidR="007E2AEF">
          <w:rPr>
            <w:webHidden/>
          </w:rPr>
        </w:r>
        <w:r w:rsidR="007E2AEF">
          <w:rPr>
            <w:webHidden/>
          </w:rPr>
          <w:fldChar w:fldCharType="separate"/>
        </w:r>
        <w:r>
          <w:rPr>
            <w:webHidden/>
          </w:rPr>
          <w:t>27</w:t>
        </w:r>
        <w:r w:rsidR="007E2AEF">
          <w:rPr>
            <w:webHidden/>
          </w:rPr>
          <w:fldChar w:fldCharType="end"/>
        </w:r>
      </w:hyperlink>
    </w:p>
    <w:p w14:paraId="60ABB53A" w14:textId="104E3EE3"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3" w:history="1">
        <w:r w:rsidR="007E2AEF" w:rsidRPr="005E33CC">
          <w:rPr>
            <w:rStyle w:val="Hyperlink"/>
            <w:rFonts w:ascii="Times New Roman" w:hAnsi="Times New Roman"/>
          </w:rPr>
          <w:t>4.1.2.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„B” forgatókönyv: A jelentős pénznemek 10 %-os leértékelődése</w:t>
        </w:r>
        <w:r w:rsidR="007E2AEF">
          <w:rPr>
            <w:webHidden/>
          </w:rPr>
          <w:tab/>
        </w:r>
        <w:r w:rsidR="007E2AEF">
          <w:rPr>
            <w:webHidden/>
          </w:rPr>
          <w:fldChar w:fldCharType="begin"/>
        </w:r>
        <w:r w:rsidR="007E2AEF">
          <w:rPr>
            <w:webHidden/>
          </w:rPr>
          <w:instrText xml:space="preserve"> PAGEREF _Toc188707013 \h </w:instrText>
        </w:r>
        <w:r w:rsidR="007E2AEF">
          <w:rPr>
            <w:webHidden/>
          </w:rPr>
        </w:r>
        <w:r w:rsidR="007E2AEF">
          <w:rPr>
            <w:webHidden/>
          </w:rPr>
          <w:fldChar w:fldCharType="separate"/>
        </w:r>
        <w:r>
          <w:rPr>
            <w:webHidden/>
          </w:rPr>
          <w:t>27</w:t>
        </w:r>
        <w:r w:rsidR="007E2AEF">
          <w:rPr>
            <w:webHidden/>
          </w:rPr>
          <w:fldChar w:fldCharType="end"/>
        </w:r>
      </w:hyperlink>
    </w:p>
    <w:p w14:paraId="36546191" w14:textId="3B0B2F9D"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4" w:history="1">
        <w:r w:rsidR="007E2AEF" w:rsidRPr="005E33CC">
          <w:rPr>
            <w:rStyle w:val="Hyperlink"/>
            <w:rFonts w:ascii="Times New Roman" w:hAnsi="Times New Roman"/>
          </w:rPr>
          <w:t>4.2.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AE-CONT. Függő megterhelés</w:t>
        </w:r>
        <w:r w:rsidR="007E2AEF">
          <w:rPr>
            <w:webHidden/>
          </w:rPr>
          <w:tab/>
        </w:r>
        <w:r w:rsidR="007E2AEF">
          <w:rPr>
            <w:webHidden/>
          </w:rPr>
          <w:fldChar w:fldCharType="begin"/>
        </w:r>
        <w:r w:rsidR="007E2AEF">
          <w:rPr>
            <w:webHidden/>
          </w:rPr>
          <w:instrText xml:space="preserve"> PAGEREF _Toc188707014 \h </w:instrText>
        </w:r>
        <w:r w:rsidR="007E2AEF">
          <w:rPr>
            <w:webHidden/>
          </w:rPr>
        </w:r>
        <w:r w:rsidR="007E2AEF">
          <w:rPr>
            <w:webHidden/>
          </w:rPr>
          <w:fldChar w:fldCharType="separate"/>
        </w:r>
        <w:r>
          <w:rPr>
            <w:webHidden/>
          </w:rPr>
          <w:t>28</w:t>
        </w:r>
        <w:r w:rsidR="007E2AEF">
          <w:rPr>
            <w:webHidden/>
          </w:rPr>
          <w:fldChar w:fldCharType="end"/>
        </w:r>
      </w:hyperlink>
    </w:p>
    <w:p w14:paraId="5E2FB5F1" w14:textId="2549EEB8"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5" w:history="1">
        <w:r w:rsidR="007E2AEF" w:rsidRPr="005E33CC">
          <w:rPr>
            <w:rStyle w:val="Hyperlink"/>
            <w:rFonts w:ascii="Times New Roman" w:hAnsi="Times New Roman"/>
          </w:rPr>
          <w:t>4.2.1.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_Toc188707015 \h </w:instrText>
        </w:r>
        <w:r w:rsidR="007E2AEF">
          <w:rPr>
            <w:webHidden/>
          </w:rPr>
        </w:r>
        <w:r w:rsidR="007E2AEF">
          <w:rPr>
            <w:webHidden/>
          </w:rPr>
          <w:fldChar w:fldCharType="separate"/>
        </w:r>
        <w:r>
          <w:rPr>
            <w:webHidden/>
          </w:rPr>
          <w:t>28</w:t>
        </w:r>
        <w:r w:rsidR="007E2AEF">
          <w:rPr>
            <w:webHidden/>
          </w:rPr>
          <w:fldChar w:fldCharType="end"/>
        </w:r>
      </w:hyperlink>
    </w:p>
    <w:p w14:paraId="6763B637" w14:textId="3DEF0B1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6" w:history="1">
        <w:r w:rsidR="007E2AEF" w:rsidRPr="005E33CC">
          <w:rPr>
            <w:rStyle w:val="Hyperlink"/>
            <w:rFonts w:ascii="Times New Roman" w:hAnsi="Times New Roman"/>
          </w:rPr>
          <w:t>4.2.2.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_Toc188707016 \h </w:instrText>
        </w:r>
        <w:r w:rsidR="007E2AEF">
          <w:rPr>
            <w:webHidden/>
          </w:rPr>
        </w:r>
        <w:r w:rsidR="007E2AEF">
          <w:rPr>
            <w:webHidden/>
          </w:rPr>
          <w:fldChar w:fldCharType="separate"/>
        </w:r>
        <w:r>
          <w:rPr>
            <w:webHidden/>
          </w:rPr>
          <w:t>28</w:t>
        </w:r>
        <w:r w:rsidR="007E2AEF">
          <w:rPr>
            <w:webHidden/>
          </w:rPr>
          <w:fldChar w:fldCharType="end"/>
        </w:r>
      </w:hyperlink>
    </w:p>
    <w:p w14:paraId="775249BF" w14:textId="00501938"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7" w:history="1">
        <w:r w:rsidR="007E2AEF" w:rsidRPr="005E33CC">
          <w:rPr>
            <w:rStyle w:val="Hyperlink"/>
            <w:rFonts w:ascii="Times New Roman" w:hAnsi="Times New Roman"/>
          </w:rPr>
          <w:t>5.</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D. rész: Fedezett kötvények</w:t>
        </w:r>
        <w:r w:rsidR="007E2AEF">
          <w:rPr>
            <w:webHidden/>
          </w:rPr>
          <w:tab/>
        </w:r>
        <w:r w:rsidR="007E2AEF">
          <w:rPr>
            <w:webHidden/>
          </w:rPr>
          <w:fldChar w:fldCharType="begin"/>
        </w:r>
        <w:r w:rsidR="007E2AEF">
          <w:rPr>
            <w:webHidden/>
          </w:rPr>
          <w:instrText xml:space="preserve"> PAGEREF _Toc188707017 \h </w:instrText>
        </w:r>
        <w:r w:rsidR="007E2AEF">
          <w:rPr>
            <w:webHidden/>
          </w:rPr>
        </w:r>
        <w:r w:rsidR="007E2AEF">
          <w:rPr>
            <w:webHidden/>
          </w:rPr>
          <w:fldChar w:fldCharType="separate"/>
        </w:r>
        <w:r>
          <w:rPr>
            <w:webHidden/>
          </w:rPr>
          <w:t>29</w:t>
        </w:r>
        <w:r w:rsidR="007E2AEF">
          <w:rPr>
            <w:webHidden/>
          </w:rPr>
          <w:fldChar w:fldCharType="end"/>
        </w:r>
      </w:hyperlink>
    </w:p>
    <w:p w14:paraId="2AE42890" w14:textId="0F738C6C"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8" w:history="1">
        <w:r w:rsidR="007E2AEF" w:rsidRPr="005E33CC">
          <w:rPr>
            <w:rStyle w:val="Hyperlink"/>
            <w:rFonts w:ascii="Times New Roman" w:hAnsi="Times New Roman"/>
          </w:rPr>
          <w:t>5.1.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_Toc188707018 \h </w:instrText>
        </w:r>
        <w:r w:rsidR="007E2AEF">
          <w:rPr>
            <w:webHidden/>
          </w:rPr>
        </w:r>
        <w:r w:rsidR="007E2AEF">
          <w:rPr>
            <w:webHidden/>
          </w:rPr>
          <w:fldChar w:fldCharType="separate"/>
        </w:r>
        <w:r>
          <w:rPr>
            <w:webHidden/>
          </w:rPr>
          <w:t>29</w:t>
        </w:r>
        <w:r w:rsidR="007E2AEF">
          <w:rPr>
            <w:webHidden/>
          </w:rPr>
          <w:fldChar w:fldCharType="end"/>
        </w:r>
      </w:hyperlink>
    </w:p>
    <w:p w14:paraId="0DF4DFAD" w14:textId="1556EF6B"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19" w:history="1">
        <w:r w:rsidR="007E2AEF" w:rsidRPr="005E33CC">
          <w:rPr>
            <w:rStyle w:val="Hyperlink"/>
            <w:rFonts w:ascii="Times New Roman" w:hAnsi="Times New Roman"/>
          </w:rPr>
          <w:t>5.2.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AE-CB. Fedezettkötvény-kibocsátás</w:t>
        </w:r>
        <w:r w:rsidR="007E2AEF">
          <w:rPr>
            <w:webHidden/>
          </w:rPr>
          <w:tab/>
        </w:r>
        <w:r w:rsidR="007E2AEF">
          <w:rPr>
            <w:webHidden/>
          </w:rPr>
          <w:fldChar w:fldCharType="begin"/>
        </w:r>
        <w:r w:rsidR="007E2AEF">
          <w:rPr>
            <w:webHidden/>
          </w:rPr>
          <w:instrText xml:space="preserve"> PAGEREF _Toc188707019 \h </w:instrText>
        </w:r>
        <w:r w:rsidR="007E2AEF">
          <w:rPr>
            <w:webHidden/>
          </w:rPr>
        </w:r>
        <w:r w:rsidR="007E2AEF">
          <w:rPr>
            <w:webHidden/>
          </w:rPr>
          <w:fldChar w:fldCharType="separate"/>
        </w:r>
        <w:r>
          <w:rPr>
            <w:webHidden/>
          </w:rPr>
          <w:t>29</w:t>
        </w:r>
        <w:r w:rsidR="007E2AEF">
          <w:rPr>
            <w:webHidden/>
          </w:rPr>
          <w:fldChar w:fldCharType="end"/>
        </w:r>
      </w:hyperlink>
    </w:p>
    <w:p w14:paraId="0635AEA4" w14:textId="411564A7"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0" w:history="1">
        <w:r w:rsidR="007E2AEF" w:rsidRPr="005E33CC">
          <w:rPr>
            <w:rStyle w:val="Hyperlink"/>
            <w:rFonts w:ascii="Times New Roman" w:hAnsi="Times New Roman"/>
          </w:rPr>
          <w:t>5.2.1.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z-tengelyre vonatkozó útmutató</w:t>
        </w:r>
        <w:r w:rsidR="007E2AEF">
          <w:rPr>
            <w:webHidden/>
          </w:rPr>
          <w:tab/>
        </w:r>
        <w:r w:rsidR="007E2AEF">
          <w:rPr>
            <w:webHidden/>
          </w:rPr>
          <w:fldChar w:fldCharType="begin"/>
        </w:r>
        <w:r w:rsidR="007E2AEF">
          <w:rPr>
            <w:webHidden/>
          </w:rPr>
          <w:instrText xml:space="preserve"> PAGEREF _Toc188707020 \h </w:instrText>
        </w:r>
        <w:r w:rsidR="007E2AEF">
          <w:rPr>
            <w:webHidden/>
          </w:rPr>
        </w:r>
        <w:r w:rsidR="007E2AEF">
          <w:rPr>
            <w:webHidden/>
          </w:rPr>
          <w:fldChar w:fldCharType="separate"/>
        </w:r>
        <w:r>
          <w:rPr>
            <w:webHidden/>
          </w:rPr>
          <w:t>29</w:t>
        </w:r>
        <w:r w:rsidR="007E2AEF">
          <w:rPr>
            <w:webHidden/>
          </w:rPr>
          <w:fldChar w:fldCharType="end"/>
        </w:r>
      </w:hyperlink>
    </w:p>
    <w:p w14:paraId="5479854C" w14:textId="43A5207B"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1" w:history="1">
        <w:r w:rsidR="007E2AEF" w:rsidRPr="005E33CC">
          <w:rPr>
            <w:rStyle w:val="Hyperlink"/>
            <w:rFonts w:ascii="Times New Roman" w:hAnsi="Times New Roman"/>
          </w:rPr>
          <w:t>5.2.2.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_Toc188707021 \h </w:instrText>
        </w:r>
        <w:r w:rsidR="007E2AEF">
          <w:rPr>
            <w:webHidden/>
          </w:rPr>
        </w:r>
        <w:r w:rsidR="007E2AEF">
          <w:rPr>
            <w:webHidden/>
          </w:rPr>
          <w:fldChar w:fldCharType="separate"/>
        </w:r>
        <w:r>
          <w:rPr>
            <w:webHidden/>
          </w:rPr>
          <w:t>29</w:t>
        </w:r>
        <w:r w:rsidR="007E2AEF">
          <w:rPr>
            <w:webHidden/>
          </w:rPr>
          <w:fldChar w:fldCharType="end"/>
        </w:r>
      </w:hyperlink>
    </w:p>
    <w:p w14:paraId="54FB8588" w14:textId="435CC26C"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2" w:history="1">
        <w:r w:rsidR="007E2AEF" w:rsidRPr="005E33CC">
          <w:rPr>
            <w:rStyle w:val="Hyperlink"/>
            <w:rFonts w:ascii="Times New Roman" w:hAnsi="Times New Roman"/>
          </w:rPr>
          <w:t>5.2.3.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_Toc188707022 \h </w:instrText>
        </w:r>
        <w:r w:rsidR="007E2AEF">
          <w:rPr>
            <w:webHidden/>
          </w:rPr>
        </w:r>
        <w:r w:rsidR="007E2AEF">
          <w:rPr>
            <w:webHidden/>
          </w:rPr>
          <w:fldChar w:fldCharType="separate"/>
        </w:r>
        <w:r>
          <w:rPr>
            <w:webHidden/>
          </w:rPr>
          <w:t>30</w:t>
        </w:r>
        <w:r w:rsidR="007E2AEF">
          <w:rPr>
            <w:webHidden/>
          </w:rPr>
          <w:fldChar w:fldCharType="end"/>
        </w:r>
      </w:hyperlink>
    </w:p>
    <w:p w14:paraId="503E92D7" w14:textId="3FA88F82"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3" w:history="1">
        <w:r w:rsidR="007E2AEF" w:rsidRPr="005E33CC">
          <w:rPr>
            <w:rStyle w:val="Hyperlink"/>
            <w:rFonts w:ascii="Times New Roman" w:hAnsi="Times New Roman"/>
          </w:rPr>
          <w:t>6.</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E. rész: Részletes adatok</w:t>
        </w:r>
        <w:r w:rsidR="007E2AEF">
          <w:rPr>
            <w:webHidden/>
          </w:rPr>
          <w:tab/>
        </w:r>
        <w:r w:rsidR="007E2AEF">
          <w:rPr>
            <w:webHidden/>
          </w:rPr>
          <w:fldChar w:fldCharType="begin"/>
        </w:r>
        <w:r w:rsidR="007E2AEF">
          <w:rPr>
            <w:webHidden/>
          </w:rPr>
          <w:instrText xml:space="preserve"> PAGEREF _Toc188707023 \h </w:instrText>
        </w:r>
        <w:r w:rsidR="007E2AEF">
          <w:rPr>
            <w:webHidden/>
          </w:rPr>
        </w:r>
        <w:r w:rsidR="007E2AEF">
          <w:rPr>
            <w:webHidden/>
          </w:rPr>
          <w:fldChar w:fldCharType="separate"/>
        </w:r>
        <w:r>
          <w:rPr>
            <w:webHidden/>
          </w:rPr>
          <w:t>33</w:t>
        </w:r>
        <w:r w:rsidR="007E2AEF">
          <w:rPr>
            <w:webHidden/>
          </w:rPr>
          <w:fldChar w:fldCharType="end"/>
        </w:r>
      </w:hyperlink>
    </w:p>
    <w:p w14:paraId="0B94132E" w14:textId="0AC3F25A"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4" w:history="1">
        <w:r w:rsidR="007E2AEF" w:rsidRPr="005E33CC">
          <w:rPr>
            <w:rStyle w:val="Hyperlink"/>
            <w:rFonts w:ascii="Times New Roman" w:hAnsi="Times New Roman"/>
          </w:rPr>
          <w:t>6.1.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Általános megjegyzések</w:t>
        </w:r>
        <w:r w:rsidR="007E2AEF">
          <w:rPr>
            <w:webHidden/>
          </w:rPr>
          <w:tab/>
        </w:r>
        <w:r w:rsidR="007E2AEF">
          <w:rPr>
            <w:webHidden/>
          </w:rPr>
          <w:fldChar w:fldCharType="begin"/>
        </w:r>
        <w:r w:rsidR="007E2AEF">
          <w:rPr>
            <w:webHidden/>
          </w:rPr>
          <w:instrText xml:space="preserve"> PAGEREF _Toc188707024 \h </w:instrText>
        </w:r>
        <w:r w:rsidR="007E2AEF">
          <w:rPr>
            <w:webHidden/>
          </w:rPr>
        </w:r>
        <w:r w:rsidR="007E2AEF">
          <w:rPr>
            <w:webHidden/>
          </w:rPr>
          <w:fldChar w:fldCharType="separate"/>
        </w:r>
        <w:r>
          <w:rPr>
            <w:webHidden/>
          </w:rPr>
          <w:t>33</w:t>
        </w:r>
        <w:r w:rsidR="007E2AEF">
          <w:rPr>
            <w:webHidden/>
          </w:rPr>
          <w:fldChar w:fldCharType="end"/>
        </w:r>
      </w:hyperlink>
    </w:p>
    <w:p w14:paraId="4AB093B7" w14:textId="029D7FA5"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5" w:history="1">
        <w:r w:rsidR="007E2AEF" w:rsidRPr="005E33CC">
          <w:rPr>
            <w:rStyle w:val="Hyperlink"/>
            <w:rFonts w:ascii="Times New Roman" w:hAnsi="Times New Roman"/>
          </w:rPr>
          <w:t>6.2.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AE-ADV1. Az adatszolgáltató intézmény eszközeire vonatkozó részletes tábla</w:t>
        </w:r>
        <w:r w:rsidR="007E2AEF">
          <w:rPr>
            <w:webHidden/>
          </w:rPr>
          <w:tab/>
        </w:r>
        <w:r w:rsidR="007E2AEF">
          <w:rPr>
            <w:webHidden/>
          </w:rPr>
          <w:fldChar w:fldCharType="begin"/>
        </w:r>
        <w:r w:rsidR="007E2AEF">
          <w:rPr>
            <w:webHidden/>
          </w:rPr>
          <w:instrText xml:space="preserve"> PAGEREF _Toc188707025 \h </w:instrText>
        </w:r>
        <w:r w:rsidR="007E2AEF">
          <w:rPr>
            <w:webHidden/>
          </w:rPr>
        </w:r>
        <w:r w:rsidR="007E2AEF">
          <w:rPr>
            <w:webHidden/>
          </w:rPr>
          <w:fldChar w:fldCharType="separate"/>
        </w:r>
        <w:r>
          <w:rPr>
            <w:webHidden/>
          </w:rPr>
          <w:t>33</w:t>
        </w:r>
        <w:r w:rsidR="007E2AEF">
          <w:rPr>
            <w:webHidden/>
          </w:rPr>
          <w:fldChar w:fldCharType="end"/>
        </w:r>
      </w:hyperlink>
    </w:p>
    <w:p w14:paraId="731FC2AC" w14:textId="31C919EF"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6" w:history="1">
        <w:r w:rsidR="007E2AEF" w:rsidRPr="005E33CC">
          <w:rPr>
            <w:rStyle w:val="Hyperlink"/>
            <w:rFonts w:ascii="Times New Roman" w:hAnsi="Times New Roman"/>
          </w:rPr>
          <w:t>6.2.1.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_Toc188707026 \h </w:instrText>
        </w:r>
        <w:r w:rsidR="007E2AEF">
          <w:rPr>
            <w:webHidden/>
          </w:rPr>
        </w:r>
        <w:r w:rsidR="007E2AEF">
          <w:rPr>
            <w:webHidden/>
          </w:rPr>
          <w:fldChar w:fldCharType="separate"/>
        </w:r>
        <w:r>
          <w:rPr>
            <w:webHidden/>
          </w:rPr>
          <w:t>33</w:t>
        </w:r>
        <w:r w:rsidR="007E2AEF">
          <w:rPr>
            <w:webHidden/>
          </w:rPr>
          <w:fldChar w:fldCharType="end"/>
        </w:r>
      </w:hyperlink>
    </w:p>
    <w:p w14:paraId="247C2F9B" w14:textId="00A1A7D3"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7" w:history="1">
        <w:r w:rsidR="007E2AEF" w:rsidRPr="005E33CC">
          <w:rPr>
            <w:rStyle w:val="Hyperlink"/>
            <w:rFonts w:ascii="Times New Roman" w:hAnsi="Times New Roman"/>
          </w:rPr>
          <w:t>6.2.2.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_Toc188707027 \h </w:instrText>
        </w:r>
        <w:r w:rsidR="007E2AEF">
          <w:rPr>
            <w:webHidden/>
          </w:rPr>
        </w:r>
        <w:r w:rsidR="007E2AEF">
          <w:rPr>
            <w:webHidden/>
          </w:rPr>
          <w:fldChar w:fldCharType="separate"/>
        </w:r>
        <w:r>
          <w:rPr>
            <w:webHidden/>
          </w:rPr>
          <w:t>36</w:t>
        </w:r>
        <w:r w:rsidR="007E2AEF">
          <w:rPr>
            <w:webHidden/>
          </w:rPr>
          <w:fldChar w:fldCharType="end"/>
        </w:r>
      </w:hyperlink>
    </w:p>
    <w:p w14:paraId="4B3B0F2C" w14:textId="41EAF3A2"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8" w:history="1">
        <w:r w:rsidR="007E2AEF" w:rsidRPr="005E33CC">
          <w:rPr>
            <w:rStyle w:val="Hyperlink"/>
            <w:rFonts w:ascii="Times New Roman" w:hAnsi="Times New Roman"/>
          </w:rPr>
          <w:t>6.3.</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Tábla: AE-ADV2. Az adatszolgáltató intézmény által kapott biztosítékra vonatkozó részletes tábla</w:t>
        </w:r>
        <w:r w:rsidR="007E2AEF">
          <w:rPr>
            <w:webHidden/>
          </w:rPr>
          <w:tab/>
        </w:r>
        <w:r w:rsidR="007E2AEF">
          <w:rPr>
            <w:webHidden/>
          </w:rPr>
          <w:fldChar w:fldCharType="begin"/>
        </w:r>
        <w:r w:rsidR="007E2AEF">
          <w:rPr>
            <w:webHidden/>
          </w:rPr>
          <w:instrText xml:space="preserve"> PAGEREF _Toc188707028 \h </w:instrText>
        </w:r>
        <w:r w:rsidR="007E2AEF">
          <w:rPr>
            <w:webHidden/>
          </w:rPr>
        </w:r>
        <w:r w:rsidR="007E2AEF">
          <w:rPr>
            <w:webHidden/>
          </w:rPr>
          <w:fldChar w:fldCharType="separate"/>
        </w:r>
        <w:r>
          <w:rPr>
            <w:webHidden/>
          </w:rPr>
          <w:t>37</w:t>
        </w:r>
        <w:r w:rsidR="007E2AEF">
          <w:rPr>
            <w:webHidden/>
          </w:rPr>
          <w:fldChar w:fldCharType="end"/>
        </w:r>
      </w:hyperlink>
    </w:p>
    <w:p w14:paraId="33C1D7DD" w14:textId="7647541F"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29" w:history="1">
        <w:r w:rsidR="007E2AEF" w:rsidRPr="005E33CC">
          <w:rPr>
            <w:rStyle w:val="Hyperlink"/>
            <w:rFonts w:ascii="Times New Roman" w:hAnsi="Times New Roman"/>
          </w:rPr>
          <w:t>6.3.1.</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soraira vonatkozó útmutató</w:t>
        </w:r>
        <w:r w:rsidR="007E2AEF">
          <w:rPr>
            <w:webHidden/>
          </w:rPr>
          <w:tab/>
        </w:r>
        <w:r w:rsidR="007E2AEF">
          <w:rPr>
            <w:webHidden/>
          </w:rPr>
          <w:fldChar w:fldCharType="begin"/>
        </w:r>
        <w:r w:rsidR="007E2AEF">
          <w:rPr>
            <w:webHidden/>
          </w:rPr>
          <w:instrText xml:space="preserve"> PAGEREF _Toc188707029 \h </w:instrText>
        </w:r>
        <w:r w:rsidR="007E2AEF">
          <w:rPr>
            <w:webHidden/>
          </w:rPr>
        </w:r>
        <w:r w:rsidR="007E2AEF">
          <w:rPr>
            <w:webHidden/>
          </w:rPr>
          <w:fldChar w:fldCharType="separate"/>
        </w:r>
        <w:r>
          <w:rPr>
            <w:webHidden/>
          </w:rPr>
          <w:t>37</w:t>
        </w:r>
        <w:r w:rsidR="007E2AEF">
          <w:rPr>
            <w:webHidden/>
          </w:rPr>
          <w:fldChar w:fldCharType="end"/>
        </w:r>
      </w:hyperlink>
    </w:p>
    <w:p w14:paraId="2E82FAB3" w14:textId="359DD16F" w:rsidR="007E2AEF" w:rsidRDefault="003C1DA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707030" w:history="1">
        <w:r w:rsidR="007E2AEF" w:rsidRPr="005E33CC">
          <w:rPr>
            <w:rStyle w:val="Hyperlink"/>
            <w:rFonts w:ascii="Times New Roman" w:hAnsi="Times New Roman"/>
          </w:rPr>
          <w:t>6.3.2.</w:t>
        </w:r>
        <w:r w:rsidR="007E2AEF">
          <w:rPr>
            <w:rFonts w:asciiTheme="minorHAnsi" w:eastAsiaTheme="minorEastAsia" w:hAnsiTheme="minorHAnsi" w:cstheme="minorBidi"/>
            <w:b w:val="0"/>
            <w:smallCaps w:val="0"/>
            <w:kern w:val="2"/>
            <w:sz w:val="24"/>
            <w:szCs w:val="24"/>
            <w:lang w:val="en-IE" w:eastAsia="en-IE"/>
            <w14:ligatures w14:val="standardContextual"/>
          </w:rPr>
          <w:tab/>
        </w:r>
        <w:r w:rsidR="007E2AEF" w:rsidRPr="005E33CC">
          <w:rPr>
            <w:rStyle w:val="Hyperlink"/>
            <w:rFonts w:ascii="Times New Roman" w:hAnsi="Times New Roman"/>
          </w:rPr>
          <w:t>A tábla egyes oszlopaira vonatkozó útmutató</w:t>
        </w:r>
        <w:r w:rsidR="007E2AEF">
          <w:rPr>
            <w:webHidden/>
          </w:rPr>
          <w:tab/>
        </w:r>
        <w:r w:rsidR="007E2AEF">
          <w:rPr>
            <w:webHidden/>
          </w:rPr>
          <w:fldChar w:fldCharType="begin"/>
        </w:r>
        <w:r w:rsidR="007E2AEF">
          <w:rPr>
            <w:webHidden/>
          </w:rPr>
          <w:instrText xml:space="preserve"> PAGEREF _Toc188707030 \h </w:instrText>
        </w:r>
        <w:r w:rsidR="007E2AEF">
          <w:rPr>
            <w:webHidden/>
          </w:rPr>
        </w:r>
        <w:r w:rsidR="007E2AEF">
          <w:rPr>
            <w:webHidden/>
          </w:rPr>
          <w:fldChar w:fldCharType="separate"/>
        </w:r>
        <w:r>
          <w:rPr>
            <w:webHidden/>
          </w:rPr>
          <w:t>37</w:t>
        </w:r>
        <w:r w:rsidR="007E2AEF">
          <w:rPr>
            <w:webHidden/>
          </w:rPr>
          <w:fldChar w:fldCharType="end"/>
        </w:r>
      </w:hyperlink>
    </w:p>
    <w:p w14:paraId="36A94005" w14:textId="71D86E74"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706978"/>
      <w:r>
        <w:rPr>
          <w:rFonts w:ascii="Times New Roman" w:hAnsi="Times New Roman"/>
        </w:rPr>
        <w:lastRenderedPageBreak/>
        <w:t>ÁLTALÁNOS ÚTMUTATÓ</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706979"/>
      <w:r>
        <w:rPr>
          <w:rFonts w:ascii="Times New Roman" w:hAnsi="Times New Roman"/>
        </w:rPr>
        <w:t>1. FELÉPÍTÉS ÉS SZABÁLYOK</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706980"/>
      <w:bookmarkStart w:id="7" w:name="_Toc264038399"/>
      <w:bookmarkStart w:id="8" w:name="_Toc294018834"/>
      <w:r>
        <w:rPr>
          <w:rFonts w:ascii="Times New Roman" w:hAnsi="Times New Roman"/>
          <w:sz w:val="24"/>
          <w:u w:val="none"/>
        </w:rPr>
        <w:t>Felépítés</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A keretrendszer öt táblacsoportból áll, ezek összesen kilenc táblát tartalmaznak a következő részletezéssel:</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rész: Megterhelés áttekintése:</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 tábla. Az adatszolgáltató intézmény eszközei;</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 tábla. Az adatszolgáltató intézmény által kapott biztosíték;</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 tábla. Még nem elzálogosított saját kibocsátású fedezett kötvények és értékpapírosítások;</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 tábla. Megterhelés forrásai;</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rész: Lejárati adatok:</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 tábla. Lejárati adatok;</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rész: Függő megterhelés:</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 tábla. Függő megterhelés;</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rész: Fedezett kötvények:</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 tábla. Fedezettkötvény-kibocsátás;</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rész: Részletes adatok:</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 tábla. Az adatszolgáltató intézmény eszközeire vonatkozó részletes tábla;</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tábla. Az adatszolgáltató intézmény által kapott biztosítékra vonatkozó részletes tábla.</w:t>
      </w:r>
    </w:p>
    <w:p w14:paraId="719FD80A" w14:textId="77777777" w:rsidR="00941FAE" w:rsidRPr="00857276" w:rsidRDefault="00941FAE" w:rsidP="00941FAE">
      <w:pPr>
        <w:pStyle w:val="InstructionsText2"/>
        <w:shd w:val="clear" w:color="auto" w:fill="FFFFFF"/>
        <w:spacing w:after="120"/>
        <w:rPr>
          <w:sz w:val="24"/>
        </w:rPr>
      </w:pPr>
      <w:r>
        <w:rPr>
          <w:sz w:val="24"/>
        </w:rPr>
        <w:t>Minden táblához biztosított a jogszabályi hivatkozás, valamint az adatszolgáltatás általánosabb szempontjaival kapcsolatos részletesebb információk.</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706981"/>
      <w:r>
        <w:rPr>
          <w:rFonts w:ascii="Times New Roman" w:hAnsi="Times New Roman"/>
          <w:sz w:val="24"/>
          <w:u w:val="none"/>
        </w:rPr>
        <w:t>Számviteli szabályok</w:t>
      </w:r>
      <w:bookmarkEnd w:id="9"/>
    </w:p>
    <w:p w14:paraId="7726DFC7" w14:textId="767DC9EB" w:rsidR="00941FAE" w:rsidRPr="00857276" w:rsidRDefault="00941FAE" w:rsidP="00941FAE">
      <w:pPr>
        <w:pStyle w:val="InstructionsText2"/>
        <w:shd w:val="clear" w:color="auto" w:fill="FFFFFF"/>
        <w:spacing w:after="120"/>
        <w:rPr>
          <w:sz w:val="24"/>
        </w:rPr>
      </w:pPr>
      <w:r>
        <w:rPr>
          <w:sz w:val="24"/>
        </w:rPr>
        <w:t>Az intézményeknek a könyv szerinti értékeket azon számviteli keretnek megfelelően kell az adatszolgáltatásba belefoglalniuk, amelyet a pénzügyi adatokról szóló beszámolóhoz használnak a 11. és 12. cikknek megfelelően. Azoknak az intézményeknek, amelyeknek nem kell pénzügyi adatokat szolgáltatniuk, saját számviteli keretüket kell használniuk. Az AE-SOU táblában az intézményeknek általában az esetleges számviteli nettósítás nélküli könyv szerinti értékeket kell feltüntetniük, az eszközök és biztosítékok megterhelésére vonatkozó bruttó alapú adatszolgáltatással összhangban.</w:t>
      </w:r>
    </w:p>
    <w:p w14:paraId="2963DEDD" w14:textId="77777777" w:rsidR="00941FAE" w:rsidRPr="00857276" w:rsidRDefault="00941FAE" w:rsidP="00941FAE">
      <w:pPr>
        <w:pStyle w:val="InstructionsText2"/>
        <w:shd w:val="clear" w:color="auto" w:fill="FFFFFF"/>
        <w:spacing w:after="120"/>
        <w:rPr>
          <w:sz w:val="24"/>
        </w:rPr>
      </w:pPr>
      <w:r>
        <w:rPr>
          <w:sz w:val="24"/>
        </w:rPr>
        <w:t xml:space="preserve">E melléklet alkalmazásában az IAS és az IFRS rövidítés az 1606/2002/EK rendelet 2. cikkében meghatározott nemzetközi számviteli standardokra utal. Azon intézmények vonatkozásában, amelyek az IFRS standardoknak megfelelően szolgáltatnak adatot, az útmutató tartalmazza a megfelelő IFRS-standardra való hivatkozást.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706982"/>
      <w:bookmarkStart w:id="11" w:name="_Toc322687867"/>
      <w:r>
        <w:rPr>
          <w:rFonts w:ascii="Times New Roman" w:hAnsi="Times New Roman"/>
          <w:sz w:val="24"/>
          <w:u w:val="none"/>
        </w:rPr>
        <w:t>Számozási szabályok</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 xml:space="preserve">A táblák oszlopaira, soraira és celláira való hivatkozáskor az útmutató a következő általános jelölési szabályokat követi: {Tábla; Sor; Oszlop}. Csillag azt jelöli, hogy az ellenőrzés az egész sorra vagy oszlopra </w:t>
      </w:r>
      <w:r>
        <w:rPr>
          <w:sz w:val="24"/>
        </w:rPr>
        <w:lastRenderedPageBreak/>
        <w:t>vonatkozik. Például {AE-ASS; *; 2} az AE-ASS tábla 2. oszlopának bármely sorában található adatra utal.</w:t>
      </w:r>
    </w:p>
    <w:p w14:paraId="2BDBC894" w14:textId="77777777" w:rsidR="00941FAE" w:rsidRPr="00857276" w:rsidRDefault="00941FAE" w:rsidP="00941FAE">
      <w:pPr>
        <w:pStyle w:val="InstructionsText2"/>
        <w:shd w:val="clear" w:color="auto" w:fill="FFFFFF"/>
        <w:spacing w:after="120"/>
        <w:rPr>
          <w:sz w:val="24"/>
        </w:rPr>
      </w:pPr>
      <w:r>
        <w:rPr>
          <w:sz w:val="24"/>
        </w:rPr>
        <w:t>Az egy táblán belüli ellenőrzés esetén a szóban forgó táblában levő adatokra a következő jelölés utal: {Sor; Oszlop}.</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706983"/>
      <w:r>
        <w:rPr>
          <w:rFonts w:ascii="Times New Roman" w:hAnsi="Times New Roman"/>
          <w:sz w:val="24"/>
          <w:u w:val="none"/>
        </w:rPr>
        <w:t>Előjelre vonatkozó szabályok</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A XVI. melléklet tábláinak az V. melléklet 1. részének 9. és 10. pontjában leírt jelölési szabályokat kell követniük.</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706984"/>
      <w:r>
        <w:rPr>
          <w:rFonts w:ascii="Times New Roman" w:hAnsi="Times New Roman"/>
          <w:sz w:val="24"/>
          <w:u w:val="none"/>
        </w:rPr>
        <w:t>Alkalmazás szintje</w:t>
      </w:r>
      <w:bookmarkEnd w:id="15"/>
    </w:p>
    <w:p w14:paraId="586BFFF3" w14:textId="7D4CAF5C" w:rsidR="00941FAE" w:rsidRPr="00857276" w:rsidRDefault="00941FAE" w:rsidP="00941FAE">
      <w:pPr>
        <w:pStyle w:val="InstructionsText2"/>
        <w:spacing w:after="120"/>
        <w:rPr>
          <w:sz w:val="24"/>
        </w:rPr>
      </w:pPr>
      <w:r>
        <w:rPr>
          <w:sz w:val="24"/>
        </w:rPr>
        <w:t>A megterhelt eszközökre vonatkozó adatszolgáltatás esetében az alkalmazás szintje követi a szavatolótőke-követelményekre vonatkozó, az 575/2013/EU rendelet 430. cikke (1) bekezdése első albekezdése a) pontjának megfelelő adatszolgáltatási követelményeket. Következésképpen azoknak az intézményeknek, amelyek nem tartoznak az említett rendelet 7. cikke szerinti prudenciális követelmények hatálya alá, nem kell adatot szolgáltatniuk a megterhelt eszközökről.</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706985"/>
      <w:r>
        <w:rPr>
          <w:rFonts w:ascii="Times New Roman" w:hAnsi="Times New Roman"/>
          <w:sz w:val="24"/>
          <w:u w:val="none"/>
        </w:rPr>
        <w:t>Arányosság</w:t>
      </w:r>
      <w:bookmarkEnd w:id="16"/>
    </w:p>
    <w:p w14:paraId="35D2536C" w14:textId="704A548E" w:rsidR="00941FAE" w:rsidRPr="00857276" w:rsidRDefault="00941FAE" w:rsidP="00941FAE">
      <w:pPr>
        <w:pStyle w:val="InstructionsText2"/>
        <w:spacing w:after="120"/>
        <w:rPr>
          <w:sz w:val="24"/>
        </w:rPr>
      </w:pPr>
      <w:r>
        <w:rPr>
          <w:sz w:val="24"/>
        </w:rPr>
        <w:t>E rendelet 19. cikke (3) bekezdése c) pontjának alkalmazásában a megterhelt eszközök szintjét a következőképpen kell kiszámítani:</w:t>
      </w:r>
    </w:p>
    <w:p w14:paraId="60D7388A" w14:textId="5772CB48" w:rsidR="00941FAE" w:rsidRPr="00857276" w:rsidRDefault="00941FAE" w:rsidP="00DE426C">
      <w:pPr>
        <w:pStyle w:val="InstructionsText2"/>
        <w:numPr>
          <w:ilvl w:val="1"/>
          <w:numId w:val="2"/>
        </w:numPr>
        <w:spacing w:after="120"/>
        <w:rPr>
          <w:sz w:val="24"/>
        </w:rPr>
      </w:pPr>
      <w:r>
        <w:rPr>
          <w:sz w:val="24"/>
        </w:rPr>
        <w:t>A megterhelt eszközök és biztosíték könyv szerinti értéke = {AE-ASS;0010;</w:t>
      </w:r>
      <w:proofErr w:type="gramStart"/>
      <w:r>
        <w:rPr>
          <w:sz w:val="24"/>
        </w:rPr>
        <w:t>0010}–</w:t>
      </w:r>
      <w:proofErr w:type="gramEnd"/>
      <w:r>
        <w:rPr>
          <w:sz w:val="24"/>
        </w:rPr>
        <w:t xml:space="preserve">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Eszközök és biztosíték összesen = {AE-ASS;0010;0010} + {AE-ASS;0010;</w:t>
      </w:r>
      <w:proofErr w:type="gramStart"/>
      <w:r>
        <w:rPr>
          <w:sz w:val="24"/>
        </w:rPr>
        <w:t>0060</w:t>
      </w:r>
      <w:r>
        <w:rPr>
          <w:color w:val="000000" w:themeColor="text1"/>
          <w:sz w:val="24"/>
        </w:rPr>
        <w:t>}–</w:t>
      </w:r>
      <w:proofErr w:type="gramEnd"/>
      <w:r>
        <w:rPr>
          <w:color w:val="000000" w:themeColor="text1"/>
          <w:sz w:val="24"/>
        </w:rPr>
        <w:t xml:space="preserve">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 xml:space="preserve">Megterhelési arány = (a megterhelt eszközök és biztosítékok könyv szerinti </w:t>
      </w:r>
      <w:proofErr w:type="gramStart"/>
      <w:r>
        <w:rPr>
          <w:sz w:val="24"/>
        </w:rPr>
        <w:t>értéke)/</w:t>
      </w:r>
      <w:proofErr w:type="gramEnd"/>
      <w:r>
        <w:rPr>
          <w:sz w:val="24"/>
        </w:rPr>
        <w:t>(eszközök és biztosítékok összesen).</w:t>
      </w:r>
    </w:p>
    <w:p w14:paraId="053943E9" w14:textId="3771CB49" w:rsidR="00941FAE" w:rsidRPr="00857276" w:rsidRDefault="00E374DF" w:rsidP="00080DB3">
      <w:pPr>
        <w:pStyle w:val="InstructionsText2"/>
        <w:spacing w:after="120"/>
        <w:rPr>
          <w:sz w:val="24"/>
        </w:rPr>
      </w:pPr>
      <w:r>
        <w:rPr>
          <w:sz w:val="24"/>
        </w:rPr>
        <w:t>[Törölve]</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706986"/>
      <w:r>
        <w:rPr>
          <w:rFonts w:ascii="Times New Roman" w:hAnsi="Times New Roman"/>
          <w:sz w:val="24"/>
          <w:u w:val="none"/>
        </w:rPr>
        <w:t>Megterhelt eszköz fogalommeghatározása</w:t>
      </w:r>
      <w:bookmarkEnd w:id="17"/>
    </w:p>
    <w:p w14:paraId="69EDFB8D" w14:textId="42AF5CF5" w:rsidR="00941FAE" w:rsidRPr="00857276" w:rsidRDefault="00941FAE" w:rsidP="00941FAE">
      <w:pPr>
        <w:pStyle w:val="InstructionsText2"/>
        <w:spacing w:after="120"/>
        <w:rPr>
          <w:sz w:val="24"/>
        </w:rPr>
      </w:pPr>
      <w:r>
        <w:rPr>
          <w:sz w:val="24"/>
        </w:rPr>
        <w:t>E melléklet és a XVI. melléklet alkalmazásában egy eszközt akkor kell megterheltként kezelni, ha elzálogosításra került, vagy ha valamely ügylet bármely formában létrejött megállapodás keretében történő biztosítására, fedezésére vagy hitelminőségének javítására használják fel és nem vonható ki tetszőlegesen.</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Fontos megjegyezni, hogy megterhelt eszköznek kell tekinteni az olyan elzálogosított eszközöket, amelyekre a kivonás tekintetében korlátozás vonatkozik, például az olyan eszközöket, amelyek esetében a kivonáshoz vagy más eszközzel való helyettesítéshez előzetes jóváhagyás szükséges. A fogalommeghatározás nem explicit jogi meghatározáson alapul, mint például a tulajdonjog-átruházás esetében, hanem inkább gazdasági elveken, mivel az országokban alkalmazott jogi előírások e tekintetben eltérőek lehetnek. A fogalommeghatározás azonban szorosan kapcsolódik a szerződéses feltételekhez. Az EBH szerint a fogalommeghatározás a következő ügylettípusokat jól fedi (a lista nem teljes): </w:t>
      </w:r>
    </w:p>
    <w:p w14:paraId="2A8C82FE" w14:textId="77777777" w:rsidR="00941FAE" w:rsidRPr="00857276" w:rsidRDefault="00941FAE" w:rsidP="00941FAE">
      <w:pPr>
        <w:pStyle w:val="InstructionsText2"/>
        <w:numPr>
          <w:ilvl w:val="0"/>
          <w:numId w:val="21"/>
        </w:numPr>
        <w:spacing w:after="120"/>
        <w:rPr>
          <w:sz w:val="24"/>
        </w:rPr>
      </w:pPr>
      <w:r>
        <w:rPr>
          <w:sz w:val="24"/>
        </w:rPr>
        <w:lastRenderedPageBreak/>
        <w:t>Biztosítékkal fedezett finanszírozási ügyletek, többek között a repoügyletek és -megállapodások, értékpapírok kölcsönbe adása, valamint a biztosítékkal fedezett kölcsönök egyéb formái.</w:t>
      </w:r>
    </w:p>
    <w:p w14:paraId="6B8A23E3" w14:textId="77777777" w:rsidR="00941FAE" w:rsidRPr="00857276" w:rsidRDefault="00941FAE" w:rsidP="00941FAE">
      <w:pPr>
        <w:pStyle w:val="InstructionsText2"/>
        <w:numPr>
          <w:ilvl w:val="0"/>
          <w:numId w:val="21"/>
        </w:numPr>
        <w:spacing w:after="120"/>
        <w:rPr>
          <w:sz w:val="24"/>
        </w:rPr>
      </w:pPr>
      <w:r>
        <w:rPr>
          <w:sz w:val="24"/>
        </w:rPr>
        <w:t>Különböző biztosítéki megállapodások, például a származtatott ügyletek piaci értékére letétbe helyezett biztosíték.</w:t>
      </w:r>
    </w:p>
    <w:p w14:paraId="2D8F9E99" w14:textId="7DC7D050" w:rsidR="00941FAE" w:rsidRPr="00857276" w:rsidRDefault="00941FAE" w:rsidP="00941FAE">
      <w:pPr>
        <w:pStyle w:val="InstructionsText2"/>
        <w:numPr>
          <w:ilvl w:val="0"/>
          <w:numId w:val="21"/>
        </w:numPr>
        <w:spacing w:after="120"/>
        <w:rPr>
          <w:sz w:val="24"/>
        </w:rPr>
      </w:pPr>
      <w:r>
        <w:rPr>
          <w:sz w:val="24"/>
        </w:rPr>
        <w:t>Fedezett pénzügyi garanciák. Azokban az esetekben, amikor a biztosíték kivonásának nincs akadálya (például a garancia fel nem használt részére vonatkozó előzetes jóváhagyás) akkor csak a felhasznált összeget kell elosztani (arányos elosztás).</w:t>
      </w:r>
    </w:p>
    <w:p w14:paraId="79C4130B" w14:textId="77777777" w:rsidR="00941FAE" w:rsidRPr="00857276" w:rsidRDefault="00941FAE" w:rsidP="00941FAE">
      <w:pPr>
        <w:pStyle w:val="InstructionsText2"/>
        <w:numPr>
          <w:ilvl w:val="0"/>
          <w:numId w:val="21"/>
        </w:numPr>
        <w:spacing w:after="120"/>
        <w:rPr>
          <w:sz w:val="24"/>
        </w:rPr>
      </w:pPr>
      <w:r>
        <w:rPr>
          <w:sz w:val="24"/>
        </w:rPr>
        <w:t>Klíringrendszerekben, központi szerződő feleknél és egyéb, infrastruktúrát működtető intézményeknél a szolgáltatáshoz való hozzájutás feltételeként elhelyezett biztosíték. Idetartoznak a garanciaalapok és az alapletétek.</w:t>
      </w:r>
    </w:p>
    <w:p w14:paraId="721B876D" w14:textId="77777777" w:rsidR="00941FAE" w:rsidRPr="00857276" w:rsidRDefault="00941FAE" w:rsidP="00941FAE">
      <w:pPr>
        <w:pStyle w:val="InstructionsText2"/>
        <w:numPr>
          <w:ilvl w:val="0"/>
          <w:numId w:val="21"/>
        </w:numPr>
        <w:spacing w:after="120"/>
        <w:rPr>
          <w:sz w:val="24"/>
        </w:rPr>
      </w:pPr>
      <w:r>
        <w:rPr>
          <w:sz w:val="24"/>
        </w:rPr>
        <w:t>Központi banki keretek. A rendelkezésre álló eszközöket nem kell megterheltnek tekinteni, kivéve, ha a központi bank előzetes hozzájárulással teszi lehetővé az elhelyezett eszköz kivonását. Ahogy a fel nem használt pénzügyi garanciák esetében, a fel nem használt részt, vagyis a központi bank által előírt minimális összeg fölötti részt arányosan el kell osztani a központi banknál elhelyezett eszközök között.</w:t>
      </w:r>
    </w:p>
    <w:p w14:paraId="2527594F" w14:textId="758F8DCA" w:rsidR="00941FAE" w:rsidRPr="00857276" w:rsidRDefault="00941FAE" w:rsidP="00941FAE">
      <w:pPr>
        <w:pStyle w:val="InstructionsText2"/>
        <w:numPr>
          <w:ilvl w:val="0"/>
          <w:numId w:val="21"/>
        </w:numPr>
        <w:spacing w:after="120"/>
        <w:rPr>
          <w:sz w:val="24"/>
        </w:rPr>
      </w:pPr>
      <w:r>
        <w:rPr>
          <w:sz w:val="24"/>
        </w:rPr>
        <w:t>Az értékpapírosítási struktúrák mögöttes eszközei, amennyiben a pénzügyi eszközöket nem vonták ki az intézmény pénzügyi eszközei közül. Azok az eszközök, amelyek mögöttes, megtartott értékpapírok, nem számítanak megterheltnek, kivéve, ha az említett értékpapírokat egy ügylet fedezése céljából valamilyen módon elzálogosítják vagy biztosítékként nyújtják.</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 fedezettkötvény-kibocsátáshoz használt fedezeti halmazhoz (poolhoz) tartozó eszközök. Azok az eszközök, amelyek mögöttes fedezett kötvények, megterheltnek számítanak, kivéve </w:t>
      </w:r>
      <w:proofErr w:type="gramStart"/>
      <w:r>
        <w:rPr>
          <w:sz w:val="24"/>
        </w:rPr>
        <w:t>egyes esetekben</w:t>
      </w:r>
      <w:proofErr w:type="gramEnd"/>
      <w:r>
        <w:rPr>
          <w:sz w:val="24"/>
        </w:rPr>
        <w:t xml:space="preserve">, amikor az intézmény tartja a megfelelő fedezett kötvényeket (saját kibocsátású kötvények). </w:t>
      </w:r>
    </w:p>
    <w:p w14:paraId="3AAB69A3" w14:textId="77777777" w:rsidR="00941FAE" w:rsidRPr="00857276" w:rsidRDefault="00941FAE" w:rsidP="00941FAE">
      <w:pPr>
        <w:pStyle w:val="InstructionsText2"/>
        <w:numPr>
          <w:ilvl w:val="0"/>
          <w:numId w:val="21"/>
        </w:numPr>
        <w:spacing w:after="120"/>
        <w:rPr>
          <w:sz w:val="24"/>
        </w:rPr>
      </w:pPr>
      <w:r>
        <w:rPr>
          <w:sz w:val="24"/>
        </w:rPr>
        <w:t>Az általános elv az, hogy azokat az eszközöket, amelyek olyan keretekben kerülnek elhelyezésre, amelyeket nem használnak és szabadon kivonhatók, nem kell megterheltnek tekinteni.</w:t>
      </w:r>
    </w:p>
    <w:p w14:paraId="5D005D5E" w14:textId="77777777" w:rsidR="00941FAE" w:rsidRPr="00857276" w:rsidRDefault="00941FAE" w:rsidP="00941FAE">
      <w:pPr>
        <w:pStyle w:val="Heading2"/>
        <w:spacing w:before="0"/>
        <w:rPr>
          <w:rFonts w:ascii="Times New Roman" w:hAnsi="Times New Roman"/>
        </w:rPr>
      </w:pPr>
      <w:bookmarkStart w:id="18" w:name="_Toc188706987"/>
      <w:bookmarkEnd w:id="7"/>
      <w:bookmarkEnd w:id="8"/>
      <w:bookmarkEnd w:id="11"/>
      <w:r>
        <w:rPr>
          <w:rFonts w:ascii="Times New Roman" w:hAnsi="Times New Roman"/>
        </w:rPr>
        <w:t>TÁBLASPECIFIKUS ÚTMUTATÓ</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706988"/>
      <w:r>
        <w:rPr>
          <w:rFonts w:ascii="Times New Roman" w:hAnsi="Times New Roman"/>
          <w:b/>
          <w:sz w:val="24"/>
          <w:u w:val="none"/>
        </w:rPr>
        <w:t>A. rész: Megterhelés áttekintése</w:t>
      </w:r>
      <w:bookmarkEnd w:id="19"/>
    </w:p>
    <w:p w14:paraId="2178A74C" w14:textId="77777777" w:rsidR="00941FAE" w:rsidRPr="00857276" w:rsidRDefault="00941FAE" w:rsidP="00941FAE">
      <w:pPr>
        <w:pStyle w:val="InstructionsText2"/>
        <w:spacing w:after="120"/>
        <w:rPr>
          <w:sz w:val="24"/>
        </w:rPr>
      </w:pPr>
      <w:r>
        <w:rPr>
          <w:sz w:val="24"/>
        </w:rPr>
        <w:t xml:space="preserve">A „Megterhelés áttekintése” tábla megkülönbözteti azokat az eszközöket, amelyeket a mérlegkészítés időpontjában a finanszírozás vagy biztosítéknyújtási igény támogatásához használnak fel, és azokat az eszközöket, amelyek potenciális finanszírozási igény esetén felhasználhatók. </w:t>
      </w:r>
    </w:p>
    <w:p w14:paraId="2CB6E035" w14:textId="77777777" w:rsidR="00941FAE" w:rsidRPr="00857276" w:rsidRDefault="00941FAE" w:rsidP="00941FAE">
      <w:pPr>
        <w:pStyle w:val="InstructionsText2"/>
        <w:spacing w:after="120"/>
        <w:rPr>
          <w:sz w:val="24"/>
        </w:rPr>
      </w:pPr>
      <w:r>
        <w:rPr>
          <w:sz w:val="24"/>
        </w:rPr>
        <w:t>Az áttekintő tábla táblázatos formában tartalmazza az adatszolgáltató intézmény megterhelt és meg nem terhelt eszközeinek összegét termékenként. Ugyanebben a bontásban kerülnek feltüntetésre a kapott biztosítékok, valamint a fedezett kötvényektől és az értékpapírosításoktól eltérő kibocsátott, hitelviszonyt megtestesítő saját értékpapírok.</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706989"/>
      <w:r>
        <w:rPr>
          <w:rFonts w:ascii="Times New Roman" w:hAnsi="Times New Roman"/>
          <w:sz w:val="24"/>
          <w:u w:val="none"/>
        </w:rPr>
        <w:lastRenderedPageBreak/>
        <w:t>AE-ASS tábla. Az adatszolgáltató intézmény eszközei</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706990"/>
      <w:bookmarkStart w:id="24" w:name="_Toc348096564"/>
      <w:bookmarkStart w:id="25" w:name="_Toc348097325"/>
      <w:bookmarkStart w:id="26" w:name="_Toc348101345"/>
      <w:r>
        <w:rPr>
          <w:rFonts w:ascii="Times New Roman" w:hAnsi="Times New Roman"/>
          <w:sz w:val="24"/>
          <w:u w:val="none"/>
        </w:rPr>
        <w:t>Általános megjegyzések</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Ez a pont tartalmazza az ügyletek fő típusaira vonatkozó és az AE táblák kitöltése szempontjából releváns útmutatót.</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Minden olyan ügyletnek, amely növeli egy intézmény megterhelési szintjét, két aspektusa van, ezeket egymástól függetlenül kell feltüntetni az AE-táblákban. Ezeket az ügyleteket </w:t>
            </w:r>
            <w:proofErr w:type="gramStart"/>
            <w:r>
              <w:rPr>
                <w:rStyle w:val="InstructionsTabelleberschrift"/>
                <w:rFonts w:ascii="Times New Roman" w:hAnsi="Times New Roman"/>
                <w:b w:val="0"/>
                <w:sz w:val="24"/>
                <w:u w:val="none"/>
              </w:rPr>
              <w:t>egyrészt</w:t>
            </w:r>
            <w:proofErr w:type="gramEnd"/>
            <w:r>
              <w:rPr>
                <w:rStyle w:val="InstructionsTabelleberschrift"/>
                <w:rFonts w:ascii="Times New Roman" w:hAnsi="Times New Roman"/>
                <w:b w:val="0"/>
                <w:sz w:val="24"/>
                <w:u w:val="none"/>
              </w:rPr>
              <w:t xml:space="preserve"> mint a megterhelés forrását, másrészt mint megterhelt eszközt vagy biztosítékot kell feltüntetni.</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következő példák arra vonatkoznak, hogyan kell feltüntetni egy adott típusú ügyletet e részben, de ugyanezek a szabályok alkalmazandók a többi AE táblára is.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Fedezett betét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betétet a következőképpen kell feltüntetni: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a </w:t>
            </w:r>
            <w:proofErr w:type="gramStart"/>
            <w:r>
              <w:rPr>
                <w:rStyle w:val="InstructionsTabelleberschrift"/>
                <w:rFonts w:ascii="Times New Roman" w:hAnsi="Times New Roman"/>
                <w:b w:val="0"/>
                <w:sz w:val="24"/>
                <w:u w:val="none"/>
              </w:rPr>
              <w:t>betét könyv</w:t>
            </w:r>
            <w:proofErr w:type="gramEnd"/>
            <w:r>
              <w:rPr>
                <w:rStyle w:val="InstructionsTabelleberschrift"/>
                <w:rFonts w:ascii="Times New Roman" w:hAnsi="Times New Roman"/>
                <w:b w:val="0"/>
                <w:sz w:val="24"/>
                <w:u w:val="none"/>
              </w:rPr>
              <w:t xml:space="preserve"> szerinti értéke a terhelés forrásaként kerül nyilvántartásra a következő mezőben: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c0010} és {AE-SOU; r0070; c0030}; valós értékét pedig a következő mezőben kell feltüntetni: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kapta a fedezetet, annak valós értékét a következő mezőkben kell feltüntetni: {AE-COL; *; c0010}, {AE-SOU; r0070; c0030} és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Repoügyletek/fordított repoügyletek (matching repo)</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visszavásárlási (repo-) megállapodást (a továbbiakban: repoügylet) a következőképpen kell feltüntetni: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bruttó könyv szerinti értékét a megterhelés forrásaként a következő mezőben kell feltüntetni: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repoügylet biztosítékát a következőképpen kell feltüntetni: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fedezet az adatszolgáltató intézmény eszköze, könyv szerinti értékét a következő mezőben kell feltüntetni: {AE-ASS; *; c0010} és {AE-SOU; r0050; c0030}; valós értékét pedig a következő mezőben kell feltüntetni: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az adatszolgáltató intézmény korábbi fordított repoügylet révén (matching repo) kapta a fedezetet, annak valós értékét a következő mezőben kell feltüntetni: {AE-COL; *; c0010}, {AE-SOU; r0050; c0030} és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Központi banki finanszírozás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Mivel a fedezett központi banki finanszírozás valójában a fedezett betétek vagy a repoügyletek olyan speciális esete, amelyben a szerződő fél központi bank, így a 14. pont a) és b) alpontja szerinti szabály alkalmazandó.</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Azoknál az ügyleteknél, amelyeknél nem lehet azonosítani az egyes ügyletekhez nyújtott konkrét biztosítékot, mivel a biztosítékot egy halmazba (poolba) vonták össze, a biztosíték bontását a halmaz összetétele alapján arányosan kell elvégezni.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 nem terhelt eszközök a központi banknál előzetesen rendelkezésre bocsátott eszközök, kivéve, ha a központi bank csak előzetes jóváhagyás mellett engedélyezi az eszköz kivonását. A fel nem használt pénzügyi garanciáknál a fel nem használt részt, vagyis a központi bank által előírt minimális összeg fölötti részt arányosan el kell osztani a központi banknál elhelyezett eszközök között.</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Értékpapír kölcsönbe adása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mellett történő értékpapír kölcsönbe adásra a repoügyletekre/fordított repora vonatkozó szabályok alkalmazandók.</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készpénzbiztosíték nélküli értékpapír kölcsönbe adást a következőképpen kell feltüntetni: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kölcsönbe vett értékpapírok valós értékét a következő mezőben kell feltüntetni: {AE-SOU; r0150; c0010}. Amennyiben a kölcsönadó nem kap értékpapírt a kölcsönbe adott értékpapírokért, hanem ehelyett díjat kap, a következő mezőben: {AE-SOU; r0150; c0010} nullát kell feltüntetni;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biztosítékként kölcsönbe adott értékpapírok az adatszolgáltató intézmény eszközei, azok könyv szerinti értékét a következő mezőben kell feltüntetni: AE-ASS; *; c0010} és {AE-SOU; r0150; c0030}; valós értéküket pedig a következő mezőben: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 biztosítékként kölcsönbe adott értékpapírokat az adatszolgáltató intézmény kapja, azok valós értékét a következő mezőben kell feltüntetni: {AE-COL; *; c0010}, {AE-SOU; r0150; c0030} és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Származtatott ügyletek (kötelezettségek)</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negatív valós értékű fedezett derivatívákat a következőképpen kell feltüntetni: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derivatíva könyv szerinti értékét a megterhelés forrásaként a következő mezőben kell feltüntetni: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biztosítékot (a pozíció megnyitásához szükséges alapletét és bármely, a származtatott ügyletek piaci értékére letett biztosíték) a következőképpen kell feltüntetni: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az adatszolgáltató intézmény eszköze, könyv szerinti értékét a következő mezőben kell feltüntetni: {AE-ASS; *; c0010} és {AE-SOU; r0020; c0030}; valós értékét pedig a következő mezőben kell feltüntetni: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biztosítékot az adatszolgáltató intézmény kapja, annak könyv szerinti értékét a következő mezőben kell feltüntetni: {AE-COL; *; c0010}, {AE-SOU; r0020; c0030} és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Fedezett kötvények</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megterhelt eszközökre vonatkozó adatszolgáltatás szempontjából fedezett kötvények a 2009/65/EU irányelv 52. cikke (4) bekezdésének első albekezdésében említett instrumentumok függetlenül attól, hogy azok jogi formája értékpapír vagy sem.</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Nem vonatkoznak speciális szabályok a fedezett kötvényekre, ha az adatszolgáltató intézmény által kibocsátott értékpapírok egy része nem megtartott.</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kibocsátott értékpapírok egy részének megtartása esetén és a kétszeri beszámítás elkerülése érdekében a következő eljárás alkalmazandó:</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 nincsenek elzálogosítva, az említett megtartott és még nem elzálogosított értékpapírokat támogató fedezeti halmaz (pool) összegét az AE-ASS táblában meg nem terhelt eszközként kell feltüntetni. A megtartott és még nem elzálogosított fedezett kötvényekre vonatkozó további információt (mögöttes eszközök, a megterhelhető elemek valós értéke és elismerhetősége és a meg nem terhelhető elemek névértéke) az AE-NPL táblában kell feltüntetni;</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amennyiben a saját fedezett kötvényeket elzálogosítják, az említett megtartott és elzálogosított értékpapírokat támogató fedezeti halmaz (pool) összegét az AE-ASS táblában megterhelt eszközként kell feltüntetni.</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következő tábla bemutatja, miként kell egy 100 EUR értékű fedezettkötvény-kibocsátásról adatot szolgáltatni, amennyiben e fedezett kötvények 15 %-át megtartják, és nem zálogosítják el, 10 %-át pedig megtartják és egy, a központi bankkal végrehajtott 11 EUR összegű repoügyletben biztosítékként használják fel, amelynek során a fedezeti halmaz (pool) fedezetlen kölcsönöket tartalmaz és a kölcsönök könyv szerinti értéke 150 EUR.</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Értékpapírosítás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értékpapírosítás olyan, az adatszolgáltató intézmény által tartott, hitelviszonyt megtestesítő értékpapír, amelyet az 575/2013/EU rendelet 4. cikke (1) bekezdésének 61. pontja szerinti értékpapírosítási ügyletben kezdeményeztek.</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olyan értékpapírosításra, amely a mérlegben marad (nem kivezetett) a fedezett kötvényekre vonatkozó szabályok alkalmazandók.</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kivezetett értékpapírosítás esetében nincs megterhelés, amikor az intézmény egyes értékpapírokat megtart. Az említett értékpapírok harmadik fél által kibocsátott egyéb értékpapírként jelennek meg az adatszolgáltató intézmények kereskedési könyvében vagy banki könyvében.</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706991"/>
      <w:r>
        <w:rPr>
          <w:rFonts w:ascii="Times New Roman" w:hAnsi="Times New Roman"/>
          <w:sz w:val="24"/>
          <w:u w:val="none"/>
        </w:rPr>
        <w:lastRenderedPageBreak/>
        <w:t>A tábla egyes soraira vonatkozó útmutató</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eszközei</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IAS 1 9. bekezdésének a) pontja, végrehajtási útmutató (Implementation Guidance) IG6; az adatszolgáltató intézmény mérlegben nyilvántartott összes eszköze.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Ebből: bizalmi vagyonkezelés keretében kezelt, beszámítható eszközök</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következő feltételek mindegyikét teljesítő, bizalmi vagyonkezelés keretében kezelt eszközök: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az általánosan elfogadott nemzeti számviteli alapelvek lehetővé teszik a 86/635/EGK irányelv 10. cikkével összhangban történő, mérlegen belüli megjelenítésüket;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teljesítik az 1606/2002/EK rendeletnek megfelelően alkalmazandó IFRS 9 nemzetközi pénzügyi beszámolási standardban meghatározott, a megjelenítés alóli kivételre vonatkozó kritériumokat;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adott esetben teljesítik az 1606/2002/EK rendeletnek megfelelően alkalmazandó IFRS 10 standardban meghatározott, a konszolidálás alóli kivételre vonatkozó kritériumokat.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 intézményeknek a központi bankoknál és egyéb intézményeknél levő látra szóló követeléseket kell feltüntetniük. </w:t>
            </w:r>
            <w:proofErr w:type="gramStart"/>
            <w:r>
              <w:rPr>
                <w:rStyle w:val="InstructionsTabelleberschrift"/>
                <w:rFonts w:ascii="Times New Roman" w:hAnsi="Times New Roman"/>
                <w:b w:val="0"/>
                <w:sz w:val="24"/>
                <w:u w:val="none"/>
              </w:rPr>
              <w:t>A pénzeszközöket</w:t>
            </w:r>
            <w:proofErr w:type="gramEnd"/>
            <w:r>
              <w:rPr>
                <w:rStyle w:val="InstructionsTabelleberschrift"/>
                <w:rFonts w:ascii="Times New Roman" w:hAnsi="Times New Roman"/>
                <w:b w:val="0"/>
                <w:sz w:val="24"/>
                <w:u w:val="none"/>
              </w:rPr>
              <w:t xml:space="preserve"> vagyis a forgalomban levő nemzeti és külföldi bankjegyeket és érméket, amelyeket általában fizetésre használnak, az „Egyéb eszközök” sorban kell feltüntetni.</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IAS 32 1. bekezdésében meghatározott, az adatszolgáltató intézmény által tartott tőkeinstrumentumok.</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melléklet, 1. rész 31. pont</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azokat az adatszolgáltató intézmény által tartott, értékpapírként kibocsátott, hitelviszonyt megtestesítő értékpapírokat kell feltüntetniük, amelyek a monetáris pénzügyi intézmények ágazati mérlegéről szóló (EU) 2021/379 rendeletnek</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megfelelően nem kölcsönök.</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hitelviszonyt megtestesítő értékpapírok, amelyek a 2009/65/EK irányelv</w:t>
            </w:r>
            <w:r>
              <w:rPr>
                <w:rFonts w:ascii="Times New Roman" w:hAnsi="Times New Roman"/>
                <w:sz w:val="24"/>
              </w:rPr>
              <w:t xml:space="preserve"> 52. cikke (4) bekezdésének első albekezdése szerinti kötvények.</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 az 575/2013/EU rendelet 4. cikke (1) bekezdésének 61. pontjában meghatározott értékpapírosítások.</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államháztartások által kibocsátott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Államháztartások által kibocsátott, az adatszolgáltató intézmény által tartott, hitelviszonyt megtestesítő értékpapírok.</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pénzügyi vállalatok által kibocsátott</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pontjának c) és d) alpontjában meghatározott pénzügyi vállalatok bocsátottak ki.</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r>
              <w:rPr>
                <w:rStyle w:val="InstructionsTabelleberschrift"/>
                <w:rFonts w:ascii="Times New Roman" w:hAnsi="Times New Roman"/>
                <w:sz w:val="24"/>
              </w:rPr>
              <w:noBreakHyphen/>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tartott, hitelviszonyt megtestesítő értékpapírok, amelyeket az V. melléklet 1. része 42. pontjának e) alpontjában meghatározott nem pénzügyi vállalatok bocsátottak ki.</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követelésektől eltérő hitelek és előlegek</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Hitelek és előlegek, amelyek az adatszolgáltató intézmény által tartott, értékpapíroktól eltérő, hitelviszonyt megtestesítő instrumentumok; kivéve a látra szóló követelés.</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ebből: ingatlannal fedezett hitelek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látra szóló követelésektől eltérő hitelek és előlegek, amelyek az V. melléklet 2. részének 86. pontja szerint ingatlannal fedezettek.</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mérlegben szereplő eszközei, a 0020–0040-es és a 0100-as sorokban megadott, továbbá a hitelviszonyt megtestesítő saját értékpapírok, valamint a tulajdoni részesedést megtestesítő saját instrumentumok kivételével. Az utóbbi eszközök az IFRS hatálya alá nem tartozó intézmények esetében nem vezethetők ki a mérlegből.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Ebben az esetben a hitelviszonyt megtestesítő saját értékpapírokat az AE-COL tábla 0240-es sorában kell feltüntetni, míg a saját tőkeinstrumentumokat ki kell zárni a megterhelt eszközökre vonatkozó adatszolgáltatásból.</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706992"/>
      <w:r>
        <w:rPr>
          <w:rFonts w:ascii="Times New Roman" w:hAnsi="Times New Roman"/>
          <w:sz w:val="24"/>
          <w:u w:val="none"/>
        </w:rPr>
        <w:t>A tábla egyes oszlopaira vonatkozó útmutató</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megterhelt eszközök könyv szerinti értéke</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w:t>
            </w:r>
            <w:r>
              <w:rPr>
                <w:rStyle w:val="InstructionsTabelleberschrift"/>
                <w:rFonts w:ascii="Times New Roman" w:hAnsi="Times New Roman"/>
                <w:b w:val="0"/>
                <w:color w:val="auto"/>
                <w:sz w:val="24"/>
                <w:u w:val="none"/>
              </w:rPr>
              <w:t>az eszközterhelés e melléklet 11. pontjában említett fogalommeghatározása szerint megterhelt eszközeik könyv szerinti értékét kell feltüntetniük. A könyv szerinti érték a mérleg eszközoldalán feltüntetett összeget jelenti.</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megterhelt eszközök könyv szerinti értéke, amelyeket a prudenciális konszolidáció körébe tartozó vállalkozás bocsátott ki.</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olyan megterhelt eszközök könyv szerinti értéke, amelyek elismerhetők azon központi bankokkal végrehajtott ügyletekben, amelyekhez az adatszolgáltató intézménynek hozzáférése van.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elvileg rendkívül magas likviditású és hitelminőségű eszközöknek (EHQLA) és elvileg magas likviditású és hitelminőségű eszközöknek (HQLA) tekinthető megterhelt eszközök könyv szerinti értéke.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 rendelet alkalmazásában az (EU) 2015/61 felhatalmazáson alapuló rendelet 10–13. cikkében felsorolt azon eszközök minősülnek EHQLA-ként és HQLA-ként elvileg elismerhető megterhelt eszközöknek, amelyek – ha nem lennének az e melléklet szerint megterhelt eszközök – megfelelnének az említett felhatalmazáson alapuló rendelet 7. és 8. cikkében meghatározott általános és operatív követelményeknek.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könyv szerinti értéke az említett felhatalmazáson alapuló rendelet 10–16. cikkében meghatározott haircutok alkalmazása előtti könyv szerinti érték.</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megterhelt eszközök valós értéke</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Az IFRS 13 és az IFRS alá nem tartozó intézmények esetében a 2013/34/EU irányelv 8. cikke.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intézményeknek az eszközterhelés e melléklet 11. pontjában említett fogalommeghatározása szerint megterhelt, hitelviszonyt megtestesítő értékpapírjaik valós értékét kell feltüntetniük.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olyan megterhelt, hitelviszonyt megtestesítő értékpapírok valós értéke, amelyek elismerhetők azon központi bankokkal végrehajtott ügyletekben, amelyekhez az adatszolgáltató intézménynek hozzáférése van.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w:t>
            </w:r>
            <w:r>
              <w:rPr>
                <w:rStyle w:val="InstructionsTabelleberschrift"/>
                <w:rFonts w:ascii="Times New Roman" w:hAnsi="Times New Roman"/>
                <w:b w:val="0"/>
                <w:sz w:val="24"/>
                <w:u w:val="none"/>
              </w:rPr>
              <w:lastRenderedPageBreak/>
              <w:t>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Olyan megterhelt eszközök valós értéke, amelyek EHQLA-ként és HQLA-ként elvileg elismerhetők.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E rendelet alkalmazásában az (EU) 2015/61 felhatalmazáson alapuló rendelet 10–13. cikkében felsorolt azon eszközök minősülnek EHQLA-ként és HQLA-ként elvileg elismerhető megterhelt eszközöknek, amelyek – ha nem lennének az e melléklet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említett felhatalmazáson alapuló rendelet 10–16. cikkében meghatározott haircutok alkalmazása előtti valós érték.</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könyv szerinti értéke</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 nem terhelt eszközeik könyv szerinti értékét kell feltüntetniük.</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A könyv szerinti érték a mérleg eszközoldalán feltüntetett összeg.</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tartott olyan meg nem terhelt eszközök könyv szerinti értéke, amelyeket a prudenciális konszolidáció körébe tartozó vállalkozás bocsátott ki.</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olyan meg nem terhelt eszközök könyv szerinti értéke, amelyek elismerhetők azon központi bankokkal végrehajtott ügyletekben, amelyekhez az adatszolgáltató intézménynek hozzáférése van.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Az (EU) 2015/61 felhatalmazáson alapuló rendelet 10–13. cikkében felsorolt meg nem terhelt azon EHQLA és HQLA könyv szerinti értéke, amelyek megfelelnek az említett felhatalmazáson alapuló rendelet 7. és 8. cikkében meghatározott általános és operatív követelményeknek, továbbá az említett </w:t>
            </w:r>
            <w:r>
              <w:rPr>
                <w:rStyle w:val="TeksttreciTimesNewRoman105ptOdstpy0pt"/>
                <w:sz w:val="24"/>
              </w:rPr>
              <w:lastRenderedPageBreak/>
              <w:t>felhatalmazáson alapuló rendelet 10–16. cikkében és 35–37. cikkében meghatározott, kitettségiosztály-specifikus követelményeknek.</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Az EHQLA és HQLA könyv szerinti értéke az (EU) 2015/61 felhatalmazáson alapuló rendelet 10–16. cikkében meghatározott haircutok alkalmazása előtti könyv szerinti érték.</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valós értéke</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IFRS 13 és az IFRS alá nem tartozó intézmények esetében a 2013/34/EU irányelv 8. cikke.</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 nem terhelt, hitelviszonyt megtestesítő értékpapírjaik valós értékét kell feltüntetniük.</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olyan meg nem terhelt, hitelviszonyt megtestesítő értékpapírok valós értéke, amelyek elismerhetők azon központi bankokkal végrehajtott ügyletekben, amelyekhez az adatszolgáltató intézménynek hozzáférése van.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Az (EU) 2015/61 felhatalmazáson alapuló rendelet</w:t>
            </w:r>
            <w:r>
              <w:rPr>
                <w:sz w:val="24"/>
              </w:rPr>
              <w:t xml:space="preserve"> </w:t>
            </w:r>
            <w:r>
              <w:rPr>
                <w:rStyle w:val="TeksttreciTimesNewRoman105ptOdstpy0pt"/>
                <w:sz w:val="24"/>
              </w:rPr>
              <w:t>10–13. cikkében felsorolt meg nem terhelt azon EHQLA és HQLA valós értéke,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Az EHQLA és HQLA valós értéke az (EU) 2015/61 felhatalmazáson alapuló rendelet 10–16. cikkében meghatározott haircutok alkalmazása előtti valós érték.</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706993"/>
      <w:r>
        <w:rPr>
          <w:rFonts w:ascii="Times New Roman" w:hAnsi="Times New Roman"/>
          <w:sz w:val="24"/>
          <w:u w:val="none"/>
        </w:rPr>
        <w:t>Tábla: AE-COL. Az adatszolgáltató intézmény által kapott biztosíték</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706994"/>
      <w:bookmarkStart w:id="35" w:name="_Toc348096567"/>
      <w:bookmarkStart w:id="36" w:name="_Toc348097328"/>
      <w:r>
        <w:rPr>
          <w:rFonts w:ascii="Times New Roman" w:hAnsi="Times New Roman"/>
          <w:sz w:val="24"/>
          <w:u w:val="none"/>
        </w:rPr>
        <w:t>Általános megjegyzések</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 xml:space="preserve">Az adatszolgáltató intézmény által kapott biztosítékok, valamint a saját fedezett kötvényektől vagy az értékpapírosításoktól eltérő kibocsátott, hitelviszonyt megtestesítő saját értékpapírok esetében a „meg nem terhelt” </w:t>
      </w:r>
      <w:r>
        <w:rPr>
          <w:sz w:val="24"/>
        </w:rPr>
        <w:lastRenderedPageBreak/>
        <w:t>eszközök kategóriája két részből áll: „megterhelhető” vagy potenciálisan megterhelhetőként elismerhető, valamint „meg nem terhelhető”.</w:t>
      </w:r>
    </w:p>
    <w:p w14:paraId="2F0EF69A" w14:textId="77777777" w:rsidR="00941FAE" w:rsidRPr="00857276" w:rsidRDefault="00941FAE" w:rsidP="00941FAE">
      <w:pPr>
        <w:pStyle w:val="InstructionsText2"/>
        <w:shd w:val="clear" w:color="auto" w:fill="FFFFFF"/>
        <w:spacing w:after="120"/>
        <w:rPr>
          <w:sz w:val="24"/>
        </w:rPr>
      </w:pPr>
      <w:r>
        <w:rPr>
          <w:sz w:val="24"/>
        </w:rPr>
        <w:t>Egy eszköz akkor „meg nem terhelhető”, ha azt az adatszolgáltató intézmény biztosítékként kapta és nem megengedett számára a biztosíték értékesítése vagy újbóli elzálogosítása, kivéve a biztosíték tulajdonosának nemteljesítése esetét. A saját fedezett kötvényektől vagy az értékpapírosításoktól eltérő saját kibocsátású, hitelviszonyt megtestesítő értékpapírok meg nem terhelhetők, ha a kibocsátással összefüggésben van korlátozás a tartott értékpapírok értékesítésére vagy újbóli elzálogosítására vonatkozóan.</w:t>
      </w:r>
    </w:p>
    <w:p w14:paraId="6C172FD5" w14:textId="59669A70" w:rsidR="00941FAE" w:rsidRPr="00857276" w:rsidRDefault="00941FAE" w:rsidP="00941FAE">
      <w:pPr>
        <w:pStyle w:val="InstructionsText2"/>
        <w:shd w:val="clear" w:color="auto" w:fill="FFFFFF"/>
        <w:spacing w:after="120"/>
        <w:rPr>
          <w:sz w:val="24"/>
        </w:rPr>
      </w:pPr>
      <w:r>
        <w:rPr>
          <w:sz w:val="24"/>
        </w:rPr>
        <w:t>A megterhelt eszközökre vonatkozó adatszolgáltatás céljából a díjért, készpénzbiztosíték vagy nem készpénzbiztosíték nyújtása nélkül kölcsönbe vett értékpapírokat kapott biztosítékként kell feltüntetni.</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706995"/>
      <w:r>
        <w:rPr>
          <w:rFonts w:ascii="Times New Roman" w:hAnsi="Times New Roman"/>
          <w:sz w:val="24"/>
          <w:u w:val="none"/>
        </w:rPr>
        <w:t>A tábla egyes soraira vonatkozó útmutató</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Az adatszolgáltató intézmény által kapott biztosíték</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 valamennyi osztálya.</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követelést tartalmaz.</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0020-as sorára vonatkozó jogszabályi hivatkozásokat és útmutatót.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tőkeinstrumentumot tartalmaz.</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0030-as sorára vonatkozó jogszabályi hivatkozásokat és útmutatót.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Hitelviszonyt megtestesítő értékpapírok</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hitelviszonyt megtestesítő értékpapírt tartalmaz.</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0040-es sorára vonatkozó jogszabályi hivatkozásokat és útmutatót.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fedezett kötvényeket tartalmaz.</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0050-es sorára vonatkozó jogszabályi hivatkozásokat és útmutatót.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értékpapírosításokat tartalmaz.</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Lásd az AE-ASS tábla 0060-as sorára vonatkozó jogszabályi hivatkozásokat és útmutatót.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államháztartás által kibocsátott, hitelviszonyt megtestesítő értékpapírt tartalmaz.</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0070-es sorára vonatkozó jogszabályi hivatkozásokat és útmutatót.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pénzügyi vállalat által kibocsátott, hitelviszonyt megtestesítő értékpapírt tartalmaz.</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0080-as sorára vonatkozó jogszabályi hivatkozásokat és útmutatót.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nem pénzügyi vállalat által kibocsátott, hitelviszonyt megtestesítő értékpapírt tartalmaz.</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0090-es sorára vonatkozó jogszabályi hivatkozásokat és útmutatót.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követelésektől eltérő hitelek és előlegek</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látra szóló követeléseken kívüli hiteleket és előlegeket tartalmaz.</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0100-as sorára vonatkozó jogszabályi hivatkozásokat és útmutatót.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kapott biztosíték</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egyéb eszközt tartalmaz.</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0120-as sorára vonatkozó jogszabályi hivatkozásokat és útmutatót.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Saját fedezett kötvénytől vagy értékpapírosítástól eltérő, kibocsátott, hitelviszonyt megtestesítő saját értékpapírok</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kibocsátott és megtartott, a saját kibocsátású fedezett kötvényektől vagy értékpapírosításoktól eltérő, hitelviszonyt megtestesítő saját értékpapírok.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Mivel a kibocsátott és megtartott vagy visszavásárolt hitelviszonyt megtestesítő saját értékpapírok az IAS 39 42. bekezdésének megfelelően csökkentik a kapcsolódó pénzügyi kötelezettségeket, az említett értékpapírok nem tartoznak az adatszolgáltató intézmény eszközei közé (az AE-ASS tábla 0010-es sora). Azokat a saját, hitelviszonyt megtestesítő értékpapírokat, amelyek az IFRS alá nem tartozó intézmények esetében nem vezethetők ki a mérlegből, fel kell tüntetni ebben a sorban.</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saját kibocsátású fedezett kötvények vagy az értékpapírosítások nem kerülnek be ebbe a kategóriába, mivel a kétszeri beszámítás elkerülése érdekében ezekben az esetekben más szabályok alkalmazandók:</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a hitelviszonyt megtestesítő saját értékpapírokat elzálogosítják, az említett megtartott és elzálogosított értékpapírokat támogató fedezeti halmaz (pool), illetve mögöttes eszközök összegét az AE-ASS táblában megterhelt eszközként kell feltüntetni;</w:t>
            </w:r>
          </w:p>
          <w:p w14:paraId="72A7569A" w14:textId="018369B0"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amennyiben a saját, hitelviszonyt megtestesítő értékpapírokat még nem zálogosították el, az említett megtartott és még nem elzálogosított értékpapírokat támogató fedezeti halmaz (pool), illetve mögöttes eszközök összegét az AE-ASS táblában meg nem terhelt eszközként kell feltüntetni. A még nem elzálogosított saját, hitelviszonyt megtestesítő értékpapírok említett második típusára vonatkozó további információt (mögöttes eszközök, a megterhelhető elemek valós értéke és elismerhetősége és a meg nem terhelhető elemek névértéke) az AE-NPL táblában kell feltüntetni.</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kétszeri beszámítás elkerülése érdekében a következő szabályok alkalmazandók az adatszolgáltató intézmény által kibocsátott és megtartott saját fedezett kötvényekkel és értékpapírosításokkal kapcsolatban:</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amennyiben az említett értékpapírokat elzálogosítják, az azokat támogató fedezeti halmaz (pool), illetve mögöttes eszközök összegét az AE-ASS táblában (F 32.01)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amennyiben az említett értékpapírokat még nem zálogosították el, az említett értékpapírokat támogató fedezeti halmaz (pool), illetve mögöttes eszközök összegét az AE-ASS táblában (F32.01) meg nem terhelt eszközként kell feltüntetni.</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ESZKÖZÖK, KAPOTT BIZTOSÍTÉKOK ÉS KIBOCSÁTOTT, HITELVISZONYT MEGTESTESÍTŐ SAJÁT ÉRTÉKPAPÍROK ÖSSZESEN</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mérlegben nyilvántartott összes eszköze, az adatszolgáltató intézmény által kapott biztosíték valamennyi típusa és az adatszolgáltató intézmény által kibocsátott és megtartott, a saját kibocsátású fedezett kötvényektől vagy értékpapírosításoktól eltérő kibocsátott, hitelviszonyt megtestesítő saját értékpapírok.</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706996"/>
      <w:r>
        <w:rPr>
          <w:rFonts w:ascii="Times New Roman" w:hAnsi="Times New Roman"/>
          <w:sz w:val="24"/>
          <w:u w:val="none"/>
        </w:rPr>
        <w:lastRenderedPageBreak/>
        <w:t>A tábla egyes oszlopaira vonatkozó útmutató</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megterhelt biztosíték vagy kibocsátott, hitelviszonyt megtestesítő saját értékpapír valós értéke</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intézményeknek az eszközterhelés e melléklet 11. pontjában említett fogalommeghatározása szerint megterhelt kapott biztosíték vagy általuk tartott/megtartott hitelviszonyt megtestesítő saját értékpapírok valós értékét kell feltüntetniük.</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instrumentum valós értéke az az ár, amelyet egy eszköz értékesítésekor kapnának, illetve egy kötelezettség átruházásakor kifizetnének egy piaci szereplők között létrejött szabályos ügylet alapján az értékelés időpontjában (lásd: IFRS 13 Valós értéken történő értékelés).</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amelyeket a prudenciális konszolidáció körébe tartozó vállalkozás bocsátott ki.</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illetve a kibocsátott általa tartott vagy megtartott, saját, hitelviszonyt megtestesítő olyan értékpapírok valós értéke, amelyek elismerhetők azon központi bankokkal végrehajtott ügyletekben, amelyekhez az adatszolgáltató intézménynek hozzáférése van.</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értéke.</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E rendelet alkalmazásában az (EU) 2015/61 felhatalmazáson alapuló rendelet 10–13.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e melléklet szerint megterhelt eszközök – megfelelnének az említett felhatalmazáson alapuló rendelet 7. és 8. cikkében meghatározott általános és operatív követelményeknek. Az EHQLA-ként és HQLA-ként elvileg elismerhető </w:t>
            </w:r>
            <w:r>
              <w:rPr>
                <w:rStyle w:val="TeksttreciTimesNewRoman105ptOdstpy0pt"/>
                <w:sz w:val="24"/>
              </w:rPr>
              <w:lastRenderedPageBreak/>
              <w:t>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kapott biztosíték vagy kibocsátott, hitelviszonyt megtestesítő saját értékpapír valós értéke</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kapott olyan biztosíték, amely meg nem terhelt, de megterhelhető, mivel az intézmény számára megengedett a biztosíték értékesítése vagy újbóli elzálogosítása a biztosíték tulajdonosának nemteljesítése hiányában. Tartalmazza a saját fedezett kötvényektől vagy értékpapírosításoktól eltérő kibocsátott, hitelviszonyt megtestesítő saját értékpapírok valós értékét is, mely értékpapírok meg nem terheltek, de megterhelhetők.</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kapott biztosítékok vagy a saját fedezett kötvényektől vagy értékpapírosításoktól eltérő, megterhelhető, kibocsátott, hitelviszonyt megtestesítő saját értékpapírok valós értéke, amelyeket a prudenciális konszolidáció körébe tartozó vállalkozás bocsátott ki.</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kapott megterhelhető biztosíték vagy saját fedezett kötvénytől vagy értékpapírosítástól eltérő, kibocsátott, hitelviszonyt megtestesítő saját értékpapír valós értéke, amely elismerhető azon központi bankokkal végrehajtott ügyletekben, amelyekhez az adatszolgáltató intézménynek hozzáférése van.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 és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Az intézmény által kapott, meg nem terhelt, de megterhelhető azon biztosíték és az intézmény által kibocsátott és tartott/megtartott, a saját kibocsátású fedezett kötvényektől vagy értékpapírosítási pozícióktól eltérő meg nem terhelt, de megterhelhető, azon hitelviszonyt megtestesítő saját értékpapírok valós értéke, amelyek az (EU) 2015/61 felhatalmazáson alapuló rendelet 10–13. cikkében felsorolt EHQLA-nak és HQLA-nak minősülnek, és amelyek megfelelnek az említett felhatalmazáson alapuló rendelet 7. és 8. cikkében meghatározott általános és operatív követelményeknek, továbbá az említett felhatalmazáson alapuló rendelet 10–16. cikkében és 35–37. cikkében meghatározott, kitettségiosztály-specifikus követelményeknek.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lastRenderedPageBreak/>
              <w:t>Az EHQLA és HQLA valós értéke az (EU) 2015/61 felhatalmazáson alapuló rendelet 10–16. cikkében meghatározott haircutok alkalmazása előtti valós érték.</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kapott biztosíték vagy kibocsátott, hitelviszonyt megtestesítő saját értékpapír névértéke</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adatszolgáltató intézmény által tartott, meg nem terhelt és meg nem terhelhető kapott biztosíték névértéke.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Tartalmazza a saját fedezett kötvényektől vagy értékpapírosításoktól eltérő azon kibocsátott, hitelviszonyt megtestesítő, az adatszolgáltató intézmény által megtartott saját értékpapírok névértékét is, amelyek meg nem terheltek, és nem terhelhetők meg.</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706997"/>
      <w:r>
        <w:rPr>
          <w:rFonts w:ascii="Times New Roman" w:hAnsi="Times New Roman"/>
          <w:sz w:val="24"/>
          <w:u w:val="none"/>
        </w:rPr>
        <w:t>Tábla: AE-NPL. Még nem elzálogosított saját kibocsátású fedezett kötvények és értékpapírosítások</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706998"/>
      <w:r>
        <w:rPr>
          <w:rFonts w:ascii="Times New Roman" w:hAnsi="Times New Roman"/>
          <w:sz w:val="24"/>
          <w:u w:val="none"/>
        </w:rPr>
        <w:t>Általános megjegyzések</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 kétszeri beszámítás elkerülése érdekében a következő szabályok alkalmazandók az adatszolgáltató intézmény által kibocsátott és megtartott saját fedezett kötvényekkel és értékpapírosításokkal kapcsolatban:</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amennyiben az említett értékpapírokat elzálogosítják, az azokat támogató fedezeti halmaz (pool), illetve mögöttes eszközök összegét az AE-ASS táblában megterhelt eszközként kell feltüntetni. A saját fedezett kötvények és értékpapírosítások elzálogosítása esetén a finanszírozás forrása nem a fedezett kötvények vagy az értékpapírosítás eredeti kibocsátása, hanem az az új ügylet, amelynek keretében az értékpapírokat elzálogosítják (központi banki finanszírozás vagy más típusú fedezett finanszírozás);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amennyiben az említett értékpapírokat még nem zálogosították el, az említett értékpapírokat támogató fedezeti halmaz (pool), illetve mögöttes eszközök összegét az AE-ASS táblában meg nem terhelt eszközként kell feltüntetni.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706999"/>
      <w:r>
        <w:rPr>
          <w:rFonts w:ascii="Times New Roman" w:hAnsi="Times New Roman"/>
          <w:sz w:val="24"/>
          <w:u w:val="none"/>
        </w:rPr>
        <w:t>A tábla egyes soraira vonatkozó útmutató</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Még nem elzálogosított saját kibocsátású fedezett kötvények és értékpapírosítások</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Saját kibocsátású fedezett kötvények és értékpapírosítások, amelyeket az adatszolgáltató intézmény megtartott és még meg nem terheltek.</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fedezett kötvények</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fedezett kötvények, amelyeket az adatszolgáltató intézmény megtartott és amelyek meg nem terheltek.</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megtartott értékpapírosítások</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Kibocsátott saját értékpapírosítások, amelyeket az adatszolgáltató intézmény megtartott, és amelyek meg nem terheltek.</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Előresorolt ügyletrészsorozat</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Kibocsátott saját értékpapírosítások előresorolt ügyletrészsorozatai, amelyeket az adatszolgáltató intézmény megtartott és amelyek meg nem terheltek.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575/2013/EU rendelet 4. cikke (1) bekezdésének 67. pontját.</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Köztes ügyletrészsorozat</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Kibocsátott saját értékpapírosítások köztes ügyletrészsorozatai, amelyeket az adatszolgáltató intézmény megtartott és amelyek meg nem terheltek.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Köztes ügyletrészsorozatnak kell tekinteni az összes nem előresorolt ügyletrészsorozatot, vagyis azokat, amelyek az utolsóként viselik a veszteséget vagy első veszteségviselő ügyletrészsorozatok. Lásd az 575/2013/EU rendelet 4. cikke (1) bekezdésének 67. pontját.</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Első veszteségviselő ügyletrészsorozat</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Kibocsátott saját értékpapírosítások első veszteségviselő ügyletrészsorozatai, amelyeket az adatszolgáltató intézmény megtartott, és amelyek meg nem terheltek.</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575/2013/EU rendelet 4. cikke (1) bekezdésének 67. pontját.</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707000"/>
      <w:r>
        <w:rPr>
          <w:rFonts w:ascii="Times New Roman" w:hAnsi="Times New Roman"/>
          <w:sz w:val="24"/>
          <w:u w:val="none"/>
        </w:rPr>
        <w:t>A tábla egyes oszlopaira vonatkozó útmutató</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Oszlopok</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mögöttes eszközhalmaz (pool) könyv szerinti értéke</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megtartott és még el nem zálogosított saját fedezett kötvényeket és értékpapírosításokat támogató fedezeti halmaz (pool), illetve mögöttes eszközök könyv szerinti értéke.</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Megterhelhető, kibocsátott, hitelviszonyt megtestesítő értékpapírok valós értéke</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de megterhelhető saját fedezett kötvények és saját értékpapírosítások valós értéke.</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központi bank által elismert</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olyan saját fedezett kötvények és saját értékpapírosítások valós értéke, amelyek megfelelnek a következő feltételek mindegyikének:</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meg nem terheltek;</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megterhelhetők;</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elismerhetők azon központi bankokkal végrehajtott ügyletekben, amelyekhez az adatszolgáltató intézménynek hozzáférése van.</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EHQLA-ként és HQLA-ként elvileg elismerhető</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EHQLA-ként és HQLA-ként elvileg elismerhető, kapott, megterhelt biztosíték, ideértve az értékpapír-kölcsönvételi ügyletekben kapott biztosítékokat is, vagy az EHQLA-ként és HQLA-ként elvileg elismerhető, az intézmény által tartott/megtartott, kibocsátott, megterhelt, hitelviszonyt megtestesítő saját értékpapírok valós értéke.</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 rendelet alkalmazásában az (EU) 2015/61 felhatalmazáson alapuló rendelet 10–13. cikkében felsorolt azon kapott biztosítékok vagy az ott felsorolt, az intézmény által tartott/megtartott azon kibocsátott hitelviszonyt megtestesítő saját értékpapírok minősülnek EHQLA-ként és HQLA-ként elvileg elismerhető megterhelt eszközöknek, amelyek – ha nem lennének e XVII. melléklet szerint megterhelt eszközök – megfelelnének az említett felhatalmazáson alapuló rendelet 7. és 8. cikkében meghatározott általános és operatív követelményeknek. Az EHQLA-ként és HQLA-ként elvileg elismerhető megterhelt eszközöknek meg kell felelniük az (EU) 2015/61 felhatalmazáson alapuló rendelet 10–16. cikkében és 35–37. cikkében meghatározott, kitettségiosztály-specifikus követelményeknek is. Az EHQLA-ként és HQLA-ként elvileg elismerhető megterhelt eszközök valós értéke az (EU) 2015/61 felhatalmazáson alapuló rendelet 10–16. cikkében meghatározott haircutok alkalmazása előtti valós érték.</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terhelhető, kibocsátott, saját, hitelviszonyt megtestesítő értékpapírok névértéke</w:t>
            </w:r>
            <w:r>
              <w:rPr>
                <w:rStyle w:val="InstructionsTabelleberschrift"/>
                <w:rFonts w:ascii="Times New Roman" w:hAnsi="Times New Roman"/>
                <w:sz w:val="24"/>
              </w:rPr>
              <w:noBreakHyphen/>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Megtartott, meg nem terhelt és meg nem terhelhető saját fedezett kötvények és saját értékpapírosítások névértéke.</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707001"/>
      <w:r>
        <w:rPr>
          <w:rFonts w:ascii="Times New Roman" w:hAnsi="Times New Roman"/>
          <w:sz w:val="24"/>
          <w:u w:val="none"/>
        </w:rPr>
        <w:t>Tábla: AE-SOU. Megterhelés forrásai</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707002"/>
      <w:bookmarkStart w:id="55" w:name="_Toc348096573"/>
      <w:bookmarkStart w:id="56" w:name="_Toc348097334"/>
      <w:bookmarkStart w:id="57" w:name="_Toc348101355"/>
      <w:r>
        <w:rPr>
          <w:rFonts w:ascii="Times New Roman" w:hAnsi="Times New Roman"/>
          <w:sz w:val="24"/>
          <w:u w:val="none"/>
        </w:rPr>
        <w:t>Általános megjegyzések</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Ez a tábla információt ad arról, hogy az adatszolgáltató intézmény számára milyen jelentőséggel bírnak a megterhelés különböző forrásai, többek között azok, amelyekhez nem kapcsolódik finanszírozás, például a hitelnyújtási kötelezettségvállalások vagy a kapott pénzügyi garanciák, illetve a nem készpénzbiztosíték mellett végrehajtott értékpapír kölcsönbe adás.</w:t>
      </w:r>
    </w:p>
    <w:p w14:paraId="1A5F7B35" w14:textId="7406514A" w:rsidR="00941FAE" w:rsidRPr="00857276" w:rsidRDefault="00941FAE" w:rsidP="00941FAE">
      <w:pPr>
        <w:pStyle w:val="InstructionsText2"/>
        <w:shd w:val="clear" w:color="auto" w:fill="FFFFFF"/>
        <w:spacing w:after="120"/>
        <w:rPr>
          <w:sz w:val="24"/>
        </w:rPr>
      </w:pPr>
      <w:r>
        <w:rPr>
          <w:sz w:val="24"/>
        </w:rPr>
        <w:t xml:space="preserve">Az AE-ASS és AE-COL táblákban az eszközök és kapott biztosítékok teljes összegére vonatkozó adatok a következő ellenőrzési szabálynak felelnek meg: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707003"/>
      <w:r>
        <w:rPr>
          <w:rFonts w:ascii="Times New Roman" w:hAnsi="Times New Roman"/>
          <w:sz w:val="24"/>
          <w:u w:val="none"/>
        </w:rPr>
        <w:t>A tábla egyes soraira vonatkozó útmutató</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Megterhelés forrásaként meghatározott pénzügyi kötelezettségek könyv szerinti értéke</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megterhelés forrásaként meghatározott, fedezett pénzügyi kötelezettségeinek könyv szerinti értéke, amennyiben az említett kötelezettségek az intézmény számára eszközterhelést jelentenek.</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Származtatott termékek</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Az adatszolgáltató intézmény olyan fedezett derivatíváinak könyv szerinti értéke, amelyek pénzügyi kötelezettségek, vagyis negatív valós értékű kötelezettségek amennyiben az említett derivatívák az intézmény számára eszközterhelést jelentenek.</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tőzsdén kívüli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tőzsdén kívül forgalmazott pénzügyi kötelezettségek, amennyiben az említett derivatívák az intézmény számára eszközterhelést jelentenek.</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Betétek</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fedezett betéteinek könyv szerinti értéke, amennyiben az említett betétek az intézmény számára eszközterhelést jelentenek.</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repomegállapodásainak bruttó könyv szerinti értéke (</w:t>
            </w:r>
            <w:r>
              <w:t xml:space="preserve">a számviteli keretben engedélyezett nettósítás nélkül), </w:t>
            </w:r>
            <w:r>
              <w:rPr>
                <w:rStyle w:val="InstructionsTabelleberschrift"/>
                <w:rFonts w:ascii="Times New Roman" w:hAnsi="Times New Roman"/>
                <w:b w:val="0"/>
                <w:sz w:val="24"/>
                <w:u w:val="none"/>
              </w:rPr>
              <w:t>amennyiben az említett ügyletek az intézmény számára eszközterhelést jelentenek.</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visszavásárlási (repo-) megállapodások olyan ügyletek, amelyek keretében az adatszolgáltató intézmény készpénzt kap adott áron és azon elkötelezettség mellett eladott pénzügyi eszközökért, hogy ezeket (vagy ezekkel azonos eszközöket) egy meghatározott jövőbeli időpontban rögzített áron visszavásárolja. A repo típusú műveletek valamennyi következő változatát repomegállapodásként kell feltüntetni: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értékpapírok készpénzbiztosíték ellenében történő kölcsönzése formájában ideiglenesen harmadik félnek átadott értékpapírokért cserébe kapott összegek, valamint</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eladási/visszavásárlási megállapodás formájában ideiglenesen harmadik félnek átadott értékpapírokért cserébe kapott összegek.</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központi bankkal kötött repomegállapodásainak könyv szerinti értéke, amennyiben az említett ügyletek az intézmény számára eszközterhelést jelentenek.</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repomegállapodásaitól eltérő fedezett betétek könyv szerinti értéke, amennyiben az említett betétek az intézmény számára eszközterhelést jelentenek.</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bankok</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központi bankkal kötött repomegállapodásaitól eltérő fedezett betétek könyv szerinti értéke, amennyiben az említett betétek az intézmény számára eszközterhelést jelentenek.</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hitelviszonyt megtestesítő értékpapírok</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által kibocsátott, hitelviszonyt megtestesítő értékpapírok könyv szerinti értéke, amennyiben az említett kibocsátott értékpapírok az intézmény számára eszközterhelést jelentenek.</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lastRenderedPageBreak/>
              <w:t>A kibocsátás megtartott része esetében az A. rész 15. pontjának vi. alpontjában meghatározott eljárást kell követni úgy, hogy ebbe a kategóriába csak a csoport vállalkozásain kívül elhelyezett, hitelviszonyt megtestesítő értékpapírok hányadát kell belefoglalni.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kibocsátott fedezett kötvények</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Azon fedezett kötvények könyv szerinti értéke, amelyek eszközei esetében az adatszolgáltató intézmény a kezdeményező, amennyiben az említett kibocsátott értékpapírok az intézmény számára eszközterhelést jelentenek.</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kibocsátott értékpapírosítások</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Az adatszolgáltató intézmény által kibocsátott értékpapírosítások könyv szerinti értéke, amennyiben az említett kibocsátott értékpapírok az intézmény számára eszközterhelést jelentenek.</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fedezett ügyleteinek összege, amennyiben az említett ügyletek az intézmény számára eszközterhelést jelentenek.</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hitelnyújtási elkötelezettségek névértéke</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hitelnyújtási elkötelezettségek névértéke, amennyiben az említett elkötelezettségek az intézmény számára eszközterhelést jelentenek.</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pénzügyi garanciák névértéke</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pénzügyi garanciák névértéke, amennyiben az említett garanciák az intézmény számára eszközterhelést jelentenek.</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készpénzbiztosíték mellett kölcsönvett értékpapírok valós értéke</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kölcsönbe vett értékpapírok valós értéke, amennyiben az említett ügyletek az intézmény számára eszközterhelést jelentenek.</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pénzügyi kötelezettségektől eltérő, a 0130–0150-es sorban felsorolt tételekhez nem tartozó fedezett ügyleteinek összege, amennyiben az említett ügyletek az intézmény számára eszközterhelést jelentenek.</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FORRÁSAI ÖSSZESEN</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valamennyi fedezett ügyletének összege, amennyiben az említett ügyletek az intézmény számára eszközterhelést jelentenek.</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707004"/>
      <w:r>
        <w:rPr>
          <w:rFonts w:ascii="Times New Roman" w:hAnsi="Times New Roman"/>
          <w:sz w:val="24"/>
          <w:u w:val="none"/>
        </w:rPr>
        <w:t>A tábla egyes oszlopaira vonatkozó útmutató</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Megfeleltetett kötelezettségek, függő kötelezettségek (a kapott hitelnyújtási elkötelezettségek vagy a kapott pénzügyi garanciák) vagy nem készpénzbiztosíték mellett kölcsönbe adott értékpapírok, összege, amennyiben az említett ügyletek az intézmény számára eszközterhelést jelentenek.</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pénzügyi kötelezettségeket könyv szerinti értékükön; a függő kötelezettségeket névértékükön; a nem készpénzbiztosíték mellett kölcsönbe adott értékpapírokat pedig valós értékükön kell feltüntetni.</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 más vállalkozásaitól</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Megfeleltetett kötelezettségek, függő kötelezettségek (a kapott hitelnyújtási elkötelezettségek vagy a kapott pénzügyi garanciák) vagy nem készpénzbiztosíték mellett kölcsönbe adott értékpapírok összege, amennyiben a szerződő fél a prudenciális konszolidáció körébe tartozó másik vállalkozás és az ügylet az intézmény számára eszközterhelést jelent.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értéktípusokra vonatkozó szabályokkal kapcsolatban lásd a 0010-es oszlopra vonatkozó útmutatót.</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Eszközök, kapott biztosítékok és a megterhelt, fedezett kötvénytől vagy értékpapírosítástól eltérő kibocsátott, hitelviszonyt megtestesítő saját értékpapírok</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eszközök, kapott biztosítékok és a fedezett kötvényektől vagy értékpapírosításoktól eltérő olyan kibocsátott, hitelviszonyt megtestesítő saját értékpapírok összege, amelyeket a sorokban meghatározott különböző típusú ügyletek eredményeként megterheltek.</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és az AE-COL táblákban található kritériumokkal való összhang biztosítása céljából az adatszolgáltató intézmény mérlegben nyilvántartott eszközei könyv szerinti értéken kerülnek feltüntetésre, a kapott, újrafelhasznált biztosítékok, valamint a fedezett kötvényektől és az értékpapírosításoktól eltérő megterhelt saját kibocsátású értékpapírok pedig valós értéken.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kapott és újrafelhasznált biztosíték</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olyan kapott biztosíték valós értéke, amelyet a sorokban meghatározott különböző típusú ügyletek eredményeként újra felhasználtak vagy megterheltek.</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megterhelt, saját hitelviszonyt megtestesítő értékpapírok</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fedezett kötvényektől vagy értékpapírosításoktól eltérő olyan kibocsátott, hitelviszonyt megtestesítő értékpapírok valós értéke, amelyeket a sorokban meghatározott különböző típusú ügyletek eredményeként megterheltek.</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707005"/>
      <w:r>
        <w:rPr>
          <w:rFonts w:ascii="Times New Roman" w:hAnsi="Times New Roman"/>
          <w:b/>
          <w:sz w:val="24"/>
          <w:u w:val="none"/>
        </w:rPr>
        <w:t>B. rész: Lejárati adatok</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707006"/>
      <w:r>
        <w:rPr>
          <w:rFonts w:ascii="Times New Roman" w:hAnsi="Times New Roman"/>
          <w:sz w:val="24"/>
          <w:u w:val="none"/>
        </w:rPr>
        <w:t>Általános megjegyzések</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A B. részben található tábla általános áttekintést ad azokról a megterhelt eszközökről és kapott, újrafelhasznált biztosítékokról, amelyek a megfelelő kötelezettségek hátralévő futamidejére vonatkozóan meghatározott intervallumokba tartoznak.</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707007"/>
      <w:r>
        <w:rPr>
          <w:rFonts w:ascii="Times New Roman" w:hAnsi="Times New Roman"/>
          <w:sz w:val="24"/>
          <w:u w:val="none"/>
        </w:rPr>
        <w:lastRenderedPageBreak/>
        <w:t>Tábla: AE-MAT. Lejárati adatok</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707008"/>
      <w:r>
        <w:rPr>
          <w:rFonts w:ascii="Times New Roman" w:hAnsi="Times New Roman"/>
          <w:sz w:val="24"/>
          <w:u w:val="none"/>
        </w:rPr>
        <w:t>A tábla egyes soraira vonatkozó útmutató</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 tábla alkalmazásában a megterhelt eszközöknek az alábbiak mindegyikét tartalmazniuk kell:</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adatszolgáltató intézmény eszközei (lásd az AE-ASS tábla 0010-es sorára vonatkozó előírást), amelyeket könyv szerinti értéken kell feltüntetni;</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kötvényektől vagy értékpapírosításoktól eltérő, kibocsátott, hitelviszonyt megtestesítő saját értékpapírok, amelyeket valós értéken kell feltüntetni (lásd az AE-COL tábla 240-es sorára vonatkozó előírást).</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említett összegeket a megterhelés forrásának (megfeleltetett kötelezettség, függő kötelezettség vagy kölcsönbe adott értékpapír) a hátralévő futamideje szerint kell elosztani az oszlopokban a hátralévő futamidőre meghatározott időtartamok között.</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(átvevői oldal)</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0040-es oszlopát.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annak az ügyletnek a hátralévő futamideje szerint kell elosztaniuk az oszlopokban a hátralévő futamidőre meghatározott időtartamok között, amelyhez kapcsolódóan a gazdálkodó egység az újrafelhasznált biztosítékot átvette (átvevői oldal).</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Kapott, újrafelhasznált biztosíték (újrafelhasználói oldal)</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Lásd az AE-COL tábla 130-as sorára vonatkozó útmutatót és az AE-SOU tábla 0040-es oszlopát.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intézményeknek az összegeket valós értéken kell feltüntetniük és a megterhelés forrásának (újrafelhasználói oldal – megfeleltetett kötelezettség, függő kötelezettség vagy kölcsönbe adott értékpapír) a hátralévő futamideje szerint kerülnek elosztásra az oszlopokban a hátralévő futamidőre meghatározott időtartamok között.</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707009"/>
      <w:r>
        <w:rPr>
          <w:rFonts w:ascii="Times New Roman" w:hAnsi="Times New Roman"/>
          <w:sz w:val="24"/>
          <w:u w:val="none"/>
        </w:rPr>
        <w:t>A tábla egyes oszlopaira vonatkozó útmutató</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Lejárat nélküli</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Látra szóló, meghatározott lejárati időpont nélkül</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Egynapos</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Egynapos vagy azon belüli lejárat</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nap &lt;= 1 hét</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napnál hosszabb és legfeljebb egy hét</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hét&lt;=2 hét</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hétnél hosszabb és legfeljebb két hét</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hét &lt;=1 hónap</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hétnél hosszabb és legfeljebb egy hónap</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hónap &lt;=3 hónap</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hónapnál hosszabb és legfeljebb három hónap</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hónap &lt;=6 hónap</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hónapnál hosszabb és legfeljebb hat hónap</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hónap&lt;=1 év</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hat hónapnál hosszabb és legfeljebb egy év</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év &lt;=2 év</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egy évnél hosszabb és legfeljebb két év</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év &lt;=3 év</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két évnél hosszabb és legfeljebb három év</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év &lt;=5 év</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három évnél hosszabb és legfeljebb öt év</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év &lt;=10 év</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ideje öt évnél hosszabb és legfeljebb tíz év</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év</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lejárat időpontja 10 évnél későbbi</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707010"/>
      <w:r>
        <w:rPr>
          <w:rFonts w:ascii="Times New Roman" w:hAnsi="Times New Roman"/>
          <w:b/>
          <w:sz w:val="24"/>
          <w:u w:val="none"/>
        </w:rPr>
        <w:t>C. rész: Függő megterhelés</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707011"/>
      <w:r>
        <w:rPr>
          <w:rFonts w:ascii="Times New Roman" w:hAnsi="Times New Roman"/>
          <w:sz w:val="24"/>
          <w:u w:val="none"/>
        </w:rPr>
        <w:t>Általános megjegyzések</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Az intézménynek ebben a táblában a megterhelt eszközök különböző stresszhelyzeti forgatókönyveket eredményező szintjét kell bemutatnia.</w:t>
      </w:r>
    </w:p>
    <w:p w14:paraId="3FD4CD31" w14:textId="22F9A8A4" w:rsidR="00941FAE" w:rsidRPr="00857276" w:rsidRDefault="00941FAE" w:rsidP="00941FAE">
      <w:pPr>
        <w:pStyle w:val="InstructionsText2"/>
        <w:shd w:val="clear" w:color="auto" w:fill="FFFFFF"/>
        <w:spacing w:after="120"/>
        <w:rPr>
          <w:sz w:val="24"/>
        </w:rPr>
      </w:pPr>
      <w:r>
        <w:rPr>
          <w:sz w:val="24"/>
        </w:rPr>
        <w:t>A függő megterhelés azokra a további eszközökre vonatkozik, amelyeket esetleg meg kell terhelni, amennyiben az adatszolgáltató intézmény az ellenőrzésén kívül álló külső események miatti kedvezőtlen fejleményekkel kerül szembe (ideértve a leminősítést, a megterhelt eszköz valós értékének csökkenését vagy általános bizalomvesztést). Az említett esetekben az adatszolgáltató intézménynek a már folyamatban levő ügyletekre tekintettel további eszközöket kell megterhelnie. A megterhelt eszközök pótlólagos összegét az intézmény által a fent említett stresszhelyzeti forgatókönyvekben leírt események következtében végrehajtott fedezeti ügyletek hatásának figyelembevétele nélkül kell megállapítani.</w:t>
      </w:r>
    </w:p>
    <w:p w14:paraId="61D0A026" w14:textId="22751820" w:rsidR="00941FAE" w:rsidRPr="00857276" w:rsidRDefault="00941FAE" w:rsidP="00941FAE">
      <w:pPr>
        <w:pStyle w:val="InstructionsText2"/>
        <w:shd w:val="clear" w:color="auto" w:fill="FFFFFF"/>
        <w:spacing w:after="120"/>
        <w:rPr>
          <w:sz w:val="24"/>
        </w:rPr>
      </w:pPr>
      <w:r>
        <w:rPr>
          <w:sz w:val="24"/>
        </w:rPr>
        <w:t xml:space="preserve">A tábla a következő két (a 4.1.1. és a 4.1.2. szakaszban részletesen ismertetett) forgatókönyvet tartalmazza a függő megterhelésre vonatkozó </w:t>
      </w:r>
      <w:r>
        <w:rPr>
          <w:sz w:val="24"/>
        </w:rPr>
        <w:lastRenderedPageBreak/>
        <w:t>adatszolgáltatásra. A feltüntetett adat az intézmény észszerű, a legjobb rendelkezésre álló adatokon alapuló becslése.</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A megterhelt eszközök valós értékének 30 %-os csökkenése. Ez a forgatókönyv csak az eszközök mögöttes valós értékének változására terjed ki, más, a könyv szerinti értéket érintő változásra – például árfolyamnyereség vagy -veszteség, illetve esetleges értékvesztés – nem. Ekkor az adatszolgáltató intézmény a biztosíték értékének megtartása érdekében esetleg további biztosíték nyújtására kényszerülhet.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Azon pénznemek mindegyikének 10 %-os leértékelődése, amelyekben az intézménynek az összes kötelezettség 5 %-át kitevő vagy azt meghaladó aggregált kötelezettségei vannak.</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A forgatókönyvek tekintetében külön kell adatot szolgáltatni és a jelentős pénznemek leértékelődését is fel kell tüntetni, függetlenül a többi jelentős pénznem leértékelődésétől. Következésképpen az intézmények nem vehetik figyelembe a forgatókönyvek közötti korrelációt.</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707012"/>
      <w:r>
        <w:rPr>
          <w:rFonts w:ascii="Times New Roman" w:hAnsi="Times New Roman"/>
          <w:sz w:val="24"/>
          <w:u w:val="none"/>
        </w:rPr>
        <w:t>„A” forgatókönyv: A megterhelt eszközök 30 %-os csökkentése</w:t>
      </w:r>
      <w:bookmarkEnd w:id="79"/>
    </w:p>
    <w:p w14:paraId="3065C7EF" w14:textId="5BB6B2F3" w:rsidR="00941FAE" w:rsidRPr="00857276" w:rsidRDefault="00941FAE" w:rsidP="00941FAE">
      <w:pPr>
        <w:pStyle w:val="InstructionsText2"/>
        <w:spacing w:after="120"/>
        <w:rPr>
          <w:sz w:val="24"/>
        </w:rPr>
      </w:pPr>
      <w:r>
        <w:rPr>
          <w:sz w:val="24"/>
        </w:rPr>
        <w:t>A feltételezés szerint valamennyi megterhelt eszköz értéke 30 %-kal csökken. A csökkenésből eredő további biztosítékigény megállapítása során úgy kell figyelembe venni a túlzott fedezettség aktuális szintjét, hogy csak a minimális fedezettségi szint maradjon meg. A további biztosítékigény megállapítása során figyelembe kell venni továbbá az érintett szerződések és megállapodások szerződéses előírásait, többek között a határértékeket.</w:t>
      </w:r>
    </w:p>
    <w:p w14:paraId="4BB3DCA3" w14:textId="77777777" w:rsidR="00941FAE" w:rsidRPr="00857276" w:rsidRDefault="00941FAE" w:rsidP="00941FAE">
      <w:pPr>
        <w:pStyle w:val="InstructionsText2"/>
        <w:spacing w:after="120"/>
        <w:rPr>
          <w:sz w:val="24"/>
        </w:rPr>
      </w:pPr>
      <w:r>
        <w:rPr>
          <w:sz w:val="24"/>
        </w:rPr>
        <w:t>Csak azokat a szerződéseket és megállapodásokat kell figyelembe venni, amelyek esetében további biztosíték nyújtására vonatkozó jogi kötelezettség áll fenn. Ide tartoznak a fedezettkötvény-kibocsátások, amelyek esetében jogi előírás a túlzott fedezettség minimumszintjének fenntartása, de nem szükséges fenntartani a fedezett kötvényekre vonatkozó meglévő minősítést.</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707013"/>
      <w:r>
        <w:rPr>
          <w:rFonts w:ascii="Times New Roman" w:hAnsi="Times New Roman"/>
          <w:sz w:val="24"/>
          <w:u w:val="none"/>
        </w:rPr>
        <w:t>„B” forgatókönyv: A jelentős pénznemek 10 %-os leértékelődése</w:t>
      </w:r>
      <w:bookmarkEnd w:id="80"/>
    </w:p>
    <w:p w14:paraId="5E76C9DE" w14:textId="5D7CDB33" w:rsidR="00941FAE" w:rsidRPr="00857276" w:rsidRDefault="00941FAE" w:rsidP="00941FAE">
      <w:pPr>
        <w:pStyle w:val="InstructionsText2"/>
        <w:spacing w:after="120"/>
        <w:rPr>
          <w:sz w:val="24"/>
        </w:rPr>
      </w:pPr>
      <w:r>
        <w:rPr>
          <w:sz w:val="24"/>
        </w:rPr>
        <w:t>Egy pénznemet akkor kell jelentősnek tekinteni, ha az adatszolgáltató intézmény szóban forgó pénznemben levő aggregált kötelezettségei az intézmény összes kötelezettségének 5 %-át teszik ki vagy meghaladják azt.</w:t>
      </w:r>
    </w:p>
    <w:p w14:paraId="0E2B3433" w14:textId="6DEB281A" w:rsidR="00941FAE" w:rsidRPr="00857276" w:rsidRDefault="00941FAE" w:rsidP="00941FAE">
      <w:pPr>
        <w:pStyle w:val="InstructionsText2"/>
        <w:spacing w:after="120"/>
        <w:rPr>
          <w:sz w:val="24"/>
        </w:rPr>
      </w:pPr>
      <w:r>
        <w:rPr>
          <w:sz w:val="24"/>
        </w:rPr>
        <w:t>A 10 %-os leértékelődés kiszámításakor mind az eszköz-, mind a kötelezettségoldali változásokat figyelembe kell venni, vagyis az eszközök és kötelezettségek közötti eltérésre kell összpontosítani. Például az USD-ben levő eszközökön alapuló USD-repoügyletek nem eredményeznek további megterhelést, míg egy EUR-ban levő eszközökön alapuló USD-repoügylet esetében további megterhelésre van szükség.</w:t>
      </w:r>
    </w:p>
    <w:p w14:paraId="2A7E473E" w14:textId="77777777" w:rsidR="00941FAE" w:rsidRPr="00857276" w:rsidRDefault="00941FAE" w:rsidP="00941FAE">
      <w:pPr>
        <w:pStyle w:val="InstructionsText2"/>
        <w:spacing w:after="120"/>
        <w:rPr>
          <w:sz w:val="24"/>
        </w:rPr>
      </w:pPr>
      <w:r>
        <w:rPr>
          <w:sz w:val="24"/>
        </w:rPr>
        <w:t>A számítás során figyelembe kell venni minden, keresztdevizás elemet tartalmazó ügyletet.</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707014"/>
      <w:r>
        <w:rPr>
          <w:rFonts w:ascii="Times New Roman" w:hAnsi="Times New Roman"/>
          <w:sz w:val="24"/>
          <w:u w:val="none"/>
        </w:rPr>
        <w:lastRenderedPageBreak/>
        <w:t>Tábla: AE-CONT. Függő megterhelés</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707015"/>
      <w:r>
        <w:rPr>
          <w:rFonts w:ascii="Times New Roman" w:hAnsi="Times New Roman"/>
          <w:sz w:val="24"/>
          <w:u w:val="none"/>
        </w:rPr>
        <w:t>A tábla egyes soraira vonatkozó útmutató</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Lásd az AE-SOU tábla egyes soraira vonatkozó útmutatót a 2.4.2. szakaszban. Az AE-CONT táblában levő sorok tartalma nem tér el az AE-SOU táblától.</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707016"/>
      <w:r>
        <w:rPr>
          <w:rFonts w:ascii="Times New Roman" w:hAnsi="Times New Roman"/>
          <w:sz w:val="24"/>
          <w:u w:val="none"/>
        </w:rPr>
        <w:t>A tábla egyes oszlopaira vonatkozó útmutató</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Megfeleltetett kötelezettségek, függő kötelezettségek vagy kölcsönbe adott értékpapírok</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vonatkozó útmutató és az adatok megegyeznek az AE-SOU tábla 0010-es sorára vonatkozó útmutatóval és adatokkal: megfeleltetett kötelezettségek, függő kötelezettségek (a kapott hitelnyújtási elkötelezettségek vagy a kapott pénzügyi garanciák) vagy nem készpénzbiztosíték mellett kölcsönbe adott értékpapírok, összege, amennyiben az említett ügyletek az intézmény számára eszközterhelést jelentenek.</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táblázat valamennyi sorára vonatkozó útmutatónak megfelelően az intézményeknek a pénzügyi kötelezettségeket könyv szerinti értékükön, a függő kötelezettségeket névértékükön, a nem készpénzbiztosíték mellett kölcsönbe adott értékpapírokat pedig valós értékükön kell feltüntetniük.</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Megterhelt eszközök pótlólagos összege.</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az „A” forgatókönyv bekövetkezése esetén érvényesülő jogi, szabályozási vagy szerződéses előírások következtében megterheltté válhatnak.</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 részben meghatározott útmutató alapján az említett eszközöket könyv szerinti értékükön kell feltüntetni, amennyiben az összeg az adatszolgáltató intézmény eszközéhez kapcsolódik, és valós értékükön, ha kapott biztosítékhoz kapcsolódik. Az intézmény meg nem terhelt eszközeit és biztosítékait meghaladó összegeket valós értéken kell feltüntetni.</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Megterhelt eszközök pótlólagos összege. 1. jelentős pénznem</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az első számú jelentős pénznem leértékelődése esetén érvényesülő jogi, szabályozási vagy szerződéses előírások következtében megterheltté válhatnak.</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0020-as sorban található összegtípusokra vonatkozó szabályokat.</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Megterhelt eszközök pótlólagos összege. 2. jelentős pénznem</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Azon további eszközök összege, amelyek a „B” forgatókönyv szerint a második számú jelentős pénznem leértékelődése esetén érvényesülő jogi, szabályozási vagy szerződéses előírások következtében megterheltté válhatnak.</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Lásd a 0020-as sorban található összegtípusokra vonatkozó szabályokat.</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707017"/>
      <w:r>
        <w:rPr>
          <w:rFonts w:ascii="Times New Roman" w:hAnsi="Times New Roman"/>
          <w:b/>
          <w:sz w:val="24"/>
          <w:u w:val="none"/>
        </w:rPr>
        <w:lastRenderedPageBreak/>
        <w:t>D. rész: Fedezett kötvények</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707018"/>
      <w:r>
        <w:rPr>
          <w:rFonts w:ascii="Times New Roman" w:hAnsi="Times New Roman"/>
          <w:sz w:val="24"/>
          <w:u w:val="none"/>
        </w:rPr>
        <w:t>Általános megjegyzések</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Az e táblában levő adatokat valamennyi, az adatszolgáltató intézmény által kibocsátott, ÁÉKBV-nak megfelelő fedezett kötvényre vonatkozóan fel kell tüntetni. Az ÁÉKBV-nak megfelelő fedezett kötvények a 2009/65/EK irányelv 52. cikke (4) bekezdésének első albekezdése szerinti kötvények. Ezek az adatszolgáltató intézmény által kibocsátott olyan fedezett kötvények, amelyek esetében az adatszolgáltató intézmény a fedezett kötvénnyel összefüggésben az alkalmazandó jog szerint a kötvénytulajdonosok érdekeinek védelmére létrehozott speciális állami felügyelet hatálya alá tartozik, továbbá az előírás szerint az ilyen kötvények kibocsátásából befolyt összegeket a jogszabályokkal összhangban olyan eszközökbe kell befektetni, amelyek a kötvények futamideje alatt mindvégig alkalmasak a kötvényekhez rendelt követelések kielégítésére, és amelyeket a kibocsátó csődje esetén első helyen a tőke visszatérítésére és a felhalmozott kamat kifizetésére kell felhasználni.</w:t>
      </w:r>
    </w:p>
    <w:p w14:paraId="140F1257" w14:textId="77777777" w:rsidR="00941FAE" w:rsidRPr="00857276" w:rsidRDefault="00941FAE" w:rsidP="00941FAE">
      <w:pPr>
        <w:pStyle w:val="InstructionsText2"/>
        <w:shd w:val="clear" w:color="auto" w:fill="FFFFFF"/>
        <w:spacing w:after="120"/>
        <w:rPr>
          <w:sz w:val="24"/>
        </w:rPr>
      </w:pPr>
      <w:r>
        <w:rPr>
          <w:sz w:val="24"/>
        </w:rPr>
        <w:t>Az adatszolgáltató intézmény által vagy a nevében kibocsátott olyan fedezett kötvényeket, amelyek nem felelnek meg az ÁÉKBV-nak, nem kell feltüntetni az AE-CB táblákban.</w:t>
      </w:r>
    </w:p>
    <w:p w14:paraId="213F4CC7" w14:textId="77777777" w:rsidR="00941FAE" w:rsidRPr="00857276" w:rsidRDefault="00941FAE" w:rsidP="00941FAE">
      <w:pPr>
        <w:pStyle w:val="InstructionsText2"/>
        <w:shd w:val="clear" w:color="auto" w:fill="FFFFFF"/>
        <w:spacing w:after="120"/>
        <w:rPr>
          <w:sz w:val="24"/>
        </w:rPr>
      </w:pPr>
      <w:r>
        <w:rPr>
          <w:sz w:val="24"/>
        </w:rPr>
        <w:t>Az adatszolgáltatásnak a fedezett kötvényekre vonatkozó kötelező szabályokon, vagyis a fedezettkötvény-programra alkalmazandó jogi kereten kell alapulnia.</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707019"/>
      <w:r>
        <w:rPr>
          <w:rFonts w:ascii="Times New Roman" w:hAnsi="Times New Roman"/>
          <w:sz w:val="24"/>
          <w:u w:val="none"/>
        </w:rPr>
        <w:t>Tábla: AE-CB. Fedezettkötvény-kibocsátás</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707020"/>
      <w:bookmarkStart w:id="92" w:name="_Toc348096589"/>
      <w:bookmarkStart w:id="93" w:name="_Toc348097349"/>
      <w:bookmarkStart w:id="94" w:name="_Toc348101370"/>
      <w:r>
        <w:rPr>
          <w:rFonts w:ascii="Times New Roman" w:hAnsi="Times New Roman"/>
          <w:sz w:val="24"/>
          <w:u w:val="none"/>
        </w:rPr>
        <w:t>A z-tengelyre vonatkozó útmutató</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z-tengely</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 azonosítója (nyitott mező)</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A fedezeti halmaz (pool) azonosítójának a fedezeti halmazt kibocsátó gazdálkodó egység nevéből vagy egyértelmű rövidítéséből és azon fedezeti halmaz (pool) megjelöléséből kell állnia, amely egyedileg a fedezett kötvényekre vonatkozó releváns védelmi intézkedések hatálya alá tartozik.</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707021"/>
      <w:r>
        <w:rPr>
          <w:rFonts w:ascii="Times New Roman" w:hAnsi="Times New Roman"/>
          <w:sz w:val="24"/>
          <w:u w:val="none"/>
        </w:rPr>
        <w:t>A tábla egyes soraira vonatkozó útmutató</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Névleges összeg</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A névérték a tőke visszafizetésére vonatkozó követelések összege, amelynek meghatározása a fedezett kötvényekre vonatkozó azon releváns kötelező szabályok szerint történik, amelyek a megfelelő fedezettség megállapítására alkalmazandók.</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Jelenérték (swap) / piaci érték</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A jelenérték (swap) a tőke és az árfolyamfüggő kockázatmentes hozamgörbe alapján diszkontált kamat fizetésére vonatkozó követelések összege, amelynek meghatározása a fedezett kötvényekre vonatkozó azon releváns kötelező szabályok szerint történik, amelyek a megfelelő fedezettség megállapítására alkalmazandók.</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lastRenderedPageBreak/>
              <w:t>A fedezeti halmazba (poolba) tartozó származtatott pozíciókra vonatkozó 0080-as és 0210-es oszlopokban a piaci értéket kell feltüntetni.</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Eszközspecifikus érték</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Az eszközspecifikus érték a fedezeti halmazba (poolba) tartozó eszközök gazdasági értéke, amely az IFRS 13 szerinti valós értékként határozható meg, vagyis a likvid piacokon végrehajtott ügyletekben megfigyelhető piaci értékként, vagy olyan jelenértékként, amely egy eszköz jövőbeli cash-flowját diszkontálná egy eszközspecifikus kamatlábgörbe alkalmazásával.</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Könyv szerinti érték</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A fedezettkötvény-kötelezettségek vagy a fedezeti halmazba (poolba) tartozó eszközök könyv szerinti értéke a számviteli érték a fedezett kötvényt kibocsátó intézménynél.</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707022"/>
      <w:r>
        <w:rPr>
          <w:rFonts w:ascii="Times New Roman" w:hAnsi="Times New Roman"/>
          <w:sz w:val="24"/>
          <w:u w:val="none"/>
        </w:rPr>
        <w:t>A tábla egyes oszlopaira vonatkozó útmutató</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Megfelel az 575/2013/EU rendelet 129. cikkének? [IGEN/NEM]</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intézménynek jelölnie kell, hogy a fedezeti halmaz (pool) megfelel-e az 575/2013/EU rendelet 129. cikkében meghatározott követelményeknek, hogy az említett rendelet 129. cikkének (4) és (5) bekezdése szerinti kedvezményes kezelésre jogosult legyen.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Amennyiben IGEN, jelölje a fedezeti halmaz (pool) elsődleges eszközosztályát</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Ha a fedezeti halmaz (pool) jogosult az 575/2013/EU rendelet 129. cikkének (4) és (5) bekezdése szerinti kedvezményes kezelésre (a 0011-es oszlopban IGEN a válasz), ebben a mezőben fel kell tüntetni a fedezeti halmaz (pool) elsődleges eszközosztályát. E célból az említett rendelet 129. cikkének (1) bekezdésében levő besorolást kell alkalmazni és megfelelően fel kell tüntetni az „a”, „b”, „c”, „d”, „e”, „f” és „g” jelzést. A „h” jelzést akkor kell használni, ha a fedezeti halmaz (pool) elsődleges eszközosztálya nem tartozik bele az előző kategóriák egyikébe sem.</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Fedezettkötvény-kötelezettségek</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A fedezettkötvény-kötelezettségek a kibocsátó gazdálkodó egység fedezett kötvények kibocsátása során létrejött kötelezettségei és a fedezett kötvényekre vonatkozó releváns kötelező szabályok szerint meghatározott valamennyi olyan pozíciót jelentik, amelyek a fedezett kötvényekre vonatkozó releváns védelmi intézkedések hatálya alá tartoznak (ide tartozhatnak például a forgalomban levő értékpapírok, valamint a fedezettkötvény-kibocsátók szerződő feleinek pozíciói egy olyan származtatott ügyletben, amelynek a piaci értéke a fedezett kötvény kibocsátója szempontjából negatív és amely egy fedezeti halmazhoz (poolhoz) tartozik és a fedezett kötvényekre vonatkozó releváns kötelező szabályok szerint fedezettkötvény-kötelezettségként kezelt).</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Jelentendő adat az adatszolgáltatás időpontjában</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Fedezettkötvény-kötelezettségek összegei, kivéve a fedezeti halmaz (pool) származtatott pozícióit, a különböző jövőbeli időtartamoknak megfelelően.</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hónap</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„+ 6 hónap” az adatszolgáltatási vonatkozási időpontot hat hónappal követő időpontot jelzi. Az összegeket annak feltételezésével kell feltüntetni, hogy az adatszolgáltatási vonatkozási időponthoz képest az amortizációt kivéve nem volt változás a fedezettkötvény-kötelezettségekben. Rögzített kifizetési ütemterv hiányában a jövőbeli időpontban fennálló összegekre következetesen a tervezett lejárati időt kell alkalmazni.</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Ahogy a „+ 6 hónap” esetében (0030-as oszlop), az adatszolgáltatási vonatkozási időponttól számított megfelelő időpont.</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negatív nettó piaci értékű származtatott pozíciók</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azon származtatott pozíciók negatív nettó piaci értéke, amelyeknek a nettó piaci értéke a fedezett kötvény kibocsátója szempontjából negatív.</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amelyek a fedezett kötvényekre vonatkozó releváns védelmi intézkedések hatálya alá tartoznak, mivel ezen negatív nettó piaci értékű származtatott pozíciók esetében az elismert fedezeti összetevők általi fedezettségre van szükség.</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negatív nettó piaci értéket csak az adatszolgáltatási vonatkozási időpont tekintetében kell feltüntetni.</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kötvények külső hitelminősítése</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intézményeknek információt kell adniuk a megfelelő fedezett kötvényre vonatkozó, az adatszolgáltatás időpontjában meglévő külső hitelminősítésről, amennyiben van.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Amennyiben az adatszolgáltatás időpontjában legalább egy hitelminősítő intézet hitelminősítése rendelkezésre áll, az intézményeknek meg kell adniuk az említett hitelminősítő intézetek egyikének nevét. Amennyiben az adatszolgáltatás időpontjában háromnál több hitelminősítő intézet készített hitelminősítést, a piaci súly alapján kell kiválasztani azt a három hitelminősítőt, amelyeknek adatot kell szolgáltatni.</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hitelminősítés</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hitelminősítő intézet által a fedezett kötvényre kiadott, a 0090-es oszlopban feltüntetett hitelminősítés az adatszolgáltatási vonatkozási időpontban.</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Amennyiben ugyanaz a hitelminősítő intézet hosszú és rövid távú hitelminősítést is kiadott, a hosszú távú minősítést kell megadni. A feltüntetendő hitelminősítésnek tartalmaznia kell az esetleges módosítókat.</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hitelminősítő intézetnél (0090-es oszlop), a további hitelminősítő intézetek által a fedezett kötvényekre kiadott hitelminősítések az adatszolgáltatási vonatkozási időpontban.</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2. hitelminősítés és 3. hitelminősítés</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Mint az első hitelminősítésnél (0100-as oszlop), a második és a harmadik hitelminősítő intézet által a fedezett kötvényekre kiadott hitelminősítések az adatszolgáltatási vonatkozási időpontban.</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Fedezeti halmaz (pool)</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fedezeti halmazt (poolt) alkotó valamennyi, a fedezett kötvényekre vonatkozó releváns intézkedések hatálya alá tartozó pozíció, többek között azok a származtatott pozíciók, amelyek nettó piaci értéke a fedezett kötvény kibocsátója szempontjából pozitív.</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Jelentendő adat az adatszolgáltatás időpontjában</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fedezeti halmazba (poolba) tartozó eszközök összege, kivéve a fedezeti halmazba tartozó származtatott pozíciókat.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Ez az összeg megfelel a túlzott fedezettség minimumszintjére vonatkozó előírásnak és tartalmazza a minimumot meghaladó esetleges további túlzott fedezettséget, amennyiben a fedezett kötvényekre vonatkozó releváns védelmi intézkedések hatálya alá tartozik.</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hónap</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adatszolgáltatási időpont „+ 6 hónap” az adatszolgáltatási vonatkozási időpontot hat hónappal követő időpontot jelzi. Az intézményeknek az összegeket annak feltételezésével kell feltüntetniük, hogy az adatszolgáltatás időpontjához képest az amortizációt kivéve nem volt változás a fedezeti halmazban (poolban). Rögzített kifizetési ütemterv hiányában a jövőbeli időpontban fennálló összegekre következetesen a tervezett lejárati időt kell alkalmazni.</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hónap – + 10 év</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Ahogy a „+ 6 hónap” esetében (0160-as oszlop), az adatszolgáltatási vonatkozási időponttól számított megfelelő időpont.</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halmazba (poolba) tartozó, pozitív nettó piaci értékű származtatott pozíciók</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fedezeti halmazba (poolba) tartozó azon származtatott pozíciók pozitív nettó piaci értéke, amelyeknek a nettó piaci értéke a fedezett kötvény kibocsátója szempontjából pozitív.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fedezeti halmazba (poolba) tartozó származtatott pozíciók azok a nettó származtatott pozíciók, amelyeket a fedezett kötvényekre vonatkozó releváns kötelező szabályok szerint belefoglaltak a fedezeti összetevők körébe és amely a fedezett kötvényekre vonatkozó releváns védelmi intézkedések hatálya alá tartoznak, mivel ezen pozitív nettó piaci értékű származtatott pozíciók nem képezik részét a fedezettkötvény-kibocsátó általános csődvagyonának.</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A pozitív nettó piaci értéket csak az adatszolgáltatási vonatkozási időpont tekintetében kell feltüntetni.</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fedezeti minimumkövetelményeket meghaladó fedezeti halmazok (pool) összege</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pozitív nettó piaci értékű származtatott pozíciókat is tartalmazó fedezeti halmaznak a minimumfedezettségre vonatkozó előírásokat meghaladó összege (túlzott fedezettség).</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fedezett kötvényekre vonatkozó releváns kötelező szabályok szerint</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túlfedezet összege a fedezett kötvényekre vonatkozó releváns kötelező szabályokban előírt minimális fedezettséghez képest.</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hitelminősítők által a fedezett kötvény aktuális külső hitelminősítésének fenntartására alkalmazott módszertan szerint</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túlfedezet összege ahhoz a szinthez képest, amelyre – a megfelelő hitelminősítő intézeti módszertanra vonatkozó, a fedezett kötvény kibocsátójának rendelkezésére álló információ szerint – minimálisan szükség lenne a vonatkozó hitelminősítő intézet által kiadott aktuális hitelminősítés támogatásához.</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1. hitelminősítő intézet</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túlzott fedezettség összege ahhoz a szinthez képest, amelyre – az első hitelminősítő intézet (0090-es oszlop) módszertanára vonatkozó, a fedezett kötvény kibocsátójának rendelkezésére álló információ szerint – minimálisan szükség lenne az első hitelminősítés (0100-as oszlop) támogatásához.</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2. hitelminősítő intézet és 3. hitelminősítő intézet</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Az első hitelminősítő intézetre (0230-as oszlop) vonatkozó útmutató alkalmazandó a második (0110-es oszlop) és a harmadik (0130-as oszlop) hitelminősítő intézet esetében.</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707023"/>
      <w:bookmarkEnd w:id="100"/>
      <w:bookmarkEnd w:id="101"/>
      <w:bookmarkEnd w:id="102"/>
      <w:bookmarkEnd w:id="103"/>
      <w:bookmarkEnd w:id="104"/>
      <w:bookmarkEnd w:id="105"/>
      <w:r>
        <w:rPr>
          <w:rFonts w:ascii="Times New Roman" w:hAnsi="Times New Roman"/>
          <w:b/>
          <w:sz w:val="24"/>
          <w:u w:val="none"/>
        </w:rPr>
        <w:t>E. rész: Részletes adatok</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707024"/>
      <w:r>
        <w:rPr>
          <w:rFonts w:ascii="Times New Roman" w:hAnsi="Times New Roman"/>
          <w:sz w:val="24"/>
          <w:u w:val="none"/>
        </w:rPr>
        <w:t>Általános megjegyzések</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Az E. rész felépítése megfelel az A. részben található „eszközök megterhelése” áttekintő táblákénak, de az adatszolgáltató intézmény eszközeinek megterhelésére és a kapott biztosítékra vonatkozó AE-ADV1 és AE-ADV2 táblák eltérnek. Következésképpen a megfeleltetett kötelezettségek megfelelnek azoknak a kötelezettségeknek, amelyeket a megterhelt eszközök fedeznek és nem kell közvetlen kapcsolatnak lennie.</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707025"/>
      <w:r>
        <w:rPr>
          <w:rFonts w:ascii="Times New Roman" w:hAnsi="Times New Roman"/>
          <w:sz w:val="24"/>
          <w:u w:val="none"/>
        </w:rPr>
        <w:t>Tábla: AE-ADV1. Az adatszolgáltató intézmény eszközeire vonatkozó részletes tábla</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707026"/>
      <w:r>
        <w:rPr>
          <w:rFonts w:ascii="Times New Roman" w:hAnsi="Times New Roman"/>
          <w:sz w:val="24"/>
          <w:u w:val="none"/>
        </w:rPr>
        <w:t>A tábla egyes soraira vonatkozó útmutató</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Sorok</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banki finanszírozás (bármely típusú, ideértve a repot)</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minden olyan típusú kötelezettsége, amely esetében az ügylet szerződő fele központi 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 központi banknál előre rendelkezésre bocsátott eszközt nem kell megterhelt eszközként kezelni, kivéve, ha a központi bank csak előzetes hozzájárulással teszi lehetővé az elhelyezett eszköz kivonását. A fel nem használt pénzügyi garanciáknál a fel nem használt részt, vagyis a központi bank által előírt minimális összeg fölötti részt arányosan el kell osztani a központi banknál elhelyezett eszközök között.</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forgalmazott derivatívák</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amennyiben ezek elismert vagy kijelölt tőzsdén jegyzett vagy kereskedett derivatívák és az intézmény számára eszközterhelést jelentenek.</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Tőzsdén kívüli derivatívák</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olyan fedezett derivatíváinak könyv szerinti értéke, amelyek pénzügyi kötelezettségek, amennyiben az említett derivatívák kereskedése tőzsdén kívül történik és azok az intézmény számára eszközterhelést jelentenek; az AE-SOU tábla 030-as sorára vonatkozóval megegyező útmutató.</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Visszavásárlási (repo-) megállapodások</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Az adatszolgáltató intézmény olyan repomegállapodásainak könyv szerinti értéke, amelyek esetében az ügylet szerződő fele nem központi bank, amennyiben az említett ügyletek az intézmény számára eszközterhelést jelentenek.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 háromoldalú repomegállapodások esetében ugyanazt az eljárást kell követni, mint a repomegállapodásoknál, amennyiben az említett ügyletek az intézmény számára eszközterhelést jelentenek.</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Repomegállapodásoktól eltérő fedezett betétek</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repomegállapodásaitól eltérő olyan fedezett betéteinek könyv szerinti értéke, amelyek esetében az ügylet szerződő fele nem központi bank, amennyiben az említett betétek az intézmény számára eszközterhelést jelentenek.</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fedezettkötvény-értékpapírok</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0100-as sorára vonatkozó útmutatót.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Kibocsátott értékpapírosítások</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0110-es sorára vonatkozó útmutatót.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Fedezett kötvénytől vagy értékpapírosítástól eltérő kibocsátott, hitelviszonyt megtestesítő értékpapírok</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Fedezett kötvényektől vagy értékpapírosítástól eltérő, az adatszolgáltató intézmény által kibocsátott hitelviszonyt megtestesítő értékpapírok könyv szerinti értéke, amennyiben az említett kibocsátott értékpapírok az intézmény számára eszközterhelést jelentenek.</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Abban az esetben, ha az adatszolgáltató intézmény a kibocsátott, hitelviszonyt megtestesítő értékpapírok egy részét repo eredményeként megtartja vagy a kibocsátás időpontjában vagy azt követően, az említett megtartott értékpapírok </w:t>
            </w:r>
            <w:r>
              <w:rPr>
                <w:rStyle w:val="InstructionsTabelleberschrift"/>
                <w:rFonts w:ascii="Times New Roman" w:hAnsi="Times New Roman"/>
                <w:b w:val="0"/>
                <w:sz w:val="24"/>
                <w:u w:val="none"/>
              </w:rPr>
              <w:lastRenderedPageBreak/>
              <w:t>nem foglalhatók a tételbe. Emellett az ezekhez kapcsolódó biztosítékokat e tábla alkalmazásában meg nem terheltként kell besorolni.</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Megterhelés egyéb, kapcsolódó forrásai</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AE-SOU tábla 0120-as sorára vonatkozó útmutatót.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eszközök összesen</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megterhelt eszközök könyv szerinti értéke.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olyan megterhelt eszközök könyv szerinti értéke, amelyek elismerhetők azon központi bankokkal végrehajtott ügyletekben, amelyekhez az adatszolgáltató intézménynek hozzáférése van.</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 nem terhelt eszközök összesen</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Az AE-ADV1 tábla soraiban meghatározott mindegyik típusú eszközre vonatkozóan az adatszolgáltató intézmény által tartott, meg nem terhelt eszközök könyv szerinti értéke.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A könyv</w:t>
            </w:r>
            <w:r>
              <w:t xml:space="preserve"> </w:t>
            </w:r>
            <w:r>
              <w:rPr>
                <w:rStyle w:val="InstructionsTabelleberschrift"/>
                <w:rFonts w:ascii="Times New Roman" w:hAnsi="Times New Roman"/>
                <w:b w:val="0"/>
                <w:color w:val="auto"/>
                <w:sz w:val="24"/>
                <w:u w:val="none"/>
              </w:rPr>
              <w:t>szerinti érték a mérleg eszközoldalán feltüntetett összeget jelenti.</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központi bank által elismert</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AE-ADV1 tábla soraiban meghatározott mindegyik típusú eszközre vonatkozóan az adatszolgáltató intézmény által tartott olyan meg nem terhelt eszközök könyv szerinti értéke, amelyek elismerhetők azon központi bankokkal végrehajtott ügyletekben, amelyekhez az adatszolgáltató intézménynek hozzáférése van.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Azok az adatszolgáltató intézmények, amelyek egy eszköz esetében nem tudják biztonsággal megállapítani a központi bank általi elismerhetőséget (például olyan joghatóságok, amelyekben nem egyértelműen meghatározottak a központi repoügylet szempontjából elismerhető eszközök, vagy nincs hozzáférésük folyamatosan működő központi banki repopiachoz) eltekinthetnek az említett eszközhöz</w:t>
            </w:r>
            <w:r>
              <w:rPr>
                <w:rFonts w:ascii="Times New Roman" w:hAnsi="Times New Roman"/>
                <w:sz w:val="24"/>
              </w:rPr>
              <w:t xml:space="preserve"> </w:t>
            </w:r>
            <w:r>
              <w:rPr>
                <w:rStyle w:val="instructionstabelleberschrift0"/>
                <w:rFonts w:ascii="Times New Roman" w:hAnsi="Times New Roman"/>
                <w:b w:val="0"/>
                <w:sz w:val="24"/>
                <w:u w:val="none"/>
              </w:rPr>
              <w:t>kapcsolódó összeg feltüntetésétől, vagyis üresen hagyhatják a megfelelő mezőt.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Megterhelt + meg nem terhelt eszközök</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AE-ADV1 tábla soraiban meghatározott mindegyik típusú eszközre vonatkozóan az adatszolgáltató intézmény által tartott eszközök könyv szerinti értéke.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707027"/>
      <w:r>
        <w:rPr>
          <w:rFonts w:ascii="Times New Roman" w:hAnsi="Times New Roman"/>
          <w:sz w:val="24"/>
          <w:u w:val="none"/>
        </w:rPr>
        <w:lastRenderedPageBreak/>
        <w:t>A tábla egyes oszlopaira vonatkozó útmutató</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Látra szóló követelések</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0020-as sorára vonatkozó útmutatót.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0030-as sorára vonatkozó útmutatót.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Összesen</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0040-as sorára vonatkozó útmutatót.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fedezett kötvények</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0050-es sorára vonatkozó útmutatót.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ebből: a csoporthoz tartozó más vállalkozások által kibocsátott</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tábla 0050-es sorára vonatkozó útmutatóban megadott fedezett kötvények, amelyeket a prudenciális konszolidáció körébe tartozó vállalkozás bocsátott ki.</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0060-as sorára vonatkozó útmutatót.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AE-ASS tábla 0060-as sorára vonatkozó útmutatóban megadott értékpapírosítások, amelyeket a prudenciális konszolidáció körébe tartozó vállalkozás bocsátott ki.</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0070-es sorára vonatkozó útmutatót.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0080-as sorára vonatkozó útmutatót.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0090-es sorára vonatkozó útmutatót.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államháztartások</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központi bankoknak és az államháztartásoknak nyújtott, látra szóló követelésektől eltérő hitelek és előlegek.</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pénzügyi vállalatoknak nyújtott, látra szóló követelésektől eltérő hitelek és előlegek.</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nem pénzügyi vállalatoknak nyújtott, látra szóló követelésektől eltérő hitelek és előlegek.</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nem pénzügyi vállalatoknak nyújtott, ingatlannal fedezett hitelekkel garantált, látra szóló követelésektől eltérő hitelek és előlegek.</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látra szóló követelésektől eltérő hitelek és előlegek.</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háztartásoknak nyújtott, ingatlannal fedezett hitelekkel garantált, látra szóló követelésektől eltérő hitelek és előlegek.</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Egyéb eszközök</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120-as sorára vonatkozó útmutatót.</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AE-ASS tábla 010-es sorára vonatkozó útmutatót.</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707028"/>
      <w:r>
        <w:rPr>
          <w:rFonts w:ascii="Times New Roman" w:hAnsi="Times New Roman"/>
          <w:sz w:val="24"/>
          <w:u w:val="none"/>
        </w:rPr>
        <w:t>Tábla: AE-ADV2. Az adatszolgáltató intézmény által kapott biztosítékra vonatkozó részletes tábla</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707029"/>
      <w:r>
        <w:rPr>
          <w:rFonts w:ascii="Times New Roman" w:hAnsi="Times New Roman"/>
          <w:sz w:val="24"/>
          <w:u w:val="none"/>
        </w:rPr>
        <w:t>A tábla egyes soraira vonatkozó útmutató</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Lásd a 6.2.1. szakaszt, mivel az útmutató hasonló a két táblára vonatkozóan.</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707030"/>
      <w:r>
        <w:rPr>
          <w:rFonts w:ascii="Times New Roman" w:hAnsi="Times New Roman"/>
          <w:sz w:val="24"/>
          <w:u w:val="none"/>
        </w:rPr>
        <w:t>A tábla egyes oszlopaira vonatkozó útmutató</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Oszlopok</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Jogszabályi hivatkozások és útmutató</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Látra szóló követelések</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0140-es sorára vonatkozó útmutatót.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0150-es sorára vonatkozó útmutatót.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0160-as sorára vonatkozó útmutatót.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fedezett kötvények</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0170-es sorára vonatkozó útmutatót.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fedezett kötvények.</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értékpapírosítások</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0180-as sorára vonatkozó útmutatót.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a csoporthoz tartozó más vállalkozások által kibocsátott</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prudenciális konszolidáció körébe tartozó vállalkozás által kibocsátott értékpapírosítások.</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államháztartások által kibocsátott</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Lásd az AE-COL tábla 0190-es sorára vonatkozó útmutatót.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pénzügyi vállalatok által kibocsátott</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0200-as sorára vonatkozó útmutatót.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nem pénzügyi vállalatok által kibocsátott</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0210-es sorára vonatkozó útmutatót.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Központi bankok és államháztartások</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biztosítékok, amelyek a központi bankoknak és az államháztartásoknak nyújtott látra szóló követelésektől eltérő hitelek és előlegek.</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Pénzügyi vállalatok</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pénzügyi vállalatoknak nyújtott, látra szóló követelésektől eltérő hitelek és előlegek.</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Nem pénzügyi vállalatok</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nem pénzügyi vállalatoknak nyújtott, látra szóló követelésektől eltérő hitelek és előlegek.</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ebből: ingatlannal fedezett hitelek</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látra szóló követelésektől eltérő, nem pénzügyi vállalatoknak nyújtott, ingatlannal fedezett hitelek és előlegek.</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Háztartások</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látra szóló követelésektől eltérő hitelek és előlegek.</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ebből: ingatlannal fedezett hitelek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Az adatszolgáltató intézmény által kapott olyan biztosítékok, amelyek a háztartásoknak nyújtott, ingatlannal fedezett hitelekkel garantált látra szóló követelésektől eltérő hitelek és előlegek.</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Egyéb eszközök</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0230-as sorára vonatkozó útmutatót.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Saját fedezett kötvénytől vagy értékpapírosítástól eltérő, kibocsátott, hitelviszonyt megtestesítő saját értékpapírok</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0240-es sorára vonatkozó útmutatót.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Összesen</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Lásd az AE-COL tábla 0130-as és 0140-es sorára vonatkozó útmutatót.”</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CB3CC" w14:textId="77777777" w:rsidR="00BA1610" w:rsidRDefault="00BA1610" w:rsidP="00941FAE">
      <w:pPr>
        <w:spacing w:before="0" w:after="0"/>
      </w:pPr>
      <w:r>
        <w:separator/>
      </w:r>
    </w:p>
  </w:endnote>
  <w:endnote w:type="continuationSeparator" w:id="0">
    <w:p w14:paraId="16E31C20" w14:textId="77777777" w:rsidR="00BA1610" w:rsidRDefault="00BA1610"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6F204" w14:textId="77777777" w:rsidR="00BA1610" w:rsidRDefault="00BA1610" w:rsidP="00941FAE">
      <w:pPr>
        <w:spacing w:before="0" w:after="0"/>
      </w:pPr>
      <w:r>
        <w:separator/>
      </w:r>
    </w:p>
  </w:footnote>
  <w:footnote w:type="continuationSeparator" w:id="0">
    <w:p w14:paraId="5FE50DC6" w14:textId="77777777" w:rsidR="00BA1610" w:rsidRDefault="00BA1610"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Az Európai Központi Bank (EU) 2021/379 rendelete (2021. január 22.) a hitelintézetek és a monetáris pénzügyi intézmények ágazati mérlegének mérlegtételeiről (átdolgozás) (EKB/2021/2) (HL L 73., 2021.3.3., 16.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H – szokásos felhasználásr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693493">
    <w:abstractNumId w:val="18"/>
  </w:num>
  <w:num w:numId="2" w16cid:durableId="969629100">
    <w:abstractNumId w:val="8"/>
  </w:num>
  <w:num w:numId="3" w16cid:durableId="845755270">
    <w:abstractNumId w:val="17"/>
  </w:num>
  <w:num w:numId="4" w16cid:durableId="1842545624">
    <w:abstractNumId w:val="23"/>
  </w:num>
  <w:num w:numId="5" w16cid:durableId="1450317786">
    <w:abstractNumId w:val="2"/>
  </w:num>
  <w:num w:numId="6" w16cid:durableId="877349959">
    <w:abstractNumId w:val="1"/>
  </w:num>
  <w:num w:numId="7" w16cid:durableId="1073551381">
    <w:abstractNumId w:val="15"/>
  </w:num>
  <w:num w:numId="8" w16cid:durableId="1221938638">
    <w:abstractNumId w:val="11"/>
  </w:num>
  <w:num w:numId="9" w16cid:durableId="988706397">
    <w:abstractNumId w:val="6"/>
  </w:num>
  <w:num w:numId="10" w16cid:durableId="482890600">
    <w:abstractNumId w:val="9"/>
  </w:num>
  <w:num w:numId="11" w16cid:durableId="190610384">
    <w:abstractNumId w:val="0"/>
  </w:num>
  <w:num w:numId="12" w16cid:durableId="2104253487">
    <w:abstractNumId w:val="21"/>
  </w:num>
  <w:num w:numId="13" w16cid:durableId="847796805">
    <w:abstractNumId w:val="8"/>
    <w:lvlOverride w:ilvl="0">
      <w:startOverride w:val="12"/>
    </w:lvlOverride>
  </w:num>
  <w:num w:numId="14" w16cid:durableId="2098286597">
    <w:abstractNumId w:val="4"/>
  </w:num>
  <w:num w:numId="15" w16cid:durableId="8595916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82576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8474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46215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56600162">
    <w:abstractNumId w:val="12"/>
  </w:num>
  <w:num w:numId="20" w16cid:durableId="67190371">
    <w:abstractNumId w:val="5"/>
  </w:num>
  <w:num w:numId="21" w16cid:durableId="1054280520">
    <w:abstractNumId w:val="14"/>
  </w:num>
  <w:num w:numId="22" w16cid:durableId="852647376">
    <w:abstractNumId w:val="20"/>
  </w:num>
  <w:num w:numId="23" w16cid:durableId="274102095">
    <w:abstractNumId w:val="10"/>
  </w:num>
  <w:num w:numId="24" w16cid:durableId="1699433918">
    <w:abstractNumId w:val="19"/>
  </w:num>
  <w:num w:numId="25" w16cid:durableId="1931429044">
    <w:abstractNumId w:val="3"/>
  </w:num>
  <w:num w:numId="26" w16cid:durableId="379131957">
    <w:abstractNumId w:val="7"/>
  </w:num>
  <w:num w:numId="27" w16cid:durableId="2138065036">
    <w:abstractNumId w:val="13"/>
  </w:num>
  <w:num w:numId="28" w16cid:durableId="1340620089">
    <w:abstractNumId w:val="22"/>
  </w:num>
  <w:num w:numId="29" w16cid:durableId="1430808695">
    <w:abstractNumId w:val="16"/>
  </w:num>
  <w:num w:numId="30" w16cid:durableId="884411496">
    <w:abstractNumId w:val="8"/>
  </w:num>
  <w:num w:numId="31" w16cid:durableId="2970791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hu-HU" w:vendorID="64" w:dllVersion="0" w:nlCheck="1" w:checkStyle="0"/>
  <w:proofState w:grammar="clean"/>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175D3"/>
    <w:rsid w:val="0012302A"/>
    <w:rsid w:val="00150419"/>
    <w:rsid w:val="00180477"/>
    <w:rsid w:val="00195EE2"/>
    <w:rsid w:val="001F09E9"/>
    <w:rsid w:val="002664F9"/>
    <w:rsid w:val="002C1D36"/>
    <w:rsid w:val="002F0AE4"/>
    <w:rsid w:val="002F22FA"/>
    <w:rsid w:val="0034431C"/>
    <w:rsid w:val="00385C4C"/>
    <w:rsid w:val="003A3DBF"/>
    <w:rsid w:val="003B2B42"/>
    <w:rsid w:val="003C1DA4"/>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E2A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1610"/>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E44F7"/>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hu-HU"/>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8A895464-0267-4AB6-9FC5-9190BC977593}"/>
</file>

<file path=customXml/itemProps3.xml><?xml version="1.0" encoding="utf-8"?>
<ds:datastoreItem xmlns:ds="http://schemas.openxmlformats.org/officeDocument/2006/customXml" ds:itemID="{27E2B88C-AD27-47A3-99A6-5C6330D4FEC7}"/>
</file>

<file path=customXml/itemProps4.xml><?xml version="1.0" encoding="utf-8"?>
<ds:datastoreItem xmlns:ds="http://schemas.openxmlformats.org/officeDocument/2006/customXml" ds:itemID="{D41C522B-5965-4F08-ACB7-46D0432FE4B2}"/>
</file>

<file path=docProps/app.xml><?xml version="1.0" encoding="utf-8"?>
<Properties xmlns="http://schemas.openxmlformats.org/officeDocument/2006/extended-properties" xmlns:vt="http://schemas.openxmlformats.org/officeDocument/2006/docPropsVTypes">
  <Template>Normal.dotm</Template>
  <TotalTime>50</TotalTime>
  <Pages>38</Pages>
  <Words>14083</Words>
  <Characters>78447</Characters>
  <Application>Microsoft Office Word</Application>
  <DocSecurity>0</DocSecurity>
  <Lines>1824</Lines>
  <Paragraphs>1186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 NAGY Ildiko (DGT)</cp:lastModifiedBy>
  <cp:revision>12</cp:revision>
  <dcterms:created xsi:type="dcterms:W3CDTF">2022-05-05T10:01:00Z</dcterms:created>
  <dcterms:modified xsi:type="dcterms:W3CDTF">2025-01-27T08:27:00Z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2025-01-25T13:17:29Z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63cd7cc5-c0dc-4dba-b854-aef0771cc7ee</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