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55CEC" w14:textId="77777777" w:rsidR="004B3EB4" w:rsidRDefault="004B3EB4" w:rsidP="004B3EB4">
      <w:pPr>
        <w:jc w:val="center"/>
        <w:rPr>
          <w:sz w:val="24"/>
          <w:szCs w:val="22"/>
          <w:rFonts w:ascii="Times New Roman" w:hAnsi="Times New Roman"/>
        </w:rPr>
      </w:pPr>
      <w:bookmarkStart w:id="0" w:name="_Toc360188413"/>
      <w:bookmarkStart w:id="1" w:name="_Toc473561053"/>
      <w:bookmarkStart w:id="2" w:name="_Toc117766050"/>
      <w:r>
        <w:rPr>
          <w:sz w:val="24"/>
          <w:rFonts w:ascii="Times New Roman" w:hAnsi="Times New Roman"/>
        </w:rPr>
        <w:t xml:space="preserve">HU</w:t>
      </w:r>
    </w:p>
    <w:p w14:paraId="673AA6A5" w14:textId="77777777" w:rsidR="004B3EB4" w:rsidRDefault="004B3EB4" w:rsidP="004B3EB4">
      <w:pPr>
        <w:rPr>
          <w:rFonts w:asciiTheme="minorHAnsi" w:hAnsiTheme="minorHAnsi"/>
          <w:sz w:val="22"/>
        </w:rPr>
      </w:pPr>
    </w:p>
    <w:p w14:paraId="714F1821" w14:textId="77777777" w:rsidR="009A273F" w:rsidRPr="00037E7B" w:rsidRDefault="009A273F" w:rsidP="009A273F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II. MELLÉKLET</w:t>
      </w:r>
    </w:p>
    <w:p w14:paraId="025DAC25" w14:textId="77777777" w:rsidR="009A273F" w:rsidRPr="00037E7B" w:rsidRDefault="009A273F" w:rsidP="009A273F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„II. MELLÉKLET</w:t>
      </w:r>
    </w:p>
    <w:p w14:paraId="5EA1A82F" w14:textId="77777777" w:rsidR="009A273F" w:rsidRPr="00037E7B" w:rsidRDefault="009A273F" w:rsidP="009A273F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ÚTMUTATÓ A SZAVATOLÓTŐKÉRE ÉS A SZAVATOLÓTŐKE-KÖVETELMÉNYEKRE VONATKOZÓ ADATSZOLGÁLTATÁSHOZ</w:t>
      </w:r>
    </w:p>
    <w:p w14:paraId="7ABDFB60" w14:textId="77777777" w:rsidR="009A273F" w:rsidRDefault="009A273F" w:rsidP="009A273F"/>
    <w:p w14:paraId="65617CB9" w14:textId="77777777" w:rsidR="009A273F" w:rsidRDefault="009A273F" w:rsidP="009A273F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II. RÉSZ: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TÁBLASPECIFIKUS ÚTMUTATÓ</w:t>
      </w:r>
    </w:p>
    <w:p w14:paraId="67FA9FF1" w14:textId="77777777" w:rsidR="009A273F" w:rsidRDefault="009A273F" w:rsidP="009A273F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49367E83" w14:textId="77777777" w:rsidR="009A273F" w:rsidRDefault="009A273F" w:rsidP="009A273F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07BCB996" w14:textId="77777777" w:rsidR="009A273F" w:rsidRDefault="009A273F" w:rsidP="009A273F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p w14:paraId="2A449DF9" w14:textId="75B5D8AF" w:rsidR="00DD5030" w:rsidRPr="002A677E" w:rsidRDefault="00606FB5" w:rsidP="009A273F">
      <w:pPr>
        <w:spacing w:before="0" w:after="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5.8.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25.01 – HITELÉRTÉKELÉSI KORREKCIÓK KOCKÁZATA</w:t>
      </w:r>
      <w:bookmarkEnd w:id="0"/>
      <w:r>
        <w:rPr>
          <w:sz w:val="24"/>
          <w:rFonts w:ascii="Times New Roman" w:hAnsi="Times New Roman"/>
        </w:rPr>
        <w:t xml:space="preserve"> (CVA)</w:t>
      </w:r>
      <w:bookmarkEnd w:id="1"/>
      <w:bookmarkEnd w:id="2"/>
    </w:p>
    <w:p w14:paraId="33239E01" w14:textId="77777777" w:rsidR="00606FB5" w:rsidRDefault="00606FB5" w:rsidP="00606FB5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3" w:name="_Toc360188414"/>
      <w:bookmarkStart w:id="4" w:name="_Toc473561054"/>
      <w:bookmarkStart w:id="5" w:name="_Toc117766051"/>
      <w:bookmarkStart w:id="6" w:name="_Toc310008820"/>
      <w:r>
        <w:rPr>
          <w:sz w:val="24"/>
          <w:u w:val="none"/>
          <w:rFonts w:ascii="Times New Roman" w:hAnsi="Times New Roman"/>
        </w:rPr>
        <w:t xml:space="preserve">5.8.1.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 tábla egyes részeire vonatkozó útmutató</w:t>
      </w:r>
      <w:bookmarkEnd w:id="3"/>
      <w:bookmarkEnd w:id="4"/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844"/>
      </w:tblGrid>
      <w:tr w:rsidR="00680687" w:rsidRPr="002A677E" w14:paraId="0110EC19" w14:textId="77777777" w:rsidTr="006A3ADC">
        <w:tc>
          <w:tcPr>
            <w:tcW w:w="9016" w:type="dxa"/>
            <w:gridSpan w:val="2"/>
            <w:shd w:val="clear" w:color="auto" w:fill="CCCCCC"/>
          </w:tcPr>
          <w:p w14:paraId="42563A8C" w14:textId="77777777" w:rsidR="00680687" w:rsidRPr="002A677E" w:rsidRDefault="00680687" w:rsidP="006A3ADC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Oszlopok</w:t>
            </w:r>
          </w:p>
        </w:tc>
      </w:tr>
      <w:tr w:rsidR="00680687" w:rsidRPr="002A677E" w14:paraId="22C86396" w14:textId="77777777" w:rsidTr="006A3ADC">
        <w:tc>
          <w:tcPr>
            <w:tcW w:w="1172" w:type="dxa"/>
          </w:tcPr>
          <w:p w14:paraId="013E2964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844" w:type="dxa"/>
          </w:tcPr>
          <w:p w14:paraId="48C69E8C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Partnerkockázati (CCR-) kitettségérték</w:t>
            </w:r>
          </w:p>
          <w:p w14:paraId="06BD2F33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Partnerkockázati kitettségérték (CCR) az 575/2013/EU rendelet harmadik része II. címének 4. és 6. fejezete szerinti módszerekkel kiszámítva.</w:t>
            </w:r>
          </w:p>
        </w:tc>
      </w:tr>
      <w:tr w:rsidR="00680687" w:rsidRPr="002A677E" w14:paraId="117387BA" w14:textId="77777777" w:rsidTr="006A3ADC">
        <w:tc>
          <w:tcPr>
            <w:tcW w:w="1172" w:type="dxa"/>
          </w:tcPr>
          <w:p w14:paraId="7CA143D6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844" w:type="dxa"/>
          </w:tcPr>
          <w:p w14:paraId="51B45A7C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partnerkockázat szavatolótőke-követelménye</w:t>
            </w:r>
          </w:p>
          <w:p w14:paraId="0F0016B3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partnerkockázat szavatolótőke-követelménye (az 575/2013/EU rendelet 92. cikke (4) bekezdésének a) és g) pontja, valamint harmadik részének VI. címe).</w:t>
            </w:r>
          </w:p>
        </w:tc>
      </w:tr>
      <w:tr w:rsidR="00680687" w:rsidRPr="002A677E" w14:paraId="5F978FE1" w14:textId="77777777" w:rsidTr="006A3ADC">
        <w:tc>
          <w:tcPr>
            <w:tcW w:w="1172" w:type="dxa"/>
          </w:tcPr>
          <w:p w14:paraId="182AB4FA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844" w:type="dxa"/>
          </w:tcPr>
          <w:p w14:paraId="396D9C75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Névleges összeg</w:t>
            </w:r>
          </w:p>
          <w:p w14:paraId="3D1812D7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származtatott ügyletek névleges értékének összege nettósítás és az 575/2013/EU rendelet 279b. cikke szerinti kiigazítás nélkül.</w:t>
            </w:r>
          </w:p>
        </w:tc>
      </w:tr>
      <w:tr w:rsidR="00680687" w:rsidRPr="002A677E" w14:paraId="26F18ADD" w14:textId="77777777" w:rsidTr="006A3ADC">
        <w:tc>
          <w:tcPr>
            <w:tcW w:w="1172" w:type="dxa"/>
          </w:tcPr>
          <w:p w14:paraId="54779968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844" w:type="dxa"/>
          </w:tcPr>
          <w:p w14:paraId="0B450F7D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Viselt CVA-kockázat</w:t>
            </w:r>
          </w:p>
          <w:p w14:paraId="736FE6AE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származtatott ügyletekben részes partnerek romló hitelképességére képzett számviteli céltartalék.</w:t>
            </w:r>
          </w:p>
        </w:tc>
      </w:tr>
      <w:tr w:rsidR="00680687" w:rsidRPr="002A677E" w14:paraId="31462293" w14:textId="77777777" w:rsidTr="006A3ADC">
        <w:tc>
          <w:tcPr>
            <w:tcW w:w="1172" w:type="dxa"/>
          </w:tcPr>
          <w:p w14:paraId="1B68F842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844" w:type="dxa"/>
          </w:tcPr>
          <w:p w14:paraId="2508C9C1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Kollektív befektetési formákban lévő származtatotteszköz-pozíciók egyszerűsített kezelése</w:t>
            </w:r>
          </w:p>
          <w:p w14:paraId="5D30B96B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CVA-kockázathoz kapcsolódó szavatolótőke-követelmény (az 575/2013/EU rendelet 92. cikke (4) bekezdésének d) pontja, valamint harmadik részének VI. címe), a kollektív befektetési formákban lévő származtatotteszköz-pozíciók tekintetében az 575/2013/EU rendelet 132a. cikkének (3) bekezdésében, 152. cikkének (3) bekezdésében és 325j. cikkének (1) bekezdésében meghatározott egyszerűsített kezelés szerint számítva.</w:t>
            </w:r>
          </w:p>
        </w:tc>
      </w:tr>
      <w:tr w:rsidR="00680687" w:rsidRPr="002A677E" w14:paraId="30F1E0DD" w14:textId="77777777" w:rsidTr="006A3ADC">
        <w:tc>
          <w:tcPr>
            <w:tcW w:w="1172" w:type="dxa"/>
          </w:tcPr>
          <w:p w14:paraId="6AA94009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844" w:type="dxa"/>
          </w:tcPr>
          <w:p w14:paraId="7A0A82EA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Egyszerűsített módszer</w:t>
            </w:r>
          </w:p>
          <w:p w14:paraId="004D4F8F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385. cikkében meghatározott egyszerűsített módszer alkalmazási körébe tartozó ügyletekre vonatkozó szavatolótőke-követelmények.</w:t>
            </w:r>
          </w:p>
        </w:tc>
      </w:tr>
      <w:tr w:rsidR="00680687" w:rsidRPr="002A677E" w14:paraId="5F75A918" w14:textId="77777777" w:rsidTr="006A3ADC">
        <w:tc>
          <w:tcPr>
            <w:tcW w:w="1172" w:type="dxa"/>
          </w:tcPr>
          <w:p w14:paraId="4A4C55CD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844" w:type="dxa"/>
          </w:tcPr>
          <w:p w14:paraId="6D8487B1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Csökkentett BA-CVA módszer</w:t>
            </w:r>
          </w:p>
          <w:p w14:paraId="10567290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CVA-kockázathoz kapcsolódó szavatolótőke-követelmény (az 575/2013/EU rendelet 92. cikke (4) bekezdésének d) pontja, valamint harmadik részének VI. címe), az 575/2013/EU rendelet 384. cikke (1) bekezdésének b) pontjában foglalt feltételt teljesítő intézmény esetében a 384. cikk (3) bekezdésével összhangban számítva.</w:t>
            </w:r>
          </w:p>
        </w:tc>
      </w:tr>
      <w:tr w:rsidR="00680687" w:rsidRPr="002A677E" w14:paraId="775123CE" w14:textId="77777777" w:rsidTr="006A3ADC">
        <w:tc>
          <w:tcPr>
            <w:tcW w:w="1172" w:type="dxa"/>
          </w:tcPr>
          <w:p w14:paraId="3FE4F30F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0080–0110</w:t>
            </w:r>
          </w:p>
        </w:tc>
        <w:tc>
          <w:tcPr>
            <w:tcW w:w="7844" w:type="dxa"/>
          </w:tcPr>
          <w:p w14:paraId="4D4D4B28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Teljes BA-CVA módszer</w:t>
            </w:r>
          </w:p>
          <w:p w14:paraId="29492D07" w14:textId="77777777" w:rsidR="00680687" w:rsidRPr="002A677E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CVA-kockázathoz kapcsolódó szavatolótőke-követelmény (az 575/2013/EU rendelet 92. cikke (4) bekezdésének d) pontja, valamint harmadik részének VI. címe), az 575/2013/EU rendelet 384. cikke (1) bekezdésének a) pontjában foglalt feltételt teljesítő intézmény esetében a 384. cikk (2) bekezdésével összhangban számítva.</w:t>
            </w:r>
          </w:p>
        </w:tc>
      </w:tr>
      <w:tr w:rsidR="00680687" w:rsidRPr="002A677E" w14:paraId="5CC39791" w14:textId="77777777" w:rsidTr="006A3ADC">
        <w:tc>
          <w:tcPr>
            <w:tcW w:w="1172" w:type="dxa"/>
          </w:tcPr>
          <w:p w14:paraId="7ED793DD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844" w:type="dxa"/>
          </w:tcPr>
          <w:p w14:paraId="2F507335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CVA-kockázathoz kapcsolódó fedezeti ügyletek névleges értéke</w:t>
            </w:r>
          </w:p>
          <w:p w14:paraId="3C607DB7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386. cikkével összhangban elismert, CVA-kockázathoz kapcsolódó fedezeti ügyletek névleges értéke (bruttó összeg).</w:t>
            </w:r>
          </w:p>
        </w:tc>
      </w:tr>
      <w:tr w:rsidR="00680687" w:rsidRPr="002A677E" w14:paraId="25B5BEC0" w14:textId="77777777" w:rsidTr="006A3ADC">
        <w:tc>
          <w:tcPr>
            <w:tcW w:w="1172" w:type="dxa"/>
          </w:tcPr>
          <w:p w14:paraId="569A7775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844" w:type="dxa"/>
          </w:tcPr>
          <w:p w14:paraId="7EE59EEA" w14:textId="77777777" w:rsidR="00680687" w:rsidRPr="005C217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BACVA</w:t>
            </w:r>
            <w:r>
              <w:rPr>
                <w:b/>
                <w:sz w:val="24"/>
                <w:vertAlign w:val="superscript"/>
                <w:rFonts w:ascii="Times New Roman" w:hAnsi="Times New Roman"/>
              </w:rPr>
              <w:t xml:space="preserve">CSR – fedezetlen</w:t>
            </w:r>
          </w:p>
          <w:p w14:paraId="4A0E67ED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384. cikke (1) bekezdésének b) pontjában meghatározott feltételt teljesítő intézmény esetében az alapmódszer hatálya alá tartozó ügyleteknek a 384. cikk (3) bekezdésével összhangban számított BACVAcsr–fedezetlen értéke.</w:t>
            </w:r>
          </w:p>
        </w:tc>
      </w:tr>
      <w:tr w:rsidR="00680687" w:rsidRPr="002A677E" w14:paraId="1E238074" w14:textId="77777777" w:rsidTr="006A3ADC">
        <w:tc>
          <w:tcPr>
            <w:tcW w:w="1172" w:type="dxa"/>
          </w:tcPr>
          <w:p w14:paraId="48638273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7844" w:type="dxa"/>
          </w:tcPr>
          <w:p w14:paraId="2C90402F" w14:textId="77777777" w:rsidR="00680687" w:rsidRDefault="00680687" w:rsidP="006A3ADC">
            <w:pPr>
              <w:rPr>
                <w:b/>
                <w:sz w:val="24"/>
                <w:vertAlign w:val="superscript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BACVA</w:t>
            </w:r>
            <w:r>
              <w:rPr>
                <w:b/>
                <w:sz w:val="24"/>
                <w:vertAlign w:val="superscript"/>
                <w:rFonts w:ascii="Times New Roman" w:hAnsi="Times New Roman"/>
              </w:rPr>
              <w:t xml:space="preserve">CSR – fedezett</w:t>
            </w:r>
          </w:p>
          <w:p w14:paraId="34FB0CB6" w14:textId="77777777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384. cikke (1) bekezdésének a) pontjában meghatározott feltételt teljesítő intézmény esetében az alapmódszer hatálya alá tartozó ügyleteknek a 384. cikk (2) bekezdésével összhangban számított BACVAcsr–fedezett értéke.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680687" w:rsidRPr="002A677E" w14:paraId="00FE8EDC" w14:textId="77777777" w:rsidTr="006A3ADC">
        <w:tc>
          <w:tcPr>
            <w:tcW w:w="1172" w:type="dxa"/>
          </w:tcPr>
          <w:p w14:paraId="5303AFEA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7844" w:type="dxa"/>
          </w:tcPr>
          <w:p w14:paraId="4F8092AD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Szavatolótőke-követelmények</w:t>
            </w:r>
          </w:p>
          <w:p w14:paraId="1287DB8E" w14:textId="77777777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384. cikke (1) bekezdésének a) pontjában meghatározott feltételt teljesítő intézmény esetében a teljes körű alapmódszer hatálya alá tartozó ügyleteknek a 384. cikk (2) bekezdésével összhangban számított teljes szavatolótőke-követelménye.</w:t>
            </w:r>
          </w:p>
        </w:tc>
      </w:tr>
      <w:tr w:rsidR="00680687" w:rsidRPr="002A677E" w14:paraId="4D9D19AA" w14:textId="77777777" w:rsidTr="006A3ADC">
        <w:tc>
          <w:tcPr>
            <w:tcW w:w="1172" w:type="dxa"/>
          </w:tcPr>
          <w:p w14:paraId="40BB5135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0120–0270</w:t>
            </w:r>
          </w:p>
        </w:tc>
        <w:tc>
          <w:tcPr>
            <w:tcW w:w="7844" w:type="dxa"/>
          </w:tcPr>
          <w:p w14:paraId="6D273C70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SA-CVA módszer</w:t>
            </w:r>
          </w:p>
          <w:p w14:paraId="1546865B" w14:textId="77777777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CVA-kockázathoz kapcsolódó szavatolótőke-követelmény (az 575/2013/EU rendelet 92. cikke (4) bekezdésének d) pontja, valamint harmadik részének VI. címe), az 575/2013/EU rendelet 382a. cikke (1) bekezdésének a) pontjában foglalt feltételt teljesítő intézmény esetében a 383. cikkel összhangban számítva.</w:t>
            </w:r>
          </w:p>
        </w:tc>
      </w:tr>
      <w:tr w:rsidR="00680687" w:rsidRPr="002A677E" w14:paraId="25255F9B" w14:textId="77777777" w:rsidTr="006A3ADC">
        <w:tc>
          <w:tcPr>
            <w:tcW w:w="1172" w:type="dxa"/>
          </w:tcPr>
          <w:p w14:paraId="1EEE68F9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7844" w:type="dxa"/>
          </w:tcPr>
          <w:p w14:paraId="3B3DE69C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CVA-kockázathoz kapcsolódó fedezeti ügyletek névleges értéke</w:t>
            </w:r>
          </w:p>
          <w:p w14:paraId="50C4B375" w14:textId="77777777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386. cikkével összhangban elismert, CVA-kockázathoz kapcsolódó fedezeti ügyletek névleges értéke.</w:t>
            </w:r>
          </w:p>
        </w:tc>
      </w:tr>
      <w:tr w:rsidR="00680687" w:rsidRPr="002A677E" w14:paraId="6842E160" w14:textId="77777777" w:rsidTr="006A3ADC">
        <w:tc>
          <w:tcPr>
            <w:tcW w:w="1172" w:type="dxa"/>
          </w:tcPr>
          <w:p w14:paraId="25D17774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7844" w:type="dxa"/>
          </w:tcPr>
          <w:p w14:paraId="6FE0752E" w14:textId="77777777" w:rsidR="00680687" w:rsidRPr="002A677E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Partnerek száma</w:t>
            </w:r>
          </w:p>
          <w:p w14:paraId="10FC4FF6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445a. cikke (1) bekezdésének c) pontja</w:t>
            </w:r>
          </w:p>
          <w:p w14:paraId="3A9459B9" w14:textId="77777777" w:rsidR="00680687" w:rsidRPr="005C217A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SA-CVA-kockázat szavatolótőke-követelményének számításában figyelembe vett partnerek száma az 575/2013/EU rendelet 383. cikkének (1) bekezdésében meghatározottak szerint.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 0010-es sorban a teljes számot, a 0170–0220-as sorban pedig a partnertípus szerinti bontást kell megadni.</w:t>
            </w:r>
          </w:p>
        </w:tc>
      </w:tr>
      <w:tr w:rsidR="00680687" w:rsidRPr="002A677E" w14:paraId="03E5B4A8" w14:textId="77777777" w:rsidTr="006A3ADC">
        <w:tc>
          <w:tcPr>
            <w:tcW w:w="1172" w:type="dxa"/>
          </w:tcPr>
          <w:p w14:paraId="68CD118A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0140–0250</w:t>
            </w:r>
          </w:p>
        </w:tc>
        <w:tc>
          <w:tcPr>
            <w:tcW w:w="7844" w:type="dxa"/>
          </w:tcPr>
          <w:p w14:paraId="1E26CA07" w14:textId="77777777" w:rsidR="00680687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Az SA-CVA módszer hatálya alá tartozó nettósítási halmazokra vonatkozó szavatolótőke-követelmények</w:t>
            </w:r>
          </w:p>
          <w:p w14:paraId="512141CA" w14:textId="72FCFDDA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SA-CVA-kockázatra vonatkozó szavatolótőke-követelmények az 575/2013/EU rendelet 383. cikkével összhangban, beleértve a 383. cikk (2) bekezdésének 1. pontjában meghatározott kockázati osztályok szerinti bontást, valamint az egyes kockázati osztályok tekintetében a delta és a vega kockázatra vonatkozó szavatolótőke-követelményeket az 575/2013/EU rendelet 383. cikkének (3) bekezdésében előírtaknak és a 383b. cikknek megfelelően.</w:t>
            </w:r>
          </w:p>
        </w:tc>
      </w:tr>
      <w:tr w:rsidR="00680687" w:rsidRPr="002A677E" w14:paraId="1BC8EFF8" w14:textId="77777777" w:rsidTr="006A3ADC">
        <w:tc>
          <w:tcPr>
            <w:tcW w:w="1172" w:type="dxa"/>
          </w:tcPr>
          <w:p w14:paraId="1E505571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0140–0150</w:t>
            </w:r>
          </w:p>
        </w:tc>
        <w:tc>
          <w:tcPr>
            <w:tcW w:w="7844" w:type="dxa"/>
          </w:tcPr>
          <w:p w14:paraId="0AEAA3AD" w14:textId="77777777" w:rsidR="00680687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kamatlábkockázatra vonatkozó szavatolótőke-követelmények</w:t>
            </w:r>
          </w:p>
          <w:p w14:paraId="6695CC3B" w14:textId="01E1C8B9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383c., 383i., 383j., 383k., 383l. és 383m. cikke.</w:t>
            </w:r>
          </w:p>
        </w:tc>
      </w:tr>
      <w:tr w:rsidR="00680687" w:rsidRPr="002A677E" w14:paraId="728092B0" w14:textId="77777777" w:rsidTr="006A3ADC">
        <w:tc>
          <w:tcPr>
            <w:tcW w:w="1172" w:type="dxa"/>
          </w:tcPr>
          <w:p w14:paraId="06AAAC3A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0160–0170</w:t>
            </w:r>
          </w:p>
        </w:tc>
        <w:tc>
          <w:tcPr>
            <w:tcW w:w="7844" w:type="dxa"/>
          </w:tcPr>
          <w:p w14:paraId="5C9DEA36" w14:textId="77777777" w:rsidR="00680687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devizaárfolyam-kockázatra vonatkozó szavatolótőke-követelmények</w:t>
            </w:r>
          </w:p>
          <w:p w14:paraId="312EFBD9" w14:textId="6EA3814A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383d., 383i., 383j., 383n. és 383o. cikke.</w:t>
            </w:r>
          </w:p>
        </w:tc>
      </w:tr>
      <w:tr w:rsidR="00680687" w:rsidRPr="002A677E" w14:paraId="2A26F3BC" w14:textId="77777777" w:rsidTr="006A3ADC">
        <w:tc>
          <w:tcPr>
            <w:tcW w:w="1172" w:type="dxa"/>
          </w:tcPr>
          <w:p w14:paraId="4988687E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0180–0190</w:t>
            </w:r>
          </w:p>
        </w:tc>
        <w:tc>
          <w:tcPr>
            <w:tcW w:w="7844" w:type="dxa"/>
          </w:tcPr>
          <w:p w14:paraId="111D7BAC" w14:textId="77777777" w:rsidR="00680687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partnerhez kapcsolódó hitelfelár-kockázatra vonatkozó szavatolótőke-követelmények</w:t>
            </w:r>
          </w:p>
          <w:p w14:paraId="331E3D6B" w14:textId="1A5FCDC3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383e., 383i., 383j., 383p., 383q. és 383r. cikke.</w:t>
            </w:r>
          </w:p>
        </w:tc>
      </w:tr>
      <w:tr w:rsidR="00680687" w:rsidRPr="002A677E" w14:paraId="589DE234" w14:textId="77777777" w:rsidTr="006A3ADC">
        <w:tc>
          <w:tcPr>
            <w:tcW w:w="1172" w:type="dxa"/>
          </w:tcPr>
          <w:p w14:paraId="3361402D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0200–0210</w:t>
            </w:r>
          </w:p>
        </w:tc>
        <w:tc>
          <w:tcPr>
            <w:tcW w:w="7844" w:type="dxa"/>
          </w:tcPr>
          <w:p w14:paraId="34E7BFC3" w14:textId="77777777" w:rsidR="00680687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referenciahitelfelár-kockázatra vonatkozó szavatolótőke-követelmények</w:t>
            </w:r>
          </w:p>
          <w:p w14:paraId="39B46545" w14:textId="148AEA7F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383f., 383i., 383j., 383s. és 383u. cikke.</w:t>
            </w:r>
          </w:p>
        </w:tc>
      </w:tr>
      <w:tr w:rsidR="00680687" w:rsidRPr="002A677E" w14:paraId="0AA17295" w14:textId="77777777" w:rsidTr="006A3ADC">
        <w:tc>
          <w:tcPr>
            <w:tcW w:w="1172" w:type="dxa"/>
          </w:tcPr>
          <w:p w14:paraId="3BFBD270" w14:textId="77777777" w:rsidR="00680687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0220–0230</w:t>
            </w:r>
          </w:p>
        </w:tc>
        <w:tc>
          <w:tcPr>
            <w:tcW w:w="7844" w:type="dxa"/>
          </w:tcPr>
          <w:p w14:paraId="46C4DB98" w14:textId="77777777" w:rsidR="00680687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részvénypiaci kockázatra vonatkozó szavatolótőke-követelmények</w:t>
            </w:r>
          </w:p>
          <w:p w14:paraId="092925F2" w14:textId="74EFD749" w:rsidR="00680687" w:rsidRPr="00460424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383g., 383i., 383j., 383v. és 383w. cikke.</w:t>
            </w:r>
          </w:p>
        </w:tc>
      </w:tr>
      <w:tr w:rsidR="00680687" w:rsidRPr="002A677E" w14:paraId="63100E64" w14:textId="77777777" w:rsidTr="006A3ADC">
        <w:tc>
          <w:tcPr>
            <w:tcW w:w="1172" w:type="dxa"/>
          </w:tcPr>
          <w:p w14:paraId="6EB58469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0240–0250</w:t>
            </w:r>
          </w:p>
        </w:tc>
        <w:tc>
          <w:tcPr>
            <w:tcW w:w="7844" w:type="dxa"/>
          </w:tcPr>
          <w:p w14:paraId="44A59885" w14:textId="77777777" w:rsidR="00680687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Az árukockázatra vonatkozó szavatolótőke-követelmények</w:t>
            </w:r>
          </w:p>
          <w:p w14:paraId="1FD90135" w14:textId="4A1B5A40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383h., 383i., 383j., 383x. és 383z. cikke.</w:t>
            </w:r>
          </w:p>
        </w:tc>
      </w:tr>
      <w:tr w:rsidR="00680687" w:rsidRPr="002A677E" w14:paraId="6E2BE277" w14:textId="77777777" w:rsidTr="006A3ADC">
        <w:tc>
          <w:tcPr>
            <w:tcW w:w="1172" w:type="dxa"/>
          </w:tcPr>
          <w:p w14:paraId="7A04FEBF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0260</w:t>
            </w:r>
          </w:p>
        </w:tc>
        <w:tc>
          <w:tcPr>
            <w:tcW w:w="7844" w:type="dxa"/>
          </w:tcPr>
          <w:p w14:paraId="2CADDF39" w14:textId="77777777" w:rsidR="00680687" w:rsidRPr="00D143CE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i/>
                <w:vertAlign w:val="superscript"/>
                <w:rFonts w:ascii="Times New Roman" w:hAnsi="Times New Roman"/>
              </w:rPr>
              <w:t xml:space="preserve">m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CVA</w:t>
            </w:r>
          </w:p>
          <w:p w14:paraId="25594EAC" w14:textId="77777777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</w:t>
            </w:r>
            <w:r>
              <w:rPr>
                <w:sz w:val="24"/>
                <w:rFonts w:ascii="Cambria Math" w:hAnsi="Cambria Math"/>
              </w:rPr>
              <w:t xml:space="preserve">𝑚𝐶𝑉𝐴</w:t>
            </w:r>
            <w:r>
              <w:rPr>
                <w:sz w:val="24"/>
                <w:rFonts w:ascii="Times New Roman" w:hAnsi="Times New Roman"/>
              </w:rPr>
              <w:t xml:space="preserve"> szorzótényező értéke az 575/2013/EU rendelet 383b. cikkének (8) bekezdésével összhangban.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 szavatolótőke-követelmények kiszámításához használt értéket kell megadni (1, vagy az illetékes hatóságok által megnövelt érték).</w:t>
            </w:r>
          </w:p>
        </w:tc>
      </w:tr>
      <w:tr w:rsidR="00680687" w:rsidRPr="002A677E" w14:paraId="0FFB4692" w14:textId="77777777" w:rsidTr="006A3ADC">
        <w:tc>
          <w:tcPr>
            <w:tcW w:w="1172" w:type="dxa"/>
          </w:tcPr>
          <w:p w14:paraId="249BE219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0270</w:t>
            </w:r>
          </w:p>
        </w:tc>
        <w:tc>
          <w:tcPr>
            <w:tcW w:w="7844" w:type="dxa"/>
          </w:tcPr>
          <w:p w14:paraId="0B3D9E18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Szavatolótőke-követelmények</w:t>
            </w:r>
          </w:p>
          <w:p w14:paraId="55E6BD5C" w14:textId="77777777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383. cikke szerint számított, SA-CVA hatálya alá tartozó ügyletekre vonatkozó szavatolótőke-követelmények.</w:t>
            </w:r>
          </w:p>
        </w:tc>
      </w:tr>
      <w:tr w:rsidR="00680687" w:rsidRPr="002A677E" w14:paraId="0F30E639" w14:textId="77777777" w:rsidTr="006A3ADC">
        <w:tc>
          <w:tcPr>
            <w:tcW w:w="1172" w:type="dxa"/>
          </w:tcPr>
          <w:p w14:paraId="35CF01D7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0280</w:t>
            </w:r>
          </w:p>
        </w:tc>
        <w:tc>
          <w:tcPr>
            <w:tcW w:w="7844" w:type="dxa"/>
          </w:tcPr>
          <w:p w14:paraId="618674CA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TELJES SZAVATOLÓTŐKE-KÖVETELMÉNY</w:t>
            </w:r>
          </w:p>
          <w:p w14:paraId="7E3B417F" w14:textId="166217C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92. cikke (4) bekezdésének e) pontja.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24C965B" w14:textId="77777777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382a. cikkében említett alkalmazandó módszerek bármelyikének alkalmazásával számított, CVA-kockázathoz kapcsolódó teljes szavatolótőke-követelmény.</w:t>
            </w:r>
            <w:r>
              <w:rPr>
                <w:sz w:val="24"/>
                <w:rFonts w:ascii="Times New Roman" w:hAnsi="Times New Roman"/>
              </w:rPr>
              <w:t xml:space="preserve">  </w:t>
            </w:r>
            <w:r>
              <w:rPr>
                <w:sz w:val="24"/>
                <w:rFonts w:ascii="Times New Roman" w:hAnsi="Times New Roman"/>
              </w:rPr>
              <w:t xml:space="preserve">Egynél több módszer alkalmazása esetén az egyes módszerek szerint számított szavatolótőke-követelmények egyszerű összegét kell feltüntetni.</w:t>
            </w:r>
          </w:p>
        </w:tc>
      </w:tr>
      <w:tr w:rsidR="00680687" w:rsidRPr="002A677E" w14:paraId="460901D5" w14:textId="77777777" w:rsidTr="006A3ADC">
        <w:tc>
          <w:tcPr>
            <w:tcW w:w="1172" w:type="dxa"/>
          </w:tcPr>
          <w:p w14:paraId="61FCBEEB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0290</w:t>
            </w:r>
          </w:p>
        </w:tc>
        <w:tc>
          <w:tcPr>
            <w:tcW w:w="7844" w:type="dxa"/>
          </w:tcPr>
          <w:p w14:paraId="38352FA3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TELJES KOCKÁZATI KITETTSÉGÉRTÉKEK</w:t>
            </w:r>
          </w:p>
          <w:p w14:paraId="6B715A20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92. cikkének (6) bekezdése.</w:t>
            </w:r>
          </w:p>
          <w:p w14:paraId="769B7CA0" w14:textId="77777777" w:rsidR="00680687" w:rsidRPr="005C217A" w:rsidDel="00024DEA" w:rsidRDefault="00680687" w:rsidP="006A3ADC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szavatolótőke-követelmény 12,5-del szorozva.</w:t>
            </w:r>
          </w:p>
        </w:tc>
      </w:tr>
      <w:tr w:rsidR="00680687" w:rsidRPr="002A677E" w14:paraId="00C49743" w14:textId="77777777" w:rsidTr="006A3ADC">
        <w:tc>
          <w:tcPr>
            <w:tcW w:w="901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2981E05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80687" w:rsidRPr="002A677E" w14:paraId="39581B57" w14:textId="77777777" w:rsidTr="006A3ADC">
        <w:tc>
          <w:tcPr>
            <w:tcW w:w="9016" w:type="dxa"/>
            <w:gridSpan w:val="2"/>
            <w:shd w:val="clear" w:color="auto" w:fill="CCCCCC"/>
          </w:tcPr>
          <w:p w14:paraId="10EB98F8" w14:textId="77777777" w:rsidR="00680687" w:rsidRPr="002A677E" w:rsidRDefault="00680687" w:rsidP="006A3ADC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Sorok</w:t>
            </w:r>
          </w:p>
        </w:tc>
      </w:tr>
      <w:tr w:rsidR="00680687" w:rsidRPr="002A677E" w14:paraId="7CF1BC60" w14:textId="77777777" w:rsidTr="006A3ADC">
        <w:tc>
          <w:tcPr>
            <w:tcW w:w="1172" w:type="dxa"/>
          </w:tcPr>
          <w:p w14:paraId="041DB542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844" w:type="dxa"/>
          </w:tcPr>
          <w:p w14:paraId="02BF5C47" w14:textId="77777777" w:rsidR="00680687" w:rsidRPr="00743542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CVA-kockázathoz kapcsolódó szavatolótőke-követelmény hatály alá tartozó ügyletek</w:t>
            </w:r>
          </w:p>
          <w:p w14:paraId="0243C539" w14:textId="77777777" w:rsidR="00680687" w:rsidRPr="00DB28D1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382. cikke.</w:t>
            </w:r>
          </w:p>
        </w:tc>
      </w:tr>
      <w:tr w:rsidR="00680687" w:rsidRPr="002A677E" w14:paraId="25F63C9E" w14:textId="77777777" w:rsidTr="006A3ADC">
        <w:tc>
          <w:tcPr>
            <w:tcW w:w="1172" w:type="dxa"/>
          </w:tcPr>
          <w:p w14:paraId="60D4A734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844" w:type="dxa"/>
          </w:tcPr>
          <w:p w14:paraId="591F63A9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Ebből: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csak származtatott ügyletek</w:t>
            </w:r>
          </w:p>
          <w:p w14:paraId="243F2835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382. cikkének hatálya alá tartozó származtatott ügyletek (vagyis a 0010-es sorban feltüntetett összes ügylet, kivéve az értékpapír-finanszírozási ügyleteket).</w:t>
            </w:r>
          </w:p>
        </w:tc>
      </w:tr>
      <w:tr w:rsidR="00680687" w:rsidRPr="002A677E" w14:paraId="24634A77" w14:textId="77777777" w:rsidTr="006A3ADC">
        <w:tc>
          <w:tcPr>
            <w:tcW w:w="1172" w:type="dxa"/>
          </w:tcPr>
          <w:p w14:paraId="72803830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844" w:type="dxa"/>
          </w:tcPr>
          <w:p w14:paraId="3BF86B85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Ebből: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olyan mentesített ügyletek, amelyeket az intézmények szándékosan figyelembe vesznek a szavatolótőke-követelmények számításában</w:t>
            </w:r>
          </w:p>
          <w:p w14:paraId="44419E50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382. cikkének (4a) bekezdése.</w:t>
            </w:r>
          </w:p>
        </w:tc>
      </w:tr>
      <w:tr w:rsidR="00680687" w:rsidRPr="002A677E" w14:paraId="2AF23E14" w14:textId="77777777" w:rsidTr="006A3ADC">
        <w:tc>
          <w:tcPr>
            <w:tcW w:w="1172" w:type="dxa"/>
          </w:tcPr>
          <w:p w14:paraId="102C842F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0040–0220</w:t>
            </w:r>
          </w:p>
        </w:tc>
        <w:tc>
          <w:tcPr>
            <w:tcW w:w="7844" w:type="dxa"/>
          </w:tcPr>
          <w:p w14:paraId="16D7C775" w14:textId="77777777" w:rsidR="00680687" w:rsidRPr="006E1C89" w:rsidRDefault="00680687" w:rsidP="006A3ADC">
            <w:pPr>
              <w:rPr>
                <w:b/>
                <w:bCs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TÁJÉKOZTATÓ ADATOK</w:t>
            </w:r>
          </w:p>
          <w:p w14:paraId="6F0B98C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</w:p>
        </w:tc>
      </w:tr>
      <w:tr w:rsidR="00680687" w:rsidRPr="002A677E" w14:paraId="6AD4731B" w14:textId="77777777" w:rsidTr="006A3ADC">
        <w:tc>
          <w:tcPr>
            <w:tcW w:w="1172" w:type="dxa"/>
          </w:tcPr>
          <w:p w14:paraId="2A4448ED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0040–0110</w:t>
            </w:r>
          </w:p>
        </w:tc>
        <w:tc>
          <w:tcPr>
            <w:tcW w:w="7844" w:type="dxa"/>
          </w:tcPr>
          <w:p w14:paraId="18AE86C3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CVA-mentesítések: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szándékos figyelembevétel marginális hatása</w:t>
            </w:r>
          </w:p>
          <w:p w14:paraId="7A74B86F" w14:textId="77777777" w:rsidR="00680687" w:rsidRPr="005C217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382. cikkének (3) és (4) bekezdése szerinti CVA-mentesítések hatálya alá tartozó ügyletek szándékos figyelembevételének marginális hatása, mentesítések szerinti bontásban.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 marginális hatás a 0010-es sorban említett ügyletkörnek a mentesített ügyletek szándékos figyelembevétele utáni releváns adata és a 0010-es sorban említett ügyletkör releváns adata közötti különbség, abszolút értékben kifejezve.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t xml:space="preserve"> </w:t>
            </w:r>
          </w:p>
        </w:tc>
      </w:tr>
      <w:tr w:rsidR="00680687" w:rsidRPr="002A677E" w14:paraId="4ED84249" w14:textId="77777777" w:rsidTr="006A3ADC">
        <w:tc>
          <w:tcPr>
            <w:tcW w:w="1172" w:type="dxa"/>
          </w:tcPr>
          <w:p w14:paraId="7350CB84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844" w:type="dxa"/>
          </w:tcPr>
          <w:p w14:paraId="7D9C78C4" w14:textId="77777777" w:rsidR="00680687" w:rsidRPr="006E1C89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Az összes mentesített ügylet</w:t>
            </w:r>
          </w:p>
          <w:p w14:paraId="76D1F41B" w14:textId="77777777" w:rsidR="00680687" w:rsidRDefault="00680687" w:rsidP="006A3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Az 575/2013/EU rendelet 382. cikkének (3) és (4) bekezdése szerinti CVA-mentesítések hatálya alá tartozó összes ügylet szándékos figyelembevételének marginális hatása.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6F8EA837" w14:textId="77777777" w:rsidR="00680687" w:rsidRPr="008A700D" w:rsidRDefault="00680687" w:rsidP="006A3ADC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 ügyletkörnek a 0010-es sorban jelentett összes ügyletet magában kell foglalnia, függetlenül az 575/2013/EU rendelet 382. cikkének (3) bekezdésében és 382. cikkének (4) bekezdésében említett mentességektől.</w:t>
            </w:r>
            <w:r>
              <w:rPr>
                <w:color w:val="auto"/>
                <w:rFonts w:ascii="Times New Roman" w:hAnsi="Times New Roman"/>
              </w:rPr>
              <w:t xml:space="preserve"> </w:t>
            </w:r>
            <w:r>
              <w:rPr>
                <w:color w:val="auto"/>
                <w:rFonts w:ascii="Times New Roman" w:hAnsi="Times New Roman"/>
              </w:rPr>
              <w:t xml:space="preserve">Konkrétabban, a CVA-ra vonatkozó tőkekövetelmények számításából az említett cikkek alapján jelenleg kizárt említett ügyleteket e sor alkalmazásában szándékosan figyelembe kell venni.</w:t>
            </w:r>
            <w:r>
              <w:rPr>
                <w:color w:val="auto"/>
                <w:rFonts w:ascii="Times New Roman" w:hAnsi="Times New Roman"/>
              </w:rPr>
              <w:t xml:space="preserve"> </w:t>
            </w:r>
            <w:r>
              <w:rPr>
                <w:color w:val="auto"/>
                <w:rFonts w:ascii="Times New Roman" w:hAnsi="Times New Roman"/>
              </w:rPr>
              <w:t xml:space="preserve">Az e sor alkalmazásában szándékosan figyelembe vett ügyletek összessége a 0050–0110-es sor alkalmazásában szándékosan figyelembe vett ügyleteket jelenti.</w:t>
            </w:r>
            <w:r>
              <w:rPr>
                <w:color w:val="auto"/>
                <w:rFonts w:ascii="Times New Roman" w:hAnsi="Times New Roman"/>
              </w:rPr>
              <w:t xml:space="preserve"> </w:t>
            </w:r>
          </w:p>
        </w:tc>
      </w:tr>
      <w:tr w:rsidR="00680687" w:rsidRPr="002A677E" w14:paraId="23ECB2C1" w14:textId="77777777" w:rsidTr="006A3ADC">
        <w:tc>
          <w:tcPr>
            <w:tcW w:w="1172" w:type="dxa"/>
          </w:tcPr>
          <w:p w14:paraId="5973D18B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844" w:type="dxa"/>
          </w:tcPr>
          <w:p w14:paraId="4B3AB855" w14:textId="77777777" w:rsidR="00680687" w:rsidRDefault="00680687" w:rsidP="006A3ADC">
            <w:pPr>
              <w:pStyle w:val="Default"/>
              <w:jc w:val="both"/>
              <w:rPr>
                <w:b/>
                <w:bCs/>
                <w:color w:val="auto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color w:val="auto"/>
                <w:u w:val="single"/>
                <w:rFonts w:ascii="Times New Roman" w:hAnsi="Times New Roman"/>
              </w:rPr>
              <w:t xml:space="preserve">Ügyféllel kötött ügyletek</w:t>
            </w:r>
          </w:p>
          <w:p w14:paraId="26BE71DE" w14:textId="77777777" w:rsidR="00680687" w:rsidRDefault="00680687" w:rsidP="006A3ADC">
            <w:pPr>
              <w:pStyle w:val="Defaul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 575/2013/EU rendelet 382. cikkének (3) bekezdése szerinti – vagyis ügyféllel kötött – ügyletek szándékos figyelembevételének marginális hatása.</w:t>
            </w:r>
          </w:p>
          <w:p w14:paraId="73231515" w14:textId="77777777" w:rsidR="00680687" w:rsidRPr="005C217A" w:rsidRDefault="00680687" w:rsidP="006A3ADC">
            <w:pPr>
              <w:pStyle w:val="Default"/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Az ügyfél és a klíringtag közötti azon ügyletek szándékos figyelembevételének marginális hatása, amelyek esetében a klíringtag közvetítőként jár el az ügyfél és az elfogadott központi szerződő fél között, és amelyek az 575/2013/EU rendelet 382. cikkének (3) bekezdése alapján nem tartoznak a 0010-es sor hatálya alá.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Az ügyfelek nem vehetik szándékosan figyelembe azokat az ügyleteket, amelyek megfelelnek az említett rendelet 305. cikkének (2), (3) és (4) bekezdésében foglalt követelményeknek.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680687" w:rsidRPr="002A677E" w14:paraId="08AD2EE8" w14:textId="77777777" w:rsidTr="006A3ADC">
        <w:tc>
          <w:tcPr>
            <w:tcW w:w="1172" w:type="dxa"/>
          </w:tcPr>
          <w:p w14:paraId="4A924DC9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844" w:type="dxa"/>
          </w:tcPr>
          <w:p w14:paraId="69BEF048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Nem pénzügyi szerződő féllel kötött ügyletek</w:t>
            </w:r>
          </w:p>
          <w:p w14:paraId="5D14F94F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 575/2013/EU rendelet 382. cikke (4) bekezdésének a) pontja szerinti – vagyis nem pénzügyi szerződő féllel kötött – ügyletek szándékos figyelembevételének marginális hatása.</w:t>
            </w:r>
          </w:p>
        </w:tc>
      </w:tr>
      <w:tr w:rsidR="00680687" w:rsidRPr="002A677E" w14:paraId="0299633B" w14:textId="77777777" w:rsidTr="006A3ADC">
        <w:tc>
          <w:tcPr>
            <w:tcW w:w="1172" w:type="dxa"/>
          </w:tcPr>
          <w:p w14:paraId="76ED40A3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844" w:type="dxa"/>
          </w:tcPr>
          <w:p w14:paraId="06D59C90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Csak uniós nem pénzügyi szerződő féllel kötött ügyletek</w:t>
            </w:r>
          </w:p>
          <w:p w14:paraId="4BE3F0CA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csak uniós nem pénzügyi szerződő féllel kötött ügyletek szándékos figyelembevételének marginális hatása.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Az ügyletkörnek a 0060-as sorban jelentett összes ügyletet magában kell foglalnia, kivéve a 0080-as sorban jelentett ügyletek körét.</w:t>
            </w:r>
          </w:p>
        </w:tc>
      </w:tr>
      <w:tr w:rsidR="00680687" w:rsidRPr="002A677E" w14:paraId="3731030D" w14:textId="77777777" w:rsidTr="006A3ADC">
        <w:tc>
          <w:tcPr>
            <w:tcW w:w="1172" w:type="dxa"/>
          </w:tcPr>
          <w:p w14:paraId="51808CD9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844" w:type="dxa"/>
          </w:tcPr>
          <w:p w14:paraId="4BA84670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Csak harmadik országbeli nem pénzügyi szerződő féllel kötött ügyletek</w:t>
            </w:r>
          </w:p>
          <w:p w14:paraId="11A30CDC" w14:textId="77777777" w:rsidR="00680687" w:rsidRPr="002A677E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csak harmadik országbeli nem pénzügyi szerződő féllel kötött ügyletek szándékos figyelembevételének marginális hatása.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Az ügyletkörnek a 0060-as sorban jelentett összes ügyletet magában kell foglalnia, kivéve a 0070-es sorban jelentett ügyletek körét.</w:t>
            </w:r>
          </w:p>
        </w:tc>
      </w:tr>
      <w:tr w:rsidR="00680687" w:rsidRPr="002A677E" w14:paraId="18A77771" w14:textId="77777777" w:rsidTr="006A3ADC">
        <w:tc>
          <w:tcPr>
            <w:tcW w:w="1172" w:type="dxa"/>
          </w:tcPr>
          <w:p w14:paraId="6E4EED3A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844" w:type="dxa"/>
          </w:tcPr>
          <w:p w14:paraId="64EFAC4D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Csoporton belüli ügyletek</w:t>
            </w:r>
          </w:p>
          <w:p w14:paraId="59B1E4E8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 575/2013/EU rendelet 382. cikke (4) bekezdésének b) pontja szerinti – vagyis csoporton belüli – ügyletek szándékos figyelembevételének marginális hatása.</w:t>
            </w:r>
          </w:p>
        </w:tc>
      </w:tr>
      <w:tr w:rsidR="00680687" w:rsidRPr="002A677E" w14:paraId="31EEAE35" w14:textId="77777777" w:rsidTr="006A3ADC">
        <w:tc>
          <w:tcPr>
            <w:tcW w:w="1172" w:type="dxa"/>
          </w:tcPr>
          <w:p w14:paraId="6B9DF7C0" w14:textId="77777777" w:rsidR="00680687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7844" w:type="dxa"/>
          </w:tcPr>
          <w:p w14:paraId="26366874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Nyugdíjalap szerződő féllel kötött ügyletek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1051EC9B" w14:textId="77777777" w:rsidR="00680687" w:rsidRPr="005C4AA2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Azon, nyugdíjalap szerződő féllel kötött ügyletek szándékos figyelembevételének marginális hatása, amelyeket a 648/2012/EU rendelet 89. cikkének (1) bekezdésében meghatározott átmeneti időszak alatt kötöttek, és amelyek az 575/2013/EU rendelet 382. cikke (4) bekezdésének második albekezdése alapján nem tartoznak a CVA-kockázathoz kapcsolódó szavatolótőke-követelmény alá.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 382. cikk (4) bekezdésének c) pontjában említett azon ügyletek, amelyeket nem a 648/2012/EU rendelet 89. cikkének (1) bekezdésében meghatározott átmeneti időszakban kötöttek, nem minősülnek mentesített ügyletnek, mivel az említett mentesség alkalmazására vonatkozó átmeneti időszak lejárt.</w:t>
            </w:r>
          </w:p>
        </w:tc>
      </w:tr>
      <w:tr w:rsidR="00680687" w:rsidRPr="002A677E" w14:paraId="672E6D90" w14:textId="77777777" w:rsidTr="006A3ADC">
        <w:tc>
          <w:tcPr>
            <w:tcW w:w="1172" w:type="dxa"/>
          </w:tcPr>
          <w:p w14:paraId="2C9DEE10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7844" w:type="dxa"/>
          </w:tcPr>
          <w:p w14:paraId="41C2A83D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Kormányzat szerződő féllel kötött ügyletek</w:t>
            </w:r>
          </w:p>
          <w:p w14:paraId="63BD107D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 575/2013/EU rendelet 382. cikke (4) bekezdésének d) pontja szerinti – vagyis kormányzat szerződő féllel kötött – ügyletek szándékos figyelembevételének marginális hatása.</w:t>
            </w:r>
          </w:p>
        </w:tc>
      </w:tr>
      <w:tr w:rsidR="00680687" w:rsidRPr="002A677E" w14:paraId="2FAF19E8" w14:textId="77777777" w:rsidTr="006A3ADC">
        <w:tc>
          <w:tcPr>
            <w:tcW w:w="1172" w:type="dxa"/>
          </w:tcPr>
          <w:p w14:paraId="7B2E2B90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7844" w:type="dxa"/>
          </w:tcPr>
          <w:p w14:paraId="354A35FD" w14:textId="77777777" w:rsidR="00680687" w:rsidRPr="00253D86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CVA hatályán kívüli mentesített ügyletek CVA-kockázathoz kapcsolódó fedezeti ügyletei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7B05FC5B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Olyan mentesített ügyletek CVA-fedezeti ügyletei, amelyek a CVA-kockázat kapcsán nem tartoznak szavatolótőke-követelmények hatálya alá, de a piaci kockázat kapcsán tőkekövetelmények hatálya alá tartoznak.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680687" w:rsidRPr="002A677E" w14:paraId="01CC7562" w14:textId="77777777" w:rsidTr="006A3ADC">
        <w:tc>
          <w:tcPr>
            <w:tcW w:w="1172" w:type="dxa"/>
          </w:tcPr>
          <w:p w14:paraId="6B81B404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7844" w:type="dxa"/>
          </w:tcPr>
          <w:p w14:paraId="69E3FC61" w14:textId="77777777" w:rsidR="00680687" w:rsidRPr="00253D86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Az összes olyan nem központilag elszámolt értékpapír-finanszírozási ügylet, amelyet számviteli szempontból valós értéken értékelnek, a mentesített ügyletek nélkül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6A560A0D" w14:textId="042E0D75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Azon, számviteli szempontból valós értéken értékelt értékpapír-finanszírozási ügyletek, amelyek az 575/2013/EU rendelet 382. cikkének (2) bekezdésével összhangban a CVA-kockázathoz kapcsolódó szavatolótőke-követelmények hatálya alá tartoznának, függetlenül attól, hogy az ezekből eredő CVA-kockázati kitettségek lényegesek-e.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Azon értékpapír-finanszírozási ügyleteket, amelyek az 575/2013/EU rendelet 382. cikkének (3) bekezdésével és 382. cikkének (4) bekezdésével összhangban nem tartoznak a CVA-kockázathoz kapcsolódó szavatolótőke-követelmények hatálya alá, nem szabad figyelembe venni a számításban, kivéve, ha az intézmény ezeket az ügyleteket az 575/2013/EU rendelet 382. cikkének (4a) bekezdése alapján figyelembe venné a CVA-kockázathoz kapcsolódó szavatolótőke-követelményekben.</w:t>
            </w:r>
          </w:p>
        </w:tc>
      </w:tr>
      <w:tr w:rsidR="00680687" w:rsidRPr="002A677E" w14:paraId="51558923" w14:textId="77777777" w:rsidTr="006A3ADC">
        <w:tc>
          <w:tcPr>
            <w:tcW w:w="1172" w:type="dxa"/>
          </w:tcPr>
          <w:p w14:paraId="1BBFF038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0140–0160</w:t>
            </w:r>
          </w:p>
        </w:tc>
        <w:tc>
          <w:tcPr>
            <w:tcW w:w="7844" w:type="dxa"/>
          </w:tcPr>
          <w:p w14:paraId="2D6F4FFE" w14:textId="77777777" w:rsidR="00680687" w:rsidRPr="005F6CF0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CVA-kockázathoz kapcsolódó fedezeti ügyletek</w:t>
            </w:r>
          </w:p>
          <w:p w14:paraId="225C7DDF" w14:textId="77777777" w:rsidR="00680687" w:rsidRPr="005C217A" w:rsidRDefault="00680687" w:rsidP="006A3ADC">
            <w:pPr>
              <w:rPr>
                <w:b/>
                <w:bCs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386. cikke.</w:t>
            </w:r>
          </w:p>
        </w:tc>
      </w:tr>
      <w:tr w:rsidR="00680687" w:rsidRPr="002A677E" w14:paraId="0F486D81" w14:textId="77777777" w:rsidTr="006A3ADC">
        <w:tc>
          <w:tcPr>
            <w:tcW w:w="1172" w:type="dxa"/>
          </w:tcPr>
          <w:p w14:paraId="597AD53C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7844" w:type="dxa"/>
          </w:tcPr>
          <w:p w14:paraId="5853509D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Egy alaptermékes CDS</w:t>
            </w:r>
          </w:p>
        </w:tc>
      </w:tr>
      <w:tr w:rsidR="00680687" w:rsidRPr="002A677E" w14:paraId="2EFC56DA" w14:textId="77777777" w:rsidTr="006A3ADC">
        <w:tc>
          <w:tcPr>
            <w:tcW w:w="1172" w:type="dxa"/>
          </w:tcPr>
          <w:p w14:paraId="689DB8DD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7844" w:type="dxa"/>
          </w:tcPr>
          <w:p w14:paraId="05C9EFAC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Index CDS</w:t>
            </w:r>
          </w:p>
        </w:tc>
      </w:tr>
      <w:tr w:rsidR="00680687" w:rsidRPr="002A677E" w14:paraId="0756472C" w14:textId="77777777" w:rsidTr="006A3ADC">
        <w:tc>
          <w:tcPr>
            <w:tcW w:w="1172" w:type="dxa"/>
          </w:tcPr>
          <w:p w14:paraId="219CB9F8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7844" w:type="dxa"/>
          </w:tcPr>
          <w:p w14:paraId="14973198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CVA-kockázathoz kapcsolódó fedezeti ügyletként besorolt egyéb származtatott ügyletek</w:t>
            </w:r>
          </w:p>
        </w:tc>
      </w:tr>
      <w:tr w:rsidR="00680687" w:rsidRPr="002A677E" w14:paraId="3769678C" w14:textId="77777777" w:rsidTr="006A3ADC">
        <w:tc>
          <w:tcPr>
            <w:tcW w:w="1172" w:type="dxa"/>
          </w:tcPr>
          <w:p w14:paraId="13F52A3F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0170–0220</w:t>
            </w:r>
          </w:p>
        </w:tc>
        <w:tc>
          <w:tcPr>
            <w:tcW w:w="7844" w:type="dxa"/>
          </w:tcPr>
          <w:p w14:paraId="3F625C66" w14:textId="77777777" w:rsidR="00680687" w:rsidRPr="005F6CF0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Az SA-CVA módszer hatálya alá tartozó ügyletek szerződő feleinek típusai</w:t>
            </w:r>
          </w:p>
          <w:p w14:paraId="3B7F80A8" w14:textId="77777777" w:rsidR="00680687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445a. cikke (1) bekezdésének c) pontja.</w:t>
            </w:r>
          </w:p>
          <w:p w14:paraId="25779170" w14:textId="77777777" w:rsidR="00680687" w:rsidRDefault="00680687" w:rsidP="006A3ADC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Minden partner esetében egy szektort kell kiválasztani a FINREP következő gazdasági ágazati osztályai alapján (lásd e végrehajtási rendelet V. mellékletének 3. részét).</w:t>
            </w:r>
          </w:p>
          <w:p w14:paraId="77133872" w14:textId="77777777" w:rsidR="00680687" w:rsidRPr="002A677E" w:rsidRDefault="00680687" w:rsidP="006A3ADC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 partnerek szektoronkénti számát a 0130-as oszlopban kell feltüntetni.</w:t>
            </w:r>
          </w:p>
        </w:tc>
      </w:tr>
      <w:tr w:rsidR="00680687" w:rsidRPr="002A677E" w14:paraId="5B81430B" w14:textId="77777777" w:rsidTr="006A3ADC">
        <w:tc>
          <w:tcPr>
            <w:tcW w:w="1172" w:type="dxa"/>
          </w:tcPr>
          <w:p w14:paraId="61B642B2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</w:t>
            </w:r>
          </w:p>
        </w:tc>
        <w:tc>
          <w:tcPr>
            <w:tcW w:w="7844" w:type="dxa"/>
          </w:tcPr>
          <w:p w14:paraId="28298287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Központi bankok</w:t>
            </w:r>
          </w:p>
        </w:tc>
      </w:tr>
      <w:tr w:rsidR="00680687" w:rsidRPr="002A677E" w14:paraId="3880D5FA" w14:textId="77777777" w:rsidTr="006A3ADC">
        <w:tc>
          <w:tcPr>
            <w:tcW w:w="1172" w:type="dxa"/>
          </w:tcPr>
          <w:p w14:paraId="08F5DA36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7844" w:type="dxa"/>
          </w:tcPr>
          <w:p w14:paraId="5AC0FB98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Államháztartások</w:t>
            </w:r>
          </w:p>
        </w:tc>
      </w:tr>
      <w:tr w:rsidR="00680687" w:rsidRPr="002A677E" w14:paraId="4826C3E9" w14:textId="77777777" w:rsidTr="006A3ADC">
        <w:tc>
          <w:tcPr>
            <w:tcW w:w="1172" w:type="dxa"/>
          </w:tcPr>
          <w:p w14:paraId="419DB6E8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7844" w:type="dxa"/>
          </w:tcPr>
          <w:p w14:paraId="5A7EA903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Hitelintézetek</w:t>
            </w:r>
          </w:p>
        </w:tc>
      </w:tr>
      <w:tr w:rsidR="00680687" w:rsidRPr="002A677E" w14:paraId="60A5D5E9" w14:textId="77777777" w:rsidTr="006A3ADC">
        <w:tc>
          <w:tcPr>
            <w:tcW w:w="1172" w:type="dxa"/>
          </w:tcPr>
          <w:p w14:paraId="1236AA19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7844" w:type="dxa"/>
          </w:tcPr>
          <w:p w14:paraId="56283C80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Befektetési vállalkozások</w:t>
            </w:r>
          </w:p>
        </w:tc>
      </w:tr>
      <w:tr w:rsidR="00680687" w:rsidRPr="002A677E" w14:paraId="2445ED8F" w14:textId="77777777" w:rsidTr="006A3ADC">
        <w:tc>
          <w:tcPr>
            <w:tcW w:w="1172" w:type="dxa"/>
          </w:tcPr>
          <w:p w14:paraId="550C3C8F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7844" w:type="dxa"/>
          </w:tcPr>
          <w:p w14:paraId="517C2FE3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Egyéb pénzügyi vállalatok (a befektetési vállalkozások kivételével)</w:t>
            </w:r>
          </w:p>
        </w:tc>
      </w:tr>
      <w:tr w:rsidR="00680687" w:rsidRPr="002A677E" w14:paraId="167237FD" w14:textId="77777777" w:rsidTr="006A3ADC">
        <w:tc>
          <w:tcPr>
            <w:tcW w:w="1172" w:type="dxa"/>
          </w:tcPr>
          <w:p w14:paraId="29B7557A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0220</w:t>
            </w:r>
          </w:p>
        </w:tc>
        <w:tc>
          <w:tcPr>
            <w:tcW w:w="7844" w:type="dxa"/>
          </w:tcPr>
          <w:p w14:paraId="7956EA94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Nem pénzügyi vállalatok</w:t>
            </w:r>
          </w:p>
        </w:tc>
      </w:tr>
      <w:tr w:rsidR="00680687" w:rsidRPr="002A677E" w14:paraId="6BACE521" w14:textId="77777777" w:rsidTr="006A3ADC">
        <w:tc>
          <w:tcPr>
            <w:tcW w:w="1172" w:type="dxa"/>
          </w:tcPr>
          <w:p w14:paraId="36DAA114" w14:textId="77777777" w:rsidR="00680687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0230</w:t>
            </w:r>
          </w:p>
        </w:tc>
        <w:tc>
          <w:tcPr>
            <w:tcW w:w="7844" w:type="dxa"/>
          </w:tcPr>
          <w:p w14:paraId="7C6250A2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CVA-kockázat szisztematikus elemeinek összesítése</w:t>
            </w:r>
          </w:p>
          <w:p w14:paraId="62BC44EB" w14:textId="77777777" w:rsidR="00680687" w:rsidRPr="009766CF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384. cikkének (3) bekezdése.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Szavatolótőke-követelmények tökéletes korreláció feltételezésével (</w:t>
            </w:r>
            <w:r>
              <w:rPr>
                <w:sz w:val="24"/>
                <w:rFonts w:ascii="Times New Roman" w:hAnsi="Times New Roman"/>
              </w:rPr>
              <w:sym w:font="Symbol" w:char="F053"/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c</w:t>
            </w:r>
            <w:r>
              <w:rPr>
                <w:sz w:val="24"/>
                <w:rFonts w:ascii="Times New Roman" w:hAnsi="Times New Roman"/>
              </w:rPr>
              <w:t xml:space="preserve">SCVA</w:t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c).</w:t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  </w:t>
            </w:r>
            <w:r>
              <w:rPr>
                <w:sz w:val="24"/>
                <w:rFonts w:ascii="Times New Roman" w:hAnsi="Times New Roman"/>
              </w:rPr>
              <w:t xml:space="preserve">A 0,65-ös diszkonttényezőt nem kell alkalmazni.</w:t>
            </w:r>
          </w:p>
        </w:tc>
      </w:tr>
      <w:tr w:rsidR="00680687" w:rsidRPr="002A677E" w14:paraId="65206CF9" w14:textId="77777777" w:rsidTr="006A3ADC">
        <w:tc>
          <w:tcPr>
            <w:tcW w:w="1172" w:type="dxa"/>
          </w:tcPr>
          <w:p w14:paraId="62DF0332" w14:textId="77777777" w:rsidR="00680687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0240</w:t>
            </w:r>
          </w:p>
        </w:tc>
        <w:tc>
          <w:tcPr>
            <w:tcW w:w="7844" w:type="dxa"/>
          </w:tcPr>
          <w:p w14:paraId="208A77B2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 CVA-kockázat sajátos elemeinek összesítése</w:t>
            </w:r>
          </w:p>
          <w:p w14:paraId="7B1EBC08" w14:textId="77777777" w:rsidR="00680687" w:rsidRPr="009766CF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Az 575/2013/EU rendelet 384. cikkének (3) bekezdése.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Szavatolótőke-követelmények nulla korreláció feltételezésével (sqrt(</w:t>
            </w:r>
            <w:r>
              <w:rPr>
                <w:sz w:val="24"/>
                <w:rFonts w:ascii="Times New Roman" w:hAnsi="Times New Roman"/>
              </w:rPr>
              <w:sym w:font="Symbol" w:char="F053"/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c</w:t>
            </w:r>
            <w:r>
              <w:rPr>
                <w:sz w:val="24"/>
                <w:rFonts w:ascii="Times New Roman" w:hAnsi="Times New Roman"/>
              </w:rPr>
              <w:t xml:space="preserve">SCVA</w:t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c</w:t>
            </w:r>
            <w:r>
              <w:rPr>
                <w:sz w:val="24"/>
                <w:vertAlign w:val="superscript"/>
                <w:rFonts w:ascii="Times New Roman" w:hAnsi="Times New Roman"/>
              </w:rPr>
              <w:t xml:space="preserve">2</w:t>
            </w:r>
            <w:r>
              <w:rPr>
                <w:sz w:val="24"/>
                <w:rFonts w:ascii="Times New Roman" w:hAnsi="Times New Roman"/>
              </w:rPr>
              <w:t xml:space="preserve">)).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 0,65-ös diszkonttényezőt nem kell alkalmazni.</w:t>
            </w:r>
          </w:p>
        </w:tc>
      </w:tr>
    </w:tbl>
    <w:p w14:paraId="28018638" w14:textId="77777777" w:rsidR="00680687" w:rsidRDefault="00680687" w:rsidP="00680687"/>
    <w:p w14:paraId="5D86CC30" w14:textId="77777777" w:rsidR="00680687" w:rsidRDefault="00680687" w:rsidP="00680687"/>
    <w:p w14:paraId="4A82DB4D" w14:textId="77777777" w:rsidR="00606FB5" w:rsidRDefault="00606FB5" w:rsidP="00606FB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</w:p>
    <w:p w14:paraId="4C3A5630" w14:textId="77777777" w:rsidR="00606FB5" w:rsidRDefault="00606FB5" w:rsidP="00606FB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</w:p>
    <w:bookmarkEnd w:id="6"/>
    <w:p w14:paraId="1A587C69" w14:textId="77777777" w:rsidR="00606FB5" w:rsidRPr="00606FB5" w:rsidRDefault="00606FB5" w:rsidP="00606FB5"/>
    <w:sectPr w:rsidR="00606FB5" w:rsidRPr="00606FB5">
      <w:headerReference w:type="even" r:id="rId11"/>
      <w:head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3CAA0" w14:textId="77777777" w:rsidR="001E5355" w:rsidRDefault="001E5355" w:rsidP="007341EC">
      <w:pPr>
        <w:spacing w:before="0" w:after="0"/>
      </w:pPr>
      <w:r>
        <w:separator/>
      </w:r>
    </w:p>
  </w:endnote>
  <w:endnote w:type="continuationSeparator" w:id="0">
    <w:p w14:paraId="6E16C8BF" w14:textId="77777777" w:rsidR="001E5355" w:rsidRDefault="001E5355" w:rsidP="007341E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431AE" w14:textId="77777777" w:rsidR="001E5355" w:rsidRDefault="001E5355" w:rsidP="007341EC">
      <w:pPr>
        <w:spacing w:before="0" w:after="0"/>
      </w:pPr>
      <w:r>
        <w:separator/>
      </w:r>
    </w:p>
  </w:footnote>
  <w:footnote w:type="continuationSeparator" w:id="0">
    <w:p w14:paraId="246DE660" w14:textId="77777777" w:rsidR="001E5355" w:rsidRDefault="001E5355" w:rsidP="007341E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78523" w14:textId="7211D844" w:rsidR="007341EC" w:rsidRDefault="007341EC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31A2901B" wp14:editId="110AB4F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761226336" name="Text Box 2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DC1504" w14:textId="571F14F7" w:rsidR="007341EC" w:rsidRPr="007341EC" w:rsidRDefault="007341EC" w:rsidP="007341EC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A2901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H – szokásos felhasználásr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5DC1504" w14:textId="571F14F7" w:rsidR="007341EC" w:rsidRPr="007341EC" w:rsidRDefault="007341EC" w:rsidP="007341EC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9F28F" w14:textId="700CE3C5" w:rsidR="007341EC" w:rsidRDefault="007341EC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398AF594" wp14:editId="35C2518C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7115435" name="Text Box 3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6569DF" w14:textId="009B7B50" w:rsidR="007341EC" w:rsidRPr="007341EC" w:rsidRDefault="007341EC" w:rsidP="007341EC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8AF59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H – szokásos felhasználásr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4F6569DF" w14:textId="009B7B50" w:rsidR="007341EC" w:rsidRPr="007341EC" w:rsidRDefault="007341EC" w:rsidP="007341EC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C00BF" w14:textId="2532D275" w:rsidR="007341EC" w:rsidRDefault="007341EC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29C0A740" wp14:editId="01E7D8A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866896340" name="Text Box 1" descr="EBH – szokásos felhasználásr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D80B87" w14:textId="703F3572" w:rsidR="007341EC" w:rsidRPr="007341EC" w:rsidRDefault="007341EC" w:rsidP="007341EC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EBH – szokásos felhasználásra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C0A74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H – szokásos felhasználásr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9D80B87" w14:textId="703F3572" w:rsidR="007341EC" w:rsidRPr="007341EC" w:rsidRDefault="007341EC" w:rsidP="007341EC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EBH – szokásos felhasználásra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5394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1EC"/>
    <w:rsid w:val="000132CB"/>
    <w:rsid w:val="0002690B"/>
    <w:rsid w:val="00055596"/>
    <w:rsid w:val="000723D6"/>
    <w:rsid w:val="000C03DF"/>
    <w:rsid w:val="001054E6"/>
    <w:rsid w:val="001131E4"/>
    <w:rsid w:val="0012244E"/>
    <w:rsid w:val="0017758E"/>
    <w:rsid w:val="001A3FFF"/>
    <w:rsid w:val="001C580A"/>
    <w:rsid w:val="001E5355"/>
    <w:rsid w:val="00253D86"/>
    <w:rsid w:val="002815CB"/>
    <w:rsid w:val="00284184"/>
    <w:rsid w:val="00296DF0"/>
    <w:rsid w:val="002C6F9F"/>
    <w:rsid w:val="002E0330"/>
    <w:rsid w:val="002F5025"/>
    <w:rsid w:val="00314DFD"/>
    <w:rsid w:val="00327F8D"/>
    <w:rsid w:val="00340689"/>
    <w:rsid w:val="00375D7F"/>
    <w:rsid w:val="0039256B"/>
    <w:rsid w:val="00401970"/>
    <w:rsid w:val="0043596C"/>
    <w:rsid w:val="00473D32"/>
    <w:rsid w:val="004A2E7A"/>
    <w:rsid w:val="004A37E9"/>
    <w:rsid w:val="004B3EB4"/>
    <w:rsid w:val="004F79C2"/>
    <w:rsid w:val="00510AE9"/>
    <w:rsid w:val="00532B0C"/>
    <w:rsid w:val="005542E7"/>
    <w:rsid w:val="00594522"/>
    <w:rsid w:val="005B137C"/>
    <w:rsid w:val="005F6CF0"/>
    <w:rsid w:val="00606FB5"/>
    <w:rsid w:val="0061351B"/>
    <w:rsid w:val="00631623"/>
    <w:rsid w:val="00641472"/>
    <w:rsid w:val="00654BBD"/>
    <w:rsid w:val="0066047B"/>
    <w:rsid w:val="00671212"/>
    <w:rsid w:val="00680687"/>
    <w:rsid w:val="0068259C"/>
    <w:rsid w:val="006A3ADC"/>
    <w:rsid w:val="006E2916"/>
    <w:rsid w:val="006E5C38"/>
    <w:rsid w:val="007341EC"/>
    <w:rsid w:val="007342FB"/>
    <w:rsid w:val="00742164"/>
    <w:rsid w:val="00743542"/>
    <w:rsid w:val="00776A2E"/>
    <w:rsid w:val="00777E96"/>
    <w:rsid w:val="00782F57"/>
    <w:rsid w:val="00785909"/>
    <w:rsid w:val="007A4D29"/>
    <w:rsid w:val="007F3AF3"/>
    <w:rsid w:val="00820CB4"/>
    <w:rsid w:val="00832D39"/>
    <w:rsid w:val="00856733"/>
    <w:rsid w:val="00881267"/>
    <w:rsid w:val="008836E9"/>
    <w:rsid w:val="00890325"/>
    <w:rsid w:val="008C42A8"/>
    <w:rsid w:val="008D194E"/>
    <w:rsid w:val="00920C10"/>
    <w:rsid w:val="00927398"/>
    <w:rsid w:val="00942DF7"/>
    <w:rsid w:val="00955924"/>
    <w:rsid w:val="0099335D"/>
    <w:rsid w:val="009A273F"/>
    <w:rsid w:val="009C0384"/>
    <w:rsid w:val="009E64FB"/>
    <w:rsid w:val="00A3337B"/>
    <w:rsid w:val="00A432C8"/>
    <w:rsid w:val="00A6002C"/>
    <w:rsid w:val="00A67864"/>
    <w:rsid w:val="00A90A72"/>
    <w:rsid w:val="00AA1613"/>
    <w:rsid w:val="00AB0BA2"/>
    <w:rsid w:val="00AB6A6C"/>
    <w:rsid w:val="00AD0956"/>
    <w:rsid w:val="00AD1D5D"/>
    <w:rsid w:val="00AD72B8"/>
    <w:rsid w:val="00B411CC"/>
    <w:rsid w:val="00B71F25"/>
    <w:rsid w:val="00BC79BB"/>
    <w:rsid w:val="00BF0CDE"/>
    <w:rsid w:val="00C63973"/>
    <w:rsid w:val="00C73E12"/>
    <w:rsid w:val="00C95377"/>
    <w:rsid w:val="00CB2E9C"/>
    <w:rsid w:val="00CC08BC"/>
    <w:rsid w:val="00CC1BE6"/>
    <w:rsid w:val="00CF011F"/>
    <w:rsid w:val="00CF1050"/>
    <w:rsid w:val="00D15003"/>
    <w:rsid w:val="00D868EB"/>
    <w:rsid w:val="00DA6DF2"/>
    <w:rsid w:val="00DC08FB"/>
    <w:rsid w:val="00DD5030"/>
    <w:rsid w:val="00DE7233"/>
    <w:rsid w:val="00E36E3E"/>
    <w:rsid w:val="00EB0DF5"/>
    <w:rsid w:val="00EE169C"/>
    <w:rsid w:val="00EF07A1"/>
    <w:rsid w:val="00EF3DFB"/>
    <w:rsid w:val="00F12CDB"/>
    <w:rsid w:val="00F16125"/>
    <w:rsid w:val="00F3074A"/>
    <w:rsid w:val="00F42BE7"/>
    <w:rsid w:val="00F60A6C"/>
    <w:rsid w:val="00F732F3"/>
    <w:rsid w:val="00F82BD2"/>
    <w:rsid w:val="00FB4148"/>
    <w:rsid w:val="00FB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22754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1EC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41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341EC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Instructionsberschrift2">
    <w:name w:val="Instructions Überschrift 2"/>
    <w:basedOn w:val="Heading2"/>
    <w:rsid w:val="007341EC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val="hu-H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41E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341E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341EC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Revision">
    <w:name w:val="Revision"/>
    <w:hidden/>
    <w:uiPriority w:val="99"/>
    <w:semiHidden/>
    <w:rsid w:val="00641472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2E03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033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0330"/>
    <w:rPr>
      <w:rFonts w:ascii="Verdana" w:eastAsia="Times New Roman" w:hAnsi="Verdana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3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0330"/>
    <w:rPr>
      <w:rFonts w:ascii="Verdana" w:eastAsia="Times New Roman" w:hAnsi="Verdana" w:cs="Times New Roman"/>
      <w:b/>
      <w:bCs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B6A6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B6A6C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InstructionsTabelleText">
    <w:name w:val="Instructions Tabelle Text"/>
    <w:rsid w:val="00606FB5"/>
    <w:rPr>
      <w:rFonts w:ascii="Verdana" w:hAnsi="Verdan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8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D16264-0095-49B9-B6D2-A7314B9295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DD1FDC-7471-4F0C-81CE-7558D3C8C55F}"/>
</file>

<file path=customXml/itemProps3.xml><?xml version="1.0" encoding="utf-8"?>
<ds:datastoreItem xmlns:ds="http://schemas.openxmlformats.org/officeDocument/2006/customXml" ds:itemID="{C1A18682-79BD-48F4-95AC-9ED16581AF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29BCE0-7D27-4457-90C4-C4BF0ABB7149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1801</Words>
  <Characters>10267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2024-06-20T09:40:00Z</dcterms:created>
  <dcterms:modified xsi:type="dcterms:W3CDTF">2024-06-21T12:21:00Z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