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4D3E58" w:rsidRDefault="00BA1EA2" w:rsidP="00BA1EA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BDCF822-02AA-41FA-AE80-5CF1C4071EFB" style="width:455.25pt;height:426pt">
            <v:imagedata r:id="rId10" o:title=""/>
          </v:shape>
        </w:pict>
      </w:r>
    </w:p>
    <w:p w:rsidR="00860655" w:rsidRPr="004D3E58" w:rsidRDefault="00860655" w:rsidP="00184085">
      <w:pPr>
        <w:rPr>
          <w:noProof/>
        </w:rPr>
        <w:sectPr w:rsidR="00860655" w:rsidRPr="004D3E58" w:rsidSect="00BA1EA2">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4D3E58" w:rsidRDefault="004D3E58" w:rsidP="004D3E58">
      <w:pPr>
        <w:pStyle w:val="Typedudocument"/>
        <w:rPr>
          <w:noProof/>
        </w:rPr>
      </w:pPr>
      <w:bookmarkStart w:id="0" w:name="_GoBack"/>
      <w:bookmarkEnd w:id="0"/>
      <w:r w:rsidRPr="004D3E58">
        <w:rPr>
          <w:noProof/>
        </w:rPr>
        <w:lastRenderedPageBreak/>
        <w:t>KOMMISSIONENS GENOMFÖRANDEFÖRORDNING (EU) …/…</w:t>
      </w:r>
    </w:p>
    <w:p w:rsidR="00860655" w:rsidRPr="004D3E58" w:rsidRDefault="009930CA" w:rsidP="004D3E58">
      <w:pPr>
        <w:pStyle w:val="Datedadoption"/>
        <w:rPr>
          <w:noProof/>
        </w:rPr>
      </w:pPr>
      <w:r>
        <w:rPr>
          <w:noProof/>
        </w:rPr>
        <w:t>av den 14.11.2025</w:t>
      </w:r>
    </w:p>
    <w:p w:rsidR="00860655" w:rsidRPr="004D3E58" w:rsidRDefault="004D3E58" w:rsidP="004D3E58">
      <w:pPr>
        <w:pStyle w:val="Titreobjet"/>
        <w:rPr>
          <w:noProof/>
        </w:rPr>
      </w:pPr>
      <w:r w:rsidRPr="004D3E58">
        <w:rPr>
          <w:noProof/>
        </w:rPr>
        <w:t>om fastställande i enlighet med Europaparlamentets och rådets direktiv 2014/59/EU av tekniska genomförandestandarder när det gäller förfaranden, standardformulär och mallar för den information som ska lämnas för upprättandet av resolutionsplaner för kreditinstitut och värdepappersföretag, och om upphävande av kommissionens genomförandeförordning (EU) 2018/1624</w:t>
      </w:r>
    </w:p>
    <w:p w:rsidR="00860655" w:rsidRPr="004D3E58" w:rsidRDefault="004D3E58" w:rsidP="004D3E58">
      <w:pPr>
        <w:pStyle w:val="IntrtEEE"/>
        <w:rPr>
          <w:noProof/>
        </w:rPr>
      </w:pPr>
      <w:r w:rsidRPr="004D3E58">
        <w:rPr>
          <w:noProof/>
        </w:rPr>
        <w:t>(Text av betydelse för EES)</w:t>
      </w:r>
    </w:p>
    <w:p w:rsidR="00860655" w:rsidRPr="004D3E58" w:rsidRDefault="00860655" w:rsidP="00184085">
      <w:pPr>
        <w:pStyle w:val="Institutionquiagit"/>
        <w:rPr>
          <w:noProof/>
        </w:rPr>
      </w:pPr>
      <w:r w:rsidRPr="004D3E58">
        <w:rPr>
          <w:noProof/>
        </w:rPr>
        <w:t>EUROPEISKA KOMMISSIONEN HAR ANTAGIT DENNA FÖRORDNING</w:t>
      </w:r>
    </w:p>
    <w:p w:rsidR="00860655" w:rsidRPr="004D3E58" w:rsidRDefault="00860655" w:rsidP="00184085">
      <w:pPr>
        <w:rPr>
          <w:noProof/>
        </w:rPr>
      </w:pPr>
      <w:r w:rsidRPr="004D3E58">
        <w:rPr>
          <w:noProof/>
          <w:color w:val="000000"/>
        </w:rPr>
        <w:t>med beaktande av fördraget om Europeiska unionens funktionssätt,</w:t>
      </w:r>
    </w:p>
    <w:p w:rsidR="00860655" w:rsidRPr="004D3E58" w:rsidRDefault="00860655" w:rsidP="00184085">
      <w:pPr>
        <w:rPr>
          <w:noProof/>
        </w:rPr>
      </w:pPr>
      <w:r w:rsidRPr="004D3E58">
        <w:rPr>
          <w:noProof/>
        </w:rPr>
        <w:t>med beaktande av Europaparlamentets och rådets direktiv 2014/59/EU av den 15 maj 2014 om inrättande av en ram för återhämtning och resolution av kreditinstitut och värdepappersföretag och om ändring av rådets direktiv 82/891/EEG och Europaparlamentets och rådets direktiv 2001/24/EG, 2002/47/EG, 2004/25/EG, 2005/56/EG, 2007/36/EG, 2011/35/EU, 2012/30/EU och 2013/36/EU samt Europaparlamentets och rådets förordningar (EU) nr 1093/2010 och (EU) nr 648/2012</w:t>
      </w:r>
      <w:r w:rsidRPr="004D3E58">
        <w:rPr>
          <w:rStyle w:val="FootnoteReference"/>
          <w:noProof/>
        </w:rPr>
        <w:footnoteReference w:id="2"/>
      </w:r>
      <w:r w:rsidRPr="004D3E58">
        <w:rPr>
          <w:noProof/>
        </w:rPr>
        <w:t>, särskilt artikel 11.3, och</w:t>
      </w:r>
    </w:p>
    <w:p w:rsidR="00860655" w:rsidRPr="004D3E58" w:rsidRDefault="00860655" w:rsidP="00184085">
      <w:pPr>
        <w:rPr>
          <w:noProof/>
        </w:rPr>
      </w:pPr>
      <w:r w:rsidRPr="004D3E58">
        <w:rPr>
          <w:noProof/>
        </w:rPr>
        <w:t>av följande skäl:</w:t>
      </w:r>
    </w:p>
    <w:p w:rsidR="00860655" w:rsidRPr="004D3E58" w:rsidRDefault="0078393B" w:rsidP="0078393B">
      <w:pPr>
        <w:pStyle w:val="ManualConsidrant"/>
        <w:rPr>
          <w:noProof/>
        </w:rPr>
      </w:pPr>
      <w:r w:rsidRPr="0078393B">
        <w:rPr>
          <w:noProof/>
        </w:rPr>
        <w:t>(1)</w:t>
      </w:r>
      <w:r w:rsidRPr="0078393B">
        <w:rPr>
          <w:noProof/>
        </w:rPr>
        <w:tab/>
      </w:r>
      <w:r w:rsidR="00860655" w:rsidRPr="004D3E58">
        <w:rPr>
          <w:noProof/>
        </w:rPr>
        <w:t>Kommissionens genomförandeförordning (EU) 2018/1624</w:t>
      </w:r>
      <w:r w:rsidR="00860655" w:rsidRPr="004D3E58">
        <w:rPr>
          <w:rStyle w:val="FootnoteReference"/>
          <w:noProof/>
        </w:rPr>
        <w:footnoteReference w:id="3"/>
      </w:r>
      <w:r w:rsidR="00860655" w:rsidRPr="004D3E58">
        <w:rPr>
          <w:noProof/>
        </w:rPr>
        <w:t xml:space="preserve"> fastställer ett förfarande och inför en minimiuppsättning mallar för hur kreditinstitut och värdepappersföretag ska förse resolutionsmyndigheter med information för upprättande och genomförande av resolutionsplaner för institut. Sedan den förordningen antogs har resolutionsmyndigheterna skaffat sig erfarenhet av resolutionsplanering, och direktiv 2014/59/EU har ändrats. För att beakta den erfarenheten och de nya bestämmelserna i det direktivet, måste minimiuppsättningen mallar för insamling av information i resolutionsplaneringssyfte uppdateras.</w:t>
      </w:r>
    </w:p>
    <w:p w:rsidR="003B410C" w:rsidRPr="004D3E58" w:rsidRDefault="0078393B" w:rsidP="0078393B">
      <w:pPr>
        <w:pStyle w:val="ManualConsidrant"/>
        <w:rPr>
          <w:noProof/>
        </w:rPr>
      </w:pPr>
      <w:r w:rsidRPr="0078393B">
        <w:rPr>
          <w:noProof/>
        </w:rPr>
        <w:t>(2)</w:t>
      </w:r>
      <w:r w:rsidRPr="0078393B">
        <w:rPr>
          <w:noProof/>
        </w:rPr>
        <w:tab/>
      </w:r>
      <w:r w:rsidR="003B410C" w:rsidRPr="004D3E58">
        <w:rPr>
          <w:noProof/>
        </w:rPr>
        <w:t>I genomförandeförordning (EU) 2018/1624 fastställs ett förfarande och en minimiuppsättning mallar för överföring av information till resolutionsmyndigheterna, vars syfte är att göra det möjligt för dem att samla in informationen på ett enhetligt sätt över hela unionen och underlätta informationsutbytet mellan relevanta myndigheter. I praktiken har det dock visat sig att en enhetlig informationsinsamling endast delvis har kunnat uppnås. Den genomförandeförordningen måste därför ses över i syfte att främja en harmonisering av rapporteringsskyldigheterna i hela unionen på grundval av en reviderad uppsättning mallar som på ett bättre och mer konsekvent sätt beaktar resolutionsmyndigheternas behov. Detta bör inte hindra resolutionsmyndigheterna från att samla in ytterligare information som de anser vara nödvändig för att upprätta och genomföra resolutionsplaner eller för att fastställa förenklade informationsskyldigheter i enlighet med artikel 4 i direktiv 2014/59/EU.</w:t>
      </w:r>
    </w:p>
    <w:p w:rsidR="003B410C" w:rsidRPr="004D3E58" w:rsidRDefault="0078393B" w:rsidP="0078393B">
      <w:pPr>
        <w:pStyle w:val="ManualConsidrant"/>
        <w:rPr>
          <w:noProof/>
        </w:rPr>
      </w:pPr>
      <w:r w:rsidRPr="0078393B">
        <w:rPr>
          <w:noProof/>
        </w:rPr>
        <w:t>(3)</w:t>
      </w:r>
      <w:r w:rsidRPr="0078393B">
        <w:rPr>
          <w:noProof/>
        </w:rPr>
        <w:tab/>
      </w:r>
      <w:r w:rsidR="003B410C" w:rsidRPr="004D3E58">
        <w:rPr>
          <w:noProof/>
        </w:rPr>
        <w:t>För att säkerställa att koncernresolutionsplanerna omfattar den berörda koncernen på ett effektivt sätt, bör de rapporteringsskyldigheter som åläggs moderföretag inom unionen inte begränsas till enbart resolutionsenheter, utan även gälla andra relevanta juridiska personer. Vad som är relevant bör dock tydligt avgränsas, så att enheter som inte är relevanta för koncernen eller som inte är systemviktiga inte heller behöver rapportera. Därför bör tröskelvärden fastställas för att identifiera de juridiska personer inom koncernen som bör omfattas av krav på resolutionsrapportering. Genom Europaparlamentets och rådets direktiv (EU) 2024/1174</w:t>
      </w:r>
      <w:r w:rsidR="003B410C" w:rsidRPr="004D3E58">
        <w:rPr>
          <w:rStyle w:val="FootnoteReference"/>
          <w:noProof/>
        </w:rPr>
        <w:footnoteReference w:id="4"/>
      </w:r>
      <w:r w:rsidR="003B410C" w:rsidRPr="004D3E58">
        <w:rPr>
          <w:noProof/>
        </w:rPr>
        <w:t xml:space="preserve"> ändrades dessutom direktiv 2014/59/EU, bland annat genom att en definition av </w:t>
      </w:r>
      <w:r w:rsidR="003B410C" w:rsidRPr="004D3E58">
        <w:rPr>
          <w:i/>
          <w:noProof/>
        </w:rPr>
        <w:t>avvecklingsenhet</w:t>
      </w:r>
      <w:r w:rsidR="003B410C" w:rsidRPr="004D3E58">
        <w:rPr>
          <w:noProof/>
        </w:rPr>
        <w:t xml:space="preserve"> infördes. För att ta hänsyn till denna nya definition är det nödvändigt att skilja mellan kraven på resolutionsrapportering för avvecklingsenheter, resolutionsenheter och enheter som tillhör resolutionsgrupper. Framför allt bör rapporteringsskyldigheterna specificeras med hänsyn tagen till om de berörda enheterna är fristående enheter eller tillhör koncerner, och om dessa enheter eller koncerner har identifierats, eller omfattar enheter som har identifierats, som avvecklingsenheter. Rapporteringsskyldigheterna bör fastställas på individuell nivå, undergruppsnivå eller gruppnivå och säkerställa proportionalitet, inte äventyra en effektiv resolutionsplanering, befria enheter från parallella datainsamlingar från olika myndigheter och avlägsna datapunkter som överlappar med tillsynsrapporteringen. Detta bör uppnås genom att tillämpa en metod där antalet mallar anpassas till typen av rapporterande enhet. Särskild uppmärksamhet bör också ägnas resolutionsgrupper som består av kreditinstitut som är permanent underställda ett centralt organ och själva det centrala organet, för att säkerställa att resolutionsrapporteringen omfattar alla kreditinstitut som permanent är underställda resolutionsgruppens centrala organ, själva det centrala organet samt deras respektive dotterföretag, på individuell nivå, undergruppsnivå och gruppnivå.</w:t>
      </w:r>
    </w:p>
    <w:p w:rsidR="003B410C" w:rsidRPr="004D3E58" w:rsidRDefault="0078393B" w:rsidP="0078393B">
      <w:pPr>
        <w:pStyle w:val="ManualConsidrant"/>
        <w:rPr>
          <w:noProof/>
        </w:rPr>
      </w:pPr>
      <w:r w:rsidRPr="0078393B">
        <w:rPr>
          <w:noProof/>
        </w:rPr>
        <w:t>(4)</w:t>
      </w:r>
      <w:r w:rsidRPr="0078393B">
        <w:rPr>
          <w:noProof/>
        </w:rPr>
        <w:tab/>
      </w:r>
      <w:r w:rsidR="003B410C" w:rsidRPr="004D3E58">
        <w:rPr>
          <w:noProof/>
        </w:rPr>
        <w:t>Rapporteringskraven för resolutionsändamål respektive tillsynsändamål kan behöva skilja sig åt, om det krävs för att säkerställa en effektiv resolutionsplanering med bibehållen proportionalitet och för att resolutionsmyndigheterna ska kunna utföra sina uppgifter på grundval av adekvata och trovärdiga uppgifter. I detta sammanhang måste det säkerställas att resolutionsrapporteringen inte hindras av undantag från tillämpningen av tillsynskrav eller av att resolutionsgrupper inte omfattas av konsolideringskrav.</w:t>
      </w:r>
    </w:p>
    <w:p w:rsidR="003B410C" w:rsidRPr="004D3E58" w:rsidRDefault="0078393B" w:rsidP="0078393B">
      <w:pPr>
        <w:pStyle w:val="ManualConsidrant"/>
        <w:rPr>
          <w:noProof/>
        </w:rPr>
      </w:pPr>
      <w:r w:rsidRPr="0078393B">
        <w:rPr>
          <w:noProof/>
        </w:rPr>
        <w:t>(5)</w:t>
      </w:r>
      <w:r w:rsidRPr="0078393B">
        <w:rPr>
          <w:noProof/>
        </w:rPr>
        <w:tab/>
      </w:r>
      <w:r w:rsidR="00012E4C" w:rsidRPr="004D3E58">
        <w:rPr>
          <w:noProof/>
        </w:rPr>
        <w:t>För att säkerställa att resolutionsplanerna baseras på en minimiuppsättning data av konsekvent hög kvalitet och precision bör en gemensam datapunktsmodell antas, vilket är praxis vid tillsynsrapportering. Den gemensamma datapunktsmodellen bör bestå av en strukturerad representation av uppgiftsposterna och identifiera alla relevanta affärsbegrepp i syfte att uppnå en enhetlig rapportering för resolutionsplanering, samt innehålla alla relevanta specifikationer som behövs för att vidareutveckla enhetliga it-lösningar för rapportering.</w:t>
      </w:r>
    </w:p>
    <w:p w:rsidR="003B410C" w:rsidRPr="004D3E58" w:rsidRDefault="0078393B" w:rsidP="0078393B">
      <w:pPr>
        <w:pStyle w:val="ManualConsidrant"/>
        <w:rPr>
          <w:noProof/>
        </w:rPr>
      </w:pPr>
      <w:r w:rsidRPr="0078393B">
        <w:rPr>
          <w:noProof/>
        </w:rPr>
        <w:t>(6)</w:t>
      </w:r>
      <w:r w:rsidRPr="0078393B">
        <w:rPr>
          <w:noProof/>
        </w:rPr>
        <w:tab/>
      </w:r>
      <w:r w:rsidR="00980E18" w:rsidRPr="004D3E58">
        <w:rPr>
          <w:noProof/>
        </w:rPr>
        <w:t>Gemensamma valideringsregler bör tillämpas för att garantera att de uppgiftsposter som instituten rapporterar är av hög kvalitet, samstämmiga och korrekta.</w:t>
      </w:r>
    </w:p>
    <w:p w:rsidR="003B410C" w:rsidRPr="004D3E58" w:rsidRDefault="0078393B" w:rsidP="0078393B">
      <w:pPr>
        <w:pStyle w:val="ManualConsidrant"/>
        <w:rPr>
          <w:noProof/>
        </w:rPr>
      </w:pPr>
      <w:r w:rsidRPr="0078393B">
        <w:rPr>
          <w:noProof/>
        </w:rPr>
        <w:t>(7)</w:t>
      </w:r>
      <w:r w:rsidRPr="0078393B">
        <w:rPr>
          <w:noProof/>
        </w:rPr>
        <w:tab/>
      </w:r>
      <w:r w:rsidR="003B410C" w:rsidRPr="004D3E58">
        <w:rPr>
          <w:noProof/>
        </w:rPr>
        <w:t>Valideringsregler och datapunktsdefinitioner uppdateras av naturliga skäl regelbundet för att säkerställa att de alltid uppfyller gällande lagstiftningskrav, samt analys- och informationstekniska krav. Den tid som det för närvarande tar att anta och offentliggöra den detaljerade gemensamma datapunktsmodellen och valideringsreglerna innebär dock att det inte är möjligt att verkställa ändringar tillräckligt snabbt och i tillräckligt god tid för att garantera en löpande enhetlig rapportering om resolutionsplaner inom unionen. Därför bör stränga kvalitetskriterier fastställas för den detaljerade gemensamma datapunktsmodell och de detaljerade gemensamma valideringsregler som Europeiska bankmyndigheten (EBA) kommer att publicera elektroniskt på sin webbplats. Detta utesluter inte att EBA på sin webbplats också kan offentliggöra tekniska instruktioner för hur de formulär och mallar som anges i denna förordning ska fyllas i.</w:t>
      </w:r>
    </w:p>
    <w:p w:rsidR="003B410C" w:rsidRPr="004D3E58" w:rsidRDefault="0078393B" w:rsidP="0078393B">
      <w:pPr>
        <w:pStyle w:val="ManualConsidrant"/>
        <w:rPr>
          <w:noProof/>
        </w:rPr>
      </w:pPr>
      <w:r w:rsidRPr="0078393B">
        <w:rPr>
          <w:noProof/>
        </w:rPr>
        <w:t>(8)</w:t>
      </w:r>
      <w:r w:rsidRPr="0078393B">
        <w:rPr>
          <w:noProof/>
        </w:rPr>
        <w:tab/>
      </w:r>
      <w:r w:rsidR="003B410C" w:rsidRPr="004D3E58">
        <w:rPr>
          <w:noProof/>
        </w:rPr>
        <w:t>I enlighet med artikel 11.2 i direktiv 2014/59/EU ska behöriga myndigheter och resolutionsmyndigheter samarbeta för att minimera överlappande informationskrav. Genom genomförandeförordning (EU) 2018/1624 infördes därför ett samarbetsförfarande för behöriga myndigheter och resolutionsmyndigheter, vilket bör bibehållas så att behöriga myndigheter och resolutionsmyndigheter gemensamt kontrollerar huruvida delar av eller all den begärda informationen redan finns tillgänglig för den behöriga myndigheten. Om den behöriga myndigheten har tillgång till informationen bör myndigheten förmedla den till resolutionsmyndigheten direkt.</w:t>
      </w:r>
    </w:p>
    <w:p w:rsidR="003B410C" w:rsidRPr="004D3E58" w:rsidRDefault="0078393B" w:rsidP="0078393B">
      <w:pPr>
        <w:pStyle w:val="ManualConsidrant"/>
        <w:rPr>
          <w:noProof/>
        </w:rPr>
      </w:pPr>
      <w:r w:rsidRPr="0078393B">
        <w:rPr>
          <w:noProof/>
        </w:rPr>
        <w:t>(9)</w:t>
      </w:r>
      <w:r w:rsidRPr="0078393B">
        <w:rPr>
          <w:noProof/>
        </w:rPr>
        <w:tab/>
      </w:r>
      <w:r w:rsidR="003B410C" w:rsidRPr="004D3E58">
        <w:rPr>
          <w:noProof/>
        </w:rPr>
        <w:t>Med anledning av de omfattande ändringarna av genomförandeförordning (EU) 2018/1624, samt av rättssäkerhetsskäl och för tydlighets skull, är det lämpligt att anta en ny genomförandeförordning och att upphäva och ersätta genomförandeförordning (EU) 2018/1624.</w:t>
      </w:r>
    </w:p>
    <w:p w:rsidR="003B410C" w:rsidRPr="004D3E58" w:rsidRDefault="0078393B" w:rsidP="0078393B">
      <w:pPr>
        <w:pStyle w:val="ManualConsidrant"/>
        <w:rPr>
          <w:noProof/>
        </w:rPr>
      </w:pPr>
      <w:r w:rsidRPr="0078393B">
        <w:rPr>
          <w:noProof/>
        </w:rPr>
        <w:t>(10)</w:t>
      </w:r>
      <w:r w:rsidRPr="0078393B">
        <w:rPr>
          <w:noProof/>
        </w:rPr>
        <w:tab/>
      </w:r>
      <w:r w:rsidR="003B410C" w:rsidRPr="004D3E58">
        <w:rPr>
          <w:noProof/>
        </w:rPr>
        <w:t>Denna förordning grundas på de tekniska genomförandestandarder som EBA har lämnat till kommissionen.</w:t>
      </w:r>
    </w:p>
    <w:p w:rsidR="00860655" w:rsidRPr="004D3E58" w:rsidRDefault="0078393B" w:rsidP="0078393B">
      <w:pPr>
        <w:pStyle w:val="ManualConsidrant"/>
        <w:rPr>
          <w:noProof/>
        </w:rPr>
      </w:pPr>
      <w:r w:rsidRPr="0078393B">
        <w:rPr>
          <w:noProof/>
        </w:rPr>
        <w:t>(11)</w:t>
      </w:r>
      <w:r w:rsidRPr="0078393B">
        <w:rPr>
          <w:noProof/>
        </w:rPr>
        <w:tab/>
      </w:r>
      <w:r w:rsidR="003B410C" w:rsidRPr="004D3E58">
        <w:rPr>
          <w:noProof/>
        </w:rPr>
        <w:t>EBA har genomfört öppna offentliga samråd om de tekniska genomförandestandarder som den här förordningen grundas på, analyserat potentiella kostnader och fördelar samt begärt råd från den bankintressentgrupp som inrättats i enlighet med artikel 37 i Europaparlamentets och rådets förordning (EU) nr 1093/2010</w:t>
      </w:r>
      <w:r w:rsidR="003B410C" w:rsidRPr="004D3E58">
        <w:rPr>
          <w:rStyle w:val="FootnoteReference"/>
          <w:noProof/>
        </w:rPr>
        <w:footnoteReference w:id="5"/>
      </w:r>
      <w:r w:rsidR="003B410C" w:rsidRPr="004D3E58">
        <w:rPr>
          <w:noProof/>
        </w:rPr>
        <w:t>.</w:t>
      </w:r>
    </w:p>
    <w:p w:rsidR="00860655" w:rsidRPr="004D3E58" w:rsidRDefault="00860655" w:rsidP="00184085">
      <w:pPr>
        <w:pStyle w:val="Formuledadoption"/>
        <w:rPr>
          <w:noProof/>
        </w:rPr>
      </w:pPr>
      <w:r w:rsidRPr="004D3E58">
        <w:rPr>
          <w:noProof/>
        </w:rPr>
        <w:t>HÄRIGENOM FÖRESKRIVS FÖLJANDE.</w:t>
      </w:r>
    </w:p>
    <w:p w:rsidR="00860655" w:rsidRPr="004D3E58" w:rsidRDefault="00860655" w:rsidP="00184085">
      <w:pPr>
        <w:pStyle w:val="Titrearticle"/>
        <w:rPr>
          <w:noProof/>
        </w:rPr>
      </w:pPr>
      <w:r w:rsidRPr="004D3E58">
        <w:rPr>
          <w:noProof/>
        </w:rPr>
        <w:t>Artikel 1</w:t>
      </w:r>
    </w:p>
    <w:p w:rsidR="00860655" w:rsidRPr="004D3E58" w:rsidRDefault="003B410C" w:rsidP="00184085">
      <w:pPr>
        <w:pStyle w:val="Titrearticle"/>
        <w:rPr>
          <w:noProof/>
        </w:rPr>
      </w:pPr>
      <w:r w:rsidRPr="004D3E58">
        <w:rPr>
          <w:b/>
          <w:i w:val="0"/>
          <w:noProof/>
        </w:rPr>
        <w:t>Definition</w:t>
      </w:r>
    </w:p>
    <w:p w:rsidR="003B410C" w:rsidRPr="004D3E58" w:rsidRDefault="003B410C" w:rsidP="00184085">
      <w:pPr>
        <w:rPr>
          <w:noProof/>
        </w:rPr>
      </w:pPr>
      <w:r w:rsidRPr="004D3E58">
        <w:rPr>
          <w:noProof/>
        </w:rPr>
        <w:t xml:space="preserve">I denna förordning avses med </w:t>
      </w:r>
      <w:r w:rsidRPr="004D3E58">
        <w:rPr>
          <w:i/>
          <w:noProof/>
        </w:rPr>
        <w:t>relevant juridisk person</w:t>
      </w:r>
      <w:r w:rsidRPr="004D3E58">
        <w:rPr>
          <w:noProof/>
        </w:rPr>
        <w:t xml:space="preserve"> en koncernenhet enligt definitionen i artikel 2.1.31 i direktiv 2014/59/EU som inte är en resolutionsenhet och som är etablerad i unionen och uppfyller något av följande villkor:</w:t>
      </w:r>
    </w:p>
    <w:p w:rsidR="003B410C" w:rsidRPr="004D3E58" w:rsidRDefault="0078393B" w:rsidP="0078393B">
      <w:pPr>
        <w:pStyle w:val="Point0"/>
        <w:rPr>
          <w:noProof/>
        </w:rPr>
      </w:pPr>
      <w:r w:rsidRPr="0078393B">
        <w:rPr>
          <w:noProof/>
        </w:rPr>
        <w:t>(a)</w:t>
      </w:r>
      <w:r w:rsidRPr="0078393B">
        <w:rPr>
          <w:noProof/>
        </w:rPr>
        <w:tab/>
      </w:r>
      <w:r w:rsidR="003B410C" w:rsidRPr="004D3E58">
        <w:rPr>
          <w:noProof/>
        </w:rPr>
        <w:t>Den tillhandahåller kritiska funktioner.</w:t>
      </w:r>
    </w:p>
    <w:p w:rsidR="003B410C" w:rsidRPr="004D3E58" w:rsidRDefault="0078393B" w:rsidP="0078393B">
      <w:pPr>
        <w:pStyle w:val="Point0"/>
        <w:rPr>
          <w:noProof/>
        </w:rPr>
      </w:pPr>
      <w:r w:rsidRPr="0078393B">
        <w:rPr>
          <w:noProof/>
        </w:rPr>
        <w:t>(b)</w:t>
      </w:r>
      <w:r w:rsidRPr="0078393B">
        <w:rPr>
          <w:noProof/>
        </w:rPr>
        <w:tab/>
      </w:r>
      <w:r w:rsidR="003B410C" w:rsidRPr="004D3E58">
        <w:rPr>
          <w:noProof/>
        </w:rPr>
        <w:t>Dess individuella totala riskvägda exponeringsbelopp beräknat i enlighet med artikel 92.3 i Europaparlamentets och rådets förordning (EU) nr 575/2013</w:t>
      </w:r>
      <w:r w:rsidR="003B410C" w:rsidRPr="004D3E58">
        <w:rPr>
          <w:rStyle w:val="FootnoteReference"/>
          <w:noProof/>
        </w:rPr>
        <w:footnoteReference w:id="6"/>
      </w:r>
      <w:r w:rsidR="003B410C" w:rsidRPr="004D3E58">
        <w:rPr>
          <w:noProof/>
        </w:rPr>
        <w:t xml:space="preserve"> uppgår till minst 2 % av det konsoliderade totala riskvägda exponeringsbeloppet för moderföretaget inom unionen.</w:t>
      </w:r>
    </w:p>
    <w:p w:rsidR="003B410C" w:rsidRPr="004D3E58" w:rsidRDefault="0078393B" w:rsidP="0078393B">
      <w:pPr>
        <w:pStyle w:val="Point0"/>
        <w:rPr>
          <w:noProof/>
        </w:rPr>
      </w:pPr>
      <w:r w:rsidRPr="0078393B">
        <w:rPr>
          <w:noProof/>
        </w:rPr>
        <w:t>(c)</w:t>
      </w:r>
      <w:r w:rsidRPr="0078393B">
        <w:rPr>
          <w:noProof/>
        </w:rPr>
        <w:tab/>
      </w:r>
      <w:r w:rsidR="003B410C" w:rsidRPr="004D3E58">
        <w:rPr>
          <w:noProof/>
        </w:rPr>
        <w:t>Dess individuella totala exponeringsmått, som avses i artikel 429.4 i förordning (EU) nr 575/2013, uppgår till minst 2 % av det konsoliderade totala exponeringsmåttet för moderföretaget inom unionen.</w:t>
      </w:r>
    </w:p>
    <w:p w:rsidR="003B410C" w:rsidRPr="004D3E58" w:rsidRDefault="0078393B" w:rsidP="0078393B">
      <w:pPr>
        <w:pStyle w:val="Point0"/>
        <w:rPr>
          <w:noProof/>
        </w:rPr>
      </w:pPr>
      <w:r w:rsidRPr="0078393B">
        <w:rPr>
          <w:noProof/>
        </w:rPr>
        <w:t>(d)</w:t>
      </w:r>
      <w:r w:rsidRPr="0078393B">
        <w:rPr>
          <w:noProof/>
        </w:rPr>
        <w:tab/>
      </w:r>
      <w:r w:rsidR="003B410C" w:rsidRPr="004D3E58">
        <w:rPr>
          <w:noProof/>
        </w:rPr>
        <w:t>Dess individuella rörelseresultat uppgår till minst 2 % av koncernens konsoliderade totala rörelseresultat beräknat för moderföretaget inom unionen.</w:t>
      </w:r>
    </w:p>
    <w:p w:rsidR="003B410C" w:rsidRPr="004D3E58" w:rsidRDefault="0078393B" w:rsidP="0078393B">
      <w:pPr>
        <w:pStyle w:val="Point0"/>
        <w:rPr>
          <w:noProof/>
        </w:rPr>
      </w:pPr>
      <w:r w:rsidRPr="0078393B">
        <w:rPr>
          <w:noProof/>
        </w:rPr>
        <w:t>(e)</w:t>
      </w:r>
      <w:r w:rsidRPr="0078393B">
        <w:rPr>
          <w:noProof/>
        </w:rPr>
        <w:tab/>
      </w:r>
      <w:r w:rsidR="003B410C" w:rsidRPr="004D3E58">
        <w:rPr>
          <w:noProof/>
        </w:rPr>
        <w:t>Dess enskilda totala tillgångar överstiger 5 miljarder euro.</w:t>
      </w:r>
    </w:p>
    <w:p w:rsidR="008F1E98" w:rsidRPr="004D3E58" w:rsidRDefault="0078393B" w:rsidP="0078393B">
      <w:pPr>
        <w:pStyle w:val="Point0"/>
        <w:rPr>
          <w:noProof/>
        </w:rPr>
      </w:pPr>
      <w:r w:rsidRPr="0078393B">
        <w:rPr>
          <w:noProof/>
        </w:rPr>
        <w:t>(f)</w:t>
      </w:r>
      <w:r w:rsidRPr="0078393B">
        <w:rPr>
          <w:noProof/>
        </w:rPr>
        <w:tab/>
      </w:r>
      <w:r w:rsidR="003B410C" w:rsidRPr="004D3E58">
        <w:rPr>
          <w:noProof/>
        </w:rPr>
        <w:t>Den är viktig för den finansiella stabiliteten i minst en medlemsstat.</w:t>
      </w:r>
    </w:p>
    <w:p w:rsidR="00A803C4" w:rsidRPr="004D3E58" w:rsidRDefault="008F1E98" w:rsidP="00184085">
      <w:pPr>
        <w:pStyle w:val="Text1"/>
        <w:rPr>
          <w:noProof/>
        </w:rPr>
      </w:pPr>
      <w:r w:rsidRPr="004D3E58">
        <w:rPr>
          <w:noProof/>
        </w:rPr>
        <w:t>Vid tillämpning av led b ska, för en koncern som omfattar mer än en resolutionsenhet, en enhet betraktas som en relevant juridisk person om dess individuella totala riskvägda exponeringsbelopp uppgår till minst 2 % av resolutionsenhetens totala riskvägda exponeringsbelopp på konsoliderad resolutionsgruppnivå.</w:t>
      </w:r>
    </w:p>
    <w:p w:rsidR="008F1E98" w:rsidRPr="004D3E58" w:rsidRDefault="008F1E98" w:rsidP="00184085">
      <w:pPr>
        <w:pStyle w:val="Text1"/>
        <w:rPr>
          <w:noProof/>
        </w:rPr>
      </w:pPr>
      <w:r w:rsidRPr="004D3E58">
        <w:rPr>
          <w:noProof/>
        </w:rPr>
        <w:t>Vid tillämpning av led c ska, för en koncern som omfattar mer än en resolutionsenhet, en enhet betraktas som en relevant juridisk person om dess individuella totala exponeringsmått uppgår till minst 2 % av resolutionsenhetens totala exponeringsmått på konsoliderad resolutionsgruppnivå.</w:t>
      </w:r>
    </w:p>
    <w:p w:rsidR="003B410C" w:rsidRPr="004D3E58" w:rsidRDefault="003B410C" w:rsidP="00184085">
      <w:pPr>
        <w:pStyle w:val="Titrearticle"/>
        <w:rPr>
          <w:noProof/>
        </w:rPr>
      </w:pPr>
      <w:bookmarkStart w:id="1" w:name="_Hlk168321151"/>
      <w:r w:rsidRPr="004D3E58">
        <w:rPr>
          <w:noProof/>
        </w:rPr>
        <w:t>Artikel 2</w:t>
      </w:r>
    </w:p>
    <w:p w:rsidR="003B410C" w:rsidRPr="004D3E58" w:rsidRDefault="003B410C" w:rsidP="00184085">
      <w:pPr>
        <w:pStyle w:val="Titrearticle"/>
        <w:spacing w:before="0"/>
        <w:rPr>
          <w:b/>
          <w:bCs/>
          <w:i w:val="0"/>
          <w:iCs/>
          <w:noProof/>
        </w:rPr>
      </w:pPr>
      <w:r w:rsidRPr="004D3E58">
        <w:rPr>
          <w:b/>
          <w:i w:val="0"/>
          <w:noProof/>
        </w:rPr>
        <w:t>Resolutionsrapportering från institut som inte utgör en del av en koncern som är föremål för gruppbaserad tillsyn enligt artiklarna 111 och 112 i direktiv 2013/36/EU</w:t>
      </w:r>
      <w:bookmarkEnd w:id="1"/>
    </w:p>
    <w:p w:rsidR="003B410C" w:rsidRPr="004D3E58" w:rsidRDefault="0078393B" w:rsidP="0078393B">
      <w:pPr>
        <w:pStyle w:val="ManualNumPar1"/>
        <w:rPr>
          <w:noProof/>
        </w:rPr>
      </w:pPr>
      <w:r w:rsidRPr="0078393B">
        <w:rPr>
          <w:noProof/>
        </w:rPr>
        <w:t>1.</w:t>
      </w:r>
      <w:r w:rsidRPr="0078393B">
        <w:rPr>
          <w:noProof/>
        </w:rPr>
        <w:tab/>
      </w:r>
      <w:r w:rsidR="005E4DBA" w:rsidRPr="004D3E58">
        <w:rPr>
          <w:noProof/>
        </w:rPr>
        <w:t>Resolutionsenheter som inte utgör en del av en koncern som är föremål för gruppbaserad tillsyn enligt artiklarna 111 och 112 i Europaparlamentets och rådets direktiv 2013/36/EU</w:t>
      </w:r>
      <w:r w:rsidR="005E4DBA" w:rsidRPr="004D3E58">
        <w:rPr>
          <w:rStyle w:val="FootnoteReference"/>
          <w:noProof/>
        </w:rPr>
        <w:footnoteReference w:id="7"/>
      </w:r>
      <w:r w:rsidR="005E4DBA" w:rsidRPr="004D3E58">
        <w:rPr>
          <w:noProof/>
        </w:rPr>
        <w:t xml:space="preserve"> ska på individuell nivå till resolutionsmyndigheten överlämna den information som specificeras i alla mallar i bilaga I till denna förordning, med undantag av den information som avses i mallarna Z 01.01, Z 04.00, Z 07.02, Z 07.03 och Z 11.00.</w:t>
      </w:r>
    </w:p>
    <w:p w:rsidR="003B410C" w:rsidRPr="004D3E58" w:rsidRDefault="0078393B" w:rsidP="0078393B">
      <w:pPr>
        <w:pStyle w:val="ManualNumPar1"/>
        <w:rPr>
          <w:noProof/>
        </w:rPr>
      </w:pPr>
      <w:r w:rsidRPr="0078393B">
        <w:rPr>
          <w:noProof/>
        </w:rPr>
        <w:t>2.</w:t>
      </w:r>
      <w:r w:rsidRPr="0078393B">
        <w:rPr>
          <w:noProof/>
        </w:rPr>
        <w:tab/>
      </w:r>
      <w:r w:rsidR="0017578A" w:rsidRPr="004D3E58">
        <w:rPr>
          <w:noProof/>
        </w:rPr>
        <w:t>Avvecklingsenheter som inte omfattas av förenklade skyldigheter, som inte utgör en del av en koncern som är föremål för gruppbaserad tillsyn enligt artiklarna 111 och 112 i direktiv 2013/36/EU och för vilka resolutionsmyndigheten inte har fastställt det krav som avses i artikel 45.1 i direktiv 2014/59/EU i enlighet med artikel 45c.2a andra stycket i det direktivet, ska på individuell nivå till resolutionsmyndigheten lämna den information som specificeras i mallarna Z 01.02, Z 02.00, Z 05.01, Z 05.02, Z 06.00, Z 07.01.1–Z 07.01.5, Z 07.04 och Z 09.01 i bilaga I till denna förordning.</w:t>
      </w:r>
    </w:p>
    <w:p w:rsidR="003B410C" w:rsidRPr="004D3E58" w:rsidRDefault="0078393B" w:rsidP="0078393B">
      <w:pPr>
        <w:pStyle w:val="ManualNumPar1"/>
        <w:rPr>
          <w:noProof/>
        </w:rPr>
      </w:pPr>
      <w:r w:rsidRPr="0078393B">
        <w:rPr>
          <w:noProof/>
        </w:rPr>
        <w:t>3.</w:t>
      </w:r>
      <w:r w:rsidRPr="0078393B">
        <w:rPr>
          <w:noProof/>
        </w:rPr>
        <w:tab/>
      </w:r>
      <w:r w:rsidR="00436F80" w:rsidRPr="004D3E58">
        <w:rPr>
          <w:noProof/>
        </w:rPr>
        <w:t>Avvecklingsenheter som inte omfattas av förenklade skyldigheter, som inte utgör en del av en koncern som är föremål för gruppbaserad tillsyn enligt artiklarna 111 och 112 i direktiv 2013/36/EU och för vilka resolutionsmyndigheten har fastställt det krav som avses i artikel 45.1 i direktiv 2014/59/EU i enlighet med artikel 45c.2a andra stycket i det direktivet, ska på individuell nivå till resolutionsmyndigheten lämna den information som specificeras i mallarna Z 01.02, Z 02.00, Z 03.01, Z 03.02, Z 05.01, Z 05.02, Z 06.00, Z 07.01.1–Z 07.01.5, Z 07.04 och Z 09.01 i bilaga I till denna förordning.</w:t>
      </w:r>
    </w:p>
    <w:p w:rsidR="003B410C" w:rsidRPr="004D3E58" w:rsidRDefault="003B410C" w:rsidP="00184085">
      <w:pPr>
        <w:pStyle w:val="Titrearticle"/>
        <w:rPr>
          <w:noProof/>
        </w:rPr>
      </w:pPr>
      <w:r w:rsidRPr="004D3E58">
        <w:rPr>
          <w:noProof/>
        </w:rPr>
        <w:t>Artikel 3</w:t>
      </w:r>
    </w:p>
    <w:p w:rsidR="003B410C" w:rsidRPr="004D3E58" w:rsidRDefault="003B410C" w:rsidP="00184085">
      <w:pPr>
        <w:pStyle w:val="Titrearticle"/>
        <w:spacing w:before="0"/>
        <w:rPr>
          <w:b/>
          <w:bCs/>
          <w:i w:val="0"/>
          <w:iCs/>
          <w:noProof/>
        </w:rPr>
      </w:pPr>
      <w:r w:rsidRPr="004D3E58">
        <w:rPr>
          <w:b/>
          <w:i w:val="0"/>
          <w:noProof/>
        </w:rPr>
        <w:t>Resolutionsrapportering på koncernnivå – resolutionsgrupper</w:t>
      </w:r>
    </w:p>
    <w:p w:rsidR="003B410C" w:rsidRPr="004D3E58" w:rsidRDefault="0078393B" w:rsidP="0078393B">
      <w:pPr>
        <w:pStyle w:val="ManualNumPar1"/>
        <w:rPr>
          <w:noProof/>
        </w:rPr>
      </w:pPr>
      <w:r w:rsidRPr="0078393B">
        <w:rPr>
          <w:noProof/>
        </w:rPr>
        <w:t>1.</w:t>
      </w:r>
      <w:r w:rsidRPr="0078393B">
        <w:rPr>
          <w:noProof/>
        </w:rPr>
        <w:tab/>
      </w:r>
      <w:r w:rsidR="00873C72" w:rsidRPr="004D3E58">
        <w:rPr>
          <w:noProof/>
        </w:rPr>
        <w:t>Ett moderföretag inom unionen ska till resolutionsmyndigheten på koncernivå lämna den information som specificeras i mallarna Z 01.01, Z 01.02 och Z 08.01–Z 09.04 i bilaga I för alla koncernenheter.</w:t>
      </w:r>
    </w:p>
    <w:p w:rsidR="003B410C" w:rsidRPr="004D3E58" w:rsidRDefault="0078393B" w:rsidP="0078393B">
      <w:pPr>
        <w:pStyle w:val="ManualNumPar1"/>
        <w:rPr>
          <w:noProof/>
        </w:rPr>
      </w:pPr>
      <w:r w:rsidRPr="0078393B">
        <w:rPr>
          <w:noProof/>
        </w:rPr>
        <w:t>2.</w:t>
      </w:r>
      <w:r w:rsidRPr="0078393B">
        <w:rPr>
          <w:noProof/>
        </w:rPr>
        <w:tab/>
      </w:r>
      <w:r w:rsidR="00873C72" w:rsidRPr="004D3E58">
        <w:rPr>
          <w:noProof/>
        </w:rPr>
        <w:t>Ett moderföretag inom unionen ska till resolutionsmyndigheten på koncernnivå lämna den information om finansiella sammanlänkningar mellan alla koncernenheter som specificeras i mall Z 04.00 i bilaga I.</w:t>
      </w:r>
    </w:p>
    <w:p w:rsidR="003B410C" w:rsidRPr="004D3E58" w:rsidRDefault="0078393B" w:rsidP="0078393B">
      <w:pPr>
        <w:pStyle w:val="ManualNumPar1"/>
        <w:rPr>
          <w:noProof/>
        </w:rPr>
      </w:pPr>
      <w:r w:rsidRPr="0078393B">
        <w:rPr>
          <w:noProof/>
        </w:rPr>
        <w:t>3.</w:t>
      </w:r>
      <w:r w:rsidRPr="0078393B">
        <w:rPr>
          <w:noProof/>
        </w:rPr>
        <w:tab/>
      </w:r>
      <w:r w:rsidR="001744A5" w:rsidRPr="004D3E58">
        <w:rPr>
          <w:noProof/>
        </w:rPr>
        <w:t>Ett moderföretag inom unionen ska till resolutionsmyndigheten på koncernnivå lämna den information som specificeras i mall Z 02.00 i bilaga I enligt följande:</w:t>
      </w:r>
    </w:p>
    <w:p w:rsidR="003B410C" w:rsidRPr="004D3E58" w:rsidRDefault="0078393B" w:rsidP="0078393B">
      <w:pPr>
        <w:pStyle w:val="Point1"/>
        <w:rPr>
          <w:noProof/>
        </w:rPr>
      </w:pPr>
      <w:r w:rsidRPr="0078393B">
        <w:rPr>
          <w:noProof/>
        </w:rPr>
        <w:t>(a)</w:t>
      </w:r>
      <w:r w:rsidRPr="0078393B">
        <w:rPr>
          <w:noProof/>
        </w:rPr>
        <w:tab/>
      </w:r>
      <w:r w:rsidR="003B410C" w:rsidRPr="004D3E58">
        <w:rPr>
          <w:noProof/>
        </w:rPr>
        <w:t>På individuell nivå för alla resolutionsenheter inom koncernen, inbegripet moderföretaget inom unionen, och för alla relevanta juridiska personer som är institut.</w:t>
      </w:r>
    </w:p>
    <w:p w:rsidR="003B410C" w:rsidRPr="004D3E58" w:rsidRDefault="0078393B" w:rsidP="0078393B">
      <w:pPr>
        <w:pStyle w:val="Point1"/>
        <w:rPr>
          <w:noProof/>
        </w:rPr>
      </w:pPr>
      <w:r w:rsidRPr="0078393B">
        <w:rPr>
          <w:noProof/>
        </w:rPr>
        <w:t>(b)</w:t>
      </w:r>
      <w:r w:rsidRPr="0078393B">
        <w:rPr>
          <w:noProof/>
        </w:rPr>
        <w:tab/>
      </w:r>
      <w:r w:rsidR="003B410C" w:rsidRPr="004D3E58">
        <w:rPr>
          <w:noProof/>
        </w:rPr>
        <w:t xml:space="preserve">På gruppnivå, eller, i tillämpliga fall, på undergruppsnivå, för alla resolutionsenheter inom koncernen, inbegripet moderföretaget inom unionen, och för alla relevanta juridiska personer </w:t>
      </w:r>
      <w:r w:rsidR="003B410C" w:rsidRPr="004D3E58">
        <w:rPr>
          <w:noProof/>
          <w:color w:val="000000" w:themeColor="text1"/>
        </w:rPr>
        <w:t>för vilka resolutionsmyndigheten har fastställt ett sådant krav som avses i artikel 45.1 i direktiv 2014/59/EU</w:t>
      </w:r>
      <w:r w:rsidR="003B410C" w:rsidRPr="004D3E58">
        <w:rPr>
          <w:noProof/>
        </w:rPr>
        <w:t xml:space="preserve"> på gruppnivå eller undergruppsnivå, oavsett om de enheterna omfattas av del ett avdelning II kapitel 2 i förordning (EU) nr 575/2013.</w:t>
      </w:r>
    </w:p>
    <w:p w:rsidR="003B410C" w:rsidRPr="004D3E58" w:rsidRDefault="0078393B" w:rsidP="0078393B">
      <w:pPr>
        <w:pStyle w:val="ManualNumPar1"/>
        <w:rPr>
          <w:noProof/>
        </w:rPr>
      </w:pPr>
      <w:r w:rsidRPr="0078393B">
        <w:rPr>
          <w:noProof/>
        </w:rPr>
        <w:t>4.</w:t>
      </w:r>
      <w:r w:rsidRPr="0078393B">
        <w:rPr>
          <w:noProof/>
        </w:rPr>
        <w:tab/>
      </w:r>
      <w:r w:rsidR="00207905" w:rsidRPr="004D3E58">
        <w:rPr>
          <w:noProof/>
        </w:rPr>
        <w:t>Ett moderföretag inom unionen ska till resolutionsmyndigheten på koncernnivå lämna den information som specificeras i mall Z 03.01 eller Z 03.02 i bilaga I enligt följande:</w:t>
      </w:r>
    </w:p>
    <w:p w:rsidR="003B410C" w:rsidRPr="004D3E58" w:rsidRDefault="0078393B" w:rsidP="0078393B">
      <w:pPr>
        <w:pStyle w:val="Point1"/>
        <w:rPr>
          <w:noProof/>
        </w:rPr>
      </w:pPr>
      <w:r w:rsidRPr="0078393B">
        <w:rPr>
          <w:noProof/>
        </w:rPr>
        <w:t>(a)</w:t>
      </w:r>
      <w:r w:rsidRPr="0078393B">
        <w:rPr>
          <w:noProof/>
        </w:rPr>
        <w:tab/>
      </w:r>
      <w:r w:rsidR="003B410C" w:rsidRPr="004D3E58">
        <w:rPr>
          <w:noProof/>
        </w:rPr>
        <w:t>På individuell nivå, för alla resolutionsenheter inom koncernen, inbegripet moderföretaget inom unionen, och för alla relevanta juridiska personer som är institut för vilka resolutionsmyndigheten har fastställt ett sådant krav som avses i artikel 45.1 i direktiv 2014/59/EU.</w:t>
      </w:r>
    </w:p>
    <w:p w:rsidR="003B410C" w:rsidRPr="004D3E58" w:rsidRDefault="0078393B" w:rsidP="0078393B">
      <w:pPr>
        <w:pStyle w:val="Point1"/>
        <w:rPr>
          <w:noProof/>
        </w:rPr>
      </w:pPr>
      <w:r w:rsidRPr="0078393B">
        <w:rPr>
          <w:noProof/>
        </w:rPr>
        <w:t>(b)</w:t>
      </w:r>
      <w:r w:rsidRPr="0078393B">
        <w:rPr>
          <w:noProof/>
        </w:rPr>
        <w:tab/>
      </w:r>
      <w:r w:rsidR="003B410C" w:rsidRPr="004D3E58">
        <w:rPr>
          <w:noProof/>
        </w:rPr>
        <w:t>På gruppnivå eller undergruppsnivå, för alla resolutionsenheter inom koncernen, inbegripet moderföretaget inom unionen, och för alla relevanta juridiska personer som är institut för vilka resolutionsmyndigheten har fastställt ett sådant krav som avses i artikel 45.1 i direktiv 2014/59/EU, oavsett om dessa enheter omfattas av del ett avdelning II kapitel 2 i förordning (EU) nr 575/2013.</w:t>
      </w:r>
    </w:p>
    <w:p w:rsidR="003B410C" w:rsidRPr="004D3E58" w:rsidRDefault="0078393B" w:rsidP="0078393B">
      <w:pPr>
        <w:pStyle w:val="ManualNumPar1"/>
        <w:rPr>
          <w:noProof/>
        </w:rPr>
      </w:pPr>
      <w:r w:rsidRPr="0078393B">
        <w:rPr>
          <w:noProof/>
        </w:rPr>
        <w:t>5.</w:t>
      </w:r>
      <w:r w:rsidRPr="0078393B">
        <w:rPr>
          <w:noProof/>
        </w:rPr>
        <w:tab/>
      </w:r>
      <w:r w:rsidR="006E7726" w:rsidRPr="004D3E58">
        <w:rPr>
          <w:noProof/>
        </w:rPr>
        <w:t>Ett moderföretag inom unionen ska till resolutionsmyndigheten på koncernnivå lämna den information som avses i mallarna Z 07.01.1, Z 07.01.2, Z 07.01.3, Z 07.01.4 och Z 07.01.5 i bilaga I på nivån för varje medlemsstat där koncernen är verksam.</w:t>
      </w:r>
    </w:p>
    <w:p w:rsidR="003B410C" w:rsidRPr="004D3E58" w:rsidRDefault="0078393B" w:rsidP="0078393B">
      <w:pPr>
        <w:pStyle w:val="ManualNumPar1"/>
        <w:rPr>
          <w:noProof/>
        </w:rPr>
      </w:pPr>
      <w:r w:rsidRPr="0078393B">
        <w:rPr>
          <w:noProof/>
        </w:rPr>
        <w:t>6.</w:t>
      </w:r>
      <w:r w:rsidRPr="0078393B">
        <w:rPr>
          <w:noProof/>
        </w:rPr>
        <w:tab/>
      </w:r>
      <w:r w:rsidR="006E7726" w:rsidRPr="004D3E58">
        <w:rPr>
          <w:noProof/>
        </w:rPr>
        <w:t>Ett moderföretag inom unionen ska till resolutionsmyndigheten på koncernnivå lämna den information som avses i mallarna Z 07.02, Z 07.03 och Z 07.04 i bilaga I om de kritiska funktioner och kärnaffärsområden som tillhandahålls av en koncernenhet.</w:t>
      </w:r>
    </w:p>
    <w:p w:rsidR="003B410C" w:rsidRPr="004D3E58" w:rsidRDefault="0078393B" w:rsidP="0078393B">
      <w:pPr>
        <w:pStyle w:val="ManualNumPar1"/>
        <w:rPr>
          <w:noProof/>
        </w:rPr>
      </w:pPr>
      <w:r w:rsidRPr="0078393B">
        <w:rPr>
          <w:noProof/>
        </w:rPr>
        <w:t>7.</w:t>
      </w:r>
      <w:r w:rsidRPr="0078393B">
        <w:rPr>
          <w:noProof/>
        </w:rPr>
        <w:tab/>
      </w:r>
      <w:r w:rsidR="006E7726" w:rsidRPr="004D3E58">
        <w:rPr>
          <w:noProof/>
        </w:rPr>
        <w:t>Ett moderföretag inom unionen ska till resolutionsmyndigheten på koncernnivå, på individuell nivå, lämna den information som specificeras i mallarna Z 05.01, Z 05.02, Z 06.00, Z 07.01.1–Z 07.01.5, Z 07.04 och Z 11.00–Z 17.00 i bilaga I för alla resolutionsenheter inom koncernen, inbegripet moderföretaget inom unionen.</w:t>
      </w:r>
    </w:p>
    <w:p w:rsidR="003B410C" w:rsidRPr="004D3E58" w:rsidRDefault="0078393B" w:rsidP="0078393B">
      <w:pPr>
        <w:pStyle w:val="ManualNumPar1"/>
        <w:rPr>
          <w:noProof/>
        </w:rPr>
      </w:pPr>
      <w:r w:rsidRPr="0078393B">
        <w:rPr>
          <w:noProof/>
        </w:rPr>
        <w:t>8.</w:t>
      </w:r>
      <w:r w:rsidRPr="0078393B">
        <w:rPr>
          <w:noProof/>
        </w:rPr>
        <w:tab/>
      </w:r>
      <w:r w:rsidR="003B410C" w:rsidRPr="004D3E58">
        <w:rPr>
          <w:noProof/>
        </w:rPr>
        <w:t>Moderföretaget inom unionen ska till resolutionsmyndigheten koncernnivå, på individuell nivå lämna den information som specificeras i mallarna Z 05.01, Z 05.02, Z 06.00, Z 07.01.1–Z 07.01.5 och Z 07.04 i bilaga I för alla relevanta juridiska personer som är institut.</w:t>
      </w:r>
    </w:p>
    <w:p w:rsidR="003B410C" w:rsidRPr="004D3E58" w:rsidRDefault="0078393B" w:rsidP="0078393B">
      <w:pPr>
        <w:pStyle w:val="ManualNumPar1"/>
        <w:rPr>
          <w:noProof/>
        </w:rPr>
      </w:pPr>
      <w:r w:rsidRPr="0078393B">
        <w:rPr>
          <w:noProof/>
        </w:rPr>
        <w:t>9.</w:t>
      </w:r>
      <w:r w:rsidRPr="0078393B">
        <w:rPr>
          <w:noProof/>
        </w:rPr>
        <w:tab/>
      </w:r>
      <w:r w:rsidR="003B410C" w:rsidRPr="004D3E58">
        <w:rPr>
          <w:noProof/>
        </w:rPr>
        <w:t xml:space="preserve">Punkt 2, punkt 3 a och punkterna 4, 5 och 6 i denna artikel ska tillämpas utan hinder av eventuella undantag från tillämpningen av tillsynskrav som beviljats i enlighet med artikel 7.1 eller 7.3 i förordning (EU) nr 575/2013 eller artikel 8 i Europaparlamentets och rådets förordning (EU) </w:t>
      </w:r>
      <w:r w:rsidR="003B410C" w:rsidRPr="004D3E58">
        <w:rPr>
          <w:noProof/>
          <w:shd w:val="clear" w:color="auto" w:fill="FFFFFF" w:themeFill="background1"/>
        </w:rPr>
        <w:t>2019/2033</w:t>
      </w:r>
      <w:r w:rsidR="003B410C" w:rsidRPr="004D3E58">
        <w:rPr>
          <w:rStyle w:val="FootnoteReference"/>
          <w:noProof/>
          <w:shd w:val="clear" w:color="auto" w:fill="FFFFFF" w:themeFill="background1"/>
        </w:rPr>
        <w:footnoteReference w:id="8"/>
      </w:r>
      <w:r w:rsidR="003B410C" w:rsidRPr="004D3E58">
        <w:rPr>
          <w:noProof/>
          <w:shd w:val="clear" w:color="auto" w:fill="FFFFFF" w:themeFill="background1"/>
        </w:rPr>
        <w:t>, eller eventuella undantag från tillämpningen av</w:t>
      </w:r>
      <w:r w:rsidR="003B410C" w:rsidRPr="004D3E58">
        <w:rPr>
          <w:noProof/>
        </w:rPr>
        <w:t xml:space="preserve"> minimikravet för kapitalbas och kvalificerade skulder som beviljats i enlighet med artikel 45f i direktiv 2014/59/EU.</w:t>
      </w:r>
    </w:p>
    <w:p w:rsidR="003B410C" w:rsidRPr="004D3E58" w:rsidRDefault="003B410C" w:rsidP="00184085">
      <w:pPr>
        <w:pStyle w:val="Titrearticle"/>
        <w:rPr>
          <w:noProof/>
        </w:rPr>
      </w:pPr>
      <w:r w:rsidRPr="004D3E58">
        <w:rPr>
          <w:noProof/>
        </w:rPr>
        <w:t>Artikel 4</w:t>
      </w:r>
    </w:p>
    <w:p w:rsidR="003B410C" w:rsidRPr="004D3E58" w:rsidRDefault="003B410C" w:rsidP="00184085">
      <w:pPr>
        <w:pStyle w:val="Titrearticle"/>
        <w:spacing w:before="0"/>
        <w:rPr>
          <w:b/>
          <w:bCs/>
          <w:i w:val="0"/>
          <w:iCs/>
          <w:noProof/>
        </w:rPr>
      </w:pPr>
      <w:r w:rsidRPr="004D3E58">
        <w:rPr>
          <w:b/>
          <w:i w:val="0"/>
          <w:noProof/>
        </w:rPr>
        <w:t>Resolutionsrapportering på koncernnivå – grupper som endast omfattar avvecklingsenheter</w:t>
      </w:r>
    </w:p>
    <w:p w:rsidR="003B410C" w:rsidRPr="004D3E58" w:rsidRDefault="00F95432" w:rsidP="00184085">
      <w:pPr>
        <w:rPr>
          <w:noProof/>
        </w:rPr>
      </w:pPr>
      <w:r w:rsidRPr="004D3E58">
        <w:rPr>
          <w:noProof/>
        </w:rPr>
        <w:t>Ett moderföretag inom unionen i en koncern som endast består av avvecklingsenheter som inte omfattas av förenklade skyldigheter ska till resolutionsmyndigheten på koncernnivå lämna in följande:</w:t>
      </w:r>
    </w:p>
    <w:p w:rsidR="003B410C" w:rsidRPr="004D3E58" w:rsidRDefault="0078393B" w:rsidP="0078393B">
      <w:pPr>
        <w:pStyle w:val="Point0"/>
        <w:rPr>
          <w:noProof/>
        </w:rPr>
      </w:pPr>
      <w:r w:rsidRPr="0078393B">
        <w:rPr>
          <w:noProof/>
        </w:rPr>
        <w:t>(a)</w:t>
      </w:r>
      <w:r w:rsidRPr="0078393B">
        <w:rPr>
          <w:noProof/>
        </w:rPr>
        <w:tab/>
      </w:r>
      <w:r w:rsidR="003B410C" w:rsidRPr="004D3E58">
        <w:rPr>
          <w:noProof/>
        </w:rPr>
        <w:t>Den information som anges i mallarna Z 01.01, Z 01.02, Z 07.01.1–Z 07.01.5 och Z 09.01 i bilaga I för alla koncernenheter, mall Z 02.00 på gruppnivå och mall Z 04.00 om de finansiella kopplingarna mellan alla koncernenheter.</w:t>
      </w:r>
    </w:p>
    <w:p w:rsidR="003B410C" w:rsidRPr="004D3E58" w:rsidRDefault="0078393B" w:rsidP="0078393B">
      <w:pPr>
        <w:pStyle w:val="Point0"/>
        <w:rPr>
          <w:noProof/>
        </w:rPr>
      </w:pPr>
      <w:r w:rsidRPr="0078393B">
        <w:rPr>
          <w:noProof/>
        </w:rPr>
        <w:t>(b)</w:t>
      </w:r>
      <w:r w:rsidRPr="0078393B">
        <w:rPr>
          <w:noProof/>
        </w:rPr>
        <w:tab/>
      </w:r>
      <w:r w:rsidR="009F0766" w:rsidRPr="004D3E58">
        <w:rPr>
          <w:noProof/>
        </w:rPr>
        <w:t>På individuell nivå, för moderföretaget inom unionen och för varje relevant juridisk person för vilken resolutionsmyndigheten inte har fastställt det krav som avses i artikel 45.1 i direktiv 2014/59/EU i enlighet med artikel 45c.2a andra stycket i det direktivet, den information som specificeras i mallarna Z 02.00, Z 05.01, Z 05.02, Z 06.00, Z 07.01.1–Z 07.01.5 och Z 07.04 i bilaga I till denna förordning.</w:t>
      </w:r>
    </w:p>
    <w:p w:rsidR="00E522C4" w:rsidRPr="004D3E58" w:rsidRDefault="0078393B" w:rsidP="0078393B">
      <w:pPr>
        <w:pStyle w:val="Point0"/>
        <w:rPr>
          <w:noProof/>
        </w:rPr>
      </w:pPr>
      <w:r w:rsidRPr="0078393B">
        <w:rPr>
          <w:noProof/>
        </w:rPr>
        <w:t>(c)</w:t>
      </w:r>
      <w:r w:rsidRPr="0078393B">
        <w:rPr>
          <w:noProof/>
        </w:rPr>
        <w:tab/>
      </w:r>
      <w:r w:rsidR="009F0766" w:rsidRPr="004D3E58">
        <w:rPr>
          <w:noProof/>
        </w:rPr>
        <w:t>På individuell nivå, för moderföretaget inom unionen och för varje relevant juridisk person för vilken resolutionsmyndigheten har fastställt det krav som avses i artikel 45.1 i direktiv 2014/59/EU i enlighet med artikel 45c.2a andra stycket i det direktivet, den information som specificeras i mallarna Z 02.00, Z 03.01, Z 03.02, Z 05.01, Z 05.02, Z 06.00, Z 07.01.1–Z 07.01.5 och Z 07.04 i bilaga I till denna förordning.</w:t>
      </w:r>
    </w:p>
    <w:p w:rsidR="00E522C4" w:rsidRPr="004D3E58" w:rsidRDefault="00E522C4" w:rsidP="00184085">
      <w:pPr>
        <w:pStyle w:val="Titrearticle"/>
        <w:rPr>
          <w:noProof/>
        </w:rPr>
      </w:pPr>
      <w:r w:rsidRPr="004D3E58">
        <w:rPr>
          <w:noProof/>
        </w:rPr>
        <w:t>Artikel 5</w:t>
      </w:r>
    </w:p>
    <w:p w:rsidR="00E522C4" w:rsidRPr="004D3E58" w:rsidRDefault="00E522C4" w:rsidP="00184085">
      <w:pPr>
        <w:pStyle w:val="Titrearticle"/>
        <w:spacing w:before="0"/>
        <w:rPr>
          <w:b/>
          <w:bCs/>
          <w:i w:val="0"/>
          <w:iCs/>
          <w:noProof/>
        </w:rPr>
      </w:pPr>
      <w:r w:rsidRPr="004D3E58">
        <w:rPr>
          <w:b/>
          <w:i w:val="0"/>
          <w:noProof/>
        </w:rPr>
        <w:t>Justeringar av resolutionsrapportering på koncernnivå</w:t>
      </w:r>
    </w:p>
    <w:p w:rsidR="00E522C4" w:rsidRPr="004D3E58" w:rsidRDefault="0078393B" w:rsidP="0078393B">
      <w:pPr>
        <w:pStyle w:val="ManualNumPar1"/>
        <w:rPr>
          <w:noProof/>
        </w:rPr>
      </w:pPr>
      <w:r w:rsidRPr="0078393B">
        <w:rPr>
          <w:noProof/>
        </w:rPr>
        <w:t>1.</w:t>
      </w:r>
      <w:r w:rsidRPr="0078393B">
        <w:rPr>
          <w:noProof/>
        </w:rPr>
        <w:tab/>
      </w:r>
      <w:r w:rsidR="00E522C4" w:rsidRPr="004D3E58">
        <w:rPr>
          <w:noProof/>
        </w:rPr>
        <w:t>För en koncern vars moderföretag inom unionen är en avvecklingsenhet och omfattar resolutionsenheter ska moderföretaget inom unionen lämna in följande:</w:t>
      </w:r>
    </w:p>
    <w:p w:rsidR="00E522C4" w:rsidRPr="004D3E58" w:rsidRDefault="0078393B" w:rsidP="0078393B">
      <w:pPr>
        <w:pStyle w:val="Point1"/>
        <w:rPr>
          <w:noProof/>
        </w:rPr>
      </w:pPr>
      <w:r w:rsidRPr="0078393B">
        <w:rPr>
          <w:noProof/>
        </w:rPr>
        <w:t>(a)</w:t>
      </w:r>
      <w:r w:rsidRPr="0078393B">
        <w:rPr>
          <w:noProof/>
        </w:rPr>
        <w:tab/>
      </w:r>
      <w:r w:rsidR="000C210A" w:rsidRPr="004D3E58">
        <w:rPr>
          <w:noProof/>
        </w:rPr>
        <w:t>För koncernenheter som tillhör resolutionsgrupper ska den information som avses i artikel 3 lämnas in.</w:t>
      </w:r>
    </w:p>
    <w:p w:rsidR="00E522C4" w:rsidRPr="004D3E58" w:rsidRDefault="0078393B" w:rsidP="0078393B">
      <w:pPr>
        <w:pStyle w:val="Point1"/>
        <w:rPr>
          <w:noProof/>
        </w:rPr>
      </w:pPr>
      <w:r w:rsidRPr="0078393B">
        <w:rPr>
          <w:noProof/>
        </w:rPr>
        <w:t>(b)</w:t>
      </w:r>
      <w:r w:rsidRPr="0078393B">
        <w:rPr>
          <w:noProof/>
        </w:rPr>
        <w:tab/>
      </w:r>
      <w:r w:rsidR="000C210A" w:rsidRPr="004D3E58">
        <w:rPr>
          <w:noProof/>
        </w:rPr>
        <w:t>För avvecklingsenheter som inte omfattas av förenklade skyldigheter och som inte ingår i en resolutionsgrupp ska den information som avses i artikel 4 lämnas in.</w:t>
      </w:r>
    </w:p>
    <w:p w:rsidR="00E522C4" w:rsidRPr="004D3E58" w:rsidRDefault="0078393B" w:rsidP="0078393B">
      <w:pPr>
        <w:pStyle w:val="ManualNumPar1"/>
        <w:rPr>
          <w:noProof/>
        </w:rPr>
      </w:pPr>
      <w:r w:rsidRPr="0078393B">
        <w:rPr>
          <w:noProof/>
        </w:rPr>
        <w:t>2.</w:t>
      </w:r>
      <w:r w:rsidRPr="0078393B">
        <w:rPr>
          <w:noProof/>
        </w:rPr>
        <w:tab/>
      </w:r>
      <w:r w:rsidR="00E522C4" w:rsidRPr="004D3E58">
        <w:rPr>
          <w:noProof/>
        </w:rPr>
        <w:t>För en resolutionsgrupp som avses i artikel 2.1.83b b i direktiv 2014/59/EU ska den information som avses i artikel 3 i denna förordning lämnas in av minst en av koncernens resolutionsenheter. Den informationen ska omfatta alla kreditinstitut som är permanent underställda det centrala organet i den resolutionsgruppen, själva det centrala organet och deras respektive dotterföretag, på individuell nivå, undergruppsnivå och gruppnivå, beroende på vad som är lämpligt.</w:t>
      </w:r>
    </w:p>
    <w:p w:rsidR="00E522C4" w:rsidRPr="004D3E58" w:rsidRDefault="00E522C4" w:rsidP="00184085">
      <w:pPr>
        <w:pStyle w:val="Titrearticle"/>
        <w:rPr>
          <w:noProof/>
        </w:rPr>
      </w:pPr>
      <w:r w:rsidRPr="004D3E58">
        <w:rPr>
          <w:noProof/>
        </w:rPr>
        <w:t>Artikel 6</w:t>
      </w:r>
    </w:p>
    <w:p w:rsidR="00E522C4" w:rsidRPr="004D3E58" w:rsidRDefault="00E522C4" w:rsidP="00184085">
      <w:pPr>
        <w:pStyle w:val="Titrearticle"/>
        <w:spacing w:before="0"/>
        <w:rPr>
          <w:b/>
          <w:bCs/>
          <w:i w:val="0"/>
          <w:iCs/>
          <w:noProof/>
        </w:rPr>
      </w:pPr>
      <w:r w:rsidRPr="004D3E58">
        <w:rPr>
          <w:b/>
          <w:i w:val="0"/>
          <w:noProof/>
        </w:rPr>
        <w:t>Frekvens, referensdatum och rapportöverföringsdatum</w:t>
      </w:r>
    </w:p>
    <w:p w:rsidR="00E522C4" w:rsidRPr="004D3E58" w:rsidRDefault="0078393B" w:rsidP="0078393B">
      <w:pPr>
        <w:pStyle w:val="ManualNumPar1"/>
        <w:rPr>
          <w:noProof/>
        </w:rPr>
      </w:pPr>
      <w:r w:rsidRPr="0078393B">
        <w:rPr>
          <w:noProof/>
        </w:rPr>
        <w:t>1.</w:t>
      </w:r>
      <w:r w:rsidRPr="0078393B">
        <w:rPr>
          <w:noProof/>
        </w:rPr>
        <w:tab/>
      </w:r>
      <w:r w:rsidR="00E522C4" w:rsidRPr="004D3E58">
        <w:rPr>
          <w:noProof/>
        </w:rPr>
        <w:t>Instituten, eller, om det gäller koncerner, moderföretagen inom unionen, ska lämna in den information som avses i artiklarna 2–5 enligt följande:</w:t>
      </w:r>
    </w:p>
    <w:p w:rsidR="00E522C4" w:rsidRPr="004D3E58" w:rsidRDefault="0078393B" w:rsidP="0078393B">
      <w:pPr>
        <w:pStyle w:val="Point1"/>
        <w:rPr>
          <w:noProof/>
        </w:rPr>
      </w:pPr>
      <w:r w:rsidRPr="0078393B">
        <w:rPr>
          <w:noProof/>
        </w:rPr>
        <w:t>(a)</w:t>
      </w:r>
      <w:r w:rsidRPr="0078393B">
        <w:rPr>
          <w:noProof/>
        </w:rPr>
        <w:tab/>
      </w:r>
      <w:r w:rsidR="00A071C3" w:rsidRPr="004D3E58">
        <w:rPr>
          <w:noProof/>
        </w:rPr>
        <w:t xml:space="preserve">Senast den 31 mars varje år med avseende på den sista dagen i föregående kalenderår för </w:t>
      </w:r>
      <w:bookmarkStart w:id="2" w:name="_Hlk188952542"/>
      <w:r w:rsidR="00A071C3" w:rsidRPr="004D3E58">
        <w:rPr>
          <w:noProof/>
        </w:rPr>
        <w:t>mallarna Z 01.01, Z 01.02, Z 02.00, Z 03.01, Z 03.02, Z 04.00, Z 05.01, Z 05.02, Z 06.00 och Z 11.00–Z 17.00</w:t>
      </w:r>
      <w:bookmarkEnd w:id="2"/>
      <w:r w:rsidR="00A071C3" w:rsidRPr="004D3E58">
        <w:rPr>
          <w:noProof/>
        </w:rPr>
        <w:t>.</w:t>
      </w:r>
    </w:p>
    <w:p w:rsidR="00E522C4" w:rsidRPr="004D3E58" w:rsidRDefault="0078393B" w:rsidP="0078393B">
      <w:pPr>
        <w:pStyle w:val="Point1"/>
        <w:rPr>
          <w:noProof/>
        </w:rPr>
      </w:pPr>
      <w:r w:rsidRPr="0078393B">
        <w:rPr>
          <w:noProof/>
        </w:rPr>
        <w:t>(b)</w:t>
      </w:r>
      <w:r w:rsidRPr="0078393B">
        <w:rPr>
          <w:noProof/>
        </w:rPr>
        <w:tab/>
      </w:r>
      <w:r w:rsidR="003F636B" w:rsidRPr="004D3E58">
        <w:rPr>
          <w:noProof/>
        </w:rPr>
        <w:t xml:space="preserve">Senast den 30 april varje år med avseende på den sista dagen i föregående kalenderår för mallarna Z 07.01.1–Z 07.04, Z 08.01–Z 08.05 och Z 09.01–Z 09.04. </w:t>
      </w:r>
    </w:p>
    <w:p w:rsidR="003F636B" w:rsidRPr="004D3E58" w:rsidRDefault="003F636B" w:rsidP="00184085">
      <w:pPr>
        <w:pStyle w:val="Text1"/>
        <w:rPr>
          <w:noProof/>
        </w:rPr>
      </w:pPr>
      <w:r w:rsidRPr="004D3E58">
        <w:rPr>
          <w:noProof/>
        </w:rPr>
        <w:t>Om den 31 mars inte infaller på en bankdag ska informationen, vid tillämpning av punkt a, lämnas påföljande bankdag.</w:t>
      </w:r>
    </w:p>
    <w:p w:rsidR="003F636B" w:rsidRPr="004D3E58" w:rsidRDefault="003F636B" w:rsidP="00184085">
      <w:pPr>
        <w:pStyle w:val="Text1"/>
        <w:rPr>
          <w:noProof/>
        </w:rPr>
      </w:pPr>
      <w:r w:rsidRPr="004D3E58">
        <w:rPr>
          <w:noProof/>
        </w:rPr>
        <w:t>Om den 30 april inte infaller på en bankdag ska informationen, vid tillämpning av punkt b, lämnas påföljande bankdag.</w:t>
      </w:r>
    </w:p>
    <w:p w:rsidR="00E522C4" w:rsidRPr="004D3E58" w:rsidRDefault="0078393B" w:rsidP="0078393B">
      <w:pPr>
        <w:pStyle w:val="ManualNumPar1"/>
        <w:rPr>
          <w:noProof/>
        </w:rPr>
      </w:pPr>
      <w:r w:rsidRPr="0078393B">
        <w:rPr>
          <w:noProof/>
        </w:rPr>
        <w:t>2.</w:t>
      </w:r>
      <w:r w:rsidRPr="0078393B">
        <w:rPr>
          <w:noProof/>
        </w:rPr>
        <w:tab/>
      </w:r>
      <w:r w:rsidR="00E522C4" w:rsidRPr="004D3E58">
        <w:rPr>
          <w:noProof/>
        </w:rPr>
        <w:t>Resolutionsmyndigheterna ska ange om informationen ska lämnas direkt till resolutionsmyndigheten eller om den i förekommande fall ska lämnas till den behöriga myndigheten i stället.</w:t>
      </w:r>
    </w:p>
    <w:p w:rsidR="00E522C4" w:rsidRPr="004D3E58" w:rsidRDefault="0078393B" w:rsidP="0078393B">
      <w:pPr>
        <w:pStyle w:val="ManualNumPar1"/>
        <w:rPr>
          <w:noProof/>
        </w:rPr>
      </w:pPr>
      <w:r w:rsidRPr="0078393B">
        <w:rPr>
          <w:noProof/>
        </w:rPr>
        <w:t>3.</w:t>
      </w:r>
      <w:r w:rsidRPr="0078393B">
        <w:rPr>
          <w:noProof/>
        </w:rPr>
        <w:tab/>
      </w:r>
      <w:r w:rsidR="00E522C4" w:rsidRPr="004D3E58">
        <w:rPr>
          <w:noProof/>
        </w:rPr>
        <w:t xml:space="preserve">Instituten eller, när det gäller koncerner, moderföretag inom unionen, får lämna in oreviderade uppgifter. Om de reviderade uppgifterna avviker från inlämnade oreviderade uppgifter, ska de ändrade reviderade uppgifterna lämnas in utan onödigt dröjsmål. </w:t>
      </w:r>
    </w:p>
    <w:p w:rsidR="00E522C4" w:rsidRPr="004D3E58" w:rsidRDefault="0078393B" w:rsidP="0078393B">
      <w:pPr>
        <w:pStyle w:val="ManualNumPar1"/>
        <w:rPr>
          <w:noProof/>
        </w:rPr>
      </w:pPr>
      <w:r w:rsidRPr="0078393B">
        <w:rPr>
          <w:noProof/>
        </w:rPr>
        <w:t>4.</w:t>
      </w:r>
      <w:r w:rsidRPr="0078393B">
        <w:rPr>
          <w:noProof/>
        </w:rPr>
        <w:tab/>
      </w:r>
      <w:r w:rsidR="00E522C4" w:rsidRPr="004D3E58">
        <w:rPr>
          <w:noProof/>
        </w:rPr>
        <w:t xml:space="preserve">Vid tillämpning av punkt 3 är oreviderade uppgifter sådana som inte har blivit föremål för ett uttalande från en extern revisor, medan reviderade uppgifter är uppgifter som har granskats av en extern revisor som har lämnat en revisionsberättelse. </w:t>
      </w:r>
    </w:p>
    <w:p w:rsidR="00E522C4" w:rsidRPr="004D3E58" w:rsidRDefault="0078393B" w:rsidP="0078393B">
      <w:pPr>
        <w:pStyle w:val="ManualNumPar1"/>
        <w:rPr>
          <w:noProof/>
        </w:rPr>
      </w:pPr>
      <w:r w:rsidRPr="0078393B">
        <w:rPr>
          <w:noProof/>
        </w:rPr>
        <w:t>5.</w:t>
      </w:r>
      <w:r w:rsidRPr="0078393B">
        <w:rPr>
          <w:noProof/>
        </w:rPr>
        <w:tab/>
      </w:r>
      <w:r w:rsidR="00E522C4" w:rsidRPr="004D3E58">
        <w:rPr>
          <w:noProof/>
        </w:rPr>
        <w:t>Rättelser av inlämnade rapporter ska lämnas in utan onödigt dröjsmål.</w:t>
      </w:r>
    </w:p>
    <w:p w:rsidR="00E522C4" w:rsidRPr="004D3E58" w:rsidRDefault="00E522C4" w:rsidP="00184085">
      <w:pPr>
        <w:pStyle w:val="Titrearticle"/>
        <w:rPr>
          <w:noProof/>
        </w:rPr>
      </w:pPr>
      <w:r w:rsidRPr="004D3E58">
        <w:rPr>
          <w:noProof/>
        </w:rPr>
        <w:t>Artikel 7</w:t>
      </w:r>
    </w:p>
    <w:p w:rsidR="00E522C4" w:rsidRPr="004D3E58" w:rsidRDefault="00E522C4" w:rsidP="00184085">
      <w:pPr>
        <w:pStyle w:val="Titrearticle"/>
        <w:spacing w:before="0"/>
        <w:rPr>
          <w:b/>
          <w:bCs/>
          <w:i w:val="0"/>
          <w:iCs/>
          <w:noProof/>
        </w:rPr>
      </w:pPr>
      <w:r w:rsidRPr="004D3E58">
        <w:rPr>
          <w:b/>
          <w:i w:val="0"/>
          <w:noProof/>
        </w:rPr>
        <w:t>Format för datautbyte och åtföljande information</w:t>
      </w:r>
    </w:p>
    <w:p w:rsidR="00E522C4" w:rsidRPr="004D3E58" w:rsidRDefault="0078393B" w:rsidP="0078393B">
      <w:pPr>
        <w:pStyle w:val="ManualNumPar1"/>
        <w:rPr>
          <w:noProof/>
        </w:rPr>
      </w:pPr>
      <w:r w:rsidRPr="0078393B">
        <w:rPr>
          <w:noProof/>
        </w:rPr>
        <w:t>1.</w:t>
      </w:r>
      <w:r w:rsidRPr="0078393B">
        <w:rPr>
          <w:noProof/>
        </w:rPr>
        <w:tab/>
      </w:r>
      <w:r w:rsidR="00E522C4" w:rsidRPr="004D3E58">
        <w:rPr>
          <w:noProof/>
        </w:rPr>
        <w:t xml:space="preserve">Instituten eller, när det gäller koncerner, moderföretagen inom unionen, ska lämna in den information som avses i artiklarna 2–5 i enlighet med mallarna i bilaga I i de format för datautbyte och representation som resolutionsmyndigheterna har specificerat, med iakttagande av de datapunktsdefinitioner som ingår i den gemensamma datapunktsmodell som avses i bilaga II och de valideringsregler som avses i bilaga III. </w:t>
      </w:r>
    </w:p>
    <w:p w:rsidR="00E522C4" w:rsidRPr="004D3E58" w:rsidRDefault="0078393B" w:rsidP="0078393B">
      <w:pPr>
        <w:pStyle w:val="ManualNumPar1"/>
        <w:rPr>
          <w:noProof/>
        </w:rPr>
      </w:pPr>
      <w:r w:rsidRPr="0078393B">
        <w:rPr>
          <w:noProof/>
        </w:rPr>
        <w:t>2.</w:t>
      </w:r>
      <w:r w:rsidRPr="0078393B">
        <w:rPr>
          <w:noProof/>
        </w:rPr>
        <w:tab/>
      </w:r>
      <w:r w:rsidR="00E522C4" w:rsidRPr="004D3E58">
        <w:rPr>
          <w:noProof/>
        </w:rPr>
        <w:t>Utöver den skyldighet som avses i punkt 1 ska instituten eller, när det gäller koncerner, moderföretagen inom unionen, säkerställa följande:</w:t>
      </w:r>
    </w:p>
    <w:p w:rsidR="00E522C4" w:rsidRPr="004D3E58" w:rsidRDefault="0078393B" w:rsidP="0078393B">
      <w:pPr>
        <w:pStyle w:val="Point1"/>
        <w:rPr>
          <w:noProof/>
        </w:rPr>
      </w:pPr>
      <w:r w:rsidRPr="0078393B">
        <w:rPr>
          <w:noProof/>
        </w:rPr>
        <w:t>(a)</w:t>
      </w:r>
      <w:r w:rsidRPr="0078393B">
        <w:rPr>
          <w:noProof/>
        </w:rPr>
        <w:tab/>
      </w:r>
      <w:r w:rsidR="00E522C4" w:rsidRPr="004D3E58">
        <w:rPr>
          <w:noProof/>
        </w:rPr>
        <w:t>Numeriska värden ska anges enligt följande:</w:t>
      </w:r>
    </w:p>
    <w:p w:rsidR="00E522C4" w:rsidRPr="004D3E58" w:rsidRDefault="00E522C4" w:rsidP="00184085">
      <w:pPr>
        <w:pStyle w:val="Point2"/>
        <w:rPr>
          <w:noProof/>
        </w:rPr>
      </w:pPr>
      <w:r w:rsidRPr="004D3E58">
        <w:rPr>
          <w:noProof/>
        </w:rPr>
        <w:t>i)</w:t>
      </w:r>
      <w:r w:rsidRPr="004D3E58">
        <w:rPr>
          <w:noProof/>
        </w:rPr>
        <w:tab/>
        <w:t xml:space="preserve">Datapunkter av uppgiftstypen ”monetär” ska anges med en minsta noggrannhet motsvarande tiotusen enheter. </w:t>
      </w:r>
    </w:p>
    <w:p w:rsidR="00E522C4" w:rsidRPr="004D3E58" w:rsidRDefault="00E522C4" w:rsidP="00184085">
      <w:pPr>
        <w:pStyle w:val="Point2"/>
        <w:rPr>
          <w:noProof/>
        </w:rPr>
      </w:pPr>
      <w:r w:rsidRPr="004D3E58">
        <w:rPr>
          <w:noProof/>
        </w:rPr>
        <w:t>ii)</w:t>
      </w:r>
      <w:r w:rsidRPr="004D3E58">
        <w:rPr>
          <w:noProof/>
        </w:rPr>
        <w:tab/>
        <w:t>Datapunkter av uppgiftstypen ”procentandel” ska anges per enhet med en minsta noggrannhet motsvarande fyra decimaler.</w:t>
      </w:r>
    </w:p>
    <w:p w:rsidR="00E522C4" w:rsidRPr="004D3E58" w:rsidRDefault="00E522C4" w:rsidP="00184085">
      <w:pPr>
        <w:pStyle w:val="Point2"/>
        <w:rPr>
          <w:noProof/>
        </w:rPr>
      </w:pPr>
      <w:r w:rsidRPr="004D3E58">
        <w:rPr>
          <w:noProof/>
        </w:rPr>
        <w:t>iii)</w:t>
      </w:r>
      <w:r w:rsidRPr="004D3E58">
        <w:rPr>
          <w:noProof/>
        </w:rPr>
        <w:tab/>
        <w:t>Datapunkter av uppgiftstypen ”heltal” ska anges utan decimaler och med en noggrannhet motsvarande enheter.</w:t>
      </w:r>
    </w:p>
    <w:p w:rsidR="00E522C4" w:rsidRPr="004D3E58" w:rsidRDefault="0078393B" w:rsidP="0078393B">
      <w:pPr>
        <w:pStyle w:val="Point1"/>
        <w:rPr>
          <w:noProof/>
        </w:rPr>
      </w:pPr>
      <w:r w:rsidRPr="0078393B">
        <w:rPr>
          <w:noProof/>
        </w:rPr>
        <w:t>(b)</w:t>
      </w:r>
      <w:r w:rsidRPr="0078393B">
        <w:rPr>
          <w:noProof/>
        </w:rPr>
        <w:tab/>
      </w:r>
      <w:r w:rsidR="00E522C4" w:rsidRPr="004D3E58">
        <w:rPr>
          <w:noProof/>
        </w:rPr>
        <w:t>Institut och försäkringsföretag ska identifieras enbart genom sin identifieringskod för juridiska personer.</w:t>
      </w:r>
    </w:p>
    <w:p w:rsidR="00E522C4" w:rsidRPr="004D3E58" w:rsidRDefault="0078393B" w:rsidP="0078393B">
      <w:pPr>
        <w:pStyle w:val="Point1"/>
        <w:rPr>
          <w:noProof/>
        </w:rPr>
      </w:pPr>
      <w:r w:rsidRPr="0078393B">
        <w:rPr>
          <w:noProof/>
        </w:rPr>
        <w:t>(c)</w:t>
      </w:r>
      <w:r w:rsidRPr="0078393B">
        <w:rPr>
          <w:noProof/>
        </w:rPr>
        <w:tab/>
      </w:r>
      <w:r w:rsidR="00E522C4" w:rsidRPr="004D3E58">
        <w:rPr>
          <w:noProof/>
        </w:rPr>
        <w:t>Juridiska personer och motparter som inte är institut eller försäkringsföretag ska identifieras genom sin identifieringskod för juridiska personer, om en sådan är tillgänglig.</w:t>
      </w:r>
    </w:p>
    <w:p w:rsidR="0046629F" w:rsidRPr="004D3E58" w:rsidRDefault="0078393B" w:rsidP="0078393B">
      <w:pPr>
        <w:pStyle w:val="Point1"/>
        <w:rPr>
          <w:noProof/>
        </w:rPr>
      </w:pPr>
      <w:r w:rsidRPr="0078393B">
        <w:rPr>
          <w:noProof/>
        </w:rPr>
        <w:t>(d)</w:t>
      </w:r>
      <w:r w:rsidRPr="0078393B">
        <w:rPr>
          <w:noProof/>
        </w:rPr>
        <w:tab/>
      </w:r>
      <w:r w:rsidR="0046629F" w:rsidRPr="004D3E58">
        <w:rPr>
          <w:noProof/>
        </w:rPr>
        <w:t>Information som inte begärs eller inte är tillämplig ska inte lämnas in.</w:t>
      </w:r>
    </w:p>
    <w:p w:rsidR="00E522C4" w:rsidRPr="004D3E58" w:rsidRDefault="0078393B" w:rsidP="0078393B">
      <w:pPr>
        <w:pStyle w:val="ManualNumPar1"/>
        <w:rPr>
          <w:noProof/>
        </w:rPr>
      </w:pPr>
      <w:r w:rsidRPr="0078393B">
        <w:rPr>
          <w:noProof/>
        </w:rPr>
        <w:t>3.</w:t>
      </w:r>
      <w:r w:rsidRPr="0078393B">
        <w:rPr>
          <w:noProof/>
        </w:rPr>
        <w:tab/>
      </w:r>
      <w:r w:rsidR="004B472A" w:rsidRPr="004D3E58">
        <w:rPr>
          <w:noProof/>
        </w:rPr>
        <w:t>De uppgifter som lämnas in av institut, eller, när det gäller koncerner, moderföretag inom unionen, ska åtföljas av följande information:</w:t>
      </w:r>
    </w:p>
    <w:p w:rsidR="004B472A" w:rsidRPr="004D3E58" w:rsidRDefault="0078393B" w:rsidP="0078393B">
      <w:pPr>
        <w:pStyle w:val="Point1"/>
        <w:rPr>
          <w:noProof/>
        </w:rPr>
      </w:pPr>
      <w:r w:rsidRPr="0078393B">
        <w:rPr>
          <w:noProof/>
        </w:rPr>
        <w:t>(a)</w:t>
      </w:r>
      <w:r w:rsidRPr="0078393B">
        <w:rPr>
          <w:noProof/>
        </w:rPr>
        <w:tab/>
      </w:r>
      <w:r w:rsidR="004B472A" w:rsidRPr="004D3E58">
        <w:rPr>
          <w:noProof/>
        </w:rPr>
        <w:t>Referensdatum.</w:t>
      </w:r>
    </w:p>
    <w:p w:rsidR="004B472A" w:rsidRPr="004D3E58" w:rsidRDefault="0078393B" w:rsidP="0078393B">
      <w:pPr>
        <w:pStyle w:val="Point1"/>
        <w:rPr>
          <w:noProof/>
        </w:rPr>
      </w:pPr>
      <w:r w:rsidRPr="0078393B">
        <w:rPr>
          <w:noProof/>
        </w:rPr>
        <w:t>(b)</w:t>
      </w:r>
      <w:r w:rsidRPr="0078393B">
        <w:rPr>
          <w:noProof/>
        </w:rPr>
        <w:tab/>
      </w:r>
      <w:r w:rsidR="004B472A" w:rsidRPr="004D3E58">
        <w:rPr>
          <w:noProof/>
        </w:rPr>
        <w:t>Rapporteringsvaluta.</w:t>
      </w:r>
    </w:p>
    <w:p w:rsidR="004B472A" w:rsidRPr="004D3E58" w:rsidRDefault="0078393B" w:rsidP="0078393B">
      <w:pPr>
        <w:pStyle w:val="Point1"/>
        <w:rPr>
          <w:noProof/>
        </w:rPr>
      </w:pPr>
      <w:r w:rsidRPr="0078393B">
        <w:rPr>
          <w:noProof/>
        </w:rPr>
        <w:t>(c)</w:t>
      </w:r>
      <w:r w:rsidRPr="0078393B">
        <w:rPr>
          <w:noProof/>
        </w:rPr>
        <w:tab/>
      </w:r>
      <w:r w:rsidR="004B472A" w:rsidRPr="004D3E58">
        <w:rPr>
          <w:noProof/>
        </w:rPr>
        <w:t>Redovisningsstandard.</w:t>
      </w:r>
    </w:p>
    <w:p w:rsidR="004B472A" w:rsidRPr="004D3E58" w:rsidRDefault="0078393B" w:rsidP="0078393B">
      <w:pPr>
        <w:pStyle w:val="Point1"/>
        <w:rPr>
          <w:noProof/>
        </w:rPr>
      </w:pPr>
      <w:r w:rsidRPr="0078393B">
        <w:rPr>
          <w:noProof/>
        </w:rPr>
        <w:t>(d)</w:t>
      </w:r>
      <w:r w:rsidRPr="0078393B">
        <w:rPr>
          <w:noProof/>
        </w:rPr>
        <w:tab/>
      </w:r>
      <w:r w:rsidR="004B472A" w:rsidRPr="004D3E58">
        <w:rPr>
          <w:noProof/>
        </w:rPr>
        <w:t>Den rapporterande enhetens identifieringskod för juridisk person.</w:t>
      </w:r>
    </w:p>
    <w:p w:rsidR="004B472A" w:rsidRPr="004D3E58" w:rsidRDefault="0078393B" w:rsidP="0078393B">
      <w:pPr>
        <w:pStyle w:val="Point1"/>
        <w:rPr>
          <w:noProof/>
        </w:rPr>
      </w:pPr>
      <w:r w:rsidRPr="0078393B">
        <w:rPr>
          <w:noProof/>
        </w:rPr>
        <w:t>(e)</w:t>
      </w:r>
      <w:r w:rsidRPr="0078393B">
        <w:rPr>
          <w:noProof/>
        </w:rPr>
        <w:tab/>
      </w:r>
      <w:r w:rsidR="004B472A" w:rsidRPr="004D3E58">
        <w:rPr>
          <w:noProof/>
        </w:rPr>
        <w:t>Tillämpningsnivå enligt artiklarna 2, 3 och 4.</w:t>
      </w:r>
    </w:p>
    <w:p w:rsidR="004B472A" w:rsidRPr="004D3E58" w:rsidRDefault="004B472A" w:rsidP="00184085">
      <w:pPr>
        <w:pStyle w:val="Titrearticle"/>
        <w:rPr>
          <w:noProof/>
        </w:rPr>
      </w:pPr>
      <w:bookmarkStart w:id="3" w:name="_Hlk169616472"/>
      <w:r w:rsidRPr="004D3E58">
        <w:rPr>
          <w:noProof/>
        </w:rPr>
        <w:t>Artikel 8</w:t>
      </w:r>
    </w:p>
    <w:p w:rsidR="004B472A" w:rsidRPr="004D3E58" w:rsidRDefault="004B472A" w:rsidP="00184085">
      <w:pPr>
        <w:pStyle w:val="Titrearticle"/>
        <w:spacing w:before="0"/>
        <w:rPr>
          <w:b/>
          <w:bCs/>
          <w:i w:val="0"/>
          <w:iCs/>
          <w:noProof/>
        </w:rPr>
      </w:pPr>
      <w:r w:rsidRPr="004D3E58">
        <w:rPr>
          <w:b/>
          <w:i w:val="0"/>
          <w:noProof/>
        </w:rPr>
        <w:t xml:space="preserve">Tillhandahållande av ytterligare information för enskilda resolutionsplaner och koncernresolutionsplaner </w:t>
      </w:r>
    </w:p>
    <w:bookmarkEnd w:id="3"/>
    <w:p w:rsidR="00FA69C1" w:rsidRPr="004D3E58" w:rsidRDefault="0078393B" w:rsidP="0078393B">
      <w:pPr>
        <w:pStyle w:val="ManualNumPar1"/>
        <w:rPr>
          <w:noProof/>
        </w:rPr>
      </w:pPr>
      <w:r w:rsidRPr="0078393B">
        <w:rPr>
          <w:noProof/>
        </w:rPr>
        <w:t>1.</w:t>
      </w:r>
      <w:r w:rsidRPr="0078393B">
        <w:rPr>
          <w:noProof/>
        </w:rPr>
        <w:tab/>
      </w:r>
      <w:r w:rsidR="00C747E3" w:rsidRPr="004D3E58">
        <w:rPr>
          <w:noProof/>
        </w:rPr>
        <w:t>Resolutionsmyndigheten eller resolutionsmyndigheten på koncernnivå ska begära ytterligare information eller information i ett nytt format från det berörda institutet eller moderföretaget inom unionen om något av följande är tillämpligt:</w:t>
      </w:r>
    </w:p>
    <w:p w:rsidR="00FA69C1" w:rsidRPr="004D3E58" w:rsidRDefault="0078393B" w:rsidP="0078393B">
      <w:pPr>
        <w:pStyle w:val="Point1"/>
        <w:rPr>
          <w:noProof/>
        </w:rPr>
      </w:pPr>
      <w:r w:rsidRPr="0078393B">
        <w:rPr>
          <w:noProof/>
        </w:rPr>
        <w:t>(a)</w:t>
      </w:r>
      <w:r w:rsidRPr="0078393B">
        <w:rPr>
          <w:noProof/>
        </w:rPr>
        <w:tab/>
      </w:r>
      <w:r w:rsidR="00FA69C1" w:rsidRPr="004D3E58">
        <w:rPr>
          <w:noProof/>
        </w:rPr>
        <w:t>Resolutionsmyndigheten eller resolutionsmyndigheten på koncernnivå anser att informationen inte omfattas av någon mall i bilaga I och är nödvändig för att upprätta och genomföra resolutionsplaner.</w:t>
      </w:r>
    </w:p>
    <w:p w:rsidR="00FA69C1" w:rsidRPr="004D3E58" w:rsidRDefault="0078393B" w:rsidP="0078393B">
      <w:pPr>
        <w:pStyle w:val="Point1"/>
        <w:rPr>
          <w:noProof/>
        </w:rPr>
      </w:pPr>
      <w:r w:rsidRPr="0078393B">
        <w:rPr>
          <w:noProof/>
        </w:rPr>
        <w:t>(b)</w:t>
      </w:r>
      <w:r w:rsidRPr="0078393B">
        <w:rPr>
          <w:noProof/>
        </w:rPr>
        <w:tab/>
      </w:r>
      <w:r w:rsidR="00FA69C1" w:rsidRPr="004D3E58">
        <w:rPr>
          <w:noProof/>
        </w:rPr>
        <w:t>Resolutionsmyndigheten eller resolutionsmyndigheten på koncernnivå anser att den behöver ytterligare information från enheter som omfattas av förenklade skyldigheter för att kunna upprätta och genomföra resolutionsplaner.</w:t>
      </w:r>
    </w:p>
    <w:p w:rsidR="00FA69C1" w:rsidRPr="004D3E58" w:rsidRDefault="0078393B" w:rsidP="0078393B">
      <w:pPr>
        <w:pStyle w:val="Point1"/>
        <w:rPr>
          <w:noProof/>
        </w:rPr>
      </w:pPr>
      <w:r w:rsidRPr="0078393B">
        <w:rPr>
          <w:noProof/>
        </w:rPr>
        <w:t>(c)</w:t>
      </w:r>
      <w:r w:rsidRPr="0078393B">
        <w:rPr>
          <w:noProof/>
        </w:rPr>
        <w:tab/>
      </w:r>
      <w:r w:rsidR="00FA69C1" w:rsidRPr="004D3E58">
        <w:rPr>
          <w:noProof/>
        </w:rPr>
        <w:t>Det format i vilket den behöriga myndigheten lämnar informationen enligt artikel 9.2 är inte lämpligt för att upprätta eller genomföra resolutionsplaner.</w:t>
      </w:r>
    </w:p>
    <w:p w:rsidR="004B472A" w:rsidRPr="004D3E58" w:rsidRDefault="0078393B" w:rsidP="0078393B">
      <w:pPr>
        <w:pStyle w:val="ManualNumPar1"/>
        <w:rPr>
          <w:noProof/>
        </w:rPr>
      </w:pPr>
      <w:r w:rsidRPr="0078393B">
        <w:rPr>
          <w:noProof/>
        </w:rPr>
        <w:t>2.</w:t>
      </w:r>
      <w:r w:rsidRPr="0078393B">
        <w:rPr>
          <w:noProof/>
        </w:rPr>
        <w:tab/>
      </w:r>
      <w:r w:rsidR="004B472A" w:rsidRPr="004D3E58">
        <w:rPr>
          <w:noProof/>
        </w:rPr>
        <w:t>För den begäran som avses i punkt 1 ska resolutionsmyndigheten</w:t>
      </w:r>
    </w:p>
    <w:p w:rsidR="004B472A" w:rsidRPr="004D3E58" w:rsidRDefault="0078393B" w:rsidP="0078393B">
      <w:pPr>
        <w:pStyle w:val="Point1"/>
        <w:rPr>
          <w:noProof/>
        </w:rPr>
      </w:pPr>
      <w:r w:rsidRPr="0078393B">
        <w:rPr>
          <w:noProof/>
        </w:rPr>
        <w:t>(a)</w:t>
      </w:r>
      <w:r w:rsidRPr="0078393B">
        <w:rPr>
          <w:noProof/>
        </w:rPr>
        <w:tab/>
      </w:r>
      <w:r w:rsidR="004B472A" w:rsidRPr="004D3E58">
        <w:rPr>
          <w:noProof/>
        </w:rPr>
        <w:t>ange vilken ytterligare information som ska tillhandahållas,</w:t>
      </w:r>
    </w:p>
    <w:p w:rsidR="004B472A" w:rsidRPr="004D3E58" w:rsidRDefault="0078393B" w:rsidP="0078393B">
      <w:pPr>
        <w:pStyle w:val="Point1"/>
        <w:rPr>
          <w:noProof/>
        </w:rPr>
      </w:pPr>
      <w:r w:rsidRPr="0078393B">
        <w:rPr>
          <w:noProof/>
        </w:rPr>
        <w:t>(b)</w:t>
      </w:r>
      <w:r w:rsidRPr="0078393B">
        <w:rPr>
          <w:noProof/>
        </w:rPr>
        <w:tab/>
      </w:r>
      <w:r w:rsidR="004B472A" w:rsidRPr="004D3E58">
        <w:rPr>
          <w:noProof/>
        </w:rPr>
        <w:t>fastställa en lämplig tidsfrist inom vilken institutet eller, när det gäller koncerner, moderföretaget inom unionen ska lämna informationen till resolutionsmyndigheten, med hänsyn tagen till den begärda informationens omfattning och komplexitet,</w:t>
      </w:r>
    </w:p>
    <w:p w:rsidR="004B472A" w:rsidRPr="004D3E58" w:rsidRDefault="0078393B" w:rsidP="0078393B">
      <w:pPr>
        <w:pStyle w:val="Point1"/>
        <w:rPr>
          <w:noProof/>
        </w:rPr>
      </w:pPr>
      <w:r w:rsidRPr="0078393B">
        <w:rPr>
          <w:noProof/>
        </w:rPr>
        <w:t>(c)</w:t>
      </w:r>
      <w:r w:rsidRPr="0078393B">
        <w:rPr>
          <w:noProof/>
        </w:rPr>
        <w:tab/>
      </w:r>
      <w:r w:rsidR="004B472A" w:rsidRPr="004D3E58">
        <w:rPr>
          <w:noProof/>
        </w:rPr>
        <w:t>ange i vilket format institutet eller, när det gäller koncerner, moderföretaget inom unionen ska lämna informationen till resolutionsmyndigheten,</w:t>
      </w:r>
    </w:p>
    <w:p w:rsidR="004B472A" w:rsidRPr="004D3E58" w:rsidRDefault="0078393B" w:rsidP="0078393B">
      <w:pPr>
        <w:pStyle w:val="Point1"/>
        <w:rPr>
          <w:noProof/>
        </w:rPr>
      </w:pPr>
      <w:r w:rsidRPr="0078393B">
        <w:rPr>
          <w:noProof/>
        </w:rPr>
        <w:t>(d)</w:t>
      </w:r>
      <w:r w:rsidRPr="0078393B">
        <w:rPr>
          <w:noProof/>
        </w:rPr>
        <w:tab/>
      </w:r>
      <w:r w:rsidR="004B472A" w:rsidRPr="004D3E58">
        <w:rPr>
          <w:noProof/>
        </w:rPr>
        <w:t>ange om informationen ska tillhandahållas på individuell nivå, undergruppsnivå eller gruppnivå och om dess räckvidd är lokal, unionsomfattande eller global,</w:t>
      </w:r>
    </w:p>
    <w:p w:rsidR="004B472A" w:rsidRPr="004D3E58" w:rsidRDefault="0078393B" w:rsidP="0078393B">
      <w:pPr>
        <w:pStyle w:val="Point1"/>
        <w:rPr>
          <w:noProof/>
        </w:rPr>
      </w:pPr>
      <w:r w:rsidRPr="0078393B">
        <w:rPr>
          <w:noProof/>
        </w:rPr>
        <w:t>(e)</w:t>
      </w:r>
      <w:r w:rsidRPr="0078393B">
        <w:rPr>
          <w:noProof/>
        </w:rPr>
        <w:tab/>
      </w:r>
      <w:r w:rsidR="004B472A" w:rsidRPr="004D3E58">
        <w:rPr>
          <w:noProof/>
        </w:rPr>
        <w:t>ange exakt mottagare, format för datautbyte och den information som ska åtfölja inlämningen om ytterligare information ska lämnas.</w:t>
      </w:r>
    </w:p>
    <w:p w:rsidR="004B472A" w:rsidRPr="004D3E58" w:rsidRDefault="004B472A" w:rsidP="00184085">
      <w:pPr>
        <w:pStyle w:val="Titrearticle"/>
        <w:rPr>
          <w:noProof/>
        </w:rPr>
      </w:pPr>
      <w:r w:rsidRPr="004D3E58">
        <w:rPr>
          <w:noProof/>
        </w:rPr>
        <w:t>Artikel 9</w:t>
      </w:r>
    </w:p>
    <w:p w:rsidR="004B472A" w:rsidRPr="004D3E58" w:rsidRDefault="004B472A" w:rsidP="00184085">
      <w:pPr>
        <w:pStyle w:val="Titrearticle"/>
        <w:spacing w:before="0"/>
        <w:rPr>
          <w:b/>
          <w:bCs/>
          <w:i w:val="0"/>
          <w:iCs/>
          <w:noProof/>
        </w:rPr>
      </w:pPr>
      <w:r w:rsidRPr="004D3E58">
        <w:rPr>
          <w:b/>
          <w:i w:val="0"/>
          <w:noProof/>
        </w:rPr>
        <w:t>Samarbete mellan behöriga myndigheter och resolutionsmyndigheter</w:t>
      </w:r>
    </w:p>
    <w:p w:rsidR="004B472A" w:rsidRPr="004D3E58" w:rsidRDefault="0078393B" w:rsidP="0078393B">
      <w:pPr>
        <w:pStyle w:val="ManualNumPar1"/>
        <w:rPr>
          <w:noProof/>
        </w:rPr>
      </w:pPr>
      <w:r w:rsidRPr="0078393B">
        <w:rPr>
          <w:noProof/>
        </w:rPr>
        <w:t>1.</w:t>
      </w:r>
      <w:r w:rsidRPr="0078393B">
        <w:rPr>
          <w:noProof/>
        </w:rPr>
        <w:tab/>
      </w:r>
      <w:r w:rsidR="004B472A" w:rsidRPr="004D3E58">
        <w:rPr>
          <w:noProof/>
        </w:rPr>
        <w:t>Behöriga myndigheter och resolutionsmyndigheter ska gemensamt kontrollera huruvida den behöriga myndigheten redan har tillgång till delar av eller all den information som ska lämnas in till resolutionsmyndigheten enligt artiklarna 2–5 och artiklarna 7 och 8.</w:t>
      </w:r>
    </w:p>
    <w:p w:rsidR="004B472A" w:rsidRPr="004D3E58" w:rsidRDefault="0078393B" w:rsidP="0078393B">
      <w:pPr>
        <w:pStyle w:val="ManualNumPar1"/>
        <w:rPr>
          <w:noProof/>
        </w:rPr>
      </w:pPr>
      <w:r w:rsidRPr="0078393B">
        <w:rPr>
          <w:noProof/>
        </w:rPr>
        <w:t>2.</w:t>
      </w:r>
      <w:r w:rsidRPr="0078393B">
        <w:rPr>
          <w:noProof/>
        </w:rPr>
        <w:tab/>
      </w:r>
      <w:r w:rsidR="004B472A" w:rsidRPr="004D3E58">
        <w:rPr>
          <w:noProof/>
        </w:rPr>
        <w:t xml:space="preserve">Om delar av eller all den information som begärs redan finns hos den behöriga myndigheten ska denna myndighet i god tid lämna den till resolutionsmyndigheten. </w:t>
      </w:r>
    </w:p>
    <w:p w:rsidR="004B472A" w:rsidRPr="004D3E58" w:rsidRDefault="0078393B" w:rsidP="0078393B">
      <w:pPr>
        <w:pStyle w:val="ManualNumPar1"/>
        <w:rPr>
          <w:noProof/>
        </w:rPr>
      </w:pPr>
      <w:r w:rsidRPr="0078393B">
        <w:rPr>
          <w:noProof/>
        </w:rPr>
        <w:t>3.</w:t>
      </w:r>
      <w:r w:rsidRPr="0078393B">
        <w:rPr>
          <w:noProof/>
        </w:rPr>
        <w:tab/>
      </w:r>
      <w:r w:rsidR="00914032" w:rsidRPr="004D3E58">
        <w:rPr>
          <w:noProof/>
        </w:rPr>
        <w:t>Vid tillämpning av punkt 2 ska resolutionsmyndigheterna underrätta instituten, eller, när det gäller koncerner, moderföretagen inom unionen, om vilken information som ska lämnas in enligt denna förordning. Resolutionsmyndigheterna ska identifiera informationen med hänvisning till mallarna i bilaga I.</w:t>
      </w:r>
    </w:p>
    <w:p w:rsidR="004B472A" w:rsidRPr="004D3E58" w:rsidRDefault="004B472A" w:rsidP="00184085">
      <w:pPr>
        <w:pStyle w:val="Titrearticle"/>
        <w:rPr>
          <w:noProof/>
        </w:rPr>
      </w:pPr>
      <w:r w:rsidRPr="004D3E58">
        <w:rPr>
          <w:noProof/>
        </w:rPr>
        <w:t>Artikel 10</w:t>
      </w:r>
    </w:p>
    <w:p w:rsidR="004B472A" w:rsidRPr="004D3E58" w:rsidRDefault="004B472A" w:rsidP="00184085">
      <w:pPr>
        <w:pStyle w:val="Titrearticle"/>
        <w:spacing w:before="0"/>
        <w:rPr>
          <w:b/>
          <w:bCs/>
          <w:i w:val="0"/>
          <w:iCs/>
          <w:noProof/>
        </w:rPr>
      </w:pPr>
      <w:r w:rsidRPr="004D3E58">
        <w:rPr>
          <w:b/>
          <w:i w:val="0"/>
          <w:noProof/>
        </w:rPr>
        <w:t>Upphävande</w:t>
      </w:r>
    </w:p>
    <w:p w:rsidR="004B472A" w:rsidRPr="004D3E58" w:rsidRDefault="004B472A" w:rsidP="00184085">
      <w:pPr>
        <w:rPr>
          <w:noProof/>
        </w:rPr>
      </w:pPr>
      <w:r w:rsidRPr="004D3E58">
        <w:rPr>
          <w:noProof/>
        </w:rPr>
        <w:t>Genomförandeförordning (EU) 2018/1624 ska upphöra att gälla.</w:t>
      </w:r>
    </w:p>
    <w:p w:rsidR="004B472A" w:rsidRPr="004D3E58" w:rsidRDefault="004B472A" w:rsidP="00184085">
      <w:pPr>
        <w:rPr>
          <w:noProof/>
        </w:rPr>
      </w:pPr>
      <w:r w:rsidRPr="004D3E58">
        <w:rPr>
          <w:noProof/>
        </w:rPr>
        <w:t>Hänvisningar till den upphävda genomförandeförordningen ska anses som hänvisningar till den här förordningen.</w:t>
      </w:r>
    </w:p>
    <w:p w:rsidR="00860655" w:rsidRPr="004D3E58" w:rsidRDefault="00860655" w:rsidP="00184085">
      <w:pPr>
        <w:pStyle w:val="Titrearticle"/>
        <w:rPr>
          <w:noProof/>
        </w:rPr>
      </w:pPr>
      <w:r w:rsidRPr="004D3E58">
        <w:rPr>
          <w:noProof/>
        </w:rPr>
        <w:t>Artikel 11</w:t>
      </w:r>
    </w:p>
    <w:p w:rsidR="004B472A" w:rsidRPr="004D3E58" w:rsidRDefault="004B472A" w:rsidP="00184085">
      <w:pPr>
        <w:pStyle w:val="Titrearticle"/>
        <w:spacing w:before="0"/>
        <w:rPr>
          <w:b/>
          <w:bCs/>
          <w:i w:val="0"/>
          <w:iCs/>
          <w:noProof/>
        </w:rPr>
      </w:pPr>
      <w:r w:rsidRPr="004D3E58">
        <w:rPr>
          <w:b/>
          <w:i w:val="0"/>
          <w:noProof/>
        </w:rPr>
        <w:t>Ikraftträdande</w:t>
      </w:r>
    </w:p>
    <w:p w:rsidR="00860655" w:rsidRPr="004D3E58" w:rsidRDefault="00860655" w:rsidP="00184085">
      <w:pPr>
        <w:rPr>
          <w:noProof/>
        </w:rPr>
      </w:pPr>
      <w:r w:rsidRPr="004D3E58">
        <w:rPr>
          <w:noProof/>
        </w:rPr>
        <w:t xml:space="preserve">Denna förordning träder i kraft den tjugonde dagen efter det att den har offentliggjorts i </w:t>
      </w:r>
      <w:r w:rsidRPr="004D3E58">
        <w:rPr>
          <w:i/>
          <w:noProof/>
        </w:rPr>
        <w:t>Europeiska unionens officiella tidning</w:t>
      </w:r>
      <w:r w:rsidRPr="004D3E58">
        <w:rPr>
          <w:noProof/>
        </w:rPr>
        <w:t>.</w:t>
      </w:r>
    </w:p>
    <w:p w:rsidR="00860655" w:rsidRPr="004D3E58" w:rsidRDefault="00860655" w:rsidP="00184085">
      <w:pPr>
        <w:pStyle w:val="Applicationdirecte"/>
        <w:rPr>
          <w:noProof/>
        </w:rPr>
      </w:pPr>
      <w:r w:rsidRPr="004D3E58">
        <w:rPr>
          <w:noProof/>
        </w:rPr>
        <w:t>Denna förordning är till alla delar bindande och direkt tillämplig i alla medlemsstater.</w:t>
      </w:r>
    </w:p>
    <w:p w:rsidR="00860655" w:rsidRPr="004D3E58" w:rsidRDefault="009930CA" w:rsidP="00696F2E">
      <w:pPr>
        <w:pStyle w:val="Fait"/>
        <w:rPr>
          <w:noProof/>
        </w:rPr>
      </w:pPr>
      <w:r>
        <w:rPr>
          <w:noProof/>
        </w:rPr>
        <w:t>Utfärdad i Bryssel den 14.11.2025</w:t>
      </w:r>
    </w:p>
    <w:p w:rsidR="00860655" w:rsidRPr="004D3E58" w:rsidRDefault="00860655" w:rsidP="00696F2E">
      <w:pPr>
        <w:pStyle w:val="Institutionquisigne"/>
        <w:rPr>
          <w:noProof/>
        </w:rPr>
      </w:pPr>
      <w:r w:rsidRPr="004D3E58">
        <w:rPr>
          <w:noProof/>
        </w:rPr>
        <w:tab/>
        <w:t>På kommissionens vägnar</w:t>
      </w:r>
    </w:p>
    <w:p w:rsidR="00860655" w:rsidRPr="004D3E58" w:rsidRDefault="009B7F5F" w:rsidP="00184085">
      <w:pPr>
        <w:pStyle w:val="Personnequisigne"/>
        <w:rPr>
          <w:noProof/>
        </w:rPr>
      </w:pPr>
      <w:r>
        <w:rPr>
          <w:noProof/>
        </w:rPr>
        <w:tab/>
        <w:t>Ordförande</w:t>
      </w:r>
      <w:r>
        <w:rPr>
          <w:noProof/>
        </w:rPr>
        <w:br/>
      </w:r>
      <w:r>
        <w:rPr>
          <w:noProof/>
        </w:rPr>
        <w:tab/>
        <w:t>Ursula VON DER LEYEN</w:t>
      </w:r>
    </w:p>
    <w:sectPr w:rsidR="00860655" w:rsidRPr="004D3E58" w:rsidSect="00BA1EA2">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Pr="00BA1EA2" w:rsidRDefault="00BA1EA2" w:rsidP="00BA1EA2">
    <w:pPr>
      <w:pStyle w:val="Footer"/>
      <w:rPr>
        <w:rFonts w:ascii="Arial" w:hAnsi="Arial" w:cs="Arial"/>
        <w:b/>
        <w:sz w:val="48"/>
      </w:rPr>
    </w:pPr>
    <w:r w:rsidRPr="00BA1EA2">
      <w:rPr>
        <w:rFonts w:ascii="Arial" w:hAnsi="Arial" w:cs="Arial"/>
        <w:b/>
        <w:sz w:val="48"/>
      </w:rPr>
      <w:t>SV</w:t>
    </w:r>
    <w:r w:rsidRPr="00BA1EA2">
      <w:rPr>
        <w:rFonts w:ascii="Arial" w:hAnsi="Arial" w:cs="Arial"/>
        <w:b/>
        <w:sz w:val="48"/>
      </w:rPr>
      <w:tab/>
    </w:r>
    <w:r w:rsidRPr="00BA1EA2">
      <w:rPr>
        <w:rFonts w:ascii="Arial" w:hAnsi="Arial" w:cs="Arial"/>
        <w:b/>
        <w:sz w:val="48"/>
      </w:rPr>
      <w:tab/>
    </w:r>
    <w:r w:rsidRPr="00BA1EA2">
      <w:tab/>
    </w:r>
    <w:r w:rsidRPr="00BA1EA2">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Pr="00BA1EA2" w:rsidRDefault="00BA1EA2" w:rsidP="00BA1EA2">
    <w:pPr>
      <w:pStyle w:val="Footer"/>
      <w:rPr>
        <w:rFonts w:ascii="Arial" w:hAnsi="Arial" w:cs="Arial"/>
        <w:b/>
        <w:sz w:val="48"/>
      </w:rPr>
    </w:pPr>
    <w:r w:rsidRPr="00BA1EA2">
      <w:rPr>
        <w:rFonts w:ascii="Arial" w:hAnsi="Arial" w:cs="Arial"/>
        <w:b/>
        <w:sz w:val="48"/>
      </w:rPr>
      <w:t>SV</w:t>
    </w:r>
    <w:r w:rsidRPr="00BA1EA2">
      <w:rPr>
        <w:rFonts w:ascii="Arial" w:hAnsi="Arial" w:cs="Arial"/>
        <w:b/>
        <w:sz w:val="48"/>
      </w:rPr>
      <w:tab/>
    </w:r>
    <w:r w:rsidRPr="00BA1EA2">
      <w:rPr>
        <w:rFonts w:ascii="Arial" w:hAnsi="Arial" w:cs="Arial"/>
        <w:b/>
        <w:sz w:val="48"/>
      </w:rPr>
      <w:tab/>
    </w:r>
    <w:r w:rsidRPr="00BA1EA2">
      <w:tab/>
    </w:r>
    <w:r w:rsidRPr="00BA1EA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Default="00BA1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Pr="00BA1EA2" w:rsidRDefault="00BA1EA2" w:rsidP="00BA1EA2">
    <w:pPr>
      <w:pStyle w:val="Footer"/>
      <w:rPr>
        <w:rFonts w:ascii="Arial" w:hAnsi="Arial" w:cs="Arial"/>
        <w:b/>
        <w:sz w:val="48"/>
      </w:rPr>
    </w:pPr>
    <w:r w:rsidRPr="00BA1EA2">
      <w:rPr>
        <w:rFonts w:ascii="Arial" w:hAnsi="Arial" w:cs="Arial"/>
        <w:b/>
        <w:sz w:val="48"/>
      </w:rPr>
      <w:t>SV</w:t>
    </w:r>
    <w:r w:rsidRPr="00BA1EA2">
      <w:rPr>
        <w:rFonts w:ascii="Arial" w:hAnsi="Arial" w:cs="Arial"/>
        <w:b/>
        <w:sz w:val="48"/>
      </w:rPr>
      <w:tab/>
    </w:r>
    <w:r>
      <w:fldChar w:fldCharType="begin"/>
    </w:r>
    <w:r>
      <w:instrText xml:space="preserve"> PAGE  \* MERGEFORMAT </w:instrText>
    </w:r>
    <w:r>
      <w:fldChar w:fldCharType="separate"/>
    </w:r>
    <w:r w:rsidR="00696F2E">
      <w:rPr>
        <w:noProof/>
      </w:rPr>
      <w:t>10</w:t>
    </w:r>
    <w:r>
      <w:fldChar w:fldCharType="end"/>
    </w:r>
    <w:r>
      <w:tab/>
    </w:r>
    <w:r w:rsidRPr="00BA1EA2">
      <w:tab/>
    </w:r>
    <w:r w:rsidRPr="00BA1EA2">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Default="00BA1EA2" w:rsidP="00BA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4D3E58" w:rsidRDefault="00860655" w:rsidP="00730DBE">
      <w:pPr>
        <w:pStyle w:val="FootnoteText"/>
      </w:pPr>
      <w:r>
        <w:rPr>
          <w:rStyle w:val="FootnoteReference"/>
        </w:rPr>
        <w:footnoteRef/>
      </w:r>
      <w:r w:rsidRPr="004D3E58">
        <w:tab/>
        <w:t>EUT L 173, 12.6.2014, s. 190, ELI: http://data.europa.eu/eli/dir/2014/59/oj.</w:t>
      </w:r>
    </w:p>
  </w:footnote>
  <w:footnote w:id="3">
    <w:p w:rsidR="00736C47" w:rsidRPr="004D3E58" w:rsidRDefault="00736C47">
      <w:pPr>
        <w:pStyle w:val="FootnoteText"/>
      </w:pPr>
      <w:r>
        <w:rPr>
          <w:rStyle w:val="FootnoteReference"/>
        </w:rPr>
        <w:footnoteRef/>
      </w:r>
      <w:r w:rsidRPr="004D3E58">
        <w:tab/>
        <w:t>Kommissionens genomförandeförordning (EU) 2018/1624 av den 23 oktober 2018 om fastställande i enlighet med Europaparlamentets och rådets direktiv 2014/59/EU av tekniska genomförandestandarder när det gäller förfaranden, standardformulär och mallar för den information som ska lämnas för upprättandet av resolutionsplaner för kreditinstitut och värdepappersföretag, och om upphävande av kommissionens genomförandeförordning (EU) 2016/1066, EUT L 277, 7.11.2018, s. 1, ELI: http://data.europa.eu/eli/reg_impl/2018/1624/oj.</w:t>
      </w:r>
    </w:p>
  </w:footnote>
  <w:footnote w:id="4">
    <w:p w:rsidR="00736C47" w:rsidRPr="004D3E58" w:rsidRDefault="00736C47">
      <w:pPr>
        <w:pStyle w:val="FootnoteText"/>
      </w:pPr>
      <w:r>
        <w:rPr>
          <w:rStyle w:val="FootnoteReference"/>
        </w:rPr>
        <w:footnoteRef/>
      </w:r>
      <w:r w:rsidRPr="004D3E58">
        <w:tab/>
        <w:t>Europaparlamentets och rådets direktiv (EU) 2024/1174 av den 11 april 2024 om ändring av direktiv 2014/59/EU och förordning (EU) nr 806/2014 vad gäller vissa aspekter av minimikravet för kapitalbas och kvalificerade skulder, EUT L, 2024/1174, 22.4.2024, s.1, ELI: http://data.europa.eu/eli/dir/2024/1174/oj.</w:t>
      </w:r>
    </w:p>
  </w:footnote>
  <w:footnote w:id="5">
    <w:p w:rsidR="00736C47" w:rsidRPr="004D3E58" w:rsidRDefault="00736C47">
      <w:pPr>
        <w:pStyle w:val="FootnoteText"/>
      </w:pPr>
      <w:r>
        <w:rPr>
          <w:rStyle w:val="FootnoteReference"/>
        </w:rPr>
        <w:footnoteRef/>
      </w:r>
      <w:r w:rsidRPr="004D3E58">
        <w:tab/>
        <w:t>Europaparlamentets och rådets förordning (EU) nr 1093/2010 av den 24 november 2010 om inrättande av en europeisk tillsynsmyndighet (Europeiska bankmyndigheten), om ändring av beslut nr 716/2009/EG och om upphävande av kommissionens beslut 2009/78/EG, EUT L 331, 15.12.2010, s. 12, ELI: http://data.europa.eu/eli/reg/2010/1093/oj.</w:t>
      </w:r>
    </w:p>
  </w:footnote>
  <w:footnote w:id="6">
    <w:p w:rsidR="00736C47" w:rsidRPr="004D3E58" w:rsidRDefault="00736C47">
      <w:pPr>
        <w:pStyle w:val="FootnoteText"/>
      </w:pPr>
      <w:r>
        <w:rPr>
          <w:rStyle w:val="FootnoteReference"/>
        </w:rPr>
        <w:footnoteRef/>
      </w:r>
      <w:r w:rsidRPr="004D3E58">
        <w:tab/>
        <w:t>Europaparlamentets och rådets förordning (EU) nr 575/2013 av den 26 juni 2013 om tillsynskrav för kreditinstitut och om ändring av förordning (EU) nr 648/2012, EUT L 176, 27.6.2013, s. 1, ELI: http://data.europa.eu/eli/reg/2013/575/oj.</w:t>
      </w:r>
    </w:p>
  </w:footnote>
  <w:footnote w:id="7">
    <w:p w:rsidR="00736C47" w:rsidRPr="004D3E58" w:rsidRDefault="00736C47">
      <w:pPr>
        <w:pStyle w:val="FootnoteText"/>
      </w:pPr>
      <w:r>
        <w:rPr>
          <w:rStyle w:val="FootnoteReference"/>
        </w:rPr>
        <w:footnoteRef/>
      </w:r>
      <w:r w:rsidRPr="004D3E58">
        <w:tab/>
        <w:t>Europaparlamentets och rådets direktiv 2013/36/EU av den 26 juni 2013 om behörighet att utöva verksamhet i kreditinstitut och om tillsyn av kreditinstitut, om ändring av direktiv 2002/87/EG och om upphävande av direktiven 2006/48/EG och 2006/49/EG, EUT L 176, 27.6.2013, s. 338, ELI: http://data.europa.eu/eli/dir/2013/36/oj.</w:t>
      </w:r>
    </w:p>
  </w:footnote>
  <w:footnote w:id="8">
    <w:p w:rsidR="00736C47" w:rsidRPr="004D3E58" w:rsidRDefault="00736C47">
      <w:pPr>
        <w:pStyle w:val="FootnoteText"/>
      </w:pPr>
      <w:r>
        <w:rPr>
          <w:rStyle w:val="FootnoteReference"/>
        </w:rPr>
        <w:footnoteRef/>
      </w:r>
      <w:r w:rsidRPr="004D3E58">
        <w:tab/>
        <w:t>Europaparlamentets och rådets förordning (EU) 2019/2033 av den 27 november 2019 om tillsynskrav för värdepappersföretag och om ändring av förordningarna (EU) nr 1093/2010, (EU) nr 575/2013, (EU) nr 600/2014 och (EU) nr 806/2014, EUT L 314, 5.12.2019,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Default="00BA1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A2" w:rsidRDefault="00BA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BDCF822-02AA-41FA-AE80-5CF1C4071EFB"/>
    <w:docVar w:name="LW_COVERPAGE_TYPE" w:val="1"/>
    <w:docVar w:name="LW_CreatedUtc" w:val="2025-04-09T13:24:10.7425134Z"/>
    <w:docVar w:name="LW_CROSSREFERENCE" w:val="&lt;UNUSED&gt;"/>
    <w:docVar w:name="LW_DATE.ADOPT.CP" w:val="av den 14.11.2025"/>
    <w:docVar w:name="LW_DATE.ADOPT.CP_DATEFORMAT" w:val="av den %DATE%"/>
    <w:docVar w:name="LW_DATE.ADOPT.CP_ISODATE" w:val="2025-11-14"/>
    <w:docVar w:name="LW_DocType" w:val="COM"/>
    <w:docVar w:name="LW_EMISSION" w:val="14.11.2025"/>
    <w:docVar w:name="LW_EMISSION_ISODATE" w:val="2025-11-14"/>
    <w:docVar w:name="LW_EMISSION_LOCATION" w:val="BRX"/>
    <w:docVar w:name="LW_EMISSION_PREFIX" w:val="Bryssel den "/>
    <w:docVar w:name="LW_EMISSION_SUFFIX" w:val=" "/>
    <w:docVar w:name="LW_ID_DOCMODEL" w:val="SJ-004"/>
    <w:docVar w:name="LW_ID_DOCSIGNATURE" w:val="SJ-004"/>
    <w:docVar w:name="LW_ID_DOCSTRUCTURE" w:val="COM/AA"/>
    <w:docVar w:name="LW_ID_DOCTYPE" w:val="SJ-004"/>
    <w:docVar w:name="LW_INTERETEEE.CP" w:val="(Text av betydelse för EES)"/>
    <w:docVar w:name="LW_LANGUE" w:val="SV"/>
    <w:docVar w:name="LW_LANGUESFAISANTFOI.CP" w:val="&lt;UNUSED&gt;"/>
    <w:docVar w:name="LW_LEVEL_OF_SENSITIVITY" w:val="Standard treatment"/>
    <w:docVar w:name="LW_NOM.INST" w:val="EUROPEISKA KOMMISSIONEN"/>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fastställande i enlighet med Europaparlamentets och rådets direktiv 2014/59/EU av tekniska genomförandestandarder när det gäller förfaranden, standardformulär och mallar för den information som ska lämnas för upprättandet av resolutionsplaner för kreditinstitut och värdepappersföretag, och om upphävande av kommissionens genomförandeförordning (EU) 2018/1624"/>
    <w:docVar w:name="LW_TYPE.DOC.CP" w:val="KOMMISSIONENS GENOMFÖRANDEFÖRORDNING (EU) \u8230?/\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3B77"/>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54A2"/>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D7A4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46138"/>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85F19"/>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3B6D"/>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B6E41"/>
    <w:rsid w:val="004C01DE"/>
    <w:rsid w:val="004C2E0D"/>
    <w:rsid w:val="004C4FAD"/>
    <w:rsid w:val="004C5962"/>
    <w:rsid w:val="004D2212"/>
    <w:rsid w:val="004D2C96"/>
    <w:rsid w:val="004D30CD"/>
    <w:rsid w:val="004D3E58"/>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57E38"/>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6F2E"/>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93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47A3"/>
    <w:rsid w:val="007E7B55"/>
    <w:rsid w:val="007F3A84"/>
    <w:rsid w:val="007F3DE8"/>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0CA"/>
    <w:rsid w:val="00993E09"/>
    <w:rsid w:val="009957C5"/>
    <w:rsid w:val="00996AEF"/>
    <w:rsid w:val="009A301B"/>
    <w:rsid w:val="009A3072"/>
    <w:rsid w:val="009A4DBF"/>
    <w:rsid w:val="009A5579"/>
    <w:rsid w:val="009B3320"/>
    <w:rsid w:val="009B4623"/>
    <w:rsid w:val="009B5048"/>
    <w:rsid w:val="009B5878"/>
    <w:rsid w:val="009B6887"/>
    <w:rsid w:val="009B7970"/>
    <w:rsid w:val="009B7F5F"/>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357"/>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7F1F"/>
    <w:rsid w:val="00AE0728"/>
    <w:rsid w:val="00AE192E"/>
    <w:rsid w:val="00AE20DC"/>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1D9"/>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1EA2"/>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39A"/>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808F7"/>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sv-SE"/>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sv-SE"/>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BA1EA2"/>
    <w:rPr>
      <w:rFonts w:ascii="Times New Roman" w:hAnsi="Times New Roman" w:cs="Times New Roman"/>
      <w:sz w:val="24"/>
      <w:lang w:val="sv-SE"/>
    </w:rPr>
  </w:style>
  <w:style w:type="character" w:customStyle="1" w:styleId="FooterChar">
    <w:name w:val="Footer Char"/>
    <w:basedOn w:val="DefaultParagraphFont"/>
    <w:link w:val="Footer"/>
    <w:uiPriority w:val="99"/>
    <w:rsid w:val="00BA1EA2"/>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A1E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A1EA2"/>
    <w:pPr>
      <w:spacing w:before="0"/>
      <w:jc w:val="right"/>
    </w:pPr>
    <w:rPr>
      <w:sz w:val="28"/>
    </w:rPr>
  </w:style>
  <w:style w:type="paragraph" w:customStyle="1" w:styleId="FooterSensitivity">
    <w:name w:val="Footer Sensitivity"/>
    <w:basedOn w:val="Normal"/>
    <w:rsid w:val="00BA1E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A1EA2"/>
    <w:pPr>
      <w:tabs>
        <w:tab w:val="center" w:pos="4535"/>
        <w:tab w:val="right" w:pos="9071"/>
      </w:tabs>
      <w:spacing w:before="0"/>
    </w:pPr>
  </w:style>
  <w:style w:type="paragraph" w:customStyle="1" w:styleId="HeaderLandscape">
    <w:name w:val="HeaderLandscape"/>
    <w:basedOn w:val="Normal"/>
    <w:rsid w:val="00BA1EA2"/>
    <w:pPr>
      <w:tabs>
        <w:tab w:val="center" w:pos="7285"/>
        <w:tab w:val="right" w:pos="14003"/>
      </w:tabs>
      <w:spacing w:before="0"/>
    </w:pPr>
  </w:style>
  <w:style w:type="paragraph" w:styleId="Footer">
    <w:name w:val="footer"/>
    <w:basedOn w:val="Normal"/>
    <w:link w:val="FooterChar"/>
    <w:uiPriority w:val="99"/>
    <w:unhideWhenUsed/>
    <w:rsid w:val="00BA1EA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A1EA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10</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