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E63B0D" w:rsidRDefault="00FE12D4" w:rsidP="00FE12D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81DCB28-C393-4F46-B763-50B61E0AD19A" style="width:455.25pt;height:414pt">
            <v:imagedata r:id="rId10" o:title=""/>
          </v:shape>
        </w:pict>
      </w:r>
    </w:p>
    <w:p w:rsidR="00860655" w:rsidRPr="00E63B0D" w:rsidRDefault="00860655" w:rsidP="00184085">
      <w:pPr>
        <w:rPr>
          <w:noProof/>
        </w:rPr>
        <w:sectPr w:rsidR="00860655" w:rsidRPr="00E63B0D" w:rsidSect="00FE12D4">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E63B0D" w:rsidRDefault="00E63B0D" w:rsidP="00E63B0D">
      <w:pPr>
        <w:pStyle w:val="Typedudocument"/>
        <w:rPr>
          <w:noProof/>
        </w:rPr>
      </w:pPr>
      <w:bookmarkStart w:id="0" w:name="_GoBack"/>
      <w:bookmarkEnd w:id="0"/>
      <w:r w:rsidRPr="00E63B0D">
        <w:rPr>
          <w:noProof/>
        </w:rPr>
        <w:lastRenderedPageBreak/>
        <w:t>IZVEDBENA UREDBA KOMISIJE (EU) …/…</w:t>
      </w:r>
    </w:p>
    <w:p w:rsidR="00860655" w:rsidRPr="00E63B0D" w:rsidRDefault="008A4303" w:rsidP="00E63B0D">
      <w:pPr>
        <w:pStyle w:val="Datedadoption"/>
        <w:rPr>
          <w:noProof/>
        </w:rPr>
      </w:pPr>
      <w:r>
        <w:rPr>
          <w:noProof/>
        </w:rPr>
        <w:t>z dne 14.11.2025</w:t>
      </w:r>
    </w:p>
    <w:p w:rsidR="00860655" w:rsidRPr="00E63B0D" w:rsidRDefault="00E63B0D" w:rsidP="00E63B0D">
      <w:pPr>
        <w:pStyle w:val="Titreobjet"/>
        <w:rPr>
          <w:noProof/>
        </w:rPr>
      </w:pPr>
      <w:r w:rsidRPr="00E63B0D">
        <w:rPr>
          <w:noProof/>
        </w:rPr>
        <w:t>o določitvi izvedbenih tehničnih standardov v zvezi s postopki, standardnimi obrazci in predlogami za zagotavljanje informacij za potrebe načrtov reševanja za kreditne institucije in investicijska podjetja v skladu z Direktivo 2014/59/EU Evropskega parlamenta in Sveta ter o razveljavitvi Izvedbene uredbe Komisije (EU) 2018/1624</w:t>
      </w:r>
    </w:p>
    <w:p w:rsidR="00860655" w:rsidRPr="00E63B0D" w:rsidRDefault="00E63B0D" w:rsidP="00E63B0D">
      <w:pPr>
        <w:pStyle w:val="IntrtEEE"/>
        <w:rPr>
          <w:noProof/>
        </w:rPr>
      </w:pPr>
      <w:r w:rsidRPr="00E63B0D">
        <w:rPr>
          <w:noProof/>
        </w:rPr>
        <w:t>(Besedilo velja za EGP)</w:t>
      </w:r>
    </w:p>
    <w:p w:rsidR="00860655" w:rsidRPr="00E63B0D" w:rsidRDefault="00860655" w:rsidP="00184085">
      <w:pPr>
        <w:pStyle w:val="Institutionquiagit"/>
        <w:rPr>
          <w:noProof/>
        </w:rPr>
      </w:pPr>
      <w:r w:rsidRPr="00E63B0D">
        <w:rPr>
          <w:noProof/>
        </w:rPr>
        <w:t>EVROPSKA KOMISIJA JE –</w:t>
      </w:r>
    </w:p>
    <w:p w:rsidR="00860655" w:rsidRPr="00E63B0D" w:rsidRDefault="00860655" w:rsidP="00184085">
      <w:pPr>
        <w:rPr>
          <w:noProof/>
        </w:rPr>
      </w:pPr>
      <w:r w:rsidRPr="00E63B0D">
        <w:rPr>
          <w:noProof/>
          <w:color w:val="000000"/>
        </w:rPr>
        <w:t>ob upoštevanju Pogodbe o delovanju Evropske unije</w:t>
      </w:r>
      <w:r w:rsidRPr="00E63B0D">
        <w:rPr>
          <w:noProof/>
        </w:rPr>
        <w:t>,</w:t>
      </w:r>
    </w:p>
    <w:p w:rsidR="00860655" w:rsidRPr="00E63B0D" w:rsidRDefault="00860655" w:rsidP="00184085">
      <w:pPr>
        <w:rPr>
          <w:noProof/>
        </w:rPr>
      </w:pPr>
      <w:r w:rsidRPr="00E63B0D">
        <w:rPr>
          <w:noProof/>
        </w:rPr>
        <w:t>ob upoštevanju Direktive 2014/59/EU Evropskega parlamenta in Sveta z dne 15. maja 2014 o vzpostavitvi okvira za sanacijo ter reševanje kreditnih institucij in investicijskih podjetij ter o spremembi Šeste direktive Sveta 82/891/EGS ter direktiv 2001/24/ES, 2002/47/ES, 2004/25/ES, 2005/56/ES, 2007/36/ES, 2011/35/EU, 2012/30/EU in 2013/36/EU in uredb (EU) št. 1093/2010 ter (EU) št. 648/2012 Evropskega parlamenta in Sveta</w:t>
      </w:r>
      <w:r w:rsidRPr="00E63B0D">
        <w:rPr>
          <w:rStyle w:val="FootnoteReference"/>
          <w:noProof/>
        </w:rPr>
        <w:footnoteReference w:id="2"/>
      </w:r>
      <w:r w:rsidRPr="00E63B0D">
        <w:rPr>
          <w:noProof/>
        </w:rPr>
        <w:t xml:space="preserve"> in zlasti člena 11(3) Direktive;</w:t>
      </w:r>
    </w:p>
    <w:p w:rsidR="00860655" w:rsidRPr="00E63B0D" w:rsidRDefault="00860655" w:rsidP="00184085">
      <w:pPr>
        <w:rPr>
          <w:noProof/>
        </w:rPr>
      </w:pPr>
      <w:r w:rsidRPr="00E63B0D">
        <w:rPr>
          <w:noProof/>
        </w:rPr>
        <w:t>ob upoštevanju naslednjega:</w:t>
      </w:r>
    </w:p>
    <w:p w:rsidR="00860655" w:rsidRPr="00E63B0D" w:rsidRDefault="005C6D92" w:rsidP="005C6D92">
      <w:pPr>
        <w:pStyle w:val="ManualConsidrant"/>
        <w:rPr>
          <w:noProof/>
        </w:rPr>
      </w:pPr>
      <w:r w:rsidRPr="005C6D92">
        <w:rPr>
          <w:noProof/>
        </w:rPr>
        <w:t>(1)</w:t>
      </w:r>
      <w:r w:rsidRPr="005C6D92">
        <w:rPr>
          <w:noProof/>
        </w:rPr>
        <w:tab/>
      </w:r>
      <w:r w:rsidR="00860655" w:rsidRPr="00E63B0D">
        <w:rPr>
          <w:noProof/>
        </w:rPr>
        <w:t>Izvedbena uredba Komisije (EU) 2018/1624</w:t>
      </w:r>
      <w:r w:rsidR="00860655" w:rsidRPr="00E63B0D">
        <w:rPr>
          <w:rStyle w:val="FootnoteReference"/>
          <w:noProof/>
        </w:rPr>
        <w:footnoteReference w:id="3"/>
      </w:r>
      <w:r w:rsidR="00860655" w:rsidRPr="00E63B0D">
        <w:rPr>
          <w:noProof/>
        </w:rPr>
        <w:t xml:space="preserve"> določa postopek in minimalni sklop predlog, s katerimi kreditne institucije ali investicijska podjetja organom za reševanje zagotavljajo informacije za potrebe priprave in izvajanja načrtov reševanja za institucije. Organi za reševanje so od sprejetja navedene uredbe pridobili izkušnje na področju načrtovanja reševanja, Direktiva 2014/59/EU pa je bila spremenjena. Glede na navedene izkušnje in da bi se upoštevale nove določbe navedene direktive, je treba posodobiti minimalni sklop predlog za zbiranje informacij za potrebe načrtovanja reševanja.</w:t>
      </w:r>
    </w:p>
    <w:p w:rsidR="003B410C" w:rsidRPr="00E63B0D" w:rsidRDefault="005C6D92" w:rsidP="005C6D92">
      <w:pPr>
        <w:pStyle w:val="ManualConsidrant"/>
        <w:rPr>
          <w:noProof/>
        </w:rPr>
      </w:pPr>
      <w:r w:rsidRPr="005C6D92">
        <w:rPr>
          <w:noProof/>
        </w:rPr>
        <w:t>(2)</w:t>
      </w:r>
      <w:r w:rsidRPr="005C6D92">
        <w:rPr>
          <w:noProof/>
        </w:rPr>
        <w:tab/>
      </w:r>
      <w:r w:rsidR="003B410C" w:rsidRPr="00E63B0D">
        <w:rPr>
          <w:noProof/>
        </w:rPr>
        <w:t>Poleg tega sta v Izvedbeni uredbi (EU) 2018/1624 določena postopek in minimalni sklop predlog, s katerimi institucije zagotavljajo informacije organom za reševanje, tako da je organom za reševanje omogočeno dosledno zbiranje teh informacij po vsej Uniji ter olajšana izmenjava informacij med zadevnimi organi. Vendar izkušnje kažejo, da je bil usklajen pristop k zbiranju teh informacij le delno dosežen. Zato je potreben pregled navedene izvedbene uredbe, da se poveča usklajenost obveznosti poročanja po vsej Uniji na podlagi revidiranega sklopa predlog, ki bolje in dosledno zajemajo potrebe organov za reševanje. To organom za reševanje ne bi smelo preprečiti zbiranja kakršnih koli dodatnih informacij, za katere menijo, da so potrebne za pripravo in izvajanje načrtov reševanja, ali določitve poenostavljenih obveznosti glede informacij v skladu s členom 4 Direktive 2014/59/EU.</w:t>
      </w:r>
    </w:p>
    <w:p w:rsidR="003B410C" w:rsidRPr="00E63B0D" w:rsidRDefault="005C6D92" w:rsidP="005C6D92">
      <w:pPr>
        <w:pStyle w:val="ManualConsidrant"/>
        <w:rPr>
          <w:noProof/>
        </w:rPr>
      </w:pPr>
      <w:r w:rsidRPr="005C6D92">
        <w:rPr>
          <w:noProof/>
        </w:rPr>
        <w:t>(3)</w:t>
      </w:r>
      <w:r w:rsidRPr="005C6D92">
        <w:rPr>
          <w:noProof/>
        </w:rPr>
        <w:tab/>
      </w:r>
      <w:r w:rsidR="003B410C" w:rsidRPr="00E63B0D">
        <w:rPr>
          <w:noProof/>
        </w:rPr>
        <w:t>Za zagotovitev, da načrti reševanja skupine učinkovito pokrivajo zadevno skupino, obveznosti poročanja, naložene nadrejenim družbam v Uniji, ne bi smele biti omejene le na subjekte v postopku reševanja, temveč bi morale zadevati tudi druge pomembne pravne subjekte. Vendar bi morala biti ta pomembnost ustrezno razmejena, da se izključi poročanje za subjekte, ki niso pomembni za skupino ali niso sistemsko pomembni. V ta namen bi bilo treba določiti pragove za določitev pravnih subjektov skupine, za katere bi bilo treba uvesti zahteve glede poročanja za namene reševanja. Poleg tega je bila z Direktivo (EU) 2024/1174 Evropskega parlamenta in Sveta</w:t>
      </w:r>
      <w:r w:rsidR="003B410C" w:rsidRPr="00E63B0D">
        <w:rPr>
          <w:rStyle w:val="FootnoteReference"/>
          <w:noProof/>
        </w:rPr>
        <w:footnoteReference w:id="4"/>
      </w:r>
      <w:r w:rsidR="003B410C" w:rsidRPr="00E63B0D">
        <w:rPr>
          <w:noProof/>
        </w:rPr>
        <w:t xml:space="preserve"> spremenjena Direktiva 2014/59/EU, med drugim z uvedbo opredelitve pojma „subjekt za likvidacijo“. Da bi se upoštevala ta nova opredelitev, je treba razlikovati med zahtevami glede poročanja za namene reševanja za subjekte za likvidacijo, subjekte v postopku reševanja in subjekte, ki spadajo v skupine v postopku reševanja. Zlasti je treba obveznosti poročanja določiti ob upoštevanju, ali so zadevni subjekti samostojni subjekti ali pripadajo skupinam in ali so bili taki subjekti ali skupine določeni za subjekte za likvidacijo ali pa vključujejo subjekte, ki so bili določeni za subjekte za likvidacijo. Te obveznosti poročanja bi bilo treba določiti na posamični, subkonsolidirani ali konsolidirani ravni na način, ki zagotavlja sorazmernost, ne ogroža učinkovitega načrtovanja reševanja, subjekte razbremenjuje pridobivanja vzporednih zbirk podatkov s strani različnih organov in odpravlja prekrivanje podatkovnih točk s tistimi v okvirih za nadzorno poročanje. To bi bilo treba doseči s pristopom, ki spreminja število predlog glede na vrsto zadevnega poročajočega subjekta. Posebno pozornost bi bilo treba nameniti tudi skupinam v postopku reševanja, sestavljenim iz kreditnih institucij, ki so stalno povezane s centralnim organom, in samemu centralnemu organu za zagotovitev, da poročanje za namene reševanja zajema vse kreditne institucije, ki so trajno povezane s centralnim organom te skupine v postopku reševanja, sam centralni organ in njihove podrejene družbe na posamični, subkonsolidirani in konsolidirani ravni.</w:t>
      </w:r>
    </w:p>
    <w:p w:rsidR="003B410C" w:rsidRPr="00E63B0D" w:rsidRDefault="005C6D92" w:rsidP="005C6D92">
      <w:pPr>
        <w:pStyle w:val="ManualConsidrant"/>
        <w:rPr>
          <w:noProof/>
        </w:rPr>
      </w:pPr>
      <w:r w:rsidRPr="005C6D92">
        <w:rPr>
          <w:noProof/>
        </w:rPr>
        <w:t>(4)</w:t>
      </w:r>
      <w:r w:rsidRPr="005C6D92">
        <w:rPr>
          <w:noProof/>
        </w:rPr>
        <w:tab/>
      </w:r>
      <w:r w:rsidR="003B410C" w:rsidRPr="00E63B0D">
        <w:rPr>
          <w:noProof/>
        </w:rPr>
        <w:t>Da bi zagotovili učinkovito načrtovanje reševanja in hkrati ohranili sorazmernost, se bo področje uporabe zahtev glede poročanja za namene reševanja morda moralo razlikovati od področja uporabe zahtev glede bonitetnega poročanja, kadar bo to potrebno za zagotovitev, da imajo organi za reševanje ustrezne in verodostojne podatke za opravljanje svojih nalog. V zvezi s tem je treba zagotoviti, da poročanja za namene reševanja ne ovirajo opustitve bonitetnega poročanja ali skupine v postopku reševanja, za katere ne veljajo zahteve glede bonitetne konsolidacije.</w:t>
      </w:r>
    </w:p>
    <w:p w:rsidR="003B410C" w:rsidRPr="00E63B0D" w:rsidRDefault="005C6D92" w:rsidP="005C6D92">
      <w:pPr>
        <w:pStyle w:val="ManualConsidrant"/>
        <w:rPr>
          <w:noProof/>
        </w:rPr>
      </w:pPr>
      <w:r w:rsidRPr="005C6D92">
        <w:rPr>
          <w:noProof/>
        </w:rPr>
        <w:t>(5)</w:t>
      </w:r>
      <w:r w:rsidRPr="005C6D92">
        <w:rPr>
          <w:noProof/>
        </w:rPr>
        <w:tab/>
      </w:r>
      <w:r w:rsidR="00012E4C" w:rsidRPr="00E63B0D">
        <w:rPr>
          <w:noProof/>
        </w:rPr>
        <w:t>Za zagotovitev, da načrti reševanja temeljijo na minimalnem naboru podatkov, ki so dosledno visoke kakovosti in natančni, bi bilo treba sprejeti enoten model podatkovnih točk, kot je praksa pri nadzorniškem poročanju. Enotni model podatkovnih točk bi moral biti sestavljen iz strukturne predstavitve podatkov ter bi moral opredeliti vse relevantne poslovne koncepte za namen enotnega poročanja za načrtovanje reševanja, poleg tega pa bi moral vsebovati vse zadevne specifikacije, ki so potrebne za nadaljnji razvoj enotnih informacijskih rešitev za poročanje.</w:t>
      </w:r>
    </w:p>
    <w:p w:rsidR="003B410C" w:rsidRPr="00E63B0D" w:rsidRDefault="005C6D92" w:rsidP="005C6D92">
      <w:pPr>
        <w:pStyle w:val="ManualConsidrant"/>
        <w:rPr>
          <w:noProof/>
        </w:rPr>
      </w:pPr>
      <w:r w:rsidRPr="005C6D92">
        <w:rPr>
          <w:noProof/>
        </w:rPr>
        <w:t>(6)</w:t>
      </w:r>
      <w:r w:rsidRPr="005C6D92">
        <w:rPr>
          <w:noProof/>
        </w:rPr>
        <w:tab/>
      </w:r>
      <w:r w:rsidR="00980E18" w:rsidRPr="00E63B0D">
        <w:rPr>
          <w:noProof/>
        </w:rPr>
        <w:t>Da se zaščitita kakovost, doslednost in točnost podatkov, ki jih poročajo institucije, bi morala za podatke veljati skupna validacijska pravila.</w:t>
      </w:r>
    </w:p>
    <w:p w:rsidR="003B410C" w:rsidRPr="00E63B0D" w:rsidRDefault="005C6D92" w:rsidP="005C6D92">
      <w:pPr>
        <w:pStyle w:val="ManualConsidrant"/>
        <w:rPr>
          <w:noProof/>
        </w:rPr>
      </w:pPr>
      <w:r w:rsidRPr="005C6D92">
        <w:rPr>
          <w:noProof/>
        </w:rPr>
        <w:t>(7)</w:t>
      </w:r>
      <w:r w:rsidRPr="005C6D92">
        <w:rPr>
          <w:noProof/>
        </w:rPr>
        <w:tab/>
      </w:r>
      <w:r w:rsidR="003B410C" w:rsidRPr="00E63B0D">
        <w:rPr>
          <w:noProof/>
        </w:rPr>
        <w:t>Zaradi njihove narave se validacijska pravila in opredelitve podatkovnih točk redno posodabljajo za zagotovitev, da so ves čas skladne z veljavnimi regulatornimi in analitičnimi zahtevami ter zahtevami informacijske tehnologije. Vendar čas, ki je trenutno potreben za sprejetje in objavo natančnega enotnega modela podatkovnih točk in validacijskih pravil pomeni, da sprememb ni mogoče izvesti dovolj hitro in pravočasno, da bi se zagotovilo stalno zagotavljanje enotnih informacij v zvezi z načrti reševanja v Uniji. Zato bi bilo treba za podrobni enotni model podatkovnih točk in podrobna skupna validacijska pravila določiti stroga kvalitativna merila, ki jih bo Evropski bančni organ (EBA) objavil elektronsko na svojem spletnem mestu. Navedeno ne izključuje možnosti, da lahko EBA na svojem spletnem mestu tudi objavi tehnična navodila za izpolnjevanje obrazcev in predlog, določenih v tej uredbi.</w:t>
      </w:r>
    </w:p>
    <w:p w:rsidR="003B410C" w:rsidRPr="00E63B0D" w:rsidRDefault="005C6D92" w:rsidP="005C6D92">
      <w:pPr>
        <w:pStyle w:val="ManualConsidrant"/>
        <w:rPr>
          <w:noProof/>
        </w:rPr>
      </w:pPr>
      <w:r w:rsidRPr="005C6D92">
        <w:rPr>
          <w:noProof/>
        </w:rPr>
        <w:t>(8)</w:t>
      </w:r>
      <w:r w:rsidRPr="005C6D92">
        <w:rPr>
          <w:noProof/>
        </w:rPr>
        <w:tab/>
      </w:r>
      <w:r w:rsidR="003B410C" w:rsidRPr="00E63B0D">
        <w:rPr>
          <w:noProof/>
        </w:rPr>
        <w:t>V skladu s členom 11(2) Direktive 2014/59/EU morajo pristojni organi in organi za reševanje sodelovati, da se v čim večji meri zmanjša podvajanje zahtev glede informacij. V ta namen se je z Izvedbeno uredbo (EU) 2018/1624 uvedel postopek sodelovanja med pristojnimi organi in organi za reševanje, ki bi ga bilo treba ohraniti, da lahko pristojni organi in organi za reševanje skupaj preverjajo, ali so nekatere ali vse zahtevane informacije že na voljo pristojnemu organu. Kadar so informacije na voljo pristojnemu organu, je ustrezno, da jih posreduje neposredno organu za reševanje.</w:t>
      </w:r>
    </w:p>
    <w:p w:rsidR="003B410C" w:rsidRPr="00E63B0D" w:rsidRDefault="005C6D92" w:rsidP="005C6D92">
      <w:pPr>
        <w:pStyle w:val="ManualConsidrant"/>
        <w:rPr>
          <w:noProof/>
        </w:rPr>
      </w:pPr>
      <w:r w:rsidRPr="005C6D92">
        <w:rPr>
          <w:noProof/>
        </w:rPr>
        <w:t>(9)</w:t>
      </w:r>
      <w:r w:rsidRPr="005C6D92">
        <w:rPr>
          <w:noProof/>
        </w:rPr>
        <w:tab/>
      </w:r>
      <w:r w:rsidR="003B410C" w:rsidRPr="00E63B0D">
        <w:rPr>
          <w:noProof/>
        </w:rPr>
        <w:t>Glede na obseg sprememb Izvedbene uredbe (EU) 2018/1624 je zaradi pravne varnosti in jasnosti primerneje, da se sprejme nova izvedbena uredba, Izvedbena uredba (EU) 2018/1624 pa se razveljavi in nadomesti.</w:t>
      </w:r>
    </w:p>
    <w:p w:rsidR="003B410C" w:rsidRPr="00E63B0D" w:rsidRDefault="005C6D92" w:rsidP="005C6D92">
      <w:pPr>
        <w:pStyle w:val="ManualConsidrant"/>
        <w:rPr>
          <w:noProof/>
        </w:rPr>
      </w:pPr>
      <w:r w:rsidRPr="005C6D92">
        <w:rPr>
          <w:noProof/>
        </w:rPr>
        <w:t>(10)</w:t>
      </w:r>
      <w:r w:rsidRPr="005C6D92">
        <w:rPr>
          <w:noProof/>
        </w:rPr>
        <w:tab/>
      </w:r>
      <w:r w:rsidR="003B410C" w:rsidRPr="00E63B0D">
        <w:rPr>
          <w:noProof/>
        </w:rPr>
        <w:t>Ta uredba temelji na izvedbenih tehničnih standardih, ki jih je EBA predložil Komisiji.</w:t>
      </w:r>
    </w:p>
    <w:p w:rsidR="00860655" w:rsidRPr="00E63B0D" w:rsidRDefault="005C6D92" w:rsidP="005C6D92">
      <w:pPr>
        <w:pStyle w:val="ManualConsidrant"/>
        <w:rPr>
          <w:noProof/>
        </w:rPr>
      </w:pPr>
      <w:r w:rsidRPr="005C6D92">
        <w:rPr>
          <w:noProof/>
        </w:rPr>
        <w:t>(11)</w:t>
      </w:r>
      <w:r w:rsidRPr="005C6D92">
        <w:rPr>
          <w:noProof/>
        </w:rPr>
        <w:tab/>
      </w:r>
      <w:r w:rsidR="003B410C" w:rsidRPr="00E63B0D">
        <w:rPr>
          <w:noProof/>
        </w:rPr>
        <w:t>EBA je opravil odprta javna posvetovanja o izvedbenih tehničnih standardih, na katerem temelji ta uredba, analiziral potencialne povezane stroške in koristi ter prosil za nasvet interesno skupino za bančništvo, ustanovljeno v skladu s členom 37 Uredbe (EU) št. 1093/2010 Evropskega parlamenta in Sveta</w:t>
      </w:r>
      <w:r w:rsidR="003B410C" w:rsidRPr="00E63B0D">
        <w:rPr>
          <w:rStyle w:val="FootnoteReference"/>
          <w:noProof/>
        </w:rPr>
        <w:footnoteReference w:id="5"/>
      </w:r>
      <w:r w:rsidR="003B410C" w:rsidRPr="00E63B0D">
        <w:rPr>
          <w:noProof/>
        </w:rPr>
        <w:t> –</w:t>
      </w:r>
    </w:p>
    <w:p w:rsidR="00860655" w:rsidRPr="00E63B0D" w:rsidRDefault="00860655" w:rsidP="00184085">
      <w:pPr>
        <w:pStyle w:val="Formuledadoption"/>
        <w:rPr>
          <w:noProof/>
        </w:rPr>
      </w:pPr>
      <w:r w:rsidRPr="00E63B0D">
        <w:rPr>
          <w:noProof/>
        </w:rPr>
        <w:t>SPREJELA NASLEDNJO UREDBO:</w:t>
      </w:r>
    </w:p>
    <w:p w:rsidR="00860655" w:rsidRPr="00E63B0D" w:rsidRDefault="00860655" w:rsidP="00184085">
      <w:pPr>
        <w:pStyle w:val="Titrearticle"/>
        <w:rPr>
          <w:noProof/>
        </w:rPr>
      </w:pPr>
      <w:r w:rsidRPr="00E63B0D">
        <w:rPr>
          <w:noProof/>
        </w:rPr>
        <w:t>Člen 1</w:t>
      </w:r>
    </w:p>
    <w:p w:rsidR="00860655" w:rsidRPr="00E63B0D" w:rsidRDefault="003B410C" w:rsidP="00184085">
      <w:pPr>
        <w:pStyle w:val="Titrearticle"/>
        <w:rPr>
          <w:noProof/>
        </w:rPr>
      </w:pPr>
      <w:r w:rsidRPr="00E63B0D">
        <w:rPr>
          <w:b/>
          <w:i w:val="0"/>
          <w:noProof/>
        </w:rPr>
        <w:t>Opredelitev pojma</w:t>
      </w:r>
    </w:p>
    <w:p w:rsidR="003B410C" w:rsidRPr="00E63B0D" w:rsidRDefault="003B410C" w:rsidP="00184085">
      <w:pPr>
        <w:rPr>
          <w:noProof/>
        </w:rPr>
      </w:pPr>
      <w:r w:rsidRPr="00E63B0D">
        <w:rPr>
          <w:noProof/>
        </w:rPr>
        <w:t>V tej uredbi „pomemben pravni subjekt“ pomeni subjekt v skupini, kot je opredeljen v členu 2(1), točka 31, Direktive 2014/59/EU, razen subjekta v postopku reševanja, ki ima sedež v Uniji in izpolnjuje katerega koli od naslednjih pogojev:</w:t>
      </w:r>
    </w:p>
    <w:p w:rsidR="003B410C" w:rsidRPr="00E63B0D" w:rsidRDefault="005C6D92" w:rsidP="005C6D92">
      <w:pPr>
        <w:pStyle w:val="Point0"/>
        <w:rPr>
          <w:noProof/>
        </w:rPr>
      </w:pPr>
      <w:r w:rsidRPr="005C6D92">
        <w:rPr>
          <w:noProof/>
        </w:rPr>
        <w:t>(a)</w:t>
      </w:r>
      <w:r w:rsidRPr="005C6D92">
        <w:rPr>
          <w:noProof/>
        </w:rPr>
        <w:tab/>
      </w:r>
      <w:r w:rsidR="003B410C" w:rsidRPr="00E63B0D">
        <w:rPr>
          <w:noProof/>
        </w:rPr>
        <w:t>zagotavlja kritične funkcije;</w:t>
      </w:r>
    </w:p>
    <w:p w:rsidR="003B410C" w:rsidRPr="00E63B0D" w:rsidRDefault="005C6D92" w:rsidP="005C6D92">
      <w:pPr>
        <w:pStyle w:val="Point0"/>
        <w:rPr>
          <w:noProof/>
        </w:rPr>
      </w:pPr>
      <w:r w:rsidRPr="005C6D92">
        <w:rPr>
          <w:noProof/>
        </w:rPr>
        <w:t>(b)</w:t>
      </w:r>
      <w:r w:rsidRPr="005C6D92">
        <w:rPr>
          <w:noProof/>
        </w:rPr>
        <w:tab/>
      </w:r>
      <w:r w:rsidR="003B410C" w:rsidRPr="00E63B0D">
        <w:rPr>
          <w:noProof/>
        </w:rPr>
        <w:t>njegov posamični znesek skupne izpostavljenosti tveganju, izračunan v skladu s členom 92(3) Uredbe (EU) št. 575/2013 Evropskega parlamenta in Sveta</w:t>
      </w:r>
      <w:r w:rsidR="003B410C" w:rsidRPr="00E63B0D">
        <w:rPr>
          <w:rStyle w:val="FootnoteReference"/>
          <w:noProof/>
        </w:rPr>
        <w:footnoteReference w:id="6"/>
      </w:r>
      <w:r w:rsidR="003B410C" w:rsidRPr="00E63B0D">
        <w:rPr>
          <w:noProof/>
        </w:rPr>
        <w:t>, je enak ali večji od 2 % konsolidiranega zneska skupne izpostavljenosti tveganju nadrejene družbe v Uniji;</w:t>
      </w:r>
    </w:p>
    <w:p w:rsidR="003B410C" w:rsidRPr="00E63B0D" w:rsidRDefault="005C6D92" w:rsidP="005C6D92">
      <w:pPr>
        <w:pStyle w:val="Point0"/>
        <w:rPr>
          <w:noProof/>
        </w:rPr>
      </w:pPr>
      <w:r w:rsidRPr="005C6D92">
        <w:rPr>
          <w:noProof/>
        </w:rPr>
        <w:t>(c)</w:t>
      </w:r>
      <w:r w:rsidRPr="005C6D92">
        <w:rPr>
          <w:noProof/>
        </w:rPr>
        <w:tab/>
      </w:r>
      <w:r w:rsidR="003B410C" w:rsidRPr="00E63B0D">
        <w:rPr>
          <w:noProof/>
        </w:rPr>
        <w:t>njegova posamična mera skupne izpostavljenosti iz člena 429(4) Uredbe (EU) št. 575/2013 je enaka ali presega 2 % konsolidirane mere skupne izpostavljenosti nadrejene družbe v Uniji;</w:t>
      </w:r>
    </w:p>
    <w:p w:rsidR="003B410C" w:rsidRPr="00E63B0D" w:rsidRDefault="005C6D92" w:rsidP="005C6D92">
      <w:pPr>
        <w:pStyle w:val="Point0"/>
        <w:rPr>
          <w:noProof/>
        </w:rPr>
      </w:pPr>
      <w:r w:rsidRPr="005C6D92">
        <w:rPr>
          <w:noProof/>
        </w:rPr>
        <w:t>(d)</w:t>
      </w:r>
      <w:r w:rsidRPr="005C6D92">
        <w:rPr>
          <w:noProof/>
        </w:rPr>
        <w:tab/>
      </w:r>
      <w:r w:rsidR="003B410C" w:rsidRPr="00E63B0D">
        <w:rPr>
          <w:noProof/>
        </w:rPr>
        <w:t>njegovi posamični poslovni prihodki so enaki ali večji od 2 % konsolidiranih skupnih poslovnih prihodkov skupine, izračunanih na ravni nadrejene družbe v Uniji;</w:t>
      </w:r>
    </w:p>
    <w:p w:rsidR="003B410C" w:rsidRPr="00E63B0D" w:rsidRDefault="005C6D92" w:rsidP="005C6D92">
      <w:pPr>
        <w:pStyle w:val="Point0"/>
        <w:rPr>
          <w:noProof/>
        </w:rPr>
      </w:pPr>
      <w:r w:rsidRPr="005C6D92">
        <w:rPr>
          <w:noProof/>
        </w:rPr>
        <w:t>(e)</w:t>
      </w:r>
      <w:r w:rsidRPr="005C6D92">
        <w:rPr>
          <w:noProof/>
        </w:rPr>
        <w:tab/>
      </w:r>
      <w:r w:rsidR="003B410C" w:rsidRPr="00E63B0D">
        <w:rPr>
          <w:noProof/>
        </w:rPr>
        <w:t>njegova posamična bilančna vsota presega 5 milijard EUR;</w:t>
      </w:r>
    </w:p>
    <w:p w:rsidR="008F1E98" w:rsidRPr="00E63B0D" w:rsidRDefault="005C6D92" w:rsidP="005C6D92">
      <w:pPr>
        <w:pStyle w:val="Point0"/>
        <w:rPr>
          <w:noProof/>
        </w:rPr>
      </w:pPr>
      <w:r w:rsidRPr="005C6D92">
        <w:rPr>
          <w:noProof/>
        </w:rPr>
        <w:t>(f)</w:t>
      </w:r>
      <w:r w:rsidRPr="005C6D92">
        <w:rPr>
          <w:noProof/>
        </w:rPr>
        <w:tab/>
      </w:r>
      <w:r w:rsidR="003B410C" w:rsidRPr="00E63B0D">
        <w:rPr>
          <w:noProof/>
        </w:rPr>
        <w:t>v vsaj eni državi članici je pomemben za finančno stabilnost.</w:t>
      </w:r>
    </w:p>
    <w:p w:rsidR="00A803C4" w:rsidRPr="00E63B0D" w:rsidRDefault="008F1E98" w:rsidP="00184085">
      <w:pPr>
        <w:pStyle w:val="Text1"/>
        <w:rPr>
          <w:noProof/>
        </w:rPr>
      </w:pPr>
      <w:r w:rsidRPr="00E63B0D">
        <w:rPr>
          <w:noProof/>
        </w:rPr>
        <w:t>Za namene točke (b) se za skupino, ki jo sestavlja več kot en subjekt v postopku reševanja, subjekt šteje za pomemben pravni subjekt, kadar je njegov posamični znesek skupne izpostavljenosti tveganju enak ali večji od 2 % zneska skupne izpostavljenosti tveganju subjekta v postopku reševanja na konsolidirani ravni skupine v postopku reševanja.</w:t>
      </w:r>
    </w:p>
    <w:p w:rsidR="008F1E98" w:rsidRPr="00E63B0D" w:rsidRDefault="008F1E98" w:rsidP="00184085">
      <w:pPr>
        <w:pStyle w:val="Text1"/>
        <w:rPr>
          <w:noProof/>
        </w:rPr>
      </w:pPr>
      <w:r w:rsidRPr="00E63B0D">
        <w:rPr>
          <w:noProof/>
        </w:rPr>
        <w:t>Za namene točke (c) se za skupino, ki jo sestavlja več kot en subjekt v postopku reševanja, subjekt šteje za pomemben pravni subjekt, kadar je njegova posamična mera skupne izpostavljenosti enaka ali večja od 2 % mere skupne izpostavljenosti subjekta v postopku reševanja na konsolidirani ravni skupine v postopku reševanja.</w:t>
      </w:r>
    </w:p>
    <w:p w:rsidR="003B410C" w:rsidRPr="00E63B0D" w:rsidRDefault="003B410C" w:rsidP="00184085">
      <w:pPr>
        <w:pStyle w:val="Titrearticle"/>
        <w:rPr>
          <w:noProof/>
        </w:rPr>
      </w:pPr>
      <w:bookmarkStart w:id="1" w:name="_Hlk168321151"/>
      <w:r w:rsidRPr="00E63B0D">
        <w:rPr>
          <w:noProof/>
        </w:rPr>
        <w:t>Člen 2</w:t>
      </w:r>
    </w:p>
    <w:p w:rsidR="003B410C" w:rsidRPr="00E63B0D" w:rsidRDefault="003B410C" w:rsidP="00184085">
      <w:pPr>
        <w:pStyle w:val="Titrearticle"/>
        <w:spacing w:before="0"/>
        <w:rPr>
          <w:b/>
          <w:bCs/>
          <w:i w:val="0"/>
          <w:iCs/>
          <w:noProof/>
        </w:rPr>
      </w:pPr>
      <w:r w:rsidRPr="00E63B0D">
        <w:rPr>
          <w:b/>
          <w:i w:val="0"/>
          <w:noProof/>
        </w:rPr>
        <w:t>Poročanje za namene reševanja s strani institucij, ki niso del skupine, nad katero se izvaja konsolidirani nadzor v skladu s členoma 111 in 112 Direktive 2013/36/EU</w:t>
      </w:r>
      <w:bookmarkEnd w:id="1"/>
    </w:p>
    <w:p w:rsidR="003B410C" w:rsidRPr="00E63B0D" w:rsidRDefault="005C6D92" w:rsidP="005C6D92">
      <w:pPr>
        <w:pStyle w:val="ManualNumPar1"/>
        <w:rPr>
          <w:noProof/>
        </w:rPr>
      </w:pPr>
      <w:r w:rsidRPr="005C6D92">
        <w:rPr>
          <w:noProof/>
        </w:rPr>
        <w:t>1.</w:t>
      </w:r>
      <w:r w:rsidRPr="005C6D92">
        <w:rPr>
          <w:noProof/>
        </w:rPr>
        <w:tab/>
      </w:r>
      <w:r w:rsidR="005E4DBA" w:rsidRPr="00E63B0D">
        <w:rPr>
          <w:noProof/>
        </w:rPr>
        <w:t>Subjekti v postopku reševanja, ki niso del skupine, nad katero se izvaja konsolidirani nadzor v skladu s členoma 111 in 112 Direktive 2013/36/EU Evropskega parlamenta in Sveta</w:t>
      </w:r>
      <w:r w:rsidR="005E4DBA" w:rsidRPr="00E63B0D">
        <w:rPr>
          <w:rStyle w:val="FootnoteReference"/>
          <w:noProof/>
        </w:rPr>
        <w:footnoteReference w:id="7"/>
      </w:r>
      <w:r w:rsidR="005E4DBA" w:rsidRPr="00E63B0D">
        <w:rPr>
          <w:noProof/>
        </w:rPr>
        <w:t>, organu za reševanje na posamični podlagi predložijo informacije, določene v vseh predlogah iz Priloge I k tej uredbi, razen informacij iz predlog Z 01.01, Z 04.00, Z 07.02, Z 07.03 in Z 11.00.</w:t>
      </w:r>
    </w:p>
    <w:p w:rsidR="003B410C" w:rsidRPr="00E63B0D" w:rsidRDefault="005C6D92" w:rsidP="005C6D92">
      <w:pPr>
        <w:pStyle w:val="ManualNumPar1"/>
        <w:rPr>
          <w:noProof/>
        </w:rPr>
      </w:pPr>
      <w:r w:rsidRPr="005C6D92">
        <w:rPr>
          <w:noProof/>
        </w:rPr>
        <w:t>2.</w:t>
      </w:r>
      <w:r w:rsidRPr="005C6D92">
        <w:rPr>
          <w:noProof/>
        </w:rPr>
        <w:tab/>
      </w:r>
      <w:r w:rsidR="0017578A" w:rsidRPr="00E63B0D">
        <w:rPr>
          <w:noProof/>
        </w:rPr>
        <w:t>Subjekti za likvidacijo, za katere ne veljajo poenostavljene obveznosti, ki niso del skupine, nad katero se izvaja konsolidirani nadzor v skladu s členoma 111 in 112 Direktive 2013/36/EU, in za katere organ za reševanje ni določil zahteve iz člena 45(1) Direktive 2014/59/EU v skladu s členom 45c(2a), drugi pododstavek, navedene direktive, organu za reševanje na posamični podlagi predložijo informacije, določene v predlogah Z 01.02, Z 02.00, Z 05.01, Z 05.02, Z 06.00, Z 07.01.1 do Z 07.01.5, Z 07.04 in Z 09.01 iz Priloge I k tej uredbi.</w:t>
      </w:r>
    </w:p>
    <w:p w:rsidR="003B410C" w:rsidRPr="00E63B0D" w:rsidRDefault="005C6D92" w:rsidP="005C6D92">
      <w:pPr>
        <w:pStyle w:val="ManualNumPar1"/>
        <w:rPr>
          <w:noProof/>
        </w:rPr>
      </w:pPr>
      <w:r w:rsidRPr="005C6D92">
        <w:rPr>
          <w:noProof/>
        </w:rPr>
        <w:t>3.</w:t>
      </w:r>
      <w:r w:rsidRPr="005C6D92">
        <w:rPr>
          <w:noProof/>
        </w:rPr>
        <w:tab/>
      </w:r>
      <w:r w:rsidR="00436F80" w:rsidRPr="00E63B0D">
        <w:rPr>
          <w:noProof/>
        </w:rPr>
        <w:t>Subjekti za likvidacijo, za katere ne veljajo poenostavljene obveznosti, ki niso del skupine, nad katero se izvaja konsolidirani nadzor v skladu s členoma 111 in 112 Direktive 2013/36/EU, in za katere je organ za reševanje določil zahtevo iz člena 45(1) Direktive 2014/59/EU v skladu s členom 45c(2a), drugi pododstavek, navedene direktive, organu za reševanje na posamični podlagi predložijo informacije, določene v predlogah Z 01.02, Z 02.00, Z 03.01, Z 03.02, Z 05.01, Z 05.02, Z 06.00, Z 07.01.1 do Z 07.01.5, Z 07.04 do Z 09.01 iz Priloge I k tej uredbi.</w:t>
      </w:r>
    </w:p>
    <w:p w:rsidR="003B410C" w:rsidRPr="00E63B0D" w:rsidRDefault="003B410C" w:rsidP="00184085">
      <w:pPr>
        <w:pStyle w:val="Titrearticle"/>
        <w:rPr>
          <w:noProof/>
        </w:rPr>
      </w:pPr>
      <w:r w:rsidRPr="00E63B0D">
        <w:rPr>
          <w:noProof/>
        </w:rPr>
        <w:t>Člen 3</w:t>
      </w:r>
    </w:p>
    <w:p w:rsidR="003B410C" w:rsidRPr="00E63B0D" w:rsidRDefault="003B410C" w:rsidP="00184085">
      <w:pPr>
        <w:pStyle w:val="Titrearticle"/>
        <w:spacing w:before="0"/>
        <w:rPr>
          <w:b/>
          <w:bCs/>
          <w:i w:val="0"/>
          <w:iCs/>
          <w:noProof/>
        </w:rPr>
      </w:pPr>
      <w:r w:rsidRPr="00E63B0D">
        <w:rPr>
          <w:b/>
          <w:i w:val="0"/>
          <w:noProof/>
        </w:rPr>
        <w:t>Poročanje na ravni skupine za namene reševanja – skupine v postopku reševanja</w:t>
      </w:r>
    </w:p>
    <w:p w:rsidR="003B410C" w:rsidRPr="00E63B0D" w:rsidRDefault="005C6D92" w:rsidP="005C6D92">
      <w:pPr>
        <w:pStyle w:val="ManualNumPar1"/>
        <w:rPr>
          <w:noProof/>
        </w:rPr>
      </w:pPr>
      <w:r w:rsidRPr="005C6D92">
        <w:rPr>
          <w:noProof/>
        </w:rPr>
        <w:t>1.</w:t>
      </w:r>
      <w:r w:rsidRPr="005C6D92">
        <w:rPr>
          <w:noProof/>
        </w:rPr>
        <w:tab/>
      </w:r>
      <w:r w:rsidR="00873C72" w:rsidRPr="00E63B0D">
        <w:rPr>
          <w:noProof/>
        </w:rPr>
        <w:t>Nadrejena družba v Uniji organu za reševanje, pristojnemu na ravni skupine, predloži informacije iz predlog Z 01.01, Z 01.02 in Z 08.01 do Z 09.04 iz Priloge I v zvezi z vsemi subjekti v skupini.</w:t>
      </w:r>
    </w:p>
    <w:p w:rsidR="003B410C" w:rsidRPr="00E63B0D" w:rsidRDefault="005C6D92" w:rsidP="005C6D92">
      <w:pPr>
        <w:pStyle w:val="ManualNumPar1"/>
        <w:rPr>
          <w:noProof/>
        </w:rPr>
      </w:pPr>
      <w:r w:rsidRPr="005C6D92">
        <w:rPr>
          <w:noProof/>
        </w:rPr>
        <w:t>2.</w:t>
      </w:r>
      <w:r w:rsidRPr="005C6D92">
        <w:rPr>
          <w:noProof/>
        </w:rPr>
        <w:tab/>
      </w:r>
      <w:r w:rsidR="00873C72" w:rsidRPr="00E63B0D">
        <w:rPr>
          <w:noProof/>
        </w:rPr>
        <w:t>Nadrejena družba v Uniji organu za reševanje, pristojnemu na ravni skupine, predloži informacije o finančnih povezavah med vsemi subjekti v skupini, kot je določeno v predlogi Z 04.00 iz Priloge I.</w:t>
      </w:r>
    </w:p>
    <w:p w:rsidR="003B410C" w:rsidRPr="00E63B0D" w:rsidRDefault="005C6D92" w:rsidP="005C6D92">
      <w:pPr>
        <w:pStyle w:val="ManualNumPar1"/>
        <w:rPr>
          <w:noProof/>
        </w:rPr>
      </w:pPr>
      <w:r w:rsidRPr="005C6D92">
        <w:rPr>
          <w:noProof/>
        </w:rPr>
        <w:t>3.</w:t>
      </w:r>
      <w:r w:rsidRPr="005C6D92">
        <w:rPr>
          <w:noProof/>
        </w:rPr>
        <w:tab/>
      </w:r>
      <w:r w:rsidR="001744A5" w:rsidRPr="00E63B0D">
        <w:rPr>
          <w:noProof/>
        </w:rPr>
        <w:t>Nadrejena družba v Uniji organu za reševanje, pristojnemu na ravni skupine, predloži informacije iz predloge Z 02.00 iz Priloge I, kot sledi:</w:t>
      </w:r>
    </w:p>
    <w:p w:rsidR="003B410C" w:rsidRPr="00E63B0D" w:rsidRDefault="005C6D92" w:rsidP="005C6D92">
      <w:pPr>
        <w:pStyle w:val="Point1"/>
        <w:rPr>
          <w:noProof/>
        </w:rPr>
      </w:pPr>
      <w:r w:rsidRPr="005C6D92">
        <w:rPr>
          <w:noProof/>
        </w:rPr>
        <w:t>(a)</w:t>
      </w:r>
      <w:r w:rsidRPr="005C6D92">
        <w:rPr>
          <w:noProof/>
        </w:rPr>
        <w:tab/>
      </w:r>
      <w:r w:rsidR="003B410C" w:rsidRPr="00E63B0D">
        <w:rPr>
          <w:noProof/>
        </w:rPr>
        <w:t>na posamični podlagi za vse subjekte v postopku reševanja v skupini, vključno z nadrejeno družbo v Uniji, in za vse pomembne pravne subjekte, ki so institucije;</w:t>
      </w:r>
    </w:p>
    <w:p w:rsidR="003B410C" w:rsidRPr="00E63B0D" w:rsidRDefault="005C6D92" w:rsidP="005C6D92">
      <w:pPr>
        <w:pStyle w:val="Point1"/>
        <w:rPr>
          <w:noProof/>
        </w:rPr>
      </w:pPr>
      <w:r w:rsidRPr="005C6D92">
        <w:rPr>
          <w:noProof/>
        </w:rPr>
        <w:t>(b)</w:t>
      </w:r>
      <w:r w:rsidRPr="005C6D92">
        <w:rPr>
          <w:noProof/>
        </w:rPr>
        <w:tab/>
      </w:r>
      <w:r w:rsidR="003B410C" w:rsidRPr="00E63B0D">
        <w:rPr>
          <w:noProof/>
        </w:rPr>
        <w:t xml:space="preserve">na konsolidirani podlagi ali, kjer je ustrezno, na subkonsolidirani podlagi za vse subjekte v postopku reševanja v skupini, vključno z nadrejeno družbo v Uniji, in za vse pomembne pravne subjekte, </w:t>
      </w:r>
      <w:r w:rsidR="003B410C" w:rsidRPr="00E63B0D">
        <w:rPr>
          <w:noProof/>
          <w:color w:val="000000" w:themeColor="text1"/>
        </w:rPr>
        <w:t>za katere je organ za reševanje določil zahtevo iz člena 45(1) Direktive 2014/59/EU</w:t>
      </w:r>
      <w:r w:rsidR="003B410C" w:rsidRPr="00E63B0D">
        <w:rPr>
          <w:noProof/>
        </w:rPr>
        <w:t xml:space="preserve"> na konsolidirani ali subkonsolidirani podlagi, ne glede na to, ali se za te subjekte uporablja del 1, naslov II, poglavje 2, Uredbe (EU) št. 575/2013.</w:t>
      </w:r>
    </w:p>
    <w:p w:rsidR="003B410C" w:rsidRPr="00E63B0D" w:rsidRDefault="005C6D92" w:rsidP="005C6D92">
      <w:pPr>
        <w:pStyle w:val="ManualNumPar1"/>
        <w:rPr>
          <w:noProof/>
        </w:rPr>
      </w:pPr>
      <w:r w:rsidRPr="005C6D92">
        <w:rPr>
          <w:noProof/>
        </w:rPr>
        <w:t>4.</w:t>
      </w:r>
      <w:r w:rsidRPr="005C6D92">
        <w:rPr>
          <w:noProof/>
        </w:rPr>
        <w:tab/>
      </w:r>
      <w:r w:rsidR="00207905" w:rsidRPr="00E63B0D">
        <w:rPr>
          <w:noProof/>
        </w:rPr>
        <w:t>Nadrejena družba v Uniji organu za reševanje, pristojnemu na ravni skupine, predloži informacije iz predloge Z 03.01 ali Z 03.02 iz Priloge I, kot sledi:</w:t>
      </w:r>
    </w:p>
    <w:p w:rsidR="003B410C" w:rsidRPr="00E63B0D" w:rsidRDefault="005C6D92" w:rsidP="005C6D92">
      <w:pPr>
        <w:pStyle w:val="Point1"/>
        <w:rPr>
          <w:noProof/>
        </w:rPr>
      </w:pPr>
      <w:r w:rsidRPr="005C6D92">
        <w:rPr>
          <w:noProof/>
        </w:rPr>
        <w:t>(a)</w:t>
      </w:r>
      <w:r w:rsidRPr="005C6D92">
        <w:rPr>
          <w:noProof/>
        </w:rPr>
        <w:tab/>
      </w:r>
      <w:r w:rsidR="003B410C" w:rsidRPr="00E63B0D">
        <w:rPr>
          <w:noProof/>
        </w:rPr>
        <w:t>na posamični podlagi za vse subjekte v postopku reševanja v skupini, vključno z nadrejeno družbo v Uniji, in za vse pomembne pravne subjekte, ki so institucije, za katere je organ za reševanje določil zahtevo iz člena 45(1) Direktive 2014/59/EU;</w:t>
      </w:r>
    </w:p>
    <w:p w:rsidR="003B410C" w:rsidRPr="00E63B0D" w:rsidRDefault="005C6D92" w:rsidP="005C6D92">
      <w:pPr>
        <w:pStyle w:val="Point1"/>
        <w:rPr>
          <w:noProof/>
        </w:rPr>
      </w:pPr>
      <w:r w:rsidRPr="005C6D92">
        <w:rPr>
          <w:noProof/>
        </w:rPr>
        <w:t>(b)</w:t>
      </w:r>
      <w:r w:rsidRPr="005C6D92">
        <w:rPr>
          <w:noProof/>
        </w:rPr>
        <w:tab/>
      </w:r>
      <w:r w:rsidR="003B410C" w:rsidRPr="00E63B0D">
        <w:rPr>
          <w:noProof/>
        </w:rPr>
        <w:t>na konsolidirani ali subkonsolidirani podlagi za vse subjekte v postopku reševanja v skupini, vključno z nadrejeno družbo v Uniji, in za vse pomembne pravne subjekte, ki so institucije, za katere je organ za reševanje določil zahtevo iz člena 45(1) Direktive 2014/59/EU, ne glede na to, ali se za te subjekte uporablja del 1, naslov II, poglavje 2, Uredbe (EU) št. 575/2013.</w:t>
      </w:r>
    </w:p>
    <w:p w:rsidR="003B410C" w:rsidRPr="00E63B0D" w:rsidRDefault="005C6D92" w:rsidP="005C6D92">
      <w:pPr>
        <w:pStyle w:val="ManualNumPar1"/>
        <w:rPr>
          <w:noProof/>
        </w:rPr>
      </w:pPr>
      <w:r w:rsidRPr="005C6D92">
        <w:rPr>
          <w:noProof/>
        </w:rPr>
        <w:t>5.</w:t>
      </w:r>
      <w:r w:rsidRPr="005C6D92">
        <w:rPr>
          <w:noProof/>
        </w:rPr>
        <w:tab/>
      </w:r>
      <w:r w:rsidR="006E7726" w:rsidRPr="00E63B0D">
        <w:rPr>
          <w:noProof/>
        </w:rPr>
        <w:t>Nadrejena družba v Uniji organu za reševanje, pristojnemu na ravni skupine, predloži informacije iz predlog Z 07.01.1, Z 07.01.2, Z 07.01.3, Z 07.01.4 in Z 07.01.5 iz Priloge I na ravni vsake države članice, v kateri skupina posluje.</w:t>
      </w:r>
    </w:p>
    <w:p w:rsidR="003B410C" w:rsidRPr="00E63B0D" w:rsidRDefault="005C6D92" w:rsidP="005C6D92">
      <w:pPr>
        <w:pStyle w:val="ManualNumPar1"/>
        <w:rPr>
          <w:noProof/>
        </w:rPr>
      </w:pPr>
      <w:r w:rsidRPr="005C6D92">
        <w:rPr>
          <w:noProof/>
        </w:rPr>
        <w:t>6.</w:t>
      </w:r>
      <w:r w:rsidRPr="005C6D92">
        <w:rPr>
          <w:noProof/>
        </w:rPr>
        <w:tab/>
      </w:r>
      <w:r w:rsidR="006E7726" w:rsidRPr="00E63B0D">
        <w:rPr>
          <w:noProof/>
        </w:rPr>
        <w:t>Nadrejena družba v Uniji organu za reševanje, pristojnemu na ravni skupine, predloži informacije iz predlog Z 07.02, Z 07.03 in Z 07.04 iz Priloge I v zvezi s kritičnimi funkcijami in glavnimi poslovnimi področji, ki jih zagotavlja kateri koli subjekt v skupini.</w:t>
      </w:r>
    </w:p>
    <w:p w:rsidR="003B410C" w:rsidRPr="00E63B0D" w:rsidRDefault="005C6D92" w:rsidP="005C6D92">
      <w:pPr>
        <w:pStyle w:val="ManualNumPar1"/>
        <w:rPr>
          <w:noProof/>
        </w:rPr>
      </w:pPr>
      <w:r w:rsidRPr="005C6D92">
        <w:rPr>
          <w:noProof/>
        </w:rPr>
        <w:t>7.</w:t>
      </w:r>
      <w:r w:rsidRPr="005C6D92">
        <w:rPr>
          <w:noProof/>
        </w:rPr>
        <w:tab/>
      </w:r>
      <w:r w:rsidR="006E7726" w:rsidRPr="00E63B0D">
        <w:rPr>
          <w:noProof/>
        </w:rPr>
        <w:t>Nadrejena družba v Uniji organu za reševanje, pristojnemu na ravni skupine, na posamični podlagi predloži informacije iz predlog Z 05.01, Z 05.02, Z 06.00, Z 07.01.1 do Z 07.01.5, Z 07.04 in Z 11.00 do Z 17.00 iz Priloge I za vse subjekte v postopku reševanja v skupini, vključno z nadrejeno družbo v Uniji.</w:t>
      </w:r>
    </w:p>
    <w:p w:rsidR="003B410C" w:rsidRPr="00E63B0D" w:rsidRDefault="005C6D92" w:rsidP="005C6D92">
      <w:pPr>
        <w:pStyle w:val="ManualNumPar1"/>
        <w:rPr>
          <w:noProof/>
        </w:rPr>
      </w:pPr>
      <w:r w:rsidRPr="005C6D92">
        <w:rPr>
          <w:noProof/>
        </w:rPr>
        <w:t>8.</w:t>
      </w:r>
      <w:r w:rsidRPr="005C6D92">
        <w:rPr>
          <w:noProof/>
        </w:rPr>
        <w:tab/>
      </w:r>
      <w:r w:rsidR="003B410C" w:rsidRPr="00E63B0D">
        <w:rPr>
          <w:noProof/>
        </w:rPr>
        <w:t>Nadrejena družba v Uniji organu za reševanje, pristojnemu na ravni skupine, na posamični podlagi predloži informacije iz predlog Z 05.01, Z 05.02, Z 06.00, Z 07.01.1 do Z 07.01.5 in Z 07.04 iz Priloge I za vse pomembne pravne subjekte, ki so institucije.</w:t>
      </w:r>
    </w:p>
    <w:p w:rsidR="003B410C" w:rsidRPr="00E63B0D" w:rsidRDefault="005C6D92" w:rsidP="005C6D92">
      <w:pPr>
        <w:pStyle w:val="ManualNumPar1"/>
        <w:rPr>
          <w:noProof/>
        </w:rPr>
      </w:pPr>
      <w:r w:rsidRPr="005C6D92">
        <w:rPr>
          <w:noProof/>
        </w:rPr>
        <w:t>9.</w:t>
      </w:r>
      <w:r w:rsidRPr="005C6D92">
        <w:rPr>
          <w:noProof/>
        </w:rPr>
        <w:tab/>
      </w:r>
      <w:r w:rsidR="003B410C" w:rsidRPr="00E63B0D">
        <w:rPr>
          <w:noProof/>
        </w:rPr>
        <w:t xml:space="preserve">Odstavek 2, odstavek 3, točka (a), ter odstavki 4, 5 in 6 tega člena se uporabljajo ne glede na kakršno koli odstopanje od uporabe bonitetnih zahtev, odobreno v skladu s členom 7(1) ali (3) Uredbe (EU) št. 575/2013 ali členom 8 </w:t>
      </w:r>
      <w:r w:rsidR="003B410C" w:rsidRPr="00E63B0D">
        <w:rPr>
          <w:noProof/>
          <w:shd w:val="clear" w:color="auto" w:fill="FFFFFF" w:themeFill="background1"/>
        </w:rPr>
        <w:t>Uredbe (EU) 2019/2033 Evropskega parlamenta in Sveta</w:t>
      </w:r>
      <w:r w:rsidR="003B410C" w:rsidRPr="00E63B0D">
        <w:rPr>
          <w:rStyle w:val="FootnoteReference"/>
          <w:noProof/>
          <w:shd w:val="clear" w:color="auto" w:fill="FFFFFF" w:themeFill="background1"/>
        </w:rPr>
        <w:footnoteReference w:id="8"/>
      </w:r>
      <w:r w:rsidR="003B410C" w:rsidRPr="00E63B0D">
        <w:rPr>
          <w:noProof/>
          <w:shd w:val="clear" w:color="auto" w:fill="FFFFFF" w:themeFill="background1"/>
        </w:rPr>
        <w:t>, ali kakršno koli opustitev uporabe</w:t>
      </w:r>
      <w:r w:rsidR="003B410C" w:rsidRPr="00E63B0D">
        <w:rPr>
          <w:noProof/>
        </w:rPr>
        <w:t xml:space="preserve"> minimalne zahteve glede kapitala in kvalificiranih obveznosti, odobreno v skladu s členom 45f Direktive 2014/59/EU.</w:t>
      </w:r>
    </w:p>
    <w:p w:rsidR="003B410C" w:rsidRPr="00E63B0D" w:rsidRDefault="003B410C" w:rsidP="00184085">
      <w:pPr>
        <w:pStyle w:val="Titrearticle"/>
        <w:rPr>
          <w:noProof/>
        </w:rPr>
      </w:pPr>
      <w:r w:rsidRPr="00E63B0D">
        <w:rPr>
          <w:noProof/>
        </w:rPr>
        <w:t>Člen 4</w:t>
      </w:r>
    </w:p>
    <w:p w:rsidR="003B410C" w:rsidRPr="00E63B0D" w:rsidRDefault="003B410C" w:rsidP="00184085">
      <w:pPr>
        <w:pStyle w:val="Titrearticle"/>
        <w:spacing w:before="0"/>
        <w:rPr>
          <w:b/>
          <w:bCs/>
          <w:i w:val="0"/>
          <w:iCs/>
          <w:noProof/>
        </w:rPr>
      </w:pPr>
      <w:r w:rsidRPr="00E63B0D">
        <w:rPr>
          <w:b/>
          <w:i w:val="0"/>
          <w:noProof/>
        </w:rPr>
        <w:t>Poročanje na ravni skupine za namene reševanja – skupine, ki jih sestavljajo samo subjekti za likvidacijo</w:t>
      </w:r>
    </w:p>
    <w:p w:rsidR="003B410C" w:rsidRPr="00E63B0D" w:rsidRDefault="00F95432" w:rsidP="00184085">
      <w:pPr>
        <w:rPr>
          <w:noProof/>
        </w:rPr>
      </w:pPr>
      <w:r w:rsidRPr="00E63B0D">
        <w:rPr>
          <w:noProof/>
        </w:rPr>
        <w:t>Nadrejena družba v Uniji skupine, ki jo sestavljajo samo subjekti za likvidacijo, za katere ne veljajo poenostavljene obveznosti, organu za reševanje, pristojnemu na ravni skupine, predloži:</w:t>
      </w:r>
    </w:p>
    <w:p w:rsidR="003B410C" w:rsidRPr="00E63B0D" w:rsidRDefault="005C6D92" w:rsidP="005C6D92">
      <w:pPr>
        <w:pStyle w:val="Point0"/>
        <w:rPr>
          <w:noProof/>
        </w:rPr>
      </w:pPr>
      <w:r w:rsidRPr="005C6D92">
        <w:rPr>
          <w:noProof/>
        </w:rPr>
        <w:t>(a)</w:t>
      </w:r>
      <w:r w:rsidRPr="005C6D92">
        <w:rPr>
          <w:noProof/>
        </w:rPr>
        <w:tab/>
      </w:r>
      <w:r w:rsidR="003B410C" w:rsidRPr="00E63B0D">
        <w:rPr>
          <w:noProof/>
        </w:rPr>
        <w:t>informacije iz predlog Z 01.01, Z 01.02, Z 07.01.1 do Z 07.01.5 in Z 09.01 iz Priloge I v zvezi z vsemi subjekti v skupini, predloge Z 02.00 na konsolidirani podlagi in predloge Z 04.00 v zvezi z medsebojnimi finančnimi povezavami med vsemi subjekti v skupini;</w:t>
      </w:r>
    </w:p>
    <w:p w:rsidR="003B410C" w:rsidRPr="00E63B0D" w:rsidRDefault="005C6D92" w:rsidP="005C6D92">
      <w:pPr>
        <w:pStyle w:val="Point0"/>
        <w:rPr>
          <w:noProof/>
        </w:rPr>
      </w:pPr>
      <w:r w:rsidRPr="005C6D92">
        <w:rPr>
          <w:noProof/>
        </w:rPr>
        <w:t>(b)</w:t>
      </w:r>
      <w:r w:rsidRPr="005C6D92">
        <w:rPr>
          <w:noProof/>
        </w:rPr>
        <w:tab/>
      </w:r>
      <w:r w:rsidR="009F0766" w:rsidRPr="00E63B0D">
        <w:rPr>
          <w:noProof/>
        </w:rPr>
        <w:t>na posamični podlagi zase in za vsak pomemben pravni subjekt, za katerega organ za reševanje ni določil zahteve iz člena 45(1) Direktive 2014/59/EU v skladu s členom 45c(2a), drugi pododstavek, navedene direktive, informacije, določene v predlogah Z 02.00, Z 05.01, Z 05.02, Z 06.00, Z 07.01.1 do Z 07.01.5 in Z 07.04 iz Priloge I k tej uredbi;</w:t>
      </w:r>
    </w:p>
    <w:p w:rsidR="00E522C4" w:rsidRPr="00E63B0D" w:rsidRDefault="005C6D92" w:rsidP="005C6D92">
      <w:pPr>
        <w:pStyle w:val="Point0"/>
        <w:rPr>
          <w:noProof/>
        </w:rPr>
      </w:pPr>
      <w:r w:rsidRPr="005C6D92">
        <w:rPr>
          <w:noProof/>
        </w:rPr>
        <w:t>(c)</w:t>
      </w:r>
      <w:r w:rsidRPr="005C6D92">
        <w:rPr>
          <w:noProof/>
        </w:rPr>
        <w:tab/>
      </w:r>
      <w:r w:rsidR="009F0766" w:rsidRPr="00E63B0D">
        <w:rPr>
          <w:noProof/>
        </w:rPr>
        <w:t>na posamični podlagi zase in za vsak pomemben pravni subjekt, za katerega je organ za reševanje določil zahtevo iz člena 45(1) Direktive 2014/59/EU v skladu s členom 45c(2a), drugi pododstavek, navedene direktive, informacije, določene v predlogah Z 02.00, Z 03.01, Z 03.02, Z 05.01, Z 05.02, Z 06.00, Z 07.01.1 do Z 07.01.5 in Z 07.04 iz Priloge I k tej uredbi.</w:t>
      </w:r>
    </w:p>
    <w:p w:rsidR="00E522C4" w:rsidRPr="00E63B0D" w:rsidRDefault="00E522C4" w:rsidP="00184085">
      <w:pPr>
        <w:pStyle w:val="Titrearticle"/>
        <w:rPr>
          <w:noProof/>
        </w:rPr>
      </w:pPr>
      <w:r w:rsidRPr="00E63B0D">
        <w:rPr>
          <w:noProof/>
        </w:rPr>
        <w:t>Člen 5</w:t>
      </w:r>
    </w:p>
    <w:p w:rsidR="00E522C4" w:rsidRPr="00E63B0D" w:rsidRDefault="00E522C4" w:rsidP="00184085">
      <w:pPr>
        <w:pStyle w:val="Titrearticle"/>
        <w:spacing w:before="0"/>
        <w:rPr>
          <w:b/>
          <w:bCs/>
          <w:i w:val="0"/>
          <w:iCs/>
          <w:noProof/>
        </w:rPr>
      </w:pPr>
      <w:r w:rsidRPr="00E63B0D">
        <w:rPr>
          <w:b/>
          <w:i w:val="0"/>
          <w:noProof/>
        </w:rPr>
        <w:t>Prilagoditve poročanja na ravni skupine za namene reševanja</w:t>
      </w:r>
    </w:p>
    <w:p w:rsidR="00E522C4" w:rsidRPr="00E63B0D" w:rsidRDefault="005C6D92" w:rsidP="005C6D92">
      <w:pPr>
        <w:pStyle w:val="ManualNumPar1"/>
        <w:rPr>
          <w:noProof/>
        </w:rPr>
      </w:pPr>
      <w:r w:rsidRPr="005C6D92">
        <w:rPr>
          <w:noProof/>
        </w:rPr>
        <w:t>1.</w:t>
      </w:r>
      <w:r w:rsidRPr="005C6D92">
        <w:rPr>
          <w:noProof/>
        </w:rPr>
        <w:tab/>
      </w:r>
      <w:r w:rsidR="00E522C4" w:rsidRPr="00E63B0D">
        <w:rPr>
          <w:noProof/>
        </w:rPr>
        <w:t>Za skupino, katere nadrejena družba v Uniji je subjekt za likvidacijo in ki jo sestavljajo subjekti v postopku reševanja, nadrejena družba v Uniji predloži naslednje:</w:t>
      </w:r>
    </w:p>
    <w:p w:rsidR="00E522C4" w:rsidRPr="00E63B0D" w:rsidRDefault="005C6D92" w:rsidP="005C6D92">
      <w:pPr>
        <w:pStyle w:val="Point1"/>
        <w:rPr>
          <w:noProof/>
        </w:rPr>
      </w:pPr>
      <w:r w:rsidRPr="005C6D92">
        <w:rPr>
          <w:noProof/>
        </w:rPr>
        <w:t>(a)</w:t>
      </w:r>
      <w:r w:rsidRPr="005C6D92">
        <w:rPr>
          <w:noProof/>
        </w:rPr>
        <w:tab/>
      </w:r>
      <w:r w:rsidR="000C210A" w:rsidRPr="00E63B0D">
        <w:rPr>
          <w:noProof/>
        </w:rPr>
        <w:t>za subjekte v skupini, ki pripadajo skupinam v postopku reševanja, informacije iz člena 3;</w:t>
      </w:r>
    </w:p>
    <w:p w:rsidR="00E522C4" w:rsidRPr="00E63B0D" w:rsidRDefault="005C6D92" w:rsidP="005C6D92">
      <w:pPr>
        <w:pStyle w:val="Point1"/>
        <w:rPr>
          <w:noProof/>
        </w:rPr>
      </w:pPr>
      <w:r w:rsidRPr="005C6D92">
        <w:rPr>
          <w:noProof/>
        </w:rPr>
        <w:t>(b)</w:t>
      </w:r>
      <w:r w:rsidRPr="005C6D92">
        <w:rPr>
          <w:noProof/>
        </w:rPr>
        <w:tab/>
      </w:r>
      <w:r w:rsidR="000C210A" w:rsidRPr="00E63B0D">
        <w:rPr>
          <w:noProof/>
        </w:rPr>
        <w:t>za subjekte za likvidacijo, za katere ne veljajo poenostavljene obveznosti in ki niso del nobene skupine v postopku reševanja, informacije iz člena 4.</w:t>
      </w:r>
    </w:p>
    <w:p w:rsidR="00E522C4" w:rsidRPr="00E63B0D" w:rsidRDefault="005C6D92" w:rsidP="005C6D92">
      <w:pPr>
        <w:pStyle w:val="ManualNumPar1"/>
        <w:rPr>
          <w:noProof/>
        </w:rPr>
      </w:pPr>
      <w:r w:rsidRPr="005C6D92">
        <w:rPr>
          <w:noProof/>
        </w:rPr>
        <w:t>2.</w:t>
      </w:r>
      <w:r w:rsidRPr="005C6D92">
        <w:rPr>
          <w:noProof/>
        </w:rPr>
        <w:tab/>
      </w:r>
      <w:r w:rsidR="00E522C4" w:rsidRPr="00E63B0D">
        <w:rPr>
          <w:noProof/>
        </w:rPr>
        <w:t>Za skupino v postopku reševanja iz člena 2(1), točka 83b, Direktive 2014/59/EU informacije iz člena 3 te uredbe predloži vsaj eden od subjektov v postopku reševanja skupine. Te informacije zajemajo vse kreditne institucije, ki so trajno povezane s centralnim organom te skupine v postopku reševanja, sam centralni organ in njihove podrejene družbe na posamični, subkonsolidirani in konsolidirani podlagi, kot je ustrezno.</w:t>
      </w:r>
    </w:p>
    <w:p w:rsidR="00E522C4" w:rsidRPr="00E63B0D" w:rsidRDefault="00E522C4" w:rsidP="00184085">
      <w:pPr>
        <w:pStyle w:val="Titrearticle"/>
        <w:rPr>
          <w:noProof/>
        </w:rPr>
      </w:pPr>
      <w:r w:rsidRPr="00E63B0D">
        <w:rPr>
          <w:noProof/>
        </w:rPr>
        <w:t>Člen 6</w:t>
      </w:r>
    </w:p>
    <w:p w:rsidR="00E522C4" w:rsidRPr="00E63B0D" w:rsidRDefault="00E522C4" w:rsidP="00184085">
      <w:pPr>
        <w:pStyle w:val="Titrearticle"/>
        <w:spacing w:before="0"/>
        <w:rPr>
          <w:b/>
          <w:bCs/>
          <w:i w:val="0"/>
          <w:iCs/>
          <w:noProof/>
        </w:rPr>
      </w:pPr>
      <w:r w:rsidRPr="00E63B0D">
        <w:rPr>
          <w:b/>
          <w:i w:val="0"/>
          <w:noProof/>
        </w:rPr>
        <w:t>Pogostost, referenčni datumi in datumi predložitve</w:t>
      </w:r>
    </w:p>
    <w:p w:rsidR="00E522C4" w:rsidRPr="00E63B0D" w:rsidRDefault="005C6D92" w:rsidP="005C6D92">
      <w:pPr>
        <w:pStyle w:val="ManualNumPar1"/>
        <w:rPr>
          <w:noProof/>
        </w:rPr>
      </w:pPr>
      <w:r w:rsidRPr="005C6D92">
        <w:rPr>
          <w:noProof/>
        </w:rPr>
        <w:t>1.</w:t>
      </w:r>
      <w:r w:rsidRPr="005C6D92">
        <w:rPr>
          <w:noProof/>
        </w:rPr>
        <w:tab/>
      </w:r>
      <w:r w:rsidR="00E522C4" w:rsidRPr="00E63B0D">
        <w:rPr>
          <w:noProof/>
        </w:rPr>
        <w:t>Institucije oziroma, v primeru skupin, nadrejene družbe v Uniji predložijo informacije iz členov 2 do 5, kot sledi:</w:t>
      </w:r>
    </w:p>
    <w:p w:rsidR="00E522C4" w:rsidRPr="00E63B0D" w:rsidRDefault="005C6D92" w:rsidP="005C6D92">
      <w:pPr>
        <w:pStyle w:val="Point1"/>
        <w:rPr>
          <w:noProof/>
        </w:rPr>
      </w:pPr>
      <w:r w:rsidRPr="005C6D92">
        <w:rPr>
          <w:noProof/>
        </w:rPr>
        <w:t>(a)</w:t>
      </w:r>
      <w:r w:rsidRPr="005C6D92">
        <w:rPr>
          <w:noProof/>
        </w:rPr>
        <w:tab/>
      </w:r>
      <w:r w:rsidR="00A071C3" w:rsidRPr="00E63B0D">
        <w:rPr>
          <w:noProof/>
        </w:rPr>
        <w:t xml:space="preserve">za predloge </w:t>
      </w:r>
      <w:bookmarkStart w:id="2" w:name="_Hlk188952542"/>
      <w:r w:rsidR="00A071C3" w:rsidRPr="00E63B0D">
        <w:rPr>
          <w:noProof/>
        </w:rPr>
        <w:t>Z 01.01, Z 01.02, Z 02.00, Z 03.01, Z 03.02, Z 04.00, Z 05.01, Z 05.02, Z 06.00 in Z 11.00 do Z 17.00</w:t>
      </w:r>
      <w:bookmarkEnd w:id="2"/>
      <w:r w:rsidR="00A071C3" w:rsidRPr="00E63B0D">
        <w:rPr>
          <w:noProof/>
        </w:rPr>
        <w:t xml:space="preserve"> vsako leto najpozneje do 31. marca v zvezi z zadnjim dnem prejšnjega koledarskega leta;</w:t>
      </w:r>
    </w:p>
    <w:p w:rsidR="00E522C4" w:rsidRPr="00E63B0D" w:rsidRDefault="005C6D92" w:rsidP="005C6D92">
      <w:pPr>
        <w:pStyle w:val="Point1"/>
        <w:rPr>
          <w:noProof/>
        </w:rPr>
      </w:pPr>
      <w:r w:rsidRPr="005C6D92">
        <w:rPr>
          <w:noProof/>
        </w:rPr>
        <w:t>(b)</w:t>
      </w:r>
      <w:r w:rsidRPr="005C6D92">
        <w:rPr>
          <w:noProof/>
        </w:rPr>
        <w:tab/>
      </w:r>
      <w:r w:rsidR="003F636B" w:rsidRPr="00E63B0D">
        <w:rPr>
          <w:noProof/>
        </w:rPr>
        <w:t xml:space="preserve">za predloge Z 07.01.1 do Z 07.04, Z 08.01 do Z 08.05 in Z 09.01 do Z 09.04 vsako leto najpozneje do 30. aprila v zvezi z zadnjim dnem prejšnjega koledarskega leta. </w:t>
      </w:r>
    </w:p>
    <w:p w:rsidR="003F636B" w:rsidRPr="00E63B0D" w:rsidRDefault="003F636B" w:rsidP="00184085">
      <w:pPr>
        <w:pStyle w:val="Text1"/>
        <w:rPr>
          <w:noProof/>
        </w:rPr>
      </w:pPr>
      <w:r w:rsidRPr="00E63B0D">
        <w:rPr>
          <w:noProof/>
        </w:rPr>
        <w:t>Za namene točke (a) se informacije, če 31. marec ni delovni dan, zagotovijo naslednji delovni dan.</w:t>
      </w:r>
    </w:p>
    <w:p w:rsidR="003F636B" w:rsidRPr="00E63B0D" w:rsidRDefault="003F636B" w:rsidP="00184085">
      <w:pPr>
        <w:pStyle w:val="Text1"/>
        <w:rPr>
          <w:noProof/>
        </w:rPr>
      </w:pPr>
      <w:r w:rsidRPr="00E63B0D">
        <w:rPr>
          <w:noProof/>
        </w:rPr>
        <w:t>Za namene točke (b) se informacije, če 30. april ni delovni dan, zagotovijo naslednji delovni dan.</w:t>
      </w:r>
    </w:p>
    <w:p w:rsidR="00E522C4" w:rsidRPr="00E63B0D" w:rsidRDefault="005C6D92" w:rsidP="005C6D92">
      <w:pPr>
        <w:pStyle w:val="ManualNumPar1"/>
        <w:rPr>
          <w:noProof/>
        </w:rPr>
      </w:pPr>
      <w:r w:rsidRPr="005C6D92">
        <w:rPr>
          <w:noProof/>
        </w:rPr>
        <w:t>2.</w:t>
      </w:r>
      <w:r w:rsidRPr="005C6D92">
        <w:rPr>
          <w:noProof/>
        </w:rPr>
        <w:tab/>
      </w:r>
      <w:r w:rsidR="00E522C4" w:rsidRPr="00E63B0D">
        <w:rPr>
          <w:noProof/>
        </w:rPr>
        <w:t>Organi za reševanje določijo, ali se informacije predložijo neposredno organu za reševanje ali pa se namesto tega predložijo pristojnemu organu, kadar je ustrezno.</w:t>
      </w:r>
    </w:p>
    <w:p w:rsidR="00E522C4" w:rsidRPr="00E63B0D" w:rsidRDefault="005C6D92" w:rsidP="005C6D92">
      <w:pPr>
        <w:pStyle w:val="ManualNumPar1"/>
        <w:rPr>
          <w:noProof/>
        </w:rPr>
      </w:pPr>
      <w:r w:rsidRPr="005C6D92">
        <w:rPr>
          <w:noProof/>
        </w:rPr>
        <w:t>3.</w:t>
      </w:r>
      <w:r w:rsidRPr="005C6D92">
        <w:rPr>
          <w:noProof/>
        </w:rPr>
        <w:tab/>
      </w:r>
      <w:r w:rsidR="00E522C4" w:rsidRPr="00E63B0D">
        <w:rPr>
          <w:noProof/>
        </w:rPr>
        <w:t xml:space="preserve">Institucije oziroma, v primeru skupin, nadrejene družbe v Uniji lahko predložijo nerevidirane podatke. Če revidirani podatki odstopajo od predloženih nerevidiranih podatkov, se brez nepotrebnega odlašanja predložijo revidirani podatki. </w:t>
      </w:r>
    </w:p>
    <w:p w:rsidR="00E522C4" w:rsidRPr="00E63B0D" w:rsidRDefault="005C6D92" w:rsidP="005C6D92">
      <w:pPr>
        <w:pStyle w:val="ManualNumPar1"/>
        <w:rPr>
          <w:noProof/>
        </w:rPr>
      </w:pPr>
      <w:r w:rsidRPr="005C6D92">
        <w:rPr>
          <w:noProof/>
        </w:rPr>
        <w:t>4.</w:t>
      </w:r>
      <w:r w:rsidRPr="005C6D92">
        <w:rPr>
          <w:noProof/>
        </w:rPr>
        <w:tab/>
      </w:r>
      <w:r w:rsidR="00E522C4" w:rsidRPr="00E63B0D">
        <w:rPr>
          <w:noProof/>
        </w:rPr>
        <w:t xml:space="preserve">Za namene odstavka 3 so nerevidirani podatki tisti podatki, za katere ni bilo dano mnenje zunanjega revizorja, revidirani podatki pa so podatki, ki jih je revidiral zunanji revizor, ki je dal revizijsko mnenje. </w:t>
      </w:r>
    </w:p>
    <w:p w:rsidR="00E522C4" w:rsidRPr="00E63B0D" w:rsidRDefault="005C6D92" w:rsidP="005C6D92">
      <w:pPr>
        <w:pStyle w:val="ManualNumPar1"/>
        <w:rPr>
          <w:noProof/>
        </w:rPr>
      </w:pPr>
      <w:r w:rsidRPr="005C6D92">
        <w:rPr>
          <w:noProof/>
        </w:rPr>
        <w:t>5.</w:t>
      </w:r>
      <w:r w:rsidRPr="005C6D92">
        <w:rPr>
          <w:noProof/>
        </w:rPr>
        <w:tab/>
      </w:r>
      <w:r w:rsidR="00E522C4" w:rsidRPr="00E63B0D">
        <w:rPr>
          <w:noProof/>
        </w:rPr>
        <w:t>Popravki predloženih poročil se predložijo brez nepotrebnega odlašanja.</w:t>
      </w:r>
    </w:p>
    <w:p w:rsidR="00E522C4" w:rsidRPr="00E63B0D" w:rsidRDefault="00E522C4" w:rsidP="00184085">
      <w:pPr>
        <w:pStyle w:val="Titrearticle"/>
        <w:rPr>
          <w:noProof/>
        </w:rPr>
      </w:pPr>
      <w:r w:rsidRPr="00E63B0D">
        <w:rPr>
          <w:noProof/>
        </w:rPr>
        <w:t>Člen 7</w:t>
      </w:r>
    </w:p>
    <w:p w:rsidR="00E522C4" w:rsidRPr="00E63B0D" w:rsidRDefault="00E522C4" w:rsidP="00184085">
      <w:pPr>
        <w:pStyle w:val="Titrearticle"/>
        <w:spacing w:before="0"/>
        <w:rPr>
          <w:b/>
          <w:bCs/>
          <w:i w:val="0"/>
          <w:iCs/>
          <w:noProof/>
        </w:rPr>
      </w:pPr>
      <w:r w:rsidRPr="00E63B0D">
        <w:rPr>
          <w:b/>
          <w:i w:val="0"/>
          <w:noProof/>
        </w:rPr>
        <w:t>Oblike izmenjave podatkov in informacije, ki se priložijo predloženim podatkom</w:t>
      </w:r>
    </w:p>
    <w:p w:rsidR="00E522C4" w:rsidRPr="00E63B0D" w:rsidRDefault="005C6D92" w:rsidP="005C6D92">
      <w:pPr>
        <w:pStyle w:val="ManualNumPar1"/>
        <w:rPr>
          <w:noProof/>
        </w:rPr>
      </w:pPr>
      <w:r w:rsidRPr="005C6D92">
        <w:rPr>
          <w:noProof/>
        </w:rPr>
        <w:t>1.</w:t>
      </w:r>
      <w:r w:rsidRPr="005C6D92">
        <w:rPr>
          <w:noProof/>
        </w:rPr>
        <w:tab/>
      </w:r>
      <w:r w:rsidR="00E522C4" w:rsidRPr="00E63B0D">
        <w:rPr>
          <w:noProof/>
        </w:rPr>
        <w:t xml:space="preserve">Institucije oziroma, v primeru skupin, nadrejene družbe v Uniji informacije iz členov 2 do 5, kot so določene v predlogah iz Priloge I, predložijo v oblikah za izmenjavo podatkov in predstavitvah, ki jih določijo organi za reševanje, pri čemer upoštevajo opredelitve podatkovne točke, vključene v enotni model podatkovnih točk iz Priloge II, ter validacijska pravila iz Priloge III. </w:t>
      </w:r>
    </w:p>
    <w:p w:rsidR="00E522C4" w:rsidRPr="00E63B0D" w:rsidRDefault="005C6D92" w:rsidP="005C6D92">
      <w:pPr>
        <w:pStyle w:val="ManualNumPar1"/>
        <w:rPr>
          <w:noProof/>
        </w:rPr>
      </w:pPr>
      <w:r w:rsidRPr="005C6D92">
        <w:rPr>
          <w:noProof/>
        </w:rPr>
        <w:t>2.</w:t>
      </w:r>
      <w:r w:rsidRPr="005C6D92">
        <w:rPr>
          <w:noProof/>
        </w:rPr>
        <w:tab/>
      </w:r>
      <w:r w:rsidR="00E522C4" w:rsidRPr="00E63B0D">
        <w:rPr>
          <w:noProof/>
        </w:rPr>
        <w:t>Poleg obveznosti iz odstavka 1 institucije oziroma, v primeru skupin, nadrejene družbe v Uniji zagotovijo naslednje:</w:t>
      </w:r>
    </w:p>
    <w:p w:rsidR="00E522C4" w:rsidRPr="00E63B0D" w:rsidRDefault="005C6D92" w:rsidP="005C6D92">
      <w:pPr>
        <w:pStyle w:val="Point1"/>
        <w:rPr>
          <w:noProof/>
        </w:rPr>
      </w:pPr>
      <w:r w:rsidRPr="005C6D92">
        <w:rPr>
          <w:noProof/>
        </w:rPr>
        <w:t>(a)</w:t>
      </w:r>
      <w:r w:rsidRPr="005C6D92">
        <w:rPr>
          <w:noProof/>
        </w:rPr>
        <w:tab/>
      </w:r>
      <w:r w:rsidR="00E522C4" w:rsidRPr="00E63B0D">
        <w:rPr>
          <w:noProof/>
        </w:rPr>
        <w:t>numerične vrednosti se predložijo, kot sledi:</w:t>
      </w:r>
    </w:p>
    <w:p w:rsidR="00E522C4" w:rsidRPr="00E63B0D" w:rsidRDefault="00E522C4" w:rsidP="00184085">
      <w:pPr>
        <w:pStyle w:val="Point2"/>
        <w:rPr>
          <w:noProof/>
        </w:rPr>
      </w:pPr>
      <w:r w:rsidRPr="00E63B0D">
        <w:rPr>
          <w:noProof/>
        </w:rPr>
        <w:t>(i)</w:t>
      </w:r>
      <w:r w:rsidRPr="00E63B0D">
        <w:rPr>
          <w:noProof/>
        </w:rPr>
        <w:tab/>
        <w:t>podatkovne točke podatkov vrste „</w:t>
      </w:r>
      <w:r w:rsidR="00E51078">
        <w:rPr>
          <w:noProof/>
        </w:rPr>
        <w:t>dena</w:t>
      </w:r>
      <w:r w:rsidRPr="00E63B0D">
        <w:rPr>
          <w:noProof/>
        </w:rPr>
        <w:t xml:space="preserve">rno“ se poročajo z najmanjšim ekvivalentom natančnosti na deset tisoč enot; </w:t>
      </w:r>
    </w:p>
    <w:p w:rsidR="00E522C4" w:rsidRPr="00E63B0D" w:rsidRDefault="00E522C4" w:rsidP="00184085">
      <w:pPr>
        <w:pStyle w:val="Point2"/>
        <w:rPr>
          <w:noProof/>
        </w:rPr>
      </w:pPr>
      <w:r w:rsidRPr="00E63B0D">
        <w:rPr>
          <w:noProof/>
        </w:rPr>
        <w:t>(ii)</w:t>
      </w:r>
      <w:r w:rsidRPr="00E63B0D">
        <w:rPr>
          <w:noProof/>
        </w:rPr>
        <w:tab/>
        <w:t xml:space="preserve">podatkovne točke podatkov </w:t>
      </w:r>
      <w:r w:rsidR="00E51078">
        <w:rPr>
          <w:noProof/>
        </w:rPr>
        <w:t>vrste</w:t>
      </w:r>
      <w:r w:rsidRPr="00E63B0D">
        <w:rPr>
          <w:noProof/>
        </w:rPr>
        <w:t xml:space="preserve"> „odstotek“ se izrazijo na enoto z najmanjšim ekvivalentom natančnosti na štiri decimalna mesta;</w:t>
      </w:r>
    </w:p>
    <w:p w:rsidR="00E522C4" w:rsidRPr="00E63B0D" w:rsidRDefault="00E522C4" w:rsidP="00184085">
      <w:pPr>
        <w:pStyle w:val="Point2"/>
        <w:rPr>
          <w:noProof/>
        </w:rPr>
      </w:pPr>
      <w:r w:rsidRPr="00E63B0D">
        <w:rPr>
          <w:noProof/>
        </w:rPr>
        <w:t>(iii)</w:t>
      </w:r>
      <w:r w:rsidRPr="00E63B0D">
        <w:rPr>
          <w:noProof/>
        </w:rPr>
        <w:tab/>
        <w:t xml:space="preserve">podatkovne točke podatkov </w:t>
      </w:r>
      <w:r w:rsidR="00E51078">
        <w:rPr>
          <w:noProof/>
        </w:rPr>
        <w:t>vrste</w:t>
      </w:r>
      <w:r w:rsidRPr="00E63B0D">
        <w:rPr>
          <w:noProof/>
        </w:rPr>
        <w:t xml:space="preserve"> „celo število“ se poročajo brez decimalnih mest in z ekvivalentom natančnosti na enoto;</w:t>
      </w:r>
    </w:p>
    <w:p w:rsidR="00E522C4" w:rsidRPr="00E63B0D" w:rsidRDefault="005C6D92" w:rsidP="005C6D92">
      <w:pPr>
        <w:pStyle w:val="Point1"/>
        <w:rPr>
          <w:noProof/>
        </w:rPr>
      </w:pPr>
      <w:r w:rsidRPr="005C6D92">
        <w:rPr>
          <w:noProof/>
        </w:rPr>
        <w:t>(b)</w:t>
      </w:r>
      <w:r w:rsidRPr="005C6D92">
        <w:rPr>
          <w:noProof/>
        </w:rPr>
        <w:tab/>
      </w:r>
      <w:r w:rsidR="00E522C4" w:rsidRPr="00E63B0D">
        <w:rPr>
          <w:noProof/>
        </w:rPr>
        <w:t>institucije in zavarovalnice se identificirajo izključno z njihovim identifikatorjem pravnih subjektov;</w:t>
      </w:r>
    </w:p>
    <w:p w:rsidR="00E522C4" w:rsidRPr="00E63B0D" w:rsidRDefault="005C6D92" w:rsidP="005C6D92">
      <w:pPr>
        <w:pStyle w:val="Point1"/>
        <w:rPr>
          <w:noProof/>
        </w:rPr>
      </w:pPr>
      <w:r w:rsidRPr="005C6D92">
        <w:rPr>
          <w:noProof/>
        </w:rPr>
        <w:t>(c)</w:t>
      </w:r>
      <w:r w:rsidRPr="005C6D92">
        <w:rPr>
          <w:noProof/>
        </w:rPr>
        <w:tab/>
      </w:r>
      <w:r w:rsidR="00E522C4" w:rsidRPr="00E63B0D">
        <w:rPr>
          <w:noProof/>
        </w:rPr>
        <w:t>pravni subjekti in nasprotne stranke, ki niso institucije in zavarovalnice, se identificirajo z njihovim identifikatorjem pravnih subjektov, če je na voljo;</w:t>
      </w:r>
    </w:p>
    <w:p w:rsidR="0046629F" w:rsidRPr="00E63B0D" w:rsidRDefault="005C6D92" w:rsidP="005C6D92">
      <w:pPr>
        <w:pStyle w:val="Point1"/>
        <w:rPr>
          <w:noProof/>
        </w:rPr>
      </w:pPr>
      <w:r w:rsidRPr="005C6D92">
        <w:rPr>
          <w:noProof/>
        </w:rPr>
        <w:t>(d)</w:t>
      </w:r>
      <w:r w:rsidRPr="005C6D92">
        <w:rPr>
          <w:noProof/>
        </w:rPr>
        <w:tab/>
      </w:r>
      <w:r w:rsidR="0046629F" w:rsidRPr="00E63B0D">
        <w:rPr>
          <w:noProof/>
        </w:rPr>
        <w:t>informacije, ki niso zahtevane ali relevantne, se ne vključijo v predložene podatke.</w:t>
      </w:r>
    </w:p>
    <w:p w:rsidR="00E522C4" w:rsidRPr="00E63B0D" w:rsidRDefault="005C6D92" w:rsidP="005C6D92">
      <w:pPr>
        <w:pStyle w:val="ManualNumPar1"/>
        <w:rPr>
          <w:noProof/>
        </w:rPr>
      </w:pPr>
      <w:r w:rsidRPr="005C6D92">
        <w:rPr>
          <w:noProof/>
        </w:rPr>
        <w:t>3.</w:t>
      </w:r>
      <w:r w:rsidRPr="005C6D92">
        <w:rPr>
          <w:noProof/>
        </w:rPr>
        <w:tab/>
      </w:r>
      <w:r w:rsidR="004B472A" w:rsidRPr="00E63B0D">
        <w:rPr>
          <w:noProof/>
        </w:rPr>
        <w:t>Institucije oziroma, v primeru skupin, nadrejene družbe v Uniji, predloženim podatkom priložijo naslednje informacije:</w:t>
      </w:r>
    </w:p>
    <w:p w:rsidR="004B472A" w:rsidRPr="00E63B0D" w:rsidRDefault="005C6D92" w:rsidP="005C6D92">
      <w:pPr>
        <w:pStyle w:val="Point1"/>
        <w:rPr>
          <w:noProof/>
        </w:rPr>
      </w:pPr>
      <w:r w:rsidRPr="005C6D92">
        <w:rPr>
          <w:noProof/>
        </w:rPr>
        <w:t>(a)</w:t>
      </w:r>
      <w:r w:rsidRPr="005C6D92">
        <w:rPr>
          <w:noProof/>
        </w:rPr>
        <w:tab/>
      </w:r>
      <w:r w:rsidR="004B472A" w:rsidRPr="00E63B0D">
        <w:rPr>
          <w:noProof/>
        </w:rPr>
        <w:t>referenčni datum;</w:t>
      </w:r>
    </w:p>
    <w:p w:rsidR="004B472A" w:rsidRPr="00E63B0D" w:rsidRDefault="005C6D92" w:rsidP="005C6D92">
      <w:pPr>
        <w:pStyle w:val="Point1"/>
        <w:rPr>
          <w:noProof/>
        </w:rPr>
      </w:pPr>
      <w:r w:rsidRPr="005C6D92">
        <w:rPr>
          <w:noProof/>
        </w:rPr>
        <w:t>(b)</w:t>
      </w:r>
      <w:r w:rsidRPr="005C6D92">
        <w:rPr>
          <w:noProof/>
        </w:rPr>
        <w:tab/>
      </w:r>
      <w:r w:rsidR="004B472A" w:rsidRPr="00E63B0D">
        <w:rPr>
          <w:noProof/>
        </w:rPr>
        <w:t>valuto poročanja;</w:t>
      </w:r>
    </w:p>
    <w:p w:rsidR="004B472A" w:rsidRPr="00E63B0D" w:rsidRDefault="005C6D92" w:rsidP="005C6D92">
      <w:pPr>
        <w:pStyle w:val="Point1"/>
        <w:rPr>
          <w:noProof/>
        </w:rPr>
      </w:pPr>
      <w:r w:rsidRPr="005C6D92">
        <w:rPr>
          <w:noProof/>
        </w:rPr>
        <w:t>(c)</w:t>
      </w:r>
      <w:r w:rsidRPr="005C6D92">
        <w:rPr>
          <w:noProof/>
        </w:rPr>
        <w:tab/>
      </w:r>
      <w:r w:rsidR="004B472A" w:rsidRPr="00E63B0D">
        <w:rPr>
          <w:noProof/>
        </w:rPr>
        <w:t>računovodski standard;</w:t>
      </w:r>
    </w:p>
    <w:p w:rsidR="004B472A" w:rsidRPr="00E63B0D" w:rsidRDefault="005C6D92" w:rsidP="005C6D92">
      <w:pPr>
        <w:pStyle w:val="Point1"/>
        <w:rPr>
          <w:noProof/>
        </w:rPr>
      </w:pPr>
      <w:r w:rsidRPr="005C6D92">
        <w:rPr>
          <w:noProof/>
        </w:rPr>
        <w:t>(d)</w:t>
      </w:r>
      <w:r w:rsidRPr="005C6D92">
        <w:rPr>
          <w:noProof/>
        </w:rPr>
        <w:tab/>
      </w:r>
      <w:r w:rsidR="004B472A" w:rsidRPr="00E63B0D">
        <w:rPr>
          <w:noProof/>
        </w:rPr>
        <w:t>identifikator pravnih subjektov poročajočega subjekta;</w:t>
      </w:r>
    </w:p>
    <w:p w:rsidR="004B472A" w:rsidRPr="00E63B0D" w:rsidRDefault="005C6D92" w:rsidP="005C6D92">
      <w:pPr>
        <w:pStyle w:val="Point1"/>
        <w:rPr>
          <w:noProof/>
        </w:rPr>
      </w:pPr>
      <w:r w:rsidRPr="005C6D92">
        <w:rPr>
          <w:noProof/>
        </w:rPr>
        <w:t>(e)</w:t>
      </w:r>
      <w:r w:rsidRPr="005C6D92">
        <w:rPr>
          <w:noProof/>
        </w:rPr>
        <w:tab/>
      </w:r>
      <w:r w:rsidR="004B472A" w:rsidRPr="00E63B0D">
        <w:rPr>
          <w:noProof/>
        </w:rPr>
        <w:t>raven uporabe, kot je določena v členih 2, 3 in 4.</w:t>
      </w:r>
    </w:p>
    <w:p w:rsidR="004B472A" w:rsidRPr="00E63B0D" w:rsidRDefault="004B472A" w:rsidP="00184085">
      <w:pPr>
        <w:pStyle w:val="Titrearticle"/>
        <w:rPr>
          <w:noProof/>
        </w:rPr>
      </w:pPr>
      <w:bookmarkStart w:id="3" w:name="_Hlk169616472"/>
      <w:r w:rsidRPr="00E63B0D">
        <w:rPr>
          <w:noProof/>
        </w:rPr>
        <w:t>Člen 8</w:t>
      </w:r>
    </w:p>
    <w:p w:rsidR="004B472A" w:rsidRPr="00E63B0D" w:rsidRDefault="004B472A" w:rsidP="00184085">
      <w:pPr>
        <w:pStyle w:val="Titrearticle"/>
        <w:spacing w:before="0"/>
        <w:rPr>
          <w:b/>
          <w:bCs/>
          <w:i w:val="0"/>
          <w:iCs/>
          <w:noProof/>
        </w:rPr>
      </w:pPr>
      <w:r w:rsidRPr="00E63B0D">
        <w:rPr>
          <w:b/>
          <w:i w:val="0"/>
          <w:noProof/>
        </w:rPr>
        <w:t xml:space="preserve">Zagotavljanje dodatnih informacij za potrebe načrtov reševanja posameznih subjektov ali skupin </w:t>
      </w:r>
    </w:p>
    <w:bookmarkEnd w:id="3"/>
    <w:p w:rsidR="00FA69C1" w:rsidRPr="00E63B0D" w:rsidRDefault="005C6D92" w:rsidP="005C6D92">
      <w:pPr>
        <w:pStyle w:val="ManualNumPar1"/>
        <w:rPr>
          <w:noProof/>
        </w:rPr>
      </w:pPr>
      <w:r w:rsidRPr="005C6D92">
        <w:rPr>
          <w:noProof/>
        </w:rPr>
        <w:t>1.</w:t>
      </w:r>
      <w:r w:rsidRPr="005C6D92">
        <w:rPr>
          <w:noProof/>
        </w:rPr>
        <w:tab/>
      </w:r>
      <w:r w:rsidR="00C747E3" w:rsidRPr="00E63B0D">
        <w:rPr>
          <w:noProof/>
        </w:rPr>
        <w:t>Organ za reševanje ali organ za reševanje, pristojen na ravni skupine, od zadevne institucije ali nadrejene družbe v Uniji zahteva dodatne informacije ali informacije v novi obliki v primeru česar koli od naslednjega:</w:t>
      </w:r>
    </w:p>
    <w:p w:rsidR="00FA69C1" w:rsidRPr="00E63B0D" w:rsidRDefault="005C6D92" w:rsidP="005C6D92">
      <w:pPr>
        <w:pStyle w:val="Point1"/>
        <w:rPr>
          <w:noProof/>
        </w:rPr>
      </w:pPr>
      <w:r w:rsidRPr="005C6D92">
        <w:rPr>
          <w:noProof/>
        </w:rPr>
        <w:t>(a)</w:t>
      </w:r>
      <w:r w:rsidRPr="005C6D92">
        <w:rPr>
          <w:noProof/>
        </w:rPr>
        <w:tab/>
      </w:r>
      <w:r w:rsidR="00FA69C1" w:rsidRPr="00E63B0D">
        <w:rPr>
          <w:noProof/>
        </w:rPr>
        <w:t>organ za reševanje ali organ za reševanje, pristojen na ravni skupine, meni, da take informacije niso zajete v nobeni predlogi iz Priloge I ter so potrebne za pripravo in izvajanje načrtov reševanja;</w:t>
      </w:r>
    </w:p>
    <w:p w:rsidR="00FA69C1" w:rsidRPr="00E63B0D" w:rsidRDefault="005C6D92" w:rsidP="005C6D92">
      <w:pPr>
        <w:pStyle w:val="Point1"/>
        <w:rPr>
          <w:noProof/>
        </w:rPr>
      </w:pPr>
      <w:r w:rsidRPr="005C6D92">
        <w:rPr>
          <w:noProof/>
        </w:rPr>
        <w:t>(b)</w:t>
      </w:r>
      <w:r w:rsidRPr="005C6D92">
        <w:rPr>
          <w:noProof/>
        </w:rPr>
        <w:tab/>
      </w:r>
      <w:r w:rsidR="00FA69C1" w:rsidRPr="00E63B0D">
        <w:rPr>
          <w:noProof/>
        </w:rPr>
        <w:t>organ za reševanje ali organ za reševanje, pristojen na ravni skupine, meni, da je pridobivanje takih informacij od subjektov, za katere veljajo poenostavljene obveznosti, potrebno za pripravo in izvajanje načrtov reševanja;</w:t>
      </w:r>
    </w:p>
    <w:p w:rsidR="00FA69C1" w:rsidRPr="00E63B0D" w:rsidRDefault="005C6D92" w:rsidP="005C6D92">
      <w:pPr>
        <w:pStyle w:val="Point1"/>
        <w:rPr>
          <w:noProof/>
        </w:rPr>
      </w:pPr>
      <w:r w:rsidRPr="005C6D92">
        <w:rPr>
          <w:noProof/>
        </w:rPr>
        <w:t>(c)</w:t>
      </w:r>
      <w:r w:rsidRPr="005C6D92">
        <w:rPr>
          <w:noProof/>
        </w:rPr>
        <w:tab/>
      </w:r>
      <w:r w:rsidR="00FA69C1" w:rsidRPr="00E63B0D">
        <w:rPr>
          <w:noProof/>
        </w:rPr>
        <w:t>oblika, v kateri pristojni organ zagotovi informacije na podlagi člena 9(2), ni primerna za pripravo ali izvajanje načrtov reševanja.</w:t>
      </w:r>
    </w:p>
    <w:p w:rsidR="004B472A" w:rsidRPr="00E63B0D" w:rsidRDefault="005C6D92" w:rsidP="005C6D92">
      <w:pPr>
        <w:pStyle w:val="ManualNumPar1"/>
        <w:rPr>
          <w:noProof/>
        </w:rPr>
      </w:pPr>
      <w:r w:rsidRPr="005C6D92">
        <w:rPr>
          <w:noProof/>
        </w:rPr>
        <w:t>2.</w:t>
      </w:r>
      <w:r w:rsidRPr="005C6D92">
        <w:rPr>
          <w:noProof/>
        </w:rPr>
        <w:tab/>
      </w:r>
      <w:r w:rsidR="004B472A" w:rsidRPr="00E63B0D">
        <w:rPr>
          <w:noProof/>
        </w:rPr>
        <w:t>Za namene zahteve iz odstavka 1 organ za reševanje:</w:t>
      </w:r>
    </w:p>
    <w:p w:rsidR="004B472A" w:rsidRPr="00E63B0D" w:rsidRDefault="005C6D92" w:rsidP="005C6D92">
      <w:pPr>
        <w:pStyle w:val="Point1"/>
        <w:rPr>
          <w:noProof/>
        </w:rPr>
      </w:pPr>
      <w:r w:rsidRPr="005C6D92">
        <w:rPr>
          <w:noProof/>
        </w:rPr>
        <w:t>(a)</w:t>
      </w:r>
      <w:r w:rsidRPr="005C6D92">
        <w:rPr>
          <w:noProof/>
        </w:rPr>
        <w:tab/>
      </w:r>
      <w:r w:rsidR="004B472A" w:rsidRPr="00E63B0D">
        <w:rPr>
          <w:noProof/>
        </w:rPr>
        <w:t>opredeli dodatne informacije, ki jih je treba zagotoviti;</w:t>
      </w:r>
    </w:p>
    <w:p w:rsidR="004B472A" w:rsidRPr="00E63B0D" w:rsidRDefault="005C6D92" w:rsidP="005C6D92">
      <w:pPr>
        <w:pStyle w:val="Point1"/>
        <w:rPr>
          <w:noProof/>
        </w:rPr>
      </w:pPr>
      <w:r w:rsidRPr="005C6D92">
        <w:rPr>
          <w:noProof/>
        </w:rPr>
        <w:t>(b)</w:t>
      </w:r>
      <w:r w:rsidRPr="005C6D92">
        <w:rPr>
          <w:noProof/>
        </w:rPr>
        <w:tab/>
      </w:r>
      <w:r w:rsidR="004B472A" w:rsidRPr="00E63B0D">
        <w:rPr>
          <w:noProof/>
        </w:rPr>
        <w:t>določi ustrezen časovni okvir, v katerem institucija oziroma, v primeru skupin, nadrejena družba v Uniji predloži informacije organu za reševanje, pri čemer upošteva obseg in kompleksnost zahtevanih informacij;</w:t>
      </w:r>
    </w:p>
    <w:p w:rsidR="004B472A" w:rsidRPr="00E63B0D" w:rsidRDefault="005C6D92" w:rsidP="005C6D92">
      <w:pPr>
        <w:pStyle w:val="Point1"/>
        <w:rPr>
          <w:noProof/>
        </w:rPr>
      </w:pPr>
      <w:r w:rsidRPr="005C6D92">
        <w:rPr>
          <w:noProof/>
        </w:rPr>
        <w:t>(c)</w:t>
      </w:r>
      <w:r w:rsidRPr="005C6D92">
        <w:rPr>
          <w:noProof/>
        </w:rPr>
        <w:tab/>
      </w:r>
      <w:r w:rsidR="004B472A" w:rsidRPr="00E63B0D">
        <w:rPr>
          <w:noProof/>
        </w:rPr>
        <w:t>določi obliko, ki jo morajo uporabiti institucije oziroma, v primeru skupin, nadrejene družbe v Uniji, za zagotovitev informacij organu za reševanje;</w:t>
      </w:r>
    </w:p>
    <w:p w:rsidR="004B472A" w:rsidRPr="00E63B0D" w:rsidRDefault="005C6D92" w:rsidP="005C6D92">
      <w:pPr>
        <w:pStyle w:val="Point1"/>
        <w:rPr>
          <w:noProof/>
        </w:rPr>
      </w:pPr>
      <w:r w:rsidRPr="005C6D92">
        <w:rPr>
          <w:noProof/>
        </w:rPr>
        <w:t>(d)</w:t>
      </w:r>
      <w:r w:rsidRPr="005C6D92">
        <w:rPr>
          <w:noProof/>
        </w:rPr>
        <w:tab/>
      </w:r>
      <w:r w:rsidR="004B472A" w:rsidRPr="00E63B0D">
        <w:rPr>
          <w:noProof/>
        </w:rPr>
        <w:t>določi, ali je treba informacije zagotoviti na posamični, subkonsolidirani ali konsolidirani podlagi ter ali se nanašajo na lokalno raven, raven Unije ali globalno raven;</w:t>
      </w:r>
    </w:p>
    <w:p w:rsidR="004B472A" w:rsidRPr="00E63B0D" w:rsidRDefault="005C6D92" w:rsidP="005C6D92">
      <w:pPr>
        <w:pStyle w:val="Point1"/>
        <w:rPr>
          <w:noProof/>
        </w:rPr>
      </w:pPr>
      <w:r w:rsidRPr="005C6D92">
        <w:rPr>
          <w:noProof/>
        </w:rPr>
        <w:t>(e)</w:t>
      </w:r>
      <w:r w:rsidRPr="005C6D92">
        <w:rPr>
          <w:noProof/>
        </w:rPr>
        <w:tab/>
      </w:r>
      <w:r w:rsidR="004B472A" w:rsidRPr="00E63B0D">
        <w:rPr>
          <w:noProof/>
        </w:rPr>
        <w:t>določi točnega prejemnika, oblike izmenjave podatkov in informacije, ki jih je treba priložiti predloženim informacijam, če je treba zagotoviti dodatne informacije.</w:t>
      </w:r>
    </w:p>
    <w:p w:rsidR="004B472A" w:rsidRPr="00E63B0D" w:rsidRDefault="004B472A" w:rsidP="00184085">
      <w:pPr>
        <w:pStyle w:val="Titrearticle"/>
        <w:rPr>
          <w:noProof/>
        </w:rPr>
      </w:pPr>
      <w:r w:rsidRPr="00E63B0D">
        <w:rPr>
          <w:noProof/>
        </w:rPr>
        <w:t>Člen 9</w:t>
      </w:r>
    </w:p>
    <w:p w:rsidR="004B472A" w:rsidRPr="00E63B0D" w:rsidRDefault="004B472A" w:rsidP="00184085">
      <w:pPr>
        <w:pStyle w:val="Titrearticle"/>
        <w:spacing w:before="0"/>
        <w:rPr>
          <w:b/>
          <w:bCs/>
          <w:i w:val="0"/>
          <w:iCs/>
          <w:noProof/>
        </w:rPr>
      </w:pPr>
      <w:r w:rsidRPr="00E63B0D">
        <w:rPr>
          <w:b/>
          <w:i w:val="0"/>
          <w:noProof/>
        </w:rPr>
        <w:t>Sodelovanje med pristojnimi organi in organi za reševanje</w:t>
      </w:r>
    </w:p>
    <w:p w:rsidR="004B472A" w:rsidRPr="00E63B0D" w:rsidRDefault="005C6D92" w:rsidP="005C6D92">
      <w:pPr>
        <w:pStyle w:val="ManualNumPar1"/>
        <w:rPr>
          <w:noProof/>
        </w:rPr>
      </w:pPr>
      <w:r w:rsidRPr="005C6D92">
        <w:rPr>
          <w:noProof/>
        </w:rPr>
        <w:t>1.</w:t>
      </w:r>
      <w:r w:rsidRPr="005C6D92">
        <w:rPr>
          <w:noProof/>
        </w:rPr>
        <w:tab/>
      </w:r>
      <w:r w:rsidR="004B472A" w:rsidRPr="00E63B0D">
        <w:rPr>
          <w:noProof/>
        </w:rPr>
        <w:t>Pristojni organi in organi za reševanje skupaj preverijo, ali so nekatere ali vse informacije, ki jih je treba zagotoviti organu za reševanje v skladu s členi 2 do 5 in členoma 7 ter 8, pristojnemu organu že na voljo.</w:t>
      </w:r>
    </w:p>
    <w:p w:rsidR="004B472A" w:rsidRPr="00E63B0D" w:rsidRDefault="005C6D92" w:rsidP="005C6D92">
      <w:pPr>
        <w:pStyle w:val="ManualNumPar1"/>
        <w:rPr>
          <w:noProof/>
        </w:rPr>
      </w:pPr>
      <w:r w:rsidRPr="005C6D92">
        <w:rPr>
          <w:noProof/>
        </w:rPr>
        <w:t>2.</w:t>
      </w:r>
      <w:r w:rsidRPr="005C6D92">
        <w:rPr>
          <w:noProof/>
        </w:rPr>
        <w:tab/>
      </w:r>
      <w:r w:rsidR="004B472A" w:rsidRPr="00E63B0D">
        <w:rPr>
          <w:noProof/>
        </w:rPr>
        <w:t xml:space="preserve">Če so nekatere ali vse informacije že na voljo pristojnemu organu, ta organ take informacije pravočasno zagotovi organu za reševanje. </w:t>
      </w:r>
    </w:p>
    <w:p w:rsidR="004B472A" w:rsidRPr="00E63B0D" w:rsidRDefault="005C6D92" w:rsidP="005C6D92">
      <w:pPr>
        <w:pStyle w:val="ManualNumPar1"/>
        <w:rPr>
          <w:noProof/>
        </w:rPr>
      </w:pPr>
      <w:r w:rsidRPr="005C6D92">
        <w:rPr>
          <w:noProof/>
        </w:rPr>
        <w:t>3.</w:t>
      </w:r>
      <w:r w:rsidRPr="005C6D92">
        <w:rPr>
          <w:noProof/>
        </w:rPr>
        <w:tab/>
      </w:r>
      <w:r w:rsidR="00914032" w:rsidRPr="00E63B0D">
        <w:rPr>
          <w:noProof/>
        </w:rPr>
        <w:t>Za namene odstavka 2 organi za reševanje obvestijo institucije oziroma, v primeru skupin, nadrejene družbe v Uniji o informacijah, ki jih je treba vključiti v podatke, predložene na podlagi te uredbe. Organi za reševanje navedene informacije opredelijo s sklicevanjem na predloge iz Priloge I.</w:t>
      </w:r>
    </w:p>
    <w:p w:rsidR="004B472A" w:rsidRPr="00E63B0D" w:rsidRDefault="004B472A" w:rsidP="00184085">
      <w:pPr>
        <w:pStyle w:val="Titrearticle"/>
        <w:rPr>
          <w:noProof/>
        </w:rPr>
      </w:pPr>
      <w:r w:rsidRPr="00E63B0D">
        <w:rPr>
          <w:noProof/>
        </w:rPr>
        <w:t>Člen 10</w:t>
      </w:r>
    </w:p>
    <w:p w:rsidR="004B472A" w:rsidRPr="00E63B0D" w:rsidRDefault="004B472A" w:rsidP="00184085">
      <w:pPr>
        <w:pStyle w:val="Titrearticle"/>
        <w:spacing w:before="0"/>
        <w:rPr>
          <w:b/>
          <w:bCs/>
          <w:i w:val="0"/>
          <w:iCs/>
          <w:noProof/>
        </w:rPr>
      </w:pPr>
      <w:r w:rsidRPr="00E63B0D">
        <w:rPr>
          <w:b/>
          <w:i w:val="0"/>
          <w:noProof/>
        </w:rPr>
        <w:t>Razveljavitev</w:t>
      </w:r>
    </w:p>
    <w:p w:rsidR="004B472A" w:rsidRPr="00E63B0D" w:rsidRDefault="004B472A" w:rsidP="00184085">
      <w:pPr>
        <w:rPr>
          <w:noProof/>
        </w:rPr>
      </w:pPr>
      <w:r w:rsidRPr="00E63B0D">
        <w:rPr>
          <w:noProof/>
        </w:rPr>
        <w:t>Izvedbena uredba (EU) 2018/1624 se razveljavi.</w:t>
      </w:r>
    </w:p>
    <w:p w:rsidR="004B472A" w:rsidRPr="00E63B0D" w:rsidRDefault="004B472A" w:rsidP="00184085">
      <w:pPr>
        <w:rPr>
          <w:noProof/>
        </w:rPr>
      </w:pPr>
      <w:r w:rsidRPr="00E63B0D">
        <w:rPr>
          <w:noProof/>
        </w:rPr>
        <w:t>Sklicevanja na razveljavljeno izvedbeno uredbo se štejejo za sklicevanja na to uredbo.</w:t>
      </w:r>
    </w:p>
    <w:p w:rsidR="00860655" w:rsidRPr="00E63B0D" w:rsidRDefault="00860655" w:rsidP="00184085">
      <w:pPr>
        <w:pStyle w:val="Titrearticle"/>
        <w:rPr>
          <w:noProof/>
        </w:rPr>
      </w:pPr>
      <w:r w:rsidRPr="00E63B0D">
        <w:rPr>
          <w:noProof/>
        </w:rPr>
        <w:t>Člen 11</w:t>
      </w:r>
    </w:p>
    <w:p w:rsidR="004B472A" w:rsidRPr="00E63B0D" w:rsidRDefault="004B472A" w:rsidP="00184085">
      <w:pPr>
        <w:pStyle w:val="Titrearticle"/>
        <w:spacing w:before="0"/>
        <w:rPr>
          <w:b/>
          <w:bCs/>
          <w:i w:val="0"/>
          <w:iCs/>
          <w:noProof/>
        </w:rPr>
      </w:pPr>
      <w:r w:rsidRPr="00E63B0D">
        <w:rPr>
          <w:b/>
          <w:i w:val="0"/>
          <w:noProof/>
        </w:rPr>
        <w:t>Začetek veljavnosti</w:t>
      </w:r>
    </w:p>
    <w:p w:rsidR="00860655" w:rsidRPr="00E63B0D" w:rsidRDefault="00860655" w:rsidP="00184085">
      <w:pPr>
        <w:rPr>
          <w:noProof/>
        </w:rPr>
      </w:pPr>
      <w:r w:rsidRPr="00E63B0D">
        <w:rPr>
          <w:noProof/>
        </w:rPr>
        <w:t xml:space="preserve">Ta uredba začne veljati dvajseti dan po objavi v </w:t>
      </w:r>
      <w:r w:rsidRPr="00E63B0D">
        <w:rPr>
          <w:i/>
          <w:noProof/>
        </w:rPr>
        <w:t>Uradnem listu Evropske unije</w:t>
      </w:r>
      <w:r w:rsidRPr="00E63B0D">
        <w:rPr>
          <w:noProof/>
        </w:rPr>
        <w:t>.</w:t>
      </w:r>
    </w:p>
    <w:p w:rsidR="00860655" w:rsidRPr="00E63B0D" w:rsidRDefault="00860655" w:rsidP="00184085">
      <w:pPr>
        <w:pStyle w:val="Applicationdirecte"/>
        <w:rPr>
          <w:noProof/>
        </w:rPr>
      </w:pPr>
      <w:r w:rsidRPr="00E63B0D">
        <w:rPr>
          <w:noProof/>
        </w:rPr>
        <w:t>Ta uredba je v celoti zavezujoča in se neposredno uporablja v vseh državah članicah.</w:t>
      </w:r>
    </w:p>
    <w:p w:rsidR="00860655" w:rsidRPr="00E63B0D" w:rsidRDefault="008A4303" w:rsidP="00B07029">
      <w:pPr>
        <w:pStyle w:val="Fait"/>
        <w:rPr>
          <w:noProof/>
        </w:rPr>
      </w:pPr>
      <w:r>
        <w:rPr>
          <w:noProof/>
        </w:rPr>
        <w:t>V Bruslju, 14.11.2025</w:t>
      </w:r>
    </w:p>
    <w:p w:rsidR="00860655" w:rsidRPr="00E63B0D" w:rsidRDefault="00860655" w:rsidP="00B07029">
      <w:pPr>
        <w:pStyle w:val="Institutionquisigne"/>
        <w:rPr>
          <w:noProof/>
        </w:rPr>
      </w:pPr>
      <w:r w:rsidRPr="00E63B0D">
        <w:rPr>
          <w:noProof/>
        </w:rPr>
        <w:tab/>
        <w:t>Za Komisijo</w:t>
      </w:r>
    </w:p>
    <w:p w:rsidR="00860655" w:rsidRPr="00E63B0D" w:rsidRDefault="003F71D5" w:rsidP="00184085">
      <w:pPr>
        <w:pStyle w:val="Personnequisigne"/>
        <w:rPr>
          <w:noProof/>
        </w:rPr>
      </w:pPr>
      <w:r>
        <w:rPr>
          <w:noProof/>
        </w:rPr>
        <w:tab/>
        <w:t>Predsednica</w:t>
      </w:r>
      <w:r>
        <w:rPr>
          <w:noProof/>
        </w:rPr>
        <w:br/>
      </w:r>
      <w:r>
        <w:rPr>
          <w:noProof/>
        </w:rPr>
        <w:tab/>
        <w:t>Ursula VON DER LEYEN</w:t>
      </w:r>
    </w:p>
    <w:sectPr w:rsidR="00860655" w:rsidRPr="00E63B0D" w:rsidSect="00FE12D4">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D4" w:rsidRPr="00FE12D4" w:rsidRDefault="00FE12D4" w:rsidP="00FE12D4">
    <w:pPr>
      <w:pStyle w:val="Footer"/>
      <w:rPr>
        <w:rFonts w:ascii="Arial" w:hAnsi="Arial" w:cs="Arial"/>
        <w:b/>
        <w:sz w:val="48"/>
      </w:rPr>
    </w:pPr>
    <w:r w:rsidRPr="00FE12D4">
      <w:rPr>
        <w:rFonts w:ascii="Arial" w:hAnsi="Arial" w:cs="Arial"/>
        <w:b/>
        <w:sz w:val="48"/>
      </w:rPr>
      <w:t>SL</w:t>
    </w:r>
    <w:r w:rsidRPr="00FE12D4">
      <w:rPr>
        <w:rFonts w:ascii="Arial" w:hAnsi="Arial" w:cs="Arial"/>
        <w:b/>
        <w:sz w:val="48"/>
      </w:rPr>
      <w:tab/>
    </w:r>
    <w:r w:rsidRPr="00FE12D4">
      <w:rPr>
        <w:rFonts w:ascii="Arial" w:hAnsi="Arial" w:cs="Arial"/>
        <w:b/>
        <w:sz w:val="48"/>
      </w:rPr>
      <w:tab/>
    </w:r>
    <w:r w:rsidRPr="00FE12D4">
      <w:tab/>
    </w:r>
    <w:r w:rsidRPr="00FE12D4">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D4" w:rsidRPr="00FE12D4" w:rsidRDefault="00FE12D4" w:rsidP="00FE12D4">
    <w:pPr>
      <w:pStyle w:val="Footer"/>
      <w:rPr>
        <w:rFonts w:ascii="Arial" w:hAnsi="Arial" w:cs="Arial"/>
        <w:b/>
        <w:sz w:val="48"/>
      </w:rPr>
    </w:pPr>
    <w:r w:rsidRPr="00FE12D4">
      <w:rPr>
        <w:rFonts w:ascii="Arial" w:hAnsi="Arial" w:cs="Arial"/>
        <w:b/>
        <w:sz w:val="48"/>
      </w:rPr>
      <w:t>SL</w:t>
    </w:r>
    <w:r w:rsidRPr="00FE12D4">
      <w:rPr>
        <w:rFonts w:ascii="Arial" w:hAnsi="Arial" w:cs="Arial"/>
        <w:b/>
        <w:sz w:val="48"/>
      </w:rPr>
      <w:tab/>
    </w:r>
    <w:r w:rsidRPr="00FE12D4">
      <w:rPr>
        <w:rFonts w:ascii="Arial" w:hAnsi="Arial" w:cs="Arial"/>
        <w:b/>
        <w:sz w:val="48"/>
      </w:rPr>
      <w:tab/>
    </w:r>
    <w:r w:rsidRPr="00FE12D4">
      <w:tab/>
    </w:r>
    <w:r w:rsidRPr="00FE12D4">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D4" w:rsidRDefault="00FE12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D4" w:rsidRPr="00FE12D4" w:rsidRDefault="00FE12D4" w:rsidP="00FE12D4">
    <w:pPr>
      <w:pStyle w:val="Footer"/>
      <w:rPr>
        <w:rFonts w:ascii="Arial" w:hAnsi="Arial" w:cs="Arial"/>
        <w:b/>
        <w:sz w:val="48"/>
      </w:rPr>
    </w:pPr>
    <w:r w:rsidRPr="00FE12D4">
      <w:rPr>
        <w:rFonts w:ascii="Arial" w:hAnsi="Arial" w:cs="Arial"/>
        <w:b/>
        <w:sz w:val="48"/>
      </w:rPr>
      <w:t>SL</w:t>
    </w:r>
    <w:r w:rsidRPr="00FE12D4">
      <w:rPr>
        <w:rFonts w:ascii="Arial" w:hAnsi="Arial" w:cs="Arial"/>
        <w:b/>
        <w:sz w:val="48"/>
      </w:rPr>
      <w:tab/>
    </w:r>
    <w:r>
      <w:fldChar w:fldCharType="begin"/>
    </w:r>
    <w:r>
      <w:instrText xml:space="preserve"> PAGE  \* MERGEFORMAT </w:instrText>
    </w:r>
    <w:r>
      <w:fldChar w:fldCharType="separate"/>
    </w:r>
    <w:r w:rsidR="004E2C7F">
      <w:rPr>
        <w:noProof/>
      </w:rPr>
      <w:t>2</w:t>
    </w:r>
    <w:r>
      <w:fldChar w:fldCharType="end"/>
    </w:r>
    <w:r>
      <w:tab/>
    </w:r>
    <w:r w:rsidRPr="00FE12D4">
      <w:tab/>
    </w:r>
    <w:r w:rsidRPr="00FE12D4">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D4" w:rsidRDefault="00FE12D4" w:rsidP="00FE1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32641B" w:rsidRDefault="00860655" w:rsidP="00730DBE">
      <w:pPr>
        <w:pStyle w:val="FootnoteText"/>
      </w:pPr>
      <w:r>
        <w:rPr>
          <w:rStyle w:val="FootnoteReference"/>
        </w:rPr>
        <w:footnoteRef/>
      </w:r>
      <w:r>
        <w:tab/>
        <w:t>UL L 173, 12.6.2014, str. 190, ELI: http://data.europa.eu/eli/dir/2014/59/oj.</w:t>
      </w:r>
    </w:p>
  </w:footnote>
  <w:footnote w:id="3">
    <w:p w:rsidR="00736C47" w:rsidRPr="004E6E7D" w:rsidRDefault="00736C47">
      <w:pPr>
        <w:pStyle w:val="FootnoteText"/>
      </w:pPr>
      <w:r>
        <w:rPr>
          <w:rStyle w:val="FootnoteReference"/>
        </w:rPr>
        <w:footnoteRef/>
      </w:r>
      <w:r>
        <w:tab/>
        <w:t>Izvedbena uredba Komisije (EU) 2018/1624 z dne 23. oktobra 2018 o določitvi izvedbenih tehničnih standardov v zvezi s postopki, standardnimi obrazci in predlogami za zagotavljanje informacij za potrebe načrtov reševanja za kreditne institucije in investicijska podjetja v skladu z Direktivo 2014/59/EU Evropskega parlamenta in Sveta ter o razveljavitvi Izvedbene uredbe Komisije (EU) 2016/1066 (UL L 277, 7.11.2018, str. 1, ELI: http://data.europa.eu/eli/reg_impl/2018/1624/oj).</w:t>
      </w:r>
    </w:p>
  </w:footnote>
  <w:footnote w:id="4">
    <w:p w:rsidR="00736C47" w:rsidRPr="004E6E7D" w:rsidRDefault="00736C47">
      <w:pPr>
        <w:pStyle w:val="FootnoteText"/>
      </w:pPr>
      <w:r>
        <w:rPr>
          <w:rStyle w:val="FootnoteReference"/>
        </w:rPr>
        <w:footnoteRef/>
      </w:r>
      <w:r>
        <w:tab/>
        <w:t>Direktiva (EU) 2024/1174 Evropskega parlamenta in Sveta z dne 11. aprila 2024 o spremembi Direktive 2014/59/EU in Uredbe (EU) št. 806/2014 glede določenih vidikov minimalne zahteve glede kapitala in kvalificiranih obveznosti (UL L, 2024/1174, 22.4.2024, str. 1, ELI: http://data.europa.eu/eli/dir/2024/1174/oj).</w:t>
      </w:r>
    </w:p>
  </w:footnote>
  <w:footnote w:id="5">
    <w:p w:rsidR="00736C47" w:rsidRPr="004E6E7D" w:rsidRDefault="00736C47">
      <w:pPr>
        <w:pStyle w:val="FootnoteText"/>
      </w:pPr>
      <w:r>
        <w:rPr>
          <w:rStyle w:val="FootnoteReference"/>
        </w:rPr>
        <w:footnoteRef/>
      </w:r>
      <w:r>
        <w:tab/>
        <w:t>Uredba (EU) št. 1093/2010 Evropskega parlamenta in Sveta z dne 24. novembra 2010 o ustanovitvi Evropskega nadzornega organa (Evropski bančni organ) in o spremembi Sklepa št. 716/2009/ES ter razveljavitvi Sklepa Komisije 2009/78/ES (UL L 331, 15.12.2010, str. 12, ELI: http://data.europa.eu/eli/reg/2010/1093/oj).</w:t>
      </w:r>
    </w:p>
  </w:footnote>
  <w:footnote w:id="6">
    <w:p w:rsidR="00736C47" w:rsidRPr="004E6E7D" w:rsidRDefault="00736C47">
      <w:pPr>
        <w:pStyle w:val="FootnoteText"/>
      </w:pPr>
      <w:r>
        <w:rPr>
          <w:rStyle w:val="FootnoteReference"/>
        </w:rPr>
        <w:footnoteRef/>
      </w:r>
      <w:r>
        <w:tab/>
        <w:t>Uredba (EU) št. 575/2013 Evropskega parlamenta in Sveta z dne 26. junija 2013 o bonitetnih zahtevah za kreditne institucije in o spremembi Uredbe (EU) št. 648/2012 (UL L 176, 27.6.2013, str. 1, ELI: http://data.europa.eu/eli/reg/2013/575/oj).</w:t>
      </w:r>
    </w:p>
  </w:footnote>
  <w:footnote w:id="7">
    <w:p w:rsidR="00736C47" w:rsidRPr="004E6E7D" w:rsidRDefault="00736C47">
      <w:pPr>
        <w:pStyle w:val="FootnoteText"/>
      </w:pPr>
      <w:r>
        <w:rPr>
          <w:rStyle w:val="FootnoteReference"/>
        </w:rPr>
        <w:footnoteRef/>
      </w:r>
      <w:r>
        <w:tab/>
        <w:t>Direktiva 2013/36/EU Evropskega parlamenta in Sveta z dne 26. junija 2013 o dostopu do dejavnosti kreditnih institucij in bonitetnem nadzoru kreditnih institucij, spremembi Direktive 2002/87/ES in razveljavitvi direktiv 2006/48/ES in 2006/49/ES (UL L 176, 27.6.2013, str. 338, ELI: http://data.europa.eu/eli/dir/2013/36/oj).</w:t>
      </w:r>
    </w:p>
  </w:footnote>
  <w:footnote w:id="8">
    <w:p w:rsidR="00736C47" w:rsidRPr="00736C47" w:rsidRDefault="00736C47">
      <w:pPr>
        <w:pStyle w:val="FootnoteText"/>
      </w:pPr>
      <w:r>
        <w:rPr>
          <w:rStyle w:val="FootnoteReference"/>
        </w:rPr>
        <w:footnoteRef/>
      </w:r>
      <w:r>
        <w:tab/>
        <w:t>Uredba (EU) 2019/2033 Evropskega parlamenta in Sveta z dne 27. novembra 2019 o bonitetnih zahtevah za investicijska podjetja ter o spremembi uredb (EU) št. 1093/2010, (EU) št. 575/2013, (EU) št. 600/2014 in (EU) št. 806/2014 (UL L 314, 5.12.2019, str.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D4" w:rsidRDefault="00FE1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D4" w:rsidRDefault="00FE1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
  </w:num>
  <w:num w:numId="22">
    <w:abstractNumId w:val="1"/>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7:0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81DCB28-C393-4F46-B763-50B61E0AD19A"/>
    <w:docVar w:name="LW_COVERPAGE_TYPE" w:val="1"/>
    <w:docVar w:name="LW_CreatedUtc" w:val="2025-04-09T13:24:10.7425134Z"/>
    <w:docVar w:name="LW_CROSSREFERENCE" w:val="&lt;UNUSED&gt;"/>
    <w:docVar w:name="LW_DATE.ADOPT.CP" w:val="z dne 14.11.2025"/>
    <w:docVar w:name="LW_DATE.ADOPT.CP_DATEFORMAT" w:val="z dne %DATE%"/>
    <w:docVar w:name="LW_DATE.ADOPT.CP_ISODATE" w:val="2025-11-14"/>
    <w:docVar w:name="LW_DocType" w:val="COM"/>
    <w:docVar w:name="LW_EMISSION" w:val="14.11.2025"/>
    <w:docVar w:name="LW_EMISSION_ISODATE" w:val="2025-11-14"/>
    <w:docVar w:name="LW_EMISSION_LOCATION" w:val="BRX"/>
    <w:docVar w:name="LW_EMISSION_PREFIX" w:val="Bruselj, "/>
    <w:docVar w:name="LW_EMISSION_SUFFIX" w:val=" "/>
    <w:docVar w:name="LW_ID_DOCMODEL" w:val="SJ-004"/>
    <w:docVar w:name="LW_ID_DOCSIGNATURE" w:val="SJ-004"/>
    <w:docVar w:name="LW_ID_DOCSTRUCTURE" w:val="COM/AA"/>
    <w:docVar w:name="LW_ID_DOCTYPE" w:val="SJ-004"/>
    <w:docVar w:name="LW_INTERETEEE.CP" w:val="(Besedilo velja za EGP)"/>
    <w:docVar w:name="LW_LANGUE" w:val="SL"/>
    <w:docVar w:name="LW_LANGUESFAISANTFOI.CP" w:val="&lt;UNUSED&gt;"/>
    <w:docVar w:name="LW_LEVEL_OF_SENSITIVITY" w:val="Standard treatment"/>
    <w:docVar w:name="LW_NOM.INST" w:val="EVROPSKA KOMISIJA"/>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dolo\u269?itvi izvedbenih tehni\u269?nih standardov v zvezi s postopki, standardnimi obrazci in predlogami za zagotavljanje informacij za potrebe na\u269?rtov re\u353?evanja za kreditne institucije in investicijska podjetja v skladu z Direktivo 2014/59/EU Evropskega parlamenta in Sveta ter o razveljavitvi Izvedbene uredbe Komisije (EU) 2018/1624"/>
    <w:docVar w:name="LW_TYPE.DOC.CP" w:val="IZVEDBENA UREDBA KOMISIJE (EU) \u8230?/\u8230?"/>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5007"/>
    <w:rsid w:val="00027EC1"/>
    <w:rsid w:val="0003106A"/>
    <w:rsid w:val="0003600A"/>
    <w:rsid w:val="0003664D"/>
    <w:rsid w:val="000378CA"/>
    <w:rsid w:val="000401A4"/>
    <w:rsid w:val="0004065D"/>
    <w:rsid w:val="00045BE7"/>
    <w:rsid w:val="00047494"/>
    <w:rsid w:val="00047CCB"/>
    <w:rsid w:val="00047CE8"/>
    <w:rsid w:val="00051A55"/>
    <w:rsid w:val="000532DF"/>
    <w:rsid w:val="00056486"/>
    <w:rsid w:val="000575BB"/>
    <w:rsid w:val="0006043D"/>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1E21"/>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827"/>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0CD"/>
    <w:rsid w:val="00222556"/>
    <w:rsid w:val="002240FE"/>
    <w:rsid w:val="002254AE"/>
    <w:rsid w:val="00225EC6"/>
    <w:rsid w:val="00226CAF"/>
    <w:rsid w:val="00227B0D"/>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50B1"/>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1657"/>
    <w:rsid w:val="003E5A74"/>
    <w:rsid w:val="003F3234"/>
    <w:rsid w:val="003F3CA1"/>
    <w:rsid w:val="003F636B"/>
    <w:rsid w:val="003F6672"/>
    <w:rsid w:val="003F682B"/>
    <w:rsid w:val="003F71D5"/>
    <w:rsid w:val="003F74FD"/>
    <w:rsid w:val="003F77D6"/>
    <w:rsid w:val="003F7FA9"/>
    <w:rsid w:val="00401ABC"/>
    <w:rsid w:val="00402772"/>
    <w:rsid w:val="004027F9"/>
    <w:rsid w:val="0040392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908DD"/>
    <w:rsid w:val="00492396"/>
    <w:rsid w:val="004936D2"/>
    <w:rsid w:val="00494F92"/>
    <w:rsid w:val="00496AFE"/>
    <w:rsid w:val="004A0EFB"/>
    <w:rsid w:val="004A3094"/>
    <w:rsid w:val="004A395B"/>
    <w:rsid w:val="004A42AE"/>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2C7F"/>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655BA"/>
    <w:rsid w:val="00573EF6"/>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6D92"/>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10E8E"/>
    <w:rsid w:val="00611E70"/>
    <w:rsid w:val="00611F25"/>
    <w:rsid w:val="00612BC5"/>
    <w:rsid w:val="00624324"/>
    <w:rsid w:val="006265C3"/>
    <w:rsid w:val="00626A19"/>
    <w:rsid w:val="00626D86"/>
    <w:rsid w:val="0063050B"/>
    <w:rsid w:val="00635146"/>
    <w:rsid w:val="0063555C"/>
    <w:rsid w:val="00635D32"/>
    <w:rsid w:val="00637F45"/>
    <w:rsid w:val="006417C5"/>
    <w:rsid w:val="00645C60"/>
    <w:rsid w:val="00650618"/>
    <w:rsid w:val="006527C0"/>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4AFE"/>
    <w:rsid w:val="00694F0B"/>
    <w:rsid w:val="00696893"/>
    <w:rsid w:val="00697E0E"/>
    <w:rsid w:val="006A0137"/>
    <w:rsid w:val="006A0F10"/>
    <w:rsid w:val="006A269B"/>
    <w:rsid w:val="006A5DD5"/>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E16"/>
    <w:rsid w:val="007945A5"/>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4699"/>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2745"/>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4CD6"/>
    <w:rsid w:val="0088567A"/>
    <w:rsid w:val="008859BC"/>
    <w:rsid w:val="00887600"/>
    <w:rsid w:val="00891F7D"/>
    <w:rsid w:val="008A1127"/>
    <w:rsid w:val="008A1461"/>
    <w:rsid w:val="008A2914"/>
    <w:rsid w:val="008A2E4E"/>
    <w:rsid w:val="008A4303"/>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B3320"/>
    <w:rsid w:val="009B4623"/>
    <w:rsid w:val="009B5048"/>
    <w:rsid w:val="009B5878"/>
    <w:rsid w:val="009B6887"/>
    <w:rsid w:val="009B7970"/>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59F4"/>
    <w:rsid w:val="00A46DE3"/>
    <w:rsid w:val="00A546BE"/>
    <w:rsid w:val="00A546C3"/>
    <w:rsid w:val="00A5534F"/>
    <w:rsid w:val="00A565C7"/>
    <w:rsid w:val="00A61F97"/>
    <w:rsid w:val="00A62D23"/>
    <w:rsid w:val="00A634A0"/>
    <w:rsid w:val="00A642FA"/>
    <w:rsid w:val="00A748FA"/>
    <w:rsid w:val="00A803C4"/>
    <w:rsid w:val="00A82F1C"/>
    <w:rsid w:val="00A85B65"/>
    <w:rsid w:val="00A93F8D"/>
    <w:rsid w:val="00A95E76"/>
    <w:rsid w:val="00AA112B"/>
    <w:rsid w:val="00AA1EA4"/>
    <w:rsid w:val="00AC295E"/>
    <w:rsid w:val="00AC3770"/>
    <w:rsid w:val="00AC74CC"/>
    <w:rsid w:val="00AC7E59"/>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029"/>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3610"/>
    <w:rsid w:val="00BC4FE7"/>
    <w:rsid w:val="00BC52C4"/>
    <w:rsid w:val="00BD3695"/>
    <w:rsid w:val="00BD5399"/>
    <w:rsid w:val="00BD585C"/>
    <w:rsid w:val="00BE085B"/>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36"/>
    <w:rsid w:val="00C6528B"/>
    <w:rsid w:val="00C6534E"/>
    <w:rsid w:val="00C6570D"/>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8EA"/>
    <w:rsid w:val="00D763CC"/>
    <w:rsid w:val="00D77F5A"/>
    <w:rsid w:val="00D80DDB"/>
    <w:rsid w:val="00D816C1"/>
    <w:rsid w:val="00D837D8"/>
    <w:rsid w:val="00D84783"/>
    <w:rsid w:val="00D8563D"/>
    <w:rsid w:val="00D86024"/>
    <w:rsid w:val="00D87E74"/>
    <w:rsid w:val="00D9060D"/>
    <w:rsid w:val="00D96D85"/>
    <w:rsid w:val="00D975AA"/>
    <w:rsid w:val="00DA2214"/>
    <w:rsid w:val="00DA3B8F"/>
    <w:rsid w:val="00DA744D"/>
    <w:rsid w:val="00DB2642"/>
    <w:rsid w:val="00DB4867"/>
    <w:rsid w:val="00DB4B20"/>
    <w:rsid w:val="00DB5830"/>
    <w:rsid w:val="00DC1A68"/>
    <w:rsid w:val="00DC2B49"/>
    <w:rsid w:val="00DC2FF2"/>
    <w:rsid w:val="00DC37DB"/>
    <w:rsid w:val="00DC7883"/>
    <w:rsid w:val="00DC7E05"/>
    <w:rsid w:val="00DD0B0B"/>
    <w:rsid w:val="00DD40EE"/>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50D53"/>
    <w:rsid w:val="00E51078"/>
    <w:rsid w:val="00E522C4"/>
    <w:rsid w:val="00E52827"/>
    <w:rsid w:val="00E53824"/>
    <w:rsid w:val="00E57CE8"/>
    <w:rsid w:val="00E6243B"/>
    <w:rsid w:val="00E63B0D"/>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60A6"/>
    <w:rsid w:val="00F336AC"/>
    <w:rsid w:val="00F411AA"/>
    <w:rsid w:val="00F4455F"/>
    <w:rsid w:val="00F50966"/>
    <w:rsid w:val="00F603E8"/>
    <w:rsid w:val="00F6057B"/>
    <w:rsid w:val="00F62F9E"/>
    <w:rsid w:val="00F62FF5"/>
    <w:rsid w:val="00F632CC"/>
    <w:rsid w:val="00F658FB"/>
    <w:rsid w:val="00F66A8D"/>
    <w:rsid w:val="00F674E6"/>
    <w:rsid w:val="00F715B9"/>
    <w:rsid w:val="00F71D65"/>
    <w:rsid w:val="00F7500C"/>
    <w:rsid w:val="00F834E9"/>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6440"/>
    <w:rsid w:val="00FE12D4"/>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sl-SI"/>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sl-SI"/>
    </w:rPr>
  </w:style>
  <w:style w:type="paragraph" w:customStyle="1" w:styleId="Numberedtilelevel1">
    <w:name w:val="Numbered tile level 1"/>
    <w:basedOn w:val="Normal"/>
    <w:qFormat/>
    <w:rsid w:val="00F66A8D"/>
    <w:pPr>
      <w:numPr>
        <w:numId w:val="18"/>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8"/>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8"/>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20"/>
      </w:numPr>
      <w:contextualSpacing/>
    </w:pPr>
  </w:style>
  <w:style w:type="paragraph" w:styleId="ListNumber2">
    <w:name w:val="List Number 2"/>
    <w:basedOn w:val="Normal"/>
    <w:uiPriority w:val="99"/>
    <w:semiHidden/>
    <w:unhideWhenUsed/>
    <w:rsid w:val="00F66A8D"/>
    <w:pPr>
      <w:numPr>
        <w:numId w:val="21"/>
      </w:numPr>
      <w:contextualSpacing/>
    </w:pPr>
  </w:style>
  <w:style w:type="paragraph" w:styleId="ListNumber3">
    <w:name w:val="List Number 3"/>
    <w:basedOn w:val="Normal"/>
    <w:uiPriority w:val="99"/>
    <w:semiHidden/>
    <w:unhideWhenUsed/>
    <w:rsid w:val="00F66A8D"/>
    <w:pPr>
      <w:numPr>
        <w:numId w:val="22"/>
      </w:numPr>
      <w:contextualSpacing/>
    </w:pPr>
  </w:style>
  <w:style w:type="paragraph" w:styleId="ListNumber4">
    <w:name w:val="List Number 4"/>
    <w:basedOn w:val="Normal"/>
    <w:uiPriority w:val="99"/>
    <w:semiHidden/>
    <w:unhideWhenUsed/>
    <w:rsid w:val="00F66A8D"/>
    <w:pPr>
      <w:numPr>
        <w:numId w:val="23"/>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FE12D4"/>
    <w:rPr>
      <w:rFonts w:ascii="Times New Roman" w:hAnsi="Times New Roman" w:cs="Times New Roman"/>
      <w:sz w:val="24"/>
      <w:lang w:val="sl-SI"/>
    </w:rPr>
  </w:style>
  <w:style w:type="character" w:customStyle="1" w:styleId="FooterChar">
    <w:name w:val="Footer Char"/>
    <w:basedOn w:val="DefaultParagraphFont"/>
    <w:link w:val="Footer"/>
    <w:uiPriority w:val="99"/>
    <w:rsid w:val="00FE12D4"/>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E12D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E12D4"/>
    <w:pPr>
      <w:spacing w:before="0"/>
      <w:jc w:val="right"/>
    </w:pPr>
    <w:rPr>
      <w:sz w:val="28"/>
    </w:rPr>
  </w:style>
  <w:style w:type="paragraph" w:customStyle="1" w:styleId="FooterSensitivity">
    <w:name w:val="Footer Sensitivity"/>
    <w:basedOn w:val="Normal"/>
    <w:rsid w:val="00FE12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E12D4"/>
    <w:pPr>
      <w:tabs>
        <w:tab w:val="center" w:pos="4535"/>
        <w:tab w:val="right" w:pos="9071"/>
      </w:tabs>
      <w:spacing w:before="0"/>
    </w:pPr>
  </w:style>
  <w:style w:type="paragraph" w:customStyle="1" w:styleId="HeaderLandscape">
    <w:name w:val="HeaderLandscape"/>
    <w:basedOn w:val="Normal"/>
    <w:rsid w:val="00FE12D4"/>
    <w:pPr>
      <w:tabs>
        <w:tab w:val="center" w:pos="7285"/>
        <w:tab w:val="right" w:pos="14003"/>
      </w:tabs>
      <w:spacing w:before="0"/>
    </w:pPr>
  </w:style>
  <w:style w:type="paragraph" w:styleId="Footer">
    <w:name w:val="footer"/>
    <w:basedOn w:val="Normal"/>
    <w:link w:val="FooterChar"/>
    <w:uiPriority w:val="99"/>
    <w:unhideWhenUsed/>
    <w:rsid w:val="00FE12D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E12D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60BCE-8EB3-4832-AFC2-329D9AD324F7}">
  <ds:schemaRefs>
    <ds:schemaRef ds:uri="http://schemas.microsoft.com/sharepoint/v3/contenttype/forms"/>
  </ds:schemaRefs>
</ds:datastoreItem>
</file>

<file path=customXml/itemProps3.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10</Pages>
  <Words>3453</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61</cp:revision>
  <dcterms:created xsi:type="dcterms:W3CDTF">2025-08-04T13:17:00Z</dcterms:created>
  <dcterms:modified xsi:type="dcterms:W3CDTF">2025-11-07T09:07:00Z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