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402C1B" w:rsidRDefault="00591A1C" w:rsidP="00591A1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842EA44-FC9F-43A7-9796-4F481D498627" style="width:455.25pt;height:441pt">
            <v:imagedata r:id="rId10" o:title=""/>
          </v:shape>
        </w:pict>
      </w:r>
    </w:p>
    <w:p w:rsidR="00860655" w:rsidRPr="00402C1B" w:rsidRDefault="00860655" w:rsidP="00184085">
      <w:pPr>
        <w:rPr>
          <w:noProof/>
        </w:rPr>
        <w:sectPr w:rsidR="00860655" w:rsidRPr="00402C1B" w:rsidSect="00591A1C">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402C1B" w:rsidRDefault="00573FB6" w:rsidP="00573FB6">
      <w:pPr>
        <w:pStyle w:val="Typedudocument"/>
        <w:rPr>
          <w:noProof/>
        </w:rPr>
      </w:pPr>
      <w:bookmarkStart w:id="0" w:name="_GoBack"/>
      <w:bookmarkEnd w:id="0"/>
      <w:r w:rsidRPr="00573FB6">
        <w:rPr>
          <w:noProof/>
        </w:rPr>
        <w:lastRenderedPageBreak/>
        <w:t>ROZPORZĄDZENIE WYKONAWCZE KOMISJI (UE) …/…</w:t>
      </w:r>
    </w:p>
    <w:p w:rsidR="00860655" w:rsidRPr="00402C1B" w:rsidRDefault="00F20F37" w:rsidP="00573FB6">
      <w:pPr>
        <w:pStyle w:val="Datedadoption"/>
        <w:rPr>
          <w:noProof/>
        </w:rPr>
      </w:pPr>
      <w:r>
        <w:rPr>
          <w:noProof/>
        </w:rPr>
        <w:t>z dnia 14.11.2025 r.</w:t>
      </w:r>
    </w:p>
    <w:p w:rsidR="00860655" w:rsidRPr="00402C1B" w:rsidRDefault="00573FB6" w:rsidP="00573FB6">
      <w:pPr>
        <w:pStyle w:val="Titreobjet"/>
        <w:rPr>
          <w:noProof/>
        </w:rPr>
      </w:pPr>
      <w:r w:rsidRPr="00573FB6">
        <w:rPr>
          <w:noProof/>
        </w:rPr>
        <w:t>ustanawiające wykonawcze standardy techniczne w odniesieniu do procedur oraz standardowych formularzy i szablonów stosowanych do przekazywania informacji do celów sporządzenia planów restrukturyzacji i uporządkowanej likwidacji w odniesieniu do instytucji kredytowych i firm inwestycyjnych zgodnie z dyrektywą Parlamentu Europejskiego i Rady 2014/59/UE oraz uchylające rozporządzenie wykonawcze Komisji (UE) 2018/1624</w:t>
      </w:r>
    </w:p>
    <w:p w:rsidR="00860655" w:rsidRPr="00402C1B" w:rsidRDefault="00573FB6" w:rsidP="00573FB6">
      <w:pPr>
        <w:pStyle w:val="IntrtEEE"/>
        <w:rPr>
          <w:noProof/>
        </w:rPr>
      </w:pPr>
      <w:r w:rsidRPr="00573FB6">
        <w:rPr>
          <w:noProof/>
        </w:rPr>
        <w:t>(Tekst mający znaczenie dla EOG)</w:t>
      </w:r>
    </w:p>
    <w:p w:rsidR="00860655" w:rsidRPr="00402C1B" w:rsidRDefault="00860655" w:rsidP="00184085">
      <w:pPr>
        <w:pStyle w:val="Institutionquiagit"/>
        <w:rPr>
          <w:noProof/>
        </w:rPr>
      </w:pPr>
      <w:r w:rsidRPr="00402C1B">
        <w:rPr>
          <w:noProof/>
        </w:rPr>
        <w:t>KOMISJA EUROPEJSKA,</w:t>
      </w:r>
    </w:p>
    <w:p w:rsidR="00860655" w:rsidRPr="00402C1B" w:rsidRDefault="00860655" w:rsidP="00184085">
      <w:pPr>
        <w:rPr>
          <w:noProof/>
        </w:rPr>
      </w:pPr>
      <w:r w:rsidRPr="00402C1B">
        <w:rPr>
          <w:noProof/>
        </w:rPr>
        <w:t>uwzględniając Traktat</w:t>
      </w:r>
      <w:r w:rsidR="00402C1B" w:rsidRPr="00402C1B">
        <w:rPr>
          <w:noProof/>
        </w:rPr>
        <w:t xml:space="preserve"> o</w:t>
      </w:r>
      <w:r w:rsidR="00402C1B">
        <w:rPr>
          <w:noProof/>
        </w:rPr>
        <w:t> </w:t>
      </w:r>
      <w:r w:rsidR="00402C1B" w:rsidRPr="00402C1B">
        <w:rPr>
          <w:noProof/>
        </w:rPr>
        <w:t>fun</w:t>
      </w:r>
      <w:r w:rsidRPr="00402C1B">
        <w:rPr>
          <w:noProof/>
        </w:rPr>
        <w:t>kcjonowaniu Unii Europejskiej,</w:t>
      </w:r>
    </w:p>
    <w:p w:rsidR="00860655" w:rsidRPr="00402C1B" w:rsidRDefault="00860655" w:rsidP="00184085">
      <w:pPr>
        <w:rPr>
          <w:noProof/>
        </w:rPr>
      </w:pPr>
      <w:r w:rsidRPr="00402C1B">
        <w:rPr>
          <w:noProof/>
        </w:rPr>
        <w:t>uwzględniając dyrektywę Parlamentu Europejskiego</w:t>
      </w:r>
      <w:r w:rsidR="00402C1B" w:rsidRPr="00402C1B">
        <w:rPr>
          <w:noProof/>
        </w:rPr>
        <w:t xml:space="preserve"> i</w:t>
      </w:r>
      <w:r w:rsidR="00402C1B">
        <w:rPr>
          <w:noProof/>
        </w:rPr>
        <w:t> </w:t>
      </w:r>
      <w:r w:rsidR="00402C1B" w:rsidRPr="00402C1B">
        <w:rPr>
          <w:noProof/>
        </w:rPr>
        <w:t>Rad</w:t>
      </w:r>
      <w:r w:rsidRPr="00402C1B">
        <w:rPr>
          <w:noProof/>
        </w:rPr>
        <w:t>y 2014/59/UE</w:t>
      </w:r>
      <w:r w:rsidR="00402C1B" w:rsidRPr="00402C1B">
        <w:rPr>
          <w:noProof/>
        </w:rPr>
        <w:t xml:space="preserve"> z</w:t>
      </w:r>
      <w:r w:rsidR="00402C1B">
        <w:rPr>
          <w:noProof/>
        </w:rPr>
        <w:t> </w:t>
      </w:r>
      <w:r w:rsidR="00402C1B" w:rsidRPr="00402C1B">
        <w:rPr>
          <w:noProof/>
        </w:rPr>
        <w:t>dni</w:t>
      </w:r>
      <w:r w:rsidRPr="00402C1B">
        <w:rPr>
          <w:noProof/>
        </w:rPr>
        <w:t>a 15 maja 2014</w:t>
      </w:r>
      <w:r w:rsidR="00402C1B" w:rsidRPr="00402C1B">
        <w:rPr>
          <w:noProof/>
        </w:rPr>
        <w:t> </w:t>
      </w:r>
      <w:r w:rsidRPr="00402C1B">
        <w:rPr>
          <w:noProof/>
        </w:rPr>
        <w:t>r. ustanawiającą ramy na potrzeby prowadzenia działań naprawczych oraz restrukturyzacji</w:t>
      </w:r>
      <w:r w:rsidR="00402C1B" w:rsidRPr="00402C1B">
        <w:rPr>
          <w:noProof/>
        </w:rPr>
        <w:t xml:space="preserve"> i</w:t>
      </w:r>
      <w:r w:rsidR="00402C1B">
        <w:rPr>
          <w:noProof/>
        </w:rPr>
        <w:t> </w:t>
      </w:r>
      <w:r w:rsidR="00402C1B" w:rsidRPr="00402C1B">
        <w:rPr>
          <w:noProof/>
        </w:rPr>
        <w:t>upo</w:t>
      </w:r>
      <w:r w:rsidRPr="00402C1B">
        <w:rPr>
          <w:noProof/>
        </w:rPr>
        <w:t>rządkowanej likwidacji</w:t>
      </w:r>
      <w:r w:rsidR="00402C1B" w:rsidRPr="00402C1B">
        <w:rPr>
          <w:noProof/>
        </w:rPr>
        <w:t xml:space="preserve"> w</w:t>
      </w:r>
      <w:r w:rsidR="00402C1B">
        <w:rPr>
          <w:noProof/>
        </w:rPr>
        <w:t> </w:t>
      </w:r>
      <w:r w:rsidR="00402C1B" w:rsidRPr="00402C1B">
        <w:rPr>
          <w:noProof/>
        </w:rPr>
        <w:t>odn</w:t>
      </w:r>
      <w:r w:rsidRPr="00402C1B">
        <w:rPr>
          <w:noProof/>
        </w:rPr>
        <w:t>iesieniu do instytucji kredytowych</w:t>
      </w:r>
      <w:r w:rsidR="00402C1B" w:rsidRPr="00402C1B">
        <w:rPr>
          <w:noProof/>
        </w:rPr>
        <w:t xml:space="preserve"> i</w:t>
      </w:r>
      <w:r w:rsidR="00402C1B">
        <w:rPr>
          <w:noProof/>
        </w:rPr>
        <w:t> </w:t>
      </w:r>
      <w:r w:rsidR="00402C1B" w:rsidRPr="00402C1B">
        <w:rPr>
          <w:noProof/>
        </w:rPr>
        <w:t>fir</w:t>
      </w:r>
      <w:r w:rsidRPr="00402C1B">
        <w:rPr>
          <w:noProof/>
        </w:rPr>
        <w:t>m inwestycyjnych oraz zmieniającą dyrektywę Rady 82/891/EWG</w:t>
      </w:r>
      <w:r w:rsidR="00402C1B" w:rsidRPr="00402C1B">
        <w:rPr>
          <w:noProof/>
        </w:rPr>
        <w:t xml:space="preserve"> i</w:t>
      </w:r>
      <w:r w:rsidR="00402C1B">
        <w:rPr>
          <w:noProof/>
        </w:rPr>
        <w:t> </w:t>
      </w:r>
      <w:r w:rsidR="00402C1B" w:rsidRPr="00402C1B">
        <w:rPr>
          <w:noProof/>
        </w:rPr>
        <w:t>dyr</w:t>
      </w:r>
      <w:r w:rsidRPr="00402C1B">
        <w:rPr>
          <w:noProof/>
        </w:rPr>
        <w:t>ektywy Parlamentu Europejskiego</w:t>
      </w:r>
      <w:r w:rsidR="00402C1B" w:rsidRPr="00402C1B">
        <w:rPr>
          <w:noProof/>
        </w:rPr>
        <w:t xml:space="preserve"> i</w:t>
      </w:r>
      <w:r w:rsidR="00402C1B">
        <w:rPr>
          <w:noProof/>
        </w:rPr>
        <w:t> </w:t>
      </w:r>
      <w:r w:rsidR="00402C1B" w:rsidRPr="00402C1B">
        <w:rPr>
          <w:noProof/>
        </w:rPr>
        <w:t>Rad</w:t>
      </w:r>
      <w:r w:rsidRPr="00402C1B">
        <w:rPr>
          <w:noProof/>
        </w:rPr>
        <w:t>y 2001/24/WE, 2002/47/WE, 2004/25/WE, 2005/56/WE, 2007/36/WE, 2011/35/UE, 2012/30/UE</w:t>
      </w:r>
      <w:r w:rsidR="00402C1B" w:rsidRPr="00402C1B">
        <w:rPr>
          <w:noProof/>
        </w:rPr>
        <w:t xml:space="preserve"> i</w:t>
      </w:r>
      <w:r w:rsidR="00402C1B">
        <w:rPr>
          <w:noProof/>
        </w:rPr>
        <w:t> </w:t>
      </w:r>
      <w:r w:rsidR="00402C1B" w:rsidRPr="00402C1B">
        <w:rPr>
          <w:noProof/>
        </w:rPr>
        <w:t>2</w:t>
      </w:r>
      <w:r w:rsidRPr="00402C1B">
        <w:rPr>
          <w:noProof/>
        </w:rPr>
        <w:t>013/36/UE oraz rozporządzenia Parlamentu Europejskiego</w:t>
      </w:r>
      <w:r w:rsidR="00402C1B" w:rsidRPr="00402C1B">
        <w:rPr>
          <w:noProof/>
        </w:rPr>
        <w:t xml:space="preserve"> i</w:t>
      </w:r>
      <w:r w:rsidR="00402C1B">
        <w:rPr>
          <w:noProof/>
        </w:rPr>
        <w:t> </w:t>
      </w:r>
      <w:r w:rsidR="00402C1B" w:rsidRPr="00402C1B">
        <w:rPr>
          <w:noProof/>
        </w:rPr>
        <w:t>Rad</w:t>
      </w:r>
      <w:r w:rsidRPr="00402C1B">
        <w:rPr>
          <w:noProof/>
        </w:rPr>
        <w:t>y (UE) nr</w:t>
      </w:r>
      <w:r w:rsidR="00402C1B" w:rsidRPr="00402C1B">
        <w:rPr>
          <w:noProof/>
        </w:rPr>
        <w:t> </w:t>
      </w:r>
      <w:r w:rsidRPr="00402C1B">
        <w:rPr>
          <w:noProof/>
        </w:rPr>
        <w:t>1093/2010 i (UE) nr</w:t>
      </w:r>
      <w:r w:rsidR="00402C1B" w:rsidRPr="00402C1B">
        <w:rPr>
          <w:noProof/>
        </w:rPr>
        <w:t> </w:t>
      </w:r>
      <w:r w:rsidRPr="00402C1B">
        <w:rPr>
          <w:noProof/>
        </w:rPr>
        <w:t>648/2012</w:t>
      </w:r>
      <w:r w:rsidRPr="00402C1B">
        <w:rPr>
          <w:rStyle w:val="FootnoteReference"/>
          <w:noProof/>
        </w:rPr>
        <w:footnoteReference w:id="2"/>
      </w:r>
      <w:r w:rsidRPr="00402C1B">
        <w:rPr>
          <w:noProof/>
        </w:rPr>
        <w:t>,</w:t>
      </w:r>
      <w:r w:rsidR="00402C1B" w:rsidRPr="00402C1B">
        <w:rPr>
          <w:noProof/>
        </w:rPr>
        <w:t xml:space="preserve"> w</w:t>
      </w:r>
      <w:r w:rsidR="00402C1B">
        <w:rPr>
          <w:noProof/>
        </w:rPr>
        <w:t> </w:t>
      </w:r>
      <w:r w:rsidR="00402C1B" w:rsidRPr="00402C1B">
        <w:rPr>
          <w:noProof/>
        </w:rPr>
        <w:t>szc</w:t>
      </w:r>
      <w:r w:rsidRPr="00402C1B">
        <w:rPr>
          <w:noProof/>
        </w:rPr>
        <w:t>zególności jej art.</w:t>
      </w:r>
      <w:r w:rsidR="00402C1B" w:rsidRPr="00402C1B">
        <w:rPr>
          <w:noProof/>
        </w:rPr>
        <w:t> </w:t>
      </w:r>
      <w:r w:rsidRPr="00402C1B">
        <w:rPr>
          <w:noProof/>
        </w:rPr>
        <w:t>11 ust.</w:t>
      </w:r>
      <w:r w:rsidR="00402C1B" w:rsidRPr="00402C1B">
        <w:rPr>
          <w:noProof/>
        </w:rPr>
        <w:t> </w:t>
      </w:r>
      <w:r w:rsidRPr="00402C1B">
        <w:rPr>
          <w:noProof/>
        </w:rPr>
        <w:t>3,</w:t>
      </w:r>
    </w:p>
    <w:p w:rsidR="00860655" w:rsidRPr="00402C1B" w:rsidRDefault="00860655" w:rsidP="00184085">
      <w:pPr>
        <w:rPr>
          <w:noProof/>
        </w:rPr>
      </w:pPr>
      <w:r w:rsidRPr="00402C1B">
        <w:rPr>
          <w:noProof/>
        </w:rPr>
        <w:t>a także mając na uwadze, co następuje:</w:t>
      </w:r>
    </w:p>
    <w:p w:rsidR="00860655" w:rsidRPr="00402C1B" w:rsidRDefault="00BC2ED2" w:rsidP="00BC2ED2">
      <w:pPr>
        <w:pStyle w:val="ManualConsidrant"/>
        <w:rPr>
          <w:noProof/>
        </w:rPr>
      </w:pPr>
      <w:r w:rsidRPr="00BC2ED2">
        <w:rPr>
          <w:noProof/>
        </w:rPr>
        <w:t>(1)</w:t>
      </w:r>
      <w:r w:rsidRPr="00BC2ED2">
        <w:rPr>
          <w:noProof/>
        </w:rPr>
        <w:tab/>
      </w:r>
      <w:r w:rsidR="00860655" w:rsidRPr="00402C1B">
        <w:rPr>
          <w:noProof/>
        </w:rPr>
        <w:t>W rozporządzeniu wykonawczym Komisji (UE) 2018/1624</w:t>
      </w:r>
      <w:r w:rsidR="00860655" w:rsidRPr="00402C1B">
        <w:rPr>
          <w:rStyle w:val="FootnoteReference"/>
          <w:noProof/>
        </w:rPr>
        <w:footnoteReference w:id="3"/>
      </w:r>
      <w:r w:rsidR="00860655" w:rsidRPr="00402C1B">
        <w:rPr>
          <w:noProof/>
        </w:rPr>
        <w:t xml:space="preserve"> określono procedurę</w:t>
      </w:r>
      <w:r w:rsidR="00402C1B" w:rsidRPr="00402C1B">
        <w:rPr>
          <w:noProof/>
        </w:rPr>
        <w:t xml:space="preserve"> i</w:t>
      </w:r>
      <w:r w:rsidR="00402C1B">
        <w:rPr>
          <w:noProof/>
        </w:rPr>
        <w:t> </w:t>
      </w:r>
      <w:r w:rsidR="00402C1B" w:rsidRPr="00402C1B">
        <w:rPr>
          <w:noProof/>
        </w:rPr>
        <w:t>wpr</w:t>
      </w:r>
      <w:r w:rsidR="00860655" w:rsidRPr="00402C1B">
        <w:rPr>
          <w:noProof/>
        </w:rPr>
        <w:t>owadzono minimalny zestaw szablonów stosowanych do przekazywania informacji organom ds. restrukturyzacji</w:t>
      </w:r>
      <w:r w:rsidR="00402C1B" w:rsidRPr="00402C1B">
        <w:rPr>
          <w:noProof/>
        </w:rPr>
        <w:t xml:space="preserve"> i</w:t>
      </w:r>
      <w:r w:rsidR="00402C1B">
        <w:rPr>
          <w:noProof/>
        </w:rPr>
        <w:t> </w:t>
      </w:r>
      <w:r w:rsidR="00402C1B" w:rsidRPr="00402C1B">
        <w:rPr>
          <w:noProof/>
        </w:rPr>
        <w:t>upo</w:t>
      </w:r>
      <w:r w:rsidR="00860655" w:rsidRPr="00402C1B">
        <w:rPr>
          <w:noProof/>
        </w:rPr>
        <w:t>rządkowanej likwidacji przez instytucje kredytowe lub firmy inwestycyjne do celów sporządzania</w:t>
      </w:r>
      <w:r w:rsidR="00402C1B" w:rsidRPr="00402C1B">
        <w:rPr>
          <w:noProof/>
        </w:rPr>
        <w:t xml:space="preserve"> i</w:t>
      </w:r>
      <w:r w:rsidR="00402C1B">
        <w:rPr>
          <w:noProof/>
        </w:rPr>
        <w:t> </w:t>
      </w:r>
      <w:r w:rsidR="00402C1B" w:rsidRPr="00402C1B">
        <w:rPr>
          <w:noProof/>
        </w:rPr>
        <w:t>wdr</w:t>
      </w:r>
      <w:r w:rsidR="00860655" w:rsidRPr="00402C1B">
        <w:rPr>
          <w:noProof/>
        </w:rPr>
        <w:t>ażania planów restrukturyzacji</w:t>
      </w:r>
      <w:r w:rsidR="00402C1B" w:rsidRPr="00402C1B">
        <w:rPr>
          <w:noProof/>
        </w:rPr>
        <w:t xml:space="preserve"> i</w:t>
      </w:r>
      <w:r w:rsidR="00402C1B">
        <w:rPr>
          <w:noProof/>
        </w:rPr>
        <w:t> </w:t>
      </w:r>
      <w:r w:rsidR="00402C1B" w:rsidRPr="00402C1B">
        <w:rPr>
          <w:noProof/>
        </w:rPr>
        <w:t>upo</w:t>
      </w:r>
      <w:r w:rsidR="00860655" w:rsidRPr="00402C1B">
        <w:rPr>
          <w:noProof/>
        </w:rPr>
        <w:t>rządkowanej likwidacji</w:t>
      </w:r>
      <w:r w:rsidR="00402C1B" w:rsidRPr="00402C1B">
        <w:rPr>
          <w:noProof/>
        </w:rPr>
        <w:t xml:space="preserve"> w</w:t>
      </w:r>
      <w:r w:rsidR="00402C1B">
        <w:rPr>
          <w:noProof/>
        </w:rPr>
        <w:t> </w:t>
      </w:r>
      <w:r w:rsidR="00402C1B" w:rsidRPr="00402C1B">
        <w:rPr>
          <w:noProof/>
        </w:rPr>
        <w:t>odn</w:t>
      </w:r>
      <w:r w:rsidR="00860655" w:rsidRPr="00402C1B">
        <w:rPr>
          <w:noProof/>
        </w:rPr>
        <w:t>iesieniu do instytucji. Od czasu przyjęcia tego rozporządzenia organy ds. restrukturyzacji</w:t>
      </w:r>
      <w:r w:rsidR="00402C1B" w:rsidRPr="00402C1B">
        <w:rPr>
          <w:noProof/>
        </w:rPr>
        <w:t xml:space="preserve"> i</w:t>
      </w:r>
      <w:r w:rsidR="00402C1B">
        <w:rPr>
          <w:noProof/>
        </w:rPr>
        <w:t> </w:t>
      </w:r>
      <w:r w:rsidR="00402C1B" w:rsidRPr="00402C1B">
        <w:rPr>
          <w:noProof/>
        </w:rPr>
        <w:t>upo</w:t>
      </w:r>
      <w:r w:rsidR="00860655" w:rsidRPr="00402C1B">
        <w:rPr>
          <w:noProof/>
        </w:rPr>
        <w:t>rządkowanej likwidacji zdobyły doświadczenie</w:t>
      </w:r>
      <w:r w:rsidR="00402C1B" w:rsidRPr="00402C1B">
        <w:rPr>
          <w:noProof/>
        </w:rPr>
        <w:t xml:space="preserve"> w</w:t>
      </w:r>
      <w:r w:rsidR="00402C1B">
        <w:rPr>
          <w:noProof/>
        </w:rPr>
        <w:t> </w:t>
      </w:r>
      <w:r w:rsidR="00402C1B" w:rsidRPr="00402C1B">
        <w:rPr>
          <w:noProof/>
        </w:rPr>
        <w:t>dzi</w:t>
      </w:r>
      <w:r w:rsidR="00860655" w:rsidRPr="00402C1B">
        <w:rPr>
          <w:noProof/>
        </w:rPr>
        <w:t>edzinie planowania restrukturyzacji</w:t>
      </w:r>
      <w:r w:rsidR="00402C1B" w:rsidRPr="00402C1B">
        <w:rPr>
          <w:noProof/>
        </w:rPr>
        <w:t xml:space="preserve"> i</w:t>
      </w:r>
      <w:r w:rsidR="00402C1B">
        <w:rPr>
          <w:noProof/>
        </w:rPr>
        <w:t> </w:t>
      </w:r>
      <w:r w:rsidR="00402C1B" w:rsidRPr="00402C1B">
        <w:rPr>
          <w:noProof/>
        </w:rPr>
        <w:t>upo</w:t>
      </w:r>
      <w:r w:rsidR="00860655" w:rsidRPr="00402C1B">
        <w:rPr>
          <w:noProof/>
        </w:rPr>
        <w:t>rządkowanej likwidacji,</w:t>
      </w:r>
      <w:r w:rsidR="00402C1B" w:rsidRPr="00402C1B">
        <w:rPr>
          <w:noProof/>
        </w:rPr>
        <w:t xml:space="preserve"> a</w:t>
      </w:r>
      <w:r w:rsidR="00402C1B">
        <w:rPr>
          <w:noProof/>
        </w:rPr>
        <w:t> </w:t>
      </w:r>
      <w:r w:rsidR="00402C1B" w:rsidRPr="00402C1B">
        <w:rPr>
          <w:noProof/>
        </w:rPr>
        <w:t>dyr</w:t>
      </w:r>
      <w:r w:rsidR="00860655" w:rsidRPr="00402C1B">
        <w:rPr>
          <w:noProof/>
        </w:rPr>
        <w:t>ektywa 2014/59/UE została zmieniona</w:t>
      </w:r>
      <w:r w:rsidR="00402C1B" w:rsidRPr="00402C1B">
        <w:rPr>
          <w:noProof/>
        </w:rPr>
        <w:t>. W</w:t>
      </w:r>
      <w:r w:rsidR="00402C1B">
        <w:rPr>
          <w:noProof/>
        </w:rPr>
        <w:t> </w:t>
      </w:r>
      <w:r w:rsidR="00402C1B" w:rsidRPr="00402C1B">
        <w:rPr>
          <w:noProof/>
        </w:rPr>
        <w:t>świ</w:t>
      </w:r>
      <w:r w:rsidR="00860655" w:rsidRPr="00402C1B">
        <w:rPr>
          <w:noProof/>
        </w:rPr>
        <w:t>etle zebranych doświadczeń oraz</w:t>
      </w:r>
      <w:r w:rsidR="00402C1B" w:rsidRPr="00402C1B">
        <w:rPr>
          <w:noProof/>
        </w:rPr>
        <w:t xml:space="preserve"> w</w:t>
      </w:r>
      <w:r w:rsidR="00402C1B">
        <w:rPr>
          <w:noProof/>
        </w:rPr>
        <w:t> </w:t>
      </w:r>
      <w:r w:rsidR="00402C1B" w:rsidRPr="00402C1B">
        <w:rPr>
          <w:noProof/>
        </w:rPr>
        <w:t>cel</w:t>
      </w:r>
      <w:r w:rsidR="00860655" w:rsidRPr="00402C1B">
        <w:rPr>
          <w:noProof/>
        </w:rPr>
        <w:t>u uwzględnienia nowych przepisów tej dyrektywy konieczne jest zaktualizowanie minimalnego zestawu szablonów na potrzeby gromadzenia informacji do celów planowania restrukturyzacji</w:t>
      </w:r>
      <w:r w:rsidR="00402C1B" w:rsidRPr="00402C1B">
        <w:rPr>
          <w:noProof/>
        </w:rPr>
        <w:t xml:space="preserve"> i</w:t>
      </w:r>
      <w:r w:rsidR="00402C1B">
        <w:rPr>
          <w:noProof/>
        </w:rPr>
        <w:t> </w:t>
      </w:r>
      <w:r w:rsidR="00402C1B" w:rsidRPr="00402C1B">
        <w:rPr>
          <w:noProof/>
        </w:rPr>
        <w:t>upo</w:t>
      </w:r>
      <w:r w:rsidR="00860655" w:rsidRPr="00402C1B">
        <w:rPr>
          <w:noProof/>
        </w:rPr>
        <w:t>rządkowanej likwidacji.</w:t>
      </w:r>
    </w:p>
    <w:p w:rsidR="003B410C" w:rsidRPr="00402C1B" w:rsidRDefault="00BC2ED2" w:rsidP="00BC2ED2">
      <w:pPr>
        <w:pStyle w:val="ManualConsidrant"/>
        <w:rPr>
          <w:noProof/>
        </w:rPr>
      </w:pPr>
      <w:r w:rsidRPr="00BC2ED2">
        <w:rPr>
          <w:noProof/>
        </w:rPr>
        <w:t>(2)</w:t>
      </w:r>
      <w:r w:rsidRPr="00BC2ED2">
        <w:rPr>
          <w:noProof/>
        </w:rPr>
        <w:tab/>
      </w:r>
      <w:r w:rsidR="003B410C" w:rsidRPr="00402C1B">
        <w:rPr>
          <w:noProof/>
        </w:rPr>
        <w:t>Rozporządzeniem wykonawczym (UE) 2018/1624 ustanowiono procedurę oraz minimalny zestaw szablonów stosowanych do przekazywania przez instytucje informacji organom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w:t>
      </w:r>
      <w:r w:rsidR="00402C1B" w:rsidRPr="00402C1B">
        <w:rPr>
          <w:noProof/>
        </w:rPr>
        <w:t xml:space="preserve"> w</w:t>
      </w:r>
      <w:r w:rsidR="00402C1B">
        <w:rPr>
          <w:noProof/>
        </w:rPr>
        <w:t> </w:t>
      </w:r>
      <w:r w:rsidR="00402C1B" w:rsidRPr="00402C1B">
        <w:rPr>
          <w:noProof/>
        </w:rPr>
        <w:t>tak</w:t>
      </w:r>
      <w:r w:rsidR="003B410C" w:rsidRPr="00402C1B">
        <w:rPr>
          <w:noProof/>
        </w:rPr>
        <w:t>i sposób, aby umożliwić organom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gromadzenie tych informacji</w:t>
      </w:r>
      <w:r w:rsidR="00402C1B" w:rsidRPr="00402C1B">
        <w:rPr>
          <w:noProof/>
        </w:rPr>
        <w:t xml:space="preserve"> w</w:t>
      </w:r>
      <w:r w:rsidR="00402C1B">
        <w:rPr>
          <w:noProof/>
        </w:rPr>
        <w:t> </w:t>
      </w:r>
      <w:r w:rsidR="00402C1B" w:rsidRPr="00402C1B">
        <w:rPr>
          <w:noProof/>
        </w:rPr>
        <w:t>spo</w:t>
      </w:r>
      <w:r w:rsidR="003B410C" w:rsidRPr="00402C1B">
        <w:rPr>
          <w:noProof/>
        </w:rPr>
        <w:t>sób spójny</w:t>
      </w:r>
      <w:r w:rsidR="00402C1B" w:rsidRPr="00402C1B">
        <w:rPr>
          <w:noProof/>
        </w:rPr>
        <w:t xml:space="preserve"> w</w:t>
      </w:r>
      <w:r w:rsidR="00402C1B">
        <w:rPr>
          <w:noProof/>
        </w:rPr>
        <w:t> </w:t>
      </w:r>
      <w:r w:rsidR="00402C1B" w:rsidRPr="00402C1B">
        <w:rPr>
          <w:noProof/>
        </w:rPr>
        <w:t>cał</w:t>
      </w:r>
      <w:r w:rsidR="003B410C" w:rsidRPr="00402C1B">
        <w:rPr>
          <w:noProof/>
        </w:rPr>
        <w:t xml:space="preserve">ej Unii oraz aby ułatwić wymianę informacji </w:t>
      </w:r>
      <w:r w:rsidR="003B410C" w:rsidRPr="00402C1B">
        <w:rPr>
          <w:noProof/>
        </w:rPr>
        <w:lastRenderedPageBreak/>
        <w:t>między odpowiednimi organami</w:t>
      </w:r>
      <w:r w:rsidR="00402C1B" w:rsidRPr="00402C1B">
        <w:rPr>
          <w:noProof/>
        </w:rPr>
        <w:t>. Z</w:t>
      </w:r>
      <w:r w:rsidR="00402C1B">
        <w:rPr>
          <w:noProof/>
        </w:rPr>
        <w:t> </w:t>
      </w:r>
      <w:r w:rsidR="00402C1B" w:rsidRPr="00402C1B">
        <w:rPr>
          <w:noProof/>
        </w:rPr>
        <w:t>zeb</w:t>
      </w:r>
      <w:r w:rsidR="003B410C" w:rsidRPr="00402C1B">
        <w:rPr>
          <w:noProof/>
        </w:rPr>
        <w:t>ranych doświadczeń wynika jednak, że zharmonizowane podejście do gromadzenia tych informacji osiągnięto tylko częściowo. Konieczne jest zatem dokonanie przeglądu tego rozporządzenia wykonawczego</w:t>
      </w:r>
      <w:r w:rsidR="00402C1B" w:rsidRPr="00402C1B">
        <w:rPr>
          <w:noProof/>
        </w:rPr>
        <w:t xml:space="preserve"> w</w:t>
      </w:r>
      <w:r w:rsidR="00402C1B">
        <w:rPr>
          <w:noProof/>
        </w:rPr>
        <w:t> </w:t>
      </w:r>
      <w:r w:rsidR="00402C1B" w:rsidRPr="00402C1B">
        <w:rPr>
          <w:noProof/>
        </w:rPr>
        <w:t>cel</w:t>
      </w:r>
      <w:r w:rsidR="003B410C" w:rsidRPr="00402C1B">
        <w:rPr>
          <w:noProof/>
        </w:rPr>
        <w:t>u wspierania harmonizacji obowiązków sprawozdawczych</w:t>
      </w:r>
      <w:r w:rsidR="00402C1B" w:rsidRPr="00402C1B">
        <w:rPr>
          <w:noProof/>
        </w:rPr>
        <w:t xml:space="preserve"> w</w:t>
      </w:r>
      <w:r w:rsidR="00402C1B">
        <w:rPr>
          <w:noProof/>
        </w:rPr>
        <w:t> </w:t>
      </w:r>
      <w:r w:rsidR="00402C1B" w:rsidRPr="00402C1B">
        <w:rPr>
          <w:noProof/>
        </w:rPr>
        <w:t>cał</w:t>
      </w:r>
      <w:r w:rsidR="003B410C" w:rsidRPr="00402C1B">
        <w:rPr>
          <w:noProof/>
        </w:rPr>
        <w:t>ej Unii na podstawie zmienionego zestawu szablonów, które lepiej</w:t>
      </w:r>
      <w:r w:rsidR="00402C1B" w:rsidRPr="00402C1B">
        <w:rPr>
          <w:noProof/>
        </w:rPr>
        <w:t xml:space="preserve"> i</w:t>
      </w:r>
      <w:r w:rsidR="00402C1B">
        <w:rPr>
          <w:noProof/>
        </w:rPr>
        <w:t> </w:t>
      </w:r>
      <w:r w:rsidR="00402C1B" w:rsidRPr="00402C1B">
        <w:rPr>
          <w:noProof/>
        </w:rPr>
        <w:t>spó</w:t>
      </w:r>
      <w:r w:rsidR="003B410C" w:rsidRPr="00402C1B">
        <w:rPr>
          <w:noProof/>
        </w:rPr>
        <w:t>jnie uwzględniają potrzeby organów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Nie powinno to uniemożliwiać organom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gromadzenia wszelkich dodatkowych informacji, które uznają za niezbędne do sporządzenia</w:t>
      </w:r>
      <w:r w:rsidR="00402C1B" w:rsidRPr="00402C1B">
        <w:rPr>
          <w:noProof/>
        </w:rPr>
        <w:t xml:space="preserve"> i</w:t>
      </w:r>
      <w:r w:rsidR="00402C1B">
        <w:rPr>
          <w:noProof/>
        </w:rPr>
        <w:t> </w:t>
      </w:r>
      <w:r w:rsidR="00402C1B" w:rsidRPr="00402C1B">
        <w:rPr>
          <w:noProof/>
        </w:rPr>
        <w:t>wdr</w:t>
      </w:r>
      <w:r w:rsidR="003B410C" w:rsidRPr="00402C1B">
        <w:rPr>
          <w:noProof/>
        </w:rPr>
        <w:t>ożenia planów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lub do ustanawiania uproszczonych obowiązków informacyjnych zgodnie</w:t>
      </w:r>
      <w:r w:rsidR="00402C1B" w:rsidRPr="00402C1B">
        <w:rPr>
          <w:noProof/>
        </w:rPr>
        <w:t xml:space="preserve"> z</w:t>
      </w:r>
      <w:r w:rsidR="00402C1B">
        <w:rPr>
          <w:noProof/>
        </w:rPr>
        <w:t> </w:t>
      </w:r>
      <w:r w:rsidR="00402C1B" w:rsidRPr="00402C1B">
        <w:rPr>
          <w:noProof/>
        </w:rPr>
        <w:t>art</w:t>
      </w:r>
      <w:r w:rsidR="003B410C" w:rsidRPr="00402C1B">
        <w:rPr>
          <w:noProof/>
        </w:rPr>
        <w:t>.</w:t>
      </w:r>
      <w:r w:rsidR="00402C1B" w:rsidRPr="00402C1B">
        <w:rPr>
          <w:noProof/>
        </w:rPr>
        <w:t> </w:t>
      </w:r>
      <w:r w:rsidR="003B410C" w:rsidRPr="00402C1B">
        <w:rPr>
          <w:noProof/>
        </w:rPr>
        <w:t>4 dyrektywy 2014/59/UE.</w:t>
      </w:r>
    </w:p>
    <w:p w:rsidR="003B410C" w:rsidRPr="00402C1B" w:rsidRDefault="00BC2ED2" w:rsidP="00BC2ED2">
      <w:pPr>
        <w:pStyle w:val="ManualConsidrant"/>
        <w:rPr>
          <w:noProof/>
        </w:rPr>
      </w:pPr>
      <w:r w:rsidRPr="00BC2ED2">
        <w:rPr>
          <w:noProof/>
        </w:rPr>
        <w:t>(3)</w:t>
      </w:r>
      <w:r w:rsidRPr="00BC2ED2">
        <w:rPr>
          <w:noProof/>
        </w:rPr>
        <w:tab/>
      </w:r>
      <w:r w:rsidR="003B410C" w:rsidRPr="00402C1B">
        <w:rPr>
          <w:noProof/>
        </w:rPr>
        <w:t>W celu zapewnienia, aby grupowe plany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skutecznie obejmowały daną grupę, obowiązki sprawozdawcze nałożone na unijne jednostki dominujące nie powinny ograniczać się wyłącznie do podmiotów objętych planem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ale powinny dotyczyć również innych istotnych podmiotów prawnych. Należy jednak we właściwy sposób określić istotność, aby wykluczyć sprawozdawczość</w:t>
      </w:r>
      <w:r w:rsidR="00402C1B" w:rsidRPr="00402C1B">
        <w:rPr>
          <w:noProof/>
        </w:rPr>
        <w:t xml:space="preserve"> w</w:t>
      </w:r>
      <w:r w:rsidR="00402C1B">
        <w:rPr>
          <w:noProof/>
        </w:rPr>
        <w:t> </w:t>
      </w:r>
      <w:r w:rsidR="00402C1B" w:rsidRPr="00402C1B">
        <w:rPr>
          <w:noProof/>
        </w:rPr>
        <w:t>prz</w:t>
      </w:r>
      <w:r w:rsidR="003B410C" w:rsidRPr="00402C1B">
        <w:rPr>
          <w:noProof/>
        </w:rPr>
        <w:t>ypadku podmiotów, które nie są istotne dla danej grupy lub nie mają znaczenia systemowego</w:t>
      </w:r>
      <w:r w:rsidR="00402C1B" w:rsidRPr="00402C1B">
        <w:rPr>
          <w:noProof/>
        </w:rPr>
        <w:t>. W</w:t>
      </w:r>
      <w:r w:rsidR="00402C1B">
        <w:rPr>
          <w:noProof/>
        </w:rPr>
        <w:t> </w:t>
      </w:r>
      <w:r w:rsidR="00402C1B" w:rsidRPr="00402C1B">
        <w:rPr>
          <w:noProof/>
        </w:rPr>
        <w:t>tym</w:t>
      </w:r>
      <w:r w:rsidR="003B410C" w:rsidRPr="00402C1B">
        <w:rPr>
          <w:noProof/>
        </w:rPr>
        <w:t xml:space="preserve"> celu należy ustanowić progi pozwalające zidentyfikować te podmioty prawne należące do grupy, na które należy nałożyć wymogi dotyczące sprawozdawczości</w:t>
      </w:r>
      <w:r w:rsidR="00402C1B" w:rsidRPr="00402C1B">
        <w:rPr>
          <w:noProof/>
        </w:rPr>
        <w:t xml:space="preserve"> w</w:t>
      </w:r>
      <w:r w:rsidR="00402C1B">
        <w:rPr>
          <w:noProof/>
        </w:rPr>
        <w:t> </w:t>
      </w:r>
      <w:r w:rsidR="00402C1B" w:rsidRPr="00402C1B">
        <w:rPr>
          <w:noProof/>
        </w:rPr>
        <w:t>zak</w:t>
      </w:r>
      <w:r w:rsidR="003B410C" w:rsidRPr="00402C1B">
        <w:rPr>
          <w:noProof/>
        </w:rPr>
        <w:t>resie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Ponadto dyrektywą Parlamentu Europejskiego</w:t>
      </w:r>
      <w:r w:rsidR="00402C1B" w:rsidRPr="00402C1B">
        <w:rPr>
          <w:noProof/>
        </w:rPr>
        <w:t xml:space="preserve"> i</w:t>
      </w:r>
      <w:r w:rsidR="00402C1B">
        <w:rPr>
          <w:noProof/>
        </w:rPr>
        <w:t> </w:t>
      </w:r>
      <w:r w:rsidR="00402C1B" w:rsidRPr="00402C1B">
        <w:rPr>
          <w:noProof/>
        </w:rPr>
        <w:t>Rad</w:t>
      </w:r>
      <w:r w:rsidR="003B410C" w:rsidRPr="00402C1B">
        <w:rPr>
          <w:noProof/>
        </w:rPr>
        <w:t>y (UE) 2024/1174</w:t>
      </w:r>
      <w:r w:rsidR="003B410C" w:rsidRPr="00402C1B">
        <w:rPr>
          <w:rStyle w:val="FootnoteReference"/>
          <w:noProof/>
        </w:rPr>
        <w:footnoteReference w:id="4"/>
      </w:r>
      <w:r w:rsidR="003B410C" w:rsidRPr="00402C1B">
        <w:rPr>
          <w:noProof/>
        </w:rPr>
        <w:t xml:space="preserve"> zmieniono dyrektywę 2014/59/UE, wprowadzając między innymi definicję „podmiotu poddawanego likwidacji”. Aby uwzględnić tę nową definicję, konieczne jest rozróżnienie między wymogami dotyczącymi sprawozdawczości</w:t>
      </w:r>
      <w:r w:rsidR="00402C1B" w:rsidRPr="00402C1B">
        <w:rPr>
          <w:noProof/>
        </w:rPr>
        <w:t xml:space="preserve"> w</w:t>
      </w:r>
      <w:r w:rsidR="00402C1B">
        <w:rPr>
          <w:noProof/>
        </w:rPr>
        <w:t> </w:t>
      </w:r>
      <w:r w:rsidR="00402C1B" w:rsidRPr="00402C1B">
        <w:rPr>
          <w:noProof/>
        </w:rPr>
        <w:t>zak</w:t>
      </w:r>
      <w:r w:rsidR="003B410C" w:rsidRPr="00402C1B">
        <w:rPr>
          <w:noProof/>
        </w:rPr>
        <w:t>resie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w:t>
      </w:r>
      <w:r w:rsidR="00402C1B" w:rsidRPr="00402C1B">
        <w:rPr>
          <w:noProof/>
        </w:rPr>
        <w:t xml:space="preserve"> w</w:t>
      </w:r>
      <w:r w:rsidR="00402C1B">
        <w:rPr>
          <w:noProof/>
        </w:rPr>
        <w:t> </w:t>
      </w:r>
      <w:r w:rsidR="00402C1B" w:rsidRPr="00402C1B">
        <w:rPr>
          <w:noProof/>
        </w:rPr>
        <w:t>odn</w:t>
      </w:r>
      <w:r w:rsidR="003B410C" w:rsidRPr="00402C1B">
        <w:rPr>
          <w:noProof/>
        </w:rPr>
        <w:t>iesieniu do podmiotów poddawanych likwidacji, podmiotów objętych planem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oraz podmiotów należących do grup objętych planem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w:t>
      </w:r>
      <w:r w:rsidR="00402C1B" w:rsidRPr="00402C1B">
        <w:rPr>
          <w:noProof/>
        </w:rPr>
        <w:t>. W</w:t>
      </w:r>
      <w:r w:rsidR="00402C1B">
        <w:rPr>
          <w:noProof/>
        </w:rPr>
        <w:t> </w:t>
      </w:r>
      <w:r w:rsidR="00402C1B" w:rsidRPr="00402C1B">
        <w:rPr>
          <w:noProof/>
        </w:rPr>
        <w:t>szc</w:t>
      </w:r>
      <w:r w:rsidR="003B410C" w:rsidRPr="00402C1B">
        <w:rPr>
          <w:noProof/>
        </w:rPr>
        <w:t>zególności konieczne jest określenie obowiązków sprawozdawczych</w:t>
      </w:r>
      <w:r w:rsidR="00402C1B" w:rsidRPr="00402C1B">
        <w:rPr>
          <w:noProof/>
        </w:rPr>
        <w:t xml:space="preserve"> z</w:t>
      </w:r>
      <w:r w:rsidR="00402C1B">
        <w:rPr>
          <w:noProof/>
        </w:rPr>
        <w:t> </w:t>
      </w:r>
      <w:r w:rsidR="00402C1B" w:rsidRPr="00402C1B">
        <w:rPr>
          <w:noProof/>
        </w:rPr>
        <w:t>uwz</w:t>
      </w:r>
      <w:r w:rsidR="003B410C" w:rsidRPr="00402C1B">
        <w:rPr>
          <w:noProof/>
        </w:rPr>
        <w:t>ględnieniem tego, czy dane podmioty są jednostkami samodzielnymi lub czy też należą do grup oraz czy dane podmioty lub grupy zostały zidentyfikowane jako podmioty poddawane likwidacji lub obejmują podmioty, które zostały zidentyfikowane jako podmioty poddawane likwidacji. Te obowiązki sprawozdawcze należy określić na poziomie indywidualnym, subskonsolidowanym lub skonsolidowanym</w:t>
      </w:r>
      <w:r w:rsidR="00402C1B" w:rsidRPr="00402C1B">
        <w:rPr>
          <w:noProof/>
        </w:rPr>
        <w:t xml:space="preserve"> w</w:t>
      </w:r>
      <w:r w:rsidR="00402C1B">
        <w:rPr>
          <w:noProof/>
        </w:rPr>
        <w:t> </w:t>
      </w:r>
      <w:r w:rsidR="00402C1B" w:rsidRPr="00402C1B">
        <w:rPr>
          <w:noProof/>
        </w:rPr>
        <w:t>spo</w:t>
      </w:r>
      <w:r w:rsidR="003B410C" w:rsidRPr="00402C1B">
        <w:rPr>
          <w:noProof/>
        </w:rPr>
        <w:t>sób zapewniający proporcjonalność, niezagrażający skutecznemu planowaniu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zwalniający podmioty</w:t>
      </w:r>
      <w:r w:rsidR="00402C1B" w:rsidRPr="00402C1B">
        <w:rPr>
          <w:noProof/>
        </w:rPr>
        <w:t xml:space="preserve"> z</w:t>
      </w:r>
      <w:r w:rsidR="00402C1B">
        <w:rPr>
          <w:noProof/>
        </w:rPr>
        <w:t> </w:t>
      </w:r>
      <w:r w:rsidR="00402C1B" w:rsidRPr="00402C1B">
        <w:rPr>
          <w:noProof/>
        </w:rPr>
        <w:t>rów</w:t>
      </w:r>
      <w:r w:rsidR="003B410C" w:rsidRPr="00402C1B">
        <w:rPr>
          <w:noProof/>
        </w:rPr>
        <w:t>noległego gromadzenia danych pochodzących od różnych organów oraz usuwający punkty danych pokrywające się</w:t>
      </w:r>
      <w:r w:rsidR="00402C1B" w:rsidRPr="00402C1B">
        <w:rPr>
          <w:noProof/>
        </w:rPr>
        <w:t xml:space="preserve"> z</w:t>
      </w:r>
      <w:r w:rsidR="00402C1B">
        <w:rPr>
          <w:noProof/>
        </w:rPr>
        <w:t> </w:t>
      </w:r>
      <w:r w:rsidR="00402C1B" w:rsidRPr="00402C1B">
        <w:rPr>
          <w:noProof/>
        </w:rPr>
        <w:t>ram</w:t>
      </w:r>
      <w:r w:rsidR="003B410C" w:rsidRPr="00402C1B">
        <w:rPr>
          <w:noProof/>
        </w:rPr>
        <w:t>ami sprawozdawczości nadzorczej. Należy to osiągnąć poprzez wdrożenie podejścia, które dostosowuje liczbę szablonów</w:t>
      </w:r>
      <w:r w:rsidR="00402C1B" w:rsidRPr="00402C1B">
        <w:rPr>
          <w:noProof/>
        </w:rPr>
        <w:t xml:space="preserve"> w</w:t>
      </w:r>
      <w:r w:rsidR="00402C1B">
        <w:rPr>
          <w:noProof/>
        </w:rPr>
        <w:t> </w:t>
      </w:r>
      <w:r w:rsidR="00402C1B" w:rsidRPr="00402C1B">
        <w:rPr>
          <w:noProof/>
        </w:rPr>
        <w:t>zal</w:t>
      </w:r>
      <w:r w:rsidR="003B410C" w:rsidRPr="00402C1B">
        <w:rPr>
          <w:noProof/>
        </w:rPr>
        <w:t>eżności od rodzaju danej jednostki sprawozdawczej. Szczególną uwagę należy również zwrócić na grupy objęte planem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składające się</w:t>
      </w:r>
      <w:r w:rsidR="00402C1B" w:rsidRPr="00402C1B">
        <w:rPr>
          <w:noProof/>
        </w:rPr>
        <w:t xml:space="preserve"> z</w:t>
      </w:r>
      <w:r w:rsidR="00402C1B">
        <w:rPr>
          <w:noProof/>
        </w:rPr>
        <w:t> </w:t>
      </w:r>
      <w:r w:rsidR="00402C1B" w:rsidRPr="00402C1B">
        <w:rPr>
          <w:noProof/>
        </w:rPr>
        <w:t>ins</w:t>
      </w:r>
      <w:r w:rsidR="003B410C" w:rsidRPr="00402C1B">
        <w:rPr>
          <w:noProof/>
        </w:rPr>
        <w:t>tytucji kredytowych trwale powiązanych</w:t>
      </w:r>
      <w:r w:rsidR="00402C1B" w:rsidRPr="00402C1B">
        <w:rPr>
          <w:noProof/>
        </w:rPr>
        <w:t xml:space="preserve"> z</w:t>
      </w:r>
      <w:r w:rsidR="00402C1B">
        <w:rPr>
          <w:noProof/>
        </w:rPr>
        <w:t> </w:t>
      </w:r>
      <w:r w:rsidR="00402C1B" w:rsidRPr="00402C1B">
        <w:rPr>
          <w:noProof/>
        </w:rPr>
        <w:t>org</w:t>
      </w:r>
      <w:r w:rsidR="003B410C" w:rsidRPr="00402C1B">
        <w:rPr>
          <w:noProof/>
        </w:rPr>
        <w:t>anem centralnym oraz na sam ten organ centralny, aby zapewnić, by sprawozdawczość</w:t>
      </w:r>
      <w:r w:rsidR="00402C1B" w:rsidRPr="00402C1B">
        <w:rPr>
          <w:noProof/>
        </w:rPr>
        <w:t xml:space="preserve"> w</w:t>
      </w:r>
      <w:r w:rsidR="00402C1B">
        <w:rPr>
          <w:noProof/>
        </w:rPr>
        <w:t> </w:t>
      </w:r>
      <w:r w:rsidR="00402C1B" w:rsidRPr="00402C1B">
        <w:rPr>
          <w:noProof/>
        </w:rPr>
        <w:t>zak</w:t>
      </w:r>
      <w:r w:rsidR="003B410C" w:rsidRPr="00402C1B">
        <w:rPr>
          <w:noProof/>
        </w:rPr>
        <w:t>resie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skutecznie obejmowała wszystkie instytucje kredytowe trwale powiązane</w:t>
      </w:r>
      <w:r w:rsidR="00402C1B" w:rsidRPr="00402C1B">
        <w:rPr>
          <w:noProof/>
        </w:rPr>
        <w:t xml:space="preserve"> z</w:t>
      </w:r>
      <w:r w:rsidR="00402C1B">
        <w:rPr>
          <w:noProof/>
        </w:rPr>
        <w:t> </w:t>
      </w:r>
      <w:r w:rsidR="00402C1B" w:rsidRPr="00402C1B">
        <w:rPr>
          <w:noProof/>
        </w:rPr>
        <w:t>org</w:t>
      </w:r>
      <w:r w:rsidR="003B410C" w:rsidRPr="00402C1B">
        <w:rPr>
          <w:noProof/>
        </w:rPr>
        <w:t>anem centralnym tej grupy objętej planem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sam ten organ centralny oraz ich odnośne jednostki zależne, na poziomie indywidualnym, subskonsolidowanym</w:t>
      </w:r>
      <w:r w:rsidR="00402C1B" w:rsidRPr="00402C1B">
        <w:rPr>
          <w:noProof/>
        </w:rPr>
        <w:t xml:space="preserve"> i</w:t>
      </w:r>
      <w:r w:rsidR="00402C1B">
        <w:rPr>
          <w:noProof/>
        </w:rPr>
        <w:t> </w:t>
      </w:r>
      <w:r w:rsidR="00402C1B" w:rsidRPr="00402C1B">
        <w:rPr>
          <w:noProof/>
        </w:rPr>
        <w:t>sko</w:t>
      </w:r>
      <w:r w:rsidR="003B410C" w:rsidRPr="00402C1B">
        <w:rPr>
          <w:noProof/>
        </w:rPr>
        <w:t>nsolidowanym.</w:t>
      </w:r>
    </w:p>
    <w:p w:rsidR="003B410C" w:rsidRPr="00402C1B" w:rsidRDefault="00BC2ED2" w:rsidP="00BC2ED2">
      <w:pPr>
        <w:pStyle w:val="ManualConsidrant"/>
        <w:rPr>
          <w:noProof/>
        </w:rPr>
      </w:pPr>
      <w:r w:rsidRPr="00BC2ED2">
        <w:rPr>
          <w:noProof/>
        </w:rPr>
        <w:t>(4)</w:t>
      </w:r>
      <w:r w:rsidRPr="00BC2ED2">
        <w:rPr>
          <w:noProof/>
        </w:rPr>
        <w:tab/>
      </w:r>
      <w:r w:rsidR="003B410C" w:rsidRPr="00402C1B">
        <w:rPr>
          <w:noProof/>
        </w:rPr>
        <w:t>Aby zapewnić skuteczne planowanie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przy jednoczesnym zachowaniu proporcjonalności, zakres wymogów dotyczących sprawozdawczości</w:t>
      </w:r>
      <w:r w:rsidR="00402C1B" w:rsidRPr="00402C1B">
        <w:rPr>
          <w:noProof/>
        </w:rPr>
        <w:t xml:space="preserve"> w</w:t>
      </w:r>
      <w:r w:rsidR="00402C1B">
        <w:rPr>
          <w:noProof/>
        </w:rPr>
        <w:t> </w:t>
      </w:r>
      <w:r w:rsidR="00402C1B" w:rsidRPr="00402C1B">
        <w:rPr>
          <w:noProof/>
        </w:rPr>
        <w:t>zak</w:t>
      </w:r>
      <w:r w:rsidR="003B410C" w:rsidRPr="00402C1B">
        <w:rPr>
          <w:noProof/>
        </w:rPr>
        <w:t>resie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może być różny od zakresu wymogów dotyczących sprawozdawczości ostrożnościowej, jeżeli jest to konieczne do zapewnienia, aby organy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dysponowały odpowiednimi</w:t>
      </w:r>
      <w:r w:rsidR="00402C1B" w:rsidRPr="00402C1B">
        <w:rPr>
          <w:noProof/>
        </w:rPr>
        <w:t xml:space="preserve"> i</w:t>
      </w:r>
      <w:r w:rsidR="00402C1B">
        <w:rPr>
          <w:noProof/>
        </w:rPr>
        <w:t> </w:t>
      </w:r>
      <w:r w:rsidR="00402C1B" w:rsidRPr="00402C1B">
        <w:rPr>
          <w:noProof/>
        </w:rPr>
        <w:t>wia</w:t>
      </w:r>
      <w:r w:rsidR="003B410C" w:rsidRPr="00402C1B">
        <w:rPr>
          <w:noProof/>
        </w:rPr>
        <w:t>rygodnymi danymi do celów wykonywania swoich zadań</w:t>
      </w:r>
      <w:r w:rsidR="00402C1B" w:rsidRPr="00402C1B">
        <w:rPr>
          <w:noProof/>
        </w:rPr>
        <w:t>. W</w:t>
      </w:r>
      <w:r w:rsidR="00402C1B">
        <w:rPr>
          <w:noProof/>
        </w:rPr>
        <w:t> </w:t>
      </w:r>
      <w:r w:rsidR="00402C1B" w:rsidRPr="00402C1B">
        <w:rPr>
          <w:noProof/>
        </w:rPr>
        <w:t>tym</w:t>
      </w:r>
      <w:r w:rsidR="003B410C" w:rsidRPr="00402C1B">
        <w:rPr>
          <w:noProof/>
        </w:rPr>
        <w:t xml:space="preserve"> kontekście konieczne jest zapewnienie, aby sprawozdawczości</w:t>
      </w:r>
      <w:r w:rsidR="00402C1B" w:rsidRPr="00402C1B">
        <w:rPr>
          <w:noProof/>
        </w:rPr>
        <w:t xml:space="preserve"> w</w:t>
      </w:r>
      <w:r w:rsidR="00402C1B">
        <w:rPr>
          <w:noProof/>
        </w:rPr>
        <w:t> </w:t>
      </w:r>
      <w:r w:rsidR="00402C1B" w:rsidRPr="00402C1B">
        <w:rPr>
          <w:noProof/>
        </w:rPr>
        <w:t>zak</w:t>
      </w:r>
      <w:r w:rsidR="003B410C" w:rsidRPr="00402C1B">
        <w:rPr>
          <w:noProof/>
        </w:rPr>
        <w:t>resie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nie utrudniały zwolnienia</w:t>
      </w:r>
      <w:r w:rsidR="00402C1B" w:rsidRPr="00402C1B">
        <w:rPr>
          <w:noProof/>
        </w:rPr>
        <w:t xml:space="preserve"> z</w:t>
      </w:r>
      <w:r w:rsidR="00402C1B">
        <w:rPr>
          <w:noProof/>
        </w:rPr>
        <w:t> </w:t>
      </w:r>
      <w:r w:rsidR="00402C1B" w:rsidRPr="00402C1B">
        <w:rPr>
          <w:noProof/>
        </w:rPr>
        <w:t>wym</w:t>
      </w:r>
      <w:r w:rsidR="003B410C" w:rsidRPr="00402C1B">
        <w:rPr>
          <w:noProof/>
        </w:rPr>
        <w:t>ogów ostrożnościowych lub grupy objęte planem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niepodlegające wymogom konsolidacji ostrożnościowej.</w:t>
      </w:r>
    </w:p>
    <w:p w:rsidR="003B410C" w:rsidRPr="00402C1B" w:rsidRDefault="00BC2ED2" w:rsidP="00BC2ED2">
      <w:pPr>
        <w:pStyle w:val="ManualConsidrant"/>
        <w:rPr>
          <w:noProof/>
        </w:rPr>
      </w:pPr>
      <w:r w:rsidRPr="00BC2ED2">
        <w:rPr>
          <w:noProof/>
        </w:rPr>
        <w:t>(5)</w:t>
      </w:r>
      <w:r w:rsidRPr="00BC2ED2">
        <w:rPr>
          <w:noProof/>
        </w:rPr>
        <w:tab/>
      </w:r>
      <w:r w:rsidR="00012E4C" w:rsidRPr="00402C1B">
        <w:rPr>
          <w:noProof/>
        </w:rPr>
        <w:t>W celu zapewnienia, aby plany restrukturyzacji</w:t>
      </w:r>
      <w:r w:rsidR="00402C1B" w:rsidRPr="00402C1B">
        <w:rPr>
          <w:noProof/>
        </w:rPr>
        <w:t xml:space="preserve"> i</w:t>
      </w:r>
      <w:r w:rsidR="00402C1B">
        <w:rPr>
          <w:noProof/>
        </w:rPr>
        <w:t> </w:t>
      </w:r>
      <w:r w:rsidR="00402C1B" w:rsidRPr="00402C1B">
        <w:rPr>
          <w:noProof/>
        </w:rPr>
        <w:t>upo</w:t>
      </w:r>
      <w:r w:rsidR="00012E4C" w:rsidRPr="00402C1B">
        <w:rPr>
          <w:noProof/>
        </w:rPr>
        <w:t>rządkowanej likwidacji opierały się na minimalnym zestawie danych charakteryzujących się stałą wysoką jakością</w:t>
      </w:r>
      <w:r w:rsidR="00402C1B" w:rsidRPr="00402C1B">
        <w:rPr>
          <w:noProof/>
        </w:rPr>
        <w:t xml:space="preserve"> i</w:t>
      </w:r>
      <w:r w:rsidR="00402C1B">
        <w:rPr>
          <w:noProof/>
        </w:rPr>
        <w:t> </w:t>
      </w:r>
      <w:r w:rsidR="00402C1B" w:rsidRPr="00402C1B">
        <w:rPr>
          <w:noProof/>
        </w:rPr>
        <w:t>dok</w:t>
      </w:r>
      <w:r w:rsidR="00012E4C" w:rsidRPr="00402C1B">
        <w:rPr>
          <w:noProof/>
        </w:rPr>
        <w:t>ładnością, należy przyjąć jednolity model punktów danych, tak jak ma to miejsce</w:t>
      </w:r>
      <w:r w:rsidR="00402C1B" w:rsidRPr="00402C1B">
        <w:rPr>
          <w:noProof/>
        </w:rPr>
        <w:t xml:space="preserve"> w</w:t>
      </w:r>
      <w:r w:rsidR="00402C1B">
        <w:rPr>
          <w:noProof/>
        </w:rPr>
        <w:t> </w:t>
      </w:r>
      <w:r w:rsidR="00402C1B" w:rsidRPr="00402C1B">
        <w:rPr>
          <w:noProof/>
        </w:rPr>
        <w:t>prz</w:t>
      </w:r>
      <w:r w:rsidR="00012E4C" w:rsidRPr="00402C1B">
        <w:rPr>
          <w:noProof/>
        </w:rPr>
        <w:t>ypadku sprawozdawczości nadzorczej. Jednolity model punktów danych powinien stanowić uporządkowane przedstawienie pozycji danych oraz identyfikować wszystkie koncepcje biznesowe mające znaczenie</w:t>
      </w:r>
      <w:r w:rsidR="00402C1B" w:rsidRPr="00402C1B">
        <w:rPr>
          <w:noProof/>
        </w:rPr>
        <w:t xml:space="preserve"> w</w:t>
      </w:r>
      <w:r w:rsidR="00402C1B">
        <w:rPr>
          <w:noProof/>
        </w:rPr>
        <w:t> </w:t>
      </w:r>
      <w:r w:rsidR="00402C1B" w:rsidRPr="00402C1B">
        <w:rPr>
          <w:noProof/>
        </w:rPr>
        <w:t>odn</w:t>
      </w:r>
      <w:r w:rsidR="00012E4C" w:rsidRPr="00402C1B">
        <w:rPr>
          <w:noProof/>
        </w:rPr>
        <w:t>iesieniu do jednolitej sprawozdawczości do celów planowania restrukturyzacji</w:t>
      </w:r>
      <w:r w:rsidR="00402C1B" w:rsidRPr="00402C1B">
        <w:rPr>
          <w:noProof/>
        </w:rPr>
        <w:t xml:space="preserve"> i</w:t>
      </w:r>
      <w:r w:rsidR="00402C1B">
        <w:rPr>
          <w:noProof/>
        </w:rPr>
        <w:t> </w:t>
      </w:r>
      <w:r w:rsidR="00402C1B" w:rsidRPr="00402C1B">
        <w:rPr>
          <w:noProof/>
        </w:rPr>
        <w:t>upo</w:t>
      </w:r>
      <w:r w:rsidR="00012E4C" w:rsidRPr="00402C1B">
        <w:rPr>
          <w:noProof/>
        </w:rPr>
        <w:t>rządkowanej likwidacji,</w:t>
      </w:r>
      <w:r w:rsidR="00402C1B" w:rsidRPr="00402C1B">
        <w:rPr>
          <w:noProof/>
        </w:rPr>
        <w:t xml:space="preserve"> a</w:t>
      </w:r>
      <w:r w:rsidR="00402C1B">
        <w:rPr>
          <w:noProof/>
        </w:rPr>
        <w:t> </w:t>
      </w:r>
      <w:r w:rsidR="00402C1B" w:rsidRPr="00402C1B">
        <w:rPr>
          <w:noProof/>
        </w:rPr>
        <w:t>tak</w:t>
      </w:r>
      <w:r w:rsidR="00012E4C" w:rsidRPr="00402C1B">
        <w:rPr>
          <w:noProof/>
        </w:rPr>
        <w:t>że powinien zawierać wszystkie odpowiednie specyfikacje konieczne do dalszego rozwoju jednolitych narzędzi informatycznych na potrzeby sprawozdawczości.</w:t>
      </w:r>
    </w:p>
    <w:p w:rsidR="003B410C" w:rsidRPr="00402C1B" w:rsidRDefault="00BC2ED2" w:rsidP="00BC2ED2">
      <w:pPr>
        <w:pStyle w:val="ManualConsidrant"/>
        <w:rPr>
          <w:noProof/>
        </w:rPr>
      </w:pPr>
      <w:r w:rsidRPr="00BC2ED2">
        <w:rPr>
          <w:noProof/>
        </w:rPr>
        <w:t>(6)</w:t>
      </w:r>
      <w:r w:rsidRPr="00BC2ED2">
        <w:rPr>
          <w:noProof/>
        </w:rPr>
        <w:tab/>
      </w:r>
      <w:r w:rsidR="00980E18" w:rsidRPr="00402C1B">
        <w:rPr>
          <w:noProof/>
        </w:rPr>
        <w:t>W celu zapewnienia jakości, spójności</w:t>
      </w:r>
      <w:r w:rsidR="00402C1B" w:rsidRPr="00402C1B">
        <w:rPr>
          <w:noProof/>
        </w:rPr>
        <w:t xml:space="preserve"> i</w:t>
      </w:r>
      <w:r w:rsidR="00402C1B">
        <w:rPr>
          <w:noProof/>
        </w:rPr>
        <w:t> </w:t>
      </w:r>
      <w:r w:rsidR="00402C1B" w:rsidRPr="00402C1B">
        <w:rPr>
          <w:noProof/>
        </w:rPr>
        <w:t>dok</w:t>
      </w:r>
      <w:r w:rsidR="00980E18" w:rsidRPr="00402C1B">
        <w:rPr>
          <w:noProof/>
        </w:rPr>
        <w:t>ładności pozycji danych zgłaszanych przez instytucje pozycje te powinny podlegać wspólnym zasadom walidacji.</w:t>
      </w:r>
    </w:p>
    <w:p w:rsidR="003B410C" w:rsidRPr="00402C1B" w:rsidRDefault="00BC2ED2" w:rsidP="00BC2ED2">
      <w:pPr>
        <w:pStyle w:val="ManualConsidrant"/>
        <w:rPr>
          <w:noProof/>
        </w:rPr>
      </w:pPr>
      <w:r w:rsidRPr="00BC2ED2">
        <w:rPr>
          <w:noProof/>
        </w:rPr>
        <w:t>(7)</w:t>
      </w:r>
      <w:r w:rsidRPr="00BC2ED2">
        <w:rPr>
          <w:noProof/>
        </w:rPr>
        <w:tab/>
      </w:r>
      <w:r w:rsidR="003B410C" w:rsidRPr="00402C1B">
        <w:rPr>
          <w:noProof/>
        </w:rPr>
        <w:t>Z uwagi na ich szczególny charakter zasady walidacji</w:t>
      </w:r>
      <w:r w:rsidR="00402C1B" w:rsidRPr="00402C1B">
        <w:rPr>
          <w:noProof/>
        </w:rPr>
        <w:t xml:space="preserve"> i</w:t>
      </w:r>
      <w:r w:rsidR="00402C1B">
        <w:rPr>
          <w:noProof/>
        </w:rPr>
        <w:t> </w:t>
      </w:r>
      <w:r w:rsidR="00402C1B" w:rsidRPr="00402C1B">
        <w:rPr>
          <w:noProof/>
        </w:rPr>
        <w:t>def</w:t>
      </w:r>
      <w:r w:rsidR="003B410C" w:rsidRPr="00402C1B">
        <w:rPr>
          <w:noProof/>
        </w:rPr>
        <w:t>inicje punktów danych podlegają regularnej aktualizacji, tak aby zapewnić ich stałą zgodność</w:t>
      </w:r>
      <w:r w:rsidR="00402C1B" w:rsidRPr="00402C1B">
        <w:rPr>
          <w:noProof/>
        </w:rPr>
        <w:t xml:space="preserve"> z</w:t>
      </w:r>
      <w:r w:rsidR="00402C1B">
        <w:rPr>
          <w:noProof/>
        </w:rPr>
        <w:t> </w:t>
      </w:r>
      <w:r w:rsidR="00402C1B" w:rsidRPr="00402C1B">
        <w:rPr>
          <w:noProof/>
        </w:rPr>
        <w:t>obo</w:t>
      </w:r>
      <w:r w:rsidR="003B410C" w:rsidRPr="00402C1B">
        <w:rPr>
          <w:noProof/>
        </w:rPr>
        <w:t>wiązującymi wymogami regulacyjnymi, analitycznymi</w:t>
      </w:r>
      <w:r w:rsidR="00402C1B" w:rsidRPr="00402C1B">
        <w:rPr>
          <w:noProof/>
        </w:rPr>
        <w:t xml:space="preserve"> i</w:t>
      </w:r>
      <w:r w:rsidR="00402C1B">
        <w:rPr>
          <w:noProof/>
        </w:rPr>
        <w:t> </w:t>
      </w:r>
      <w:r w:rsidR="00402C1B" w:rsidRPr="00402C1B">
        <w:rPr>
          <w:noProof/>
        </w:rPr>
        <w:t>inf</w:t>
      </w:r>
      <w:r w:rsidR="003B410C" w:rsidRPr="00402C1B">
        <w:rPr>
          <w:noProof/>
        </w:rPr>
        <w:t>ormatycznymi. Ze względu na długotrwałość obecnej procedury przyjmowania</w:t>
      </w:r>
      <w:r w:rsidR="00402C1B" w:rsidRPr="00402C1B">
        <w:rPr>
          <w:noProof/>
        </w:rPr>
        <w:t xml:space="preserve"> i</w:t>
      </w:r>
      <w:r w:rsidR="00402C1B">
        <w:rPr>
          <w:noProof/>
        </w:rPr>
        <w:t> </w:t>
      </w:r>
      <w:r w:rsidR="00402C1B" w:rsidRPr="00402C1B">
        <w:rPr>
          <w:noProof/>
        </w:rPr>
        <w:t>pub</w:t>
      </w:r>
      <w:r w:rsidR="003B410C" w:rsidRPr="00402C1B">
        <w:rPr>
          <w:noProof/>
        </w:rPr>
        <w:t>likacji szczegółowy jednolity model punktów danych</w:t>
      </w:r>
      <w:r w:rsidR="00402C1B" w:rsidRPr="00402C1B">
        <w:rPr>
          <w:noProof/>
        </w:rPr>
        <w:t xml:space="preserve"> i</w:t>
      </w:r>
      <w:r w:rsidR="00402C1B">
        <w:rPr>
          <w:noProof/>
        </w:rPr>
        <w:t> </w:t>
      </w:r>
      <w:r w:rsidR="00402C1B" w:rsidRPr="00402C1B">
        <w:rPr>
          <w:noProof/>
        </w:rPr>
        <w:t>zas</w:t>
      </w:r>
      <w:r w:rsidR="003B410C" w:rsidRPr="00402C1B">
        <w:rPr>
          <w:noProof/>
        </w:rPr>
        <w:t>ady walidacji nie mogą być zmieniane odpowiednio szybko</w:t>
      </w:r>
      <w:r w:rsidR="00402C1B" w:rsidRPr="00402C1B">
        <w:rPr>
          <w:noProof/>
        </w:rPr>
        <w:t xml:space="preserve"> i</w:t>
      </w:r>
      <w:r w:rsidR="00402C1B">
        <w:rPr>
          <w:noProof/>
        </w:rPr>
        <w:t> </w:t>
      </w:r>
      <w:r w:rsidR="00402C1B" w:rsidRPr="00402C1B">
        <w:rPr>
          <w:noProof/>
        </w:rPr>
        <w:t>ter</w:t>
      </w:r>
      <w:r w:rsidR="003B410C" w:rsidRPr="00402C1B">
        <w:rPr>
          <w:noProof/>
        </w:rPr>
        <w:t>minowo, tak aby zapewnić ciągłe przekazywanie jednolitych informacji dotyczących planów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w:t>
      </w:r>
      <w:r w:rsidR="00402C1B" w:rsidRPr="00402C1B">
        <w:rPr>
          <w:noProof/>
        </w:rPr>
        <w:t xml:space="preserve"> w</w:t>
      </w:r>
      <w:r w:rsidR="00402C1B">
        <w:rPr>
          <w:noProof/>
        </w:rPr>
        <w:t> </w:t>
      </w:r>
      <w:r w:rsidR="00402C1B" w:rsidRPr="00402C1B">
        <w:rPr>
          <w:noProof/>
        </w:rPr>
        <w:t>Uni</w:t>
      </w:r>
      <w:r w:rsidR="003B410C" w:rsidRPr="00402C1B">
        <w:rPr>
          <w:noProof/>
        </w:rPr>
        <w:t>i. Należy zatem ustanowić rygorystyczne kryteria jakościowe dotyczące jednolitego modelu punktów danych oraz szczegółowe wspólne zasady walidacji, które zostaną opublikowane</w:t>
      </w:r>
      <w:r w:rsidR="00402C1B" w:rsidRPr="00402C1B">
        <w:rPr>
          <w:noProof/>
        </w:rPr>
        <w:t xml:space="preserve"> w</w:t>
      </w:r>
      <w:r w:rsidR="00402C1B">
        <w:rPr>
          <w:noProof/>
        </w:rPr>
        <w:t> </w:t>
      </w:r>
      <w:r w:rsidR="00402C1B" w:rsidRPr="00402C1B">
        <w:rPr>
          <w:noProof/>
        </w:rPr>
        <w:t>for</w:t>
      </w:r>
      <w:r w:rsidR="003B410C" w:rsidRPr="00402C1B">
        <w:rPr>
          <w:noProof/>
        </w:rPr>
        <w:t>mie elektronicznej przez Europejski Urząd Nadzoru Bankowego (EUNB) na jego stronie internetowej. Powyższe nie wyklucza możliwości, by EUNB publikował również na swojej stronie internetowej instrukcje techniczne dotyczące wypełniania formularzy</w:t>
      </w:r>
      <w:r w:rsidR="00402C1B" w:rsidRPr="00402C1B">
        <w:rPr>
          <w:noProof/>
        </w:rPr>
        <w:t xml:space="preserve"> i</w:t>
      </w:r>
      <w:r w:rsidR="00402C1B">
        <w:rPr>
          <w:noProof/>
        </w:rPr>
        <w:t> </w:t>
      </w:r>
      <w:r w:rsidR="00402C1B" w:rsidRPr="00402C1B">
        <w:rPr>
          <w:noProof/>
        </w:rPr>
        <w:t>sza</w:t>
      </w:r>
      <w:r w:rsidR="003B410C" w:rsidRPr="00402C1B">
        <w:rPr>
          <w:noProof/>
        </w:rPr>
        <w:t>blonów określonych</w:t>
      </w:r>
      <w:r w:rsidR="00402C1B" w:rsidRPr="00402C1B">
        <w:rPr>
          <w:noProof/>
        </w:rPr>
        <w:t xml:space="preserve"> w</w:t>
      </w:r>
      <w:r w:rsidR="00402C1B">
        <w:rPr>
          <w:noProof/>
        </w:rPr>
        <w:t> </w:t>
      </w:r>
      <w:r w:rsidR="00402C1B" w:rsidRPr="00402C1B">
        <w:rPr>
          <w:noProof/>
        </w:rPr>
        <w:t>nin</w:t>
      </w:r>
      <w:r w:rsidR="003B410C" w:rsidRPr="00402C1B">
        <w:rPr>
          <w:noProof/>
        </w:rPr>
        <w:t>iejszym rozporządzeniu.</w:t>
      </w:r>
    </w:p>
    <w:p w:rsidR="003B410C" w:rsidRPr="00402C1B" w:rsidRDefault="00BC2ED2" w:rsidP="00BC2ED2">
      <w:pPr>
        <w:pStyle w:val="ManualConsidrant"/>
        <w:rPr>
          <w:noProof/>
        </w:rPr>
      </w:pPr>
      <w:r w:rsidRPr="00BC2ED2">
        <w:rPr>
          <w:noProof/>
        </w:rPr>
        <w:t>(8)</w:t>
      </w:r>
      <w:r w:rsidRPr="00BC2ED2">
        <w:rPr>
          <w:noProof/>
        </w:rPr>
        <w:tab/>
      </w:r>
      <w:r w:rsidR="003B410C" w:rsidRPr="00402C1B">
        <w:rPr>
          <w:noProof/>
        </w:rPr>
        <w:t>W art.</w:t>
      </w:r>
      <w:r w:rsidR="00402C1B" w:rsidRPr="00402C1B">
        <w:rPr>
          <w:noProof/>
        </w:rPr>
        <w:t> </w:t>
      </w:r>
      <w:r w:rsidR="003B410C" w:rsidRPr="00402C1B">
        <w:rPr>
          <w:noProof/>
        </w:rPr>
        <w:t>11 ust.</w:t>
      </w:r>
      <w:r w:rsidR="00402C1B" w:rsidRPr="00402C1B">
        <w:rPr>
          <w:noProof/>
        </w:rPr>
        <w:t> </w:t>
      </w:r>
      <w:r w:rsidR="003B410C" w:rsidRPr="00402C1B">
        <w:rPr>
          <w:noProof/>
        </w:rPr>
        <w:t>2 dyrektywy 2014/59/UE zobowiązano właściwe organy oraz organy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do współpracy</w:t>
      </w:r>
      <w:r w:rsidR="00402C1B" w:rsidRPr="00402C1B">
        <w:rPr>
          <w:noProof/>
        </w:rPr>
        <w:t xml:space="preserve"> w</w:t>
      </w:r>
      <w:r w:rsidR="00402C1B">
        <w:rPr>
          <w:noProof/>
        </w:rPr>
        <w:t> </w:t>
      </w:r>
      <w:r w:rsidR="00402C1B" w:rsidRPr="00402C1B">
        <w:rPr>
          <w:noProof/>
        </w:rPr>
        <w:t>cel</w:t>
      </w:r>
      <w:r w:rsidR="003B410C" w:rsidRPr="00402C1B">
        <w:rPr>
          <w:noProof/>
        </w:rPr>
        <w:t>u zminimalizowania powielania wymogów</w:t>
      </w:r>
      <w:r w:rsidR="00402C1B" w:rsidRPr="00402C1B">
        <w:rPr>
          <w:noProof/>
        </w:rPr>
        <w:t xml:space="preserve"> w</w:t>
      </w:r>
      <w:r w:rsidR="00402C1B">
        <w:rPr>
          <w:noProof/>
        </w:rPr>
        <w:t> </w:t>
      </w:r>
      <w:r w:rsidR="00402C1B" w:rsidRPr="00402C1B">
        <w:rPr>
          <w:noProof/>
        </w:rPr>
        <w:t>zak</w:t>
      </w:r>
      <w:r w:rsidR="003B410C" w:rsidRPr="00402C1B">
        <w:rPr>
          <w:noProof/>
        </w:rPr>
        <w:t>resie informacji</w:t>
      </w:r>
      <w:r w:rsidR="00402C1B" w:rsidRPr="00402C1B">
        <w:rPr>
          <w:noProof/>
        </w:rPr>
        <w:t>. W</w:t>
      </w:r>
      <w:r w:rsidR="00402C1B">
        <w:rPr>
          <w:noProof/>
        </w:rPr>
        <w:t> </w:t>
      </w:r>
      <w:r w:rsidR="00402C1B" w:rsidRPr="00402C1B">
        <w:rPr>
          <w:noProof/>
        </w:rPr>
        <w:t>tym</w:t>
      </w:r>
      <w:r w:rsidR="003B410C" w:rsidRPr="00402C1B">
        <w:rPr>
          <w:noProof/>
        </w:rPr>
        <w:t xml:space="preserve"> celu</w:t>
      </w:r>
      <w:r w:rsidR="00402C1B" w:rsidRPr="00402C1B">
        <w:rPr>
          <w:noProof/>
        </w:rPr>
        <w:t xml:space="preserve"> w</w:t>
      </w:r>
      <w:r w:rsidR="00402C1B">
        <w:rPr>
          <w:noProof/>
        </w:rPr>
        <w:t> </w:t>
      </w:r>
      <w:r w:rsidR="00402C1B" w:rsidRPr="00402C1B">
        <w:rPr>
          <w:noProof/>
        </w:rPr>
        <w:t>roz</w:t>
      </w:r>
      <w:r w:rsidR="003B410C" w:rsidRPr="00402C1B">
        <w:rPr>
          <w:noProof/>
        </w:rPr>
        <w:t>porządzeniu wykonawczym (UE) 2018/1624 wprowadzono procedurę współpracy pomiędzy właściwymi organami</w:t>
      </w:r>
      <w:r w:rsidR="00402C1B" w:rsidRPr="00402C1B">
        <w:rPr>
          <w:noProof/>
        </w:rPr>
        <w:t xml:space="preserve"> a</w:t>
      </w:r>
      <w:r w:rsidR="00402C1B">
        <w:rPr>
          <w:noProof/>
        </w:rPr>
        <w:t> </w:t>
      </w:r>
      <w:r w:rsidR="00402C1B" w:rsidRPr="00402C1B">
        <w:rPr>
          <w:noProof/>
        </w:rPr>
        <w:t>org</w:t>
      </w:r>
      <w:r w:rsidR="003B410C" w:rsidRPr="00402C1B">
        <w:rPr>
          <w:noProof/>
        </w:rPr>
        <w:t>anami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którą należy utrzymać, tak aby właściwe organy oraz organy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wspólnie weryfikowały, czy dany właściwy organ ma już dostęp do części lub całości wymaganych informacji. Jeżeli informacje te są dostępne właściwemu organowi, powinien on przekazać je bezpośrednio organowi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w:t>
      </w:r>
    </w:p>
    <w:p w:rsidR="003B410C" w:rsidRPr="00402C1B" w:rsidRDefault="00BC2ED2" w:rsidP="00BC2ED2">
      <w:pPr>
        <w:pStyle w:val="ManualConsidrant"/>
        <w:rPr>
          <w:noProof/>
        </w:rPr>
      </w:pPr>
      <w:r w:rsidRPr="00BC2ED2">
        <w:rPr>
          <w:noProof/>
        </w:rPr>
        <w:t>(9)</w:t>
      </w:r>
      <w:r w:rsidRPr="00BC2ED2">
        <w:rPr>
          <w:noProof/>
        </w:rPr>
        <w:tab/>
      </w:r>
      <w:r w:rsidR="003B410C" w:rsidRPr="00402C1B">
        <w:rPr>
          <w:noProof/>
        </w:rPr>
        <w:t>Uwzględniając zakres zmian</w:t>
      </w:r>
      <w:r w:rsidR="00402C1B" w:rsidRPr="00402C1B">
        <w:rPr>
          <w:noProof/>
        </w:rPr>
        <w:t xml:space="preserve"> w</w:t>
      </w:r>
      <w:r w:rsidR="00402C1B">
        <w:rPr>
          <w:noProof/>
        </w:rPr>
        <w:t> </w:t>
      </w:r>
      <w:r w:rsidR="00402C1B" w:rsidRPr="00402C1B">
        <w:rPr>
          <w:noProof/>
        </w:rPr>
        <w:t>roz</w:t>
      </w:r>
      <w:r w:rsidR="003B410C" w:rsidRPr="00402C1B">
        <w:rPr>
          <w:noProof/>
        </w:rPr>
        <w:t>porządzeniu wykonawczym (UE) 2018/1624,</w:t>
      </w:r>
      <w:r w:rsidR="00402C1B" w:rsidRPr="00402C1B">
        <w:rPr>
          <w:noProof/>
        </w:rPr>
        <w:t xml:space="preserve"> w</w:t>
      </w:r>
      <w:r w:rsidR="00402C1B">
        <w:rPr>
          <w:noProof/>
        </w:rPr>
        <w:t> </w:t>
      </w:r>
      <w:r w:rsidR="00402C1B" w:rsidRPr="00402C1B">
        <w:rPr>
          <w:noProof/>
        </w:rPr>
        <w:t>cel</w:t>
      </w:r>
      <w:r w:rsidR="003B410C" w:rsidRPr="00402C1B">
        <w:rPr>
          <w:noProof/>
        </w:rPr>
        <w:t>u zapewnienia pewności</w:t>
      </w:r>
      <w:r w:rsidR="00402C1B" w:rsidRPr="00402C1B">
        <w:rPr>
          <w:noProof/>
        </w:rPr>
        <w:t xml:space="preserve"> i</w:t>
      </w:r>
      <w:r w:rsidR="00402C1B">
        <w:rPr>
          <w:noProof/>
        </w:rPr>
        <w:t> </w:t>
      </w:r>
      <w:r w:rsidR="00402C1B" w:rsidRPr="00402C1B">
        <w:rPr>
          <w:noProof/>
        </w:rPr>
        <w:t>jas</w:t>
      </w:r>
      <w:r w:rsidR="003B410C" w:rsidRPr="00402C1B">
        <w:rPr>
          <w:noProof/>
        </w:rPr>
        <w:t>ności prawa należy przyjąć nowe rozporządzenie wykonawcze i,</w:t>
      </w:r>
      <w:r w:rsidR="00402C1B" w:rsidRPr="00402C1B">
        <w:rPr>
          <w:noProof/>
        </w:rPr>
        <w:t xml:space="preserve"> w</w:t>
      </w:r>
      <w:r w:rsidR="00402C1B">
        <w:rPr>
          <w:noProof/>
        </w:rPr>
        <w:t> </w:t>
      </w:r>
      <w:r w:rsidR="00402C1B" w:rsidRPr="00402C1B">
        <w:rPr>
          <w:noProof/>
        </w:rPr>
        <w:t>zwi</w:t>
      </w:r>
      <w:r w:rsidR="003B410C" w:rsidRPr="00402C1B">
        <w:rPr>
          <w:noProof/>
        </w:rPr>
        <w:t>ązku</w:t>
      </w:r>
      <w:r w:rsidR="00402C1B" w:rsidRPr="00402C1B">
        <w:rPr>
          <w:noProof/>
        </w:rPr>
        <w:t xml:space="preserve"> z</w:t>
      </w:r>
      <w:r w:rsidR="00402C1B">
        <w:rPr>
          <w:noProof/>
        </w:rPr>
        <w:t> </w:t>
      </w:r>
      <w:r w:rsidR="00402C1B" w:rsidRPr="00402C1B">
        <w:rPr>
          <w:noProof/>
        </w:rPr>
        <w:t>tym</w:t>
      </w:r>
      <w:r w:rsidR="003B410C" w:rsidRPr="00402C1B">
        <w:rPr>
          <w:noProof/>
        </w:rPr>
        <w:t>, uchylić</w:t>
      </w:r>
      <w:r w:rsidR="00402C1B" w:rsidRPr="00402C1B">
        <w:rPr>
          <w:noProof/>
        </w:rPr>
        <w:t xml:space="preserve"> i</w:t>
      </w:r>
      <w:r w:rsidR="00402C1B">
        <w:rPr>
          <w:noProof/>
        </w:rPr>
        <w:t> </w:t>
      </w:r>
      <w:r w:rsidR="00402C1B" w:rsidRPr="00402C1B">
        <w:rPr>
          <w:noProof/>
        </w:rPr>
        <w:t>zas</w:t>
      </w:r>
      <w:r w:rsidR="003B410C" w:rsidRPr="00402C1B">
        <w:rPr>
          <w:noProof/>
        </w:rPr>
        <w:t>tąpić rozporządzenie wykonawcze (UE) 2018/1624.</w:t>
      </w:r>
    </w:p>
    <w:p w:rsidR="003B410C" w:rsidRPr="00402C1B" w:rsidRDefault="00BC2ED2" w:rsidP="00BC2ED2">
      <w:pPr>
        <w:pStyle w:val="ManualConsidrant"/>
        <w:rPr>
          <w:noProof/>
        </w:rPr>
      </w:pPr>
      <w:r w:rsidRPr="00BC2ED2">
        <w:rPr>
          <w:noProof/>
        </w:rPr>
        <w:t>(10)</w:t>
      </w:r>
      <w:r w:rsidRPr="00BC2ED2">
        <w:rPr>
          <w:noProof/>
        </w:rPr>
        <w:tab/>
      </w:r>
      <w:r w:rsidR="003B410C" w:rsidRPr="00402C1B">
        <w:rPr>
          <w:noProof/>
        </w:rPr>
        <w:t>Podstawę niniejszego rozporządzenia stanowi projekt wykonawczych standardów technicznych przedłożony Komisji przez EUNB.</w:t>
      </w:r>
    </w:p>
    <w:p w:rsidR="00860655" w:rsidRPr="00402C1B" w:rsidRDefault="00BC2ED2" w:rsidP="00BC2ED2">
      <w:pPr>
        <w:pStyle w:val="ManualConsidrant"/>
        <w:rPr>
          <w:noProof/>
        </w:rPr>
      </w:pPr>
      <w:r w:rsidRPr="00BC2ED2">
        <w:rPr>
          <w:noProof/>
        </w:rPr>
        <w:t>(11)</w:t>
      </w:r>
      <w:r w:rsidRPr="00BC2ED2">
        <w:rPr>
          <w:noProof/>
        </w:rPr>
        <w:tab/>
      </w:r>
      <w:r w:rsidR="003B410C" w:rsidRPr="00402C1B">
        <w:rPr>
          <w:noProof/>
        </w:rPr>
        <w:t>EUNB przeprowadził otwarte konsultacje publiczne na temat projektu wykonawczych standardów technicznych, który stanowi podstawę niniejszego rozporządzenia, dokonał analizy potencjalnych kosztów</w:t>
      </w:r>
      <w:r w:rsidR="00402C1B" w:rsidRPr="00402C1B">
        <w:rPr>
          <w:noProof/>
        </w:rPr>
        <w:t xml:space="preserve"> i</w:t>
      </w:r>
      <w:r w:rsidR="00402C1B">
        <w:rPr>
          <w:noProof/>
        </w:rPr>
        <w:t> </w:t>
      </w:r>
      <w:r w:rsidR="00402C1B" w:rsidRPr="00402C1B">
        <w:rPr>
          <w:noProof/>
        </w:rPr>
        <w:t>kor</w:t>
      </w:r>
      <w:r w:rsidR="003B410C" w:rsidRPr="00402C1B">
        <w:rPr>
          <w:noProof/>
        </w:rPr>
        <w:t>zyści</w:t>
      </w:r>
      <w:r w:rsidR="00402C1B" w:rsidRPr="00402C1B">
        <w:rPr>
          <w:noProof/>
        </w:rPr>
        <w:t xml:space="preserve"> z</w:t>
      </w:r>
      <w:r w:rsidR="00402C1B">
        <w:rPr>
          <w:noProof/>
        </w:rPr>
        <w:t> </w:t>
      </w:r>
      <w:r w:rsidR="00402C1B" w:rsidRPr="00402C1B">
        <w:rPr>
          <w:noProof/>
        </w:rPr>
        <w:t>nim</w:t>
      </w:r>
      <w:r w:rsidR="003B410C" w:rsidRPr="00402C1B">
        <w:rPr>
          <w:noProof/>
        </w:rPr>
        <w:t>i związanych oraz zwrócił się</w:t>
      </w:r>
      <w:r w:rsidR="00402C1B" w:rsidRPr="00402C1B">
        <w:rPr>
          <w:noProof/>
        </w:rPr>
        <w:t xml:space="preserve"> o</w:t>
      </w:r>
      <w:r w:rsidR="00402C1B">
        <w:rPr>
          <w:noProof/>
        </w:rPr>
        <w:t> </w:t>
      </w:r>
      <w:r w:rsidR="00402C1B" w:rsidRPr="00402C1B">
        <w:rPr>
          <w:noProof/>
        </w:rPr>
        <w:t>opi</w:t>
      </w:r>
      <w:r w:rsidR="003B410C" w:rsidRPr="00402C1B">
        <w:rPr>
          <w:noProof/>
        </w:rPr>
        <w:t>nię do Bankowej Grupy Interesariuszy powołanej zgodnie</w:t>
      </w:r>
      <w:r w:rsidR="00402C1B" w:rsidRPr="00402C1B">
        <w:rPr>
          <w:noProof/>
        </w:rPr>
        <w:t xml:space="preserve"> z</w:t>
      </w:r>
      <w:r w:rsidR="00402C1B">
        <w:rPr>
          <w:noProof/>
        </w:rPr>
        <w:t> </w:t>
      </w:r>
      <w:r w:rsidR="00402C1B" w:rsidRPr="00402C1B">
        <w:rPr>
          <w:noProof/>
        </w:rPr>
        <w:t>art</w:t>
      </w:r>
      <w:r w:rsidR="003B410C" w:rsidRPr="00402C1B">
        <w:rPr>
          <w:noProof/>
        </w:rPr>
        <w:t>. 37 rozporządzenia Parlamentu Europejskiego</w:t>
      </w:r>
      <w:r w:rsidR="00402C1B" w:rsidRPr="00402C1B">
        <w:rPr>
          <w:noProof/>
        </w:rPr>
        <w:t xml:space="preserve"> i</w:t>
      </w:r>
      <w:r w:rsidR="00402C1B">
        <w:rPr>
          <w:noProof/>
        </w:rPr>
        <w:t> </w:t>
      </w:r>
      <w:r w:rsidR="00402C1B" w:rsidRPr="00402C1B">
        <w:rPr>
          <w:noProof/>
        </w:rPr>
        <w:t>Rad</w:t>
      </w:r>
      <w:r w:rsidR="003B410C" w:rsidRPr="00402C1B">
        <w:rPr>
          <w:noProof/>
        </w:rPr>
        <w:t>y (UE) nr 1093/2010</w:t>
      </w:r>
      <w:r w:rsidR="003B410C" w:rsidRPr="00402C1B">
        <w:rPr>
          <w:rStyle w:val="FootnoteReference"/>
          <w:noProof/>
        </w:rPr>
        <w:footnoteReference w:id="5"/>
      </w:r>
      <w:r w:rsidR="003B410C" w:rsidRPr="00402C1B">
        <w:rPr>
          <w:noProof/>
        </w:rPr>
        <w:t>,</w:t>
      </w:r>
    </w:p>
    <w:p w:rsidR="00860655" w:rsidRPr="00402C1B" w:rsidRDefault="00860655" w:rsidP="00184085">
      <w:pPr>
        <w:pStyle w:val="Formuledadoption"/>
        <w:rPr>
          <w:noProof/>
        </w:rPr>
      </w:pPr>
      <w:r w:rsidRPr="00402C1B">
        <w:rPr>
          <w:noProof/>
        </w:rPr>
        <w:t>PRZYJMUJE NINIEJSZE ROZPORZĄDZENIE:</w:t>
      </w:r>
    </w:p>
    <w:p w:rsidR="00860655" w:rsidRPr="00402C1B" w:rsidRDefault="00860655" w:rsidP="00184085">
      <w:pPr>
        <w:pStyle w:val="Titrearticle"/>
        <w:rPr>
          <w:noProof/>
        </w:rPr>
      </w:pPr>
      <w:r w:rsidRPr="00402C1B">
        <w:rPr>
          <w:noProof/>
        </w:rPr>
        <w:t>Artykuł 1</w:t>
      </w:r>
    </w:p>
    <w:p w:rsidR="00860655" w:rsidRPr="00402C1B" w:rsidRDefault="003B410C" w:rsidP="00184085">
      <w:pPr>
        <w:pStyle w:val="Titrearticle"/>
        <w:rPr>
          <w:noProof/>
        </w:rPr>
      </w:pPr>
      <w:r w:rsidRPr="00402C1B">
        <w:rPr>
          <w:b/>
          <w:i w:val="0"/>
          <w:noProof/>
        </w:rPr>
        <w:t>Definicja</w:t>
      </w:r>
    </w:p>
    <w:p w:rsidR="003B410C" w:rsidRPr="00402C1B" w:rsidRDefault="003B410C" w:rsidP="00184085">
      <w:pPr>
        <w:rPr>
          <w:noProof/>
        </w:rPr>
      </w:pPr>
      <w:r w:rsidRPr="00402C1B">
        <w:rPr>
          <w:noProof/>
        </w:rPr>
        <w:t>Do celów niniejszego rozporządzenia „istotny podmiot prawny” oznacza podmiot powiązany zdefiniowany</w:t>
      </w:r>
      <w:r w:rsidR="00402C1B" w:rsidRPr="00402C1B">
        <w:rPr>
          <w:noProof/>
        </w:rPr>
        <w:t xml:space="preserve"> w</w:t>
      </w:r>
      <w:r w:rsidR="00402C1B">
        <w:rPr>
          <w:noProof/>
        </w:rPr>
        <w:t> </w:t>
      </w:r>
      <w:r w:rsidR="00402C1B" w:rsidRPr="00402C1B">
        <w:rPr>
          <w:noProof/>
        </w:rPr>
        <w:t>art</w:t>
      </w:r>
      <w:r w:rsidRPr="00402C1B">
        <w:rPr>
          <w:noProof/>
        </w:rPr>
        <w:t>.</w:t>
      </w:r>
      <w:r w:rsidR="00402C1B" w:rsidRPr="00402C1B">
        <w:rPr>
          <w:noProof/>
        </w:rPr>
        <w:t> </w:t>
      </w:r>
      <w:r w:rsidRPr="00402C1B">
        <w:rPr>
          <w:noProof/>
        </w:rPr>
        <w:t>2 ust.</w:t>
      </w:r>
      <w:r w:rsidR="00402C1B" w:rsidRPr="00402C1B">
        <w:rPr>
          <w:noProof/>
        </w:rPr>
        <w:t> </w:t>
      </w:r>
      <w:r w:rsidRPr="00402C1B">
        <w:rPr>
          <w:noProof/>
        </w:rPr>
        <w:t>1 pkt</w:t>
      </w:r>
      <w:r w:rsidR="00402C1B" w:rsidRPr="00402C1B">
        <w:rPr>
          <w:noProof/>
        </w:rPr>
        <w:t> </w:t>
      </w:r>
      <w:r w:rsidRPr="00402C1B">
        <w:rPr>
          <w:noProof/>
        </w:rPr>
        <w:t>31 dyrektywy 2014/59/UE, inny niż podmiot objęty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 mający siedzibę</w:t>
      </w:r>
      <w:r w:rsidR="00402C1B" w:rsidRPr="00402C1B">
        <w:rPr>
          <w:noProof/>
        </w:rPr>
        <w:t xml:space="preserve"> w</w:t>
      </w:r>
      <w:r w:rsidR="00402C1B">
        <w:rPr>
          <w:noProof/>
        </w:rPr>
        <w:t> </w:t>
      </w:r>
      <w:r w:rsidR="00402C1B" w:rsidRPr="00402C1B">
        <w:rPr>
          <w:noProof/>
        </w:rPr>
        <w:t>Uni</w:t>
      </w:r>
      <w:r w:rsidRPr="00402C1B">
        <w:rPr>
          <w:noProof/>
        </w:rPr>
        <w:t>i</w:t>
      </w:r>
      <w:r w:rsidR="00402C1B" w:rsidRPr="00402C1B">
        <w:rPr>
          <w:noProof/>
        </w:rPr>
        <w:t xml:space="preserve"> i</w:t>
      </w:r>
      <w:r w:rsidR="00402C1B">
        <w:rPr>
          <w:noProof/>
        </w:rPr>
        <w:t> </w:t>
      </w:r>
      <w:r w:rsidR="00402C1B" w:rsidRPr="00402C1B">
        <w:rPr>
          <w:noProof/>
        </w:rPr>
        <w:t>spe</w:t>
      </w:r>
      <w:r w:rsidRPr="00402C1B">
        <w:rPr>
          <w:noProof/>
        </w:rPr>
        <w:t>łniający jakikolwiek</w:t>
      </w:r>
      <w:r w:rsidR="00402C1B" w:rsidRPr="00402C1B">
        <w:rPr>
          <w:noProof/>
        </w:rPr>
        <w:t xml:space="preserve"> z</w:t>
      </w:r>
      <w:r w:rsidR="00402C1B">
        <w:rPr>
          <w:noProof/>
        </w:rPr>
        <w:t> </w:t>
      </w:r>
      <w:r w:rsidR="00402C1B" w:rsidRPr="00402C1B">
        <w:rPr>
          <w:noProof/>
        </w:rPr>
        <w:t>nas</w:t>
      </w:r>
      <w:r w:rsidRPr="00402C1B">
        <w:rPr>
          <w:noProof/>
        </w:rPr>
        <w:t>tępujących warunków:</w:t>
      </w:r>
    </w:p>
    <w:p w:rsidR="003B410C" w:rsidRPr="00402C1B" w:rsidRDefault="00402C1B" w:rsidP="00402C1B">
      <w:pPr>
        <w:pStyle w:val="Point0"/>
        <w:rPr>
          <w:noProof/>
        </w:rPr>
      </w:pPr>
      <w:r>
        <w:rPr>
          <w:noProof/>
        </w:rPr>
        <w:t>a)</w:t>
      </w:r>
      <w:r>
        <w:rPr>
          <w:noProof/>
        </w:rPr>
        <w:tab/>
      </w:r>
      <w:r w:rsidR="003B410C" w:rsidRPr="00402C1B">
        <w:rPr>
          <w:noProof/>
        </w:rPr>
        <w:t>pełni funkcje krytyczne;</w:t>
      </w:r>
    </w:p>
    <w:p w:rsidR="003B410C" w:rsidRPr="00402C1B" w:rsidRDefault="00402C1B" w:rsidP="00402C1B">
      <w:pPr>
        <w:pStyle w:val="Point0"/>
        <w:rPr>
          <w:noProof/>
        </w:rPr>
      </w:pPr>
      <w:r>
        <w:rPr>
          <w:noProof/>
        </w:rPr>
        <w:t>b)</w:t>
      </w:r>
      <w:r>
        <w:rPr>
          <w:noProof/>
        </w:rPr>
        <w:tab/>
      </w:r>
      <w:r w:rsidR="003B410C" w:rsidRPr="00402C1B">
        <w:rPr>
          <w:noProof/>
        </w:rPr>
        <w:t>jego indywidualna łączna kwota ekspozycji na ryzyko obliczona zgodnie</w:t>
      </w:r>
      <w:r w:rsidRPr="00402C1B">
        <w:rPr>
          <w:noProof/>
        </w:rPr>
        <w:t xml:space="preserve"> z</w:t>
      </w:r>
      <w:r>
        <w:rPr>
          <w:noProof/>
        </w:rPr>
        <w:t> </w:t>
      </w:r>
      <w:r w:rsidRPr="00402C1B">
        <w:rPr>
          <w:noProof/>
        </w:rPr>
        <w:t>art</w:t>
      </w:r>
      <w:r w:rsidR="003B410C" w:rsidRPr="00402C1B">
        <w:rPr>
          <w:noProof/>
        </w:rPr>
        <w:t>.</w:t>
      </w:r>
      <w:r w:rsidRPr="00402C1B">
        <w:rPr>
          <w:noProof/>
        </w:rPr>
        <w:t> </w:t>
      </w:r>
      <w:r w:rsidR="003B410C" w:rsidRPr="00402C1B">
        <w:rPr>
          <w:noProof/>
        </w:rPr>
        <w:t>92 ust.</w:t>
      </w:r>
      <w:r w:rsidRPr="00402C1B">
        <w:rPr>
          <w:noProof/>
        </w:rPr>
        <w:t> </w:t>
      </w:r>
      <w:r w:rsidR="003B410C" w:rsidRPr="00402C1B">
        <w:rPr>
          <w:noProof/>
        </w:rPr>
        <w:t>3 rozporządzenia Parlamentu Europejskiego</w:t>
      </w:r>
      <w:r w:rsidRPr="00402C1B">
        <w:rPr>
          <w:noProof/>
        </w:rPr>
        <w:t xml:space="preserve"> i</w:t>
      </w:r>
      <w:r>
        <w:rPr>
          <w:noProof/>
        </w:rPr>
        <w:t> </w:t>
      </w:r>
      <w:r w:rsidRPr="00402C1B">
        <w:rPr>
          <w:noProof/>
        </w:rPr>
        <w:t>Rad</w:t>
      </w:r>
      <w:r w:rsidR="003B410C" w:rsidRPr="00402C1B">
        <w:rPr>
          <w:noProof/>
        </w:rPr>
        <w:t>y (UE) nr</w:t>
      </w:r>
      <w:r w:rsidRPr="00402C1B">
        <w:rPr>
          <w:noProof/>
        </w:rPr>
        <w:t> </w:t>
      </w:r>
      <w:r w:rsidR="003B410C" w:rsidRPr="00402C1B">
        <w:rPr>
          <w:noProof/>
        </w:rPr>
        <w:t>575/2013</w:t>
      </w:r>
      <w:r w:rsidR="003B410C" w:rsidRPr="00402C1B">
        <w:rPr>
          <w:rStyle w:val="FootnoteReference"/>
          <w:noProof/>
        </w:rPr>
        <w:footnoteReference w:id="6"/>
      </w:r>
      <w:r w:rsidR="003B410C" w:rsidRPr="00402C1B">
        <w:rPr>
          <w:noProof/>
        </w:rPr>
        <w:t xml:space="preserve"> wynosi co najmniej 2 % skonsolidowanej łącznej kwoty ekspozycji na ryzyko unijnej jednostki dominującej;</w:t>
      </w:r>
    </w:p>
    <w:p w:rsidR="003B410C" w:rsidRPr="00402C1B" w:rsidRDefault="00402C1B" w:rsidP="00402C1B">
      <w:pPr>
        <w:pStyle w:val="Point0"/>
        <w:rPr>
          <w:noProof/>
        </w:rPr>
      </w:pPr>
      <w:r>
        <w:rPr>
          <w:noProof/>
        </w:rPr>
        <w:t>c)</w:t>
      </w:r>
      <w:r>
        <w:rPr>
          <w:noProof/>
        </w:rPr>
        <w:tab/>
      </w:r>
      <w:r w:rsidR="003B410C" w:rsidRPr="00402C1B">
        <w:rPr>
          <w:noProof/>
        </w:rPr>
        <w:t>jego indywidualna miara ekspozycji całkowitej,</w:t>
      </w:r>
      <w:r w:rsidRPr="00402C1B">
        <w:rPr>
          <w:noProof/>
        </w:rPr>
        <w:t xml:space="preserve"> o</w:t>
      </w:r>
      <w:r>
        <w:rPr>
          <w:noProof/>
        </w:rPr>
        <w:t> </w:t>
      </w:r>
      <w:r w:rsidRPr="00402C1B">
        <w:rPr>
          <w:noProof/>
        </w:rPr>
        <w:t>któ</w:t>
      </w:r>
      <w:r w:rsidR="003B410C" w:rsidRPr="00402C1B">
        <w:rPr>
          <w:noProof/>
        </w:rPr>
        <w:t>rej mowa</w:t>
      </w:r>
      <w:r w:rsidRPr="00402C1B">
        <w:rPr>
          <w:noProof/>
        </w:rPr>
        <w:t xml:space="preserve"> w</w:t>
      </w:r>
      <w:r>
        <w:rPr>
          <w:noProof/>
        </w:rPr>
        <w:t> </w:t>
      </w:r>
      <w:r w:rsidRPr="00402C1B">
        <w:rPr>
          <w:noProof/>
        </w:rPr>
        <w:t>art</w:t>
      </w:r>
      <w:r w:rsidR="003B410C" w:rsidRPr="00402C1B">
        <w:rPr>
          <w:noProof/>
        </w:rPr>
        <w:t>.</w:t>
      </w:r>
      <w:r w:rsidRPr="00402C1B">
        <w:rPr>
          <w:noProof/>
        </w:rPr>
        <w:t> </w:t>
      </w:r>
      <w:r w:rsidR="003B410C" w:rsidRPr="00402C1B">
        <w:rPr>
          <w:noProof/>
        </w:rPr>
        <w:t>429 ust.</w:t>
      </w:r>
      <w:r w:rsidRPr="00402C1B">
        <w:rPr>
          <w:noProof/>
        </w:rPr>
        <w:t> </w:t>
      </w:r>
      <w:r w:rsidR="003B410C" w:rsidRPr="00402C1B">
        <w:rPr>
          <w:noProof/>
        </w:rPr>
        <w:t>4 rozporządzenia (UE) nr</w:t>
      </w:r>
      <w:r w:rsidRPr="00402C1B">
        <w:rPr>
          <w:noProof/>
        </w:rPr>
        <w:t> </w:t>
      </w:r>
      <w:r w:rsidR="003B410C" w:rsidRPr="00402C1B">
        <w:rPr>
          <w:noProof/>
        </w:rPr>
        <w:t>575/2013, wynosi co najmniej 2 % skonsolidowanej miary ekspozycji całkowitej unijnej jednostki dominującej;</w:t>
      </w:r>
    </w:p>
    <w:p w:rsidR="003B410C" w:rsidRPr="00402C1B" w:rsidRDefault="00402C1B" w:rsidP="00402C1B">
      <w:pPr>
        <w:pStyle w:val="Point0"/>
        <w:rPr>
          <w:noProof/>
        </w:rPr>
      </w:pPr>
      <w:r>
        <w:rPr>
          <w:noProof/>
        </w:rPr>
        <w:t>d)</w:t>
      </w:r>
      <w:r>
        <w:rPr>
          <w:noProof/>
        </w:rPr>
        <w:tab/>
      </w:r>
      <w:r w:rsidR="003B410C" w:rsidRPr="00402C1B">
        <w:rPr>
          <w:noProof/>
        </w:rPr>
        <w:t>jego indywidualny przychód operacyjny wynosi co najmniej 2 % skonsolidowanego całkowitego przychodu operacyjnego grupy obliczonego na poziomie unijnej jednostki dominującej;</w:t>
      </w:r>
    </w:p>
    <w:p w:rsidR="003B410C" w:rsidRPr="00402C1B" w:rsidRDefault="00402C1B" w:rsidP="00402C1B">
      <w:pPr>
        <w:pStyle w:val="Point0"/>
        <w:rPr>
          <w:noProof/>
        </w:rPr>
      </w:pPr>
      <w:r>
        <w:rPr>
          <w:noProof/>
        </w:rPr>
        <w:t>e)</w:t>
      </w:r>
      <w:r>
        <w:rPr>
          <w:noProof/>
        </w:rPr>
        <w:tab/>
      </w:r>
      <w:r w:rsidR="003B410C" w:rsidRPr="00402C1B">
        <w:rPr>
          <w:noProof/>
        </w:rPr>
        <w:t>indywidualna wartość jego aktywów ogółem przekracza 5 mld EUR;</w:t>
      </w:r>
    </w:p>
    <w:p w:rsidR="008F1E98" w:rsidRPr="00402C1B" w:rsidRDefault="00402C1B" w:rsidP="00402C1B">
      <w:pPr>
        <w:pStyle w:val="Point0"/>
        <w:rPr>
          <w:noProof/>
        </w:rPr>
      </w:pPr>
      <w:r>
        <w:rPr>
          <w:noProof/>
        </w:rPr>
        <w:t>f)</w:t>
      </w:r>
      <w:r>
        <w:rPr>
          <w:noProof/>
        </w:rPr>
        <w:tab/>
      </w:r>
      <w:r w:rsidR="003B410C" w:rsidRPr="00402C1B">
        <w:rPr>
          <w:noProof/>
        </w:rPr>
        <w:t>jest ważny dla stabilności finansowej w co najmniej jednym państwie członkowskim.</w:t>
      </w:r>
    </w:p>
    <w:p w:rsidR="00A803C4" w:rsidRPr="00402C1B" w:rsidRDefault="008F1E98" w:rsidP="00184085">
      <w:pPr>
        <w:pStyle w:val="Text1"/>
        <w:rPr>
          <w:noProof/>
        </w:rPr>
      </w:pPr>
      <w:r w:rsidRPr="00402C1B">
        <w:rPr>
          <w:noProof/>
        </w:rPr>
        <w:t>Do celów lit.</w:t>
      </w:r>
      <w:r w:rsidR="00402C1B" w:rsidRPr="00402C1B">
        <w:rPr>
          <w:noProof/>
        </w:rPr>
        <w:t> </w:t>
      </w:r>
      <w:r w:rsidRPr="00402C1B">
        <w:rPr>
          <w:noProof/>
        </w:rPr>
        <w:t>b)</w:t>
      </w:r>
      <w:r w:rsidR="00402C1B" w:rsidRPr="00402C1B">
        <w:rPr>
          <w:noProof/>
        </w:rPr>
        <w:t xml:space="preserve"> w</w:t>
      </w:r>
      <w:r w:rsidR="00402C1B">
        <w:rPr>
          <w:noProof/>
        </w:rPr>
        <w:t> </w:t>
      </w:r>
      <w:r w:rsidR="00402C1B" w:rsidRPr="00402C1B">
        <w:rPr>
          <w:noProof/>
        </w:rPr>
        <w:t>prz</w:t>
      </w:r>
      <w:r w:rsidRPr="00402C1B">
        <w:rPr>
          <w:noProof/>
        </w:rPr>
        <w:t>ypadku grupy obejmującej więcej niż jeden podmiot objęty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 podmiot uznaje się za istotny podmiot prawny, jeżeli jego indywidualna łączna kwota ekspozycji na ryzyko wynosi co najmniej 2 % łącznej kwoty ekspozycji na ryzyko podmiotu objętego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 na poziomie skonsolidowanym grupy objętej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w:t>
      </w:r>
    </w:p>
    <w:p w:rsidR="008F1E98" w:rsidRPr="00402C1B" w:rsidRDefault="008F1E98" w:rsidP="00184085">
      <w:pPr>
        <w:pStyle w:val="Text1"/>
        <w:rPr>
          <w:noProof/>
        </w:rPr>
      </w:pPr>
      <w:r w:rsidRPr="00402C1B">
        <w:rPr>
          <w:noProof/>
        </w:rPr>
        <w:t>Do celów lit.</w:t>
      </w:r>
      <w:r w:rsidR="00402C1B" w:rsidRPr="00402C1B">
        <w:rPr>
          <w:noProof/>
        </w:rPr>
        <w:t> </w:t>
      </w:r>
      <w:r w:rsidRPr="00402C1B">
        <w:rPr>
          <w:noProof/>
        </w:rPr>
        <w:t>c)</w:t>
      </w:r>
      <w:r w:rsidR="00402C1B" w:rsidRPr="00402C1B">
        <w:rPr>
          <w:noProof/>
        </w:rPr>
        <w:t xml:space="preserve"> w</w:t>
      </w:r>
      <w:r w:rsidR="00402C1B">
        <w:rPr>
          <w:noProof/>
        </w:rPr>
        <w:t> </w:t>
      </w:r>
      <w:r w:rsidR="00402C1B" w:rsidRPr="00402C1B">
        <w:rPr>
          <w:noProof/>
        </w:rPr>
        <w:t>prz</w:t>
      </w:r>
      <w:r w:rsidRPr="00402C1B">
        <w:rPr>
          <w:noProof/>
        </w:rPr>
        <w:t>ypadku grupy obejmującej więcej niż jeden podmiot objęty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 podmiot uznaje się za istotny podmiot prawny, jeżeli jego indywidualna miara ekspozycji całkowitej wynosi co najmniej 2 % miary ekspozycji całkowitej podmiotu objętego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 na poziomie skonsolidowanym grupy objętej planem restrukturyzacji</w:t>
      </w:r>
      <w:r w:rsidR="00402C1B" w:rsidRPr="00402C1B">
        <w:rPr>
          <w:noProof/>
        </w:rPr>
        <w:t xml:space="preserve"> i</w:t>
      </w:r>
      <w:r w:rsidR="00402C1B">
        <w:rPr>
          <w:noProof/>
        </w:rPr>
        <w:t> </w:t>
      </w:r>
      <w:r w:rsidR="00402C1B" w:rsidRPr="00402C1B">
        <w:rPr>
          <w:noProof/>
        </w:rPr>
        <w:t>upo</w:t>
      </w:r>
      <w:r w:rsidRPr="00402C1B">
        <w:rPr>
          <w:noProof/>
        </w:rPr>
        <w:t>rządkowanej likwidacji.</w:t>
      </w:r>
    </w:p>
    <w:p w:rsidR="003B410C" w:rsidRPr="00402C1B" w:rsidRDefault="003B410C" w:rsidP="00184085">
      <w:pPr>
        <w:pStyle w:val="Titrearticle"/>
        <w:rPr>
          <w:noProof/>
        </w:rPr>
      </w:pPr>
      <w:bookmarkStart w:id="1" w:name="_Hlk168321151"/>
      <w:r w:rsidRPr="00402C1B">
        <w:rPr>
          <w:noProof/>
        </w:rPr>
        <w:t>Artykuł 2</w:t>
      </w:r>
    </w:p>
    <w:p w:rsidR="003B410C" w:rsidRPr="00402C1B" w:rsidRDefault="003B410C" w:rsidP="00184085">
      <w:pPr>
        <w:pStyle w:val="Titrearticle"/>
        <w:spacing w:before="0"/>
        <w:rPr>
          <w:b/>
          <w:bCs/>
          <w:i w:val="0"/>
          <w:iCs/>
          <w:noProof/>
        </w:rPr>
      </w:pPr>
      <w:r w:rsidRPr="00402C1B">
        <w:rPr>
          <w:b/>
          <w:i w:val="0"/>
          <w:noProof/>
        </w:rPr>
        <w:t>Sprawozdawczość</w:t>
      </w:r>
      <w:r w:rsidR="00402C1B" w:rsidRPr="00402C1B">
        <w:rPr>
          <w:b/>
          <w:i w:val="0"/>
          <w:noProof/>
        </w:rPr>
        <w:t xml:space="preserve"> w</w:t>
      </w:r>
      <w:r w:rsidR="00402C1B">
        <w:rPr>
          <w:b/>
          <w:i w:val="0"/>
          <w:noProof/>
        </w:rPr>
        <w:t> </w:t>
      </w:r>
      <w:r w:rsidR="00402C1B" w:rsidRPr="00402C1B">
        <w:rPr>
          <w:b/>
          <w:i w:val="0"/>
          <w:noProof/>
        </w:rPr>
        <w:t>zak</w:t>
      </w:r>
      <w:r w:rsidRPr="00402C1B">
        <w:rPr>
          <w:b/>
          <w:i w:val="0"/>
          <w:noProof/>
        </w:rPr>
        <w:t>resie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rządkowanej likwidacji prowadzona przez instytucje, które nie należą do grupy objętej nadzorem skonsolidowanym na podstawie art.</w:t>
      </w:r>
      <w:r w:rsidR="00402C1B" w:rsidRPr="00402C1B">
        <w:rPr>
          <w:b/>
          <w:i w:val="0"/>
          <w:noProof/>
        </w:rPr>
        <w:t> </w:t>
      </w:r>
      <w:r w:rsidRPr="00402C1B">
        <w:rPr>
          <w:b/>
          <w:i w:val="0"/>
          <w:noProof/>
        </w:rPr>
        <w:t>111</w:t>
      </w:r>
      <w:r w:rsidR="00402C1B" w:rsidRPr="00402C1B">
        <w:rPr>
          <w:b/>
          <w:i w:val="0"/>
          <w:noProof/>
        </w:rPr>
        <w:t xml:space="preserve"> i</w:t>
      </w:r>
      <w:r w:rsidR="00402C1B">
        <w:rPr>
          <w:b/>
          <w:i w:val="0"/>
          <w:noProof/>
        </w:rPr>
        <w:t> </w:t>
      </w:r>
      <w:r w:rsidR="00402C1B" w:rsidRPr="00402C1B">
        <w:rPr>
          <w:b/>
          <w:i w:val="0"/>
          <w:noProof/>
        </w:rPr>
        <w:t>1</w:t>
      </w:r>
      <w:r w:rsidRPr="00402C1B">
        <w:rPr>
          <w:b/>
          <w:i w:val="0"/>
          <w:noProof/>
        </w:rPr>
        <w:t>12 dyrektywy 2013/36/UE</w:t>
      </w:r>
      <w:bookmarkEnd w:id="1"/>
    </w:p>
    <w:p w:rsidR="003B410C" w:rsidRPr="00402C1B" w:rsidRDefault="00BC2ED2" w:rsidP="00BC2ED2">
      <w:pPr>
        <w:pStyle w:val="ManualNumPar1"/>
        <w:rPr>
          <w:noProof/>
        </w:rPr>
      </w:pPr>
      <w:r w:rsidRPr="00BC2ED2">
        <w:rPr>
          <w:noProof/>
        </w:rPr>
        <w:t>1.</w:t>
      </w:r>
      <w:r w:rsidRPr="00BC2ED2">
        <w:rPr>
          <w:noProof/>
        </w:rPr>
        <w:tab/>
      </w:r>
      <w:r w:rsidR="005E4DBA" w:rsidRPr="00402C1B">
        <w:rPr>
          <w:noProof/>
        </w:rPr>
        <w:t>Podmioty objęte planem restrukturyzacji</w:t>
      </w:r>
      <w:r w:rsidR="00402C1B" w:rsidRPr="00402C1B">
        <w:rPr>
          <w:noProof/>
        </w:rPr>
        <w:t xml:space="preserve"> i</w:t>
      </w:r>
      <w:r w:rsidR="00402C1B">
        <w:rPr>
          <w:noProof/>
        </w:rPr>
        <w:t> </w:t>
      </w:r>
      <w:r w:rsidR="00402C1B" w:rsidRPr="00402C1B">
        <w:rPr>
          <w:noProof/>
        </w:rPr>
        <w:t>upo</w:t>
      </w:r>
      <w:r w:rsidR="005E4DBA" w:rsidRPr="00402C1B">
        <w:rPr>
          <w:noProof/>
        </w:rPr>
        <w:t>rządkowanej likwidacji, które nie należą do grupy objętej nadzorem skonsolidowanym na podstawie art.</w:t>
      </w:r>
      <w:r w:rsidR="00402C1B" w:rsidRPr="00402C1B">
        <w:rPr>
          <w:noProof/>
        </w:rPr>
        <w:t> </w:t>
      </w:r>
      <w:r w:rsidR="005E4DBA" w:rsidRPr="00402C1B">
        <w:rPr>
          <w:noProof/>
        </w:rPr>
        <w:t>111</w:t>
      </w:r>
      <w:r w:rsidR="00402C1B" w:rsidRPr="00402C1B">
        <w:rPr>
          <w:noProof/>
        </w:rPr>
        <w:t xml:space="preserve"> i</w:t>
      </w:r>
      <w:r w:rsidR="00402C1B">
        <w:rPr>
          <w:noProof/>
        </w:rPr>
        <w:t> </w:t>
      </w:r>
      <w:r w:rsidR="00402C1B" w:rsidRPr="00402C1B">
        <w:rPr>
          <w:noProof/>
        </w:rPr>
        <w:t>1</w:t>
      </w:r>
      <w:r w:rsidR="005E4DBA" w:rsidRPr="00402C1B">
        <w:rPr>
          <w:noProof/>
        </w:rPr>
        <w:t>12 dyrektywy Parlamentu Europejskiego</w:t>
      </w:r>
      <w:r w:rsidR="00402C1B" w:rsidRPr="00402C1B">
        <w:rPr>
          <w:noProof/>
        </w:rPr>
        <w:t xml:space="preserve"> i</w:t>
      </w:r>
      <w:r w:rsidR="00402C1B">
        <w:rPr>
          <w:noProof/>
        </w:rPr>
        <w:t> </w:t>
      </w:r>
      <w:r w:rsidR="00402C1B" w:rsidRPr="00402C1B">
        <w:rPr>
          <w:noProof/>
        </w:rPr>
        <w:t>Rad</w:t>
      </w:r>
      <w:r w:rsidR="005E4DBA" w:rsidRPr="00402C1B">
        <w:rPr>
          <w:noProof/>
        </w:rPr>
        <w:t>y 2013/36/UE</w:t>
      </w:r>
      <w:r w:rsidR="005E4DBA" w:rsidRPr="00402C1B">
        <w:rPr>
          <w:rStyle w:val="FootnoteReference"/>
          <w:noProof/>
        </w:rPr>
        <w:footnoteReference w:id="7"/>
      </w:r>
      <w:r w:rsidR="005E4DBA" w:rsidRPr="00402C1B">
        <w:rPr>
          <w:noProof/>
        </w:rPr>
        <w:t>, przedkładają organowi ds. restrukturyzacji</w:t>
      </w:r>
      <w:r w:rsidR="00402C1B" w:rsidRPr="00402C1B">
        <w:rPr>
          <w:noProof/>
        </w:rPr>
        <w:t xml:space="preserve"> i</w:t>
      </w:r>
      <w:r w:rsidR="00402C1B">
        <w:rPr>
          <w:noProof/>
        </w:rPr>
        <w:t> </w:t>
      </w:r>
      <w:r w:rsidR="00402C1B" w:rsidRPr="00402C1B">
        <w:rPr>
          <w:noProof/>
        </w:rPr>
        <w:t>upo</w:t>
      </w:r>
      <w:r w:rsidR="005E4DBA" w:rsidRPr="00402C1B">
        <w:rPr>
          <w:noProof/>
        </w:rPr>
        <w:t>rządkowanej likwidacji na zasadzie indywidualnej informacje określone we wszystkich szablonach zawartych</w:t>
      </w:r>
      <w:r w:rsidR="00402C1B" w:rsidRPr="00402C1B">
        <w:rPr>
          <w:noProof/>
        </w:rPr>
        <w:t xml:space="preserve"> w</w:t>
      </w:r>
      <w:r w:rsidR="00402C1B">
        <w:rPr>
          <w:noProof/>
        </w:rPr>
        <w:t> </w:t>
      </w:r>
      <w:r w:rsidR="00402C1B" w:rsidRPr="00402C1B">
        <w:rPr>
          <w:noProof/>
        </w:rPr>
        <w:t>zał</w:t>
      </w:r>
      <w:r w:rsidR="005E4DBA" w:rsidRPr="00402C1B">
        <w:rPr>
          <w:noProof/>
        </w:rPr>
        <w:t>ączniku I do niniejszego rozporządzenia,</w:t>
      </w:r>
      <w:r w:rsidR="00402C1B" w:rsidRPr="00402C1B">
        <w:rPr>
          <w:noProof/>
        </w:rPr>
        <w:t xml:space="preserve"> z</w:t>
      </w:r>
      <w:r w:rsidR="00402C1B">
        <w:rPr>
          <w:noProof/>
        </w:rPr>
        <w:t> </w:t>
      </w:r>
      <w:r w:rsidR="00402C1B" w:rsidRPr="00402C1B">
        <w:rPr>
          <w:noProof/>
        </w:rPr>
        <w:t>wyj</w:t>
      </w:r>
      <w:r w:rsidR="005E4DBA" w:rsidRPr="00402C1B">
        <w:rPr>
          <w:noProof/>
        </w:rPr>
        <w:t>ątkiem informacji określonych</w:t>
      </w:r>
      <w:r w:rsidR="00402C1B" w:rsidRPr="00402C1B">
        <w:rPr>
          <w:noProof/>
        </w:rPr>
        <w:t xml:space="preserve"> w</w:t>
      </w:r>
      <w:r w:rsidR="00402C1B">
        <w:rPr>
          <w:noProof/>
        </w:rPr>
        <w:t> </w:t>
      </w:r>
      <w:r w:rsidR="00402C1B" w:rsidRPr="00402C1B">
        <w:rPr>
          <w:noProof/>
        </w:rPr>
        <w:t>sza</w:t>
      </w:r>
      <w:r w:rsidR="005E4DBA" w:rsidRPr="00402C1B">
        <w:rPr>
          <w:noProof/>
        </w:rPr>
        <w:t>blonach Z 01.01, Z 04.00, Z 07.02, Z 07.03 i Z 11.00.</w:t>
      </w:r>
    </w:p>
    <w:p w:rsidR="003B410C" w:rsidRPr="00402C1B" w:rsidRDefault="00BC2ED2" w:rsidP="00BC2ED2">
      <w:pPr>
        <w:pStyle w:val="ManualNumPar1"/>
        <w:rPr>
          <w:noProof/>
        </w:rPr>
      </w:pPr>
      <w:r w:rsidRPr="00BC2ED2">
        <w:rPr>
          <w:noProof/>
        </w:rPr>
        <w:t>2.</w:t>
      </w:r>
      <w:r w:rsidRPr="00BC2ED2">
        <w:rPr>
          <w:noProof/>
        </w:rPr>
        <w:tab/>
      </w:r>
      <w:r w:rsidR="0017578A" w:rsidRPr="00402C1B">
        <w:rPr>
          <w:noProof/>
        </w:rPr>
        <w:t>Podmioty poddawane likwidacji, które nie podlegają uproszczonym obowiązkom, które nie należą do grupy objętej nadzorem skonsolidowanym na podstawie art.</w:t>
      </w:r>
      <w:r w:rsidR="00402C1B" w:rsidRPr="00402C1B">
        <w:rPr>
          <w:noProof/>
        </w:rPr>
        <w:t> </w:t>
      </w:r>
      <w:r w:rsidR="0017578A" w:rsidRPr="00402C1B">
        <w:rPr>
          <w:noProof/>
        </w:rPr>
        <w:t>111</w:t>
      </w:r>
      <w:r w:rsidR="00402C1B" w:rsidRPr="00402C1B">
        <w:rPr>
          <w:noProof/>
        </w:rPr>
        <w:t xml:space="preserve"> i</w:t>
      </w:r>
      <w:r w:rsidR="00402C1B">
        <w:rPr>
          <w:noProof/>
        </w:rPr>
        <w:t> </w:t>
      </w:r>
      <w:r w:rsidR="00402C1B" w:rsidRPr="00402C1B">
        <w:rPr>
          <w:noProof/>
        </w:rPr>
        <w:t>1</w:t>
      </w:r>
      <w:r w:rsidR="0017578A" w:rsidRPr="00402C1B">
        <w:rPr>
          <w:noProof/>
        </w:rPr>
        <w:t>12 dyrektywy 2013/36/UE</w:t>
      </w:r>
      <w:r w:rsidR="00402C1B" w:rsidRPr="00402C1B">
        <w:rPr>
          <w:noProof/>
        </w:rPr>
        <w:t xml:space="preserve"> i</w:t>
      </w:r>
      <w:r w:rsidR="00402C1B">
        <w:rPr>
          <w:noProof/>
        </w:rPr>
        <w:t> </w:t>
      </w:r>
      <w:r w:rsidR="00402C1B" w:rsidRPr="00402C1B">
        <w:rPr>
          <w:noProof/>
        </w:rPr>
        <w:t>w</w:t>
      </w:r>
      <w:r w:rsidR="00402C1B">
        <w:rPr>
          <w:noProof/>
        </w:rPr>
        <w:t> </w:t>
      </w:r>
      <w:r w:rsidR="00402C1B" w:rsidRPr="00402C1B">
        <w:rPr>
          <w:noProof/>
        </w:rPr>
        <w:t>odn</w:t>
      </w:r>
      <w:r w:rsidR="0017578A" w:rsidRPr="00402C1B">
        <w:rPr>
          <w:noProof/>
        </w:rPr>
        <w:t>iesieniu do których organ ds. restrukturyzacji</w:t>
      </w:r>
      <w:r w:rsidR="00402C1B" w:rsidRPr="00402C1B">
        <w:rPr>
          <w:noProof/>
        </w:rPr>
        <w:t xml:space="preserve"> i</w:t>
      </w:r>
      <w:r w:rsidR="00402C1B">
        <w:rPr>
          <w:noProof/>
        </w:rPr>
        <w:t> </w:t>
      </w:r>
      <w:r w:rsidR="00402C1B" w:rsidRPr="00402C1B">
        <w:rPr>
          <w:noProof/>
        </w:rPr>
        <w:t>upo</w:t>
      </w:r>
      <w:r w:rsidR="0017578A" w:rsidRPr="00402C1B">
        <w:rPr>
          <w:noProof/>
        </w:rPr>
        <w:t>rządkowanej likwidacji nie ustalił wymogu,</w:t>
      </w:r>
      <w:r w:rsidR="00402C1B" w:rsidRPr="00402C1B">
        <w:rPr>
          <w:noProof/>
        </w:rPr>
        <w:t xml:space="preserve"> o</w:t>
      </w:r>
      <w:r w:rsidR="00402C1B">
        <w:rPr>
          <w:noProof/>
        </w:rPr>
        <w:t> </w:t>
      </w:r>
      <w:r w:rsidR="00402C1B" w:rsidRPr="00402C1B">
        <w:rPr>
          <w:noProof/>
        </w:rPr>
        <w:t>któ</w:t>
      </w:r>
      <w:r w:rsidR="0017578A" w:rsidRPr="00402C1B">
        <w:rPr>
          <w:noProof/>
        </w:rPr>
        <w:t>rym mowa</w:t>
      </w:r>
      <w:r w:rsidR="00402C1B" w:rsidRPr="00402C1B">
        <w:rPr>
          <w:noProof/>
        </w:rPr>
        <w:t xml:space="preserve"> w</w:t>
      </w:r>
      <w:r w:rsidR="00402C1B">
        <w:rPr>
          <w:noProof/>
        </w:rPr>
        <w:t> </w:t>
      </w:r>
      <w:r w:rsidR="00402C1B" w:rsidRPr="00402C1B">
        <w:rPr>
          <w:noProof/>
        </w:rPr>
        <w:t>art</w:t>
      </w:r>
      <w:r w:rsidR="0017578A" w:rsidRPr="00402C1B">
        <w:rPr>
          <w:noProof/>
        </w:rPr>
        <w:t>.</w:t>
      </w:r>
      <w:r w:rsidR="00402C1B" w:rsidRPr="00402C1B">
        <w:rPr>
          <w:noProof/>
        </w:rPr>
        <w:t> </w:t>
      </w:r>
      <w:r w:rsidR="0017578A" w:rsidRPr="00402C1B">
        <w:rPr>
          <w:noProof/>
        </w:rPr>
        <w:t>45 ust.</w:t>
      </w:r>
      <w:r w:rsidR="00402C1B" w:rsidRPr="00402C1B">
        <w:rPr>
          <w:noProof/>
        </w:rPr>
        <w:t> </w:t>
      </w:r>
      <w:r w:rsidR="0017578A" w:rsidRPr="00402C1B">
        <w:rPr>
          <w:noProof/>
        </w:rPr>
        <w:t>1 dyrektywy 2014/59/UE zgodnie</w:t>
      </w:r>
      <w:r w:rsidR="00402C1B" w:rsidRPr="00402C1B">
        <w:rPr>
          <w:noProof/>
        </w:rPr>
        <w:t xml:space="preserve"> z</w:t>
      </w:r>
      <w:r w:rsidR="00402C1B">
        <w:rPr>
          <w:noProof/>
        </w:rPr>
        <w:t> </w:t>
      </w:r>
      <w:r w:rsidR="00402C1B" w:rsidRPr="00402C1B">
        <w:rPr>
          <w:noProof/>
        </w:rPr>
        <w:t>art</w:t>
      </w:r>
      <w:r w:rsidR="0017578A" w:rsidRPr="00402C1B">
        <w:rPr>
          <w:noProof/>
        </w:rPr>
        <w:t>.</w:t>
      </w:r>
      <w:r w:rsidR="00402C1B" w:rsidRPr="00402C1B">
        <w:rPr>
          <w:noProof/>
        </w:rPr>
        <w:t> </w:t>
      </w:r>
      <w:r w:rsidR="0017578A" w:rsidRPr="00402C1B">
        <w:rPr>
          <w:noProof/>
        </w:rPr>
        <w:t>45c ust.</w:t>
      </w:r>
      <w:r w:rsidR="00402C1B" w:rsidRPr="00402C1B">
        <w:rPr>
          <w:noProof/>
        </w:rPr>
        <w:t> </w:t>
      </w:r>
      <w:r w:rsidR="0017578A" w:rsidRPr="00402C1B">
        <w:rPr>
          <w:noProof/>
        </w:rPr>
        <w:t>2a akapit drugi tej dyrektywy, przedkładają organowi ds. restrukturyzacji</w:t>
      </w:r>
      <w:r w:rsidR="00402C1B" w:rsidRPr="00402C1B">
        <w:rPr>
          <w:noProof/>
        </w:rPr>
        <w:t xml:space="preserve"> i</w:t>
      </w:r>
      <w:r w:rsidR="00402C1B">
        <w:rPr>
          <w:noProof/>
        </w:rPr>
        <w:t> </w:t>
      </w:r>
      <w:r w:rsidR="00402C1B" w:rsidRPr="00402C1B">
        <w:rPr>
          <w:noProof/>
        </w:rPr>
        <w:t>upo</w:t>
      </w:r>
      <w:r w:rsidR="0017578A" w:rsidRPr="00402C1B">
        <w:rPr>
          <w:noProof/>
        </w:rPr>
        <w:t>rządkowanej likwidacji na zasadzie indywidualnej informacje określone</w:t>
      </w:r>
      <w:r w:rsidR="00402C1B" w:rsidRPr="00402C1B">
        <w:rPr>
          <w:noProof/>
        </w:rPr>
        <w:t xml:space="preserve"> w</w:t>
      </w:r>
      <w:r w:rsidR="00402C1B">
        <w:rPr>
          <w:noProof/>
        </w:rPr>
        <w:t> </w:t>
      </w:r>
      <w:r w:rsidR="00402C1B" w:rsidRPr="00402C1B">
        <w:rPr>
          <w:noProof/>
        </w:rPr>
        <w:t>sza</w:t>
      </w:r>
      <w:r w:rsidR="0017578A" w:rsidRPr="00402C1B">
        <w:rPr>
          <w:noProof/>
        </w:rPr>
        <w:t>blonach Z 01.02, Z 02.00, Z 05.01, Z 05.02, Z 06.00, Z 07.01.1–Z 07.01.5, Z 07.04 i Z 09.01 zawartych</w:t>
      </w:r>
      <w:r w:rsidR="00402C1B" w:rsidRPr="00402C1B">
        <w:rPr>
          <w:noProof/>
        </w:rPr>
        <w:t xml:space="preserve"> w</w:t>
      </w:r>
      <w:r w:rsidR="00402C1B">
        <w:rPr>
          <w:noProof/>
        </w:rPr>
        <w:t> </w:t>
      </w:r>
      <w:r w:rsidR="00402C1B" w:rsidRPr="00402C1B">
        <w:rPr>
          <w:noProof/>
        </w:rPr>
        <w:t>zał</w:t>
      </w:r>
      <w:r w:rsidR="0017578A" w:rsidRPr="00402C1B">
        <w:rPr>
          <w:noProof/>
        </w:rPr>
        <w:t>ączniku I do niniejszego rozporządzenia.</w:t>
      </w:r>
    </w:p>
    <w:p w:rsidR="003B410C" w:rsidRPr="00402C1B" w:rsidRDefault="00BC2ED2" w:rsidP="00BC2ED2">
      <w:pPr>
        <w:pStyle w:val="ManualNumPar1"/>
        <w:rPr>
          <w:noProof/>
        </w:rPr>
      </w:pPr>
      <w:r w:rsidRPr="00BC2ED2">
        <w:rPr>
          <w:noProof/>
        </w:rPr>
        <w:t>3.</w:t>
      </w:r>
      <w:r w:rsidRPr="00BC2ED2">
        <w:rPr>
          <w:noProof/>
        </w:rPr>
        <w:tab/>
      </w:r>
      <w:r w:rsidR="00436F80" w:rsidRPr="00402C1B">
        <w:rPr>
          <w:noProof/>
        </w:rPr>
        <w:t>Podmioty poddawane likwidacji, które nie podlegają uproszczonym obowiązkom, które nie należą do grupy objętej nadzorem skonsolidowanym na podstawie art.</w:t>
      </w:r>
      <w:r w:rsidR="00402C1B" w:rsidRPr="00402C1B">
        <w:rPr>
          <w:noProof/>
        </w:rPr>
        <w:t> </w:t>
      </w:r>
      <w:r w:rsidR="00436F80" w:rsidRPr="00402C1B">
        <w:rPr>
          <w:noProof/>
        </w:rPr>
        <w:t>111</w:t>
      </w:r>
      <w:r w:rsidR="00402C1B" w:rsidRPr="00402C1B">
        <w:rPr>
          <w:noProof/>
        </w:rPr>
        <w:t xml:space="preserve"> i</w:t>
      </w:r>
      <w:r w:rsidR="00402C1B">
        <w:rPr>
          <w:noProof/>
        </w:rPr>
        <w:t> </w:t>
      </w:r>
      <w:r w:rsidR="00402C1B" w:rsidRPr="00402C1B">
        <w:rPr>
          <w:noProof/>
        </w:rPr>
        <w:t>1</w:t>
      </w:r>
      <w:r w:rsidR="00436F80" w:rsidRPr="00402C1B">
        <w:rPr>
          <w:noProof/>
        </w:rPr>
        <w:t>12 dyrektywy 2013/36/UE</w:t>
      </w:r>
      <w:r w:rsidR="00402C1B" w:rsidRPr="00402C1B">
        <w:rPr>
          <w:noProof/>
        </w:rPr>
        <w:t xml:space="preserve"> i</w:t>
      </w:r>
      <w:r w:rsidR="00402C1B">
        <w:rPr>
          <w:noProof/>
        </w:rPr>
        <w:t> </w:t>
      </w:r>
      <w:r w:rsidR="00402C1B" w:rsidRPr="00402C1B">
        <w:rPr>
          <w:noProof/>
        </w:rPr>
        <w:t>w</w:t>
      </w:r>
      <w:r w:rsidR="00402C1B">
        <w:rPr>
          <w:noProof/>
        </w:rPr>
        <w:t> </w:t>
      </w:r>
      <w:r w:rsidR="00402C1B" w:rsidRPr="00402C1B">
        <w:rPr>
          <w:noProof/>
        </w:rPr>
        <w:t>odn</w:t>
      </w:r>
      <w:r w:rsidR="00436F80" w:rsidRPr="00402C1B">
        <w:rPr>
          <w:noProof/>
        </w:rPr>
        <w:t>iesieniu do których organ ds. restrukturyzacji</w:t>
      </w:r>
      <w:r w:rsidR="00402C1B" w:rsidRPr="00402C1B">
        <w:rPr>
          <w:noProof/>
        </w:rPr>
        <w:t xml:space="preserve"> i</w:t>
      </w:r>
      <w:r w:rsidR="00402C1B">
        <w:rPr>
          <w:noProof/>
        </w:rPr>
        <w:t> </w:t>
      </w:r>
      <w:r w:rsidR="00402C1B" w:rsidRPr="00402C1B">
        <w:rPr>
          <w:noProof/>
        </w:rPr>
        <w:t>upo</w:t>
      </w:r>
      <w:r w:rsidR="00436F80" w:rsidRPr="00402C1B">
        <w:rPr>
          <w:noProof/>
        </w:rPr>
        <w:t>rządkowanej likwidacji ustalił wymóg,</w:t>
      </w:r>
      <w:r w:rsidR="00402C1B" w:rsidRPr="00402C1B">
        <w:rPr>
          <w:noProof/>
        </w:rPr>
        <w:t xml:space="preserve"> o</w:t>
      </w:r>
      <w:r w:rsidR="00402C1B">
        <w:rPr>
          <w:noProof/>
        </w:rPr>
        <w:t> </w:t>
      </w:r>
      <w:r w:rsidR="00402C1B" w:rsidRPr="00402C1B">
        <w:rPr>
          <w:noProof/>
        </w:rPr>
        <w:t>któ</w:t>
      </w:r>
      <w:r w:rsidR="00436F80" w:rsidRPr="00402C1B">
        <w:rPr>
          <w:noProof/>
        </w:rPr>
        <w:t>rym mowa</w:t>
      </w:r>
      <w:r w:rsidR="00402C1B" w:rsidRPr="00402C1B">
        <w:rPr>
          <w:noProof/>
        </w:rPr>
        <w:t xml:space="preserve"> w</w:t>
      </w:r>
      <w:r w:rsidR="00402C1B">
        <w:rPr>
          <w:noProof/>
        </w:rPr>
        <w:t> </w:t>
      </w:r>
      <w:r w:rsidR="00402C1B" w:rsidRPr="00402C1B">
        <w:rPr>
          <w:noProof/>
        </w:rPr>
        <w:t>art</w:t>
      </w:r>
      <w:r w:rsidR="00436F80" w:rsidRPr="00402C1B">
        <w:rPr>
          <w:noProof/>
        </w:rPr>
        <w:t>.</w:t>
      </w:r>
      <w:r w:rsidR="00402C1B" w:rsidRPr="00402C1B">
        <w:rPr>
          <w:noProof/>
        </w:rPr>
        <w:t> </w:t>
      </w:r>
      <w:r w:rsidR="00436F80" w:rsidRPr="00402C1B">
        <w:rPr>
          <w:noProof/>
        </w:rPr>
        <w:t>45 ust.</w:t>
      </w:r>
      <w:r w:rsidR="00402C1B" w:rsidRPr="00402C1B">
        <w:rPr>
          <w:noProof/>
        </w:rPr>
        <w:t> </w:t>
      </w:r>
      <w:r w:rsidR="00436F80" w:rsidRPr="00402C1B">
        <w:rPr>
          <w:noProof/>
        </w:rPr>
        <w:t>1 dyrektywy 2014/59/UE zgodnie</w:t>
      </w:r>
      <w:r w:rsidR="00402C1B" w:rsidRPr="00402C1B">
        <w:rPr>
          <w:noProof/>
        </w:rPr>
        <w:t xml:space="preserve"> z</w:t>
      </w:r>
      <w:r w:rsidR="00402C1B">
        <w:rPr>
          <w:noProof/>
        </w:rPr>
        <w:t> </w:t>
      </w:r>
      <w:r w:rsidR="00402C1B" w:rsidRPr="00402C1B">
        <w:rPr>
          <w:noProof/>
        </w:rPr>
        <w:t>art</w:t>
      </w:r>
      <w:r w:rsidR="00436F80" w:rsidRPr="00402C1B">
        <w:rPr>
          <w:noProof/>
        </w:rPr>
        <w:t>.</w:t>
      </w:r>
      <w:r w:rsidR="00402C1B" w:rsidRPr="00402C1B">
        <w:rPr>
          <w:noProof/>
        </w:rPr>
        <w:t> </w:t>
      </w:r>
      <w:r w:rsidR="00436F80" w:rsidRPr="00402C1B">
        <w:rPr>
          <w:noProof/>
        </w:rPr>
        <w:t>45c ust.</w:t>
      </w:r>
      <w:r w:rsidR="00402C1B" w:rsidRPr="00402C1B">
        <w:rPr>
          <w:noProof/>
        </w:rPr>
        <w:t> </w:t>
      </w:r>
      <w:r w:rsidR="00436F80" w:rsidRPr="00402C1B">
        <w:rPr>
          <w:noProof/>
        </w:rPr>
        <w:t>2a akapit drugi tej dyrektywy, przedkładają organowi ds. restrukturyzacji</w:t>
      </w:r>
      <w:r w:rsidR="00402C1B" w:rsidRPr="00402C1B">
        <w:rPr>
          <w:noProof/>
        </w:rPr>
        <w:t xml:space="preserve"> i</w:t>
      </w:r>
      <w:r w:rsidR="00402C1B">
        <w:rPr>
          <w:noProof/>
        </w:rPr>
        <w:t> </w:t>
      </w:r>
      <w:r w:rsidR="00402C1B" w:rsidRPr="00402C1B">
        <w:rPr>
          <w:noProof/>
        </w:rPr>
        <w:t>upo</w:t>
      </w:r>
      <w:r w:rsidR="00436F80" w:rsidRPr="00402C1B">
        <w:rPr>
          <w:noProof/>
        </w:rPr>
        <w:t>rządkowanej likwidacji na zasadzie indywidualnej informacje określone</w:t>
      </w:r>
      <w:r w:rsidR="00402C1B" w:rsidRPr="00402C1B">
        <w:rPr>
          <w:noProof/>
        </w:rPr>
        <w:t xml:space="preserve"> w</w:t>
      </w:r>
      <w:r w:rsidR="00402C1B">
        <w:rPr>
          <w:noProof/>
        </w:rPr>
        <w:t> </w:t>
      </w:r>
      <w:r w:rsidR="00402C1B" w:rsidRPr="00402C1B">
        <w:rPr>
          <w:noProof/>
        </w:rPr>
        <w:t>sza</w:t>
      </w:r>
      <w:r w:rsidR="00436F80" w:rsidRPr="00402C1B">
        <w:rPr>
          <w:noProof/>
        </w:rPr>
        <w:t>blonach Z 01.02, Z 02.00, Z 03.01, Z 03.02, Z 05.01, Z 05.02, Z 06.00, Z 07.01.1–Z 07.01.5, Z 07.04 i Z 09.01 zawartych</w:t>
      </w:r>
      <w:r w:rsidR="00402C1B" w:rsidRPr="00402C1B">
        <w:rPr>
          <w:noProof/>
        </w:rPr>
        <w:t xml:space="preserve"> w</w:t>
      </w:r>
      <w:r w:rsidR="00402C1B">
        <w:rPr>
          <w:noProof/>
        </w:rPr>
        <w:t> </w:t>
      </w:r>
      <w:r w:rsidR="00402C1B" w:rsidRPr="00402C1B">
        <w:rPr>
          <w:noProof/>
        </w:rPr>
        <w:t>zał</w:t>
      </w:r>
      <w:r w:rsidR="00436F80" w:rsidRPr="00402C1B">
        <w:rPr>
          <w:noProof/>
        </w:rPr>
        <w:t>ączniku I do niniejszego rozporządzenia.</w:t>
      </w:r>
    </w:p>
    <w:p w:rsidR="003B410C" w:rsidRPr="00402C1B" w:rsidRDefault="003B410C" w:rsidP="00184085">
      <w:pPr>
        <w:pStyle w:val="Titrearticle"/>
        <w:rPr>
          <w:noProof/>
        </w:rPr>
      </w:pPr>
      <w:r w:rsidRPr="00402C1B">
        <w:rPr>
          <w:noProof/>
        </w:rPr>
        <w:t>Artykuł 3</w:t>
      </w:r>
    </w:p>
    <w:p w:rsidR="003B410C" w:rsidRPr="00402C1B" w:rsidRDefault="003B410C" w:rsidP="00184085">
      <w:pPr>
        <w:pStyle w:val="Titrearticle"/>
        <w:spacing w:before="0"/>
        <w:rPr>
          <w:b/>
          <w:bCs/>
          <w:i w:val="0"/>
          <w:iCs/>
          <w:noProof/>
        </w:rPr>
      </w:pPr>
      <w:r w:rsidRPr="00402C1B">
        <w:rPr>
          <w:b/>
          <w:i w:val="0"/>
          <w:noProof/>
        </w:rPr>
        <w:t>Sprawozdawczość</w:t>
      </w:r>
      <w:r w:rsidR="00402C1B" w:rsidRPr="00402C1B">
        <w:rPr>
          <w:b/>
          <w:i w:val="0"/>
          <w:noProof/>
        </w:rPr>
        <w:t xml:space="preserve"> w</w:t>
      </w:r>
      <w:r w:rsidR="00402C1B">
        <w:rPr>
          <w:b/>
          <w:i w:val="0"/>
          <w:noProof/>
        </w:rPr>
        <w:t> </w:t>
      </w:r>
      <w:r w:rsidR="00402C1B" w:rsidRPr="00402C1B">
        <w:rPr>
          <w:b/>
          <w:i w:val="0"/>
          <w:noProof/>
        </w:rPr>
        <w:t>zak</w:t>
      </w:r>
      <w:r w:rsidRPr="00402C1B">
        <w:rPr>
          <w:b/>
          <w:i w:val="0"/>
          <w:noProof/>
        </w:rPr>
        <w:t>resie grupowej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rządkowanej likwidacji – grupa objęta planem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rządkowanej likwidacji</w:t>
      </w:r>
    </w:p>
    <w:p w:rsidR="003B410C" w:rsidRPr="00402C1B" w:rsidRDefault="00BC2ED2" w:rsidP="00BC2ED2">
      <w:pPr>
        <w:pStyle w:val="ManualNumPar1"/>
        <w:rPr>
          <w:noProof/>
        </w:rPr>
      </w:pPr>
      <w:r w:rsidRPr="00BC2ED2">
        <w:rPr>
          <w:noProof/>
        </w:rPr>
        <w:t>1.</w:t>
      </w:r>
      <w:r w:rsidRPr="00BC2ED2">
        <w:rPr>
          <w:noProof/>
        </w:rPr>
        <w:tab/>
      </w:r>
      <w:r w:rsidR="00873C72"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873C72" w:rsidRPr="00402C1B">
        <w:rPr>
          <w:noProof/>
        </w:rPr>
        <w:t>rządkowanej likwidacji informacje określone</w:t>
      </w:r>
      <w:r w:rsidR="00402C1B" w:rsidRPr="00402C1B">
        <w:rPr>
          <w:noProof/>
        </w:rPr>
        <w:t xml:space="preserve"> w</w:t>
      </w:r>
      <w:r w:rsidR="00402C1B">
        <w:rPr>
          <w:noProof/>
        </w:rPr>
        <w:t> </w:t>
      </w:r>
      <w:r w:rsidR="00402C1B" w:rsidRPr="00402C1B">
        <w:rPr>
          <w:noProof/>
        </w:rPr>
        <w:t>sza</w:t>
      </w:r>
      <w:r w:rsidR="00873C72" w:rsidRPr="00402C1B">
        <w:rPr>
          <w:noProof/>
        </w:rPr>
        <w:t>blonach Z 01.01, Z 01.02 i Z 08.01–Z 09.04 zawartych</w:t>
      </w:r>
      <w:r w:rsidR="00402C1B" w:rsidRPr="00402C1B">
        <w:rPr>
          <w:noProof/>
        </w:rPr>
        <w:t xml:space="preserve"> w</w:t>
      </w:r>
      <w:r w:rsidR="00402C1B">
        <w:rPr>
          <w:noProof/>
        </w:rPr>
        <w:t> </w:t>
      </w:r>
      <w:r w:rsidR="00402C1B" w:rsidRPr="00402C1B">
        <w:rPr>
          <w:noProof/>
        </w:rPr>
        <w:t>zał</w:t>
      </w:r>
      <w:r w:rsidR="00873C72" w:rsidRPr="00402C1B">
        <w:rPr>
          <w:noProof/>
        </w:rPr>
        <w:t>ączniku I</w:t>
      </w:r>
      <w:r w:rsidR="00402C1B" w:rsidRPr="00402C1B">
        <w:rPr>
          <w:noProof/>
        </w:rPr>
        <w:t xml:space="preserve"> w</w:t>
      </w:r>
      <w:r w:rsidR="00402C1B">
        <w:rPr>
          <w:noProof/>
        </w:rPr>
        <w:t> </w:t>
      </w:r>
      <w:r w:rsidR="00402C1B" w:rsidRPr="00402C1B">
        <w:rPr>
          <w:noProof/>
        </w:rPr>
        <w:t>odn</w:t>
      </w:r>
      <w:r w:rsidR="00873C72" w:rsidRPr="00402C1B">
        <w:rPr>
          <w:noProof/>
        </w:rPr>
        <w:t>iesieniu do wszystkich podmiotów powiązanych.</w:t>
      </w:r>
    </w:p>
    <w:p w:rsidR="003B410C" w:rsidRPr="00402C1B" w:rsidRDefault="00BC2ED2" w:rsidP="00BC2ED2">
      <w:pPr>
        <w:pStyle w:val="ManualNumPar1"/>
        <w:rPr>
          <w:noProof/>
        </w:rPr>
      </w:pPr>
      <w:r w:rsidRPr="00BC2ED2">
        <w:rPr>
          <w:noProof/>
        </w:rPr>
        <w:t>2.</w:t>
      </w:r>
      <w:r w:rsidRPr="00BC2ED2">
        <w:rPr>
          <w:noProof/>
        </w:rPr>
        <w:tab/>
      </w:r>
      <w:r w:rsidR="00873C72"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873C72" w:rsidRPr="00402C1B">
        <w:rPr>
          <w:noProof/>
        </w:rPr>
        <w:t>rządkowanej likwidacji informacje na temat wzajemnych powiązań finansowych między wszystkimi podmiotami powiązanymi, jak określono</w:t>
      </w:r>
      <w:r w:rsidR="00402C1B" w:rsidRPr="00402C1B">
        <w:rPr>
          <w:noProof/>
        </w:rPr>
        <w:t xml:space="preserve"> w</w:t>
      </w:r>
      <w:r w:rsidR="00402C1B">
        <w:rPr>
          <w:noProof/>
        </w:rPr>
        <w:t> </w:t>
      </w:r>
      <w:r w:rsidR="00402C1B" w:rsidRPr="00402C1B">
        <w:rPr>
          <w:noProof/>
        </w:rPr>
        <w:t>sza</w:t>
      </w:r>
      <w:r w:rsidR="00873C72" w:rsidRPr="00402C1B">
        <w:rPr>
          <w:noProof/>
        </w:rPr>
        <w:t>blonie Z 04.00 zawartym</w:t>
      </w:r>
      <w:r w:rsidR="00402C1B" w:rsidRPr="00402C1B">
        <w:rPr>
          <w:noProof/>
        </w:rPr>
        <w:t xml:space="preserve"> w</w:t>
      </w:r>
      <w:r w:rsidR="00402C1B">
        <w:rPr>
          <w:noProof/>
        </w:rPr>
        <w:t> </w:t>
      </w:r>
      <w:r w:rsidR="00402C1B" w:rsidRPr="00402C1B">
        <w:rPr>
          <w:noProof/>
        </w:rPr>
        <w:t>zał</w:t>
      </w:r>
      <w:r w:rsidR="00873C72" w:rsidRPr="00402C1B">
        <w:rPr>
          <w:noProof/>
        </w:rPr>
        <w:t>ączniku I.</w:t>
      </w:r>
    </w:p>
    <w:p w:rsidR="003B410C" w:rsidRPr="00402C1B" w:rsidRDefault="00BC2ED2" w:rsidP="00BC2ED2">
      <w:pPr>
        <w:pStyle w:val="ManualNumPar1"/>
        <w:rPr>
          <w:noProof/>
        </w:rPr>
      </w:pPr>
      <w:r w:rsidRPr="00BC2ED2">
        <w:rPr>
          <w:noProof/>
        </w:rPr>
        <w:t>3.</w:t>
      </w:r>
      <w:r w:rsidRPr="00BC2ED2">
        <w:rPr>
          <w:noProof/>
        </w:rPr>
        <w:tab/>
      </w:r>
      <w:r w:rsidR="001744A5"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1744A5" w:rsidRPr="00402C1B">
        <w:rPr>
          <w:noProof/>
        </w:rPr>
        <w:t>rządkowanej likwidacji informacje określone</w:t>
      </w:r>
      <w:r w:rsidR="00402C1B" w:rsidRPr="00402C1B">
        <w:rPr>
          <w:noProof/>
        </w:rPr>
        <w:t xml:space="preserve"> w</w:t>
      </w:r>
      <w:r w:rsidR="00402C1B">
        <w:rPr>
          <w:noProof/>
        </w:rPr>
        <w:t> </w:t>
      </w:r>
      <w:r w:rsidR="00402C1B" w:rsidRPr="00402C1B">
        <w:rPr>
          <w:noProof/>
        </w:rPr>
        <w:t>sza</w:t>
      </w:r>
      <w:r w:rsidR="001744A5" w:rsidRPr="00402C1B">
        <w:rPr>
          <w:noProof/>
        </w:rPr>
        <w:t>blonie Z 02.00 zawartym</w:t>
      </w:r>
      <w:r w:rsidR="00402C1B" w:rsidRPr="00402C1B">
        <w:rPr>
          <w:noProof/>
        </w:rPr>
        <w:t xml:space="preserve"> w</w:t>
      </w:r>
      <w:r w:rsidR="00402C1B">
        <w:rPr>
          <w:noProof/>
        </w:rPr>
        <w:t> </w:t>
      </w:r>
      <w:r w:rsidR="00402C1B" w:rsidRPr="00402C1B">
        <w:rPr>
          <w:noProof/>
        </w:rPr>
        <w:t>zał</w:t>
      </w:r>
      <w:r w:rsidR="001744A5" w:rsidRPr="00402C1B">
        <w:rPr>
          <w:noProof/>
        </w:rPr>
        <w:t>ączniku I</w:t>
      </w:r>
      <w:r w:rsidR="00402C1B" w:rsidRPr="00402C1B">
        <w:rPr>
          <w:noProof/>
        </w:rPr>
        <w:t xml:space="preserve"> w</w:t>
      </w:r>
      <w:r w:rsidR="00402C1B">
        <w:rPr>
          <w:noProof/>
        </w:rPr>
        <w:t> </w:t>
      </w:r>
      <w:r w:rsidR="00402C1B" w:rsidRPr="00402C1B">
        <w:rPr>
          <w:noProof/>
        </w:rPr>
        <w:t>nas</w:t>
      </w:r>
      <w:r w:rsidR="001744A5" w:rsidRPr="00402C1B">
        <w:rPr>
          <w:noProof/>
        </w:rPr>
        <w:t>tępujący sposób:</w:t>
      </w:r>
    </w:p>
    <w:p w:rsidR="003B410C" w:rsidRPr="00402C1B" w:rsidRDefault="00402C1B" w:rsidP="00402C1B">
      <w:pPr>
        <w:pStyle w:val="Point1"/>
        <w:rPr>
          <w:noProof/>
        </w:rPr>
      </w:pPr>
      <w:r>
        <w:rPr>
          <w:noProof/>
        </w:rPr>
        <w:t>a)</w:t>
      </w:r>
      <w:r>
        <w:rPr>
          <w:noProof/>
        </w:rPr>
        <w:tab/>
      </w:r>
      <w:r w:rsidR="003B410C" w:rsidRPr="00402C1B">
        <w:rPr>
          <w:noProof/>
        </w:rPr>
        <w:t>na zasadzie indywidualnej –</w:t>
      </w:r>
      <w:r w:rsidRPr="00402C1B">
        <w:rPr>
          <w:noProof/>
        </w:rPr>
        <w:t xml:space="preserve"> w</w:t>
      </w:r>
      <w:r>
        <w:rPr>
          <w:noProof/>
        </w:rPr>
        <w:t> </w:t>
      </w:r>
      <w:r w:rsidRPr="00402C1B">
        <w:rPr>
          <w:noProof/>
        </w:rPr>
        <w:t>odn</w:t>
      </w:r>
      <w:r w:rsidR="003B410C" w:rsidRPr="00402C1B">
        <w:rPr>
          <w:noProof/>
        </w:rPr>
        <w:t>iesieniu do wszystkich należących do grupy podmiotów objętych planem restrukturyzacji</w:t>
      </w:r>
      <w:r w:rsidRPr="00402C1B">
        <w:rPr>
          <w:noProof/>
        </w:rPr>
        <w:t xml:space="preserve"> i</w:t>
      </w:r>
      <w:r>
        <w:rPr>
          <w:noProof/>
        </w:rPr>
        <w:t> </w:t>
      </w:r>
      <w:r w:rsidRPr="00402C1B">
        <w:rPr>
          <w:noProof/>
        </w:rPr>
        <w:t>upo</w:t>
      </w:r>
      <w:r w:rsidR="003B410C" w:rsidRPr="00402C1B">
        <w:rPr>
          <w:noProof/>
        </w:rPr>
        <w:t>rządkowanej likwidacji,</w:t>
      </w:r>
      <w:r w:rsidRPr="00402C1B">
        <w:rPr>
          <w:noProof/>
        </w:rPr>
        <w:t xml:space="preserve"> w</w:t>
      </w:r>
      <w:r>
        <w:rPr>
          <w:noProof/>
        </w:rPr>
        <w:t> </w:t>
      </w:r>
      <w:r w:rsidRPr="00402C1B">
        <w:rPr>
          <w:noProof/>
        </w:rPr>
        <w:t>tym</w:t>
      </w:r>
      <w:r w:rsidR="003B410C" w:rsidRPr="00402C1B">
        <w:rPr>
          <w:noProof/>
        </w:rPr>
        <w:t xml:space="preserve"> unijnej jednostki dominującej, oraz wszystkich istotnych podmiotów prawnych będących instytucjami;</w:t>
      </w:r>
    </w:p>
    <w:p w:rsidR="003B410C" w:rsidRPr="00402C1B" w:rsidRDefault="00402C1B" w:rsidP="00402C1B">
      <w:pPr>
        <w:pStyle w:val="Point1"/>
        <w:rPr>
          <w:noProof/>
        </w:rPr>
      </w:pPr>
      <w:r>
        <w:rPr>
          <w:noProof/>
        </w:rPr>
        <w:t>b)</w:t>
      </w:r>
      <w:r>
        <w:rPr>
          <w:noProof/>
        </w:rPr>
        <w:tab/>
      </w:r>
      <w:r w:rsidR="003B410C" w:rsidRPr="00402C1B">
        <w:rPr>
          <w:noProof/>
        </w:rPr>
        <w:t>na zasadzie skonsolidowanej lub,</w:t>
      </w:r>
      <w:r w:rsidRPr="00402C1B">
        <w:rPr>
          <w:noProof/>
        </w:rPr>
        <w:t xml:space="preserve"> w</w:t>
      </w:r>
      <w:r>
        <w:rPr>
          <w:noProof/>
        </w:rPr>
        <w:t> </w:t>
      </w:r>
      <w:r w:rsidRPr="00402C1B">
        <w:rPr>
          <w:noProof/>
        </w:rPr>
        <w:t>sto</w:t>
      </w:r>
      <w:r w:rsidR="003B410C" w:rsidRPr="00402C1B">
        <w:rPr>
          <w:noProof/>
        </w:rPr>
        <w:t>sownych przypadkach, na zasadzie subskonsolidowanej –</w:t>
      </w:r>
      <w:r w:rsidRPr="00402C1B">
        <w:rPr>
          <w:noProof/>
        </w:rPr>
        <w:t xml:space="preserve"> w</w:t>
      </w:r>
      <w:r>
        <w:rPr>
          <w:noProof/>
        </w:rPr>
        <w:t> </w:t>
      </w:r>
      <w:r w:rsidRPr="00402C1B">
        <w:rPr>
          <w:noProof/>
        </w:rPr>
        <w:t>odn</w:t>
      </w:r>
      <w:r w:rsidR="003B410C" w:rsidRPr="00402C1B">
        <w:rPr>
          <w:noProof/>
        </w:rPr>
        <w:t>iesieniu do wszystkich należących do grupy podmiotów objętych planem restrukturyzacji</w:t>
      </w:r>
      <w:r w:rsidRPr="00402C1B">
        <w:rPr>
          <w:noProof/>
        </w:rPr>
        <w:t xml:space="preserve"> i</w:t>
      </w:r>
      <w:r>
        <w:rPr>
          <w:noProof/>
        </w:rPr>
        <w:t> </w:t>
      </w:r>
      <w:r w:rsidRPr="00402C1B">
        <w:rPr>
          <w:noProof/>
        </w:rPr>
        <w:t>upo</w:t>
      </w:r>
      <w:r w:rsidR="003B410C" w:rsidRPr="00402C1B">
        <w:rPr>
          <w:noProof/>
        </w:rPr>
        <w:t>rządkowanej likwidacji,</w:t>
      </w:r>
      <w:r w:rsidRPr="00402C1B">
        <w:rPr>
          <w:noProof/>
        </w:rPr>
        <w:t xml:space="preserve"> w</w:t>
      </w:r>
      <w:r>
        <w:rPr>
          <w:noProof/>
        </w:rPr>
        <w:t> </w:t>
      </w:r>
      <w:r w:rsidRPr="00402C1B">
        <w:rPr>
          <w:noProof/>
        </w:rPr>
        <w:t>tym</w:t>
      </w:r>
      <w:r w:rsidR="003B410C" w:rsidRPr="00402C1B">
        <w:rPr>
          <w:noProof/>
        </w:rPr>
        <w:t xml:space="preserve"> unijnej jednostki dominującej, oraz wszystkich istotnych podmiotów prawnych,</w:t>
      </w:r>
      <w:r w:rsidRPr="00402C1B">
        <w:rPr>
          <w:noProof/>
        </w:rPr>
        <w:t xml:space="preserve"> w</w:t>
      </w:r>
      <w:r>
        <w:rPr>
          <w:noProof/>
        </w:rPr>
        <w:t> </w:t>
      </w:r>
      <w:r w:rsidRPr="00402C1B">
        <w:rPr>
          <w:noProof/>
        </w:rPr>
        <w:t>odn</w:t>
      </w:r>
      <w:r w:rsidR="003B410C" w:rsidRPr="00402C1B">
        <w:rPr>
          <w:noProof/>
        </w:rPr>
        <w:t>iesieniu do których organ ds. restrukturyzacji</w:t>
      </w:r>
      <w:r w:rsidRPr="00402C1B">
        <w:rPr>
          <w:noProof/>
        </w:rPr>
        <w:t xml:space="preserve"> i</w:t>
      </w:r>
      <w:r>
        <w:rPr>
          <w:noProof/>
        </w:rPr>
        <w:t> </w:t>
      </w:r>
      <w:r w:rsidRPr="00402C1B">
        <w:rPr>
          <w:noProof/>
        </w:rPr>
        <w:t>upo</w:t>
      </w:r>
      <w:r w:rsidR="003B410C" w:rsidRPr="00402C1B">
        <w:rPr>
          <w:noProof/>
        </w:rPr>
        <w:t>rządkowanej likwidacji ustalił wymóg,</w:t>
      </w:r>
      <w:r w:rsidRPr="00402C1B">
        <w:rPr>
          <w:noProof/>
        </w:rPr>
        <w:t xml:space="preserve"> o</w:t>
      </w:r>
      <w:r>
        <w:rPr>
          <w:noProof/>
        </w:rPr>
        <w:t> </w:t>
      </w:r>
      <w:r w:rsidRPr="00402C1B">
        <w:rPr>
          <w:noProof/>
        </w:rPr>
        <w:t>któ</w:t>
      </w:r>
      <w:r w:rsidR="003B410C" w:rsidRPr="00402C1B">
        <w:rPr>
          <w:noProof/>
        </w:rPr>
        <w:t>rym mowa</w:t>
      </w:r>
      <w:r w:rsidRPr="00402C1B">
        <w:rPr>
          <w:noProof/>
        </w:rPr>
        <w:t xml:space="preserve"> w</w:t>
      </w:r>
      <w:r>
        <w:rPr>
          <w:noProof/>
        </w:rPr>
        <w:t> </w:t>
      </w:r>
      <w:r w:rsidRPr="00402C1B">
        <w:rPr>
          <w:noProof/>
        </w:rPr>
        <w:t>art</w:t>
      </w:r>
      <w:r w:rsidR="003B410C" w:rsidRPr="00402C1B">
        <w:rPr>
          <w:noProof/>
        </w:rPr>
        <w:t>.</w:t>
      </w:r>
      <w:r w:rsidRPr="00402C1B">
        <w:rPr>
          <w:noProof/>
        </w:rPr>
        <w:t> </w:t>
      </w:r>
      <w:r w:rsidR="003B410C" w:rsidRPr="00402C1B">
        <w:rPr>
          <w:noProof/>
        </w:rPr>
        <w:t>45 ust.</w:t>
      </w:r>
      <w:r w:rsidRPr="00402C1B">
        <w:rPr>
          <w:noProof/>
        </w:rPr>
        <w:t> </w:t>
      </w:r>
      <w:r w:rsidR="003B410C" w:rsidRPr="00402C1B">
        <w:rPr>
          <w:noProof/>
        </w:rPr>
        <w:t>1 dyrektywy 2014/59/UE, na zasadzie skonsolidowanej lub subskonsolidowanej, niezależnie od tego, czy podmioty te podlegają przepisom części pierwszej tytuł II rozdział 2 rozporządzenia (UE) nr</w:t>
      </w:r>
      <w:r w:rsidRPr="00402C1B">
        <w:rPr>
          <w:noProof/>
        </w:rPr>
        <w:t> </w:t>
      </w:r>
      <w:r w:rsidR="003B410C" w:rsidRPr="00402C1B">
        <w:rPr>
          <w:noProof/>
        </w:rPr>
        <w:t>575/2013.</w:t>
      </w:r>
    </w:p>
    <w:p w:rsidR="003B410C" w:rsidRPr="00402C1B" w:rsidRDefault="00BC2ED2" w:rsidP="00BC2ED2">
      <w:pPr>
        <w:pStyle w:val="ManualNumPar1"/>
        <w:rPr>
          <w:noProof/>
        </w:rPr>
      </w:pPr>
      <w:r w:rsidRPr="00BC2ED2">
        <w:rPr>
          <w:noProof/>
        </w:rPr>
        <w:t>4.</w:t>
      </w:r>
      <w:r w:rsidRPr="00BC2ED2">
        <w:rPr>
          <w:noProof/>
        </w:rPr>
        <w:tab/>
      </w:r>
      <w:r w:rsidR="00207905"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207905" w:rsidRPr="00402C1B">
        <w:rPr>
          <w:noProof/>
        </w:rPr>
        <w:t>rządkowanej likwidacji informacje określone</w:t>
      </w:r>
      <w:r w:rsidR="00402C1B" w:rsidRPr="00402C1B">
        <w:rPr>
          <w:noProof/>
        </w:rPr>
        <w:t xml:space="preserve"> w</w:t>
      </w:r>
      <w:r w:rsidR="00402C1B">
        <w:rPr>
          <w:noProof/>
        </w:rPr>
        <w:t> </w:t>
      </w:r>
      <w:r w:rsidR="00402C1B" w:rsidRPr="00402C1B">
        <w:rPr>
          <w:noProof/>
        </w:rPr>
        <w:t>sza</w:t>
      </w:r>
      <w:r w:rsidR="00207905" w:rsidRPr="00402C1B">
        <w:rPr>
          <w:noProof/>
        </w:rPr>
        <w:t>blonach Z 03.01 lub Z 03.02 zawartych</w:t>
      </w:r>
      <w:r w:rsidR="00402C1B" w:rsidRPr="00402C1B">
        <w:rPr>
          <w:noProof/>
        </w:rPr>
        <w:t xml:space="preserve"> w</w:t>
      </w:r>
      <w:r w:rsidR="00402C1B">
        <w:rPr>
          <w:noProof/>
        </w:rPr>
        <w:t> </w:t>
      </w:r>
      <w:r w:rsidR="00402C1B" w:rsidRPr="00402C1B">
        <w:rPr>
          <w:noProof/>
        </w:rPr>
        <w:t>zał</w:t>
      </w:r>
      <w:r w:rsidR="00207905" w:rsidRPr="00402C1B">
        <w:rPr>
          <w:noProof/>
        </w:rPr>
        <w:t>ączniku I</w:t>
      </w:r>
      <w:r w:rsidR="00402C1B" w:rsidRPr="00402C1B">
        <w:rPr>
          <w:noProof/>
        </w:rPr>
        <w:t xml:space="preserve"> w</w:t>
      </w:r>
      <w:r w:rsidR="00402C1B">
        <w:rPr>
          <w:noProof/>
        </w:rPr>
        <w:t> </w:t>
      </w:r>
      <w:r w:rsidR="00402C1B" w:rsidRPr="00402C1B">
        <w:rPr>
          <w:noProof/>
        </w:rPr>
        <w:t>nas</w:t>
      </w:r>
      <w:r w:rsidR="00207905" w:rsidRPr="00402C1B">
        <w:rPr>
          <w:noProof/>
        </w:rPr>
        <w:t>tępujący sposób:</w:t>
      </w:r>
    </w:p>
    <w:p w:rsidR="003B410C" w:rsidRPr="00402C1B" w:rsidRDefault="00402C1B" w:rsidP="00402C1B">
      <w:pPr>
        <w:pStyle w:val="Point1"/>
        <w:rPr>
          <w:noProof/>
        </w:rPr>
      </w:pPr>
      <w:r>
        <w:rPr>
          <w:noProof/>
        </w:rPr>
        <w:t>a)</w:t>
      </w:r>
      <w:r>
        <w:rPr>
          <w:noProof/>
        </w:rPr>
        <w:tab/>
      </w:r>
      <w:r w:rsidR="003B410C" w:rsidRPr="00402C1B">
        <w:rPr>
          <w:noProof/>
        </w:rPr>
        <w:t>na zasadzie indywidualnej –</w:t>
      </w:r>
      <w:r w:rsidRPr="00402C1B">
        <w:rPr>
          <w:noProof/>
        </w:rPr>
        <w:t xml:space="preserve"> w</w:t>
      </w:r>
      <w:r>
        <w:rPr>
          <w:noProof/>
        </w:rPr>
        <w:t> </w:t>
      </w:r>
      <w:r w:rsidRPr="00402C1B">
        <w:rPr>
          <w:noProof/>
        </w:rPr>
        <w:t>odn</w:t>
      </w:r>
      <w:r w:rsidR="003B410C" w:rsidRPr="00402C1B">
        <w:rPr>
          <w:noProof/>
        </w:rPr>
        <w:t>iesieniu do wszystkich należących do grupy podmiotów objętych planem restrukturyzacji</w:t>
      </w:r>
      <w:r w:rsidRPr="00402C1B">
        <w:rPr>
          <w:noProof/>
        </w:rPr>
        <w:t xml:space="preserve"> i</w:t>
      </w:r>
      <w:r>
        <w:rPr>
          <w:noProof/>
        </w:rPr>
        <w:t> </w:t>
      </w:r>
      <w:r w:rsidRPr="00402C1B">
        <w:rPr>
          <w:noProof/>
        </w:rPr>
        <w:t>upo</w:t>
      </w:r>
      <w:r w:rsidR="003B410C" w:rsidRPr="00402C1B">
        <w:rPr>
          <w:noProof/>
        </w:rPr>
        <w:t>rządkowanej likwidacji grupy,</w:t>
      </w:r>
      <w:r w:rsidRPr="00402C1B">
        <w:rPr>
          <w:noProof/>
        </w:rPr>
        <w:t xml:space="preserve"> w</w:t>
      </w:r>
      <w:r>
        <w:rPr>
          <w:noProof/>
        </w:rPr>
        <w:t> </w:t>
      </w:r>
      <w:r w:rsidRPr="00402C1B">
        <w:rPr>
          <w:noProof/>
        </w:rPr>
        <w:t>tym</w:t>
      </w:r>
      <w:r w:rsidR="003B410C" w:rsidRPr="00402C1B">
        <w:rPr>
          <w:noProof/>
        </w:rPr>
        <w:t xml:space="preserve"> unijnej jednostki dominującej, oraz wszystkich istotnych podmiotów prawnych będących instytucjami,</w:t>
      </w:r>
      <w:r w:rsidRPr="00402C1B">
        <w:rPr>
          <w:noProof/>
        </w:rPr>
        <w:t xml:space="preserve"> w</w:t>
      </w:r>
      <w:r>
        <w:rPr>
          <w:noProof/>
        </w:rPr>
        <w:t> </w:t>
      </w:r>
      <w:r w:rsidRPr="00402C1B">
        <w:rPr>
          <w:noProof/>
        </w:rPr>
        <w:t>odn</w:t>
      </w:r>
      <w:r w:rsidR="003B410C" w:rsidRPr="00402C1B">
        <w:rPr>
          <w:noProof/>
        </w:rPr>
        <w:t>iesieniu do których organ ds. restrukturyzacji</w:t>
      </w:r>
      <w:r w:rsidRPr="00402C1B">
        <w:rPr>
          <w:noProof/>
        </w:rPr>
        <w:t xml:space="preserve"> i</w:t>
      </w:r>
      <w:r>
        <w:rPr>
          <w:noProof/>
        </w:rPr>
        <w:t> </w:t>
      </w:r>
      <w:r w:rsidRPr="00402C1B">
        <w:rPr>
          <w:noProof/>
        </w:rPr>
        <w:t>upo</w:t>
      </w:r>
      <w:r w:rsidR="003B410C" w:rsidRPr="00402C1B">
        <w:rPr>
          <w:noProof/>
        </w:rPr>
        <w:t>rządkowanej likwidacji ustalił wymóg,</w:t>
      </w:r>
      <w:r w:rsidRPr="00402C1B">
        <w:rPr>
          <w:noProof/>
        </w:rPr>
        <w:t xml:space="preserve"> o</w:t>
      </w:r>
      <w:r>
        <w:rPr>
          <w:noProof/>
        </w:rPr>
        <w:t> </w:t>
      </w:r>
      <w:r w:rsidRPr="00402C1B">
        <w:rPr>
          <w:noProof/>
        </w:rPr>
        <w:t>któ</w:t>
      </w:r>
      <w:r w:rsidR="003B410C" w:rsidRPr="00402C1B">
        <w:rPr>
          <w:noProof/>
        </w:rPr>
        <w:t>rym mowa</w:t>
      </w:r>
      <w:r w:rsidRPr="00402C1B">
        <w:rPr>
          <w:noProof/>
        </w:rPr>
        <w:t xml:space="preserve"> w</w:t>
      </w:r>
      <w:r>
        <w:rPr>
          <w:noProof/>
        </w:rPr>
        <w:t> </w:t>
      </w:r>
      <w:r w:rsidRPr="00402C1B">
        <w:rPr>
          <w:noProof/>
        </w:rPr>
        <w:t>art</w:t>
      </w:r>
      <w:r w:rsidR="003B410C" w:rsidRPr="00402C1B">
        <w:rPr>
          <w:noProof/>
        </w:rPr>
        <w:t>.</w:t>
      </w:r>
      <w:r w:rsidRPr="00402C1B">
        <w:rPr>
          <w:noProof/>
        </w:rPr>
        <w:t> </w:t>
      </w:r>
      <w:r w:rsidR="003B410C" w:rsidRPr="00402C1B">
        <w:rPr>
          <w:noProof/>
        </w:rPr>
        <w:t>45 ust.</w:t>
      </w:r>
      <w:r w:rsidRPr="00402C1B">
        <w:rPr>
          <w:noProof/>
        </w:rPr>
        <w:t> </w:t>
      </w:r>
      <w:r w:rsidR="003B410C" w:rsidRPr="00402C1B">
        <w:rPr>
          <w:noProof/>
        </w:rPr>
        <w:t>1 dyrektywy 2014/59/UE;</w:t>
      </w:r>
    </w:p>
    <w:p w:rsidR="003B410C" w:rsidRPr="00402C1B" w:rsidRDefault="00402C1B" w:rsidP="00402C1B">
      <w:pPr>
        <w:pStyle w:val="Point1"/>
        <w:rPr>
          <w:noProof/>
        </w:rPr>
      </w:pPr>
      <w:r>
        <w:rPr>
          <w:noProof/>
        </w:rPr>
        <w:t>b)</w:t>
      </w:r>
      <w:r>
        <w:rPr>
          <w:noProof/>
        </w:rPr>
        <w:tab/>
      </w:r>
      <w:r w:rsidR="003B410C" w:rsidRPr="00402C1B">
        <w:rPr>
          <w:noProof/>
        </w:rPr>
        <w:t>na zasadzie skonsolidowanej lub,</w:t>
      </w:r>
      <w:r w:rsidRPr="00402C1B">
        <w:rPr>
          <w:noProof/>
        </w:rPr>
        <w:t xml:space="preserve"> w</w:t>
      </w:r>
      <w:r>
        <w:rPr>
          <w:noProof/>
        </w:rPr>
        <w:t> </w:t>
      </w:r>
      <w:r w:rsidRPr="00402C1B">
        <w:rPr>
          <w:noProof/>
        </w:rPr>
        <w:t>sto</w:t>
      </w:r>
      <w:r w:rsidR="003B410C" w:rsidRPr="00402C1B">
        <w:rPr>
          <w:noProof/>
        </w:rPr>
        <w:t>sownych przypadkach, na zasadzie subskonsolidowanej –</w:t>
      </w:r>
      <w:r w:rsidRPr="00402C1B">
        <w:rPr>
          <w:noProof/>
        </w:rPr>
        <w:t xml:space="preserve"> w</w:t>
      </w:r>
      <w:r>
        <w:rPr>
          <w:noProof/>
        </w:rPr>
        <w:t> </w:t>
      </w:r>
      <w:r w:rsidRPr="00402C1B">
        <w:rPr>
          <w:noProof/>
        </w:rPr>
        <w:t>odn</w:t>
      </w:r>
      <w:r w:rsidR="003B410C" w:rsidRPr="00402C1B">
        <w:rPr>
          <w:noProof/>
        </w:rPr>
        <w:t>iesieniu do wszystkich należących do grupy podmiotów objętych planem restrukturyzacji</w:t>
      </w:r>
      <w:r w:rsidRPr="00402C1B">
        <w:rPr>
          <w:noProof/>
        </w:rPr>
        <w:t xml:space="preserve"> i</w:t>
      </w:r>
      <w:r>
        <w:rPr>
          <w:noProof/>
        </w:rPr>
        <w:t> </w:t>
      </w:r>
      <w:r w:rsidRPr="00402C1B">
        <w:rPr>
          <w:noProof/>
        </w:rPr>
        <w:t>upo</w:t>
      </w:r>
      <w:r w:rsidR="003B410C" w:rsidRPr="00402C1B">
        <w:rPr>
          <w:noProof/>
        </w:rPr>
        <w:t>rządkowanej likwidacji,</w:t>
      </w:r>
      <w:r w:rsidRPr="00402C1B">
        <w:rPr>
          <w:noProof/>
        </w:rPr>
        <w:t xml:space="preserve"> w</w:t>
      </w:r>
      <w:r>
        <w:rPr>
          <w:noProof/>
        </w:rPr>
        <w:t> </w:t>
      </w:r>
      <w:r w:rsidRPr="00402C1B">
        <w:rPr>
          <w:noProof/>
        </w:rPr>
        <w:t>tym</w:t>
      </w:r>
      <w:r w:rsidR="003B410C" w:rsidRPr="00402C1B">
        <w:rPr>
          <w:noProof/>
        </w:rPr>
        <w:t xml:space="preserve"> unijnej jednostki dominującej, oraz wszystkich istotnych podmiotów prawnych będących instytucjami,</w:t>
      </w:r>
      <w:r w:rsidRPr="00402C1B">
        <w:rPr>
          <w:noProof/>
        </w:rPr>
        <w:t xml:space="preserve"> w</w:t>
      </w:r>
      <w:r>
        <w:rPr>
          <w:noProof/>
        </w:rPr>
        <w:t> </w:t>
      </w:r>
      <w:r w:rsidRPr="00402C1B">
        <w:rPr>
          <w:noProof/>
        </w:rPr>
        <w:t>odn</w:t>
      </w:r>
      <w:r w:rsidR="003B410C" w:rsidRPr="00402C1B">
        <w:rPr>
          <w:noProof/>
        </w:rPr>
        <w:t>iesieniu do których organ ds. restrukturyzacji</w:t>
      </w:r>
      <w:r w:rsidRPr="00402C1B">
        <w:rPr>
          <w:noProof/>
        </w:rPr>
        <w:t xml:space="preserve"> i</w:t>
      </w:r>
      <w:r>
        <w:rPr>
          <w:noProof/>
        </w:rPr>
        <w:t> </w:t>
      </w:r>
      <w:r w:rsidRPr="00402C1B">
        <w:rPr>
          <w:noProof/>
        </w:rPr>
        <w:t>upo</w:t>
      </w:r>
      <w:r w:rsidR="003B410C" w:rsidRPr="00402C1B">
        <w:rPr>
          <w:noProof/>
        </w:rPr>
        <w:t>rządkowanej likwidacji ustalił wymóg,</w:t>
      </w:r>
      <w:r w:rsidRPr="00402C1B">
        <w:rPr>
          <w:noProof/>
        </w:rPr>
        <w:t xml:space="preserve"> o</w:t>
      </w:r>
      <w:r>
        <w:rPr>
          <w:noProof/>
        </w:rPr>
        <w:t> </w:t>
      </w:r>
      <w:r w:rsidRPr="00402C1B">
        <w:rPr>
          <w:noProof/>
        </w:rPr>
        <w:t>któ</w:t>
      </w:r>
      <w:r w:rsidR="003B410C" w:rsidRPr="00402C1B">
        <w:rPr>
          <w:noProof/>
        </w:rPr>
        <w:t>rym mowa</w:t>
      </w:r>
      <w:r w:rsidRPr="00402C1B">
        <w:rPr>
          <w:noProof/>
        </w:rPr>
        <w:t xml:space="preserve"> w</w:t>
      </w:r>
      <w:r>
        <w:rPr>
          <w:noProof/>
        </w:rPr>
        <w:t> </w:t>
      </w:r>
      <w:r w:rsidRPr="00402C1B">
        <w:rPr>
          <w:noProof/>
        </w:rPr>
        <w:t>art</w:t>
      </w:r>
      <w:r w:rsidR="003B410C" w:rsidRPr="00402C1B">
        <w:rPr>
          <w:noProof/>
        </w:rPr>
        <w:t>.</w:t>
      </w:r>
      <w:r w:rsidRPr="00402C1B">
        <w:rPr>
          <w:noProof/>
        </w:rPr>
        <w:t> </w:t>
      </w:r>
      <w:r w:rsidR="003B410C" w:rsidRPr="00402C1B">
        <w:rPr>
          <w:noProof/>
        </w:rPr>
        <w:t>45 ust.</w:t>
      </w:r>
      <w:r w:rsidRPr="00402C1B">
        <w:rPr>
          <w:noProof/>
        </w:rPr>
        <w:t> </w:t>
      </w:r>
      <w:r w:rsidR="003B410C" w:rsidRPr="00402C1B">
        <w:rPr>
          <w:noProof/>
        </w:rPr>
        <w:t>1 dyrektywy 2014/59/UE, niezależnie od tego, czy podmioty te podlegają przepisom części pierwszej tytuł II rozdział 2 rozporządzenia (UE) nr</w:t>
      </w:r>
      <w:r w:rsidRPr="00402C1B">
        <w:rPr>
          <w:noProof/>
        </w:rPr>
        <w:t> </w:t>
      </w:r>
      <w:r w:rsidR="003B410C" w:rsidRPr="00402C1B">
        <w:rPr>
          <w:noProof/>
        </w:rPr>
        <w:t>575/2013.</w:t>
      </w:r>
    </w:p>
    <w:p w:rsidR="003B410C" w:rsidRPr="00402C1B" w:rsidRDefault="00BC2ED2" w:rsidP="00BC2ED2">
      <w:pPr>
        <w:pStyle w:val="ManualNumPar1"/>
        <w:rPr>
          <w:noProof/>
        </w:rPr>
      </w:pPr>
      <w:r w:rsidRPr="00BC2ED2">
        <w:rPr>
          <w:noProof/>
        </w:rPr>
        <w:t>5.</w:t>
      </w:r>
      <w:r w:rsidRPr="00BC2ED2">
        <w:rPr>
          <w:noProof/>
        </w:rPr>
        <w:tab/>
      </w:r>
      <w:r w:rsidR="006E7726"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6E7726" w:rsidRPr="00402C1B">
        <w:rPr>
          <w:noProof/>
        </w:rPr>
        <w:t>rządkowanej likwidacji informacje określone</w:t>
      </w:r>
      <w:r w:rsidR="00402C1B" w:rsidRPr="00402C1B">
        <w:rPr>
          <w:noProof/>
        </w:rPr>
        <w:t xml:space="preserve"> w</w:t>
      </w:r>
      <w:r w:rsidR="00402C1B">
        <w:rPr>
          <w:noProof/>
        </w:rPr>
        <w:t> </w:t>
      </w:r>
      <w:r w:rsidR="00402C1B" w:rsidRPr="00402C1B">
        <w:rPr>
          <w:noProof/>
        </w:rPr>
        <w:t>sza</w:t>
      </w:r>
      <w:r w:rsidR="006E7726" w:rsidRPr="00402C1B">
        <w:rPr>
          <w:noProof/>
        </w:rPr>
        <w:t>blonach Z 07.01.1, Z 07.01.2, Z 07.01.3, Z 07.01.4 i Z 07.01.5 zawartych</w:t>
      </w:r>
      <w:r w:rsidR="00402C1B" w:rsidRPr="00402C1B">
        <w:rPr>
          <w:noProof/>
        </w:rPr>
        <w:t xml:space="preserve"> w</w:t>
      </w:r>
      <w:r w:rsidR="00402C1B">
        <w:rPr>
          <w:noProof/>
        </w:rPr>
        <w:t> </w:t>
      </w:r>
      <w:r w:rsidR="00402C1B" w:rsidRPr="00402C1B">
        <w:rPr>
          <w:noProof/>
        </w:rPr>
        <w:t>zał</w:t>
      </w:r>
      <w:r w:rsidR="006E7726" w:rsidRPr="00402C1B">
        <w:rPr>
          <w:noProof/>
        </w:rPr>
        <w:t>ączniku I na poziomie każdego państwa członkowskiego,</w:t>
      </w:r>
      <w:r w:rsidR="00402C1B" w:rsidRPr="00402C1B">
        <w:rPr>
          <w:noProof/>
        </w:rPr>
        <w:t xml:space="preserve"> w</w:t>
      </w:r>
      <w:r w:rsidR="00402C1B">
        <w:rPr>
          <w:noProof/>
        </w:rPr>
        <w:t> </w:t>
      </w:r>
      <w:r w:rsidR="00402C1B" w:rsidRPr="00402C1B">
        <w:rPr>
          <w:noProof/>
        </w:rPr>
        <w:t>któ</w:t>
      </w:r>
      <w:r w:rsidR="006E7726" w:rsidRPr="00402C1B">
        <w:rPr>
          <w:noProof/>
        </w:rPr>
        <w:t>rym dana grupa prowadzi działalność.</w:t>
      </w:r>
    </w:p>
    <w:p w:rsidR="003B410C" w:rsidRPr="00402C1B" w:rsidRDefault="00BC2ED2" w:rsidP="00BC2ED2">
      <w:pPr>
        <w:pStyle w:val="ManualNumPar1"/>
        <w:rPr>
          <w:noProof/>
        </w:rPr>
      </w:pPr>
      <w:r w:rsidRPr="00BC2ED2">
        <w:rPr>
          <w:noProof/>
        </w:rPr>
        <w:t>6.</w:t>
      </w:r>
      <w:r w:rsidRPr="00BC2ED2">
        <w:rPr>
          <w:noProof/>
        </w:rPr>
        <w:tab/>
      </w:r>
      <w:r w:rsidR="006E7726"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6E7726" w:rsidRPr="00402C1B">
        <w:rPr>
          <w:noProof/>
        </w:rPr>
        <w:t>rządkowanej likwidacji informacje określone</w:t>
      </w:r>
      <w:r w:rsidR="00402C1B" w:rsidRPr="00402C1B">
        <w:rPr>
          <w:noProof/>
        </w:rPr>
        <w:t xml:space="preserve"> w</w:t>
      </w:r>
      <w:r w:rsidR="00402C1B">
        <w:rPr>
          <w:noProof/>
        </w:rPr>
        <w:t> </w:t>
      </w:r>
      <w:r w:rsidR="00402C1B" w:rsidRPr="00402C1B">
        <w:rPr>
          <w:noProof/>
        </w:rPr>
        <w:t>sza</w:t>
      </w:r>
      <w:r w:rsidR="006E7726" w:rsidRPr="00402C1B">
        <w:rPr>
          <w:noProof/>
        </w:rPr>
        <w:t>blonach Z 07.02, Z 07.03 i Z 07.04 zawartych</w:t>
      </w:r>
      <w:r w:rsidR="00402C1B" w:rsidRPr="00402C1B">
        <w:rPr>
          <w:noProof/>
        </w:rPr>
        <w:t xml:space="preserve"> w</w:t>
      </w:r>
      <w:r w:rsidR="00402C1B">
        <w:rPr>
          <w:noProof/>
        </w:rPr>
        <w:t> </w:t>
      </w:r>
      <w:r w:rsidR="00402C1B" w:rsidRPr="00402C1B">
        <w:rPr>
          <w:noProof/>
        </w:rPr>
        <w:t>zał</w:t>
      </w:r>
      <w:r w:rsidR="006E7726" w:rsidRPr="00402C1B">
        <w:rPr>
          <w:noProof/>
        </w:rPr>
        <w:t>ączniku I</w:t>
      </w:r>
      <w:r w:rsidR="00402C1B" w:rsidRPr="00402C1B">
        <w:rPr>
          <w:noProof/>
        </w:rPr>
        <w:t xml:space="preserve"> w</w:t>
      </w:r>
      <w:r w:rsidR="00402C1B">
        <w:rPr>
          <w:noProof/>
        </w:rPr>
        <w:t> </w:t>
      </w:r>
      <w:r w:rsidR="00402C1B" w:rsidRPr="00402C1B">
        <w:rPr>
          <w:noProof/>
        </w:rPr>
        <w:t>odn</w:t>
      </w:r>
      <w:r w:rsidR="006E7726" w:rsidRPr="00402C1B">
        <w:rPr>
          <w:noProof/>
        </w:rPr>
        <w:t>iesieniu do funkcji krytycznych</w:t>
      </w:r>
      <w:r w:rsidR="00402C1B" w:rsidRPr="00402C1B">
        <w:rPr>
          <w:noProof/>
        </w:rPr>
        <w:t xml:space="preserve"> i</w:t>
      </w:r>
      <w:r w:rsidR="00402C1B">
        <w:rPr>
          <w:noProof/>
        </w:rPr>
        <w:t> </w:t>
      </w:r>
      <w:r w:rsidR="00402C1B" w:rsidRPr="00402C1B">
        <w:rPr>
          <w:noProof/>
        </w:rPr>
        <w:t>głó</w:t>
      </w:r>
      <w:r w:rsidR="006E7726" w:rsidRPr="00402C1B">
        <w:rPr>
          <w:noProof/>
        </w:rPr>
        <w:t>wnych linii biznesowych zapewnianych przez dowolny podmiot powiązany.</w:t>
      </w:r>
    </w:p>
    <w:p w:rsidR="003B410C" w:rsidRPr="00402C1B" w:rsidRDefault="00BC2ED2" w:rsidP="00BC2ED2">
      <w:pPr>
        <w:pStyle w:val="ManualNumPar1"/>
        <w:rPr>
          <w:noProof/>
        </w:rPr>
      </w:pPr>
      <w:r w:rsidRPr="00BC2ED2">
        <w:rPr>
          <w:noProof/>
        </w:rPr>
        <w:t>7.</w:t>
      </w:r>
      <w:r w:rsidRPr="00BC2ED2">
        <w:rPr>
          <w:noProof/>
        </w:rPr>
        <w:tab/>
      </w:r>
      <w:r w:rsidR="006E7726"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6E7726" w:rsidRPr="00402C1B">
        <w:rPr>
          <w:noProof/>
        </w:rPr>
        <w:t>rządkowanej likwidacji, na zasadzie indywidualnej, informacje określone</w:t>
      </w:r>
      <w:r w:rsidR="00402C1B" w:rsidRPr="00402C1B">
        <w:rPr>
          <w:noProof/>
        </w:rPr>
        <w:t xml:space="preserve"> w</w:t>
      </w:r>
      <w:r w:rsidR="00402C1B">
        <w:rPr>
          <w:noProof/>
        </w:rPr>
        <w:t> </w:t>
      </w:r>
      <w:r w:rsidR="00402C1B" w:rsidRPr="00402C1B">
        <w:rPr>
          <w:noProof/>
        </w:rPr>
        <w:t>sza</w:t>
      </w:r>
      <w:r w:rsidR="006E7726" w:rsidRPr="00402C1B">
        <w:rPr>
          <w:noProof/>
        </w:rPr>
        <w:t>blonach 05.01, Z 05.02, Z 06.00, Z 07.01.1–Z 07.01.5, Z 07.04 i Z 11.00 to Z 17.00 zawartych</w:t>
      </w:r>
      <w:r w:rsidR="00402C1B" w:rsidRPr="00402C1B">
        <w:rPr>
          <w:noProof/>
        </w:rPr>
        <w:t xml:space="preserve"> w</w:t>
      </w:r>
      <w:r w:rsidR="00402C1B">
        <w:rPr>
          <w:noProof/>
        </w:rPr>
        <w:t> </w:t>
      </w:r>
      <w:r w:rsidR="00402C1B" w:rsidRPr="00402C1B">
        <w:rPr>
          <w:noProof/>
        </w:rPr>
        <w:t>zał</w:t>
      </w:r>
      <w:r w:rsidR="006E7726" w:rsidRPr="00402C1B">
        <w:rPr>
          <w:noProof/>
        </w:rPr>
        <w:t>ączniku I,</w:t>
      </w:r>
      <w:r w:rsidR="00402C1B" w:rsidRPr="00402C1B">
        <w:rPr>
          <w:noProof/>
        </w:rPr>
        <w:t xml:space="preserve"> w</w:t>
      </w:r>
      <w:r w:rsidR="00402C1B">
        <w:rPr>
          <w:noProof/>
        </w:rPr>
        <w:t> </w:t>
      </w:r>
      <w:r w:rsidR="00402C1B" w:rsidRPr="00402C1B">
        <w:rPr>
          <w:noProof/>
        </w:rPr>
        <w:t>odn</w:t>
      </w:r>
      <w:r w:rsidR="006E7726" w:rsidRPr="00402C1B">
        <w:rPr>
          <w:noProof/>
        </w:rPr>
        <w:t>iesieniu do wszystkich należących do grupy podmiotów objętych planem restrukturyzacji</w:t>
      </w:r>
      <w:r w:rsidR="00402C1B" w:rsidRPr="00402C1B">
        <w:rPr>
          <w:noProof/>
        </w:rPr>
        <w:t xml:space="preserve"> i</w:t>
      </w:r>
      <w:r w:rsidR="00402C1B">
        <w:rPr>
          <w:noProof/>
        </w:rPr>
        <w:t> </w:t>
      </w:r>
      <w:r w:rsidR="00402C1B" w:rsidRPr="00402C1B">
        <w:rPr>
          <w:noProof/>
        </w:rPr>
        <w:t>upo</w:t>
      </w:r>
      <w:r w:rsidR="006E7726" w:rsidRPr="00402C1B">
        <w:rPr>
          <w:noProof/>
        </w:rPr>
        <w:t>rządkowanej likwidacji,</w:t>
      </w:r>
      <w:r w:rsidR="00402C1B" w:rsidRPr="00402C1B">
        <w:rPr>
          <w:noProof/>
        </w:rPr>
        <w:t xml:space="preserve"> w</w:t>
      </w:r>
      <w:r w:rsidR="00402C1B">
        <w:rPr>
          <w:noProof/>
        </w:rPr>
        <w:t> </w:t>
      </w:r>
      <w:r w:rsidR="00402C1B" w:rsidRPr="00402C1B">
        <w:rPr>
          <w:noProof/>
        </w:rPr>
        <w:t>tym</w:t>
      </w:r>
      <w:r w:rsidR="006E7726" w:rsidRPr="00402C1B">
        <w:rPr>
          <w:noProof/>
        </w:rPr>
        <w:t xml:space="preserve"> unijnej jednostki dominującej.</w:t>
      </w:r>
    </w:p>
    <w:p w:rsidR="003B410C" w:rsidRPr="00402C1B" w:rsidRDefault="00BC2ED2" w:rsidP="00BC2ED2">
      <w:pPr>
        <w:pStyle w:val="ManualNumPar1"/>
        <w:rPr>
          <w:noProof/>
        </w:rPr>
      </w:pPr>
      <w:r w:rsidRPr="00BC2ED2">
        <w:rPr>
          <w:noProof/>
        </w:rPr>
        <w:t>8.</w:t>
      </w:r>
      <w:r w:rsidRPr="00BC2ED2">
        <w:rPr>
          <w:noProof/>
        </w:rPr>
        <w:tab/>
      </w:r>
      <w:r w:rsidR="003B410C" w:rsidRPr="00402C1B">
        <w:rPr>
          <w:noProof/>
        </w:rPr>
        <w:t>Unijna jednostka dominująca przedkłada grupowemu organowi ds. restrukturyzacji</w:t>
      </w:r>
      <w:r w:rsidR="00402C1B" w:rsidRPr="00402C1B">
        <w:rPr>
          <w:noProof/>
        </w:rPr>
        <w:t xml:space="preserve"> i</w:t>
      </w:r>
      <w:r w:rsidR="00402C1B">
        <w:rPr>
          <w:noProof/>
        </w:rPr>
        <w:t> </w:t>
      </w:r>
      <w:r w:rsidR="00402C1B" w:rsidRPr="00402C1B">
        <w:rPr>
          <w:noProof/>
        </w:rPr>
        <w:t>upo</w:t>
      </w:r>
      <w:r w:rsidR="003B410C" w:rsidRPr="00402C1B">
        <w:rPr>
          <w:noProof/>
        </w:rPr>
        <w:t>rządkowanej likwidacji, na zasadzie indywidualnej, informacje określone</w:t>
      </w:r>
      <w:r w:rsidR="00402C1B" w:rsidRPr="00402C1B">
        <w:rPr>
          <w:noProof/>
        </w:rPr>
        <w:t xml:space="preserve"> w</w:t>
      </w:r>
      <w:r w:rsidR="00402C1B">
        <w:rPr>
          <w:noProof/>
        </w:rPr>
        <w:t> </w:t>
      </w:r>
      <w:r w:rsidR="00402C1B" w:rsidRPr="00402C1B">
        <w:rPr>
          <w:noProof/>
        </w:rPr>
        <w:t>sza</w:t>
      </w:r>
      <w:r w:rsidR="003B410C" w:rsidRPr="00402C1B">
        <w:rPr>
          <w:noProof/>
        </w:rPr>
        <w:t>blonach 05.01, Z 05.02, Z 06.00, Z 07.01.1–Z 07.01.5 i Z 07.04 zawartych</w:t>
      </w:r>
      <w:r w:rsidR="00402C1B" w:rsidRPr="00402C1B">
        <w:rPr>
          <w:noProof/>
        </w:rPr>
        <w:t xml:space="preserve"> w</w:t>
      </w:r>
      <w:r w:rsidR="00402C1B">
        <w:rPr>
          <w:noProof/>
        </w:rPr>
        <w:t> </w:t>
      </w:r>
      <w:r w:rsidR="00402C1B" w:rsidRPr="00402C1B">
        <w:rPr>
          <w:noProof/>
        </w:rPr>
        <w:t>zał</w:t>
      </w:r>
      <w:r w:rsidR="003B410C" w:rsidRPr="00402C1B">
        <w:rPr>
          <w:noProof/>
        </w:rPr>
        <w:t>ączniku I,</w:t>
      </w:r>
      <w:r w:rsidR="00402C1B" w:rsidRPr="00402C1B">
        <w:rPr>
          <w:noProof/>
        </w:rPr>
        <w:t xml:space="preserve"> w</w:t>
      </w:r>
      <w:r w:rsidR="00402C1B">
        <w:rPr>
          <w:noProof/>
        </w:rPr>
        <w:t> </w:t>
      </w:r>
      <w:r w:rsidR="00402C1B" w:rsidRPr="00402C1B">
        <w:rPr>
          <w:noProof/>
        </w:rPr>
        <w:t>odn</w:t>
      </w:r>
      <w:r w:rsidR="003B410C" w:rsidRPr="00402C1B">
        <w:rPr>
          <w:noProof/>
        </w:rPr>
        <w:t>iesieniu do wszystkich istotnych podmiotów prawnych będących instytucjami.</w:t>
      </w:r>
    </w:p>
    <w:p w:rsidR="003B410C" w:rsidRPr="00402C1B" w:rsidRDefault="00BC2ED2" w:rsidP="00BC2ED2">
      <w:pPr>
        <w:pStyle w:val="ManualNumPar1"/>
        <w:rPr>
          <w:noProof/>
        </w:rPr>
      </w:pPr>
      <w:r w:rsidRPr="00BC2ED2">
        <w:rPr>
          <w:noProof/>
        </w:rPr>
        <w:t>9.</w:t>
      </w:r>
      <w:r w:rsidRPr="00BC2ED2">
        <w:rPr>
          <w:noProof/>
        </w:rPr>
        <w:tab/>
      </w:r>
      <w:r w:rsidR="003B410C" w:rsidRPr="00402C1B">
        <w:rPr>
          <w:noProof/>
        </w:rPr>
        <w:t>Przepisy ust.</w:t>
      </w:r>
      <w:r w:rsidR="00402C1B" w:rsidRPr="00402C1B">
        <w:rPr>
          <w:noProof/>
        </w:rPr>
        <w:t> </w:t>
      </w:r>
      <w:r w:rsidR="003B410C" w:rsidRPr="00402C1B">
        <w:rPr>
          <w:noProof/>
        </w:rPr>
        <w:t>2, ust.</w:t>
      </w:r>
      <w:r w:rsidR="00402C1B" w:rsidRPr="00402C1B">
        <w:rPr>
          <w:noProof/>
        </w:rPr>
        <w:t> </w:t>
      </w:r>
      <w:r w:rsidR="003B410C" w:rsidRPr="00402C1B">
        <w:rPr>
          <w:noProof/>
        </w:rPr>
        <w:t>3 lit.</w:t>
      </w:r>
      <w:r w:rsidR="00402C1B" w:rsidRPr="00402C1B">
        <w:rPr>
          <w:noProof/>
        </w:rPr>
        <w:t> </w:t>
      </w:r>
      <w:r w:rsidR="003B410C" w:rsidRPr="00402C1B">
        <w:rPr>
          <w:noProof/>
        </w:rPr>
        <w:t>a) oraz ust.</w:t>
      </w:r>
      <w:r w:rsidR="00402C1B" w:rsidRPr="00402C1B">
        <w:rPr>
          <w:noProof/>
        </w:rPr>
        <w:t> </w:t>
      </w:r>
      <w:r w:rsidR="003B410C" w:rsidRPr="00402C1B">
        <w:rPr>
          <w:noProof/>
        </w:rPr>
        <w:t>4, 5</w:t>
      </w:r>
      <w:r w:rsidR="00402C1B" w:rsidRPr="00402C1B">
        <w:rPr>
          <w:noProof/>
        </w:rPr>
        <w:t xml:space="preserve"> i</w:t>
      </w:r>
      <w:r w:rsidR="00402C1B">
        <w:rPr>
          <w:noProof/>
        </w:rPr>
        <w:t> </w:t>
      </w:r>
      <w:r w:rsidR="00402C1B" w:rsidRPr="00402C1B">
        <w:rPr>
          <w:noProof/>
        </w:rPr>
        <w:t>6</w:t>
      </w:r>
      <w:r w:rsidR="003B410C" w:rsidRPr="00402C1B">
        <w:rPr>
          <w:noProof/>
        </w:rPr>
        <w:t xml:space="preserve"> niniejszego artykułu stosuje się niezależnie od wszelkich odstępstw od stosowania wymogów ostrożnościowych przyznanych zgodnie</w:t>
      </w:r>
      <w:r w:rsidR="00402C1B" w:rsidRPr="00402C1B">
        <w:rPr>
          <w:noProof/>
        </w:rPr>
        <w:t xml:space="preserve"> z</w:t>
      </w:r>
      <w:r w:rsidR="00402C1B">
        <w:rPr>
          <w:noProof/>
        </w:rPr>
        <w:t> </w:t>
      </w:r>
      <w:r w:rsidR="00402C1B" w:rsidRPr="00402C1B">
        <w:rPr>
          <w:noProof/>
        </w:rPr>
        <w:t>art</w:t>
      </w:r>
      <w:r w:rsidR="003B410C" w:rsidRPr="00402C1B">
        <w:rPr>
          <w:noProof/>
        </w:rPr>
        <w:t>.</w:t>
      </w:r>
      <w:r w:rsidR="00402C1B" w:rsidRPr="00402C1B">
        <w:rPr>
          <w:noProof/>
        </w:rPr>
        <w:t> </w:t>
      </w:r>
      <w:r w:rsidR="003B410C" w:rsidRPr="00402C1B">
        <w:rPr>
          <w:noProof/>
        </w:rPr>
        <w:t>7 ust.</w:t>
      </w:r>
      <w:r w:rsidR="00402C1B" w:rsidRPr="00402C1B">
        <w:rPr>
          <w:noProof/>
        </w:rPr>
        <w:t> </w:t>
      </w:r>
      <w:r w:rsidR="003B410C" w:rsidRPr="00402C1B">
        <w:rPr>
          <w:noProof/>
        </w:rPr>
        <w:t>1 lub</w:t>
      </w:r>
      <w:r w:rsidR="00402C1B" w:rsidRPr="00402C1B">
        <w:rPr>
          <w:noProof/>
        </w:rPr>
        <w:t> </w:t>
      </w:r>
      <w:r w:rsidR="003B410C" w:rsidRPr="00402C1B">
        <w:rPr>
          <w:noProof/>
        </w:rPr>
        <w:t>3 rozporządzenia (UE) nr</w:t>
      </w:r>
      <w:r w:rsidR="00402C1B" w:rsidRPr="00402C1B">
        <w:rPr>
          <w:noProof/>
        </w:rPr>
        <w:t> </w:t>
      </w:r>
      <w:r w:rsidR="003B410C" w:rsidRPr="00402C1B">
        <w:rPr>
          <w:noProof/>
        </w:rPr>
        <w:t>575/2013 lub art.</w:t>
      </w:r>
      <w:r w:rsidR="00402C1B" w:rsidRPr="00402C1B">
        <w:rPr>
          <w:noProof/>
        </w:rPr>
        <w:t> </w:t>
      </w:r>
      <w:r w:rsidR="003B410C" w:rsidRPr="00402C1B">
        <w:rPr>
          <w:noProof/>
        </w:rPr>
        <w:t>8 rozporządzenia Parlamentu Europejskiego</w:t>
      </w:r>
      <w:r w:rsidR="00402C1B" w:rsidRPr="00402C1B">
        <w:rPr>
          <w:noProof/>
        </w:rPr>
        <w:t xml:space="preserve"> i</w:t>
      </w:r>
      <w:r w:rsidR="00402C1B">
        <w:rPr>
          <w:noProof/>
        </w:rPr>
        <w:t> </w:t>
      </w:r>
      <w:r w:rsidR="00402C1B" w:rsidRPr="00402C1B">
        <w:rPr>
          <w:noProof/>
        </w:rPr>
        <w:t>Rad</w:t>
      </w:r>
      <w:r w:rsidR="003B410C" w:rsidRPr="00402C1B">
        <w:rPr>
          <w:noProof/>
        </w:rPr>
        <w:t>y (UE</w:t>
      </w:r>
      <w:r w:rsidR="003B410C" w:rsidRPr="00402C1B">
        <w:rPr>
          <w:noProof/>
          <w:shd w:val="clear" w:color="auto" w:fill="FFFFFF" w:themeFill="background1"/>
        </w:rPr>
        <w:t>)</w:t>
      </w:r>
      <w:r w:rsidR="003B410C" w:rsidRPr="00402C1B">
        <w:rPr>
          <w:noProof/>
        </w:rPr>
        <w:t xml:space="preserve"> 2019/2033</w:t>
      </w:r>
      <w:r w:rsidR="003B410C" w:rsidRPr="00402C1B">
        <w:rPr>
          <w:rStyle w:val="FootnoteReference"/>
          <w:noProof/>
          <w:shd w:val="clear" w:color="auto" w:fill="FFFFFF" w:themeFill="background1"/>
        </w:rPr>
        <w:footnoteReference w:id="8"/>
      </w:r>
      <w:r w:rsidR="003B410C" w:rsidRPr="00402C1B">
        <w:rPr>
          <w:noProof/>
        </w:rPr>
        <w:t xml:space="preserve"> lub wszelkich zwolnień od stosowania minimalnego wymogu</w:t>
      </w:r>
      <w:r w:rsidR="00402C1B" w:rsidRPr="00402C1B">
        <w:rPr>
          <w:noProof/>
        </w:rPr>
        <w:t xml:space="preserve"> w</w:t>
      </w:r>
      <w:r w:rsidR="00402C1B">
        <w:rPr>
          <w:noProof/>
        </w:rPr>
        <w:t> </w:t>
      </w:r>
      <w:r w:rsidR="00402C1B" w:rsidRPr="00402C1B">
        <w:rPr>
          <w:noProof/>
        </w:rPr>
        <w:t>zak</w:t>
      </w:r>
      <w:r w:rsidR="003B410C" w:rsidRPr="00402C1B">
        <w:rPr>
          <w:noProof/>
        </w:rPr>
        <w:t>resie funduszy własnych</w:t>
      </w:r>
      <w:r w:rsidR="00402C1B" w:rsidRPr="00402C1B">
        <w:rPr>
          <w:noProof/>
        </w:rPr>
        <w:t xml:space="preserve"> i</w:t>
      </w:r>
      <w:r w:rsidR="00402C1B">
        <w:rPr>
          <w:noProof/>
        </w:rPr>
        <w:t> </w:t>
      </w:r>
      <w:r w:rsidR="00402C1B" w:rsidRPr="00402C1B">
        <w:rPr>
          <w:noProof/>
        </w:rPr>
        <w:t>zob</w:t>
      </w:r>
      <w:r w:rsidR="003B410C" w:rsidRPr="00402C1B">
        <w:rPr>
          <w:noProof/>
        </w:rPr>
        <w:t>owiązań kwalifikowalnych przyznanych zgodnie</w:t>
      </w:r>
      <w:r w:rsidR="00402C1B" w:rsidRPr="00402C1B">
        <w:rPr>
          <w:noProof/>
        </w:rPr>
        <w:t xml:space="preserve"> z</w:t>
      </w:r>
      <w:r w:rsidR="00402C1B">
        <w:rPr>
          <w:noProof/>
        </w:rPr>
        <w:t> </w:t>
      </w:r>
      <w:r w:rsidR="00402C1B" w:rsidRPr="00402C1B">
        <w:rPr>
          <w:noProof/>
        </w:rPr>
        <w:t>art</w:t>
      </w:r>
      <w:r w:rsidR="003B410C" w:rsidRPr="00402C1B">
        <w:rPr>
          <w:noProof/>
        </w:rPr>
        <w:t>.</w:t>
      </w:r>
      <w:r w:rsidR="00402C1B" w:rsidRPr="00402C1B">
        <w:rPr>
          <w:noProof/>
        </w:rPr>
        <w:t> </w:t>
      </w:r>
      <w:r w:rsidR="003B410C" w:rsidRPr="00402C1B">
        <w:rPr>
          <w:noProof/>
        </w:rPr>
        <w:t>45f dyrektywy 2014/59/UE.</w:t>
      </w:r>
    </w:p>
    <w:p w:rsidR="003B410C" w:rsidRPr="00402C1B" w:rsidRDefault="003B410C" w:rsidP="00184085">
      <w:pPr>
        <w:pStyle w:val="Titrearticle"/>
        <w:rPr>
          <w:noProof/>
        </w:rPr>
      </w:pPr>
      <w:r w:rsidRPr="00402C1B">
        <w:rPr>
          <w:noProof/>
        </w:rPr>
        <w:t>Artykuł 4</w:t>
      </w:r>
    </w:p>
    <w:p w:rsidR="003B410C" w:rsidRPr="00402C1B" w:rsidRDefault="003B410C" w:rsidP="00184085">
      <w:pPr>
        <w:pStyle w:val="Titrearticle"/>
        <w:spacing w:before="0"/>
        <w:rPr>
          <w:b/>
          <w:bCs/>
          <w:i w:val="0"/>
          <w:iCs/>
          <w:noProof/>
        </w:rPr>
      </w:pPr>
      <w:r w:rsidRPr="00402C1B">
        <w:rPr>
          <w:b/>
          <w:i w:val="0"/>
          <w:noProof/>
        </w:rPr>
        <w:t>Sprawozdawczość</w:t>
      </w:r>
      <w:r w:rsidR="00402C1B" w:rsidRPr="00402C1B">
        <w:rPr>
          <w:b/>
          <w:i w:val="0"/>
          <w:noProof/>
        </w:rPr>
        <w:t xml:space="preserve"> w</w:t>
      </w:r>
      <w:r w:rsidR="00402C1B">
        <w:rPr>
          <w:b/>
          <w:i w:val="0"/>
          <w:noProof/>
        </w:rPr>
        <w:t> </w:t>
      </w:r>
      <w:r w:rsidR="00402C1B" w:rsidRPr="00402C1B">
        <w:rPr>
          <w:b/>
          <w:i w:val="0"/>
          <w:noProof/>
        </w:rPr>
        <w:t>zak</w:t>
      </w:r>
      <w:r w:rsidRPr="00402C1B">
        <w:rPr>
          <w:b/>
          <w:i w:val="0"/>
          <w:noProof/>
        </w:rPr>
        <w:t>resie grupowej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rządkowanej likwidacji – grupy składające się wyłącznie</w:t>
      </w:r>
      <w:r w:rsidR="00402C1B" w:rsidRPr="00402C1B">
        <w:rPr>
          <w:b/>
          <w:i w:val="0"/>
          <w:noProof/>
        </w:rPr>
        <w:t xml:space="preserve"> z</w:t>
      </w:r>
      <w:r w:rsidR="00402C1B">
        <w:rPr>
          <w:b/>
          <w:i w:val="0"/>
          <w:noProof/>
        </w:rPr>
        <w:t> </w:t>
      </w:r>
      <w:r w:rsidR="00402C1B" w:rsidRPr="00402C1B">
        <w:rPr>
          <w:b/>
          <w:i w:val="0"/>
          <w:noProof/>
        </w:rPr>
        <w:t>pod</w:t>
      </w:r>
      <w:r w:rsidRPr="00402C1B">
        <w:rPr>
          <w:b/>
          <w:i w:val="0"/>
          <w:noProof/>
        </w:rPr>
        <w:t>miotów poddawanych likwidacji</w:t>
      </w:r>
    </w:p>
    <w:p w:rsidR="003B410C" w:rsidRPr="00402C1B" w:rsidRDefault="00F95432" w:rsidP="00184085">
      <w:pPr>
        <w:rPr>
          <w:noProof/>
        </w:rPr>
      </w:pPr>
      <w:r w:rsidRPr="00402C1B">
        <w:rPr>
          <w:noProof/>
        </w:rPr>
        <w:t>Unijna jednostka dominująca grupy składającej się wyłącznie</w:t>
      </w:r>
      <w:r w:rsidR="00402C1B" w:rsidRPr="00402C1B">
        <w:rPr>
          <w:noProof/>
        </w:rPr>
        <w:t xml:space="preserve"> z</w:t>
      </w:r>
      <w:r w:rsidR="00402C1B">
        <w:rPr>
          <w:noProof/>
        </w:rPr>
        <w:t> </w:t>
      </w:r>
      <w:r w:rsidR="00402C1B" w:rsidRPr="00402C1B">
        <w:rPr>
          <w:noProof/>
        </w:rPr>
        <w:t>pod</w:t>
      </w:r>
      <w:r w:rsidRPr="00402C1B">
        <w:rPr>
          <w:noProof/>
        </w:rPr>
        <w:t>miotów poddawanych likwidacji, które nie podlegają uproszczonym obowiązkom, przedkłada grupowemu organowi ds. restrukturyzacji</w:t>
      </w:r>
      <w:r w:rsidR="00402C1B" w:rsidRPr="00402C1B">
        <w:rPr>
          <w:noProof/>
        </w:rPr>
        <w:t xml:space="preserve"> i</w:t>
      </w:r>
      <w:r w:rsidR="00402C1B">
        <w:rPr>
          <w:noProof/>
        </w:rPr>
        <w:t> </w:t>
      </w:r>
      <w:r w:rsidR="00402C1B" w:rsidRPr="00402C1B">
        <w:rPr>
          <w:noProof/>
        </w:rPr>
        <w:t>upo</w:t>
      </w:r>
      <w:r w:rsidRPr="00402C1B">
        <w:rPr>
          <w:noProof/>
        </w:rPr>
        <w:t>rządkowanej likwidacji następujące informacje:</w:t>
      </w:r>
    </w:p>
    <w:p w:rsidR="003B410C" w:rsidRPr="00402C1B" w:rsidRDefault="00402C1B" w:rsidP="00402C1B">
      <w:pPr>
        <w:pStyle w:val="Point0"/>
        <w:rPr>
          <w:noProof/>
        </w:rPr>
      </w:pPr>
      <w:r>
        <w:rPr>
          <w:noProof/>
        </w:rPr>
        <w:t>a)</w:t>
      </w:r>
      <w:r>
        <w:rPr>
          <w:noProof/>
        </w:rPr>
        <w:tab/>
      </w:r>
      <w:r w:rsidR="003B410C" w:rsidRPr="00402C1B">
        <w:rPr>
          <w:noProof/>
        </w:rPr>
        <w:t>informacje określone</w:t>
      </w:r>
      <w:r w:rsidRPr="00402C1B">
        <w:rPr>
          <w:noProof/>
        </w:rPr>
        <w:t xml:space="preserve"> w</w:t>
      </w:r>
      <w:r>
        <w:rPr>
          <w:noProof/>
        </w:rPr>
        <w:t> </w:t>
      </w:r>
      <w:r w:rsidRPr="00402C1B">
        <w:rPr>
          <w:noProof/>
        </w:rPr>
        <w:t>sza</w:t>
      </w:r>
      <w:r w:rsidR="003B410C" w:rsidRPr="00402C1B">
        <w:rPr>
          <w:noProof/>
        </w:rPr>
        <w:t>blonach Z 01.01, Z 01.02, Z 07.01.1–Z 07.01.5 i Z 09.01 zawartych</w:t>
      </w:r>
      <w:r w:rsidRPr="00402C1B">
        <w:rPr>
          <w:noProof/>
        </w:rPr>
        <w:t xml:space="preserve"> w</w:t>
      </w:r>
      <w:r>
        <w:rPr>
          <w:noProof/>
        </w:rPr>
        <w:t> </w:t>
      </w:r>
      <w:r w:rsidRPr="00402C1B">
        <w:rPr>
          <w:noProof/>
        </w:rPr>
        <w:t>zał</w:t>
      </w:r>
      <w:r w:rsidR="003B410C" w:rsidRPr="00402C1B">
        <w:rPr>
          <w:noProof/>
        </w:rPr>
        <w:t>ączniku I</w:t>
      </w:r>
      <w:r w:rsidRPr="00402C1B">
        <w:rPr>
          <w:noProof/>
        </w:rPr>
        <w:t xml:space="preserve"> w</w:t>
      </w:r>
      <w:r>
        <w:rPr>
          <w:noProof/>
        </w:rPr>
        <w:t> </w:t>
      </w:r>
      <w:r w:rsidRPr="00402C1B">
        <w:rPr>
          <w:noProof/>
        </w:rPr>
        <w:t>odn</w:t>
      </w:r>
      <w:r w:rsidR="003B410C" w:rsidRPr="00402C1B">
        <w:rPr>
          <w:noProof/>
        </w:rPr>
        <w:t>iesieniu do wszystkich podmiotów powiązanych,</w:t>
      </w:r>
      <w:r w:rsidRPr="00402C1B">
        <w:rPr>
          <w:noProof/>
        </w:rPr>
        <w:t xml:space="preserve"> w</w:t>
      </w:r>
      <w:r>
        <w:rPr>
          <w:noProof/>
        </w:rPr>
        <w:t> </w:t>
      </w:r>
      <w:r w:rsidRPr="00402C1B">
        <w:rPr>
          <w:noProof/>
        </w:rPr>
        <w:t>sza</w:t>
      </w:r>
      <w:r w:rsidR="003B410C" w:rsidRPr="00402C1B">
        <w:rPr>
          <w:noProof/>
        </w:rPr>
        <w:t>blonie Z 02.00 na zasadzie skonsolidowanej oraz</w:t>
      </w:r>
      <w:r w:rsidRPr="00402C1B">
        <w:rPr>
          <w:noProof/>
        </w:rPr>
        <w:t xml:space="preserve"> w</w:t>
      </w:r>
      <w:r>
        <w:rPr>
          <w:noProof/>
        </w:rPr>
        <w:t> </w:t>
      </w:r>
      <w:r w:rsidRPr="00402C1B">
        <w:rPr>
          <w:noProof/>
        </w:rPr>
        <w:t>sza</w:t>
      </w:r>
      <w:r w:rsidR="003B410C" w:rsidRPr="00402C1B">
        <w:rPr>
          <w:noProof/>
        </w:rPr>
        <w:t>blonie Z 04.00</w:t>
      </w:r>
      <w:r w:rsidRPr="00402C1B">
        <w:rPr>
          <w:noProof/>
        </w:rPr>
        <w:t xml:space="preserve"> w</w:t>
      </w:r>
      <w:r>
        <w:rPr>
          <w:noProof/>
        </w:rPr>
        <w:t> </w:t>
      </w:r>
      <w:r w:rsidRPr="00402C1B">
        <w:rPr>
          <w:noProof/>
        </w:rPr>
        <w:t>odn</w:t>
      </w:r>
      <w:r w:rsidR="003B410C" w:rsidRPr="00402C1B">
        <w:rPr>
          <w:noProof/>
        </w:rPr>
        <w:t>iesieniu do wzajemnych powiązań finansowych między wszystkimi podmiotami należącymi do danej grupy;</w:t>
      </w:r>
    </w:p>
    <w:p w:rsidR="003B410C" w:rsidRPr="00402C1B" w:rsidRDefault="00402C1B" w:rsidP="00402C1B">
      <w:pPr>
        <w:pStyle w:val="Point0"/>
        <w:rPr>
          <w:noProof/>
        </w:rPr>
      </w:pPr>
      <w:r>
        <w:rPr>
          <w:noProof/>
        </w:rPr>
        <w:t>b)</w:t>
      </w:r>
      <w:r>
        <w:rPr>
          <w:noProof/>
        </w:rPr>
        <w:tab/>
      </w:r>
      <w:r w:rsidR="009F0766" w:rsidRPr="00402C1B">
        <w:rPr>
          <w:noProof/>
        </w:rPr>
        <w:t>na zasadzie indywidualnej –</w:t>
      </w:r>
      <w:r w:rsidRPr="00402C1B">
        <w:rPr>
          <w:noProof/>
        </w:rPr>
        <w:t xml:space="preserve"> w</w:t>
      </w:r>
      <w:r>
        <w:rPr>
          <w:noProof/>
        </w:rPr>
        <w:t> </w:t>
      </w:r>
      <w:r w:rsidRPr="00402C1B">
        <w:rPr>
          <w:noProof/>
        </w:rPr>
        <w:t>odn</w:t>
      </w:r>
      <w:r w:rsidR="009F0766" w:rsidRPr="00402C1B">
        <w:rPr>
          <w:noProof/>
        </w:rPr>
        <w:t>iesieniu do siebie samej</w:t>
      </w:r>
      <w:r w:rsidRPr="00402C1B">
        <w:rPr>
          <w:noProof/>
        </w:rPr>
        <w:t xml:space="preserve"> i</w:t>
      </w:r>
      <w:r>
        <w:rPr>
          <w:noProof/>
        </w:rPr>
        <w:t> </w:t>
      </w:r>
      <w:r w:rsidRPr="00402C1B">
        <w:rPr>
          <w:noProof/>
        </w:rPr>
        <w:t>każ</w:t>
      </w:r>
      <w:r w:rsidR="009F0766" w:rsidRPr="00402C1B">
        <w:rPr>
          <w:noProof/>
        </w:rPr>
        <w:t>dego istotnego podmiotu prawnego,</w:t>
      </w:r>
      <w:r w:rsidRPr="00402C1B">
        <w:rPr>
          <w:noProof/>
        </w:rPr>
        <w:t xml:space="preserve"> w</w:t>
      </w:r>
      <w:r>
        <w:rPr>
          <w:noProof/>
        </w:rPr>
        <w:t> </w:t>
      </w:r>
      <w:r w:rsidRPr="00402C1B">
        <w:rPr>
          <w:noProof/>
        </w:rPr>
        <w:t>odn</w:t>
      </w:r>
      <w:r w:rsidR="009F0766" w:rsidRPr="00402C1B">
        <w:rPr>
          <w:noProof/>
        </w:rPr>
        <w:t>iesieniu do którego organ ds. restrukturyzacji</w:t>
      </w:r>
      <w:r w:rsidRPr="00402C1B">
        <w:rPr>
          <w:noProof/>
        </w:rPr>
        <w:t xml:space="preserve"> i</w:t>
      </w:r>
      <w:r>
        <w:rPr>
          <w:noProof/>
        </w:rPr>
        <w:t> </w:t>
      </w:r>
      <w:r w:rsidRPr="00402C1B">
        <w:rPr>
          <w:noProof/>
        </w:rPr>
        <w:t>upo</w:t>
      </w:r>
      <w:r w:rsidR="009F0766" w:rsidRPr="00402C1B">
        <w:rPr>
          <w:noProof/>
        </w:rPr>
        <w:t>rządkowanej likwidacji nie ustalił wymogu,</w:t>
      </w:r>
      <w:r w:rsidRPr="00402C1B">
        <w:rPr>
          <w:noProof/>
        </w:rPr>
        <w:t xml:space="preserve"> o</w:t>
      </w:r>
      <w:r>
        <w:rPr>
          <w:noProof/>
        </w:rPr>
        <w:t> </w:t>
      </w:r>
      <w:r w:rsidRPr="00402C1B">
        <w:rPr>
          <w:noProof/>
        </w:rPr>
        <w:t>któ</w:t>
      </w:r>
      <w:r w:rsidR="009F0766" w:rsidRPr="00402C1B">
        <w:rPr>
          <w:noProof/>
        </w:rPr>
        <w:t>rym mowa</w:t>
      </w:r>
      <w:r w:rsidRPr="00402C1B">
        <w:rPr>
          <w:noProof/>
        </w:rPr>
        <w:t xml:space="preserve"> w</w:t>
      </w:r>
      <w:r>
        <w:rPr>
          <w:noProof/>
        </w:rPr>
        <w:t> </w:t>
      </w:r>
      <w:r w:rsidRPr="00402C1B">
        <w:rPr>
          <w:noProof/>
        </w:rPr>
        <w:t>art</w:t>
      </w:r>
      <w:r w:rsidR="009F0766" w:rsidRPr="00402C1B">
        <w:rPr>
          <w:noProof/>
        </w:rPr>
        <w:t>.</w:t>
      </w:r>
      <w:r w:rsidRPr="00402C1B">
        <w:rPr>
          <w:noProof/>
        </w:rPr>
        <w:t> </w:t>
      </w:r>
      <w:r w:rsidR="009F0766" w:rsidRPr="00402C1B">
        <w:rPr>
          <w:noProof/>
        </w:rPr>
        <w:t>45 ust.</w:t>
      </w:r>
      <w:r w:rsidRPr="00402C1B">
        <w:rPr>
          <w:noProof/>
        </w:rPr>
        <w:t> </w:t>
      </w:r>
      <w:r w:rsidR="009F0766" w:rsidRPr="00402C1B">
        <w:rPr>
          <w:noProof/>
        </w:rPr>
        <w:t>1 dyrektywy 2014/59/UE, zgodnie</w:t>
      </w:r>
      <w:r w:rsidRPr="00402C1B">
        <w:rPr>
          <w:noProof/>
        </w:rPr>
        <w:t xml:space="preserve"> z</w:t>
      </w:r>
      <w:r>
        <w:rPr>
          <w:noProof/>
        </w:rPr>
        <w:t> </w:t>
      </w:r>
      <w:r w:rsidRPr="00402C1B">
        <w:rPr>
          <w:noProof/>
        </w:rPr>
        <w:t>art</w:t>
      </w:r>
      <w:r w:rsidR="009F0766" w:rsidRPr="00402C1B">
        <w:rPr>
          <w:noProof/>
        </w:rPr>
        <w:t>.</w:t>
      </w:r>
      <w:r w:rsidRPr="00402C1B">
        <w:rPr>
          <w:noProof/>
        </w:rPr>
        <w:t> </w:t>
      </w:r>
      <w:r w:rsidR="009F0766" w:rsidRPr="00402C1B">
        <w:rPr>
          <w:noProof/>
        </w:rPr>
        <w:t>45c ust.</w:t>
      </w:r>
      <w:r w:rsidRPr="00402C1B">
        <w:rPr>
          <w:noProof/>
        </w:rPr>
        <w:t> </w:t>
      </w:r>
      <w:r w:rsidR="009F0766" w:rsidRPr="00402C1B">
        <w:rPr>
          <w:noProof/>
        </w:rPr>
        <w:t>2a akapit drugi tej dyrektywy – informacje określone</w:t>
      </w:r>
      <w:r w:rsidRPr="00402C1B">
        <w:rPr>
          <w:noProof/>
        </w:rPr>
        <w:t xml:space="preserve"> w</w:t>
      </w:r>
      <w:r>
        <w:rPr>
          <w:noProof/>
        </w:rPr>
        <w:t> </w:t>
      </w:r>
      <w:r w:rsidRPr="00402C1B">
        <w:rPr>
          <w:noProof/>
        </w:rPr>
        <w:t>sza</w:t>
      </w:r>
      <w:r w:rsidR="009F0766" w:rsidRPr="00402C1B">
        <w:rPr>
          <w:noProof/>
        </w:rPr>
        <w:t>blonach Z 02.00, Z 05.01, Z 05.02, Z 06.00, Z 07.01.1–Z 07.01.5 i Z 07.04 zawartych</w:t>
      </w:r>
      <w:r w:rsidRPr="00402C1B">
        <w:rPr>
          <w:noProof/>
        </w:rPr>
        <w:t xml:space="preserve"> w</w:t>
      </w:r>
      <w:r>
        <w:rPr>
          <w:noProof/>
        </w:rPr>
        <w:t> </w:t>
      </w:r>
      <w:r w:rsidRPr="00402C1B">
        <w:rPr>
          <w:noProof/>
        </w:rPr>
        <w:t>zał</w:t>
      </w:r>
      <w:r w:rsidR="009F0766" w:rsidRPr="00402C1B">
        <w:rPr>
          <w:noProof/>
        </w:rPr>
        <w:t>ączniku I do niniejszego rozporządzenia;</w:t>
      </w:r>
    </w:p>
    <w:p w:rsidR="00E522C4" w:rsidRPr="00402C1B" w:rsidRDefault="00402C1B" w:rsidP="00402C1B">
      <w:pPr>
        <w:pStyle w:val="Point0"/>
        <w:rPr>
          <w:noProof/>
        </w:rPr>
      </w:pPr>
      <w:r>
        <w:rPr>
          <w:noProof/>
        </w:rPr>
        <w:t>c)</w:t>
      </w:r>
      <w:r>
        <w:rPr>
          <w:noProof/>
        </w:rPr>
        <w:tab/>
      </w:r>
      <w:r w:rsidR="009F0766" w:rsidRPr="00402C1B">
        <w:rPr>
          <w:noProof/>
        </w:rPr>
        <w:t>na zasadzie indywidualnej –</w:t>
      </w:r>
      <w:r w:rsidRPr="00402C1B">
        <w:rPr>
          <w:noProof/>
        </w:rPr>
        <w:t xml:space="preserve"> w</w:t>
      </w:r>
      <w:r>
        <w:rPr>
          <w:noProof/>
        </w:rPr>
        <w:t> </w:t>
      </w:r>
      <w:r w:rsidRPr="00402C1B">
        <w:rPr>
          <w:noProof/>
        </w:rPr>
        <w:t>odn</w:t>
      </w:r>
      <w:r w:rsidR="009F0766" w:rsidRPr="00402C1B">
        <w:rPr>
          <w:noProof/>
        </w:rPr>
        <w:t>iesieniu do siebie samej</w:t>
      </w:r>
      <w:r w:rsidRPr="00402C1B">
        <w:rPr>
          <w:noProof/>
        </w:rPr>
        <w:t xml:space="preserve"> i</w:t>
      </w:r>
      <w:r>
        <w:rPr>
          <w:noProof/>
        </w:rPr>
        <w:t> </w:t>
      </w:r>
      <w:r w:rsidRPr="00402C1B">
        <w:rPr>
          <w:noProof/>
        </w:rPr>
        <w:t>każ</w:t>
      </w:r>
      <w:r w:rsidR="009F0766" w:rsidRPr="00402C1B">
        <w:rPr>
          <w:noProof/>
        </w:rPr>
        <w:t>dego istotnego podmiotu prawnego,</w:t>
      </w:r>
      <w:r w:rsidRPr="00402C1B">
        <w:rPr>
          <w:noProof/>
        </w:rPr>
        <w:t xml:space="preserve"> w</w:t>
      </w:r>
      <w:r>
        <w:rPr>
          <w:noProof/>
        </w:rPr>
        <w:t> </w:t>
      </w:r>
      <w:r w:rsidRPr="00402C1B">
        <w:rPr>
          <w:noProof/>
        </w:rPr>
        <w:t>odn</w:t>
      </w:r>
      <w:r w:rsidR="009F0766" w:rsidRPr="00402C1B">
        <w:rPr>
          <w:noProof/>
        </w:rPr>
        <w:t>iesieniu do którego organ ds. restrukturyzacji</w:t>
      </w:r>
      <w:r w:rsidRPr="00402C1B">
        <w:rPr>
          <w:noProof/>
        </w:rPr>
        <w:t xml:space="preserve"> i</w:t>
      </w:r>
      <w:r>
        <w:rPr>
          <w:noProof/>
        </w:rPr>
        <w:t> </w:t>
      </w:r>
      <w:r w:rsidRPr="00402C1B">
        <w:rPr>
          <w:noProof/>
        </w:rPr>
        <w:t>upo</w:t>
      </w:r>
      <w:r w:rsidR="009F0766" w:rsidRPr="00402C1B">
        <w:rPr>
          <w:noProof/>
        </w:rPr>
        <w:t>rządkowanej likwidacji ustalił wymóg,</w:t>
      </w:r>
      <w:r w:rsidRPr="00402C1B">
        <w:rPr>
          <w:noProof/>
        </w:rPr>
        <w:t xml:space="preserve"> o</w:t>
      </w:r>
      <w:r>
        <w:rPr>
          <w:noProof/>
        </w:rPr>
        <w:t> </w:t>
      </w:r>
      <w:r w:rsidRPr="00402C1B">
        <w:rPr>
          <w:noProof/>
        </w:rPr>
        <w:t>któ</w:t>
      </w:r>
      <w:r w:rsidR="009F0766" w:rsidRPr="00402C1B">
        <w:rPr>
          <w:noProof/>
        </w:rPr>
        <w:t>rym mowa</w:t>
      </w:r>
      <w:r w:rsidRPr="00402C1B">
        <w:rPr>
          <w:noProof/>
        </w:rPr>
        <w:t xml:space="preserve"> w</w:t>
      </w:r>
      <w:r>
        <w:rPr>
          <w:noProof/>
        </w:rPr>
        <w:t> </w:t>
      </w:r>
      <w:r w:rsidRPr="00402C1B">
        <w:rPr>
          <w:noProof/>
        </w:rPr>
        <w:t>art</w:t>
      </w:r>
      <w:r w:rsidR="009F0766" w:rsidRPr="00402C1B">
        <w:rPr>
          <w:noProof/>
        </w:rPr>
        <w:t>.</w:t>
      </w:r>
      <w:r w:rsidRPr="00402C1B">
        <w:rPr>
          <w:noProof/>
        </w:rPr>
        <w:t> </w:t>
      </w:r>
      <w:r w:rsidR="009F0766" w:rsidRPr="00402C1B">
        <w:rPr>
          <w:noProof/>
        </w:rPr>
        <w:t>45 ust.</w:t>
      </w:r>
      <w:r w:rsidRPr="00402C1B">
        <w:rPr>
          <w:noProof/>
        </w:rPr>
        <w:t> </w:t>
      </w:r>
      <w:r w:rsidR="009F0766" w:rsidRPr="00402C1B">
        <w:rPr>
          <w:noProof/>
        </w:rPr>
        <w:t>1 dyrektywy 2014/59/UE, zgodnie</w:t>
      </w:r>
      <w:r w:rsidRPr="00402C1B">
        <w:rPr>
          <w:noProof/>
        </w:rPr>
        <w:t xml:space="preserve"> z</w:t>
      </w:r>
      <w:r>
        <w:rPr>
          <w:noProof/>
        </w:rPr>
        <w:t> </w:t>
      </w:r>
      <w:r w:rsidRPr="00402C1B">
        <w:rPr>
          <w:noProof/>
        </w:rPr>
        <w:t>art</w:t>
      </w:r>
      <w:r w:rsidR="009F0766" w:rsidRPr="00402C1B">
        <w:rPr>
          <w:noProof/>
        </w:rPr>
        <w:t>.</w:t>
      </w:r>
      <w:r w:rsidRPr="00402C1B">
        <w:rPr>
          <w:noProof/>
        </w:rPr>
        <w:t> </w:t>
      </w:r>
      <w:r w:rsidR="009F0766" w:rsidRPr="00402C1B">
        <w:rPr>
          <w:noProof/>
        </w:rPr>
        <w:t>45c ust.</w:t>
      </w:r>
      <w:r w:rsidRPr="00402C1B">
        <w:rPr>
          <w:noProof/>
        </w:rPr>
        <w:t> </w:t>
      </w:r>
      <w:r w:rsidR="009F0766" w:rsidRPr="00402C1B">
        <w:rPr>
          <w:noProof/>
        </w:rPr>
        <w:t>2a akapit drugi tej dyrektywy – informacje określone</w:t>
      </w:r>
      <w:r w:rsidRPr="00402C1B">
        <w:rPr>
          <w:noProof/>
        </w:rPr>
        <w:t xml:space="preserve"> w</w:t>
      </w:r>
      <w:r>
        <w:rPr>
          <w:noProof/>
        </w:rPr>
        <w:t> </w:t>
      </w:r>
      <w:r w:rsidRPr="00402C1B">
        <w:rPr>
          <w:noProof/>
        </w:rPr>
        <w:t>sza</w:t>
      </w:r>
      <w:r w:rsidR="009F0766" w:rsidRPr="00402C1B">
        <w:rPr>
          <w:noProof/>
        </w:rPr>
        <w:t>blonach Z 02.00, Z 03.01, Z 03.02, Z 05.01, Z 05.02, Z 06.00, Z 07.01.1–Z 07.01.5 i Z 07.04 zawartych</w:t>
      </w:r>
      <w:r w:rsidRPr="00402C1B">
        <w:rPr>
          <w:noProof/>
        </w:rPr>
        <w:t xml:space="preserve"> w</w:t>
      </w:r>
      <w:r>
        <w:rPr>
          <w:noProof/>
        </w:rPr>
        <w:t> </w:t>
      </w:r>
      <w:r w:rsidRPr="00402C1B">
        <w:rPr>
          <w:noProof/>
        </w:rPr>
        <w:t>zał</w:t>
      </w:r>
      <w:r w:rsidR="009F0766" w:rsidRPr="00402C1B">
        <w:rPr>
          <w:noProof/>
        </w:rPr>
        <w:t>ączniku I do niniejszego rozporządzenia.</w:t>
      </w:r>
    </w:p>
    <w:p w:rsidR="00E522C4" w:rsidRPr="00402C1B" w:rsidRDefault="00E522C4" w:rsidP="00184085">
      <w:pPr>
        <w:pStyle w:val="Titrearticle"/>
        <w:rPr>
          <w:noProof/>
        </w:rPr>
      </w:pPr>
      <w:r w:rsidRPr="00402C1B">
        <w:rPr>
          <w:noProof/>
        </w:rPr>
        <w:t>Artykuł 5</w:t>
      </w:r>
    </w:p>
    <w:p w:rsidR="00E522C4" w:rsidRPr="00402C1B" w:rsidRDefault="00E522C4" w:rsidP="00184085">
      <w:pPr>
        <w:pStyle w:val="Titrearticle"/>
        <w:spacing w:before="0"/>
        <w:rPr>
          <w:b/>
          <w:bCs/>
          <w:i w:val="0"/>
          <w:iCs/>
          <w:noProof/>
        </w:rPr>
      </w:pPr>
      <w:r w:rsidRPr="00402C1B">
        <w:rPr>
          <w:b/>
          <w:i w:val="0"/>
          <w:noProof/>
        </w:rPr>
        <w:t>Dostosowania sprawozdawczości</w:t>
      </w:r>
      <w:r w:rsidR="00402C1B" w:rsidRPr="00402C1B">
        <w:rPr>
          <w:b/>
          <w:i w:val="0"/>
          <w:noProof/>
        </w:rPr>
        <w:t xml:space="preserve"> w</w:t>
      </w:r>
      <w:r w:rsidR="00402C1B">
        <w:rPr>
          <w:b/>
          <w:i w:val="0"/>
          <w:noProof/>
        </w:rPr>
        <w:t> </w:t>
      </w:r>
      <w:r w:rsidR="00402C1B" w:rsidRPr="00402C1B">
        <w:rPr>
          <w:b/>
          <w:i w:val="0"/>
          <w:noProof/>
        </w:rPr>
        <w:t>zak</w:t>
      </w:r>
      <w:r w:rsidRPr="00402C1B">
        <w:rPr>
          <w:b/>
          <w:i w:val="0"/>
          <w:noProof/>
        </w:rPr>
        <w:t>resie grupowej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rządkowanej likwidacji</w:t>
      </w:r>
    </w:p>
    <w:p w:rsidR="00E522C4" w:rsidRPr="00402C1B" w:rsidRDefault="00BC2ED2" w:rsidP="00BC2ED2">
      <w:pPr>
        <w:pStyle w:val="ManualNumPar1"/>
        <w:rPr>
          <w:noProof/>
        </w:rPr>
      </w:pPr>
      <w:r w:rsidRPr="00BC2ED2">
        <w:rPr>
          <w:noProof/>
        </w:rPr>
        <w:t>1.</w:t>
      </w:r>
      <w:r w:rsidRPr="00BC2ED2">
        <w:rPr>
          <w:noProof/>
        </w:rPr>
        <w:tab/>
      </w:r>
      <w:r w:rsidR="00E522C4" w:rsidRPr="00402C1B">
        <w:rPr>
          <w:noProof/>
        </w:rPr>
        <w:t>W przypadku grupy, której unijna jednostka dominująca jest podmiotem poddawanym likwidacji</w:t>
      </w:r>
      <w:r w:rsidR="00402C1B" w:rsidRPr="00402C1B">
        <w:rPr>
          <w:noProof/>
        </w:rPr>
        <w:t xml:space="preserve"> i</w:t>
      </w:r>
      <w:r w:rsidR="00402C1B">
        <w:rPr>
          <w:noProof/>
        </w:rPr>
        <w:t> </w:t>
      </w:r>
      <w:r w:rsidR="00402C1B" w:rsidRPr="00402C1B">
        <w:rPr>
          <w:noProof/>
        </w:rPr>
        <w:t>w</w:t>
      </w:r>
      <w:r w:rsidR="00402C1B">
        <w:rPr>
          <w:noProof/>
        </w:rPr>
        <w:t> </w:t>
      </w:r>
      <w:r w:rsidR="00402C1B" w:rsidRPr="00402C1B">
        <w:rPr>
          <w:noProof/>
        </w:rPr>
        <w:t>któ</w:t>
      </w:r>
      <w:r w:rsidR="00E522C4" w:rsidRPr="00402C1B">
        <w:rPr>
          <w:noProof/>
        </w:rPr>
        <w:t>rej skład wchodzą podmioty objęte planem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 unijna jednostka dominująca przedkłada następujące informacje:</w:t>
      </w:r>
    </w:p>
    <w:p w:rsidR="00E522C4" w:rsidRPr="00402C1B" w:rsidRDefault="00402C1B" w:rsidP="00402C1B">
      <w:pPr>
        <w:pStyle w:val="Point1"/>
        <w:rPr>
          <w:noProof/>
        </w:rPr>
      </w:pPr>
      <w:r>
        <w:rPr>
          <w:noProof/>
        </w:rPr>
        <w:t>a)</w:t>
      </w:r>
      <w:r>
        <w:rPr>
          <w:noProof/>
        </w:rPr>
        <w:tab/>
      </w:r>
      <w:r w:rsidR="000C210A" w:rsidRPr="00402C1B">
        <w:rPr>
          <w:noProof/>
        </w:rPr>
        <w:t>w przypadku podmiotów powiązanych należących do grup objętych planem restrukturyzacji</w:t>
      </w:r>
      <w:r w:rsidRPr="00402C1B">
        <w:rPr>
          <w:noProof/>
        </w:rPr>
        <w:t xml:space="preserve"> i</w:t>
      </w:r>
      <w:r>
        <w:rPr>
          <w:noProof/>
        </w:rPr>
        <w:t> </w:t>
      </w:r>
      <w:r w:rsidRPr="00402C1B">
        <w:rPr>
          <w:noProof/>
        </w:rPr>
        <w:t>upo</w:t>
      </w:r>
      <w:r w:rsidR="000C210A" w:rsidRPr="00402C1B">
        <w:rPr>
          <w:noProof/>
        </w:rPr>
        <w:t>rządkowanej likwidacji – informacje,</w:t>
      </w:r>
      <w:r w:rsidRPr="00402C1B">
        <w:rPr>
          <w:noProof/>
        </w:rPr>
        <w:t xml:space="preserve"> o</w:t>
      </w:r>
      <w:r>
        <w:rPr>
          <w:noProof/>
        </w:rPr>
        <w:t> </w:t>
      </w:r>
      <w:r w:rsidRPr="00402C1B">
        <w:rPr>
          <w:noProof/>
        </w:rPr>
        <w:t>któ</w:t>
      </w:r>
      <w:r w:rsidR="000C210A" w:rsidRPr="00402C1B">
        <w:rPr>
          <w:noProof/>
        </w:rPr>
        <w:t>rych mowa</w:t>
      </w:r>
      <w:r w:rsidRPr="00402C1B">
        <w:rPr>
          <w:noProof/>
        </w:rPr>
        <w:t xml:space="preserve"> w</w:t>
      </w:r>
      <w:r>
        <w:rPr>
          <w:noProof/>
        </w:rPr>
        <w:t> </w:t>
      </w:r>
      <w:r w:rsidRPr="00402C1B">
        <w:rPr>
          <w:noProof/>
        </w:rPr>
        <w:t>art</w:t>
      </w:r>
      <w:r w:rsidR="000C210A" w:rsidRPr="00402C1B">
        <w:rPr>
          <w:noProof/>
        </w:rPr>
        <w:t>.</w:t>
      </w:r>
      <w:r w:rsidRPr="00402C1B">
        <w:rPr>
          <w:noProof/>
        </w:rPr>
        <w:t> </w:t>
      </w:r>
      <w:r w:rsidR="000C210A" w:rsidRPr="00402C1B">
        <w:rPr>
          <w:noProof/>
        </w:rPr>
        <w:t>3;</w:t>
      </w:r>
    </w:p>
    <w:p w:rsidR="00E522C4" w:rsidRPr="00402C1B" w:rsidRDefault="00402C1B" w:rsidP="00402C1B">
      <w:pPr>
        <w:pStyle w:val="Point1"/>
        <w:rPr>
          <w:noProof/>
        </w:rPr>
      </w:pPr>
      <w:r>
        <w:rPr>
          <w:noProof/>
        </w:rPr>
        <w:t>b)</w:t>
      </w:r>
      <w:r>
        <w:rPr>
          <w:noProof/>
        </w:rPr>
        <w:tab/>
      </w:r>
      <w:r w:rsidR="000C210A" w:rsidRPr="00402C1B">
        <w:rPr>
          <w:noProof/>
        </w:rPr>
        <w:t>w przypadku podmiotów poddawanych likwidacji, które nie podlegają uproszczonym obowiązkom</w:t>
      </w:r>
      <w:r w:rsidRPr="00402C1B">
        <w:rPr>
          <w:noProof/>
        </w:rPr>
        <w:t xml:space="preserve"> i</w:t>
      </w:r>
      <w:r>
        <w:rPr>
          <w:noProof/>
        </w:rPr>
        <w:t> </w:t>
      </w:r>
      <w:r w:rsidRPr="00402C1B">
        <w:rPr>
          <w:noProof/>
        </w:rPr>
        <w:t>nie</w:t>
      </w:r>
      <w:r w:rsidR="000C210A" w:rsidRPr="00402C1B">
        <w:rPr>
          <w:noProof/>
        </w:rPr>
        <w:t xml:space="preserve"> należą do żadnej grupy objętej planem restrukturyzacji</w:t>
      </w:r>
      <w:r w:rsidRPr="00402C1B">
        <w:rPr>
          <w:noProof/>
        </w:rPr>
        <w:t xml:space="preserve"> i</w:t>
      </w:r>
      <w:r>
        <w:rPr>
          <w:noProof/>
        </w:rPr>
        <w:t> </w:t>
      </w:r>
      <w:r w:rsidRPr="00402C1B">
        <w:rPr>
          <w:noProof/>
        </w:rPr>
        <w:t>upo</w:t>
      </w:r>
      <w:r w:rsidR="000C210A" w:rsidRPr="00402C1B">
        <w:rPr>
          <w:noProof/>
        </w:rPr>
        <w:t>rządkowanej likwidacji – informacje,</w:t>
      </w:r>
      <w:r w:rsidRPr="00402C1B">
        <w:rPr>
          <w:noProof/>
        </w:rPr>
        <w:t xml:space="preserve"> o</w:t>
      </w:r>
      <w:r>
        <w:rPr>
          <w:noProof/>
        </w:rPr>
        <w:t> </w:t>
      </w:r>
      <w:r w:rsidRPr="00402C1B">
        <w:rPr>
          <w:noProof/>
        </w:rPr>
        <w:t>któ</w:t>
      </w:r>
      <w:r w:rsidR="000C210A" w:rsidRPr="00402C1B">
        <w:rPr>
          <w:noProof/>
        </w:rPr>
        <w:t>rych mowa</w:t>
      </w:r>
      <w:r w:rsidRPr="00402C1B">
        <w:rPr>
          <w:noProof/>
        </w:rPr>
        <w:t xml:space="preserve"> w</w:t>
      </w:r>
      <w:r>
        <w:rPr>
          <w:noProof/>
        </w:rPr>
        <w:t> </w:t>
      </w:r>
      <w:r w:rsidRPr="00402C1B">
        <w:rPr>
          <w:noProof/>
        </w:rPr>
        <w:t>art</w:t>
      </w:r>
      <w:r w:rsidR="000C210A" w:rsidRPr="00402C1B">
        <w:rPr>
          <w:noProof/>
        </w:rPr>
        <w:t>.</w:t>
      </w:r>
      <w:r w:rsidRPr="00402C1B">
        <w:rPr>
          <w:noProof/>
        </w:rPr>
        <w:t> </w:t>
      </w:r>
      <w:r w:rsidR="000C210A" w:rsidRPr="00402C1B">
        <w:rPr>
          <w:noProof/>
        </w:rPr>
        <w:t>4.</w:t>
      </w:r>
    </w:p>
    <w:p w:rsidR="00E522C4" w:rsidRPr="00402C1B" w:rsidRDefault="00BC2ED2" w:rsidP="00BC2ED2">
      <w:pPr>
        <w:pStyle w:val="ManualNumPar1"/>
        <w:rPr>
          <w:noProof/>
        </w:rPr>
      </w:pPr>
      <w:r w:rsidRPr="00BC2ED2">
        <w:rPr>
          <w:noProof/>
        </w:rPr>
        <w:t>2.</w:t>
      </w:r>
      <w:r w:rsidRPr="00BC2ED2">
        <w:rPr>
          <w:noProof/>
        </w:rPr>
        <w:tab/>
      </w:r>
      <w:r w:rsidR="00E522C4" w:rsidRPr="00402C1B">
        <w:rPr>
          <w:noProof/>
        </w:rPr>
        <w:t>W przypadku grupy objętej planem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w:t>
      </w:r>
      <w:r w:rsidR="00402C1B" w:rsidRPr="00402C1B">
        <w:rPr>
          <w:noProof/>
        </w:rPr>
        <w:t xml:space="preserve"> o</w:t>
      </w:r>
      <w:r w:rsidR="00402C1B">
        <w:rPr>
          <w:noProof/>
        </w:rPr>
        <w:t> </w:t>
      </w:r>
      <w:r w:rsidR="00402C1B" w:rsidRPr="00402C1B">
        <w:rPr>
          <w:noProof/>
        </w:rPr>
        <w:t>któ</w:t>
      </w:r>
      <w:r w:rsidR="00E522C4" w:rsidRPr="00402C1B">
        <w:rPr>
          <w:noProof/>
        </w:rPr>
        <w:t>rej mowa</w:t>
      </w:r>
      <w:r w:rsidR="00402C1B" w:rsidRPr="00402C1B">
        <w:rPr>
          <w:noProof/>
        </w:rPr>
        <w:t xml:space="preserve"> w</w:t>
      </w:r>
      <w:r w:rsidR="00402C1B">
        <w:rPr>
          <w:noProof/>
        </w:rPr>
        <w:t> </w:t>
      </w:r>
      <w:r w:rsidR="00402C1B" w:rsidRPr="00402C1B">
        <w:rPr>
          <w:noProof/>
        </w:rPr>
        <w:t>art</w:t>
      </w:r>
      <w:r w:rsidR="00E522C4" w:rsidRPr="00402C1B">
        <w:rPr>
          <w:noProof/>
        </w:rPr>
        <w:t>.</w:t>
      </w:r>
      <w:r w:rsidR="00402C1B" w:rsidRPr="00402C1B">
        <w:rPr>
          <w:noProof/>
        </w:rPr>
        <w:t> </w:t>
      </w:r>
      <w:r w:rsidR="00E522C4" w:rsidRPr="00402C1B">
        <w:rPr>
          <w:noProof/>
        </w:rPr>
        <w:t>2 ust.</w:t>
      </w:r>
      <w:r w:rsidR="00402C1B" w:rsidRPr="00402C1B">
        <w:rPr>
          <w:noProof/>
        </w:rPr>
        <w:t> </w:t>
      </w:r>
      <w:r w:rsidR="00E522C4" w:rsidRPr="00402C1B">
        <w:rPr>
          <w:noProof/>
        </w:rPr>
        <w:t>1 pkt</w:t>
      </w:r>
      <w:r w:rsidR="00402C1B" w:rsidRPr="00402C1B">
        <w:rPr>
          <w:noProof/>
        </w:rPr>
        <w:t> </w:t>
      </w:r>
      <w:r w:rsidR="00E522C4" w:rsidRPr="00402C1B">
        <w:rPr>
          <w:noProof/>
        </w:rPr>
        <w:t>83b lit.</w:t>
      </w:r>
      <w:r w:rsidR="00402C1B" w:rsidRPr="00402C1B">
        <w:rPr>
          <w:noProof/>
        </w:rPr>
        <w:t> </w:t>
      </w:r>
      <w:r w:rsidR="00E522C4" w:rsidRPr="00402C1B">
        <w:rPr>
          <w:noProof/>
        </w:rPr>
        <w:t>b) dyrektywy 2014/59/UE, informacje,</w:t>
      </w:r>
      <w:r w:rsidR="00402C1B" w:rsidRPr="00402C1B">
        <w:rPr>
          <w:noProof/>
        </w:rPr>
        <w:t xml:space="preserve"> o</w:t>
      </w:r>
      <w:r w:rsidR="00402C1B">
        <w:rPr>
          <w:noProof/>
        </w:rPr>
        <w:t> </w:t>
      </w:r>
      <w:r w:rsidR="00402C1B" w:rsidRPr="00402C1B">
        <w:rPr>
          <w:noProof/>
        </w:rPr>
        <w:t>któ</w:t>
      </w:r>
      <w:r w:rsidR="00E522C4" w:rsidRPr="00402C1B">
        <w:rPr>
          <w:noProof/>
        </w:rPr>
        <w:t>rych mowa</w:t>
      </w:r>
      <w:r w:rsidR="00402C1B" w:rsidRPr="00402C1B">
        <w:rPr>
          <w:noProof/>
        </w:rPr>
        <w:t xml:space="preserve"> w</w:t>
      </w:r>
      <w:r w:rsidR="00402C1B">
        <w:rPr>
          <w:noProof/>
        </w:rPr>
        <w:t> </w:t>
      </w:r>
      <w:r w:rsidR="00402C1B" w:rsidRPr="00402C1B">
        <w:rPr>
          <w:noProof/>
        </w:rPr>
        <w:t>art</w:t>
      </w:r>
      <w:r w:rsidR="00E522C4" w:rsidRPr="00402C1B">
        <w:rPr>
          <w:noProof/>
        </w:rPr>
        <w:t>.</w:t>
      </w:r>
      <w:r w:rsidR="00402C1B" w:rsidRPr="00402C1B">
        <w:rPr>
          <w:noProof/>
        </w:rPr>
        <w:t> </w:t>
      </w:r>
      <w:r w:rsidR="00E522C4" w:rsidRPr="00402C1B">
        <w:rPr>
          <w:noProof/>
        </w:rPr>
        <w:t>3 niniejszego rozporządzenia, są przedkładane przez co najmniej jeden</w:t>
      </w:r>
      <w:r w:rsidR="00402C1B" w:rsidRPr="00402C1B">
        <w:rPr>
          <w:noProof/>
        </w:rPr>
        <w:t xml:space="preserve"> z</w:t>
      </w:r>
      <w:r w:rsidR="00402C1B">
        <w:rPr>
          <w:noProof/>
        </w:rPr>
        <w:t> </w:t>
      </w:r>
      <w:r w:rsidR="00402C1B" w:rsidRPr="00402C1B">
        <w:rPr>
          <w:noProof/>
        </w:rPr>
        <w:t>nal</w:t>
      </w:r>
      <w:r w:rsidR="00E522C4" w:rsidRPr="00402C1B">
        <w:rPr>
          <w:noProof/>
        </w:rPr>
        <w:t>eżących do grupy podmiotów objętych planem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 Informacje te muszą faktycznie obejmować wszystkie instytucje kredytowe trwale powiązane</w:t>
      </w:r>
      <w:r w:rsidR="00402C1B" w:rsidRPr="00402C1B">
        <w:rPr>
          <w:noProof/>
        </w:rPr>
        <w:t xml:space="preserve"> z</w:t>
      </w:r>
      <w:r w:rsidR="00402C1B">
        <w:rPr>
          <w:noProof/>
        </w:rPr>
        <w:t> </w:t>
      </w:r>
      <w:r w:rsidR="00402C1B" w:rsidRPr="00402C1B">
        <w:rPr>
          <w:noProof/>
        </w:rPr>
        <w:t>org</w:t>
      </w:r>
      <w:r w:rsidR="00E522C4" w:rsidRPr="00402C1B">
        <w:rPr>
          <w:noProof/>
        </w:rPr>
        <w:t>anem centralnym tej grupy objętej planem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 sam organ centralny oraz ich odpowiednie jednostki zależne,</w:t>
      </w:r>
      <w:r w:rsidR="00402C1B" w:rsidRPr="00402C1B">
        <w:rPr>
          <w:noProof/>
        </w:rPr>
        <w:t xml:space="preserve"> w</w:t>
      </w:r>
      <w:r w:rsidR="00402C1B">
        <w:rPr>
          <w:noProof/>
        </w:rPr>
        <w:t> </w:t>
      </w:r>
      <w:r w:rsidR="00402C1B" w:rsidRPr="00402C1B">
        <w:rPr>
          <w:noProof/>
        </w:rPr>
        <w:t>sto</w:t>
      </w:r>
      <w:r w:rsidR="00E522C4" w:rsidRPr="00402C1B">
        <w:rPr>
          <w:noProof/>
        </w:rPr>
        <w:t>sownych przypadkach na zasadzie indywidualnej, subskonsolidowanej lub skonsolidowanej.</w:t>
      </w:r>
    </w:p>
    <w:p w:rsidR="00E522C4" w:rsidRPr="00402C1B" w:rsidRDefault="00E522C4" w:rsidP="00184085">
      <w:pPr>
        <w:pStyle w:val="Titrearticle"/>
        <w:rPr>
          <w:noProof/>
        </w:rPr>
      </w:pPr>
      <w:r w:rsidRPr="00402C1B">
        <w:rPr>
          <w:noProof/>
        </w:rPr>
        <w:t>Artykuł 6</w:t>
      </w:r>
    </w:p>
    <w:p w:rsidR="00E522C4" w:rsidRPr="00402C1B" w:rsidRDefault="00E522C4" w:rsidP="00184085">
      <w:pPr>
        <w:pStyle w:val="Titrearticle"/>
        <w:spacing w:before="0"/>
        <w:rPr>
          <w:b/>
          <w:bCs/>
          <w:i w:val="0"/>
          <w:iCs/>
          <w:noProof/>
        </w:rPr>
      </w:pPr>
      <w:r w:rsidRPr="00402C1B">
        <w:rPr>
          <w:b/>
          <w:i w:val="0"/>
          <w:noProof/>
        </w:rPr>
        <w:t>Częstotliwość, dni odniesienia</w:t>
      </w:r>
      <w:r w:rsidR="00402C1B" w:rsidRPr="00402C1B">
        <w:rPr>
          <w:b/>
          <w:i w:val="0"/>
          <w:noProof/>
        </w:rPr>
        <w:t xml:space="preserve"> i</w:t>
      </w:r>
      <w:r w:rsidR="00402C1B">
        <w:rPr>
          <w:b/>
          <w:i w:val="0"/>
          <w:noProof/>
        </w:rPr>
        <w:t> </w:t>
      </w:r>
      <w:r w:rsidR="00402C1B" w:rsidRPr="00402C1B">
        <w:rPr>
          <w:b/>
          <w:i w:val="0"/>
          <w:noProof/>
        </w:rPr>
        <w:t>dni</w:t>
      </w:r>
      <w:r w:rsidRPr="00402C1B">
        <w:rPr>
          <w:b/>
          <w:i w:val="0"/>
          <w:noProof/>
        </w:rPr>
        <w:t xml:space="preserve"> przedkładania szablonów</w:t>
      </w:r>
    </w:p>
    <w:p w:rsidR="00E522C4" w:rsidRPr="00402C1B" w:rsidRDefault="00BC2ED2" w:rsidP="00BC2ED2">
      <w:pPr>
        <w:pStyle w:val="ManualNumPar1"/>
        <w:rPr>
          <w:noProof/>
        </w:rPr>
      </w:pPr>
      <w:r w:rsidRPr="00BC2ED2">
        <w:rPr>
          <w:noProof/>
        </w:rPr>
        <w:t>1.</w:t>
      </w:r>
      <w:r w:rsidRPr="00BC2ED2">
        <w:rPr>
          <w:noProof/>
        </w:rPr>
        <w:tab/>
      </w:r>
      <w:r w:rsidR="00E522C4" w:rsidRPr="00402C1B">
        <w:rPr>
          <w:noProof/>
        </w:rPr>
        <w:t>Instytucje lub –</w:t>
      </w:r>
      <w:r w:rsidR="00402C1B" w:rsidRPr="00402C1B">
        <w:rPr>
          <w:noProof/>
        </w:rPr>
        <w:t xml:space="preserve"> w</w:t>
      </w:r>
      <w:r w:rsidR="00402C1B">
        <w:rPr>
          <w:noProof/>
        </w:rPr>
        <w:t> </w:t>
      </w:r>
      <w:r w:rsidR="00402C1B" w:rsidRPr="00402C1B">
        <w:rPr>
          <w:noProof/>
        </w:rPr>
        <w:t>prz</w:t>
      </w:r>
      <w:r w:rsidR="00E522C4" w:rsidRPr="00402C1B">
        <w:rPr>
          <w:noProof/>
        </w:rPr>
        <w:t>ypadku grup – unijne jednostki dominujące przedkładają informacje,</w:t>
      </w:r>
      <w:r w:rsidR="00402C1B" w:rsidRPr="00402C1B">
        <w:rPr>
          <w:noProof/>
        </w:rPr>
        <w:t xml:space="preserve"> o</w:t>
      </w:r>
      <w:r w:rsidR="00402C1B">
        <w:rPr>
          <w:noProof/>
        </w:rPr>
        <w:t> </w:t>
      </w:r>
      <w:r w:rsidR="00402C1B" w:rsidRPr="00402C1B">
        <w:rPr>
          <w:noProof/>
        </w:rPr>
        <w:t>któ</w:t>
      </w:r>
      <w:r w:rsidR="00E522C4" w:rsidRPr="00402C1B">
        <w:rPr>
          <w:noProof/>
        </w:rPr>
        <w:t>rych mowa</w:t>
      </w:r>
      <w:r w:rsidR="00402C1B" w:rsidRPr="00402C1B">
        <w:rPr>
          <w:noProof/>
        </w:rPr>
        <w:t xml:space="preserve"> w</w:t>
      </w:r>
      <w:r w:rsidR="00402C1B">
        <w:rPr>
          <w:noProof/>
        </w:rPr>
        <w:t> </w:t>
      </w:r>
      <w:r w:rsidR="00402C1B" w:rsidRPr="00402C1B">
        <w:rPr>
          <w:noProof/>
        </w:rPr>
        <w:t>art</w:t>
      </w:r>
      <w:r w:rsidR="00E522C4" w:rsidRPr="00402C1B">
        <w:rPr>
          <w:noProof/>
        </w:rPr>
        <w:t>.</w:t>
      </w:r>
      <w:r w:rsidR="00402C1B" w:rsidRPr="00402C1B">
        <w:rPr>
          <w:noProof/>
        </w:rPr>
        <w:t> </w:t>
      </w:r>
      <w:r w:rsidR="00E522C4" w:rsidRPr="00402C1B">
        <w:rPr>
          <w:noProof/>
        </w:rPr>
        <w:t>2–5,</w:t>
      </w:r>
      <w:r w:rsidR="00402C1B" w:rsidRPr="00402C1B">
        <w:rPr>
          <w:noProof/>
        </w:rPr>
        <w:t xml:space="preserve"> w</w:t>
      </w:r>
      <w:r w:rsidR="00402C1B">
        <w:rPr>
          <w:noProof/>
        </w:rPr>
        <w:t> </w:t>
      </w:r>
      <w:r w:rsidR="00402C1B" w:rsidRPr="00402C1B">
        <w:rPr>
          <w:noProof/>
        </w:rPr>
        <w:t>nas</w:t>
      </w:r>
      <w:r w:rsidR="00E522C4" w:rsidRPr="00402C1B">
        <w:rPr>
          <w:noProof/>
        </w:rPr>
        <w:t>tępujący sposób:</w:t>
      </w:r>
    </w:p>
    <w:p w:rsidR="00E522C4" w:rsidRPr="00402C1B" w:rsidRDefault="00402C1B" w:rsidP="00402C1B">
      <w:pPr>
        <w:pStyle w:val="Point1"/>
        <w:rPr>
          <w:noProof/>
        </w:rPr>
      </w:pPr>
      <w:bookmarkStart w:id="2" w:name="_Hlk188952542"/>
      <w:r>
        <w:rPr>
          <w:noProof/>
        </w:rPr>
        <w:t>a)</w:t>
      </w:r>
      <w:r>
        <w:rPr>
          <w:noProof/>
        </w:rPr>
        <w:tab/>
      </w:r>
      <w:r w:rsidR="00A071C3" w:rsidRPr="00402C1B">
        <w:rPr>
          <w:noProof/>
        </w:rPr>
        <w:t>szablony Z 01.01, Z 01.02, Z 02.00, Z 03.01, Z 03.02, Z 04.00, Z 05.01, Z 05.02, Z 06.00 i Z 11.00–Z 17.00</w:t>
      </w:r>
      <w:bookmarkEnd w:id="2"/>
      <w:r w:rsidR="00A071C3" w:rsidRPr="00402C1B">
        <w:rPr>
          <w:noProof/>
        </w:rPr>
        <w:t xml:space="preserve"> – najpóźniej do dnia 31 marca każdego roku</w:t>
      </w:r>
      <w:r w:rsidRPr="00402C1B">
        <w:rPr>
          <w:noProof/>
        </w:rPr>
        <w:t xml:space="preserve"> w</w:t>
      </w:r>
      <w:r>
        <w:rPr>
          <w:noProof/>
        </w:rPr>
        <w:t> </w:t>
      </w:r>
      <w:r w:rsidRPr="00402C1B">
        <w:rPr>
          <w:noProof/>
        </w:rPr>
        <w:t>odn</w:t>
      </w:r>
      <w:r w:rsidR="00A071C3" w:rsidRPr="00402C1B">
        <w:rPr>
          <w:noProof/>
        </w:rPr>
        <w:t>iesieniu do ostatniego dnia poprzedniego roku kalendarzowego;</w:t>
      </w:r>
    </w:p>
    <w:p w:rsidR="00E522C4" w:rsidRPr="00402C1B" w:rsidRDefault="00402C1B" w:rsidP="00402C1B">
      <w:pPr>
        <w:pStyle w:val="Point1"/>
        <w:rPr>
          <w:noProof/>
        </w:rPr>
      </w:pPr>
      <w:r>
        <w:rPr>
          <w:noProof/>
        </w:rPr>
        <w:t>b)</w:t>
      </w:r>
      <w:r>
        <w:rPr>
          <w:noProof/>
        </w:rPr>
        <w:tab/>
      </w:r>
      <w:r w:rsidR="003F636B" w:rsidRPr="00402C1B">
        <w:rPr>
          <w:noProof/>
        </w:rPr>
        <w:t>szablony Z 07.01.1–Z 07.04, Z 08.01–Z 08.05 i Z 09.01–Z 09.04 – najpóźniej do dnia 30 kwietnia każdego roku</w:t>
      </w:r>
      <w:r w:rsidRPr="00402C1B">
        <w:rPr>
          <w:noProof/>
        </w:rPr>
        <w:t xml:space="preserve"> w</w:t>
      </w:r>
      <w:r>
        <w:rPr>
          <w:noProof/>
        </w:rPr>
        <w:t> </w:t>
      </w:r>
      <w:r w:rsidRPr="00402C1B">
        <w:rPr>
          <w:noProof/>
        </w:rPr>
        <w:t>odn</w:t>
      </w:r>
      <w:r w:rsidR="003F636B" w:rsidRPr="00402C1B">
        <w:rPr>
          <w:noProof/>
        </w:rPr>
        <w:t xml:space="preserve">iesieniu do ostatniego dnia poprzedniego roku kalendarzowego. </w:t>
      </w:r>
    </w:p>
    <w:p w:rsidR="003F636B" w:rsidRPr="00402C1B" w:rsidRDefault="003F636B" w:rsidP="00184085">
      <w:pPr>
        <w:pStyle w:val="Text1"/>
        <w:rPr>
          <w:noProof/>
        </w:rPr>
      </w:pPr>
      <w:r w:rsidRPr="00402C1B">
        <w:rPr>
          <w:noProof/>
        </w:rPr>
        <w:t>Do celów lit.</w:t>
      </w:r>
      <w:r w:rsidR="00402C1B" w:rsidRPr="00402C1B">
        <w:rPr>
          <w:noProof/>
        </w:rPr>
        <w:t> </w:t>
      </w:r>
      <w:r w:rsidRPr="00402C1B">
        <w:rPr>
          <w:noProof/>
        </w:rPr>
        <w:t>a), jeżeli dzień 31 marca nie jest dniem roboczym, informacje przedkładane są</w:t>
      </w:r>
      <w:r w:rsidR="00402C1B" w:rsidRPr="00402C1B">
        <w:rPr>
          <w:noProof/>
        </w:rPr>
        <w:t xml:space="preserve"> w</w:t>
      </w:r>
      <w:r w:rsidR="00402C1B">
        <w:rPr>
          <w:noProof/>
        </w:rPr>
        <w:t> </w:t>
      </w:r>
      <w:r w:rsidR="00402C1B" w:rsidRPr="00402C1B">
        <w:rPr>
          <w:noProof/>
        </w:rPr>
        <w:t>kol</w:t>
      </w:r>
      <w:r w:rsidRPr="00402C1B">
        <w:rPr>
          <w:noProof/>
        </w:rPr>
        <w:t>ejnym dniu roboczym.</w:t>
      </w:r>
    </w:p>
    <w:p w:rsidR="003F636B" w:rsidRPr="00402C1B" w:rsidRDefault="003F636B" w:rsidP="00184085">
      <w:pPr>
        <w:pStyle w:val="Text1"/>
        <w:rPr>
          <w:noProof/>
        </w:rPr>
      </w:pPr>
      <w:r w:rsidRPr="00402C1B">
        <w:rPr>
          <w:noProof/>
        </w:rPr>
        <w:t>Do celów lit.</w:t>
      </w:r>
      <w:r w:rsidR="00402C1B" w:rsidRPr="00402C1B">
        <w:rPr>
          <w:noProof/>
        </w:rPr>
        <w:t> </w:t>
      </w:r>
      <w:r w:rsidRPr="00402C1B">
        <w:rPr>
          <w:noProof/>
        </w:rPr>
        <w:t>b), jeżeli dzień 30 kwietnia nie jest dniem roboczym, informacje przedkładane są</w:t>
      </w:r>
      <w:r w:rsidR="00402C1B" w:rsidRPr="00402C1B">
        <w:rPr>
          <w:noProof/>
        </w:rPr>
        <w:t xml:space="preserve"> w</w:t>
      </w:r>
      <w:r w:rsidR="00402C1B">
        <w:rPr>
          <w:noProof/>
        </w:rPr>
        <w:t> </w:t>
      </w:r>
      <w:r w:rsidR="00402C1B" w:rsidRPr="00402C1B">
        <w:rPr>
          <w:noProof/>
        </w:rPr>
        <w:t>kol</w:t>
      </w:r>
      <w:r w:rsidRPr="00402C1B">
        <w:rPr>
          <w:noProof/>
        </w:rPr>
        <w:t>ejnym dniu roboczym.</w:t>
      </w:r>
    </w:p>
    <w:p w:rsidR="00E522C4" w:rsidRPr="00402C1B" w:rsidRDefault="00BC2ED2" w:rsidP="00BC2ED2">
      <w:pPr>
        <w:pStyle w:val="ManualNumPar1"/>
        <w:rPr>
          <w:noProof/>
        </w:rPr>
      </w:pPr>
      <w:r w:rsidRPr="00BC2ED2">
        <w:rPr>
          <w:noProof/>
        </w:rPr>
        <w:t>2.</w:t>
      </w:r>
      <w:r w:rsidRPr="00BC2ED2">
        <w:rPr>
          <w:noProof/>
        </w:rPr>
        <w:tab/>
      </w:r>
      <w:r w:rsidR="00E522C4" w:rsidRPr="00402C1B">
        <w:rPr>
          <w:noProof/>
        </w:rPr>
        <w:t>Organy ds.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 określają, czy informacje przedkłada się bezpośrednio organowi ds.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 czy też,</w:t>
      </w:r>
      <w:r w:rsidR="00402C1B" w:rsidRPr="00402C1B">
        <w:rPr>
          <w:noProof/>
        </w:rPr>
        <w:t xml:space="preserve"> w</w:t>
      </w:r>
      <w:r w:rsidR="00402C1B">
        <w:rPr>
          <w:noProof/>
        </w:rPr>
        <w:t> </w:t>
      </w:r>
      <w:r w:rsidR="00402C1B" w:rsidRPr="00402C1B">
        <w:rPr>
          <w:noProof/>
        </w:rPr>
        <w:t>sto</w:t>
      </w:r>
      <w:r w:rsidR="00E522C4" w:rsidRPr="00402C1B">
        <w:rPr>
          <w:noProof/>
        </w:rPr>
        <w:t>sownych przypadkach, przedkłada się je właściwemu organowi.</w:t>
      </w:r>
    </w:p>
    <w:p w:rsidR="00E522C4" w:rsidRPr="00402C1B" w:rsidRDefault="00BC2ED2" w:rsidP="00BC2ED2">
      <w:pPr>
        <w:pStyle w:val="ManualNumPar1"/>
        <w:rPr>
          <w:noProof/>
        </w:rPr>
      </w:pPr>
      <w:r w:rsidRPr="00BC2ED2">
        <w:rPr>
          <w:noProof/>
        </w:rPr>
        <w:t>3.</w:t>
      </w:r>
      <w:r w:rsidRPr="00BC2ED2">
        <w:rPr>
          <w:noProof/>
        </w:rPr>
        <w:tab/>
      </w:r>
      <w:r w:rsidR="00E522C4" w:rsidRPr="00402C1B">
        <w:rPr>
          <w:noProof/>
        </w:rPr>
        <w:t>Instytucje lub,</w:t>
      </w:r>
      <w:r w:rsidR="00402C1B" w:rsidRPr="00402C1B">
        <w:rPr>
          <w:noProof/>
        </w:rPr>
        <w:t xml:space="preserve"> w</w:t>
      </w:r>
      <w:r w:rsidR="00402C1B">
        <w:rPr>
          <w:noProof/>
        </w:rPr>
        <w:t> </w:t>
      </w:r>
      <w:r w:rsidR="00402C1B" w:rsidRPr="00402C1B">
        <w:rPr>
          <w:noProof/>
        </w:rPr>
        <w:t>prz</w:t>
      </w:r>
      <w:r w:rsidR="00E522C4" w:rsidRPr="00402C1B">
        <w:rPr>
          <w:noProof/>
        </w:rPr>
        <w:t xml:space="preserve">ypadku grup, unijne jednostki dominujące mogą przedkładać dane niezweryfikowane. Jeżeli dane zweryfikowane różnią się od przedłożonych danych niezweryfikowanych, wówczas zmienione, zweryfikowane dane przedkłada się bez zbędnej zwłoki. </w:t>
      </w:r>
    </w:p>
    <w:p w:rsidR="00E522C4" w:rsidRPr="00402C1B" w:rsidRDefault="00BC2ED2" w:rsidP="00BC2ED2">
      <w:pPr>
        <w:pStyle w:val="ManualNumPar1"/>
        <w:rPr>
          <w:noProof/>
        </w:rPr>
      </w:pPr>
      <w:r w:rsidRPr="00BC2ED2">
        <w:rPr>
          <w:noProof/>
        </w:rPr>
        <w:t>4.</w:t>
      </w:r>
      <w:r w:rsidRPr="00BC2ED2">
        <w:rPr>
          <w:noProof/>
        </w:rPr>
        <w:tab/>
      </w:r>
      <w:r w:rsidR="00E522C4" w:rsidRPr="00402C1B">
        <w:rPr>
          <w:noProof/>
        </w:rPr>
        <w:t>Do celów ust.</w:t>
      </w:r>
      <w:r w:rsidR="00402C1B" w:rsidRPr="00402C1B">
        <w:rPr>
          <w:noProof/>
        </w:rPr>
        <w:t> </w:t>
      </w:r>
      <w:r w:rsidR="00E522C4" w:rsidRPr="00402C1B">
        <w:rPr>
          <w:noProof/>
        </w:rPr>
        <w:t>3 dane niezweryfikowane są to dane,</w:t>
      </w:r>
      <w:r w:rsidR="00402C1B" w:rsidRPr="00402C1B">
        <w:rPr>
          <w:noProof/>
        </w:rPr>
        <w:t xml:space="preserve"> w</w:t>
      </w:r>
      <w:r w:rsidR="00402C1B">
        <w:rPr>
          <w:noProof/>
        </w:rPr>
        <w:t> </w:t>
      </w:r>
      <w:r w:rsidR="00402C1B" w:rsidRPr="00402C1B">
        <w:rPr>
          <w:noProof/>
        </w:rPr>
        <w:t>odn</w:t>
      </w:r>
      <w:r w:rsidR="00E522C4" w:rsidRPr="00402C1B">
        <w:rPr>
          <w:noProof/>
        </w:rPr>
        <w:t xml:space="preserve">iesieniu do których nie została wydana opinia audytora zewnętrznego, natomiast dane zweryfikowane oznaczają dane poddane badaniu audytora zewnętrznego, który wydał opinię. </w:t>
      </w:r>
    </w:p>
    <w:p w:rsidR="00E522C4" w:rsidRPr="00402C1B" w:rsidRDefault="00BC2ED2" w:rsidP="00BC2ED2">
      <w:pPr>
        <w:pStyle w:val="ManualNumPar1"/>
        <w:rPr>
          <w:noProof/>
        </w:rPr>
      </w:pPr>
      <w:r w:rsidRPr="00BC2ED2">
        <w:rPr>
          <w:noProof/>
        </w:rPr>
        <w:t>5.</w:t>
      </w:r>
      <w:r w:rsidRPr="00BC2ED2">
        <w:rPr>
          <w:noProof/>
        </w:rPr>
        <w:tab/>
      </w:r>
      <w:r w:rsidR="00E522C4" w:rsidRPr="00402C1B">
        <w:rPr>
          <w:noProof/>
        </w:rPr>
        <w:t>Korekty do przedłożonych szablonów przekazuje się bez zbędnej zwłoki.</w:t>
      </w:r>
    </w:p>
    <w:p w:rsidR="00E522C4" w:rsidRPr="00402C1B" w:rsidRDefault="00E522C4" w:rsidP="00184085">
      <w:pPr>
        <w:pStyle w:val="Titrearticle"/>
        <w:rPr>
          <w:noProof/>
        </w:rPr>
      </w:pPr>
      <w:r w:rsidRPr="00402C1B">
        <w:rPr>
          <w:noProof/>
        </w:rPr>
        <w:t>Artykuł 7</w:t>
      </w:r>
    </w:p>
    <w:p w:rsidR="00E522C4" w:rsidRPr="00402C1B" w:rsidRDefault="00E522C4" w:rsidP="00184085">
      <w:pPr>
        <w:pStyle w:val="Titrearticle"/>
        <w:spacing w:before="0"/>
        <w:rPr>
          <w:b/>
          <w:bCs/>
          <w:i w:val="0"/>
          <w:iCs/>
          <w:noProof/>
        </w:rPr>
      </w:pPr>
      <w:r w:rsidRPr="00402C1B">
        <w:rPr>
          <w:b/>
          <w:i w:val="0"/>
          <w:noProof/>
        </w:rPr>
        <w:t>Formaty wymiany danych oraz informacje towarzyszące przedkładanym danym</w:t>
      </w:r>
    </w:p>
    <w:p w:rsidR="00E522C4" w:rsidRPr="00402C1B" w:rsidRDefault="00BC2ED2" w:rsidP="00BC2ED2">
      <w:pPr>
        <w:pStyle w:val="ManualNumPar1"/>
        <w:rPr>
          <w:noProof/>
        </w:rPr>
      </w:pPr>
      <w:r w:rsidRPr="00BC2ED2">
        <w:rPr>
          <w:noProof/>
        </w:rPr>
        <w:t>1.</w:t>
      </w:r>
      <w:r w:rsidRPr="00BC2ED2">
        <w:rPr>
          <w:noProof/>
        </w:rPr>
        <w:tab/>
      </w:r>
      <w:r w:rsidR="00E522C4" w:rsidRPr="00402C1B">
        <w:rPr>
          <w:noProof/>
        </w:rPr>
        <w:t>Instytucje lub –</w:t>
      </w:r>
      <w:r w:rsidR="00402C1B" w:rsidRPr="00402C1B">
        <w:rPr>
          <w:noProof/>
        </w:rPr>
        <w:t xml:space="preserve"> w</w:t>
      </w:r>
      <w:r w:rsidR="00402C1B">
        <w:rPr>
          <w:noProof/>
        </w:rPr>
        <w:t> </w:t>
      </w:r>
      <w:r w:rsidR="00402C1B" w:rsidRPr="00402C1B">
        <w:rPr>
          <w:noProof/>
        </w:rPr>
        <w:t>prz</w:t>
      </w:r>
      <w:r w:rsidR="00E522C4" w:rsidRPr="00402C1B">
        <w:rPr>
          <w:noProof/>
        </w:rPr>
        <w:t>ypadku grup – unijne jednostki dominujące przedkładają informacje,</w:t>
      </w:r>
      <w:r w:rsidR="00402C1B" w:rsidRPr="00402C1B">
        <w:rPr>
          <w:noProof/>
        </w:rPr>
        <w:t xml:space="preserve"> o</w:t>
      </w:r>
      <w:r w:rsidR="00402C1B">
        <w:rPr>
          <w:noProof/>
        </w:rPr>
        <w:t> </w:t>
      </w:r>
      <w:r w:rsidR="00402C1B" w:rsidRPr="00402C1B">
        <w:rPr>
          <w:noProof/>
        </w:rPr>
        <w:t>któ</w:t>
      </w:r>
      <w:r w:rsidR="00E522C4" w:rsidRPr="00402C1B">
        <w:rPr>
          <w:noProof/>
        </w:rPr>
        <w:t>rych mowa</w:t>
      </w:r>
      <w:r w:rsidR="00402C1B" w:rsidRPr="00402C1B">
        <w:rPr>
          <w:noProof/>
        </w:rPr>
        <w:t xml:space="preserve"> w</w:t>
      </w:r>
      <w:r w:rsidR="00402C1B">
        <w:rPr>
          <w:noProof/>
        </w:rPr>
        <w:t> </w:t>
      </w:r>
      <w:r w:rsidR="00402C1B" w:rsidRPr="00402C1B">
        <w:rPr>
          <w:noProof/>
        </w:rPr>
        <w:t>art</w:t>
      </w:r>
      <w:r w:rsidR="00E522C4" w:rsidRPr="00402C1B">
        <w:rPr>
          <w:noProof/>
        </w:rPr>
        <w:t>. 2–5,</w:t>
      </w:r>
      <w:r w:rsidR="00402C1B" w:rsidRPr="00402C1B">
        <w:rPr>
          <w:noProof/>
        </w:rPr>
        <w:t xml:space="preserve"> w</w:t>
      </w:r>
      <w:r w:rsidR="00402C1B">
        <w:rPr>
          <w:noProof/>
        </w:rPr>
        <w:t> </w:t>
      </w:r>
      <w:r w:rsidR="00402C1B" w:rsidRPr="00402C1B">
        <w:rPr>
          <w:noProof/>
        </w:rPr>
        <w:t>sza</w:t>
      </w:r>
      <w:r w:rsidR="00E522C4" w:rsidRPr="00402C1B">
        <w:rPr>
          <w:noProof/>
        </w:rPr>
        <w:t>blonach zawartych</w:t>
      </w:r>
      <w:r w:rsidR="00402C1B" w:rsidRPr="00402C1B">
        <w:rPr>
          <w:noProof/>
        </w:rPr>
        <w:t xml:space="preserve"> w</w:t>
      </w:r>
      <w:r w:rsidR="00402C1B">
        <w:rPr>
          <w:noProof/>
        </w:rPr>
        <w:t> </w:t>
      </w:r>
      <w:r w:rsidR="00402C1B" w:rsidRPr="00402C1B">
        <w:rPr>
          <w:noProof/>
        </w:rPr>
        <w:t>zał</w:t>
      </w:r>
      <w:r w:rsidR="00E522C4" w:rsidRPr="00402C1B">
        <w:rPr>
          <w:noProof/>
        </w:rPr>
        <w:t>ączniku I</w:t>
      </w:r>
      <w:r w:rsidR="00402C1B" w:rsidRPr="00402C1B">
        <w:rPr>
          <w:noProof/>
        </w:rPr>
        <w:t xml:space="preserve"> i</w:t>
      </w:r>
      <w:r w:rsidR="00402C1B">
        <w:rPr>
          <w:noProof/>
        </w:rPr>
        <w:t> </w:t>
      </w:r>
      <w:r w:rsidR="00402C1B" w:rsidRPr="00402C1B">
        <w:rPr>
          <w:noProof/>
        </w:rPr>
        <w:t>w</w:t>
      </w:r>
      <w:r w:rsidR="00402C1B">
        <w:rPr>
          <w:noProof/>
        </w:rPr>
        <w:t> </w:t>
      </w:r>
      <w:r w:rsidR="00402C1B" w:rsidRPr="00402C1B">
        <w:rPr>
          <w:noProof/>
        </w:rPr>
        <w:t>for</w:t>
      </w:r>
      <w:r w:rsidR="00E522C4" w:rsidRPr="00402C1B">
        <w:rPr>
          <w:noProof/>
        </w:rPr>
        <w:t>matach wymiany</w:t>
      </w:r>
      <w:r w:rsidR="00402C1B" w:rsidRPr="00402C1B">
        <w:rPr>
          <w:noProof/>
        </w:rPr>
        <w:t xml:space="preserve"> i</w:t>
      </w:r>
      <w:r w:rsidR="00402C1B">
        <w:rPr>
          <w:noProof/>
        </w:rPr>
        <w:t> </w:t>
      </w:r>
      <w:r w:rsidR="00402C1B" w:rsidRPr="00402C1B">
        <w:rPr>
          <w:noProof/>
        </w:rPr>
        <w:t>prz</w:t>
      </w:r>
      <w:r w:rsidR="00E522C4" w:rsidRPr="00402C1B">
        <w:rPr>
          <w:noProof/>
        </w:rPr>
        <w:t>edstawiania danych określonych przez organy ds. restrukturyzacji</w:t>
      </w:r>
      <w:r w:rsidR="00402C1B" w:rsidRPr="00402C1B">
        <w:rPr>
          <w:noProof/>
        </w:rPr>
        <w:t xml:space="preserve"> i</w:t>
      </w:r>
      <w:r w:rsidR="00402C1B">
        <w:rPr>
          <w:noProof/>
        </w:rPr>
        <w:t> </w:t>
      </w:r>
      <w:r w:rsidR="00402C1B" w:rsidRPr="00402C1B">
        <w:rPr>
          <w:noProof/>
        </w:rPr>
        <w:t>upo</w:t>
      </w:r>
      <w:r w:rsidR="00E522C4" w:rsidRPr="00402C1B">
        <w:rPr>
          <w:noProof/>
        </w:rPr>
        <w:t>rządkowanej likwidacji oraz przestrzegają definicji punktów danych ujętych</w:t>
      </w:r>
      <w:r w:rsidR="00402C1B" w:rsidRPr="00402C1B">
        <w:rPr>
          <w:noProof/>
        </w:rPr>
        <w:t xml:space="preserve"> w</w:t>
      </w:r>
      <w:r w:rsidR="00402C1B">
        <w:rPr>
          <w:noProof/>
        </w:rPr>
        <w:t> </w:t>
      </w:r>
      <w:r w:rsidR="00402C1B" w:rsidRPr="00402C1B">
        <w:rPr>
          <w:noProof/>
        </w:rPr>
        <w:t>jed</w:t>
      </w:r>
      <w:r w:rsidR="00E522C4" w:rsidRPr="00402C1B">
        <w:rPr>
          <w:noProof/>
        </w:rPr>
        <w:t>nolitym modelu punktów danych,</w:t>
      </w:r>
      <w:r w:rsidR="00402C1B" w:rsidRPr="00402C1B">
        <w:rPr>
          <w:noProof/>
        </w:rPr>
        <w:t xml:space="preserve"> o</w:t>
      </w:r>
      <w:r w:rsidR="00402C1B">
        <w:rPr>
          <w:noProof/>
        </w:rPr>
        <w:t> </w:t>
      </w:r>
      <w:r w:rsidR="00402C1B" w:rsidRPr="00402C1B">
        <w:rPr>
          <w:noProof/>
        </w:rPr>
        <w:t>któ</w:t>
      </w:r>
      <w:r w:rsidR="00E522C4" w:rsidRPr="00402C1B">
        <w:rPr>
          <w:noProof/>
        </w:rPr>
        <w:t>rym mowa</w:t>
      </w:r>
      <w:r w:rsidR="00402C1B" w:rsidRPr="00402C1B">
        <w:rPr>
          <w:noProof/>
        </w:rPr>
        <w:t xml:space="preserve"> w</w:t>
      </w:r>
      <w:r w:rsidR="00402C1B">
        <w:rPr>
          <w:noProof/>
        </w:rPr>
        <w:t> </w:t>
      </w:r>
      <w:r w:rsidR="00402C1B" w:rsidRPr="00402C1B">
        <w:rPr>
          <w:noProof/>
        </w:rPr>
        <w:t>zał</w:t>
      </w:r>
      <w:r w:rsidR="00E522C4" w:rsidRPr="00402C1B">
        <w:rPr>
          <w:noProof/>
        </w:rPr>
        <w:t>ączniku II,</w:t>
      </w:r>
      <w:r w:rsidR="00402C1B" w:rsidRPr="00402C1B">
        <w:rPr>
          <w:noProof/>
        </w:rPr>
        <w:t xml:space="preserve"> i</w:t>
      </w:r>
      <w:r w:rsidR="00402C1B">
        <w:rPr>
          <w:noProof/>
        </w:rPr>
        <w:t> </w:t>
      </w:r>
      <w:r w:rsidR="00402C1B" w:rsidRPr="00402C1B">
        <w:rPr>
          <w:noProof/>
        </w:rPr>
        <w:t>zas</w:t>
      </w:r>
      <w:r w:rsidR="00E522C4" w:rsidRPr="00402C1B">
        <w:rPr>
          <w:noProof/>
        </w:rPr>
        <w:t>ad walidacji,</w:t>
      </w:r>
      <w:r w:rsidR="00402C1B" w:rsidRPr="00402C1B">
        <w:rPr>
          <w:noProof/>
        </w:rPr>
        <w:t xml:space="preserve"> o</w:t>
      </w:r>
      <w:r w:rsidR="00402C1B">
        <w:rPr>
          <w:noProof/>
        </w:rPr>
        <w:t> </w:t>
      </w:r>
      <w:r w:rsidR="00402C1B" w:rsidRPr="00402C1B">
        <w:rPr>
          <w:noProof/>
        </w:rPr>
        <w:t>któ</w:t>
      </w:r>
      <w:r w:rsidR="00E522C4" w:rsidRPr="00402C1B">
        <w:rPr>
          <w:noProof/>
        </w:rPr>
        <w:t>rych mowa</w:t>
      </w:r>
      <w:r w:rsidR="00402C1B" w:rsidRPr="00402C1B">
        <w:rPr>
          <w:noProof/>
        </w:rPr>
        <w:t xml:space="preserve"> w</w:t>
      </w:r>
      <w:r w:rsidR="00402C1B">
        <w:rPr>
          <w:noProof/>
        </w:rPr>
        <w:t> </w:t>
      </w:r>
      <w:r w:rsidR="00402C1B" w:rsidRPr="00402C1B">
        <w:rPr>
          <w:noProof/>
        </w:rPr>
        <w:t>zał</w:t>
      </w:r>
      <w:r w:rsidR="00E522C4" w:rsidRPr="00402C1B">
        <w:rPr>
          <w:noProof/>
        </w:rPr>
        <w:t xml:space="preserve">ączniku III. </w:t>
      </w:r>
    </w:p>
    <w:p w:rsidR="00E522C4" w:rsidRPr="00402C1B" w:rsidRDefault="00BC2ED2" w:rsidP="00BC2ED2">
      <w:pPr>
        <w:pStyle w:val="ManualNumPar1"/>
        <w:rPr>
          <w:noProof/>
        </w:rPr>
      </w:pPr>
      <w:r w:rsidRPr="00BC2ED2">
        <w:rPr>
          <w:noProof/>
        </w:rPr>
        <w:t>2.</w:t>
      </w:r>
      <w:r w:rsidRPr="00BC2ED2">
        <w:rPr>
          <w:noProof/>
        </w:rPr>
        <w:tab/>
      </w:r>
      <w:r w:rsidR="00E522C4" w:rsidRPr="00402C1B">
        <w:rPr>
          <w:noProof/>
        </w:rPr>
        <w:t>Oprócz obowiązku,</w:t>
      </w:r>
      <w:r w:rsidR="00402C1B" w:rsidRPr="00402C1B">
        <w:rPr>
          <w:noProof/>
        </w:rPr>
        <w:t xml:space="preserve"> o</w:t>
      </w:r>
      <w:r w:rsidR="00402C1B">
        <w:rPr>
          <w:noProof/>
        </w:rPr>
        <w:t> </w:t>
      </w:r>
      <w:r w:rsidR="00402C1B" w:rsidRPr="00402C1B">
        <w:rPr>
          <w:noProof/>
        </w:rPr>
        <w:t>któ</w:t>
      </w:r>
      <w:r w:rsidR="00E522C4" w:rsidRPr="00402C1B">
        <w:rPr>
          <w:noProof/>
        </w:rPr>
        <w:t>rym mowa</w:t>
      </w:r>
      <w:r w:rsidR="00402C1B" w:rsidRPr="00402C1B">
        <w:rPr>
          <w:noProof/>
        </w:rPr>
        <w:t xml:space="preserve"> w</w:t>
      </w:r>
      <w:r w:rsidR="00402C1B">
        <w:rPr>
          <w:noProof/>
        </w:rPr>
        <w:t> </w:t>
      </w:r>
      <w:r w:rsidR="00402C1B" w:rsidRPr="00402C1B">
        <w:rPr>
          <w:noProof/>
        </w:rPr>
        <w:t>ust</w:t>
      </w:r>
      <w:r w:rsidR="00E522C4" w:rsidRPr="00402C1B">
        <w:rPr>
          <w:noProof/>
        </w:rPr>
        <w:t>.</w:t>
      </w:r>
      <w:r w:rsidR="00402C1B" w:rsidRPr="00402C1B">
        <w:rPr>
          <w:noProof/>
        </w:rPr>
        <w:t> </w:t>
      </w:r>
      <w:r w:rsidR="00E522C4" w:rsidRPr="00402C1B">
        <w:rPr>
          <w:noProof/>
        </w:rPr>
        <w:t>1, instytucje lub,</w:t>
      </w:r>
      <w:r w:rsidR="00402C1B" w:rsidRPr="00402C1B">
        <w:rPr>
          <w:noProof/>
        </w:rPr>
        <w:t xml:space="preserve"> w</w:t>
      </w:r>
      <w:r w:rsidR="00402C1B">
        <w:rPr>
          <w:noProof/>
        </w:rPr>
        <w:t> </w:t>
      </w:r>
      <w:r w:rsidR="00402C1B" w:rsidRPr="00402C1B">
        <w:rPr>
          <w:noProof/>
        </w:rPr>
        <w:t>prz</w:t>
      </w:r>
      <w:r w:rsidR="00E522C4" w:rsidRPr="00402C1B">
        <w:rPr>
          <w:noProof/>
        </w:rPr>
        <w:t>ypadku grup, unijne jednostki dominujące zapewniają spełnianie następujących warunków:</w:t>
      </w:r>
    </w:p>
    <w:p w:rsidR="00E522C4" w:rsidRPr="00402C1B" w:rsidRDefault="00402C1B" w:rsidP="00402C1B">
      <w:pPr>
        <w:pStyle w:val="Point1"/>
        <w:rPr>
          <w:noProof/>
        </w:rPr>
      </w:pPr>
      <w:r>
        <w:rPr>
          <w:noProof/>
        </w:rPr>
        <w:t>a)</w:t>
      </w:r>
      <w:r>
        <w:rPr>
          <w:noProof/>
        </w:rPr>
        <w:tab/>
      </w:r>
      <w:r w:rsidR="00E522C4" w:rsidRPr="00402C1B">
        <w:rPr>
          <w:noProof/>
        </w:rPr>
        <w:t>wartości numeryczne przedstawia się</w:t>
      </w:r>
      <w:r w:rsidRPr="00402C1B">
        <w:rPr>
          <w:noProof/>
        </w:rPr>
        <w:t xml:space="preserve"> w</w:t>
      </w:r>
      <w:r>
        <w:rPr>
          <w:noProof/>
        </w:rPr>
        <w:t> </w:t>
      </w:r>
      <w:r w:rsidRPr="00402C1B">
        <w:rPr>
          <w:noProof/>
        </w:rPr>
        <w:t>nas</w:t>
      </w:r>
      <w:r w:rsidR="00E522C4" w:rsidRPr="00402C1B">
        <w:rPr>
          <w:noProof/>
        </w:rPr>
        <w:t>tępujący sposób:</w:t>
      </w:r>
    </w:p>
    <w:p w:rsidR="00E522C4" w:rsidRPr="00402C1B" w:rsidRDefault="00E522C4" w:rsidP="00184085">
      <w:pPr>
        <w:pStyle w:val="Point2"/>
        <w:rPr>
          <w:noProof/>
        </w:rPr>
      </w:pPr>
      <w:r w:rsidRPr="00402C1B">
        <w:rPr>
          <w:noProof/>
        </w:rPr>
        <w:t>(i)</w:t>
      </w:r>
      <w:r w:rsidRPr="00402C1B">
        <w:rPr>
          <w:noProof/>
        </w:rPr>
        <w:tab/>
        <w:t>punkty danych obejmujące rodzaj danych „kwota pieniężna” przedstawia się</w:t>
      </w:r>
      <w:r w:rsidR="00402C1B" w:rsidRPr="00402C1B">
        <w:rPr>
          <w:noProof/>
        </w:rPr>
        <w:t xml:space="preserve"> z</w:t>
      </w:r>
      <w:r w:rsidR="00402C1B">
        <w:rPr>
          <w:noProof/>
        </w:rPr>
        <w:t> </w:t>
      </w:r>
      <w:r w:rsidR="00402C1B" w:rsidRPr="00402C1B">
        <w:rPr>
          <w:noProof/>
        </w:rPr>
        <w:t>zas</w:t>
      </w:r>
      <w:r w:rsidRPr="00402C1B">
        <w:rPr>
          <w:noProof/>
        </w:rPr>
        <w:t xml:space="preserve">tosowaniem minimalnej dokładności odpowiadającej dziesięciu tysiącom jednostek; </w:t>
      </w:r>
    </w:p>
    <w:p w:rsidR="00E522C4" w:rsidRPr="00402C1B" w:rsidRDefault="00E522C4" w:rsidP="00184085">
      <w:pPr>
        <w:pStyle w:val="Point2"/>
        <w:rPr>
          <w:noProof/>
        </w:rPr>
      </w:pPr>
      <w:r w:rsidRPr="00402C1B">
        <w:rPr>
          <w:noProof/>
        </w:rPr>
        <w:t>(ii)</w:t>
      </w:r>
      <w:r w:rsidRPr="00402C1B">
        <w:rPr>
          <w:noProof/>
        </w:rPr>
        <w:tab/>
        <w:t>punkty danych obejmujące rodzaj danych „wartość procentowa” wyraża się zgodnie</w:t>
      </w:r>
      <w:r w:rsidR="00402C1B" w:rsidRPr="00402C1B">
        <w:rPr>
          <w:noProof/>
        </w:rPr>
        <w:t xml:space="preserve"> z</w:t>
      </w:r>
      <w:r w:rsidR="00402C1B">
        <w:rPr>
          <w:noProof/>
        </w:rPr>
        <w:t> </w:t>
      </w:r>
      <w:r w:rsidR="00402C1B" w:rsidRPr="00402C1B">
        <w:rPr>
          <w:noProof/>
        </w:rPr>
        <w:t>jed</w:t>
      </w:r>
      <w:r w:rsidRPr="00402C1B">
        <w:rPr>
          <w:noProof/>
        </w:rPr>
        <w:t>nostką,</w:t>
      </w:r>
      <w:r w:rsidR="00402C1B" w:rsidRPr="00402C1B">
        <w:rPr>
          <w:noProof/>
        </w:rPr>
        <w:t xml:space="preserve"> z</w:t>
      </w:r>
      <w:r w:rsidR="00402C1B">
        <w:rPr>
          <w:noProof/>
        </w:rPr>
        <w:t> </w:t>
      </w:r>
      <w:r w:rsidR="00402C1B" w:rsidRPr="00402C1B">
        <w:rPr>
          <w:noProof/>
        </w:rPr>
        <w:t>zas</w:t>
      </w:r>
      <w:r w:rsidRPr="00402C1B">
        <w:rPr>
          <w:noProof/>
        </w:rPr>
        <w:t>tosowaniem minimalnej dokładności odpowiadającej czterem miejscom po przecinku;</w:t>
      </w:r>
    </w:p>
    <w:p w:rsidR="00E522C4" w:rsidRPr="00402C1B" w:rsidRDefault="00E522C4" w:rsidP="00184085">
      <w:pPr>
        <w:pStyle w:val="Point2"/>
        <w:rPr>
          <w:noProof/>
        </w:rPr>
      </w:pPr>
      <w:r w:rsidRPr="00402C1B">
        <w:rPr>
          <w:noProof/>
        </w:rPr>
        <w:t>(iii)</w:t>
      </w:r>
      <w:r w:rsidRPr="00402C1B">
        <w:rPr>
          <w:noProof/>
        </w:rPr>
        <w:tab/>
        <w:t>punkty danych obejmujące rodzaj danych „liczba całkowita” przedstawia się bez miejsc po przecinku oraz</w:t>
      </w:r>
      <w:r w:rsidR="00402C1B" w:rsidRPr="00402C1B">
        <w:rPr>
          <w:noProof/>
        </w:rPr>
        <w:t xml:space="preserve"> z</w:t>
      </w:r>
      <w:r w:rsidR="00402C1B">
        <w:rPr>
          <w:noProof/>
        </w:rPr>
        <w:t> </w:t>
      </w:r>
      <w:r w:rsidR="00402C1B" w:rsidRPr="00402C1B">
        <w:rPr>
          <w:noProof/>
        </w:rPr>
        <w:t>dok</w:t>
      </w:r>
      <w:r w:rsidRPr="00402C1B">
        <w:rPr>
          <w:noProof/>
        </w:rPr>
        <w:t>ładnością odpowiadającą jednostkom;</w:t>
      </w:r>
    </w:p>
    <w:p w:rsidR="00E522C4" w:rsidRPr="00402C1B" w:rsidRDefault="00402C1B" w:rsidP="00402C1B">
      <w:pPr>
        <w:pStyle w:val="Point1"/>
        <w:rPr>
          <w:noProof/>
        </w:rPr>
      </w:pPr>
      <w:r>
        <w:rPr>
          <w:noProof/>
        </w:rPr>
        <w:t>b)</w:t>
      </w:r>
      <w:r>
        <w:rPr>
          <w:noProof/>
        </w:rPr>
        <w:tab/>
      </w:r>
      <w:r w:rsidR="00E522C4" w:rsidRPr="00402C1B">
        <w:rPr>
          <w:noProof/>
        </w:rPr>
        <w:t>instytucje</w:t>
      </w:r>
      <w:r w:rsidRPr="00402C1B">
        <w:rPr>
          <w:noProof/>
        </w:rPr>
        <w:t xml:space="preserve"> i</w:t>
      </w:r>
      <w:r>
        <w:rPr>
          <w:noProof/>
        </w:rPr>
        <w:t> </w:t>
      </w:r>
      <w:r w:rsidRPr="00402C1B">
        <w:rPr>
          <w:noProof/>
        </w:rPr>
        <w:t>zak</w:t>
      </w:r>
      <w:r w:rsidR="00E522C4" w:rsidRPr="00402C1B">
        <w:rPr>
          <w:noProof/>
        </w:rPr>
        <w:t>łady ubezpieczeń identyfikuje się wyłącznie na podstawie ich identyfikatora podmiotu prawnego;</w:t>
      </w:r>
    </w:p>
    <w:p w:rsidR="00E522C4" w:rsidRPr="00402C1B" w:rsidRDefault="00402C1B" w:rsidP="00402C1B">
      <w:pPr>
        <w:pStyle w:val="Point1"/>
        <w:rPr>
          <w:noProof/>
        </w:rPr>
      </w:pPr>
      <w:r>
        <w:rPr>
          <w:noProof/>
        </w:rPr>
        <w:t>c)</w:t>
      </w:r>
      <w:r>
        <w:rPr>
          <w:noProof/>
        </w:rPr>
        <w:tab/>
      </w:r>
      <w:r w:rsidR="00E522C4" w:rsidRPr="00402C1B">
        <w:rPr>
          <w:noProof/>
        </w:rPr>
        <w:t>osoby prawne</w:t>
      </w:r>
      <w:r w:rsidRPr="00402C1B">
        <w:rPr>
          <w:noProof/>
        </w:rPr>
        <w:t xml:space="preserve"> i</w:t>
      </w:r>
      <w:r>
        <w:rPr>
          <w:noProof/>
        </w:rPr>
        <w:t> </w:t>
      </w:r>
      <w:r w:rsidRPr="00402C1B">
        <w:rPr>
          <w:noProof/>
        </w:rPr>
        <w:t>kon</w:t>
      </w:r>
      <w:r w:rsidR="00E522C4" w:rsidRPr="00402C1B">
        <w:rPr>
          <w:noProof/>
        </w:rPr>
        <w:t>trahentów innych niż instytucje</w:t>
      </w:r>
      <w:r w:rsidRPr="00402C1B">
        <w:rPr>
          <w:noProof/>
        </w:rPr>
        <w:t xml:space="preserve"> i</w:t>
      </w:r>
      <w:r>
        <w:rPr>
          <w:noProof/>
        </w:rPr>
        <w:t> </w:t>
      </w:r>
      <w:r w:rsidRPr="00402C1B">
        <w:rPr>
          <w:noProof/>
        </w:rPr>
        <w:t>zak</w:t>
      </w:r>
      <w:r w:rsidR="00E522C4" w:rsidRPr="00402C1B">
        <w:rPr>
          <w:noProof/>
        </w:rPr>
        <w:t>łady ubezpieczeń identyfikuje się na podstawie ich identyfikatora podmiotu prawnego, jeżeli im go nadano;</w:t>
      </w:r>
    </w:p>
    <w:p w:rsidR="0046629F" w:rsidRPr="00402C1B" w:rsidRDefault="00402C1B" w:rsidP="00402C1B">
      <w:pPr>
        <w:pStyle w:val="Point1"/>
        <w:rPr>
          <w:noProof/>
        </w:rPr>
      </w:pPr>
      <w:r>
        <w:rPr>
          <w:noProof/>
        </w:rPr>
        <w:t>d)</w:t>
      </w:r>
      <w:r>
        <w:rPr>
          <w:noProof/>
        </w:rPr>
        <w:tab/>
      </w:r>
      <w:r w:rsidR="0046629F" w:rsidRPr="00402C1B">
        <w:rPr>
          <w:noProof/>
        </w:rPr>
        <w:t>w przedłożonych danych nie uwzględnia się danych, które nie są wymagane ani nie mają zastosowania.</w:t>
      </w:r>
    </w:p>
    <w:p w:rsidR="00E522C4" w:rsidRPr="00402C1B" w:rsidRDefault="00BC2ED2" w:rsidP="00BC2ED2">
      <w:pPr>
        <w:pStyle w:val="ManualNumPar1"/>
        <w:rPr>
          <w:noProof/>
        </w:rPr>
      </w:pPr>
      <w:r w:rsidRPr="00BC2ED2">
        <w:rPr>
          <w:noProof/>
        </w:rPr>
        <w:t>3.</w:t>
      </w:r>
      <w:r w:rsidRPr="00BC2ED2">
        <w:rPr>
          <w:noProof/>
        </w:rPr>
        <w:tab/>
      </w:r>
      <w:r w:rsidR="004B472A" w:rsidRPr="00402C1B">
        <w:rPr>
          <w:noProof/>
        </w:rPr>
        <w:t>Do przedłożonych danych instytucje lub,</w:t>
      </w:r>
      <w:r w:rsidR="00402C1B" w:rsidRPr="00402C1B">
        <w:rPr>
          <w:noProof/>
        </w:rPr>
        <w:t xml:space="preserve"> w</w:t>
      </w:r>
      <w:r w:rsidR="00402C1B">
        <w:rPr>
          <w:noProof/>
        </w:rPr>
        <w:t> </w:t>
      </w:r>
      <w:r w:rsidR="00402C1B" w:rsidRPr="00402C1B">
        <w:rPr>
          <w:noProof/>
        </w:rPr>
        <w:t>prz</w:t>
      </w:r>
      <w:r w:rsidR="004B472A" w:rsidRPr="00402C1B">
        <w:rPr>
          <w:noProof/>
        </w:rPr>
        <w:t>ypadku grup, unijne jednostki dominujące dołączają następujące informacje dotyczące:</w:t>
      </w:r>
    </w:p>
    <w:p w:rsidR="004B472A" w:rsidRPr="00402C1B" w:rsidRDefault="00402C1B" w:rsidP="00402C1B">
      <w:pPr>
        <w:pStyle w:val="Point1"/>
        <w:rPr>
          <w:noProof/>
        </w:rPr>
      </w:pPr>
      <w:r>
        <w:rPr>
          <w:noProof/>
        </w:rPr>
        <w:t>a)</w:t>
      </w:r>
      <w:r>
        <w:rPr>
          <w:noProof/>
        </w:rPr>
        <w:tab/>
      </w:r>
      <w:r w:rsidR="004B472A" w:rsidRPr="00402C1B">
        <w:rPr>
          <w:noProof/>
        </w:rPr>
        <w:t>dnia odniesienia;</w:t>
      </w:r>
    </w:p>
    <w:p w:rsidR="004B472A" w:rsidRPr="00402C1B" w:rsidRDefault="00402C1B" w:rsidP="00402C1B">
      <w:pPr>
        <w:pStyle w:val="Point1"/>
        <w:rPr>
          <w:noProof/>
        </w:rPr>
      </w:pPr>
      <w:r>
        <w:rPr>
          <w:noProof/>
        </w:rPr>
        <w:t>b)</w:t>
      </w:r>
      <w:r>
        <w:rPr>
          <w:noProof/>
        </w:rPr>
        <w:tab/>
      </w:r>
      <w:r w:rsidR="004B472A" w:rsidRPr="00402C1B">
        <w:rPr>
          <w:noProof/>
        </w:rPr>
        <w:t>waluty sprawozdawczej;</w:t>
      </w:r>
    </w:p>
    <w:p w:rsidR="004B472A" w:rsidRPr="00402C1B" w:rsidRDefault="00402C1B" w:rsidP="00402C1B">
      <w:pPr>
        <w:pStyle w:val="Point1"/>
        <w:rPr>
          <w:noProof/>
        </w:rPr>
      </w:pPr>
      <w:r>
        <w:rPr>
          <w:noProof/>
        </w:rPr>
        <w:t>c)</w:t>
      </w:r>
      <w:r>
        <w:rPr>
          <w:noProof/>
        </w:rPr>
        <w:tab/>
      </w:r>
      <w:r w:rsidR="004B472A" w:rsidRPr="00402C1B">
        <w:rPr>
          <w:noProof/>
        </w:rPr>
        <w:t>standardu rachunkowości;</w:t>
      </w:r>
    </w:p>
    <w:p w:rsidR="004B472A" w:rsidRPr="00402C1B" w:rsidRDefault="00402C1B" w:rsidP="00402C1B">
      <w:pPr>
        <w:pStyle w:val="Point1"/>
        <w:rPr>
          <w:noProof/>
        </w:rPr>
      </w:pPr>
      <w:r>
        <w:rPr>
          <w:noProof/>
        </w:rPr>
        <w:t>d)</w:t>
      </w:r>
      <w:r>
        <w:rPr>
          <w:noProof/>
        </w:rPr>
        <w:tab/>
      </w:r>
      <w:r w:rsidR="004B472A" w:rsidRPr="00402C1B">
        <w:rPr>
          <w:noProof/>
        </w:rPr>
        <w:t>identyfikatora podmiotu prawnego jednostki sprawozdawczej;</w:t>
      </w:r>
    </w:p>
    <w:p w:rsidR="004B472A" w:rsidRPr="00402C1B" w:rsidRDefault="00402C1B" w:rsidP="00402C1B">
      <w:pPr>
        <w:pStyle w:val="Point1"/>
        <w:rPr>
          <w:noProof/>
        </w:rPr>
      </w:pPr>
      <w:r>
        <w:rPr>
          <w:noProof/>
        </w:rPr>
        <w:t>e)</w:t>
      </w:r>
      <w:r>
        <w:rPr>
          <w:noProof/>
        </w:rPr>
        <w:tab/>
      </w:r>
      <w:r w:rsidR="004B472A" w:rsidRPr="00402C1B">
        <w:rPr>
          <w:noProof/>
        </w:rPr>
        <w:t>poziomu stosowania określonego</w:t>
      </w:r>
      <w:r w:rsidRPr="00402C1B">
        <w:rPr>
          <w:noProof/>
        </w:rPr>
        <w:t xml:space="preserve"> w</w:t>
      </w:r>
      <w:r>
        <w:rPr>
          <w:noProof/>
        </w:rPr>
        <w:t> </w:t>
      </w:r>
      <w:r w:rsidRPr="00402C1B">
        <w:rPr>
          <w:noProof/>
        </w:rPr>
        <w:t>art</w:t>
      </w:r>
      <w:r w:rsidR="004B472A" w:rsidRPr="00402C1B">
        <w:rPr>
          <w:noProof/>
        </w:rPr>
        <w:t>.</w:t>
      </w:r>
      <w:r w:rsidRPr="00402C1B">
        <w:rPr>
          <w:noProof/>
        </w:rPr>
        <w:t> </w:t>
      </w:r>
      <w:r w:rsidR="004B472A" w:rsidRPr="00402C1B">
        <w:rPr>
          <w:noProof/>
        </w:rPr>
        <w:t>2, 3</w:t>
      </w:r>
      <w:r w:rsidRPr="00402C1B">
        <w:rPr>
          <w:noProof/>
        </w:rPr>
        <w:t xml:space="preserve"> i</w:t>
      </w:r>
      <w:r>
        <w:rPr>
          <w:noProof/>
        </w:rPr>
        <w:t> </w:t>
      </w:r>
      <w:r w:rsidRPr="00402C1B">
        <w:rPr>
          <w:noProof/>
        </w:rPr>
        <w:t>4</w:t>
      </w:r>
      <w:r w:rsidR="004B472A" w:rsidRPr="00402C1B">
        <w:rPr>
          <w:noProof/>
        </w:rPr>
        <w:t>.</w:t>
      </w:r>
    </w:p>
    <w:p w:rsidR="004B472A" w:rsidRPr="00402C1B" w:rsidRDefault="004B472A" w:rsidP="00184085">
      <w:pPr>
        <w:pStyle w:val="Titrearticle"/>
        <w:rPr>
          <w:noProof/>
        </w:rPr>
      </w:pPr>
      <w:bookmarkStart w:id="3" w:name="_Hlk169616472"/>
      <w:r w:rsidRPr="00402C1B">
        <w:rPr>
          <w:noProof/>
        </w:rPr>
        <w:t>Artykuł 8</w:t>
      </w:r>
    </w:p>
    <w:p w:rsidR="004B472A" w:rsidRPr="00402C1B" w:rsidRDefault="004B472A" w:rsidP="00184085">
      <w:pPr>
        <w:pStyle w:val="Titrearticle"/>
        <w:spacing w:before="0"/>
        <w:rPr>
          <w:b/>
          <w:bCs/>
          <w:i w:val="0"/>
          <w:iCs/>
          <w:noProof/>
        </w:rPr>
      </w:pPr>
      <w:r w:rsidRPr="00402C1B">
        <w:rPr>
          <w:b/>
          <w:i w:val="0"/>
          <w:noProof/>
        </w:rPr>
        <w:t>Przekazywanie dodatkowych informacji do celów indywidualnych lub grupowych planów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 xml:space="preserve">rządkowanej likwidacji </w:t>
      </w:r>
    </w:p>
    <w:bookmarkEnd w:id="3"/>
    <w:p w:rsidR="00FA69C1" w:rsidRPr="00402C1B" w:rsidRDefault="00BC2ED2" w:rsidP="00BC2ED2">
      <w:pPr>
        <w:pStyle w:val="ManualNumPar1"/>
        <w:rPr>
          <w:noProof/>
        </w:rPr>
      </w:pPr>
      <w:r w:rsidRPr="00BC2ED2">
        <w:rPr>
          <w:noProof/>
        </w:rPr>
        <w:t>1.</w:t>
      </w:r>
      <w:r w:rsidRPr="00BC2ED2">
        <w:rPr>
          <w:noProof/>
        </w:rPr>
        <w:tab/>
      </w:r>
      <w:r w:rsidR="00C747E3" w:rsidRPr="00402C1B">
        <w:rPr>
          <w:noProof/>
        </w:rPr>
        <w:t>Organ ds. restrukturyzacji</w:t>
      </w:r>
      <w:r w:rsidR="00402C1B" w:rsidRPr="00402C1B">
        <w:rPr>
          <w:noProof/>
        </w:rPr>
        <w:t xml:space="preserve"> i</w:t>
      </w:r>
      <w:r w:rsidR="00402C1B">
        <w:rPr>
          <w:noProof/>
        </w:rPr>
        <w:t> </w:t>
      </w:r>
      <w:r w:rsidR="00402C1B" w:rsidRPr="00402C1B">
        <w:rPr>
          <w:noProof/>
        </w:rPr>
        <w:t>upo</w:t>
      </w:r>
      <w:r w:rsidR="00C747E3" w:rsidRPr="00402C1B">
        <w:rPr>
          <w:noProof/>
        </w:rPr>
        <w:t>rządkowanej likwidacji lub grupowy organ ds. restrukturyzacji</w:t>
      </w:r>
      <w:r w:rsidR="00402C1B" w:rsidRPr="00402C1B">
        <w:rPr>
          <w:noProof/>
        </w:rPr>
        <w:t xml:space="preserve"> i</w:t>
      </w:r>
      <w:r w:rsidR="00402C1B">
        <w:rPr>
          <w:noProof/>
        </w:rPr>
        <w:t> </w:t>
      </w:r>
      <w:r w:rsidR="00402C1B" w:rsidRPr="00402C1B">
        <w:rPr>
          <w:noProof/>
        </w:rPr>
        <w:t>upo</w:t>
      </w:r>
      <w:r w:rsidR="00C747E3" w:rsidRPr="00402C1B">
        <w:rPr>
          <w:noProof/>
        </w:rPr>
        <w:t>rządkowanej likwidacji zwraca się do odpowiedniej instytucji lub unijnej jednostki dominującej</w:t>
      </w:r>
      <w:r w:rsidR="00402C1B" w:rsidRPr="00402C1B">
        <w:rPr>
          <w:noProof/>
        </w:rPr>
        <w:t xml:space="preserve"> z</w:t>
      </w:r>
      <w:r w:rsidR="00402C1B">
        <w:rPr>
          <w:noProof/>
        </w:rPr>
        <w:t> </w:t>
      </w:r>
      <w:r w:rsidR="00402C1B" w:rsidRPr="00402C1B">
        <w:rPr>
          <w:noProof/>
        </w:rPr>
        <w:t>wni</w:t>
      </w:r>
      <w:r w:rsidR="00C747E3" w:rsidRPr="00402C1B">
        <w:rPr>
          <w:noProof/>
        </w:rPr>
        <w:t>oskiem</w:t>
      </w:r>
      <w:r w:rsidR="00402C1B" w:rsidRPr="00402C1B">
        <w:rPr>
          <w:noProof/>
        </w:rPr>
        <w:t xml:space="preserve"> o</w:t>
      </w:r>
      <w:r w:rsidR="00402C1B">
        <w:rPr>
          <w:noProof/>
        </w:rPr>
        <w:t> </w:t>
      </w:r>
      <w:r w:rsidR="00402C1B" w:rsidRPr="00402C1B">
        <w:rPr>
          <w:noProof/>
        </w:rPr>
        <w:t>dod</w:t>
      </w:r>
      <w:r w:rsidR="00C747E3" w:rsidRPr="00402C1B">
        <w:rPr>
          <w:noProof/>
        </w:rPr>
        <w:t>atkowe informacje lub informacje</w:t>
      </w:r>
      <w:r w:rsidR="00402C1B" w:rsidRPr="00402C1B">
        <w:rPr>
          <w:noProof/>
        </w:rPr>
        <w:t xml:space="preserve"> w</w:t>
      </w:r>
      <w:r w:rsidR="00402C1B">
        <w:rPr>
          <w:noProof/>
        </w:rPr>
        <w:t> </w:t>
      </w:r>
      <w:r w:rsidR="00402C1B" w:rsidRPr="00402C1B">
        <w:rPr>
          <w:noProof/>
        </w:rPr>
        <w:t>now</w:t>
      </w:r>
      <w:r w:rsidR="00C747E3" w:rsidRPr="00402C1B">
        <w:rPr>
          <w:noProof/>
        </w:rPr>
        <w:t>ym formacie, jeżeli spełniony jest jakikolwiek</w:t>
      </w:r>
      <w:r w:rsidR="00402C1B" w:rsidRPr="00402C1B">
        <w:rPr>
          <w:noProof/>
        </w:rPr>
        <w:t xml:space="preserve"> z</w:t>
      </w:r>
      <w:r w:rsidR="00402C1B">
        <w:rPr>
          <w:noProof/>
        </w:rPr>
        <w:t> </w:t>
      </w:r>
      <w:r w:rsidR="00402C1B" w:rsidRPr="00402C1B">
        <w:rPr>
          <w:noProof/>
        </w:rPr>
        <w:t>pon</w:t>
      </w:r>
      <w:r w:rsidR="00C747E3" w:rsidRPr="00402C1B">
        <w:rPr>
          <w:noProof/>
        </w:rPr>
        <w:t>iższych warunków:</w:t>
      </w:r>
    </w:p>
    <w:p w:rsidR="00FA69C1" w:rsidRPr="00402C1B" w:rsidRDefault="00402C1B" w:rsidP="00402C1B">
      <w:pPr>
        <w:pStyle w:val="Point1"/>
        <w:rPr>
          <w:noProof/>
        </w:rPr>
      </w:pPr>
      <w:r>
        <w:rPr>
          <w:noProof/>
        </w:rPr>
        <w:t>a)</w:t>
      </w:r>
      <w:r>
        <w:rPr>
          <w:noProof/>
        </w:rPr>
        <w:tab/>
      </w:r>
      <w:r w:rsidR="00FA69C1" w:rsidRPr="00402C1B">
        <w:rPr>
          <w:noProof/>
        </w:rPr>
        <w:t>organ ds. restrukturyzacji</w:t>
      </w:r>
      <w:r w:rsidRPr="00402C1B">
        <w:rPr>
          <w:noProof/>
        </w:rPr>
        <w:t xml:space="preserve"> i</w:t>
      </w:r>
      <w:r>
        <w:rPr>
          <w:noProof/>
        </w:rPr>
        <w:t> </w:t>
      </w:r>
      <w:r w:rsidRPr="00402C1B">
        <w:rPr>
          <w:noProof/>
        </w:rPr>
        <w:t>upo</w:t>
      </w:r>
      <w:r w:rsidR="00FA69C1" w:rsidRPr="00402C1B">
        <w:rPr>
          <w:noProof/>
        </w:rPr>
        <w:t>rządkowanej likwidacji lub grupowy organ ds. restrukturyzacji</w:t>
      </w:r>
      <w:r w:rsidRPr="00402C1B">
        <w:rPr>
          <w:noProof/>
        </w:rPr>
        <w:t xml:space="preserve"> i</w:t>
      </w:r>
      <w:r>
        <w:rPr>
          <w:noProof/>
        </w:rPr>
        <w:t> </w:t>
      </w:r>
      <w:r w:rsidRPr="00402C1B">
        <w:rPr>
          <w:noProof/>
        </w:rPr>
        <w:t>upo</w:t>
      </w:r>
      <w:r w:rsidR="00FA69C1" w:rsidRPr="00402C1B">
        <w:rPr>
          <w:noProof/>
        </w:rPr>
        <w:t>rządkowanej likwidacji uważa, że takie informacje nie są ujęte</w:t>
      </w:r>
      <w:r w:rsidRPr="00402C1B">
        <w:rPr>
          <w:noProof/>
        </w:rPr>
        <w:t xml:space="preserve"> w</w:t>
      </w:r>
      <w:r>
        <w:rPr>
          <w:noProof/>
        </w:rPr>
        <w:t> </w:t>
      </w:r>
      <w:r w:rsidRPr="00402C1B">
        <w:rPr>
          <w:noProof/>
        </w:rPr>
        <w:t>żad</w:t>
      </w:r>
      <w:r w:rsidR="00FA69C1" w:rsidRPr="00402C1B">
        <w:rPr>
          <w:noProof/>
        </w:rPr>
        <w:t>nym szablonie zawartym</w:t>
      </w:r>
      <w:r w:rsidRPr="00402C1B">
        <w:rPr>
          <w:noProof/>
        </w:rPr>
        <w:t xml:space="preserve"> w</w:t>
      </w:r>
      <w:r>
        <w:rPr>
          <w:noProof/>
        </w:rPr>
        <w:t> </w:t>
      </w:r>
      <w:r w:rsidRPr="00402C1B">
        <w:rPr>
          <w:noProof/>
        </w:rPr>
        <w:t>zał</w:t>
      </w:r>
      <w:r w:rsidR="00FA69C1" w:rsidRPr="00402C1B">
        <w:rPr>
          <w:noProof/>
        </w:rPr>
        <w:t>ączniku I i są niezbędne do sporządzenia</w:t>
      </w:r>
      <w:r w:rsidRPr="00402C1B">
        <w:rPr>
          <w:noProof/>
        </w:rPr>
        <w:t xml:space="preserve"> i</w:t>
      </w:r>
      <w:r>
        <w:rPr>
          <w:noProof/>
        </w:rPr>
        <w:t> </w:t>
      </w:r>
      <w:r w:rsidRPr="00402C1B">
        <w:rPr>
          <w:noProof/>
        </w:rPr>
        <w:t>wdr</w:t>
      </w:r>
      <w:r w:rsidR="00FA69C1" w:rsidRPr="00402C1B">
        <w:rPr>
          <w:noProof/>
        </w:rPr>
        <w:t>ożenia planów restrukturyzacji</w:t>
      </w:r>
      <w:r w:rsidRPr="00402C1B">
        <w:rPr>
          <w:noProof/>
        </w:rPr>
        <w:t xml:space="preserve"> i</w:t>
      </w:r>
      <w:r>
        <w:rPr>
          <w:noProof/>
        </w:rPr>
        <w:t> </w:t>
      </w:r>
      <w:r w:rsidRPr="00402C1B">
        <w:rPr>
          <w:noProof/>
        </w:rPr>
        <w:t>upo</w:t>
      </w:r>
      <w:r w:rsidR="00FA69C1" w:rsidRPr="00402C1B">
        <w:rPr>
          <w:noProof/>
        </w:rPr>
        <w:t>rządkowanej likwidacji;</w:t>
      </w:r>
    </w:p>
    <w:p w:rsidR="00FA69C1" w:rsidRPr="00402C1B" w:rsidRDefault="00402C1B" w:rsidP="00402C1B">
      <w:pPr>
        <w:pStyle w:val="Point1"/>
        <w:rPr>
          <w:noProof/>
        </w:rPr>
      </w:pPr>
      <w:r>
        <w:rPr>
          <w:noProof/>
        </w:rPr>
        <w:t>b)</w:t>
      </w:r>
      <w:r>
        <w:rPr>
          <w:noProof/>
        </w:rPr>
        <w:tab/>
      </w:r>
      <w:r w:rsidR="00FA69C1" w:rsidRPr="00402C1B">
        <w:rPr>
          <w:noProof/>
        </w:rPr>
        <w:t>organ ds. restrukturyzacji</w:t>
      </w:r>
      <w:r w:rsidRPr="00402C1B">
        <w:rPr>
          <w:noProof/>
        </w:rPr>
        <w:t xml:space="preserve"> i</w:t>
      </w:r>
      <w:r>
        <w:rPr>
          <w:noProof/>
        </w:rPr>
        <w:t> </w:t>
      </w:r>
      <w:r w:rsidRPr="00402C1B">
        <w:rPr>
          <w:noProof/>
        </w:rPr>
        <w:t>upo</w:t>
      </w:r>
      <w:r w:rsidR="00FA69C1" w:rsidRPr="00402C1B">
        <w:rPr>
          <w:noProof/>
        </w:rPr>
        <w:t>rządkowanej likwidacji lub grupowy organ ds. restrukturyzacji</w:t>
      </w:r>
      <w:r w:rsidRPr="00402C1B">
        <w:rPr>
          <w:noProof/>
        </w:rPr>
        <w:t xml:space="preserve"> i</w:t>
      </w:r>
      <w:r>
        <w:rPr>
          <w:noProof/>
        </w:rPr>
        <w:t> </w:t>
      </w:r>
      <w:r w:rsidRPr="00402C1B">
        <w:rPr>
          <w:noProof/>
        </w:rPr>
        <w:t>upo</w:t>
      </w:r>
      <w:r w:rsidR="00FA69C1" w:rsidRPr="00402C1B">
        <w:rPr>
          <w:noProof/>
        </w:rPr>
        <w:t>rządkowanej likwidacji uważa, że otrzymanie takich informacji od podmiotów podlegających uproszczonym obowiązkom jest niezbędne do sporządzenia</w:t>
      </w:r>
      <w:r w:rsidRPr="00402C1B">
        <w:rPr>
          <w:noProof/>
        </w:rPr>
        <w:t xml:space="preserve"> i</w:t>
      </w:r>
      <w:r>
        <w:rPr>
          <w:noProof/>
        </w:rPr>
        <w:t> </w:t>
      </w:r>
      <w:r w:rsidRPr="00402C1B">
        <w:rPr>
          <w:noProof/>
        </w:rPr>
        <w:t>wdr</w:t>
      </w:r>
      <w:r w:rsidR="00FA69C1" w:rsidRPr="00402C1B">
        <w:rPr>
          <w:noProof/>
        </w:rPr>
        <w:t>ożenia planów restrukturyzacji</w:t>
      </w:r>
      <w:r w:rsidRPr="00402C1B">
        <w:rPr>
          <w:noProof/>
        </w:rPr>
        <w:t xml:space="preserve"> i</w:t>
      </w:r>
      <w:r>
        <w:rPr>
          <w:noProof/>
        </w:rPr>
        <w:t> </w:t>
      </w:r>
      <w:r w:rsidRPr="00402C1B">
        <w:rPr>
          <w:noProof/>
        </w:rPr>
        <w:t>upo</w:t>
      </w:r>
      <w:r w:rsidR="00FA69C1" w:rsidRPr="00402C1B">
        <w:rPr>
          <w:noProof/>
        </w:rPr>
        <w:t>rządkowanej likwidacji;</w:t>
      </w:r>
    </w:p>
    <w:p w:rsidR="00FA69C1" w:rsidRPr="00402C1B" w:rsidRDefault="00402C1B" w:rsidP="00402C1B">
      <w:pPr>
        <w:pStyle w:val="Point1"/>
        <w:rPr>
          <w:noProof/>
        </w:rPr>
      </w:pPr>
      <w:r>
        <w:rPr>
          <w:noProof/>
        </w:rPr>
        <w:t>c)</w:t>
      </w:r>
      <w:r>
        <w:rPr>
          <w:noProof/>
        </w:rPr>
        <w:tab/>
      </w:r>
      <w:r w:rsidR="00FA69C1" w:rsidRPr="00402C1B">
        <w:rPr>
          <w:noProof/>
        </w:rPr>
        <w:t>format,</w:t>
      </w:r>
      <w:r w:rsidRPr="00402C1B">
        <w:rPr>
          <w:noProof/>
        </w:rPr>
        <w:t xml:space="preserve"> w</w:t>
      </w:r>
      <w:r>
        <w:rPr>
          <w:noProof/>
        </w:rPr>
        <w:t> </w:t>
      </w:r>
      <w:r w:rsidRPr="00402C1B">
        <w:rPr>
          <w:noProof/>
        </w:rPr>
        <w:t>jak</w:t>
      </w:r>
      <w:r w:rsidR="00FA69C1" w:rsidRPr="00402C1B">
        <w:rPr>
          <w:noProof/>
        </w:rPr>
        <w:t>im właściwy organ przekazuje informacje zgodnie</w:t>
      </w:r>
      <w:r w:rsidRPr="00402C1B">
        <w:rPr>
          <w:noProof/>
        </w:rPr>
        <w:t xml:space="preserve"> z</w:t>
      </w:r>
      <w:r>
        <w:rPr>
          <w:noProof/>
        </w:rPr>
        <w:t> </w:t>
      </w:r>
      <w:r w:rsidRPr="00402C1B">
        <w:rPr>
          <w:noProof/>
        </w:rPr>
        <w:t>art</w:t>
      </w:r>
      <w:r w:rsidR="00FA69C1" w:rsidRPr="00402C1B">
        <w:rPr>
          <w:noProof/>
        </w:rPr>
        <w:t>.</w:t>
      </w:r>
      <w:r w:rsidRPr="00402C1B">
        <w:rPr>
          <w:noProof/>
        </w:rPr>
        <w:t> </w:t>
      </w:r>
      <w:r w:rsidR="00FA69C1" w:rsidRPr="00402C1B">
        <w:rPr>
          <w:noProof/>
        </w:rPr>
        <w:t>9 ust.</w:t>
      </w:r>
      <w:r w:rsidRPr="00402C1B">
        <w:rPr>
          <w:noProof/>
        </w:rPr>
        <w:t> </w:t>
      </w:r>
      <w:r w:rsidR="00FA69C1" w:rsidRPr="00402C1B">
        <w:rPr>
          <w:noProof/>
        </w:rPr>
        <w:t>2, nie jest odpowiedni do sporządzenia lub wdrożenia planów restrukturyzacji</w:t>
      </w:r>
      <w:r w:rsidRPr="00402C1B">
        <w:rPr>
          <w:noProof/>
        </w:rPr>
        <w:t xml:space="preserve"> i</w:t>
      </w:r>
      <w:r>
        <w:rPr>
          <w:noProof/>
        </w:rPr>
        <w:t> </w:t>
      </w:r>
      <w:r w:rsidRPr="00402C1B">
        <w:rPr>
          <w:noProof/>
        </w:rPr>
        <w:t>upo</w:t>
      </w:r>
      <w:r w:rsidR="00FA69C1" w:rsidRPr="00402C1B">
        <w:rPr>
          <w:noProof/>
        </w:rPr>
        <w:t>rządkowanej likwidacji.</w:t>
      </w:r>
    </w:p>
    <w:p w:rsidR="004B472A" w:rsidRPr="00402C1B" w:rsidRDefault="00BC2ED2" w:rsidP="00BC2ED2">
      <w:pPr>
        <w:pStyle w:val="ManualNumPar1"/>
        <w:rPr>
          <w:noProof/>
        </w:rPr>
      </w:pPr>
      <w:r w:rsidRPr="00BC2ED2">
        <w:rPr>
          <w:noProof/>
        </w:rPr>
        <w:t>2.</w:t>
      </w:r>
      <w:r w:rsidRPr="00BC2ED2">
        <w:rPr>
          <w:noProof/>
        </w:rPr>
        <w:tab/>
      </w:r>
      <w:r w:rsidR="004B472A" w:rsidRPr="00402C1B">
        <w:rPr>
          <w:noProof/>
        </w:rPr>
        <w:t>Do celów wniosku,</w:t>
      </w:r>
      <w:r w:rsidR="00402C1B" w:rsidRPr="00402C1B">
        <w:rPr>
          <w:noProof/>
        </w:rPr>
        <w:t xml:space="preserve"> o</w:t>
      </w:r>
      <w:r w:rsidR="00402C1B">
        <w:rPr>
          <w:noProof/>
        </w:rPr>
        <w:t> </w:t>
      </w:r>
      <w:r w:rsidR="00402C1B" w:rsidRPr="00402C1B">
        <w:rPr>
          <w:noProof/>
        </w:rPr>
        <w:t>któ</w:t>
      </w:r>
      <w:r w:rsidR="004B472A" w:rsidRPr="00402C1B">
        <w:rPr>
          <w:noProof/>
        </w:rPr>
        <w:t>rym mowa</w:t>
      </w:r>
      <w:r w:rsidR="00402C1B" w:rsidRPr="00402C1B">
        <w:rPr>
          <w:noProof/>
        </w:rPr>
        <w:t xml:space="preserve"> w</w:t>
      </w:r>
      <w:r w:rsidR="00402C1B">
        <w:rPr>
          <w:noProof/>
        </w:rPr>
        <w:t> </w:t>
      </w:r>
      <w:r w:rsidR="00402C1B" w:rsidRPr="00402C1B">
        <w:rPr>
          <w:noProof/>
        </w:rPr>
        <w:t>ust</w:t>
      </w:r>
      <w:r w:rsidR="004B472A" w:rsidRPr="00402C1B">
        <w:rPr>
          <w:noProof/>
        </w:rPr>
        <w:t>.</w:t>
      </w:r>
      <w:r w:rsidR="00402C1B" w:rsidRPr="00402C1B">
        <w:rPr>
          <w:noProof/>
        </w:rPr>
        <w:t> </w:t>
      </w:r>
      <w:r w:rsidR="004B472A" w:rsidRPr="00402C1B">
        <w:rPr>
          <w:noProof/>
        </w:rPr>
        <w:t>1, organ ds. restrukturyzacji</w:t>
      </w:r>
      <w:r w:rsidR="00402C1B" w:rsidRPr="00402C1B">
        <w:rPr>
          <w:noProof/>
        </w:rPr>
        <w:t xml:space="preserve"> i</w:t>
      </w:r>
      <w:r w:rsidR="00402C1B">
        <w:rPr>
          <w:noProof/>
        </w:rPr>
        <w:t> </w:t>
      </w:r>
      <w:r w:rsidR="00402C1B" w:rsidRPr="00402C1B">
        <w:rPr>
          <w:noProof/>
        </w:rPr>
        <w:t>upo</w:t>
      </w:r>
      <w:r w:rsidR="004B472A" w:rsidRPr="00402C1B">
        <w:rPr>
          <w:noProof/>
        </w:rPr>
        <w:t>rządkowanej likwidacji:</w:t>
      </w:r>
    </w:p>
    <w:p w:rsidR="004B472A" w:rsidRPr="00402C1B" w:rsidRDefault="00402C1B" w:rsidP="00402C1B">
      <w:pPr>
        <w:pStyle w:val="Point1"/>
        <w:rPr>
          <w:noProof/>
        </w:rPr>
      </w:pPr>
      <w:r>
        <w:rPr>
          <w:noProof/>
        </w:rPr>
        <w:t>a)</w:t>
      </w:r>
      <w:r>
        <w:rPr>
          <w:noProof/>
        </w:rPr>
        <w:tab/>
      </w:r>
      <w:r w:rsidR="004B472A" w:rsidRPr="00402C1B">
        <w:rPr>
          <w:noProof/>
        </w:rPr>
        <w:t>identyfikuje dodatkowe informacje, jakie należy przekazać;</w:t>
      </w:r>
    </w:p>
    <w:p w:rsidR="004B472A" w:rsidRPr="00402C1B" w:rsidRDefault="00402C1B" w:rsidP="00402C1B">
      <w:pPr>
        <w:pStyle w:val="Point1"/>
        <w:rPr>
          <w:noProof/>
        </w:rPr>
      </w:pPr>
      <w:r>
        <w:rPr>
          <w:noProof/>
        </w:rPr>
        <w:t>b)</w:t>
      </w:r>
      <w:r>
        <w:rPr>
          <w:noProof/>
        </w:rPr>
        <w:tab/>
      </w:r>
      <w:r w:rsidR="004B472A" w:rsidRPr="00402C1B">
        <w:rPr>
          <w:noProof/>
        </w:rPr>
        <w:t>określa odpowiednie ramy czasowe,</w:t>
      </w:r>
      <w:r w:rsidRPr="00402C1B">
        <w:rPr>
          <w:noProof/>
        </w:rPr>
        <w:t xml:space="preserve"> w</w:t>
      </w:r>
      <w:r>
        <w:rPr>
          <w:noProof/>
        </w:rPr>
        <w:t> </w:t>
      </w:r>
      <w:r w:rsidRPr="00402C1B">
        <w:rPr>
          <w:noProof/>
        </w:rPr>
        <w:t>któ</w:t>
      </w:r>
      <w:r w:rsidR="004B472A" w:rsidRPr="00402C1B">
        <w:rPr>
          <w:noProof/>
        </w:rPr>
        <w:t>rych instytucja lub –</w:t>
      </w:r>
      <w:r w:rsidRPr="00402C1B">
        <w:rPr>
          <w:noProof/>
        </w:rPr>
        <w:t xml:space="preserve"> w</w:t>
      </w:r>
      <w:r>
        <w:rPr>
          <w:noProof/>
        </w:rPr>
        <w:t> </w:t>
      </w:r>
      <w:r w:rsidRPr="00402C1B">
        <w:rPr>
          <w:noProof/>
        </w:rPr>
        <w:t>prz</w:t>
      </w:r>
      <w:r w:rsidR="004B472A" w:rsidRPr="00402C1B">
        <w:rPr>
          <w:noProof/>
        </w:rPr>
        <w:t>ypadku grup – unijna jednostka dominująca przekazuje informacje organowi ds. restrukturyzacji</w:t>
      </w:r>
      <w:r w:rsidRPr="00402C1B">
        <w:rPr>
          <w:noProof/>
        </w:rPr>
        <w:t xml:space="preserve"> i</w:t>
      </w:r>
      <w:r>
        <w:rPr>
          <w:noProof/>
        </w:rPr>
        <w:t> </w:t>
      </w:r>
      <w:r w:rsidRPr="00402C1B">
        <w:rPr>
          <w:noProof/>
        </w:rPr>
        <w:t>upo</w:t>
      </w:r>
      <w:r w:rsidR="004B472A" w:rsidRPr="00402C1B">
        <w:rPr>
          <w:noProof/>
        </w:rPr>
        <w:t>rządkowanej likwidacji,</w:t>
      </w:r>
      <w:r w:rsidRPr="00402C1B">
        <w:rPr>
          <w:noProof/>
        </w:rPr>
        <w:t xml:space="preserve"> z</w:t>
      </w:r>
      <w:r>
        <w:rPr>
          <w:noProof/>
        </w:rPr>
        <w:t> </w:t>
      </w:r>
      <w:r w:rsidRPr="00402C1B">
        <w:rPr>
          <w:noProof/>
        </w:rPr>
        <w:t>uwz</w:t>
      </w:r>
      <w:r w:rsidR="004B472A" w:rsidRPr="00402C1B">
        <w:rPr>
          <w:noProof/>
        </w:rPr>
        <w:t>ględnieniem ilości</w:t>
      </w:r>
      <w:r w:rsidRPr="00402C1B">
        <w:rPr>
          <w:noProof/>
        </w:rPr>
        <w:t xml:space="preserve"> i</w:t>
      </w:r>
      <w:r>
        <w:rPr>
          <w:noProof/>
        </w:rPr>
        <w:t> </w:t>
      </w:r>
      <w:r w:rsidRPr="00402C1B">
        <w:rPr>
          <w:noProof/>
        </w:rPr>
        <w:t>zło</w:t>
      </w:r>
      <w:r w:rsidR="004B472A" w:rsidRPr="00402C1B">
        <w:rPr>
          <w:noProof/>
        </w:rPr>
        <w:t>żoności wymaganych informacji;</w:t>
      </w:r>
    </w:p>
    <w:p w:rsidR="004B472A" w:rsidRPr="00402C1B" w:rsidRDefault="00402C1B" w:rsidP="00402C1B">
      <w:pPr>
        <w:pStyle w:val="Point1"/>
        <w:rPr>
          <w:noProof/>
        </w:rPr>
      </w:pPr>
      <w:r>
        <w:rPr>
          <w:noProof/>
        </w:rPr>
        <w:t>c)</w:t>
      </w:r>
      <w:r>
        <w:rPr>
          <w:noProof/>
        </w:rPr>
        <w:tab/>
      </w:r>
      <w:r w:rsidR="004B472A" w:rsidRPr="00402C1B">
        <w:rPr>
          <w:noProof/>
        </w:rPr>
        <w:t>określa format, który instytucja lub –</w:t>
      </w:r>
      <w:r w:rsidRPr="00402C1B">
        <w:rPr>
          <w:noProof/>
        </w:rPr>
        <w:t xml:space="preserve"> w</w:t>
      </w:r>
      <w:r>
        <w:rPr>
          <w:noProof/>
        </w:rPr>
        <w:t> </w:t>
      </w:r>
      <w:r w:rsidRPr="00402C1B">
        <w:rPr>
          <w:noProof/>
        </w:rPr>
        <w:t>prz</w:t>
      </w:r>
      <w:r w:rsidR="004B472A" w:rsidRPr="00402C1B">
        <w:rPr>
          <w:noProof/>
        </w:rPr>
        <w:t>ypadku grup – unijna jednostka dominująca stosuje, aby przekazać informacje organowi ds. restrukturyzacji</w:t>
      </w:r>
      <w:r w:rsidRPr="00402C1B">
        <w:rPr>
          <w:noProof/>
        </w:rPr>
        <w:t xml:space="preserve"> i</w:t>
      </w:r>
      <w:r>
        <w:rPr>
          <w:noProof/>
        </w:rPr>
        <w:t> </w:t>
      </w:r>
      <w:r w:rsidRPr="00402C1B">
        <w:rPr>
          <w:noProof/>
        </w:rPr>
        <w:t>upo</w:t>
      </w:r>
      <w:r w:rsidR="004B472A" w:rsidRPr="00402C1B">
        <w:rPr>
          <w:noProof/>
        </w:rPr>
        <w:t>rządkowanej likwidacji;</w:t>
      </w:r>
    </w:p>
    <w:p w:rsidR="004B472A" w:rsidRPr="00402C1B" w:rsidRDefault="00402C1B" w:rsidP="00402C1B">
      <w:pPr>
        <w:pStyle w:val="Point1"/>
        <w:rPr>
          <w:noProof/>
        </w:rPr>
      </w:pPr>
      <w:r>
        <w:rPr>
          <w:noProof/>
        </w:rPr>
        <w:t>d)</w:t>
      </w:r>
      <w:r>
        <w:rPr>
          <w:noProof/>
        </w:rPr>
        <w:tab/>
      </w:r>
      <w:r w:rsidR="004B472A" w:rsidRPr="00402C1B">
        <w:rPr>
          <w:noProof/>
        </w:rPr>
        <w:t>określa, czy informacje należy przekazać na zasadzie indywidualnej, subskonsolidowanej lub skonsolidowanej oraz czy ich zakres jest lokalny, ogólnounijny czy globalny;</w:t>
      </w:r>
    </w:p>
    <w:p w:rsidR="004B472A" w:rsidRPr="00402C1B" w:rsidRDefault="00402C1B" w:rsidP="00402C1B">
      <w:pPr>
        <w:pStyle w:val="Point1"/>
        <w:rPr>
          <w:noProof/>
        </w:rPr>
      </w:pPr>
      <w:r>
        <w:rPr>
          <w:noProof/>
        </w:rPr>
        <w:t>e)</w:t>
      </w:r>
      <w:r>
        <w:rPr>
          <w:noProof/>
        </w:rPr>
        <w:tab/>
      </w:r>
      <w:r w:rsidR="004B472A" w:rsidRPr="00402C1B">
        <w:rPr>
          <w:noProof/>
        </w:rPr>
        <w:t>określa konkretnego odbiorcę, formaty wymiany danych oraz informacje, które należy dołączyć do przedłożonych informacji</w:t>
      </w:r>
      <w:r w:rsidRPr="00402C1B">
        <w:rPr>
          <w:noProof/>
        </w:rPr>
        <w:t xml:space="preserve"> w</w:t>
      </w:r>
      <w:r>
        <w:rPr>
          <w:noProof/>
        </w:rPr>
        <w:t> </w:t>
      </w:r>
      <w:r w:rsidRPr="00402C1B">
        <w:rPr>
          <w:noProof/>
        </w:rPr>
        <w:t>prz</w:t>
      </w:r>
      <w:r w:rsidR="004B472A" w:rsidRPr="00402C1B">
        <w:rPr>
          <w:noProof/>
        </w:rPr>
        <w:t>ypadku przekazania dodatkowych informacji.</w:t>
      </w:r>
    </w:p>
    <w:p w:rsidR="004B472A" w:rsidRPr="00402C1B" w:rsidRDefault="004B472A" w:rsidP="00184085">
      <w:pPr>
        <w:pStyle w:val="Titrearticle"/>
        <w:rPr>
          <w:noProof/>
        </w:rPr>
      </w:pPr>
      <w:r w:rsidRPr="00402C1B">
        <w:rPr>
          <w:noProof/>
        </w:rPr>
        <w:t>Artykuł 9</w:t>
      </w:r>
    </w:p>
    <w:p w:rsidR="004B472A" w:rsidRPr="00402C1B" w:rsidRDefault="004B472A" w:rsidP="00184085">
      <w:pPr>
        <w:pStyle w:val="Titrearticle"/>
        <w:spacing w:before="0"/>
        <w:rPr>
          <w:b/>
          <w:bCs/>
          <w:i w:val="0"/>
          <w:iCs/>
          <w:noProof/>
        </w:rPr>
      </w:pPr>
      <w:r w:rsidRPr="00402C1B">
        <w:rPr>
          <w:b/>
          <w:i w:val="0"/>
          <w:noProof/>
        </w:rPr>
        <w:t>Współpraca między właściwymi organami</w:t>
      </w:r>
      <w:r w:rsidR="00402C1B" w:rsidRPr="00402C1B">
        <w:rPr>
          <w:b/>
          <w:i w:val="0"/>
          <w:noProof/>
        </w:rPr>
        <w:t xml:space="preserve"> a</w:t>
      </w:r>
      <w:r w:rsidR="00402C1B">
        <w:rPr>
          <w:b/>
          <w:i w:val="0"/>
          <w:noProof/>
        </w:rPr>
        <w:t> </w:t>
      </w:r>
      <w:r w:rsidR="00402C1B" w:rsidRPr="00402C1B">
        <w:rPr>
          <w:b/>
          <w:i w:val="0"/>
          <w:noProof/>
        </w:rPr>
        <w:t>org</w:t>
      </w:r>
      <w:r w:rsidRPr="00402C1B">
        <w:rPr>
          <w:b/>
          <w:i w:val="0"/>
          <w:noProof/>
        </w:rPr>
        <w:t>anami ds. restrukturyzacji</w:t>
      </w:r>
      <w:r w:rsidR="00402C1B" w:rsidRPr="00402C1B">
        <w:rPr>
          <w:b/>
          <w:i w:val="0"/>
          <w:noProof/>
        </w:rPr>
        <w:t xml:space="preserve"> i</w:t>
      </w:r>
      <w:r w:rsidR="00402C1B">
        <w:rPr>
          <w:b/>
          <w:i w:val="0"/>
          <w:noProof/>
        </w:rPr>
        <w:t> </w:t>
      </w:r>
      <w:r w:rsidR="00402C1B" w:rsidRPr="00402C1B">
        <w:rPr>
          <w:b/>
          <w:i w:val="0"/>
          <w:noProof/>
        </w:rPr>
        <w:t>upo</w:t>
      </w:r>
      <w:r w:rsidRPr="00402C1B">
        <w:rPr>
          <w:b/>
          <w:i w:val="0"/>
          <w:noProof/>
        </w:rPr>
        <w:t>rządkowanej likwidacji</w:t>
      </w:r>
    </w:p>
    <w:p w:rsidR="004B472A" w:rsidRPr="00402C1B" w:rsidRDefault="00BC2ED2" w:rsidP="00BC2ED2">
      <w:pPr>
        <w:pStyle w:val="ManualNumPar1"/>
        <w:rPr>
          <w:noProof/>
        </w:rPr>
      </w:pPr>
      <w:r w:rsidRPr="00BC2ED2">
        <w:rPr>
          <w:noProof/>
        </w:rPr>
        <w:t>1.</w:t>
      </w:r>
      <w:r w:rsidRPr="00BC2ED2">
        <w:rPr>
          <w:noProof/>
        </w:rPr>
        <w:tab/>
      </w:r>
      <w:r w:rsidR="004B472A" w:rsidRPr="00402C1B">
        <w:rPr>
          <w:noProof/>
        </w:rPr>
        <w:t>Właściwe organy</w:t>
      </w:r>
      <w:r w:rsidR="00402C1B" w:rsidRPr="00402C1B">
        <w:rPr>
          <w:noProof/>
        </w:rPr>
        <w:t xml:space="preserve"> i</w:t>
      </w:r>
      <w:r w:rsidR="00402C1B">
        <w:rPr>
          <w:noProof/>
        </w:rPr>
        <w:t> </w:t>
      </w:r>
      <w:r w:rsidR="00402C1B" w:rsidRPr="00402C1B">
        <w:rPr>
          <w:noProof/>
        </w:rPr>
        <w:t>org</w:t>
      </w:r>
      <w:r w:rsidR="004B472A" w:rsidRPr="00402C1B">
        <w:rPr>
          <w:noProof/>
        </w:rPr>
        <w:t>any ds. restrukturyzacji</w:t>
      </w:r>
      <w:r w:rsidR="00402C1B" w:rsidRPr="00402C1B">
        <w:rPr>
          <w:noProof/>
        </w:rPr>
        <w:t xml:space="preserve"> i</w:t>
      </w:r>
      <w:r w:rsidR="00402C1B">
        <w:rPr>
          <w:noProof/>
        </w:rPr>
        <w:t> </w:t>
      </w:r>
      <w:r w:rsidR="00402C1B" w:rsidRPr="00402C1B">
        <w:rPr>
          <w:noProof/>
        </w:rPr>
        <w:t>upo</w:t>
      </w:r>
      <w:r w:rsidR="004B472A" w:rsidRPr="00402C1B">
        <w:rPr>
          <w:noProof/>
        </w:rPr>
        <w:t>rządkowanej likwidacji wspólnie weryfikują, czy właściwy organ ma już dostęp do części lub całości informacji, które należy przekazać organowi ds. restrukturyzacji</w:t>
      </w:r>
      <w:r w:rsidR="00402C1B" w:rsidRPr="00402C1B">
        <w:rPr>
          <w:noProof/>
        </w:rPr>
        <w:t xml:space="preserve"> i</w:t>
      </w:r>
      <w:r w:rsidR="00402C1B">
        <w:rPr>
          <w:noProof/>
        </w:rPr>
        <w:t> </w:t>
      </w:r>
      <w:r w:rsidR="00402C1B" w:rsidRPr="00402C1B">
        <w:rPr>
          <w:noProof/>
        </w:rPr>
        <w:t>upo</w:t>
      </w:r>
      <w:r w:rsidR="004B472A" w:rsidRPr="00402C1B">
        <w:rPr>
          <w:noProof/>
        </w:rPr>
        <w:t>rządkowanej likwidacji zgodnie</w:t>
      </w:r>
      <w:r w:rsidR="00402C1B" w:rsidRPr="00402C1B">
        <w:rPr>
          <w:noProof/>
        </w:rPr>
        <w:t xml:space="preserve"> z</w:t>
      </w:r>
      <w:r w:rsidR="00402C1B">
        <w:rPr>
          <w:noProof/>
        </w:rPr>
        <w:t> </w:t>
      </w:r>
      <w:r w:rsidR="00402C1B" w:rsidRPr="00402C1B">
        <w:rPr>
          <w:noProof/>
        </w:rPr>
        <w:t>art</w:t>
      </w:r>
      <w:r w:rsidR="004B472A" w:rsidRPr="00402C1B">
        <w:rPr>
          <w:noProof/>
        </w:rPr>
        <w:t>. 2–5 oraz art. 7</w:t>
      </w:r>
      <w:r w:rsidR="00402C1B" w:rsidRPr="00402C1B">
        <w:rPr>
          <w:noProof/>
        </w:rPr>
        <w:t xml:space="preserve"> i</w:t>
      </w:r>
      <w:r w:rsidR="00402C1B">
        <w:rPr>
          <w:noProof/>
        </w:rPr>
        <w:t> </w:t>
      </w:r>
      <w:r w:rsidR="00402C1B" w:rsidRPr="00402C1B">
        <w:rPr>
          <w:noProof/>
        </w:rPr>
        <w:t>8</w:t>
      </w:r>
      <w:r w:rsidR="004B472A" w:rsidRPr="00402C1B">
        <w:rPr>
          <w:noProof/>
        </w:rPr>
        <w:t>.</w:t>
      </w:r>
    </w:p>
    <w:p w:rsidR="004B472A" w:rsidRPr="00402C1B" w:rsidRDefault="00BC2ED2" w:rsidP="00BC2ED2">
      <w:pPr>
        <w:pStyle w:val="ManualNumPar1"/>
        <w:rPr>
          <w:noProof/>
        </w:rPr>
      </w:pPr>
      <w:r w:rsidRPr="00BC2ED2">
        <w:rPr>
          <w:noProof/>
        </w:rPr>
        <w:t>2.</w:t>
      </w:r>
      <w:r w:rsidRPr="00BC2ED2">
        <w:rPr>
          <w:noProof/>
        </w:rPr>
        <w:tab/>
      </w:r>
      <w:r w:rsidR="004B472A" w:rsidRPr="00402C1B">
        <w:rPr>
          <w:noProof/>
        </w:rPr>
        <w:t>Jeżeli część lub całość informacji jest już dostępna właściwemu organowi, organ ten</w:t>
      </w:r>
      <w:r w:rsidR="00402C1B" w:rsidRPr="00402C1B">
        <w:rPr>
          <w:noProof/>
        </w:rPr>
        <w:t xml:space="preserve"> w</w:t>
      </w:r>
      <w:r w:rsidR="00402C1B">
        <w:rPr>
          <w:noProof/>
        </w:rPr>
        <w:t> </w:t>
      </w:r>
      <w:r w:rsidR="00402C1B" w:rsidRPr="00402C1B">
        <w:rPr>
          <w:noProof/>
        </w:rPr>
        <w:t>spo</w:t>
      </w:r>
      <w:r w:rsidR="004B472A" w:rsidRPr="00402C1B">
        <w:rPr>
          <w:noProof/>
        </w:rPr>
        <w:t>sób terminowy przekazuje te informacje organowi ds. restrukturyzacji</w:t>
      </w:r>
      <w:r w:rsidR="00402C1B" w:rsidRPr="00402C1B">
        <w:rPr>
          <w:noProof/>
        </w:rPr>
        <w:t xml:space="preserve"> i</w:t>
      </w:r>
      <w:r w:rsidR="00402C1B">
        <w:rPr>
          <w:noProof/>
        </w:rPr>
        <w:t> </w:t>
      </w:r>
      <w:r w:rsidR="00402C1B" w:rsidRPr="00402C1B">
        <w:rPr>
          <w:noProof/>
        </w:rPr>
        <w:t>upo</w:t>
      </w:r>
      <w:r w:rsidR="004B472A" w:rsidRPr="00402C1B">
        <w:rPr>
          <w:noProof/>
        </w:rPr>
        <w:t xml:space="preserve">rządkowanej likwidacji. </w:t>
      </w:r>
    </w:p>
    <w:p w:rsidR="004B472A" w:rsidRPr="00402C1B" w:rsidRDefault="00BC2ED2" w:rsidP="00BC2ED2">
      <w:pPr>
        <w:pStyle w:val="ManualNumPar1"/>
        <w:rPr>
          <w:noProof/>
        </w:rPr>
      </w:pPr>
      <w:r w:rsidRPr="00BC2ED2">
        <w:rPr>
          <w:noProof/>
        </w:rPr>
        <w:t>3.</w:t>
      </w:r>
      <w:r w:rsidRPr="00BC2ED2">
        <w:rPr>
          <w:noProof/>
        </w:rPr>
        <w:tab/>
      </w:r>
      <w:r w:rsidR="00914032" w:rsidRPr="00402C1B">
        <w:rPr>
          <w:noProof/>
        </w:rPr>
        <w:t>Do celów ust. 2 organy ds. restrukturyzacji</w:t>
      </w:r>
      <w:r w:rsidR="00402C1B" w:rsidRPr="00402C1B">
        <w:rPr>
          <w:noProof/>
        </w:rPr>
        <w:t xml:space="preserve"> i</w:t>
      </w:r>
      <w:r w:rsidR="00402C1B">
        <w:rPr>
          <w:noProof/>
        </w:rPr>
        <w:t> </w:t>
      </w:r>
      <w:r w:rsidR="00402C1B" w:rsidRPr="00402C1B">
        <w:rPr>
          <w:noProof/>
        </w:rPr>
        <w:t>upo</w:t>
      </w:r>
      <w:r w:rsidR="00914032" w:rsidRPr="00402C1B">
        <w:rPr>
          <w:noProof/>
        </w:rPr>
        <w:t>rządkowanej likwidacji informują instytucje lub –</w:t>
      </w:r>
      <w:r w:rsidR="00402C1B" w:rsidRPr="00402C1B">
        <w:rPr>
          <w:noProof/>
        </w:rPr>
        <w:t xml:space="preserve"> w</w:t>
      </w:r>
      <w:r w:rsidR="00402C1B">
        <w:rPr>
          <w:noProof/>
        </w:rPr>
        <w:t> </w:t>
      </w:r>
      <w:r w:rsidR="00402C1B" w:rsidRPr="00402C1B">
        <w:rPr>
          <w:noProof/>
        </w:rPr>
        <w:t>prz</w:t>
      </w:r>
      <w:r w:rsidR="00914032" w:rsidRPr="00402C1B">
        <w:rPr>
          <w:noProof/>
        </w:rPr>
        <w:t>ypadku grup – unijne jednostki dominujące na temat tego, które informacje należy zawrzeć</w:t>
      </w:r>
      <w:r w:rsidR="00402C1B" w:rsidRPr="00402C1B">
        <w:rPr>
          <w:noProof/>
        </w:rPr>
        <w:t xml:space="preserve"> w</w:t>
      </w:r>
      <w:r w:rsidR="00402C1B">
        <w:rPr>
          <w:noProof/>
        </w:rPr>
        <w:t> </w:t>
      </w:r>
      <w:r w:rsidR="00402C1B" w:rsidRPr="00402C1B">
        <w:rPr>
          <w:noProof/>
        </w:rPr>
        <w:t>prz</w:t>
      </w:r>
      <w:r w:rsidR="00914032" w:rsidRPr="00402C1B">
        <w:rPr>
          <w:noProof/>
        </w:rPr>
        <w:t>edkładanych informacjach zgodnie</w:t>
      </w:r>
      <w:r w:rsidR="00402C1B" w:rsidRPr="00402C1B">
        <w:rPr>
          <w:noProof/>
        </w:rPr>
        <w:t xml:space="preserve"> z</w:t>
      </w:r>
      <w:r w:rsidR="00402C1B">
        <w:rPr>
          <w:noProof/>
        </w:rPr>
        <w:t> </w:t>
      </w:r>
      <w:r w:rsidR="00402C1B" w:rsidRPr="00402C1B">
        <w:rPr>
          <w:noProof/>
        </w:rPr>
        <w:t>nin</w:t>
      </w:r>
      <w:r w:rsidR="00914032" w:rsidRPr="00402C1B">
        <w:rPr>
          <w:noProof/>
        </w:rPr>
        <w:t>iejszym rozporządzeniem Organy identyfikują te informacje, odnosząc się do szablonów zawartych</w:t>
      </w:r>
      <w:r w:rsidR="00402C1B" w:rsidRPr="00402C1B">
        <w:rPr>
          <w:noProof/>
        </w:rPr>
        <w:t xml:space="preserve"> w</w:t>
      </w:r>
      <w:r w:rsidR="00402C1B">
        <w:rPr>
          <w:noProof/>
        </w:rPr>
        <w:t> </w:t>
      </w:r>
      <w:r w:rsidR="00402C1B" w:rsidRPr="00402C1B">
        <w:rPr>
          <w:noProof/>
        </w:rPr>
        <w:t>zał</w:t>
      </w:r>
      <w:r w:rsidR="00914032" w:rsidRPr="00402C1B">
        <w:rPr>
          <w:noProof/>
        </w:rPr>
        <w:t>ączniku I.</w:t>
      </w:r>
    </w:p>
    <w:p w:rsidR="004B472A" w:rsidRPr="00402C1B" w:rsidRDefault="004B472A" w:rsidP="00184085">
      <w:pPr>
        <w:pStyle w:val="Titrearticle"/>
        <w:rPr>
          <w:noProof/>
        </w:rPr>
      </w:pPr>
      <w:r w:rsidRPr="00402C1B">
        <w:rPr>
          <w:noProof/>
        </w:rPr>
        <w:t>Artykuł 10</w:t>
      </w:r>
    </w:p>
    <w:p w:rsidR="004B472A" w:rsidRPr="00402C1B" w:rsidRDefault="004B472A" w:rsidP="00184085">
      <w:pPr>
        <w:pStyle w:val="Titrearticle"/>
        <w:spacing w:before="0"/>
        <w:rPr>
          <w:b/>
          <w:bCs/>
          <w:i w:val="0"/>
          <w:iCs/>
          <w:noProof/>
        </w:rPr>
      </w:pPr>
      <w:r w:rsidRPr="00402C1B">
        <w:rPr>
          <w:b/>
          <w:i w:val="0"/>
          <w:noProof/>
        </w:rPr>
        <w:t>Uchylenie</w:t>
      </w:r>
    </w:p>
    <w:p w:rsidR="004B472A" w:rsidRPr="00402C1B" w:rsidRDefault="004B472A" w:rsidP="00184085">
      <w:pPr>
        <w:rPr>
          <w:noProof/>
        </w:rPr>
      </w:pPr>
      <w:r w:rsidRPr="00402C1B">
        <w:rPr>
          <w:noProof/>
        </w:rPr>
        <w:t>Rozporządzenie wykonawcze (UE) 2018/1624 traci moc.</w:t>
      </w:r>
    </w:p>
    <w:p w:rsidR="004B472A" w:rsidRPr="00402C1B" w:rsidRDefault="004B472A" w:rsidP="00184085">
      <w:pPr>
        <w:rPr>
          <w:noProof/>
        </w:rPr>
      </w:pPr>
      <w:r w:rsidRPr="00402C1B">
        <w:rPr>
          <w:noProof/>
        </w:rPr>
        <w:t>Odesłania do uchylonego rozporządzenia wykonawczego traktuje się jako odesłania do niniejszego rozporządzenia.</w:t>
      </w:r>
    </w:p>
    <w:p w:rsidR="00860655" w:rsidRPr="00402C1B" w:rsidRDefault="00860655" w:rsidP="00184085">
      <w:pPr>
        <w:pStyle w:val="Titrearticle"/>
        <w:rPr>
          <w:noProof/>
        </w:rPr>
      </w:pPr>
      <w:r w:rsidRPr="00402C1B">
        <w:rPr>
          <w:noProof/>
        </w:rPr>
        <w:t>Artykuł 11</w:t>
      </w:r>
    </w:p>
    <w:p w:rsidR="004B472A" w:rsidRPr="00402C1B" w:rsidRDefault="004B472A" w:rsidP="00184085">
      <w:pPr>
        <w:pStyle w:val="Titrearticle"/>
        <w:spacing w:before="0"/>
        <w:rPr>
          <w:b/>
          <w:bCs/>
          <w:i w:val="0"/>
          <w:iCs/>
          <w:noProof/>
        </w:rPr>
      </w:pPr>
      <w:r w:rsidRPr="00402C1B">
        <w:rPr>
          <w:b/>
          <w:i w:val="0"/>
          <w:noProof/>
        </w:rPr>
        <w:t>Wejście</w:t>
      </w:r>
      <w:r w:rsidR="00402C1B" w:rsidRPr="00402C1B">
        <w:rPr>
          <w:b/>
          <w:i w:val="0"/>
          <w:noProof/>
        </w:rPr>
        <w:t xml:space="preserve"> w</w:t>
      </w:r>
      <w:r w:rsidR="00402C1B">
        <w:rPr>
          <w:b/>
          <w:i w:val="0"/>
          <w:noProof/>
        </w:rPr>
        <w:t> </w:t>
      </w:r>
      <w:r w:rsidR="00402C1B" w:rsidRPr="00402C1B">
        <w:rPr>
          <w:b/>
          <w:i w:val="0"/>
          <w:noProof/>
        </w:rPr>
        <w:t>życ</w:t>
      </w:r>
      <w:r w:rsidRPr="00402C1B">
        <w:rPr>
          <w:b/>
          <w:i w:val="0"/>
          <w:noProof/>
        </w:rPr>
        <w:t>ie</w:t>
      </w:r>
    </w:p>
    <w:p w:rsidR="00860655" w:rsidRPr="00402C1B" w:rsidRDefault="00860655" w:rsidP="00184085">
      <w:pPr>
        <w:rPr>
          <w:noProof/>
        </w:rPr>
      </w:pPr>
      <w:r w:rsidRPr="00402C1B">
        <w:rPr>
          <w:noProof/>
        </w:rPr>
        <w:t>Niniejsze rozporządzenie wchodzi</w:t>
      </w:r>
      <w:r w:rsidR="00402C1B" w:rsidRPr="00402C1B">
        <w:rPr>
          <w:noProof/>
        </w:rPr>
        <w:t xml:space="preserve"> w</w:t>
      </w:r>
      <w:r w:rsidR="00402C1B">
        <w:rPr>
          <w:noProof/>
        </w:rPr>
        <w:t> </w:t>
      </w:r>
      <w:r w:rsidR="00402C1B" w:rsidRPr="00402C1B">
        <w:rPr>
          <w:noProof/>
        </w:rPr>
        <w:t>życ</w:t>
      </w:r>
      <w:r w:rsidRPr="00402C1B">
        <w:rPr>
          <w:noProof/>
        </w:rPr>
        <w:t>ie dwudziestego dnia po jego opublikowaniu</w:t>
      </w:r>
      <w:r w:rsidR="00402C1B" w:rsidRPr="00402C1B">
        <w:rPr>
          <w:noProof/>
        </w:rPr>
        <w:t xml:space="preserve"> w</w:t>
      </w:r>
      <w:r w:rsidR="00402C1B">
        <w:rPr>
          <w:noProof/>
        </w:rPr>
        <w:t> </w:t>
      </w:r>
      <w:r w:rsidR="00402C1B" w:rsidRPr="00402C1B">
        <w:rPr>
          <w:i/>
          <w:iCs/>
          <w:noProof/>
        </w:rPr>
        <w:t>Dzi</w:t>
      </w:r>
      <w:r w:rsidRPr="00402C1B">
        <w:rPr>
          <w:i/>
          <w:iCs/>
          <w:noProof/>
        </w:rPr>
        <w:t>enniku Urzędowym Unii Europejskiej</w:t>
      </w:r>
      <w:r w:rsidRPr="00402C1B">
        <w:rPr>
          <w:noProof/>
        </w:rPr>
        <w:t>.</w:t>
      </w:r>
    </w:p>
    <w:p w:rsidR="00860655" w:rsidRPr="00402C1B" w:rsidRDefault="00860655" w:rsidP="00184085">
      <w:pPr>
        <w:pStyle w:val="Applicationdirecte"/>
        <w:rPr>
          <w:noProof/>
        </w:rPr>
      </w:pPr>
      <w:r w:rsidRPr="00402C1B">
        <w:rPr>
          <w:noProof/>
        </w:rPr>
        <w:t>Niniejsze rozporządzenie wiąże</w:t>
      </w:r>
      <w:r w:rsidR="00402C1B" w:rsidRPr="00402C1B">
        <w:rPr>
          <w:noProof/>
        </w:rPr>
        <w:t xml:space="preserve"> w</w:t>
      </w:r>
      <w:r w:rsidR="00402C1B">
        <w:rPr>
          <w:noProof/>
        </w:rPr>
        <w:t> </w:t>
      </w:r>
      <w:r w:rsidR="00402C1B" w:rsidRPr="00402C1B">
        <w:rPr>
          <w:noProof/>
        </w:rPr>
        <w:t>cał</w:t>
      </w:r>
      <w:r w:rsidRPr="00402C1B">
        <w:rPr>
          <w:noProof/>
        </w:rPr>
        <w:t>ości</w:t>
      </w:r>
      <w:r w:rsidR="00402C1B" w:rsidRPr="00402C1B">
        <w:rPr>
          <w:noProof/>
        </w:rPr>
        <w:t xml:space="preserve"> i</w:t>
      </w:r>
      <w:r w:rsidR="00402C1B">
        <w:rPr>
          <w:noProof/>
        </w:rPr>
        <w:t> </w:t>
      </w:r>
      <w:r w:rsidR="00402C1B" w:rsidRPr="00402C1B">
        <w:rPr>
          <w:noProof/>
        </w:rPr>
        <w:t>jes</w:t>
      </w:r>
      <w:r w:rsidRPr="00402C1B">
        <w:rPr>
          <w:noProof/>
        </w:rPr>
        <w:t>t bezpośrednio stosowane we wszystkich państwach członkowskich.</w:t>
      </w:r>
    </w:p>
    <w:p w:rsidR="00860655" w:rsidRPr="00402C1B" w:rsidRDefault="00F20F37" w:rsidP="00E96747">
      <w:pPr>
        <w:pStyle w:val="Fait"/>
        <w:rPr>
          <w:noProof/>
        </w:rPr>
      </w:pPr>
      <w:r>
        <w:rPr>
          <w:noProof/>
        </w:rPr>
        <w:t>Sporządzono w Brukseli dnia 14.11.2025 r.</w:t>
      </w:r>
    </w:p>
    <w:p w:rsidR="00860655" w:rsidRPr="00402C1B" w:rsidRDefault="00860655" w:rsidP="00E96747">
      <w:pPr>
        <w:pStyle w:val="Institutionquisigne"/>
        <w:rPr>
          <w:noProof/>
        </w:rPr>
      </w:pPr>
      <w:r w:rsidRPr="00402C1B">
        <w:rPr>
          <w:noProof/>
        </w:rPr>
        <w:tab/>
        <w:t>W imieniu Komisji</w:t>
      </w:r>
    </w:p>
    <w:p w:rsidR="00860655" w:rsidRPr="00402C1B" w:rsidRDefault="00356A88" w:rsidP="00184085">
      <w:pPr>
        <w:pStyle w:val="Personnequisigne"/>
        <w:rPr>
          <w:noProof/>
        </w:rPr>
      </w:pPr>
      <w:r>
        <w:rPr>
          <w:noProof/>
        </w:rPr>
        <w:tab/>
        <w:t>Przewodnicząca</w:t>
      </w:r>
      <w:r>
        <w:rPr>
          <w:noProof/>
        </w:rPr>
        <w:br/>
      </w:r>
      <w:r>
        <w:rPr>
          <w:noProof/>
        </w:rPr>
        <w:tab/>
        <w:t>Ursula VON DER LEYEN</w:t>
      </w:r>
    </w:p>
    <w:sectPr w:rsidR="00860655" w:rsidRPr="00402C1B" w:rsidSect="00591A1C">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Pr="00402C1B" w:rsidRDefault="004D41FA" w:rsidP="00860655">
      <w:pPr>
        <w:spacing w:before="0" w:after="0"/>
      </w:pPr>
      <w:r w:rsidRPr="00402C1B">
        <w:separator/>
      </w:r>
    </w:p>
  </w:endnote>
  <w:endnote w:type="continuationSeparator" w:id="0">
    <w:p w:rsidR="004D41FA" w:rsidRPr="00402C1B" w:rsidRDefault="004D41FA" w:rsidP="00860655">
      <w:pPr>
        <w:spacing w:before="0" w:after="0"/>
      </w:pPr>
      <w:r w:rsidRPr="00402C1B">
        <w:continuationSeparator/>
      </w:r>
    </w:p>
  </w:endnote>
  <w:endnote w:type="continuationNotice" w:id="1">
    <w:p w:rsidR="004D41FA" w:rsidRPr="00402C1B"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Pr="00591A1C" w:rsidRDefault="00591A1C" w:rsidP="00591A1C">
    <w:pPr>
      <w:pStyle w:val="Footer"/>
      <w:rPr>
        <w:rFonts w:ascii="Arial" w:hAnsi="Arial" w:cs="Arial"/>
        <w:b/>
        <w:sz w:val="48"/>
      </w:rPr>
    </w:pPr>
    <w:r w:rsidRPr="00591A1C">
      <w:rPr>
        <w:rFonts w:ascii="Arial" w:hAnsi="Arial" w:cs="Arial"/>
        <w:b/>
        <w:sz w:val="48"/>
      </w:rPr>
      <w:t>PL</w:t>
    </w:r>
    <w:r w:rsidRPr="00591A1C">
      <w:rPr>
        <w:rFonts w:ascii="Arial" w:hAnsi="Arial" w:cs="Arial"/>
        <w:b/>
        <w:sz w:val="48"/>
      </w:rPr>
      <w:tab/>
    </w:r>
    <w:r w:rsidRPr="00591A1C">
      <w:rPr>
        <w:rFonts w:ascii="Arial" w:hAnsi="Arial" w:cs="Arial"/>
        <w:b/>
        <w:sz w:val="48"/>
      </w:rPr>
      <w:tab/>
    </w:r>
    <w:r w:rsidRPr="00591A1C">
      <w:tab/>
    </w:r>
    <w:r w:rsidRPr="00591A1C">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Pr="00591A1C" w:rsidRDefault="00591A1C" w:rsidP="00591A1C">
    <w:pPr>
      <w:pStyle w:val="Footer"/>
      <w:rPr>
        <w:rFonts w:ascii="Arial" w:hAnsi="Arial" w:cs="Arial"/>
        <w:b/>
        <w:sz w:val="48"/>
      </w:rPr>
    </w:pPr>
    <w:r w:rsidRPr="00591A1C">
      <w:rPr>
        <w:rFonts w:ascii="Arial" w:hAnsi="Arial" w:cs="Arial"/>
        <w:b/>
        <w:sz w:val="48"/>
      </w:rPr>
      <w:t>PL</w:t>
    </w:r>
    <w:r w:rsidRPr="00591A1C">
      <w:rPr>
        <w:rFonts w:ascii="Arial" w:hAnsi="Arial" w:cs="Arial"/>
        <w:b/>
        <w:sz w:val="48"/>
      </w:rPr>
      <w:tab/>
    </w:r>
    <w:r w:rsidRPr="00591A1C">
      <w:rPr>
        <w:rFonts w:ascii="Arial" w:hAnsi="Arial" w:cs="Arial"/>
        <w:b/>
        <w:sz w:val="48"/>
      </w:rPr>
      <w:tab/>
    </w:r>
    <w:r w:rsidRPr="00591A1C">
      <w:tab/>
    </w:r>
    <w:r w:rsidRPr="00591A1C">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Default="00591A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Pr="00591A1C" w:rsidRDefault="00591A1C" w:rsidP="00591A1C">
    <w:pPr>
      <w:pStyle w:val="Footer"/>
      <w:rPr>
        <w:rFonts w:ascii="Arial" w:hAnsi="Arial" w:cs="Arial"/>
        <w:b/>
        <w:sz w:val="48"/>
      </w:rPr>
    </w:pPr>
    <w:r w:rsidRPr="00591A1C">
      <w:rPr>
        <w:rFonts w:ascii="Arial" w:hAnsi="Arial" w:cs="Arial"/>
        <w:b/>
        <w:sz w:val="48"/>
      </w:rPr>
      <w:t>PL</w:t>
    </w:r>
    <w:r w:rsidRPr="00591A1C">
      <w:rPr>
        <w:rFonts w:ascii="Arial" w:hAnsi="Arial" w:cs="Arial"/>
        <w:b/>
        <w:sz w:val="48"/>
      </w:rPr>
      <w:tab/>
    </w:r>
    <w:r>
      <w:fldChar w:fldCharType="begin"/>
    </w:r>
    <w:r>
      <w:instrText xml:space="preserve"> PAGE  \* MERGEFORMAT </w:instrText>
    </w:r>
    <w:r>
      <w:fldChar w:fldCharType="separate"/>
    </w:r>
    <w:r w:rsidR="00E96747">
      <w:rPr>
        <w:noProof/>
      </w:rPr>
      <w:t>11</w:t>
    </w:r>
    <w:r>
      <w:fldChar w:fldCharType="end"/>
    </w:r>
    <w:r>
      <w:tab/>
    </w:r>
    <w:r w:rsidRPr="00591A1C">
      <w:tab/>
    </w:r>
    <w:r w:rsidRPr="00591A1C">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Default="00591A1C" w:rsidP="0059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Pr="00402C1B" w:rsidRDefault="004D41FA" w:rsidP="00860655">
      <w:pPr>
        <w:spacing w:before="0" w:after="0"/>
      </w:pPr>
      <w:r w:rsidRPr="00402C1B">
        <w:separator/>
      </w:r>
    </w:p>
  </w:footnote>
  <w:footnote w:type="continuationSeparator" w:id="0">
    <w:p w:rsidR="004D41FA" w:rsidRPr="00402C1B" w:rsidRDefault="004D41FA" w:rsidP="00860655">
      <w:pPr>
        <w:spacing w:before="0" w:after="0"/>
      </w:pPr>
      <w:r w:rsidRPr="00402C1B">
        <w:continuationSeparator/>
      </w:r>
    </w:p>
  </w:footnote>
  <w:footnote w:type="continuationNotice" w:id="1">
    <w:p w:rsidR="004D41FA" w:rsidRPr="00402C1B" w:rsidRDefault="004D41FA">
      <w:pPr>
        <w:spacing w:before="0" w:after="0"/>
      </w:pPr>
    </w:p>
  </w:footnote>
  <w:footnote w:id="2">
    <w:p w:rsidR="00860655" w:rsidRPr="00402C1B" w:rsidRDefault="00860655" w:rsidP="00730DBE">
      <w:pPr>
        <w:pStyle w:val="FootnoteText"/>
      </w:pPr>
      <w:r w:rsidRPr="00402C1B">
        <w:rPr>
          <w:rStyle w:val="FootnoteReference"/>
        </w:rPr>
        <w:footnoteRef/>
      </w:r>
      <w:r w:rsidRPr="00402C1B">
        <w:tab/>
        <w:t>Dz.U. L 173</w:t>
      </w:r>
      <w:r w:rsidR="00402C1B" w:rsidRPr="00402C1B">
        <w:t xml:space="preserve"> z</w:t>
      </w:r>
      <w:r w:rsidR="00402C1B">
        <w:t> </w:t>
      </w:r>
      <w:r w:rsidR="00402C1B" w:rsidRPr="00402C1B">
        <w:t>1</w:t>
      </w:r>
      <w:r w:rsidRPr="00402C1B">
        <w:t>2.6.2014, s. 190, ELI: http://data.europa.eu/eli/dir/2014/59/oj.</w:t>
      </w:r>
    </w:p>
  </w:footnote>
  <w:footnote w:id="3">
    <w:p w:rsidR="00736C47" w:rsidRPr="00402C1B" w:rsidRDefault="00736C47">
      <w:pPr>
        <w:pStyle w:val="FootnoteText"/>
      </w:pPr>
      <w:r w:rsidRPr="00402C1B">
        <w:rPr>
          <w:rStyle w:val="FootnoteReference"/>
        </w:rPr>
        <w:footnoteRef/>
      </w:r>
      <w:r w:rsidRPr="00402C1B">
        <w:tab/>
        <w:t>Rozporządzenie wykonawcze Komisji (UE) 2018/1624</w:t>
      </w:r>
      <w:r w:rsidR="00402C1B" w:rsidRPr="00402C1B">
        <w:t xml:space="preserve"> z</w:t>
      </w:r>
      <w:r w:rsidR="00402C1B">
        <w:t> </w:t>
      </w:r>
      <w:r w:rsidR="00402C1B" w:rsidRPr="00402C1B">
        <w:t>dni</w:t>
      </w:r>
      <w:r w:rsidRPr="00402C1B">
        <w:t>a 23 października 2018 r. ustanawiające wykonawcze standardy techniczne</w:t>
      </w:r>
      <w:r w:rsidR="00402C1B" w:rsidRPr="00402C1B">
        <w:t xml:space="preserve"> w</w:t>
      </w:r>
      <w:r w:rsidR="00402C1B">
        <w:t> </w:t>
      </w:r>
      <w:r w:rsidR="00402C1B" w:rsidRPr="00402C1B">
        <w:t>odn</w:t>
      </w:r>
      <w:r w:rsidRPr="00402C1B">
        <w:t>iesieniu do procedur</w:t>
      </w:r>
      <w:r w:rsidR="00402C1B" w:rsidRPr="00402C1B">
        <w:t xml:space="preserve"> i</w:t>
      </w:r>
      <w:r w:rsidR="00402C1B">
        <w:t> </w:t>
      </w:r>
      <w:r w:rsidR="00402C1B" w:rsidRPr="00402C1B">
        <w:t>sta</w:t>
      </w:r>
      <w:r w:rsidRPr="00402C1B">
        <w:t>ndardowych formularzy</w:t>
      </w:r>
      <w:r w:rsidR="00402C1B" w:rsidRPr="00402C1B">
        <w:t xml:space="preserve"> i</w:t>
      </w:r>
      <w:r w:rsidR="00402C1B">
        <w:t> </w:t>
      </w:r>
      <w:r w:rsidR="00402C1B" w:rsidRPr="00402C1B">
        <w:t>sza</w:t>
      </w:r>
      <w:r w:rsidRPr="00402C1B">
        <w:t>blonów stosowanych do przekazywania informacji do celów sporządzenia planów restrukturyzacji</w:t>
      </w:r>
      <w:r w:rsidR="00402C1B" w:rsidRPr="00402C1B">
        <w:t xml:space="preserve"> i</w:t>
      </w:r>
      <w:r w:rsidR="00402C1B">
        <w:t> </w:t>
      </w:r>
      <w:r w:rsidR="00402C1B" w:rsidRPr="00402C1B">
        <w:t>upo</w:t>
      </w:r>
      <w:r w:rsidRPr="00402C1B">
        <w:t>rządkowanej likwidacji</w:t>
      </w:r>
      <w:r w:rsidR="00402C1B" w:rsidRPr="00402C1B">
        <w:t xml:space="preserve"> w</w:t>
      </w:r>
      <w:r w:rsidR="00402C1B">
        <w:t> </w:t>
      </w:r>
      <w:r w:rsidR="00402C1B" w:rsidRPr="00402C1B">
        <w:t>odn</w:t>
      </w:r>
      <w:r w:rsidRPr="00402C1B">
        <w:t>iesieniu do instytucji kredytowych</w:t>
      </w:r>
      <w:r w:rsidR="00402C1B" w:rsidRPr="00402C1B">
        <w:t xml:space="preserve"> i</w:t>
      </w:r>
      <w:r w:rsidR="00402C1B">
        <w:t> </w:t>
      </w:r>
      <w:r w:rsidR="00402C1B" w:rsidRPr="00402C1B">
        <w:t>fir</w:t>
      </w:r>
      <w:r w:rsidRPr="00402C1B">
        <w:t>m inwestycyjnych zgodnie</w:t>
      </w:r>
      <w:r w:rsidR="00402C1B" w:rsidRPr="00402C1B">
        <w:t xml:space="preserve"> z</w:t>
      </w:r>
      <w:r w:rsidR="00402C1B">
        <w:t> </w:t>
      </w:r>
      <w:r w:rsidR="00402C1B" w:rsidRPr="00402C1B">
        <w:t>dyr</w:t>
      </w:r>
      <w:r w:rsidRPr="00402C1B">
        <w:t>ektywą Parlamentu Europejskiego</w:t>
      </w:r>
      <w:r w:rsidR="00402C1B" w:rsidRPr="00402C1B">
        <w:t xml:space="preserve"> i</w:t>
      </w:r>
      <w:r w:rsidR="00402C1B">
        <w:t> </w:t>
      </w:r>
      <w:r w:rsidR="00402C1B" w:rsidRPr="00402C1B">
        <w:t>Rad</w:t>
      </w:r>
      <w:r w:rsidRPr="00402C1B">
        <w:t>y 2014/59/UE oraz uchylające rozporządzenie wykonawcze Komisji (UE) 2016/1066 (Dz.U. L 277</w:t>
      </w:r>
      <w:r w:rsidR="00402C1B" w:rsidRPr="00402C1B">
        <w:t xml:space="preserve"> z</w:t>
      </w:r>
      <w:r w:rsidR="00402C1B">
        <w:t> </w:t>
      </w:r>
      <w:r w:rsidR="00402C1B" w:rsidRPr="00402C1B">
        <w:t>7</w:t>
      </w:r>
      <w:r w:rsidRPr="00402C1B">
        <w:t>.11.2018, s. 1, ELI: http://data.europa.eu/eli/reg_impl/2018/1624/oj).</w:t>
      </w:r>
    </w:p>
  </w:footnote>
  <w:footnote w:id="4">
    <w:p w:rsidR="00736C47" w:rsidRPr="00402C1B" w:rsidRDefault="00736C47">
      <w:pPr>
        <w:pStyle w:val="FootnoteText"/>
      </w:pPr>
      <w:r w:rsidRPr="00402C1B">
        <w:rPr>
          <w:rStyle w:val="FootnoteReference"/>
        </w:rPr>
        <w:footnoteRef/>
      </w:r>
      <w:r w:rsidRPr="00402C1B">
        <w:tab/>
        <w:t>Dyrektywa Parlamentu Europejskiego</w:t>
      </w:r>
      <w:r w:rsidR="00402C1B" w:rsidRPr="00402C1B">
        <w:t xml:space="preserve"> i</w:t>
      </w:r>
      <w:r w:rsidR="00402C1B">
        <w:t> </w:t>
      </w:r>
      <w:r w:rsidR="00402C1B" w:rsidRPr="00402C1B">
        <w:t>Rad</w:t>
      </w:r>
      <w:r w:rsidRPr="00402C1B">
        <w:t>y (UE) 2024/1174</w:t>
      </w:r>
      <w:r w:rsidR="00402C1B" w:rsidRPr="00402C1B">
        <w:t xml:space="preserve"> z</w:t>
      </w:r>
      <w:r w:rsidR="00402C1B">
        <w:t> </w:t>
      </w:r>
      <w:r w:rsidR="00402C1B" w:rsidRPr="00402C1B">
        <w:t>dni</w:t>
      </w:r>
      <w:r w:rsidRPr="00402C1B">
        <w:t>a 11 kwietnia 2024 r. zmieniająca dyrektywę 2014/59/UE</w:t>
      </w:r>
      <w:r w:rsidR="00402C1B" w:rsidRPr="00402C1B">
        <w:t xml:space="preserve"> i</w:t>
      </w:r>
      <w:r w:rsidR="00402C1B">
        <w:t> </w:t>
      </w:r>
      <w:r w:rsidR="00402C1B" w:rsidRPr="00402C1B">
        <w:t>roz</w:t>
      </w:r>
      <w:r w:rsidRPr="00402C1B">
        <w:t>porządzenie (UE) nr 806/2014</w:t>
      </w:r>
      <w:r w:rsidR="00402C1B" w:rsidRPr="00402C1B">
        <w:t xml:space="preserve"> w</w:t>
      </w:r>
      <w:r w:rsidR="00402C1B">
        <w:t> </w:t>
      </w:r>
      <w:r w:rsidR="00402C1B" w:rsidRPr="00402C1B">
        <w:t>odn</w:t>
      </w:r>
      <w:r w:rsidRPr="00402C1B">
        <w:t>iesieniu do niektórych aspektów minimalnego wymogu</w:t>
      </w:r>
      <w:r w:rsidR="00402C1B" w:rsidRPr="00402C1B">
        <w:t xml:space="preserve"> w</w:t>
      </w:r>
      <w:r w:rsidR="00402C1B">
        <w:t> </w:t>
      </w:r>
      <w:r w:rsidR="00402C1B" w:rsidRPr="00402C1B">
        <w:t>zak</w:t>
      </w:r>
      <w:r w:rsidRPr="00402C1B">
        <w:t>resie funduszy własnych</w:t>
      </w:r>
      <w:r w:rsidR="00402C1B" w:rsidRPr="00402C1B">
        <w:t xml:space="preserve"> i</w:t>
      </w:r>
      <w:r w:rsidR="00402C1B">
        <w:t> </w:t>
      </w:r>
      <w:r w:rsidR="00402C1B" w:rsidRPr="00402C1B">
        <w:t>zob</w:t>
      </w:r>
      <w:r w:rsidRPr="00402C1B">
        <w:t>owiązań kwalifikowalnych (Dz.U. L, 2024/1174, 22.4.2024, s. 1, ELI: http://data.europa.eu/eli/dir/2024/1174/oj).</w:t>
      </w:r>
    </w:p>
  </w:footnote>
  <w:footnote w:id="5">
    <w:p w:rsidR="00736C47" w:rsidRPr="00402C1B" w:rsidRDefault="00736C47">
      <w:pPr>
        <w:pStyle w:val="FootnoteText"/>
      </w:pPr>
      <w:r w:rsidRPr="00402C1B">
        <w:rPr>
          <w:rStyle w:val="FootnoteReference"/>
        </w:rPr>
        <w:footnoteRef/>
      </w:r>
      <w:r w:rsidRPr="00402C1B">
        <w:tab/>
        <w:t>Rozporządzenie Parlamentu Europejskiego</w:t>
      </w:r>
      <w:r w:rsidR="00402C1B" w:rsidRPr="00402C1B">
        <w:t xml:space="preserve"> i</w:t>
      </w:r>
      <w:r w:rsidR="00402C1B">
        <w:t> </w:t>
      </w:r>
      <w:r w:rsidR="00402C1B" w:rsidRPr="00402C1B">
        <w:t>Rad</w:t>
      </w:r>
      <w:r w:rsidRPr="00402C1B">
        <w:t>y (UE) nr</w:t>
      </w:r>
      <w:r w:rsidR="00402C1B" w:rsidRPr="00402C1B">
        <w:t> </w:t>
      </w:r>
      <w:r w:rsidRPr="00402C1B">
        <w:t>1093/2010</w:t>
      </w:r>
      <w:r w:rsidR="00402C1B" w:rsidRPr="00402C1B">
        <w:t xml:space="preserve"> z</w:t>
      </w:r>
      <w:r w:rsidR="00402C1B">
        <w:t> </w:t>
      </w:r>
      <w:r w:rsidR="00402C1B" w:rsidRPr="00402C1B">
        <w:t>dni</w:t>
      </w:r>
      <w:r w:rsidRPr="00402C1B">
        <w:t>a 24 listopada 2010</w:t>
      </w:r>
      <w:r w:rsidR="00402C1B" w:rsidRPr="00402C1B">
        <w:t> </w:t>
      </w:r>
      <w:r w:rsidRPr="00402C1B">
        <w:t>r.</w:t>
      </w:r>
      <w:r w:rsidR="00402C1B" w:rsidRPr="00402C1B">
        <w:t xml:space="preserve"> w</w:t>
      </w:r>
      <w:r w:rsidR="00402C1B">
        <w:t> </w:t>
      </w:r>
      <w:r w:rsidR="00402C1B" w:rsidRPr="00402C1B">
        <w:t>spr</w:t>
      </w:r>
      <w:r w:rsidRPr="00402C1B">
        <w:t>awie ustanowienia Europejskiego Urzędu Nadzoru (Europejskiego Urzędu Nadzoru Bankowego), zmiany decyzji nr</w:t>
      </w:r>
      <w:r w:rsidR="00402C1B" w:rsidRPr="00402C1B">
        <w:t> </w:t>
      </w:r>
      <w:r w:rsidRPr="00402C1B">
        <w:t>716/2009/WE oraz uchylenia decyzji Komisji 2009/78/WE (Dz.U. L 331</w:t>
      </w:r>
      <w:r w:rsidR="00402C1B" w:rsidRPr="00402C1B">
        <w:t xml:space="preserve"> z</w:t>
      </w:r>
      <w:r w:rsidR="00402C1B">
        <w:t> </w:t>
      </w:r>
      <w:r w:rsidR="00402C1B" w:rsidRPr="00402C1B">
        <w:t>1</w:t>
      </w:r>
      <w:r w:rsidRPr="00402C1B">
        <w:t>5.12.2010, s. 12, ELI: http://data.europa.eu/eli/reg/2010/1093/oj).</w:t>
      </w:r>
    </w:p>
  </w:footnote>
  <w:footnote w:id="6">
    <w:p w:rsidR="00736C47" w:rsidRPr="00402C1B" w:rsidRDefault="00736C47">
      <w:pPr>
        <w:pStyle w:val="FootnoteText"/>
      </w:pPr>
      <w:r w:rsidRPr="00402C1B">
        <w:rPr>
          <w:rStyle w:val="FootnoteReference"/>
        </w:rPr>
        <w:footnoteRef/>
      </w:r>
      <w:r w:rsidRPr="00402C1B">
        <w:tab/>
        <w:t>Rozporządzenie Parlamentu Europejskiego</w:t>
      </w:r>
      <w:r w:rsidR="00402C1B" w:rsidRPr="00402C1B">
        <w:t xml:space="preserve"> i</w:t>
      </w:r>
      <w:r w:rsidR="00402C1B">
        <w:t> </w:t>
      </w:r>
      <w:r w:rsidR="00402C1B" w:rsidRPr="00402C1B">
        <w:t>Rad</w:t>
      </w:r>
      <w:r w:rsidRPr="00402C1B">
        <w:t>y (UE) nr 575/2013</w:t>
      </w:r>
      <w:r w:rsidR="00402C1B" w:rsidRPr="00402C1B">
        <w:t xml:space="preserve"> z</w:t>
      </w:r>
      <w:r w:rsidR="00402C1B">
        <w:t> </w:t>
      </w:r>
      <w:r w:rsidR="00402C1B" w:rsidRPr="00402C1B">
        <w:t>dni</w:t>
      </w:r>
      <w:r w:rsidRPr="00402C1B">
        <w:t>a 26 czerwca 2013 r.</w:t>
      </w:r>
      <w:r w:rsidR="00402C1B" w:rsidRPr="00402C1B">
        <w:t xml:space="preserve"> w</w:t>
      </w:r>
      <w:r w:rsidR="00402C1B">
        <w:t> </w:t>
      </w:r>
      <w:r w:rsidR="00402C1B" w:rsidRPr="00402C1B">
        <w:t>spr</w:t>
      </w:r>
      <w:r w:rsidRPr="00402C1B">
        <w:t>awie wymogów ostrożnościowych dla instytucji kredytowych oraz zmieniające rozporządzenie (UE) nr 648/2012 (Dz.U. L 176</w:t>
      </w:r>
      <w:r w:rsidR="00402C1B" w:rsidRPr="00402C1B">
        <w:t xml:space="preserve"> z</w:t>
      </w:r>
      <w:r w:rsidR="00402C1B">
        <w:t> </w:t>
      </w:r>
      <w:r w:rsidR="00402C1B" w:rsidRPr="00402C1B">
        <w:t>2</w:t>
      </w:r>
      <w:r w:rsidRPr="00402C1B">
        <w:t>7.6.2013, s. 1, ELI: http://data.europa.eu/eli/reg/2013/575/oj).</w:t>
      </w:r>
    </w:p>
  </w:footnote>
  <w:footnote w:id="7">
    <w:p w:rsidR="00736C47" w:rsidRPr="00402C1B" w:rsidRDefault="00736C47">
      <w:pPr>
        <w:pStyle w:val="FootnoteText"/>
      </w:pPr>
      <w:r w:rsidRPr="00402C1B">
        <w:rPr>
          <w:rStyle w:val="FootnoteReference"/>
        </w:rPr>
        <w:footnoteRef/>
      </w:r>
      <w:r w:rsidRPr="00402C1B">
        <w:tab/>
        <w:t>Dyrektywa Parlamentu Europejskiego</w:t>
      </w:r>
      <w:r w:rsidR="00402C1B" w:rsidRPr="00402C1B">
        <w:t xml:space="preserve"> i</w:t>
      </w:r>
      <w:r w:rsidR="00402C1B">
        <w:t> </w:t>
      </w:r>
      <w:r w:rsidR="00402C1B" w:rsidRPr="00402C1B">
        <w:t>Rad</w:t>
      </w:r>
      <w:r w:rsidRPr="00402C1B">
        <w:t>y 2013/36/UE</w:t>
      </w:r>
      <w:r w:rsidR="00402C1B" w:rsidRPr="00402C1B">
        <w:t xml:space="preserve"> z</w:t>
      </w:r>
      <w:r w:rsidR="00402C1B">
        <w:t> </w:t>
      </w:r>
      <w:r w:rsidR="00402C1B" w:rsidRPr="00402C1B">
        <w:t>dni</w:t>
      </w:r>
      <w:r w:rsidRPr="00402C1B">
        <w:t>a 26 czerwca 2013 r.</w:t>
      </w:r>
      <w:r w:rsidR="00402C1B" w:rsidRPr="00402C1B">
        <w:t xml:space="preserve"> w</w:t>
      </w:r>
      <w:r w:rsidR="00402C1B">
        <w:t> </w:t>
      </w:r>
      <w:r w:rsidR="00402C1B" w:rsidRPr="00402C1B">
        <w:t>spr</w:t>
      </w:r>
      <w:r w:rsidRPr="00402C1B">
        <w:t>awie warunków dopuszczenia instytucji kredytowych do działalności oraz nadzoru ostrożnościowego nad instytucjami kredytowymi, zmieniająca dyrektywę 2002/87/WE</w:t>
      </w:r>
      <w:r w:rsidR="00402C1B" w:rsidRPr="00402C1B">
        <w:t xml:space="preserve"> i</w:t>
      </w:r>
      <w:r w:rsidR="00402C1B">
        <w:t> </w:t>
      </w:r>
      <w:r w:rsidR="00402C1B" w:rsidRPr="00402C1B">
        <w:t>uch</w:t>
      </w:r>
      <w:r w:rsidRPr="00402C1B">
        <w:t>ylająca dyrektywy 2006/48/WE oraz 2006/49/WE (Dz.U. L 176</w:t>
      </w:r>
      <w:r w:rsidR="00402C1B" w:rsidRPr="00402C1B">
        <w:t xml:space="preserve"> z</w:t>
      </w:r>
      <w:r w:rsidR="00402C1B">
        <w:t> </w:t>
      </w:r>
      <w:r w:rsidR="00402C1B" w:rsidRPr="00402C1B">
        <w:t>2</w:t>
      </w:r>
      <w:r w:rsidRPr="00402C1B">
        <w:t>7.6.2013, s. 338, ELI: http://data.europa.eu/eli/dir/2013/36/oj).</w:t>
      </w:r>
    </w:p>
  </w:footnote>
  <w:footnote w:id="8">
    <w:p w:rsidR="00736C47" w:rsidRPr="00402C1B" w:rsidRDefault="00736C47">
      <w:pPr>
        <w:pStyle w:val="FootnoteText"/>
      </w:pPr>
      <w:r w:rsidRPr="00402C1B">
        <w:rPr>
          <w:rStyle w:val="FootnoteReference"/>
        </w:rPr>
        <w:footnoteRef/>
      </w:r>
      <w:r w:rsidRPr="00402C1B">
        <w:tab/>
        <w:t>Rozporządzenie Parlamentu Europejskiego</w:t>
      </w:r>
      <w:r w:rsidR="00402C1B" w:rsidRPr="00402C1B">
        <w:t xml:space="preserve"> i</w:t>
      </w:r>
      <w:r w:rsidR="00402C1B">
        <w:t> </w:t>
      </w:r>
      <w:r w:rsidR="00402C1B" w:rsidRPr="00402C1B">
        <w:t>Rad</w:t>
      </w:r>
      <w:r w:rsidRPr="00402C1B">
        <w:t>y (UE) 2019/2033</w:t>
      </w:r>
      <w:r w:rsidR="00402C1B" w:rsidRPr="00402C1B">
        <w:t xml:space="preserve"> z</w:t>
      </w:r>
      <w:r w:rsidR="00402C1B">
        <w:t> </w:t>
      </w:r>
      <w:r w:rsidR="00402C1B" w:rsidRPr="00402C1B">
        <w:t>dni</w:t>
      </w:r>
      <w:r w:rsidRPr="00402C1B">
        <w:t>a 27 listopada 2019</w:t>
      </w:r>
      <w:r w:rsidR="00402C1B" w:rsidRPr="00402C1B">
        <w:t> </w:t>
      </w:r>
      <w:r w:rsidRPr="00402C1B">
        <w:t>r.</w:t>
      </w:r>
      <w:r w:rsidR="00402C1B" w:rsidRPr="00402C1B">
        <w:t xml:space="preserve"> w</w:t>
      </w:r>
      <w:r w:rsidR="00402C1B">
        <w:t> </w:t>
      </w:r>
      <w:r w:rsidR="00402C1B" w:rsidRPr="00402C1B">
        <w:t>spr</w:t>
      </w:r>
      <w:r w:rsidRPr="00402C1B">
        <w:t>awie wymogów ostrożnościowych dla firm inwestycyjnych oraz zmieniające rozporządzenia (UE) nr</w:t>
      </w:r>
      <w:r w:rsidR="00402C1B" w:rsidRPr="00402C1B">
        <w:t> </w:t>
      </w:r>
      <w:r w:rsidRPr="00402C1B">
        <w:t>1093/2010, (UE) nr</w:t>
      </w:r>
      <w:r w:rsidR="00402C1B" w:rsidRPr="00402C1B">
        <w:t> </w:t>
      </w:r>
      <w:r w:rsidRPr="00402C1B">
        <w:t>575/2013, (UE) nr</w:t>
      </w:r>
      <w:r w:rsidR="00402C1B" w:rsidRPr="00402C1B">
        <w:t> </w:t>
      </w:r>
      <w:r w:rsidRPr="00402C1B">
        <w:t>600/2014 i (UE) nr</w:t>
      </w:r>
      <w:r w:rsidR="00402C1B" w:rsidRPr="00402C1B">
        <w:t> </w:t>
      </w:r>
      <w:r w:rsidRPr="00402C1B">
        <w:t>806/2014 (Dz.U. L 314</w:t>
      </w:r>
      <w:r w:rsidR="00402C1B" w:rsidRPr="00402C1B">
        <w:t xml:space="preserve"> z</w:t>
      </w:r>
      <w:r w:rsidR="00402C1B">
        <w:t> </w:t>
      </w:r>
      <w:r w:rsidR="00402C1B" w:rsidRPr="00402C1B">
        <w:t>5</w:t>
      </w:r>
      <w:r w:rsidRPr="00402C1B">
        <w:t>.12.2019, s.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Default="00591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C" w:rsidRDefault="00591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9: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842EA44-FC9F-43A7-9796-4F481D498627"/>
    <w:docVar w:name="LW_COVERPAGE_TYPE" w:val="1"/>
    <w:docVar w:name="LW_CreatedUtc" w:val="2025-04-09T13:24:10.7425134Z"/>
    <w:docVar w:name="LW_CROSSREFERENCE" w:val="&lt;UNUSED&gt;"/>
    <w:docVar w:name="LW_DATE.ADOPT.CP" w:val="z dnia 14.11.2025 r."/>
    <w:docVar w:name="LW_DATE.ADOPT.CP_DATEFORMAT" w:val="z dnia %DATE% r."/>
    <w:docVar w:name="LW_DATE.ADOPT.CP_ISODATE" w:val="2025-11-14"/>
    <w:docVar w:name="LW_DocType" w:val="COM"/>
    <w:docVar w:name="LW_EMISSION" w:val="14.11.2025"/>
    <w:docVar w:name="LW_EMISSION_ISODATE" w:val="2025-11-14"/>
    <w:docVar w:name="LW_EMISSION_LOCATION" w:val="BRX"/>
    <w:docVar w:name="LW_EMISSION_PREFIX" w:val="Bruksela, dnia "/>
    <w:docVar w:name="LW_EMISSION_SUFFIX" w:val=" r."/>
    <w:docVar w:name="LW_ID_DOCMODEL" w:val="SJ-004"/>
    <w:docVar w:name="LW_ID_DOCSIGNATURE" w:val="SJ-004"/>
    <w:docVar w:name="LW_ID_DOCSTRUCTURE" w:val="COM/AA"/>
    <w:docVar w:name="LW_ID_DOCTYPE" w:val="SJ-004"/>
    <w:docVar w:name="LW_INTERETEEE.CP" w:val="(Tekst maj\u261?cy znaczenie dla EOG)"/>
    <w:docVar w:name="LW_LANGUE" w:val="PL"/>
    <w:docVar w:name="LW_LANGUESFAISANTFOI.CP" w:val="&lt;UNUSED&gt;"/>
    <w:docVar w:name="LW_LEVEL_OF_SENSITIVITY" w:val="Standard treatment"/>
    <w:docVar w:name="LW_NOM.INST" w:val="KOMISJA EUROPEJSK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stanawiaj\u261?ce wykonawcze standardy techniczne w odniesieniu do procedur oraz standardowych formularzy i szablonów stosowanych do przekazywania informacji do celów sporz\u261?dzenia planów restrukturyzacji i uporz\u261?dkowanej likwidacji w odniesieniu do instytucji kredytowych i firm inwestycyjnych zgodnie z dyrektyw\u261? Parlamentu Europejskiego i Rady 2014/59/UE oraz uchylaj\u261?ce rozporz\u261?dzenie wykonawcze Komisji (UE) 2018/1624"/>
    <w:docVar w:name="LW_TYPE.DOC.CP" w:val="ROZPORZ\u260?DZENIE WYKONAWCZE KOMISJI (UE) \u8230?/\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438"/>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3F0"/>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2B3E"/>
    <w:rsid w:val="00244B76"/>
    <w:rsid w:val="0024597B"/>
    <w:rsid w:val="00247779"/>
    <w:rsid w:val="00255B8B"/>
    <w:rsid w:val="00257211"/>
    <w:rsid w:val="0026031F"/>
    <w:rsid w:val="002606F8"/>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56A88"/>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35F"/>
    <w:rsid w:val="00401ABC"/>
    <w:rsid w:val="00402772"/>
    <w:rsid w:val="004027F9"/>
    <w:rsid w:val="00402C1B"/>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3FB6"/>
    <w:rsid w:val="00577772"/>
    <w:rsid w:val="0058118B"/>
    <w:rsid w:val="00582810"/>
    <w:rsid w:val="00582ED2"/>
    <w:rsid w:val="00583D8A"/>
    <w:rsid w:val="00591A1C"/>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4831"/>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09CC"/>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5B80"/>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1F59"/>
    <w:rsid w:val="006B6FB1"/>
    <w:rsid w:val="006C0B4F"/>
    <w:rsid w:val="006C12BE"/>
    <w:rsid w:val="006C55AC"/>
    <w:rsid w:val="006C67E3"/>
    <w:rsid w:val="006D097A"/>
    <w:rsid w:val="006D0ED5"/>
    <w:rsid w:val="006D3E83"/>
    <w:rsid w:val="006D4871"/>
    <w:rsid w:val="006D4C78"/>
    <w:rsid w:val="006D6AE4"/>
    <w:rsid w:val="006D7284"/>
    <w:rsid w:val="006D738C"/>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23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6DF5"/>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A43FD"/>
    <w:rsid w:val="008B64CB"/>
    <w:rsid w:val="008B7352"/>
    <w:rsid w:val="008C00D9"/>
    <w:rsid w:val="008C1416"/>
    <w:rsid w:val="008C22D5"/>
    <w:rsid w:val="008C30E7"/>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0BF2"/>
    <w:rsid w:val="00A546BE"/>
    <w:rsid w:val="00A5534F"/>
    <w:rsid w:val="00A565C7"/>
    <w:rsid w:val="00A61F97"/>
    <w:rsid w:val="00A62D23"/>
    <w:rsid w:val="00A634A0"/>
    <w:rsid w:val="00A642FA"/>
    <w:rsid w:val="00A748FA"/>
    <w:rsid w:val="00A80052"/>
    <w:rsid w:val="00A803C4"/>
    <w:rsid w:val="00A82F1C"/>
    <w:rsid w:val="00A85B65"/>
    <w:rsid w:val="00A93F8D"/>
    <w:rsid w:val="00A95E76"/>
    <w:rsid w:val="00AA112B"/>
    <w:rsid w:val="00AA1EA4"/>
    <w:rsid w:val="00AB0F36"/>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2ED2"/>
    <w:rsid w:val="00BC3610"/>
    <w:rsid w:val="00BC4FE7"/>
    <w:rsid w:val="00BC52C4"/>
    <w:rsid w:val="00BD3695"/>
    <w:rsid w:val="00BD5399"/>
    <w:rsid w:val="00BD585C"/>
    <w:rsid w:val="00BD76AD"/>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5DEC"/>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E7956"/>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5A03"/>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6C82"/>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747"/>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0F37"/>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3508"/>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pl-PL"/>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pl-PL"/>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591A1C"/>
    <w:rPr>
      <w:rFonts w:ascii="Times New Roman" w:hAnsi="Times New Roman" w:cs="Times New Roman"/>
      <w:sz w:val="24"/>
      <w:lang w:val="pl-PL"/>
    </w:rPr>
  </w:style>
  <w:style w:type="character" w:customStyle="1" w:styleId="FooterChar">
    <w:name w:val="Footer Char"/>
    <w:basedOn w:val="DefaultParagraphFont"/>
    <w:link w:val="Footer"/>
    <w:uiPriority w:val="99"/>
    <w:rsid w:val="00591A1C"/>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91A1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91A1C"/>
    <w:pPr>
      <w:spacing w:before="0"/>
      <w:jc w:val="right"/>
    </w:pPr>
    <w:rPr>
      <w:sz w:val="28"/>
    </w:rPr>
  </w:style>
  <w:style w:type="paragraph" w:customStyle="1" w:styleId="FooterSensitivity">
    <w:name w:val="Footer Sensitivity"/>
    <w:basedOn w:val="Normal"/>
    <w:rsid w:val="00591A1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91A1C"/>
    <w:pPr>
      <w:tabs>
        <w:tab w:val="center" w:pos="4535"/>
        <w:tab w:val="right" w:pos="9071"/>
      </w:tabs>
      <w:spacing w:before="0"/>
    </w:pPr>
  </w:style>
  <w:style w:type="paragraph" w:customStyle="1" w:styleId="HeaderLandscape">
    <w:name w:val="HeaderLandscape"/>
    <w:basedOn w:val="Normal"/>
    <w:rsid w:val="00591A1C"/>
    <w:pPr>
      <w:tabs>
        <w:tab w:val="center" w:pos="7285"/>
        <w:tab w:val="right" w:pos="14003"/>
      </w:tabs>
      <w:spacing w:before="0"/>
    </w:pPr>
  </w:style>
  <w:style w:type="paragraph" w:styleId="Footer">
    <w:name w:val="footer"/>
    <w:basedOn w:val="Normal"/>
    <w:link w:val="FooterChar"/>
    <w:uiPriority w:val="99"/>
    <w:unhideWhenUsed/>
    <w:rsid w:val="00591A1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91A1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F2460BCE-8EB3-4832-AFC2-329D9AD32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12</Pages>
  <Words>4418</Words>
  <Characters>25185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61</cp:revision>
  <dcterms:created xsi:type="dcterms:W3CDTF">2025-08-04T13:17:00Z</dcterms:created>
  <dcterms:modified xsi:type="dcterms:W3CDTF">2025-11-07T09:09:00Z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