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4644F9" w:rsidRDefault="005065C5" w:rsidP="005065C5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547430C4-4AAB-4261-BF2F-2193872B626B" style="width:455.25pt;height:426pt">
            <v:imagedata r:id="rId10" o:title=""/>
          </v:shape>
        </w:pict>
      </w:r>
    </w:p>
    <w:p w:rsidR="00860655" w:rsidRPr="004644F9" w:rsidRDefault="00860655" w:rsidP="00184085">
      <w:pPr>
        <w:rPr>
          <w:noProof/>
        </w:rPr>
        <w:sectPr w:rsidR="00860655" w:rsidRPr="004644F9" w:rsidSect="005065C5">
          <w:footerReference w:type="even" r:id="rId11"/>
          <w:footerReference w:type="default" r:id="rId1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860655" w:rsidRPr="004644F9" w:rsidRDefault="004644F9" w:rsidP="004644F9">
      <w:pPr>
        <w:pStyle w:val="Typedudocument"/>
        <w:rPr>
          <w:noProof/>
        </w:rPr>
      </w:pPr>
      <w:bookmarkStart w:id="0" w:name="_GoBack"/>
      <w:bookmarkEnd w:id="0"/>
      <w:r w:rsidRPr="004644F9">
        <w:rPr>
          <w:noProof/>
        </w:rPr>
        <w:lastRenderedPageBreak/>
        <w:t>REGOLAMENT TA’ IMPLIMENTAZZJONI TAL-KUMMISSJONI (UE) .../...</w:t>
      </w:r>
    </w:p>
    <w:p w:rsidR="00860655" w:rsidRPr="004644F9" w:rsidRDefault="00AC5814" w:rsidP="004644F9">
      <w:pPr>
        <w:pStyle w:val="Datedadoption"/>
        <w:rPr>
          <w:noProof/>
        </w:rPr>
      </w:pPr>
      <w:r>
        <w:rPr>
          <w:noProof/>
        </w:rPr>
        <w:t>ta'14.11.2025</w:t>
      </w:r>
    </w:p>
    <w:p w:rsidR="00860655" w:rsidRPr="004644F9" w:rsidRDefault="004644F9" w:rsidP="004644F9">
      <w:pPr>
        <w:pStyle w:val="Titreobjet"/>
        <w:rPr>
          <w:noProof/>
        </w:rPr>
      </w:pPr>
      <w:r w:rsidRPr="004644F9">
        <w:rPr>
          <w:noProof/>
        </w:rPr>
        <w:t>li jistabbilixxi l-istandards tekniċi ta' implimentazzjoni fir-rigward ta' proċeduri u formoli u mudelli standard għall-forniment ta' informazzjoni għall-finijiet ta' pjanijiet ta' riżoluzzjoni għall-istituzzjonijiet ta' kreditu u ditti tal-investiment skont id-Direttiva 2014/59/UE tal-Parlament Ewropew u tal-Kunsill, u li jħassar ir-Regolament ta' Implimentazzjoni tal-Kummissjoni (UE) 2018/1624</w:t>
      </w:r>
    </w:p>
    <w:p w:rsidR="00860655" w:rsidRPr="004644F9" w:rsidRDefault="004644F9" w:rsidP="004644F9">
      <w:pPr>
        <w:pStyle w:val="IntrtEEE"/>
        <w:rPr>
          <w:noProof/>
        </w:rPr>
      </w:pPr>
      <w:r w:rsidRPr="004644F9">
        <w:rPr>
          <w:noProof/>
        </w:rPr>
        <w:t>(Test b’relevanza għaż-ŻEE)</w:t>
      </w:r>
    </w:p>
    <w:p w:rsidR="00860655" w:rsidRPr="004644F9" w:rsidRDefault="00860655" w:rsidP="00184085">
      <w:pPr>
        <w:pStyle w:val="Institutionquiagit"/>
        <w:rPr>
          <w:noProof/>
        </w:rPr>
      </w:pPr>
      <w:r w:rsidRPr="004644F9">
        <w:rPr>
          <w:noProof/>
        </w:rPr>
        <w:t>IL-KUMMISSJONI EWROPEA,</w:t>
      </w:r>
    </w:p>
    <w:p w:rsidR="00860655" w:rsidRPr="004644F9" w:rsidRDefault="00860655" w:rsidP="00184085">
      <w:pPr>
        <w:rPr>
          <w:noProof/>
        </w:rPr>
      </w:pPr>
      <w:r w:rsidRPr="004644F9">
        <w:rPr>
          <w:noProof/>
        </w:rPr>
        <w:t>Wara li kkunsidrat it-Trattat dwar il-Funzjonament tal-Unjoni Ewropea,</w:t>
      </w:r>
    </w:p>
    <w:p w:rsidR="00860655" w:rsidRPr="004644F9" w:rsidRDefault="00860655" w:rsidP="00184085">
      <w:pPr>
        <w:rPr>
          <w:noProof/>
        </w:rPr>
      </w:pPr>
      <w:r w:rsidRPr="004644F9">
        <w:rPr>
          <w:noProof/>
        </w:rPr>
        <w:t>Wara li kkunsidrat id-Direttiva 2014/59/UE tal-Parlament Ewropew u tal-Kunsill tal-15 ta' Mejju 2014 li tistabbilixxi qafas għall-irkupru u r-riżoluzzjoni ta’ istituzzjonijiet ta’ kreditu u ditti ta’ investiment u li temenda d-Direttiva tal-Kunsill 82/891/KEE, u d-Direttivi 2001/24/KE, 2002/47/KE, 2004/25/KE, 2005/56/KE, 2007/36/KE u 2011/35/UE, 2012/30/UE u 2013/36/UE u r-Regolamenti (UE) Nru 1093/2010 u (UE) Nru 648/2012, tal-Parlament Ewropew u tal-Kunsill</w:t>
      </w:r>
      <w:r w:rsidRPr="004644F9">
        <w:rPr>
          <w:rStyle w:val="FootnoteReference"/>
          <w:noProof/>
        </w:rPr>
        <w:footnoteReference w:id="2"/>
      </w:r>
      <w:r w:rsidRPr="004644F9">
        <w:rPr>
          <w:noProof/>
        </w:rPr>
        <w:t>, u b'mod partikulari, l-Artikolu 11(3) tagħha,</w:t>
      </w:r>
    </w:p>
    <w:p w:rsidR="00860655" w:rsidRPr="004644F9" w:rsidRDefault="00860655" w:rsidP="00184085">
      <w:pPr>
        <w:rPr>
          <w:noProof/>
        </w:rPr>
      </w:pPr>
      <w:r w:rsidRPr="004644F9">
        <w:rPr>
          <w:noProof/>
        </w:rPr>
        <w:t>Billi:</w:t>
      </w:r>
    </w:p>
    <w:p w:rsidR="00860655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(1)</w:t>
      </w:r>
      <w:r w:rsidRPr="005043B9">
        <w:rPr>
          <w:noProof/>
        </w:rPr>
        <w:tab/>
      </w:r>
      <w:r w:rsidR="00860655" w:rsidRPr="004644F9">
        <w:rPr>
          <w:noProof/>
        </w:rPr>
        <w:t>Ir-Regolament ta’ Implimentazzjoni tal-Kummissjoni (UE) 2018/1624</w:t>
      </w:r>
      <w:r w:rsidR="00860655" w:rsidRPr="004644F9">
        <w:rPr>
          <w:rStyle w:val="FootnoteReference"/>
          <w:noProof/>
        </w:rPr>
        <w:footnoteReference w:id="3"/>
      </w:r>
      <w:r w:rsidR="00860655" w:rsidRPr="004644F9">
        <w:rPr>
          <w:noProof/>
        </w:rPr>
        <w:t xml:space="preserve"> jispeċifika l-proċedura, u jintroduċi sett minimu ta’ mudelli, għall-għoti ta’ informazzjoni lill-awtoritajiet ta’ riżoluzzjoni minn istituzzjonijiet ta’ kreditu jew ditti ta’ investiment għall-fini tat-tfassil u l-implimentazzjoni ta’ pjanijiet ta’ riżoluzzjoni għall-istituzzjonijiet. Mill-adozzjoni ta’ dak ir-Regolament, l-awtoritajiet ta’ riżoluzzjoni kisbu esperjenza fil-qasam tal-ippjanar tar-riżoluzzjoni u d-Direttiva 2014/59/UE ġiet emendata. Fid-dawl ta’ dik l-esperjenza u biex jitqiesu d-dispożizzjonijiet il-ġodda ta’ dik id-Direttiva, huwa meħtieġ li jiġi aġġornat is-sett minimu ta’ mudelli għall-ġbir ta’ informazzjoni għall-finijiet tal-ippjanar tar-riżoluzzjoni.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(2)</w:t>
      </w:r>
      <w:r w:rsidRPr="005043B9">
        <w:rPr>
          <w:noProof/>
        </w:rPr>
        <w:tab/>
      </w:r>
      <w:r w:rsidR="003B410C" w:rsidRPr="004644F9">
        <w:rPr>
          <w:noProof/>
        </w:rPr>
        <w:t xml:space="preserve">Ir-Regolament ta’ Implimentazzjoni (UE) 2018/1624 jistabbilixxi proċedura u sett minimu ta’ mudelli għall-għoti ta’ informazzjoni mill-istituzzjonijiet lill-awtoritajiet ta’ riżoluzzjoni b’mod li jippermetti lill-awtoritajiet ta’ riżoluzzjoni jiġbru dik l-informazzjoni b’mod konsistenti madwar l-Unjoni u li jiffaċilita l-iskambju ta’ informazzjoni fost l-awtoritajiet rilevanti. Madankollu, l-esperjenza wriet li approċċ armonizzat għall-ġbir ta’ dik l-informazzjoni nkiseb biss parzjalment. Għalhekk huwa meħtieġ li dak ir-Regolament ta’ Implimentazzjoni jiġi rieżaminat biex titrawwem l-armonizzazzjoni tal-obbligi ta’ rapportar madwar l-Unjoni abbażi ta’ sett rivedut ta’ mudelli li jkopru aħjar il-ħtiġijiet tal-awtoritajiet ta’ riżoluzzjoni b’mod konsistenti. </w:t>
      </w:r>
      <w:r w:rsidR="003B410C" w:rsidRPr="004644F9">
        <w:rPr>
          <w:noProof/>
        </w:rPr>
        <w:lastRenderedPageBreak/>
        <w:t>Jenħtieġ li dak ma jipprevjenix lill-awtoritajiet ta’ riżoluzzjoni milli jiġbru kwalunkwe informazzjoni addizzjonali li jqisu meħtieġa biex ifasslu u jimplimentaw pjanijiet ta’ riżoluzzjoni jew biex jistabbilixxu obbligi ta’ informazzjoni simplifikati f’konformità mal-Artikolu 4 tad-Direttiva 2014/59/UE.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(3)</w:t>
      </w:r>
      <w:r w:rsidRPr="005043B9">
        <w:rPr>
          <w:noProof/>
        </w:rPr>
        <w:tab/>
      </w:r>
      <w:r w:rsidR="003B410C" w:rsidRPr="004644F9">
        <w:rPr>
          <w:noProof/>
        </w:rPr>
        <w:t>Sabiex jiġi żgurat li l-pjanijiet ta’ riżoluzzjoni tal-grupp ikopru b’mod effettiv il-grupp ikkonċernat, jenħtieġ li l-obbligi ta’ rapportar imposti fuq l-impriżi omm tal-Unjoni ma jkunux limitati għall-entitajiet ta’ riżoluzzjoni biss, iżda jenħtieġ li jikkonċernaw ukoll entitajiet ġuridiċi rilevanti oħra. Madankollu, jenħtieġ li tali rilevanza tiġi delineata kif xieraq biex jiġi eskluż ir-rapportar għal entitajiet li mhumiex rilevanti għall-grupp jew li mhumiex sistemikament importanti. Għal dak l-għan, jenħtieġ li jiġu stabbiliti limiti biex jiġu identifikati dawk l-entitajiet ġuridiċi tal-grupp li fuqhom jenħtieġ li jiġu imposti rekwiżiti ta’ rapportar ta’ riżoluzzjoni. Barra minn hekk, id-Direttiva (UE) 2024/1174 tal-Parlament Ewropew u tal-Kunsill</w:t>
      </w:r>
      <w:r w:rsidR="003B410C" w:rsidRPr="004644F9">
        <w:rPr>
          <w:rStyle w:val="FootnoteReference"/>
          <w:noProof/>
        </w:rPr>
        <w:footnoteReference w:id="4"/>
      </w:r>
      <w:r w:rsidR="003B410C" w:rsidRPr="004644F9">
        <w:rPr>
          <w:noProof/>
        </w:rPr>
        <w:t xml:space="preserve"> emendat id-Direttiva 2014/59/UE billi introduċiet, fost l-oħrajn, definizzjoni ta’ “entità ta’ likwidazzjoni”. Sabiex titqies dik id-definizzjoni l-ġdida, huwa meħtieġ li ssir distinzjoni bejn ir-rekwiżiti ta’ rapportar ta’ riżoluzzjoni għall-entitajiet ta’ likwidazzjoni, għall-entitajiet ta’ riżoluzzjoni, u għall-entitajiet li jappartjenu għal gruppi ta’ riżoluzzjoni. B’mod partikolari, huwa meħtieġ li jiġu speċifikati l-obbligi ta’ rapportar filwaqt li jitqies jekk l-entitajiet ikkonċernati humiex entitajiet awtonomi, jew jappartjenux għal gruppi, u jekk tali entitajiet jew gruppi ġewx identifikati, jew jinkludux entitajiet li ġew identifikati, bħala entitajiet ta’ likwidazzjoni. Dawk l-obbligi ta’ rapportar jenħtieġ li jiġu stabbiliti fuq livell individwali, subkonsolidat jew konsolidat b’mod li jiżgura l-proporzjonalità, ma jikkompromettix l-ippjanar effettiv ta’ riżoluzzjoni, jeħles lill-entitajiet minn ġabriet paralleli ta’ data li jkunu ġejjin minn awtoritajiet differenti, u jneħħi punti tad-data li jikkoinċidu ma’ oqfsa ta’ rapportar superviżorju. Dan jenħtieġ li jinkiseb permezz tal-implimentazzjoni ta’ approċċ li jimmodula l-għadd ta’ mudelli skont it-tip ta’ entità relatriċi kkonċernata. Jenħtieġ li tingħata attenzjoni partikolari wkoll lil gruppi ta’ riżoluzzjoni li jikkonsistu f’istituzzjonijiet ta’ kreditu affiljati b’mod permanenti ma’ korp ċentrali u l-korp ċentrali nnifsu biex jiġi żgurat li r-rapportar ta’ riżoluzzjoni jkopri b’mod effettiv l-istituzzjonijiet ta’ kreditu kollha affiljati b’mod permanenti mal-korp ċentrali ta’ dak il-grupp ta’ riżoluzzjoni, il-korp ċentrali nnifsu, u s-sussidjarji rispettivi tagħhom, fuq livell individwali, subkonsolidat u konsolidat.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(4)</w:t>
      </w:r>
      <w:r w:rsidRPr="005043B9">
        <w:rPr>
          <w:noProof/>
        </w:rPr>
        <w:tab/>
      </w:r>
      <w:r w:rsidR="003B410C" w:rsidRPr="004644F9">
        <w:rPr>
          <w:noProof/>
        </w:rPr>
        <w:t>Sabiex jiġi żgurat ippjanar effiċjenti tar-riżoluzzjoni filwaqt li tiġi ppreservata l-proporzjonalità, il-kamp ta’ applikazzjoni tar-rekwiżiti ta’ rapportar ta’ riżoluzzjoni jista’ jkollu jvarja mill-kamp ta’ applikazzjoni tar-rekwiżiti ta’ rapportar prudenzjali, meta jkun meħtieġ biex jiġi żgurat li l-awtoritajiet ta’ riżoluzzjoni jkollhom data adegwata u kredibbli biex iwettqu l-kompiti tagħhom. F’dak il-kuntest, huwa meħtieġ li jiġi żgurat li r-rapportar ta’ riżoluzzjoni ma jiġix imfixkel minn eżenzjonijiet prudenzjali jew minn gruppi ta’ riżoluzzjoni mhux soġġetti għal rekwiżiti ta’ konsolidazzjoni prudenzjali.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(5)</w:t>
      </w:r>
      <w:r w:rsidRPr="005043B9">
        <w:rPr>
          <w:noProof/>
        </w:rPr>
        <w:tab/>
      </w:r>
      <w:r w:rsidR="00012E4C" w:rsidRPr="004644F9">
        <w:rPr>
          <w:noProof/>
        </w:rPr>
        <w:t>Sabiex jiġi żgurat li l-pjanijiet ta’ riżoluzzjoni jkunu bbażati fuq sett minimu ta’ data ta’ kwalità u preċiżjoni konsistentement għolja, jenħtieġ li jiġi adottat mudell uniku tal-punti tad-data, kif inhi l-prattika fir-rapportar superviżorju. Il-formola unika tal-punti ta' data jenħtieġ li tkun tikkonsisti minn rappreżentazzjoni strutturata tal-attributi ta' data, u tidentifika l-kunċetti kummerċjali rilevanti kollha għall-finijiet ta' rapportar uniformi għall-ippjanar tar-riżoluzzjoni u jenħtieġ li jkollha l-ispeċifikazzjonijiet kollha rilevanti neċessarji għal żvilupp ulterjuri ta' soluzzjonijiet uniformi ta' rapportar tal-IT.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(6)</w:t>
      </w:r>
      <w:r w:rsidRPr="005043B9">
        <w:rPr>
          <w:noProof/>
        </w:rPr>
        <w:tab/>
      </w:r>
      <w:r w:rsidR="00980E18" w:rsidRPr="004644F9">
        <w:rPr>
          <w:noProof/>
        </w:rPr>
        <w:t>Sabiex jiġu ssalvagwardjati l-kwalità, il-konsistenza u l-preċiżjoni tal-entrati tad-data rrapportati mill-istituzzjonijiet, dawk l-elementi tad-data jenħtieġ li jkunu soġġetti għal regoli komuni ta’ validazzjoni.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(7)</w:t>
      </w:r>
      <w:r w:rsidRPr="005043B9">
        <w:rPr>
          <w:noProof/>
        </w:rPr>
        <w:tab/>
      </w:r>
      <w:r w:rsidR="003B410C" w:rsidRPr="004644F9">
        <w:rPr>
          <w:noProof/>
        </w:rPr>
        <w:t>Minħabba n-natura stess tagħhom, ir-regoli ta’ validazzjoni u d-definizzjonijiet tal-punti tad-data huma aġġornati b’mod regolari sabiex jiġi żgurat li jikkonformaw, f’kull ħin, mar-rekwiżiti applikabbli regolatorji, analitiċi u tat-teknoloġija tal-informatika. Madankollu, iż-żmien attwalment meħtieġ sabiex jiġu adottati u ppubblikati l-formola unika tal-punti ta' data u r-regoli ta' validazzjoni fid-dettall ifisser li mhuwiex possibbli li jsiru modifiki b'mod malajr biżżejjed u f'waqtu li jkun jiżgura forniment permanenti ta' informazzjoni uniformi rigward il-pjanijiet ta' riżoluzzjoni fl-Unjoni. Għaldaqstant, jenħtieġ li jiġu stabbiliti kriterji kwalitattivi stretti għall-formola unika tal-punti ta' data u għar-regoli komuni ta' validazzjoni li se jiġu ppubblikati b'mod elettroniku mill-Awtorità Bankarja Ewropea (ABE) fuq is-sit web tagħha. Dan ta’ hawn fuq ma jeskludix li l-EBA tista’ tippubblika wkoll fuq is-sit web tagħha struzzjonijiet tekniċi biex timla l-formoli u l-mudelli speċifikati f’dan ir-Regolament.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(8)</w:t>
      </w:r>
      <w:r w:rsidRPr="005043B9">
        <w:rPr>
          <w:noProof/>
        </w:rPr>
        <w:tab/>
      </w:r>
      <w:r w:rsidR="003B410C" w:rsidRPr="004644F9">
        <w:rPr>
          <w:noProof/>
        </w:rPr>
        <w:t>L-Artikolu 11(2) tad-Direttiva 2014/59/UE jobbliga lill-awtoritajiet kompetenti u ta’ riżoluzzjoni jikkooperaw biex jimminimizzaw id-duplikazzjoni tar-rekwiżiti ta’ informazzjoni. Għal dan l-iskop, ir-Regolament ta’ Implimentazzjoni (UE) 2018/1624 jintroduċi proċedura ta' kooperazzjoni bejn l-awtoritajiet kompetenti u ta' riżoluzzjoni, li jenħtieġ tinżamm sabiex l-awtoritajiet kompetenti u ta' riżoluzzjoni jivverifikaw konġuntament jekk l-informazzjoni rikjesta kollha jew parti minnha tinsabx diġà għad-dispożizzjoni tal-awtorità kompetenti. Meta l-informazzjoni tkun għad-dispożizzjoni tal-awtorità kompetenti, ikun jixraq li din tittrażmettiha direttament lill-awtorità ta' riżoluzzjoni.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(9)</w:t>
      </w:r>
      <w:r w:rsidRPr="005043B9">
        <w:rPr>
          <w:noProof/>
        </w:rPr>
        <w:tab/>
      </w:r>
      <w:r w:rsidR="003B410C" w:rsidRPr="004644F9">
        <w:rPr>
          <w:noProof/>
        </w:rPr>
        <w:t>Minħabba l-firxa tal-emendi tar-Regolament ta’ Implimentazzjoni (UE) 2018/1624, huwa xieraq, għal raġunijiet ta’ ċertezza u ċarezza legali, li jiġi adottat Regolament ta’ Implimentazzjoni ġdid u, għalhekk, li jitħassar u jiġi sostitwit ir-Regolament ta’ Implimentazzjoni (UE) 2018/1624.</w:t>
      </w:r>
    </w:p>
    <w:p w:rsidR="003B410C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(10)</w:t>
      </w:r>
      <w:r w:rsidRPr="005043B9">
        <w:rPr>
          <w:noProof/>
        </w:rPr>
        <w:tab/>
      </w:r>
      <w:r w:rsidR="003B410C" w:rsidRPr="004644F9">
        <w:rPr>
          <w:noProof/>
        </w:rPr>
        <w:t>Dan ir-Regolament huwa bbażat fuq l-istandards tekniċi ta’ implimentazzjoni ppreżentat lill-Kummissjoni mill-EBA.</w:t>
      </w:r>
    </w:p>
    <w:p w:rsidR="00860655" w:rsidRPr="004644F9" w:rsidRDefault="005043B9" w:rsidP="005043B9">
      <w:pPr>
        <w:pStyle w:val="ManualConsidrant"/>
        <w:rPr>
          <w:noProof/>
        </w:rPr>
      </w:pPr>
      <w:r w:rsidRPr="005043B9">
        <w:rPr>
          <w:noProof/>
        </w:rPr>
        <w:t>(11)</w:t>
      </w:r>
      <w:r w:rsidRPr="005043B9">
        <w:rPr>
          <w:noProof/>
        </w:rPr>
        <w:tab/>
      </w:r>
      <w:r w:rsidR="003B410C" w:rsidRPr="004644F9">
        <w:rPr>
          <w:noProof/>
        </w:rPr>
        <w:t>L-EBA wettqet konsultazzjonijiet pubbliċi miftuħa dwar l-abbozz tal-istandards tekniċi ta’ implimentazzjoni li fuqhom huwa bbażat dan ir-Regolament, analizzat il-kostijiet u l-benefiċċji potenzjali relatati u talbet l-opinjoni tal-Grupp tal-Partijiet Bankarji Interessati stabbilit f’konformità mal-Artikolu 37 tar-Regolament (UE) Nru 1093/2010 tal-Parlament Ewropew u tal-Kunsill</w:t>
      </w:r>
      <w:r w:rsidR="003B410C" w:rsidRPr="004644F9">
        <w:rPr>
          <w:rStyle w:val="FootnoteReference"/>
          <w:noProof/>
        </w:rPr>
        <w:footnoteReference w:id="5"/>
      </w:r>
      <w:r w:rsidR="003B410C" w:rsidRPr="004644F9">
        <w:rPr>
          <w:noProof/>
        </w:rPr>
        <w:t>,</w:t>
      </w:r>
    </w:p>
    <w:p w:rsidR="00860655" w:rsidRPr="004644F9" w:rsidRDefault="00860655" w:rsidP="00184085">
      <w:pPr>
        <w:pStyle w:val="Formuledadoption"/>
        <w:rPr>
          <w:noProof/>
        </w:rPr>
      </w:pPr>
      <w:r w:rsidRPr="004644F9">
        <w:rPr>
          <w:noProof/>
        </w:rPr>
        <w:t>ADOTTAT DAN IR-REGOLAMENT:</w:t>
      </w:r>
    </w:p>
    <w:p w:rsidR="00860655" w:rsidRPr="004644F9" w:rsidRDefault="00860655" w:rsidP="00184085">
      <w:pPr>
        <w:pStyle w:val="Titrearticle"/>
        <w:rPr>
          <w:noProof/>
        </w:rPr>
      </w:pPr>
      <w:r w:rsidRPr="004644F9">
        <w:rPr>
          <w:noProof/>
        </w:rPr>
        <w:t>Artikolu 1</w:t>
      </w:r>
    </w:p>
    <w:p w:rsidR="00860655" w:rsidRPr="004644F9" w:rsidRDefault="003B410C" w:rsidP="00184085">
      <w:pPr>
        <w:pStyle w:val="Titrearticle"/>
        <w:rPr>
          <w:noProof/>
        </w:rPr>
      </w:pPr>
      <w:r w:rsidRPr="004644F9">
        <w:rPr>
          <w:b/>
          <w:i w:val="0"/>
          <w:noProof/>
        </w:rPr>
        <w:t>Definizzjoni</w:t>
      </w:r>
    </w:p>
    <w:p w:rsidR="003B410C" w:rsidRPr="004644F9" w:rsidRDefault="003B410C" w:rsidP="00184085">
      <w:pPr>
        <w:rPr>
          <w:noProof/>
        </w:rPr>
      </w:pPr>
      <w:r w:rsidRPr="004644F9">
        <w:rPr>
          <w:noProof/>
        </w:rPr>
        <w:t>Għall-finijiet ta’ dan ir-Regolament, “entità ġuridika rilevanti” tfisser entità fi grupp kif definita fl-Artikolu 2(1), il-punt (31), tad-Direttiva 2014/59/UE, għajr entità ta’ riżoluzzjoni, li tkun stabbilita fl-Unjoni u tissodisfa kwalunkwe waħda mill-kundizzjonijiet li ġejjin: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3B410C" w:rsidRPr="004644F9">
        <w:rPr>
          <w:noProof/>
        </w:rPr>
        <w:t>jipprovdi funzjonijiet kritiċi;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3B410C" w:rsidRPr="004644F9">
        <w:rPr>
          <w:noProof/>
        </w:rPr>
        <w:t>l-ammont tal-iskopertura għar-riskju totali individwali tagħha kkalkolat f’konformità mal-Artikolu 92(3) tar-Regolament (UE) Nru 575/2013 tal-Parlament Ewropew u tal-Kunsill</w:t>
      </w:r>
      <w:r w:rsidR="003B410C" w:rsidRPr="004644F9">
        <w:rPr>
          <w:rStyle w:val="FootnoteReference"/>
          <w:noProof/>
        </w:rPr>
        <w:footnoteReference w:id="6"/>
      </w:r>
      <w:r w:rsidR="003B410C" w:rsidRPr="004644F9">
        <w:rPr>
          <w:noProof/>
        </w:rPr>
        <w:t xml:space="preserve"> ikun daqs jew jaqbeż il2 % tal-ammont totali konsolidat tal-iskopertura għar-riskju tal-impriża omm tal-Unjoni;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(c)</w:t>
      </w:r>
      <w:r w:rsidRPr="005043B9">
        <w:rPr>
          <w:noProof/>
        </w:rPr>
        <w:tab/>
      </w:r>
      <w:r w:rsidR="003B410C" w:rsidRPr="004644F9">
        <w:rPr>
          <w:noProof/>
        </w:rPr>
        <w:t>il-kejl tal-iskopertura totali individwali tiegħu msemmi fl-Artikolu 429(4) tar-Regolament (UE) Nru 575/2013 ikun daqs jew jaqbeż il2 % tal-kejl tal-iskopertura totali konsolidata tal-impriża omm tal-Unjoni;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(d)</w:t>
      </w:r>
      <w:r w:rsidRPr="005043B9">
        <w:rPr>
          <w:noProof/>
        </w:rPr>
        <w:tab/>
      </w:r>
      <w:r w:rsidR="003B410C" w:rsidRPr="004644F9">
        <w:rPr>
          <w:noProof/>
        </w:rPr>
        <w:t>l-introjtu operatorju individwali tagħha jkun daqs jew jaqbeż it-2 % tal-introjtu operatorju totali konsolidat tal-grupp ikkalkulat fil-livell tal-impriża prinċipali tal-Unjoni;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(e)</w:t>
      </w:r>
      <w:r w:rsidRPr="005043B9">
        <w:rPr>
          <w:noProof/>
        </w:rPr>
        <w:tab/>
      </w:r>
      <w:r w:rsidR="003B410C" w:rsidRPr="004644F9">
        <w:rPr>
          <w:noProof/>
        </w:rPr>
        <w:t>l-assi totali individwali tagħha jaqbżu l-EUR 5 biljun;</w:t>
      </w:r>
    </w:p>
    <w:p w:rsidR="008F1E98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(f)</w:t>
      </w:r>
      <w:r w:rsidRPr="005043B9">
        <w:rPr>
          <w:noProof/>
        </w:rPr>
        <w:tab/>
      </w:r>
      <w:r w:rsidR="003B410C" w:rsidRPr="004644F9">
        <w:rPr>
          <w:noProof/>
        </w:rPr>
        <w:t>huwa importanti għall-istabbiltà finanzjarja f’mill-inqas Stat Membru wieħed.</w:t>
      </w:r>
    </w:p>
    <w:p w:rsidR="00A803C4" w:rsidRPr="004644F9" w:rsidRDefault="008F1E98" w:rsidP="00184085">
      <w:pPr>
        <w:pStyle w:val="Text1"/>
        <w:rPr>
          <w:noProof/>
        </w:rPr>
      </w:pPr>
      <w:r w:rsidRPr="004644F9">
        <w:rPr>
          <w:noProof/>
        </w:rPr>
        <w:t>Għall-finijiet tal-punt (b), għal grupp li jinkludi aktar minn entità ta’ riżoluzzjoni waħda, entità għandha titqies bħala entità ġuridika rilevanti fejn l-ammont tal-iskopertura għar-riskju totali individwali tagħha jkun daqs jew jaqbeż l2 % tal-ammont totali tal-iskopertura għar-riskju tal-entità ta’ riżoluzzjoni fil-livell konsolidat tal-grupp ta’ riżoluzzjoni.</w:t>
      </w:r>
    </w:p>
    <w:p w:rsidR="008F1E98" w:rsidRPr="004644F9" w:rsidRDefault="008F1E98" w:rsidP="00184085">
      <w:pPr>
        <w:pStyle w:val="Text1"/>
        <w:rPr>
          <w:noProof/>
        </w:rPr>
      </w:pPr>
      <w:r w:rsidRPr="004644F9">
        <w:rPr>
          <w:noProof/>
        </w:rPr>
        <w:t>Għall-finijiet tal-punt (c), għal grupp li jinkludi aktar minn entità ta’ riżoluzzjoni waħda, entità għandha titqies bħala entità ġuridika rilevanti fejn il-kejl tal-iskopertura totali individwali tagħha jkun daqs jew jaqbeż il2 % tal-kejl tal-iskopertura totali tal-entità ta’ riżoluzzjoni fil-livell konsolidat tal-grupp ta’ riżoluzzjoni.</w:t>
      </w:r>
    </w:p>
    <w:p w:rsidR="003B410C" w:rsidRPr="004644F9" w:rsidRDefault="003B410C" w:rsidP="00184085">
      <w:pPr>
        <w:pStyle w:val="Titrearticle"/>
        <w:rPr>
          <w:noProof/>
        </w:rPr>
      </w:pPr>
      <w:r w:rsidRPr="004644F9">
        <w:rPr>
          <w:noProof/>
        </w:rPr>
        <w:t>A</w:t>
      </w:r>
      <w:bookmarkStart w:id="1" w:name="_Hlk168321151"/>
      <w:r w:rsidRPr="004644F9">
        <w:rPr>
          <w:noProof/>
        </w:rPr>
        <w:t>rtikolu 2</w:t>
      </w:r>
    </w:p>
    <w:p w:rsidR="003B410C" w:rsidRPr="004644F9" w:rsidRDefault="003B410C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Rapportar ta’ riżoluzzjoni minn istituzzjonijiet li mhumiex parti minn grupp soġġett għal superviżjoni konsolidata skont l-Artikoli 111 u 112 tad-Direttiva 2013/36/UE</w:t>
      </w:r>
      <w:bookmarkEnd w:id="1"/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5E4DBA" w:rsidRPr="004644F9">
        <w:rPr>
          <w:noProof/>
        </w:rPr>
        <w:t>L-entitajiet ta’ riżoluzzjoni li mhumiex parti minn grupp soġġett għal superviżjoni konsolidata skont l-Artikoli 111 u 112 tad-Direttiva 2013/36/UE tal-Parlament Ewropew u tal-Kunsill</w:t>
      </w:r>
      <w:r w:rsidR="005E4DBA" w:rsidRPr="004644F9">
        <w:rPr>
          <w:rStyle w:val="FootnoteReference"/>
          <w:noProof/>
        </w:rPr>
        <w:footnoteReference w:id="7"/>
      </w:r>
      <w:r w:rsidR="005E4DBA" w:rsidRPr="004644F9">
        <w:rPr>
          <w:noProof/>
        </w:rPr>
        <w:t xml:space="preserve"> għandhom jissottomettu lill-awtorità ta’ riżoluzzjoni, fuq bażi individwali, l-informazzjoni speċifikata fil-mudelli kollha stabbiliti fl-Anness I ta’ dan ir-Regolament, ħlief l-informazzjoni msemmija fil-mudelli Z 01.01, Z 04.00, Z 07.02, Z 07.03 u Z 11.00.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17578A" w:rsidRPr="004644F9">
        <w:rPr>
          <w:noProof/>
        </w:rPr>
        <w:t>L-entitajiet ta’ likwidazzjoni li mhumiex soġġetti għal obbligi simplifikati, li mhumiex parti minn grupp soġġett għal superviżjoni konsolidata skont l-Artikoli 111 u 112 tad-Direttiva 2013/36/UE, u li għalihom l-awtorità ta’ riżoluzzjoni ma tkunx iddeterminat ir-rekwiżit imsemmi fl-Artikolu 45(1) tad-Direttiva 2014/59/UE f’konformità mal-Artikolu 45c (2a), it-tieni subparagrafu, ta’ dik id-Direttiva, għandhom jissottomettu lill-awtorità ta’ riżoluzzjoni, fuq bażi individwali, l-informazzjoni speċifikata fil-mudelli Z 01.02, Z 02.00, Z 05.01, Z 05.02, Z 06.00, Z 07.01.1 sa Z 07.01.5, Z 07.04 u Z 09.01 stabbiliti fl-Anness I ta’ dan ir-Regolament.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3.</w:t>
      </w:r>
      <w:r w:rsidRPr="005043B9">
        <w:rPr>
          <w:noProof/>
        </w:rPr>
        <w:tab/>
      </w:r>
      <w:r w:rsidR="00436F80" w:rsidRPr="004644F9">
        <w:rPr>
          <w:noProof/>
        </w:rPr>
        <w:t>L-entitajiet ta’ likwidazzjoni li mhumiex soġġetti għal obbligi simplifikati, li mhumiex parti minn grupp soġġett għal superviżjoni konsolidata skont l-Artikoli 111 u 112 tad-Direttiva 2013/36/UE, u li għalihom l-awtorità ta’ riżoluzzjoni tkun iddeterminat ir-rekwiżit imsemmi fl-Artikolu 45(1) tad-Direttiva 2014/59/UE f’konformità mal-Artikolu 45c (2a), it-tieni subparagrafu, ta’ dik id-Direttiva għandhom jissottomettu lill-awtorità ta’ riżoluzzjoni, fuq bażi individwali, l-informazzjoni speċifikata fil-mudelli Z 01.02, Z 02.00, Z 03.01, Z 03.02, Z 05.01, Z 05.02, Z 06.00, Z 07.01.1 sa Z 07.01.5, Z 07.04 u Z 09.01 stabbiliti fl-Anness I ta’ dan ir-Regolament.</w:t>
      </w:r>
    </w:p>
    <w:p w:rsidR="003B410C" w:rsidRPr="004644F9" w:rsidRDefault="003B410C" w:rsidP="00184085">
      <w:pPr>
        <w:pStyle w:val="Titrearticle"/>
        <w:rPr>
          <w:noProof/>
        </w:rPr>
      </w:pPr>
      <w:r w:rsidRPr="004644F9">
        <w:rPr>
          <w:noProof/>
        </w:rPr>
        <w:t>Artikolu 3</w:t>
      </w:r>
    </w:p>
    <w:p w:rsidR="003B410C" w:rsidRPr="004644F9" w:rsidRDefault="003B410C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Rapportar dwar ir-riżoluzzjoni tal-grupp — gruppi ta’ riżoluzzjoni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873C72" w:rsidRPr="004644F9">
        <w:rPr>
          <w:noProof/>
        </w:rPr>
        <w:t>Impriża prinċipali tal-Unjoni għandha tissottometti lill-awtorità ta’ riżoluzzjoni fil-livell tal-grupp l-informazzjoni speċifikata fil-formoli Z 01.01, Z 01.02 u Z 08.01 sa Z 09.04 stabbilita fl-Anness I fir-rigward tal-entitajiet kollha tal-grupp.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873C72" w:rsidRPr="004644F9">
        <w:rPr>
          <w:noProof/>
        </w:rPr>
        <w:t>Impriża prinċipali tal-Unjoni għandha tissottometti lill-awtorità ta’ riżoluzzjoni fil-livell tal-grupp l-informazzjoni dwar l-interkonnessjonijiet finanzjarji bejn l-entitajiet kollha tal-grupp, kif speċifikat fil-mudell Z 04.00 stabbilit fl-Anness I.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3.</w:t>
      </w:r>
      <w:r w:rsidRPr="005043B9">
        <w:rPr>
          <w:noProof/>
        </w:rPr>
        <w:tab/>
      </w:r>
      <w:r w:rsidR="001744A5" w:rsidRPr="004644F9">
        <w:rPr>
          <w:noProof/>
        </w:rPr>
        <w:t>Impriża prinċipali tal-Unjoni għandha tissottometti lill-awtorità ta’ riżoluzzjoni fil-livell tal-grupp l-informazzjoni speċifikata fil-formoli Z 02.00 stabbiliti fl-Anness I kif ġej:</w:t>
      </w:r>
    </w:p>
    <w:p w:rsidR="003B410C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3B410C" w:rsidRPr="004644F9">
        <w:rPr>
          <w:noProof/>
        </w:rPr>
        <w:t>fuq bażi individwali għall-entitajiet ta’ riżoluzzjoni kollha tal-grupp, inkluża l-impriża prinċipali tal-Unjoni, u għall-entitajiet ġuridiċi rilevanti kollha li huma istituzzjonijiet;</w:t>
      </w:r>
    </w:p>
    <w:p w:rsidR="003B410C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3B410C" w:rsidRPr="004644F9">
        <w:rPr>
          <w:noProof/>
        </w:rPr>
        <w:t>fuq bażi konsolidata jew, fejn applikabbli, fuq bażi subkonsolidata, għall-entitajiet ta’ riżoluzzjoni kollha tal-grupp, inkluża l-impriża prinċipali tal-Unjoni, u għall-entitajiet ġuridiċi rilevanti kollha li għalihom l-awtorità ta’ riżoluzzjoni tkun iddeterminat rekwiżit kif imsemmi fl-Artikolu 45(1) tad-Direttiva 2014/59/UE fuq bażi konsolidata jew subkonsolidata, irrispettivament minn jekk dawk l-entitajiet humiex soġġetti għall-Parti Wieħed, it-Titolu II, il-Kapitolu 2, tar-Regolament (UE) Nru 575/2013.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4.</w:t>
      </w:r>
      <w:r w:rsidRPr="005043B9">
        <w:rPr>
          <w:noProof/>
        </w:rPr>
        <w:tab/>
      </w:r>
      <w:r w:rsidR="00207905" w:rsidRPr="004644F9">
        <w:rPr>
          <w:noProof/>
        </w:rPr>
        <w:t>Impriża prinċipali tal-Unjoni għandha tissottometti lill-awtorità ta’ riżoluzzjoni fil-livell tal-grupp l-informazzjoni speċifikata fil-formoli Z 03.01 jew Z 03.02 stabbiliti fl-Anness I kif ġej:</w:t>
      </w:r>
    </w:p>
    <w:p w:rsidR="003B410C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3B410C" w:rsidRPr="004644F9">
        <w:rPr>
          <w:noProof/>
        </w:rPr>
        <w:t>fuq bażi individwali, għall-entitajiet ta’ riżoluzzjoni kollha tal-grupp, inkluża l-impriża prinċipali tal-Unjoni, u għall-entitajiet ġuridiċi rilevanti kollha li huma istituzzjonijiet li għalihom l-awtorità ta’ riżoluzzjoni tkun iddeterminat rekwiżit kif imsemmi fl-Artikolu 45(1) tad-Direttiva 2014/59/UE;</w:t>
      </w:r>
    </w:p>
    <w:p w:rsidR="003B410C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3B410C" w:rsidRPr="004644F9">
        <w:rPr>
          <w:noProof/>
        </w:rPr>
        <w:t>fuq bażi konsolidata jew subkonsolidata, għall-entitajiet ta’ riżoluzzjoni kollha tal-grupp, inkluża l-impriża prinċipali tal-Unjoni, u għall-entitajiet ġuridiċi rilevanti kollha li huma istituzzjonijiet li għalihom l-awtorità ta’ riżoluzzjoni tkun iddeterminat rekwiżit kif imsemmi fl-Artikolu 45(1) tad-Direttiva 2014/59/UE irrispettivament minn jekk dawk l-entitajiet humiex soġġetti għall-Parti Wieħed, it-Titolu II, il-Kapitolu 2, tar-Regolament (UE) Nru 575/2013.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5.</w:t>
      </w:r>
      <w:r w:rsidRPr="005043B9">
        <w:rPr>
          <w:noProof/>
        </w:rPr>
        <w:tab/>
      </w:r>
      <w:r w:rsidR="006E7726" w:rsidRPr="004644F9">
        <w:rPr>
          <w:noProof/>
        </w:rPr>
        <w:t>Impriża prinċipali tal-Unjoni għandha tissottometti lill-awtorità ta’ riżoluzzjoni fil-livell tal-grupp l-informazzjoni msemmija fil-formoli Z 07.01.1, Z 07.01.2, Z 07.01.3, Z 07.01.4 u Z 07.01.5 stabbiliti fl-Anness I fil-livell ta’ kull Stat Membru li fih jopera l-grupp.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6.</w:t>
      </w:r>
      <w:r w:rsidRPr="005043B9">
        <w:rPr>
          <w:noProof/>
        </w:rPr>
        <w:tab/>
      </w:r>
      <w:r w:rsidR="006E7726" w:rsidRPr="004644F9">
        <w:rPr>
          <w:noProof/>
        </w:rPr>
        <w:t>Impriża prinċipali tal-Unjoni għandha tissottometti lill-awtorità ta’ riżoluzzjoni fil-livell tal-grupp l-informazzjoni msemmija fil-formoli Z 07.02, Z 07.03 u Z 07.04 stabbiliti fl-Anness I fir-rigward tal-funzjonijiet kritiċi u l-linji tan-negozju ewlenin ipprovduti minn kwalunkwe entità fi grupp.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7.</w:t>
      </w:r>
      <w:r w:rsidRPr="005043B9">
        <w:rPr>
          <w:noProof/>
        </w:rPr>
        <w:tab/>
      </w:r>
      <w:r w:rsidR="006E7726" w:rsidRPr="004644F9">
        <w:rPr>
          <w:noProof/>
        </w:rPr>
        <w:t>Impriża prinċipali tal-Unjoni għandha tissottometti lill-awtorità ta’ riżoluzzjoni fil-livell tal-grupp, fuq bażi individwali, l-informazzjoni speċifikata fil-formoli Z 05.01, Z 05.02, Z 06.00, Z 07.01.1 sa Z 07.01.5, Z 07.04 u Z 11.00 sa Z 17.00 stabbilita fl-Anness I għall-entitajiet ta’ riżoluzzjoni kollha tal-grupp, inkluża l-impriża prinċipali tal-Unjoni.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8.</w:t>
      </w:r>
      <w:r w:rsidRPr="005043B9">
        <w:rPr>
          <w:noProof/>
        </w:rPr>
        <w:tab/>
      </w:r>
      <w:r w:rsidR="003B410C" w:rsidRPr="004644F9">
        <w:rPr>
          <w:noProof/>
        </w:rPr>
        <w:t>L-impriża prinċipali tal-Unjoni għandha tissottometti lill-awtorità ta’ riżoluzzjoni fil-livell tal-grupp, fuq bażi individwali, l-informazzjoni speċifikata fil-formoli Z 05.01, Z 05.02, Z 06.00, Z 07.01.1 sa Z 07.01.5 u Z 07.04 stabbiliti fl-Anness I għall-entitajiet ġuridiċi rilevanti kollha li huma istituzzjonijiet.</w:t>
      </w:r>
    </w:p>
    <w:p w:rsidR="003B410C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9.</w:t>
      </w:r>
      <w:r w:rsidRPr="005043B9">
        <w:rPr>
          <w:noProof/>
        </w:rPr>
        <w:tab/>
      </w:r>
      <w:r w:rsidR="003B410C" w:rsidRPr="004644F9">
        <w:rPr>
          <w:noProof/>
        </w:rPr>
        <w:t>Il-paragrafu 2, il-paragrafu 3, il-punt (a), u l-paragrafi 4, 5 u 6 ta’ dan l-Artikolu għandhom japplikaw minkejja kwalunkwe deroga mill-applikazzjoni tar-rekwiżiti prudenzjali mogħtija f’konformità mal-Artikolu 7(1) jew (3) tar-Regolament (UE) Nru 575/2013 jew l-Artikolu 8 tar-Regolament (UE</w:t>
      </w:r>
      <w:r w:rsidR="003B410C" w:rsidRPr="004644F9">
        <w:rPr>
          <w:noProof/>
          <w:shd w:val="clear" w:color="auto" w:fill="FFFFFF" w:themeFill="background1"/>
        </w:rPr>
        <w:t>) 2019/2033 tal-Parlament Ewropew u tal-Kunsill</w:t>
      </w:r>
      <w:r w:rsidR="003B410C" w:rsidRPr="004644F9">
        <w:rPr>
          <w:rStyle w:val="FootnoteReference"/>
          <w:noProof/>
          <w:shd w:val="clear" w:color="auto" w:fill="FFFFFF" w:themeFill="background1"/>
        </w:rPr>
        <w:footnoteReference w:id="8"/>
      </w:r>
      <w:r w:rsidR="003B410C" w:rsidRPr="004644F9">
        <w:rPr>
          <w:noProof/>
          <w:shd w:val="clear" w:color="auto" w:fill="FFFFFF" w:themeFill="background1"/>
        </w:rPr>
        <w:t xml:space="preserve"> jew kwalunkwe eżenzjoni mill-applikazzjoni</w:t>
      </w:r>
      <w:r w:rsidR="003B410C" w:rsidRPr="004644F9">
        <w:rPr>
          <w:noProof/>
        </w:rPr>
        <w:t xml:space="preserve"> tar-rekwiżit minimu għal fondi proprji u obbligazzjonijiet eliġibbli mogħtija f’konformità mal-Artikolu 45f tad-Direttiva 2014/59/UE.</w:t>
      </w:r>
    </w:p>
    <w:p w:rsidR="003B410C" w:rsidRPr="004644F9" w:rsidRDefault="003B410C" w:rsidP="00184085">
      <w:pPr>
        <w:pStyle w:val="Titrearticle"/>
        <w:rPr>
          <w:noProof/>
        </w:rPr>
      </w:pPr>
      <w:r w:rsidRPr="004644F9">
        <w:rPr>
          <w:noProof/>
        </w:rPr>
        <w:t>Artikolu 4</w:t>
      </w:r>
    </w:p>
    <w:p w:rsidR="003B410C" w:rsidRPr="004644F9" w:rsidRDefault="003B410C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Rapportar dwar ir-riżoluzzjoni tal-grupp – gruppi li jinkludu biss entitajiet ta’ likwidazzjoni</w:t>
      </w:r>
    </w:p>
    <w:p w:rsidR="003B410C" w:rsidRPr="004644F9" w:rsidRDefault="00F95432" w:rsidP="00184085">
      <w:pPr>
        <w:rPr>
          <w:noProof/>
        </w:rPr>
      </w:pPr>
      <w:r w:rsidRPr="004644F9">
        <w:rPr>
          <w:noProof/>
        </w:rPr>
        <w:t>Impriża prinċipali fl-Unjoni ta’ grupp li jinkludi biss entitajiet ta’ likwidazzjoni li mhumiex soġġetti għal obbligi simplifikati għandha tissottometti lill-awtorità ta’ riżoluzzjoni fil-livell tal-grupp: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3B410C" w:rsidRPr="004644F9">
        <w:rPr>
          <w:noProof/>
        </w:rPr>
        <w:t>l-informazzjoni speċifikata fil-formoli Z 01.01, Z 01.02, Z 07.01.1 sa Z 07.01.5 u Z 09.01 stabbilita fl-Anness I fir-rigward tal-entitajiet kollha tal-grupp, il-formola Z 02.00 fuq bażi konsolidata, u l-formola Z 04.00 fir-rigward tal-interkonnessjonijiet finanzjarji bejn l-entitajiet kollha tal-grupp;</w:t>
      </w:r>
    </w:p>
    <w:p w:rsidR="003B410C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9F0766" w:rsidRPr="004644F9">
        <w:rPr>
          <w:noProof/>
        </w:rPr>
        <w:t>fuq bażi individwali, għaliha nnifisha u għal kull entità ġuridika rilevanti li għaliha l-awtorità ta’ riżoluzzjoni ma tkunx iddeterminat ir-rekwiżit imsemmi fl-Artikolu 45(1) tad-Direttiva 2014/59/UE, f’konformità mal-Artikolu 45c (2a), it-tieni subparagrafu, ta’ dik id-Direttiva, l-informazzjoni speċifikata fil-mudelli Z 02.00, Z 05.01, Z 05.02, Z 06.00, Z 07.01.1 sa Z 07.01.5, Z 07.04 stabbilita fl-Anness I ta’ dan ir-Regolament;</w:t>
      </w:r>
    </w:p>
    <w:p w:rsidR="00E522C4" w:rsidRPr="004644F9" w:rsidRDefault="005043B9" w:rsidP="005043B9">
      <w:pPr>
        <w:pStyle w:val="Point0"/>
        <w:rPr>
          <w:noProof/>
        </w:rPr>
      </w:pPr>
      <w:r w:rsidRPr="005043B9">
        <w:rPr>
          <w:noProof/>
        </w:rPr>
        <w:t>(c)</w:t>
      </w:r>
      <w:r w:rsidRPr="005043B9">
        <w:rPr>
          <w:noProof/>
        </w:rPr>
        <w:tab/>
      </w:r>
      <w:r w:rsidR="009F0766" w:rsidRPr="004644F9">
        <w:rPr>
          <w:noProof/>
        </w:rPr>
        <w:t>fuq bażi individwali, għaliha nnifisha u għal kull entità ġuridika rilevanti li għaliha l-awtorità ta’ riżoluzzjoni tkun iddeterminat ir-rekwiżit imsemmi fl-Artikolu 45(1) tad-Direttiva 2014/59/UE, f’konformità mal-Artikolu 45c (2a), it-tieni subparagrafu, ta’ dik id-Direttiva, l-informazzjoni speċifikata fil-mudelli Z 02.00, Z 03.01, Z 03.02, Z 05.01, Z 05.02, Z 06.00, Z 07.01.1 sa Z 07.01.5, Z 07.04 stabbilita fl-Anness I ta’ dan ir-Regolament.</w:t>
      </w:r>
    </w:p>
    <w:p w:rsidR="00E522C4" w:rsidRPr="004644F9" w:rsidRDefault="00E522C4" w:rsidP="00184085">
      <w:pPr>
        <w:pStyle w:val="Titrearticle"/>
        <w:rPr>
          <w:noProof/>
        </w:rPr>
      </w:pPr>
      <w:r w:rsidRPr="004644F9">
        <w:rPr>
          <w:noProof/>
        </w:rPr>
        <w:t>Artikolu 5</w:t>
      </w:r>
    </w:p>
    <w:p w:rsidR="00E522C4" w:rsidRPr="004644F9" w:rsidRDefault="00E522C4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Aġġustamenti għar-rapportar tar-riżoluzzjoni tal-grupp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E522C4" w:rsidRPr="004644F9">
        <w:rPr>
          <w:noProof/>
        </w:rPr>
        <w:t>Għal grupp li l-impriża prinċipali tal-Unjoni tiegħu hija entità ta’ likwidazzjoni u li jinkludi entitajiet ta’ riżoluzzjoni, l-impriża prinċipali tal-Unjoni għandha tissottometti dan li ġej: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0C210A" w:rsidRPr="004644F9">
        <w:rPr>
          <w:noProof/>
        </w:rPr>
        <w:t>għal entitajiet fi grupp li jappartjenu għal gruppi ta’ riżoluzzjoni, l-informazzjoni msemmija fl-Artikolu 3;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0C210A" w:rsidRPr="004644F9">
        <w:rPr>
          <w:noProof/>
        </w:rPr>
        <w:t>għal entitajiet ta’ likwidazzjoni mhux soġġetti għal obbligi simplifikati u li mhumiex parti minn kwalunkwe grupp ta’ riżoluzzjoni, l-informazzjoni msemmija fl-Artikolu 4.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E522C4" w:rsidRPr="004644F9">
        <w:rPr>
          <w:noProof/>
        </w:rPr>
        <w:t>Għal grupp ta’ riżoluzzjoni kif imsemmi fl-Artikolu 2(1), il-punt (83b), (b), tad-Direttiva 2014/59/UE, l-informazzjoni msemmija fl-Artikolu 3 ta’ dan ir-Regolament għandha tiġi ppreżentata minn mill-inqas waħda mill-entitajiet ta’ riżoluzzjoni tal-grupp. Dik l-informazzjoni għandha tkopri b’mod effettiv l-istituzzjonijiet ta’ kreditu kollha affiljati b’mod permanenti mal-korp ċentrali ta’ dak il-grupp ta’ riżoluzzjoni, il-korp ċentrali nnifsu, u s-sussidjarji rispettivi tagħhom, fuq bażi individwali, subkonsolidata u konsolidata, kif xieraq.</w:t>
      </w:r>
    </w:p>
    <w:p w:rsidR="00E522C4" w:rsidRPr="004644F9" w:rsidRDefault="00E522C4" w:rsidP="00184085">
      <w:pPr>
        <w:pStyle w:val="Titrearticle"/>
        <w:rPr>
          <w:noProof/>
        </w:rPr>
      </w:pPr>
      <w:r w:rsidRPr="004644F9">
        <w:rPr>
          <w:noProof/>
        </w:rPr>
        <w:t>Artikolu 6</w:t>
      </w:r>
    </w:p>
    <w:p w:rsidR="00E522C4" w:rsidRPr="004644F9" w:rsidRDefault="00E522C4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Frekwenza, dati ta’ referenza u data ta’ rimessa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E522C4" w:rsidRPr="004644F9">
        <w:rPr>
          <w:noProof/>
        </w:rPr>
        <w:t>L-istituzzjonijiet jew, fil-każ ta’ gruppi, l-impriżi prinċipali tal-Unjoni għandhom jissottomettu l-informazzjoni msemmija fl-Artikoli 2 sa 5 kif ġej: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A071C3" w:rsidRPr="004644F9">
        <w:rPr>
          <w:noProof/>
        </w:rPr>
        <w:t>għall-</w:t>
      </w:r>
      <w:bookmarkStart w:id="2" w:name="_Hlk188952542"/>
      <w:r w:rsidR="00A071C3" w:rsidRPr="004644F9">
        <w:rPr>
          <w:noProof/>
        </w:rPr>
        <w:t>formoli Z 01.01, Z 01.02, Z 02.00, Z 03.01, Z 03.02, Z 04.00, Z 05.01, Z 05.02, Z 06.00 u Z 11.00 sa Z 17</w:t>
      </w:r>
      <w:bookmarkEnd w:id="2"/>
      <w:r w:rsidR="00A071C3" w:rsidRPr="004644F9">
        <w:rPr>
          <w:noProof/>
        </w:rPr>
        <w:t>.00, sa mhux aktar tard mill-31 ta’ Marzu ta’ kull sena fir-rigward tal-aħħar jum tas-sena kalendarja preċedenti;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3F636B" w:rsidRPr="004644F9">
        <w:rPr>
          <w:noProof/>
        </w:rPr>
        <w:t xml:space="preserve">għall-formoli Z 07.01.1 sa Z 07.04, Z 08.01 sa Z 08.05 u Z 09.01 sa Z 09.04, sa mhux aktar tard mit-30 ta’ April ta’ kull sena fir-rigward tal-aħħar jum tas-sena kalendarja preċedenti. </w:t>
      </w:r>
    </w:p>
    <w:p w:rsidR="003F636B" w:rsidRPr="004644F9" w:rsidRDefault="003F636B" w:rsidP="00184085">
      <w:pPr>
        <w:pStyle w:val="Text1"/>
        <w:rPr>
          <w:noProof/>
        </w:rPr>
      </w:pPr>
      <w:r w:rsidRPr="004644F9">
        <w:rPr>
          <w:noProof/>
        </w:rPr>
        <w:t>Għall-finijiet tal-punt (a), meta l-31 ta’ Marzu ma jkunx jum ta’ negozju, l-informazzjoni għandha tiġi pprovduta fil-jum ta’ negozju ta’ wara.</w:t>
      </w:r>
    </w:p>
    <w:p w:rsidR="003F636B" w:rsidRPr="004644F9" w:rsidRDefault="003F636B" w:rsidP="00184085">
      <w:pPr>
        <w:pStyle w:val="Text1"/>
        <w:rPr>
          <w:noProof/>
        </w:rPr>
      </w:pPr>
      <w:r w:rsidRPr="004644F9">
        <w:rPr>
          <w:noProof/>
        </w:rPr>
        <w:t>Għall-finijiet tal-punt (b), meta t-30 ta’ April ma jkunx jum ta’ negozju, l-informazzjoni għandha tiġi pprovduta fil-jum ta’ negozju ta’ wara.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E522C4" w:rsidRPr="004644F9">
        <w:rPr>
          <w:noProof/>
        </w:rPr>
        <w:t>L-awtoritajiet ta’ riżoluzzjoni għandhom jispeċifikaw jekk l-informazzjoni għandhiex tiġi sottomessa direttament lill-awtorità ta’ riżoluzzjoni jew jekk għandhiex tiġi sottomessa lill-awtorità kompetenti minflok, fejn applikabbli.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3.</w:t>
      </w:r>
      <w:r w:rsidRPr="005043B9">
        <w:rPr>
          <w:noProof/>
        </w:rPr>
        <w:tab/>
      </w:r>
      <w:r w:rsidR="00E522C4" w:rsidRPr="004644F9">
        <w:rPr>
          <w:noProof/>
        </w:rPr>
        <w:t xml:space="preserve">L-istituzzjonijiet jew, fil-każ ta’ gruppi, l-impriżi prinċipali tal-Unjoni jistgħu jissottomettu ċifri mhux awditjati. Meta ċ-ċifri awditjati jiddevjaw miċ-ċifri sottomessi mhux awditjati, iċ-ċifri awditjati, riveduti, għandhom jiġu sottomessi mingħajr dewmien bla bżonn. 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4.</w:t>
      </w:r>
      <w:r w:rsidRPr="005043B9">
        <w:rPr>
          <w:noProof/>
        </w:rPr>
        <w:tab/>
      </w:r>
      <w:r w:rsidR="00E522C4" w:rsidRPr="004644F9">
        <w:rPr>
          <w:noProof/>
        </w:rPr>
        <w:t xml:space="preserve">Għall-finijiet tal-paragrafu 3, iċ-ċifri mhux awditjati huma ċifri li ma rċevewx opinjoni ta’ awditur estern u ċ-ċifri awditjati huma ċifri awditjati minn awditur estern li jesprimi opinjoni tal-awditjar. 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5.</w:t>
      </w:r>
      <w:r w:rsidRPr="005043B9">
        <w:rPr>
          <w:noProof/>
        </w:rPr>
        <w:tab/>
      </w:r>
      <w:r w:rsidR="00E522C4" w:rsidRPr="004644F9">
        <w:rPr>
          <w:noProof/>
        </w:rPr>
        <w:t>Il-korrezzjonijiet għar-rapporti ppreżentati għandhom jiġu ppreżentati mingħajr dewmien żejjed.</w:t>
      </w:r>
    </w:p>
    <w:p w:rsidR="00E522C4" w:rsidRPr="004644F9" w:rsidRDefault="00E522C4" w:rsidP="00184085">
      <w:pPr>
        <w:pStyle w:val="Titrearticle"/>
        <w:rPr>
          <w:noProof/>
        </w:rPr>
      </w:pPr>
      <w:r w:rsidRPr="004644F9">
        <w:rPr>
          <w:noProof/>
        </w:rPr>
        <w:t>Artikolu 7</w:t>
      </w:r>
    </w:p>
    <w:p w:rsidR="00E522C4" w:rsidRPr="004644F9" w:rsidRDefault="00E522C4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Formati ta’ skambju ta’ data u informazzjoni li jakkumpanjaw is-sottomissjoni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E522C4" w:rsidRPr="004644F9">
        <w:rPr>
          <w:noProof/>
        </w:rPr>
        <w:t xml:space="preserve">L-istituzzjonijiet jew, fil-każ ta’ gruppi, l-impriżi prinċipali tal-Unjoni, għandhom jissottomettu l-informazzjoni msemmija fl-Artikoli 2 sa 5, kif speċifikat fil-mudelli stabbiliti fl-Anness I, fil-formati u r-rappreżentazzjonijiet tal-iskambju tad-data speċifikati mill-awtoritajiet ta’ riżoluzzjoni, u għandhom jirrispettaw id-definizzjonijiet tal-punti tad-data inklużi fil-mudell tal-punt uniku tad-data msemmi fl-Anness II u r-regoli ta’ validazzjoni msemmija fl-Anness III. 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E522C4" w:rsidRPr="004644F9">
        <w:rPr>
          <w:noProof/>
        </w:rPr>
        <w:t>Minbarra l-obbligu msemmi fil-paragrafu 1, l-istituzzjonijiet jew, fil-każ ta’ gruppi, l-impriżi prinċipali tal-Unjoni għandhom jiżguraw dan li ġej: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E522C4" w:rsidRPr="004644F9">
        <w:rPr>
          <w:noProof/>
        </w:rPr>
        <w:t>il-valuri numeriċi għandhom jiġu sottomessi kif ġej:</w:t>
      </w:r>
    </w:p>
    <w:p w:rsidR="00E522C4" w:rsidRPr="004644F9" w:rsidRDefault="00E522C4" w:rsidP="00184085">
      <w:pPr>
        <w:pStyle w:val="Point2"/>
        <w:rPr>
          <w:noProof/>
        </w:rPr>
      </w:pPr>
      <w:r w:rsidRPr="004644F9">
        <w:rPr>
          <w:noProof/>
        </w:rPr>
        <w:t>(i)</w:t>
      </w:r>
      <w:r w:rsidRPr="004644F9">
        <w:rPr>
          <w:noProof/>
        </w:rPr>
        <w:tab/>
        <w:t xml:space="preserve">il-punti ta’ data bit-tip ta’ data “Monetarja” għandhom jiġu rrapportati bl-użu ta’ preċiżjoni minima ekwivalenti għal eluf ta’ unitajiet; </w:t>
      </w:r>
    </w:p>
    <w:p w:rsidR="00E522C4" w:rsidRPr="004644F9" w:rsidRDefault="00E522C4" w:rsidP="00184085">
      <w:pPr>
        <w:pStyle w:val="Point2"/>
        <w:rPr>
          <w:noProof/>
        </w:rPr>
      </w:pPr>
      <w:r w:rsidRPr="004644F9">
        <w:rPr>
          <w:noProof/>
        </w:rPr>
        <w:t>(ii)</w:t>
      </w:r>
      <w:r w:rsidRPr="004644F9">
        <w:rPr>
          <w:noProof/>
        </w:rPr>
        <w:tab/>
        <w:t>il-punti ta’ data bit-tip ta’ data “Perċentwali” għandhom jiġu espressi bħala unità b’minimu ta’ preċiżjoni ekwivalenti għal erba’ ċifri deċimali;</w:t>
      </w:r>
    </w:p>
    <w:p w:rsidR="00E522C4" w:rsidRPr="004644F9" w:rsidRDefault="00E522C4" w:rsidP="00184085">
      <w:pPr>
        <w:pStyle w:val="Point2"/>
        <w:rPr>
          <w:noProof/>
        </w:rPr>
      </w:pPr>
      <w:r w:rsidRPr="004644F9">
        <w:rPr>
          <w:noProof/>
        </w:rPr>
        <w:t>(iii)</w:t>
      </w:r>
      <w:r w:rsidRPr="004644F9">
        <w:rPr>
          <w:noProof/>
        </w:rPr>
        <w:tab/>
        <w:t>punti ta’ data bit-tip ta’ data “Integer” għandhom jiġu rrapportati bla deċimali u bi preċiżjoni ekwivalenti għal unitajiet.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E522C4" w:rsidRPr="004644F9">
        <w:rPr>
          <w:noProof/>
        </w:rPr>
        <w:t>l-istituzzjonijiet u l-impriżi tal-assigurazzjoni għandhom jiġu identifikati biss mill-Identifikatur tal-Entità Ġuridika tagħhom;</w:t>
      </w:r>
    </w:p>
    <w:p w:rsidR="00E522C4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(c)</w:t>
      </w:r>
      <w:r w:rsidRPr="005043B9">
        <w:rPr>
          <w:noProof/>
        </w:rPr>
        <w:tab/>
      </w:r>
      <w:r w:rsidR="00E522C4" w:rsidRPr="004644F9">
        <w:rPr>
          <w:noProof/>
        </w:rPr>
        <w:t>l-entitajiet ġuridiċi u l-kontropartijiet għajr l-istituzzjonijiet u l-impriżi tal-assigurazzjoni għandhom jiġu identifikati mill-Identifikatur tal-Entità Ġuridika tagħhom, fejn disponibbli;</w:t>
      </w:r>
    </w:p>
    <w:p w:rsidR="0046629F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(d)</w:t>
      </w:r>
      <w:r w:rsidRPr="005043B9">
        <w:rPr>
          <w:noProof/>
        </w:rPr>
        <w:tab/>
      </w:r>
      <w:r w:rsidR="0046629F" w:rsidRPr="004644F9">
        <w:rPr>
          <w:noProof/>
        </w:rPr>
        <w:t>informazzjoni li mhijiex meħtieġa jew li mhijiex applikabbli ma għandhiex tiġi inkluża f’sottomissjoni ta’ data.</w:t>
      </w:r>
    </w:p>
    <w:p w:rsidR="00E522C4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3.</w:t>
      </w:r>
      <w:r w:rsidRPr="005043B9">
        <w:rPr>
          <w:noProof/>
        </w:rPr>
        <w:tab/>
      </w:r>
      <w:r w:rsidR="004B472A" w:rsidRPr="004644F9">
        <w:rPr>
          <w:noProof/>
        </w:rPr>
        <w:t>L-istituzzjonijiet jew, fil-każ ta’ gruppi, l-impriżi prinċipali tal-Unjoni, għandhom jakkumpanjaw id-data sottomessa bl-informazzjoni li ġejja: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4B472A" w:rsidRPr="004644F9">
        <w:rPr>
          <w:noProof/>
        </w:rPr>
        <w:t>id-data ta’ referenza;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4B472A" w:rsidRPr="004644F9">
        <w:rPr>
          <w:noProof/>
        </w:rPr>
        <w:t>munita tar-rapportar;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(c)</w:t>
      </w:r>
      <w:r w:rsidRPr="005043B9">
        <w:rPr>
          <w:noProof/>
        </w:rPr>
        <w:tab/>
      </w:r>
      <w:r w:rsidR="004B472A" w:rsidRPr="004644F9">
        <w:rPr>
          <w:noProof/>
        </w:rPr>
        <w:t>standard tal-kontabilità;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(d)</w:t>
      </w:r>
      <w:r w:rsidRPr="005043B9">
        <w:rPr>
          <w:noProof/>
        </w:rPr>
        <w:tab/>
      </w:r>
      <w:r w:rsidR="004B472A" w:rsidRPr="004644F9">
        <w:rPr>
          <w:noProof/>
        </w:rPr>
        <w:t>Identifikatur ta’ Entità Ġuridika tal-entità relatriċi;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(e)</w:t>
      </w:r>
      <w:r w:rsidRPr="005043B9">
        <w:rPr>
          <w:noProof/>
        </w:rPr>
        <w:tab/>
      </w:r>
      <w:r w:rsidR="004B472A" w:rsidRPr="004644F9">
        <w:rPr>
          <w:noProof/>
        </w:rPr>
        <w:t>il-livell ta’ applikazzjoni kif stabbilit fl-Artikoli 2, 3 u 4.</w:t>
      </w:r>
    </w:p>
    <w:p w:rsidR="004B472A" w:rsidRPr="004644F9" w:rsidRDefault="004B472A" w:rsidP="00184085">
      <w:pPr>
        <w:pStyle w:val="Titrearticle"/>
        <w:rPr>
          <w:noProof/>
        </w:rPr>
      </w:pPr>
      <w:bookmarkStart w:id="3" w:name="_Hlk169616472"/>
      <w:r w:rsidRPr="004644F9">
        <w:rPr>
          <w:noProof/>
        </w:rPr>
        <w:t>Artikolu 8</w:t>
      </w:r>
    </w:p>
    <w:p w:rsidR="004B472A" w:rsidRPr="004644F9" w:rsidRDefault="004B472A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 xml:space="preserve">Għoti ta’ informazzjoni addizzjonali għal pjanijiet ta’ riżoluzzjoni individwali jew ta’ grupp </w:t>
      </w:r>
    </w:p>
    <w:bookmarkEnd w:id="3"/>
    <w:p w:rsidR="00FA69C1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C747E3" w:rsidRPr="004644F9">
        <w:rPr>
          <w:noProof/>
        </w:rPr>
        <w:t>L-awtorità ta’ riżoluzzjoni jew l-awtorità ta’ riżoluzzjoni fil-livell tal-grupp għandha titlob informazzjoni jew informazzjoni addizzjonali f’format ġdid mill-istituzzjoni rilevanti jew l-impriża prinċipali fl-Unjoni fejn tapplika kwalunkwe waħda minn dawn li ġejjin:</w:t>
      </w:r>
    </w:p>
    <w:p w:rsidR="00FA69C1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FA69C1" w:rsidRPr="004644F9">
        <w:rPr>
          <w:noProof/>
        </w:rPr>
        <w:t>l-awtorità ta’ riżoluzzjoni jew l-awtorità ta’ riżoluzzjoni fil-livell tal-grupp tqis li tali informazzjoni mhijiex koperta minn kwalunkwe mudell stabbilit fl-Anness I u hija meħtieġa biex jitfasslu u jiġu implimentati pjanijiet ta’ riżoluzzjoni;</w:t>
      </w:r>
    </w:p>
    <w:p w:rsidR="00FA69C1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FA69C1" w:rsidRPr="004644F9">
        <w:rPr>
          <w:noProof/>
        </w:rPr>
        <w:t>l-awtorità ta’ riżoluzzjoni jew l-awtorità ta’ riżoluzzjoni fil-livell tal-grupp tqis li l-kisba ta’ tali informazzjoni minn entitajiet soġġetti għal obbligi simplifikati hija meħtieġa biex jitfasslu u jiġu implimentati pjanijiet ta’ riżoluzzjoni;</w:t>
      </w:r>
    </w:p>
    <w:p w:rsidR="00FA69C1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(c)</w:t>
      </w:r>
      <w:r w:rsidRPr="005043B9">
        <w:rPr>
          <w:noProof/>
        </w:rPr>
        <w:tab/>
      </w:r>
      <w:r w:rsidR="00FA69C1" w:rsidRPr="004644F9">
        <w:rPr>
          <w:noProof/>
        </w:rPr>
        <w:t>il-format li fih tiġi pprovduta informazzjoni mill-awtorità kompetenti skont l-Artikolu 9(2) mhuwiex xieraq għat-tfassil jew l-implimentazzjoni ta’ pjanijiet ta’ riżoluzzjoni.</w:t>
      </w:r>
    </w:p>
    <w:p w:rsidR="004B472A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4B472A" w:rsidRPr="004644F9">
        <w:rPr>
          <w:noProof/>
        </w:rPr>
        <w:t>Għat-talba msemmija fil-paragrafu 1, l-awtorità ta’ riżoluzzjoni għandha: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(a)</w:t>
      </w:r>
      <w:r w:rsidRPr="005043B9">
        <w:rPr>
          <w:noProof/>
        </w:rPr>
        <w:tab/>
      </w:r>
      <w:r w:rsidR="004B472A" w:rsidRPr="004644F9">
        <w:rPr>
          <w:noProof/>
        </w:rPr>
        <w:t>tidentifika l-informazzjoni addizzjonali li trid tingħata;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(b)</w:t>
      </w:r>
      <w:r w:rsidRPr="005043B9">
        <w:rPr>
          <w:noProof/>
        </w:rPr>
        <w:tab/>
      </w:r>
      <w:r w:rsidR="004B472A" w:rsidRPr="004644F9">
        <w:rPr>
          <w:noProof/>
        </w:rPr>
        <w:t>tispeċifika l-perjodu ta’ żmien xieraq li fih l-istituzzjoni jew, fil-każ ta’ gruppi, l-impriża prinċipali tal-Unjoni għandha tipprovdi l-informazzjoni lill-awtorità ta’ riżoluzzjoni, b’kont meħud tal-volum u l-kumplessità tal-informazzjoni meħtieġa;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(c)</w:t>
      </w:r>
      <w:r w:rsidRPr="005043B9">
        <w:rPr>
          <w:noProof/>
        </w:rPr>
        <w:tab/>
      </w:r>
      <w:r w:rsidR="004B472A" w:rsidRPr="004644F9">
        <w:rPr>
          <w:noProof/>
        </w:rPr>
        <w:t>tispeċifika l-format li għandu jintuża mill-istituzzjonijiet jew, fil-każ ta' gruppi, minn impriżi omm tal-Unjoni sabiex tingħata l-informazzjoni lill-awtorità ta' riżoluzzjoni;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(d)</w:t>
      </w:r>
      <w:r w:rsidRPr="005043B9">
        <w:rPr>
          <w:noProof/>
        </w:rPr>
        <w:tab/>
      </w:r>
      <w:r w:rsidR="004B472A" w:rsidRPr="004644F9">
        <w:rPr>
          <w:noProof/>
        </w:rPr>
        <w:t>tispeċifika jekk l-informazzjoni għandhiex tiġi pprovduta fuq bażi individwali, subkonsolidata jew konsolidata, u jekk il-kamp ta’ applikazzjoni tagħha huwiex lokali, madwar l-Unjoni jew globali;</w:t>
      </w:r>
    </w:p>
    <w:p w:rsidR="004B472A" w:rsidRPr="004644F9" w:rsidRDefault="005043B9" w:rsidP="005043B9">
      <w:pPr>
        <w:pStyle w:val="Point1"/>
        <w:rPr>
          <w:noProof/>
        </w:rPr>
      </w:pPr>
      <w:r w:rsidRPr="005043B9">
        <w:rPr>
          <w:noProof/>
        </w:rPr>
        <w:t>(e)</w:t>
      </w:r>
      <w:r w:rsidRPr="005043B9">
        <w:rPr>
          <w:noProof/>
        </w:rPr>
        <w:tab/>
      </w:r>
      <w:r w:rsidR="004B472A" w:rsidRPr="004644F9">
        <w:rPr>
          <w:noProof/>
        </w:rPr>
        <w:t>tispeċifika r-riċevitur eżatt, il-formati tal-iskambju tad-data, u l-informazzjoni li għandha takkumpanja s-sottomissjonijiet f’każ li tkun trid tiġi pprovduta informazzjoni addizzjonali.</w:t>
      </w:r>
    </w:p>
    <w:p w:rsidR="004B472A" w:rsidRPr="004644F9" w:rsidRDefault="004B472A" w:rsidP="00184085">
      <w:pPr>
        <w:pStyle w:val="Titrearticle"/>
        <w:rPr>
          <w:noProof/>
        </w:rPr>
      </w:pPr>
      <w:r w:rsidRPr="004644F9">
        <w:rPr>
          <w:noProof/>
        </w:rPr>
        <w:t>Artikolu 9</w:t>
      </w:r>
    </w:p>
    <w:p w:rsidR="004B472A" w:rsidRPr="004644F9" w:rsidRDefault="004B472A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Kooperazzjoni bejn l-awtoritajiet kompetenti u l-awtoritajiet ta’ riżoluzzjoni</w:t>
      </w:r>
    </w:p>
    <w:p w:rsidR="004B472A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1.</w:t>
      </w:r>
      <w:r w:rsidRPr="005043B9">
        <w:rPr>
          <w:noProof/>
        </w:rPr>
        <w:tab/>
      </w:r>
      <w:r w:rsidR="004B472A" w:rsidRPr="004644F9">
        <w:rPr>
          <w:noProof/>
        </w:rPr>
        <w:t>L-awtoritajiet kompetenti u ta’ riżoluzzjoni għandhom jivverifikaw b’mod konġunt jekk parti mill-informazzjoni jew l-informazzjoni kollha li għandha tiġi pprovduta lill-awtorità ta’ riżoluzzjoni skont l-Artikoli 2 sa 5 u l-Artikoli 7 u 8 hijiex diġà disponibbli għall-awtorità kompetenti.</w:t>
      </w:r>
    </w:p>
    <w:p w:rsidR="004B472A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2.</w:t>
      </w:r>
      <w:r w:rsidRPr="005043B9">
        <w:rPr>
          <w:noProof/>
        </w:rPr>
        <w:tab/>
      </w:r>
      <w:r w:rsidR="004B472A" w:rsidRPr="004644F9">
        <w:rPr>
          <w:noProof/>
        </w:rPr>
        <w:t xml:space="preserve">Meta l-informazzjoni kollha jew parti minnha tkun diġà disponibbli għall-awtorità kompetenti, dik l-awtorità għandha tipprovdi din l-informazzjoni lill-awtorità ta’ riżoluzzjoni b’mod f’waqtu. </w:t>
      </w:r>
    </w:p>
    <w:p w:rsidR="004B472A" w:rsidRPr="004644F9" w:rsidRDefault="005043B9" w:rsidP="005043B9">
      <w:pPr>
        <w:pStyle w:val="ManualNumPar1"/>
        <w:rPr>
          <w:noProof/>
        </w:rPr>
      </w:pPr>
      <w:r w:rsidRPr="005043B9">
        <w:rPr>
          <w:noProof/>
        </w:rPr>
        <w:t>3.</w:t>
      </w:r>
      <w:r w:rsidRPr="005043B9">
        <w:rPr>
          <w:noProof/>
        </w:rPr>
        <w:tab/>
      </w:r>
      <w:r w:rsidR="00914032" w:rsidRPr="004644F9">
        <w:rPr>
          <w:noProof/>
        </w:rPr>
        <w:t>Għall-finijiet tal-paragrafu 2, l-awtoritajiet ta’ riżoluzzjoni għandhom jinfurmaw lill-istituzzjonijiet jew, fil-każijiet ta’ gruppi, lill-impriżi prinċipali tal-Unjoni, bl-informazzjoni li hija meħtieġa li tiġi inkluża fis-sottomissjoni tal-informazzjoni skont dan ir-Regolament. L-awtoritajiet ta’ riżoluzzjoni għandhom jidentifikaw dik l-informazzjoni b’referenza għall-mudelli stabbiliti fl-Anness I.</w:t>
      </w:r>
    </w:p>
    <w:p w:rsidR="004B472A" w:rsidRPr="004644F9" w:rsidRDefault="004B472A" w:rsidP="00184085">
      <w:pPr>
        <w:pStyle w:val="Titrearticle"/>
        <w:rPr>
          <w:noProof/>
        </w:rPr>
      </w:pPr>
      <w:r w:rsidRPr="004644F9">
        <w:rPr>
          <w:noProof/>
        </w:rPr>
        <w:t>Artikolu 10</w:t>
      </w:r>
    </w:p>
    <w:p w:rsidR="004B472A" w:rsidRPr="004644F9" w:rsidRDefault="004B472A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Tħassir</w:t>
      </w:r>
    </w:p>
    <w:p w:rsidR="004B472A" w:rsidRPr="004644F9" w:rsidRDefault="004B472A" w:rsidP="00184085">
      <w:pPr>
        <w:rPr>
          <w:noProof/>
        </w:rPr>
      </w:pPr>
      <w:r w:rsidRPr="004644F9">
        <w:rPr>
          <w:noProof/>
        </w:rPr>
        <w:t>Ir-Regolament ta’ Implimentazzjoni (UE) 2018/1624 hu mħassar.</w:t>
      </w:r>
    </w:p>
    <w:p w:rsidR="004B472A" w:rsidRPr="004644F9" w:rsidRDefault="004B472A" w:rsidP="00184085">
      <w:pPr>
        <w:rPr>
          <w:noProof/>
        </w:rPr>
      </w:pPr>
      <w:r w:rsidRPr="004644F9">
        <w:rPr>
          <w:noProof/>
        </w:rPr>
        <w:t>Ir-referenzi għar-Regolament ta’ Implimentazzjoni mħassar għandhom jitqiesu bħala referenzi għal dan ir-Regolament.</w:t>
      </w:r>
    </w:p>
    <w:p w:rsidR="00860655" w:rsidRPr="004644F9" w:rsidRDefault="00860655" w:rsidP="00184085">
      <w:pPr>
        <w:pStyle w:val="Titrearticle"/>
        <w:rPr>
          <w:noProof/>
        </w:rPr>
      </w:pPr>
      <w:r w:rsidRPr="004644F9">
        <w:rPr>
          <w:noProof/>
        </w:rPr>
        <w:t>Artikolu 11</w:t>
      </w:r>
    </w:p>
    <w:p w:rsidR="004B472A" w:rsidRPr="004644F9" w:rsidRDefault="004B472A" w:rsidP="00184085">
      <w:pPr>
        <w:pStyle w:val="Titrearticle"/>
        <w:spacing w:before="0"/>
        <w:rPr>
          <w:b/>
          <w:bCs/>
          <w:i w:val="0"/>
          <w:iCs/>
          <w:noProof/>
        </w:rPr>
      </w:pPr>
      <w:r w:rsidRPr="004644F9">
        <w:rPr>
          <w:b/>
          <w:i w:val="0"/>
          <w:noProof/>
        </w:rPr>
        <w:t>Id-dħul fis-seħħ</w:t>
      </w:r>
    </w:p>
    <w:p w:rsidR="00860655" w:rsidRPr="004644F9" w:rsidRDefault="00860655" w:rsidP="00184085">
      <w:pPr>
        <w:rPr>
          <w:noProof/>
        </w:rPr>
      </w:pPr>
      <w:r w:rsidRPr="004644F9">
        <w:rPr>
          <w:noProof/>
        </w:rPr>
        <w:t>Dan ir-Regolament għandu jidħol fis-seħħ fl-għoxrin jum wara l-pubblikazzjoni tiegħu f’</w:t>
      </w:r>
      <w:r w:rsidRPr="004644F9">
        <w:rPr>
          <w:i/>
          <w:noProof/>
        </w:rPr>
        <w:t>Il-Ġurnal Uffiċjali tal-Unjoni Ewropea</w:t>
      </w:r>
      <w:r w:rsidRPr="004644F9">
        <w:rPr>
          <w:noProof/>
        </w:rPr>
        <w:t>.</w:t>
      </w:r>
    </w:p>
    <w:p w:rsidR="00860655" w:rsidRPr="004644F9" w:rsidRDefault="00860655" w:rsidP="00184085">
      <w:pPr>
        <w:pStyle w:val="Applicationdirecte"/>
        <w:rPr>
          <w:noProof/>
        </w:rPr>
      </w:pPr>
      <w:r w:rsidRPr="004644F9">
        <w:rPr>
          <w:noProof/>
        </w:rPr>
        <w:t>Dan ir-Regolament għandu jorbot fl-intier tiegħu u japplika direttament fl-Istati Membri kollha.</w:t>
      </w:r>
    </w:p>
    <w:p w:rsidR="00860655" w:rsidRPr="004644F9" w:rsidRDefault="00AC5814" w:rsidP="008740A0">
      <w:pPr>
        <w:pStyle w:val="Fait"/>
        <w:rPr>
          <w:noProof/>
        </w:rPr>
      </w:pPr>
      <w:r>
        <w:rPr>
          <w:noProof/>
        </w:rPr>
        <w:t>Magħmul fi Brussell, 14.11.2025</w:t>
      </w:r>
    </w:p>
    <w:p w:rsidR="00860655" w:rsidRPr="004644F9" w:rsidRDefault="00860655" w:rsidP="008740A0">
      <w:pPr>
        <w:pStyle w:val="Institutionquisigne"/>
        <w:rPr>
          <w:noProof/>
        </w:rPr>
      </w:pPr>
      <w:r w:rsidRPr="004644F9">
        <w:rPr>
          <w:noProof/>
        </w:rPr>
        <w:tab/>
        <w:t>Għall-Kummissjoni</w:t>
      </w:r>
    </w:p>
    <w:p w:rsidR="00860655" w:rsidRPr="004644F9" w:rsidRDefault="00800DB0" w:rsidP="00184085">
      <w:pPr>
        <w:pStyle w:val="Personnequisigne"/>
        <w:rPr>
          <w:noProof/>
        </w:rPr>
      </w:pPr>
      <w:r>
        <w:rPr>
          <w:noProof/>
        </w:rPr>
        <w:tab/>
        <w:t>Il-President</w:t>
      </w:r>
      <w:r>
        <w:rPr>
          <w:noProof/>
        </w:rPr>
        <w:br/>
      </w:r>
      <w:r>
        <w:rPr>
          <w:noProof/>
        </w:rPr>
        <w:tab/>
        <w:t>Ursula VON DER LEYEN</w:t>
      </w:r>
    </w:p>
    <w:sectPr w:rsidR="00860655" w:rsidRPr="004644F9" w:rsidSect="005065C5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FA" w:rsidRDefault="004D41FA" w:rsidP="00860655">
      <w:pPr>
        <w:spacing w:before="0" w:after="0"/>
      </w:pPr>
      <w:r>
        <w:separator/>
      </w:r>
    </w:p>
  </w:endnote>
  <w:endnote w:type="continuationSeparator" w:id="0">
    <w:p w:rsidR="004D41FA" w:rsidRDefault="004D41FA" w:rsidP="00860655">
      <w:pPr>
        <w:spacing w:before="0" w:after="0"/>
      </w:pPr>
      <w:r>
        <w:continuationSeparator/>
      </w:r>
    </w:p>
  </w:endnote>
  <w:endnote w:type="continuationNotice" w:id="1">
    <w:p w:rsidR="004D41FA" w:rsidRDefault="004D41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Pr="005065C5" w:rsidRDefault="005065C5" w:rsidP="005065C5">
    <w:pPr>
      <w:pStyle w:val="Footer"/>
      <w:rPr>
        <w:rFonts w:ascii="Arial" w:hAnsi="Arial" w:cs="Arial"/>
        <w:b/>
        <w:sz w:val="48"/>
      </w:rPr>
    </w:pPr>
    <w:r w:rsidRPr="005065C5">
      <w:rPr>
        <w:rFonts w:ascii="Arial" w:hAnsi="Arial" w:cs="Arial"/>
        <w:b/>
        <w:sz w:val="48"/>
      </w:rPr>
      <w:t>MT</w:t>
    </w:r>
    <w:r w:rsidRPr="005065C5">
      <w:rPr>
        <w:rFonts w:ascii="Arial" w:hAnsi="Arial" w:cs="Arial"/>
        <w:b/>
        <w:sz w:val="48"/>
      </w:rPr>
      <w:tab/>
    </w:r>
    <w:r w:rsidRPr="005065C5">
      <w:rPr>
        <w:rFonts w:ascii="Arial" w:hAnsi="Arial" w:cs="Arial"/>
        <w:b/>
        <w:sz w:val="48"/>
      </w:rPr>
      <w:tab/>
    </w:r>
    <w:r w:rsidRPr="005065C5">
      <w:tab/>
    </w:r>
    <w:r w:rsidRPr="005065C5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Pr="005065C5" w:rsidRDefault="005065C5" w:rsidP="005065C5">
    <w:pPr>
      <w:pStyle w:val="Footer"/>
      <w:rPr>
        <w:rFonts w:ascii="Arial" w:hAnsi="Arial" w:cs="Arial"/>
        <w:b/>
        <w:sz w:val="48"/>
      </w:rPr>
    </w:pPr>
    <w:r w:rsidRPr="005065C5">
      <w:rPr>
        <w:rFonts w:ascii="Arial" w:hAnsi="Arial" w:cs="Arial"/>
        <w:b/>
        <w:sz w:val="48"/>
      </w:rPr>
      <w:t>MT</w:t>
    </w:r>
    <w:r w:rsidRPr="005065C5">
      <w:rPr>
        <w:rFonts w:ascii="Arial" w:hAnsi="Arial" w:cs="Arial"/>
        <w:b/>
        <w:sz w:val="48"/>
      </w:rPr>
      <w:tab/>
    </w:r>
    <w:r w:rsidRPr="005065C5">
      <w:rPr>
        <w:rFonts w:ascii="Arial" w:hAnsi="Arial" w:cs="Arial"/>
        <w:b/>
        <w:sz w:val="48"/>
      </w:rPr>
      <w:tab/>
    </w:r>
    <w:r w:rsidRPr="005065C5">
      <w:tab/>
    </w:r>
    <w:r w:rsidRPr="005065C5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Default="005065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Pr="005065C5" w:rsidRDefault="005065C5" w:rsidP="005065C5">
    <w:pPr>
      <w:pStyle w:val="Footer"/>
      <w:rPr>
        <w:rFonts w:ascii="Arial" w:hAnsi="Arial" w:cs="Arial"/>
        <w:b/>
        <w:sz w:val="48"/>
      </w:rPr>
    </w:pPr>
    <w:r w:rsidRPr="005065C5">
      <w:rPr>
        <w:rFonts w:ascii="Arial" w:hAnsi="Arial" w:cs="Arial"/>
        <w:b/>
        <w:sz w:val="48"/>
      </w:rPr>
      <w:t>MT</w:t>
    </w:r>
    <w:r w:rsidRPr="005065C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8740A0">
      <w:rPr>
        <w:noProof/>
      </w:rPr>
      <w:t>10</w:t>
    </w:r>
    <w:r>
      <w:fldChar w:fldCharType="end"/>
    </w:r>
    <w:r>
      <w:tab/>
    </w:r>
    <w:r w:rsidRPr="005065C5">
      <w:tab/>
    </w:r>
    <w:r w:rsidRPr="005065C5"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Default="005065C5" w:rsidP="00506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FA" w:rsidRDefault="004D41FA" w:rsidP="00860655">
      <w:pPr>
        <w:spacing w:before="0" w:after="0"/>
      </w:pPr>
      <w:r>
        <w:separator/>
      </w:r>
    </w:p>
  </w:footnote>
  <w:footnote w:type="continuationSeparator" w:id="0">
    <w:p w:rsidR="004D41FA" w:rsidRDefault="004D41FA" w:rsidP="00860655">
      <w:pPr>
        <w:spacing w:before="0" w:after="0"/>
      </w:pPr>
      <w:r>
        <w:continuationSeparator/>
      </w:r>
    </w:p>
  </w:footnote>
  <w:footnote w:type="continuationNotice" w:id="1">
    <w:p w:rsidR="004D41FA" w:rsidRDefault="004D41FA">
      <w:pPr>
        <w:spacing w:before="0" w:after="0"/>
      </w:pPr>
    </w:p>
  </w:footnote>
  <w:footnote w:id="2">
    <w:p w:rsidR="00860655" w:rsidRPr="0032641B" w:rsidRDefault="00860655" w:rsidP="00730DBE">
      <w:pPr>
        <w:pStyle w:val="FootnoteText"/>
      </w:pPr>
      <w:r>
        <w:rPr>
          <w:rStyle w:val="FootnoteReference"/>
        </w:rPr>
        <w:footnoteRef/>
      </w:r>
      <w:r>
        <w:tab/>
        <w:t>ĠU L 173, 12.6.2014, p. 190, ELI: http://data.europa.eu/eli/dir/2014/59/oj.</w:t>
      </w:r>
    </w:p>
  </w:footnote>
  <w:footnote w:id="3">
    <w:p w:rsidR="00736C47" w:rsidRPr="004E6E7D" w:rsidRDefault="00736C47">
      <w:pPr>
        <w:pStyle w:val="FootnoteText"/>
      </w:pPr>
      <w:r>
        <w:rPr>
          <w:rStyle w:val="FootnoteReference"/>
        </w:rPr>
        <w:footnoteRef/>
      </w:r>
      <w:r>
        <w:tab/>
        <w:t>Ir-Regolament ta’ Implimentazzjoni tal-Kummissjoni (UE) 2018/1624 tat-23 ta’ Ottubru 2018 li jistabbilixxi l-istandards tekniċi ta' implimentazzjoni fir-rigward ta’ proċeduri u formoli u mudelli standard għall-forniment ta’ informazzjoni għall-finijiet ta’ pjanijiet ta’ riżoluzzjoni għall-istituzzjonijiet ta’ kreditu u ditti tal-investiment skont id-Direttiva 2014/59/UE tal-Parlament Ewropew u tal-Kunsill, u li jħassar ir-Regolament ta' Implimentazzjoni tal-Kummissjoni (UE) 2016/1066 (ĠU L 277, 7.11.2018, p. 1, ELI: http://data.europa.eu/eli/reg_impl/2018/1624/oj).</w:t>
      </w:r>
    </w:p>
  </w:footnote>
  <w:footnote w:id="4">
    <w:p w:rsidR="00736C47" w:rsidRPr="004E6E7D" w:rsidRDefault="00736C47">
      <w:pPr>
        <w:pStyle w:val="FootnoteText"/>
      </w:pPr>
      <w:r>
        <w:rPr>
          <w:rStyle w:val="FootnoteReference"/>
        </w:rPr>
        <w:footnoteRef/>
      </w:r>
      <w:r>
        <w:tab/>
        <w:t>Id-Direttiva (UE) 2024/1174 tal-Parlament Ewropew u tal-Kunsill tal-11 ta’ April 2024 li temenda d-Direttiva 2014/59/UE u r-Regolament (UE) Nru 806/2014 fir-rigward ta’ ċerti aspetti tar-rekwiżit minimu għal fondi proprji u obbligazzjonijiet eliġibbli, (ĠU L, 2024/1174, 22.04.2024, p. 1, ELI: http://data.europa.eu/eli/dir/2024/1174/oj).</w:t>
      </w:r>
    </w:p>
  </w:footnote>
  <w:footnote w:id="5">
    <w:p w:rsidR="00736C47" w:rsidRPr="004E6E7D" w:rsidRDefault="00736C47">
      <w:pPr>
        <w:pStyle w:val="FootnoteText"/>
      </w:pPr>
      <w:r>
        <w:rPr>
          <w:rStyle w:val="FootnoteReference"/>
        </w:rPr>
        <w:footnoteRef/>
      </w:r>
      <w:r>
        <w:tab/>
        <w:t>Ir-Regolament (UE) Nru 1093/2010 tal-Parlament Ewropew u tal-Kunsill tal-24 ta’ Novembru 2010 li jistabbilixxi Awtorità Superviżorja Ewropea (Awtorità Bankarja Ewropea), li jemenda d-Deċiżjoni Nru 716/2009/KE u li jħassar id-Deċiżjoni tal-Kummissjoni 2009/78/KE (ĠU L 331, 15.12.2010, p. 12, ELI: http://data.europa.eu/eli/reg/2010/1093/oj).</w:t>
      </w:r>
    </w:p>
  </w:footnote>
  <w:footnote w:id="6">
    <w:p w:rsidR="00736C47" w:rsidRPr="004E6E7D" w:rsidRDefault="00736C47">
      <w:pPr>
        <w:pStyle w:val="FootnoteText"/>
      </w:pPr>
      <w:r>
        <w:rPr>
          <w:rStyle w:val="FootnoteReference"/>
        </w:rPr>
        <w:footnoteRef/>
      </w:r>
      <w:r>
        <w:tab/>
        <w:t>Ir-Regolament (UE) Nru 575/2013 tal-Parlament Ewropew u tal-Kunsill tas-26 ta’ Ġunju 2013 dwar ir-rekwiżiti prudenzjali għall-istituzzjonijiet ta’ kreditu u li jemenda r-Regolament (UE) Nru 648/2012 (ĠU L 176, 27.6.2013, p. 1, ELI: http://data.europa.eu/eli/reg/2013/575/oj).</w:t>
      </w:r>
    </w:p>
  </w:footnote>
  <w:footnote w:id="7">
    <w:p w:rsidR="00736C47" w:rsidRPr="004E6E7D" w:rsidRDefault="00736C47">
      <w:pPr>
        <w:pStyle w:val="FootnoteText"/>
      </w:pPr>
      <w:r>
        <w:rPr>
          <w:rStyle w:val="FootnoteReference"/>
        </w:rPr>
        <w:footnoteRef/>
      </w:r>
      <w:r>
        <w:tab/>
        <w:t>Id-Direttiva 2013/36/UE tal-Parlament Ewropew u tal-Kunsill tas-26 ta’ Ġunju 2013 dwar l-aċċess għall-attività tal-istituzzjonijiet ta’ kreditu u s-superviżjoni prudenzjali tal-istituzzjonijiet ta’ kreditu, li temenda d-Direttiva 2002/87/KE u li tħassar id-Direttivi 2006/48/KE u 2006/49/KE (ĠU L 176, 27.6.2013, p. 338, ELI: http://data.europa.eu/eli/dir/2013/36/oj).</w:t>
      </w:r>
    </w:p>
  </w:footnote>
  <w:footnote w:id="8">
    <w:p w:rsidR="00736C47" w:rsidRPr="00736C47" w:rsidRDefault="00736C47">
      <w:pPr>
        <w:pStyle w:val="FootnoteText"/>
      </w:pPr>
      <w:r>
        <w:rPr>
          <w:rStyle w:val="FootnoteReference"/>
        </w:rPr>
        <w:footnoteRef/>
      </w:r>
      <w:r>
        <w:tab/>
        <w:t>Ir-Regolament (UE) 2019/2033 tal-Parlament Ewropew u tal-Kunsill tas-27 ta ’Novembru 2019 dwar is-superviżjoni prudenzjali tad-ditti tal-investiment u li jemenda Regolamenti (UE) Nru 1093/2010, (UE) Nru 575/2013, (UE) Nru 600/2014 u (UE) Nru 806/2014 (ĠU L 314, 5.12.2019, p. 1, ELI: http://data.europa.eu/eli/reg/2019/2033/oj).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Default="00506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C5" w:rsidRDefault="00506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8E3654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BDAEC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59EC9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5EF434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3E070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BDE0D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09086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6BCD57BB"/>
    <w:multiLevelType w:val="multilevel"/>
    <w:tmpl w:val="5AD2A3CC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999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21"/>
  </w:num>
  <w:num w:numId="29">
    <w:abstractNumId w:val="11"/>
  </w:num>
  <w:num w:numId="30">
    <w:abstractNumId w:val="13"/>
  </w:num>
  <w:num w:numId="31">
    <w:abstractNumId w:val="14"/>
  </w:num>
  <w:num w:numId="32">
    <w:abstractNumId w:val="9"/>
  </w:num>
  <w:num w:numId="33">
    <w:abstractNumId w:val="20"/>
  </w:num>
  <w:num w:numId="34">
    <w:abstractNumId w:val="8"/>
  </w:num>
  <w:num w:numId="35">
    <w:abstractNumId w:val="15"/>
  </w:num>
  <w:num w:numId="36">
    <w:abstractNumId w:val="17"/>
  </w:num>
  <w:num w:numId="37">
    <w:abstractNumId w:val="18"/>
  </w:num>
  <w:num w:numId="38">
    <w:abstractNumId w:val="10"/>
  </w:num>
  <w:num w:numId="39">
    <w:abstractNumId w:val="16"/>
  </w:num>
  <w:num w:numId="40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1-07 10:07:1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547430C4-4AAB-4261-BF2F-2193872B626B"/>
    <w:docVar w:name="LW_COVERPAGE_TYPE" w:val="1"/>
    <w:docVar w:name="LW_CreatedUtc" w:val="2025-04-09T13:24:10.7425134Z"/>
    <w:docVar w:name="LW_CROSSREFERENCE" w:val="&lt;UNUSED&gt;"/>
    <w:docVar w:name="LW_DATE.ADOPT.CP" w:val="ta'14.11.2025"/>
    <w:docVar w:name="LW_DATE.ADOPT.CP_DATEFORMAT" w:val="ta'%DATE%"/>
    <w:docVar w:name="LW_DATE.ADOPT.CP_ISODATE" w:val="2025-11-14"/>
    <w:docVar w:name="LW_DocType" w:val="COM"/>
    <w:docVar w:name="LW_EMISSION" w:val="14.11.2025"/>
    <w:docVar w:name="LW_EMISSION_ISODATE" w:val="2025-11-14"/>
    <w:docVar w:name="LW_EMISSION_LOCATION" w:val="BRX"/>
    <w:docVar w:name="LW_EMISSION_PREFIX" w:val="Brussell,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st b\u8217?relevanza g\u295?a\u380?-\u379?EE)"/>
    <w:docVar w:name="LW_LANGUE" w:val="MT"/>
    <w:docVar w:name="LW_LANGUESFAISANTFOI.CP" w:val="&lt;UNUSED&gt;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7604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li jistabbilixxi l-istandards tekni\u267?i ta' implimentazzjoni fir-rigward ta' pro\u267?eduri u formoli u mudelli standard g\u295?all-forniment ta' informazzjoni g\u295?all-finijiet ta' pjanijiet ta' ri\u380?oluzzjoni g\u295?all-istituzzjonijiet ta' kreditu u ditti tal-investiment skont id-Direttiva 2014/59/UE tal-Parlament Ewropew u tal-Kunsill, u li j\u295?assar ir-Regolament ta' Implimentazzjoni tal-Kummissjoni (UE) 2018/1624"/>
    <w:docVar w:name="LW_TYPE.DOC.CP" w:val="REGOLAMENT TA\u8217? IMPLIMENTAZZJONI TAL-KUMMISSJONI (UE) .../..."/>
    <w:docVar w:name="LwApiVersions" w:val="LW4CoDe 1.24.5.0; LW 9.0, Build 20240221"/>
  </w:docVars>
  <w:rsids>
    <w:rsidRoot w:val="00860655"/>
    <w:rsid w:val="00003E9B"/>
    <w:rsid w:val="00010444"/>
    <w:rsid w:val="00011152"/>
    <w:rsid w:val="00011674"/>
    <w:rsid w:val="00012E4C"/>
    <w:rsid w:val="00014FF9"/>
    <w:rsid w:val="00016E59"/>
    <w:rsid w:val="00022F96"/>
    <w:rsid w:val="0002348F"/>
    <w:rsid w:val="00027EC1"/>
    <w:rsid w:val="0003106A"/>
    <w:rsid w:val="0003600A"/>
    <w:rsid w:val="0003664D"/>
    <w:rsid w:val="000378CA"/>
    <w:rsid w:val="000401A4"/>
    <w:rsid w:val="0004065D"/>
    <w:rsid w:val="00045BE7"/>
    <w:rsid w:val="00047494"/>
    <w:rsid w:val="00047CCB"/>
    <w:rsid w:val="00047CE8"/>
    <w:rsid w:val="00051A55"/>
    <w:rsid w:val="000532DF"/>
    <w:rsid w:val="000575BB"/>
    <w:rsid w:val="0006043D"/>
    <w:rsid w:val="00061265"/>
    <w:rsid w:val="0006320D"/>
    <w:rsid w:val="000638D2"/>
    <w:rsid w:val="00063900"/>
    <w:rsid w:val="0006413C"/>
    <w:rsid w:val="000669F1"/>
    <w:rsid w:val="0007008A"/>
    <w:rsid w:val="0007047E"/>
    <w:rsid w:val="000707FA"/>
    <w:rsid w:val="00070B06"/>
    <w:rsid w:val="000727CE"/>
    <w:rsid w:val="0007402A"/>
    <w:rsid w:val="000754EB"/>
    <w:rsid w:val="000767F8"/>
    <w:rsid w:val="0008385B"/>
    <w:rsid w:val="00087FE9"/>
    <w:rsid w:val="00093169"/>
    <w:rsid w:val="000957E1"/>
    <w:rsid w:val="000A49B6"/>
    <w:rsid w:val="000A656F"/>
    <w:rsid w:val="000B1A72"/>
    <w:rsid w:val="000B2421"/>
    <w:rsid w:val="000B6438"/>
    <w:rsid w:val="000B6760"/>
    <w:rsid w:val="000B7A7D"/>
    <w:rsid w:val="000C1802"/>
    <w:rsid w:val="000C210A"/>
    <w:rsid w:val="000C36F8"/>
    <w:rsid w:val="000C3748"/>
    <w:rsid w:val="000C4922"/>
    <w:rsid w:val="000D227C"/>
    <w:rsid w:val="000D6FC6"/>
    <w:rsid w:val="000E0DA5"/>
    <w:rsid w:val="000E2702"/>
    <w:rsid w:val="000E311F"/>
    <w:rsid w:val="000E5382"/>
    <w:rsid w:val="000E5409"/>
    <w:rsid w:val="000E58A4"/>
    <w:rsid w:val="000F1205"/>
    <w:rsid w:val="000F26F3"/>
    <w:rsid w:val="000F3FEE"/>
    <w:rsid w:val="000F4965"/>
    <w:rsid w:val="000F5A92"/>
    <w:rsid w:val="000F5B02"/>
    <w:rsid w:val="000F6B3D"/>
    <w:rsid w:val="000F74CC"/>
    <w:rsid w:val="00100587"/>
    <w:rsid w:val="00101DF1"/>
    <w:rsid w:val="001054EB"/>
    <w:rsid w:val="001065F5"/>
    <w:rsid w:val="0010670B"/>
    <w:rsid w:val="00107070"/>
    <w:rsid w:val="001075F2"/>
    <w:rsid w:val="00111B75"/>
    <w:rsid w:val="001133CE"/>
    <w:rsid w:val="00114B18"/>
    <w:rsid w:val="00116FC0"/>
    <w:rsid w:val="0011724D"/>
    <w:rsid w:val="001222B2"/>
    <w:rsid w:val="001238EF"/>
    <w:rsid w:val="001243B1"/>
    <w:rsid w:val="00125C95"/>
    <w:rsid w:val="00125EEF"/>
    <w:rsid w:val="001261F3"/>
    <w:rsid w:val="00127DAF"/>
    <w:rsid w:val="001307BE"/>
    <w:rsid w:val="001309C3"/>
    <w:rsid w:val="001330E3"/>
    <w:rsid w:val="00134F11"/>
    <w:rsid w:val="00135713"/>
    <w:rsid w:val="00142E17"/>
    <w:rsid w:val="00146F44"/>
    <w:rsid w:val="00147D59"/>
    <w:rsid w:val="00152894"/>
    <w:rsid w:val="00157915"/>
    <w:rsid w:val="00160DD9"/>
    <w:rsid w:val="0016114F"/>
    <w:rsid w:val="00163996"/>
    <w:rsid w:val="0016454F"/>
    <w:rsid w:val="00164FCD"/>
    <w:rsid w:val="00165B97"/>
    <w:rsid w:val="001660D8"/>
    <w:rsid w:val="00170C08"/>
    <w:rsid w:val="00170FDC"/>
    <w:rsid w:val="0017169C"/>
    <w:rsid w:val="0017348A"/>
    <w:rsid w:val="00174186"/>
    <w:rsid w:val="001741A5"/>
    <w:rsid w:val="001744A5"/>
    <w:rsid w:val="00174A0B"/>
    <w:rsid w:val="0017545D"/>
    <w:rsid w:val="0017578A"/>
    <w:rsid w:val="00175995"/>
    <w:rsid w:val="0018113A"/>
    <w:rsid w:val="0018137F"/>
    <w:rsid w:val="00182EAB"/>
    <w:rsid w:val="00184085"/>
    <w:rsid w:val="0018536E"/>
    <w:rsid w:val="00185E5C"/>
    <w:rsid w:val="00193875"/>
    <w:rsid w:val="00194D17"/>
    <w:rsid w:val="001956D7"/>
    <w:rsid w:val="00197613"/>
    <w:rsid w:val="001977E5"/>
    <w:rsid w:val="00197AB1"/>
    <w:rsid w:val="001A0934"/>
    <w:rsid w:val="001A2326"/>
    <w:rsid w:val="001A2CF0"/>
    <w:rsid w:val="001A2E1C"/>
    <w:rsid w:val="001A314A"/>
    <w:rsid w:val="001A4085"/>
    <w:rsid w:val="001A76CF"/>
    <w:rsid w:val="001B3DDB"/>
    <w:rsid w:val="001B60B8"/>
    <w:rsid w:val="001C1FAD"/>
    <w:rsid w:val="001C24BA"/>
    <w:rsid w:val="001C2BE2"/>
    <w:rsid w:val="001C3FC1"/>
    <w:rsid w:val="001C3FC4"/>
    <w:rsid w:val="001C588B"/>
    <w:rsid w:val="001C5EFB"/>
    <w:rsid w:val="001D26CC"/>
    <w:rsid w:val="001D6510"/>
    <w:rsid w:val="001E10FC"/>
    <w:rsid w:val="001E417F"/>
    <w:rsid w:val="001E4F6A"/>
    <w:rsid w:val="001E53F0"/>
    <w:rsid w:val="001E5F26"/>
    <w:rsid w:val="001E696C"/>
    <w:rsid w:val="001F036B"/>
    <w:rsid w:val="001F081A"/>
    <w:rsid w:val="001F1E46"/>
    <w:rsid w:val="001F2330"/>
    <w:rsid w:val="001F3FAE"/>
    <w:rsid w:val="001F6F1E"/>
    <w:rsid w:val="002009EC"/>
    <w:rsid w:val="002010F4"/>
    <w:rsid w:val="00207635"/>
    <w:rsid w:val="00207905"/>
    <w:rsid w:val="00211B17"/>
    <w:rsid w:val="002121AE"/>
    <w:rsid w:val="002125D6"/>
    <w:rsid w:val="0021607A"/>
    <w:rsid w:val="00216E5B"/>
    <w:rsid w:val="00221CFA"/>
    <w:rsid w:val="00222556"/>
    <w:rsid w:val="002240FE"/>
    <w:rsid w:val="002254AE"/>
    <w:rsid w:val="00225EC6"/>
    <w:rsid w:val="00226CAF"/>
    <w:rsid w:val="00227B0D"/>
    <w:rsid w:val="00227EDB"/>
    <w:rsid w:val="00230726"/>
    <w:rsid w:val="00232973"/>
    <w:rsid w:val="00233DC7"/>
    <w:rsid w:val="002371E2"/>
    <w:rsid w:val="00240E87"/>
    <w:rsid w:val="002429BB"/>
    <w:rsid w:val="00242A02"/>
    <w:rsid w:val="00244B76"/>
    <w:rsid w:val="0024597B"/>
    <w:rsid w:val="00247779"/>
    <w:rsid w:val="00255B8B"/>
    <w:rsid w:val="00257211"/>
    <w:rsid w:val="0026031F"/>
    <w:rsid w:val="002609E9"/>
    <w:rsid w:val="00260BAA"/>
    <w:rsid w:val="00267557"/>
    <w:rsid w:val="00281C1A"/>
    <w:rsid w:val="002838DB"/>
    <w:rsid w:val="00283ECB"/>
    <w:rsid w:val="00284A64"/>
    <w:rsid w:val="0028500D"/>
    <w:rsid w:val="00285BEE"/>
    <w:rsid w:val="00287A4D"/>
    <w:rsid w:val="00291F30"/>
    <w:rsid w:val="0029286F"/>
    <w:rsid w:val="0029533F"/>
    <w:rsid w:val="00295FC1"/>
    <w:rsid w:val="002969BF"/>
    <w:rsid w:val="002A0037"/>
    <w:rsid w:val="002A0D94"/>
    <w:rsid w:val="002A17CC"/>
    <w:rsid w:val="002A2539"/>
    <w:rsid w:val="002A3B2B"/>
    <w:rsid w:val="002A4E8C"/>
    <w:rsid w:val="002A514B"/>
    <w:rsid w:val="002A633D"/>
    <w:rsid w:val="002B06EF"/>
    <w:rsid w:val="002B16CD"/>
    <w:rsid w:val="002B30AF"/>
    <w:rsid w:val="002B30EC"/>
    <w:rsid w:val="002B4D08"/>
    <w:rsid w:val="002B6BAC"/>
    <w:rsid w:val="002C046C"/>
    <w:rsid w:val="002C15BF"/>
    <w:rsid w:val="002C1B09"/>
    <w:rsid w:val="002C2F9E"/>
    <w:rsid w:val="002D19F0"/>
    <w:rsid w:val="002D7FAC"/>
    <w:rsid w:val="002E3C5D"/>
    <w:rsid w:val="002E5C8D"/>
    <w:rsid w:val="002E68E1"/>
    <w:rsid w:val="002E74B0"/>
    <w:rsid w:val="002F1560"/>
    <w:rsid w:val="002F1851"/>
    <w:rsid w:val="002F1900"/>
    <w:rsid w:val="002F25EA"/>
    <w:rsid w:val="002F38E7"/>
    <w:rsid w:val="002F656E"/>
    <w:rsid w:val="002F78D9"/>
    <w:rsid w:val="002F7929"/>
    <w:rsid w:val="00302C98"/>
    <w:rsid w:val="00303126"/>
    <w:rsid w:val="00311F1E"/>
    <w:rsid w:val="003136DC"/>
    <w:rsid w:val="00315946"/>
    <w:rsid w:val="00316773"/>
    <w:rsid w:val="00322949"/>
    <w:rsid w:val="00325642"/>
    <w:rsid w:val="0032641B"/>
    <w:rsid w:val="00327C58"/>
    <w:rsid w:val="003318F5"/>
    <w:rsid w:val="00332846"/>
    <w:rsid w:val="0033344A"/>
    <w:rsid w:val="00333A23"/>
    <w:rsid w:val="00334ACB"/>
    <w:rsid w:val="003366E7"/>
    <w:rsid w:val="003367BD"/>
    <w:rsid w:val="00337B02"/>
    <w:rsid w:val="00340970"/>
    <w:rsid w:val="0034357E"/>
    <w:rsid w:val="0034482E"/>
    <w:rsid w:val="003517FA"/>
    <w:rsid w:val="00351908"/>
    <w:rsid w:val="00353124"/>
    <w:rsid w:val="003543C5"/>
    <w:rsid w:val="0035525E"/>
    <w:rsid w:val="00360D17"/>
    <w:rsid w:val="003630A7"/>
    <w:rsid w:val="00364C82"/>
    <w:rsid w:val="0036625D"/>
    <w:rsid w:val="0037118A"/>
    <w:rsid w:val="0037271C"/>
    <w:rsid w:val="00372D57"/>
    <w:rsid w:val="00372E85"/>
    <w:rsid w:val="00375E3B"/>
    <w:rsid w:val="0037668C"/>
    <w:rsid w:val="00377FDC"/>
    <w:rsid w:val="00381AB6"/>
    <w:rsid w:val="003821D3"/>
    <w:rsid w:val="00382A02"/>
    <w:rsid w:val="003951BA"/>
    <w:rsid w:val="00396ACD"/>
    <w:rsid w:val="00397DC3"/>
    <w:rsid w:val="003A03FB"/>
    <w:rsid w:val="003A0FE5"/>
    <w:rsid w:val="003A1568"/>
    <w:rsid w:val="003A27E0"/>
    <w:rsid w:val="003A2C1C"/>
    <w:rsid w:val="003A2C6C"/>
    <w:rsid w:val="003A6205"/>
    <w:rsid w:val="003B015F"/>
    <w:rsid w:val="003B19D8"/>
    <w:rsid w:val="003B410C"/>
    <w:rsid w:val="003B431D"/>
    <w:rsid w:val="003B540C"/>
    <w:rsid w:val="003C0F2A"/>
    <w:rsid w:val="003C49C9"/>
    <w:rsid w:val="003D01A4"/>
    <w:rsid w:val="003D2B57"/>
    <w:rsid w:val="003D312F"/>
    <w:rsid w:val="003D35DF"/>
    <w:rsid w:val="003D5260"/>
    <w:rsid w:val="003D64E1"/>
    <w:rsid w:val="003E0314"/>
    <w:rsid w:val="003E03DA"/>
    <w:rsid w:val="003E0597"/>
    <w:rsid w:val="003E082C"/>
    <w:rsid w:val="003E5A74"/>
    <w:rsid w:val="003F3234"/>
    <w:rsid w:val="003F3CA1"/>
    <w:rsid w:val="003F636B"/>
    <w:rsid w:val="003F6672"/>
    <w:rsid w:val="003F682B"/>
    <w:rsid w:val="003F74FD"/>
    <w:rsid w:val="003F77D6"/>
    <w:rsid w:val="003F7FA9"/>
    <w:rsid w:val="00401ABC"/>
    <w:rsid w:val="00402772"/>
    <w:rsid w:val="004027F9"/>
    <w:rsid w:val="0040392D"/>
    <w:rsid w:val="004109EB"/>
    <w:rsid w:val="00411E35"/>
    <w:rsid w:val="00411E98"/>
    <w:rsid w:val="0041203A"/>
    <w:rsid w:val="004127A9"/>
    <w:rsid w:val="004244F0"/>
    <w:rsid w:val="00424FBE"/>
    <w:rsid w:val="0042648E"/>
    <w:rsid w:val="00427E69"/>
    <w:rsid w:val="0043050E"/>
    <w:rsid w:val="004308A2"/>
    <w:rsid w:val="00430F7C"/>
    <w:rsid w:val="00433059"/>
    <w:rsid w:val="00434D8E"/>
    <w:rsid w:val="004357BF"/>
    <w:rsid w:val="00436F80"/>
    <w:rsid w:val="0043768A"/>
    <w:rsid w:val="00437AA5"/>
    <w:rsid w:val="00441165"/>
    <w:rsid w:val="00444367"/>
    <w:rsid w:val="00445CFD"/>
    <w:rsid w:val="00445EAA"/>
    <w:rsid w:val="00450698"/>
    <w:rsid w:val="004516A4"/>
    <w:rsid w:val="0045172D"/>
    <w:rsid w:val="004559FF"/>
    <w:rsid w:val="00457EC8"/>
    <w:rsid w:val="00460DA8"/>
    <w:rsid w:val="00463740"/>
    <w:rsid w:val="004644F9"/>
    <w:rsid w:val="00465C20"/>
    <w:rsid w:val="0046629F"/>
    <w:rsid w:val="004677E5"/>
    <w:rsid w:val="00471591"/>
    <w:rsid w:val="00476319"/>
    <w:rsid w:val="00476C9F"/>
    <w:rsid w:val="0048249C"/>
    <w:rsid w:val="004831FC"/>
    <w:rsid w:val="004855B4"/>
    <w:rsid w:val="0048663F"/>
    <w:rsid w:val="004908DD"/>
    <w:rsid w:val="00492396"/>
    <w:rsid w:val="004936D2"/>
    <w:rsid w:val="00494F92"/>
    <w:rsid w:val="00496AFE"/>
    <w:rsid w:val="004A0EFB"/>
    <w:rsid w:val="004A3094"/>
    <w:rsid w:val="004A395B"/>
    <w:rsid w:val="004A58B9"/>
    <w:rsid w:val="004A724F"/>
    <w:rsid w:val="004B1BB8"/>
    <w:rsid w:val="004B1BD1"/>
    <w:rsid w:val="004B3815"/>
    <w:rsid w:val="004B472A"/>
    <w:rsid w:val="004B5970"/>
    <w:rsid w:val="004B5BEB"/>
    <w:rsid w:val="004B5E55"/>
    <w:rsid w:val="004B653C"/>
    <w:rsid w:val="004C01DE"/>
    <w:rsid w:val="004C2E0D"/>
    <w:rsid w:val="004C4FAD"/>
    <w:rsid w:val="004C5962"/>
    <w:rsid w:val="004D2212"/>
    <w:rsid w:val="004D2C96"/>
    <w:rsid w:val="004D30CD"/>
    <w:rsid w:val="004D41FA"/>
    <w:rsid w:val="004D5188"/>
    <w:rsid w:val="004E0F34"/>
    <w:rsid w:val="004E1446"/>
    <w:rsid w:val="004E19F9"/>
    <w:rsid w:val="004E60F0"/>
    <w:rsid w:val="004E6E7D"/>
    <w:rsid w:val="004F1BA7"/>
    <w:rsid w:val="004F5E51"/>
    <w:rsid w:val="004F6CC0"/>
    <w:rsid w:val="004F7343"/>
    <w:rsid w:val="005013B7"/>
    <w:rsid w:val="00501438"/>
    <w:rsid w:val="005043B9"/>
    <w:rsid w:val="00505E65"/>
    <w:rsid w:val="005065C5"/>
    <w:rsid w:val="00511622"/>
    <w:rsid w:val="00511BE0"/>
    <w:rsid w:val="00515A9F"/>
    <w:rsid w:val="0051644A"/>
    <w:rsid w:val="00516889"/>
    <w:rsid w:val="005171F0"/>
    <w:rsid w:val="00517205"/>
    <w:rsid w:val="00517B7F"/>
    <w:rsid w:val="00517C21"/>
    <w:rsid w:val="00517FDD"/>
    <w:rsid w:val="005200D0"/>
    <w:rsid w:val="00522300"/>
    <w:rsid w:val="005227CE"/>
    <w:rsid w:val="00526CDD"/>
    <w:rsid w:val="005275F2"/>
    <w:rsid w:val="00527E56"/>
    <w:rsid w:val="00531413"/>
    <w:rsid w:val="00531C91"/>
    <w:rsid w:val="00533A4A"/>
    <w:rsid w:val="00533A76"/>
    <w:rsid w:val="00535752"/>
    <w:rsid w:val="00535B8B"/>
    <w:rsid w:val="005411D3"/>
    <w:rsid w:val="00542487"/>
    <w:rsid w:val="00542650"/>
    <w:rsid w:val="00543F23"/>
    <w:rsid w:val="005442C8"/>
    <w:rsid w:val="00544A07"/>
    <w:rsid w:val="00544A68"/>
    <w:rsid w:val="005464D5"/>
    <w:rsid w:val="00551FD8"/>
    <w:rsid w:val="00552022"/>
    <w:rsid w:val="00552EEC"/>
    <w:rsid w:val="00554891"/>
    <w:rsid w:val="005655BA"/>
    <w:rsid w:val="00573EF6"/>
    <w:rsid w:val="00577772"/>
    <w:rsid w:val="0058118B"/>
    <w:rsid w:val="00582810"/>
    <w:rsid w:val="00582ED2"/>
    <w:rsid w:val="00583D8A"/>
    <w:rsid w:val="005939D3"/>
    <w:rsid w:val="0059444D"/>
    <w:rsid w:val="00595317"/>
    <w:rsid w:val="0059536D"/>
    <w:rsid w:val="00595540"/>
    <w:rsid w:val="005963DC"/>
    <w:rsid w:val="005969BD"/>
    <w:rsid w:val="00597A17"/>
    <w:rsid w:val="005A1DB5"/>
    <w:rsid w:val="005A2450"/>
    <w:rsid w:val="005A33A7"/>
    <w:rsid w:val="005A3C62"/>
    <w:rsid w:val="005B03EE"/>
    <w:rsid w:val="005B1EB6"/>
    <w:rsid w:val="005B24B0"/>
    <w:rsid w:val="005B29F7"/>
    <w:rsid w:val="005B5FA6"/>
    <w:rsid w:val="005C038B"/>
    <w:rsid w:val="005C14DD"/>
    <w:rsid w:val="005C16A5"/>
    <w:rsid w:val="005C1C2E"/>
    <w:rsid w:val="005C2DAE"/>
    <w:rsid w:val="005C546E"/>
    <w:rsid w:val="005C57C9"/>
    <w:rsid w:val="005C5E2A"/>
    <w:rsid w:val="005C6D63"/>
    <w:rsid w:val="005C7FDA"/>
    <w:rsid w:val="005D4485"/>
    <w:rsid w:val="005D4968"/>
    <w:rsid w:val="005D5D1A"/>
    <w:rsid w:val="005D6216"/>
    <w:rsid w:val="005D7506"/>
    <w:rsid w:val="005E2C79"/>
    <w:rsid w:val="005E349B"/>
    <w:rsid w:val="005E4C22"/>
    <w:rsid w:val="005E4DBA"/>
    <w:rsid w:val="005E6BF0"/>
    <w:rsid w:val="005F2AF0"/>
    <w:rsid w:val="005F3B98"/>
    <w:rsid w:val="005F4567"/>
    <w:rsid w:val="005F6877"/>
    <w:rsid w:val="005F6C9E"/>
    <w:rsid w:val="006026E0"/>
    <w:rsid w:val="00602A82"/>
    <w:rsid w:val="00602AB8"/>
    <w:rsid w:val="00610E8E"/>
    <w:rsid w:val="00611E70"/>
    <w:rsid w:val="00611F25"/>
    <w:rsid w:val="00612BC5"/>
    <w:rsid w:val="00624324"/>
    <w:rsid w:val="006265C3"/>
    <w:rsid w:val="00626A19"/>
    <w:rsid w:val="00626D86"/>
    <w:rsid w:val="0063050B"/>
    <w:rsid w:val="00635146"/>
    <w:rsid w:val="0063555C"/>
    <w:rsid w:val="00635D32"/>
    <w:rsid w:val="00637F45"/>
    <w:rsid w:val="006417C5"/>
    <w:rsid w:val="00645C60"/>
    <w:rsid w:val="00650618"/>
    <w:rsid w:val="006556D2"/>
    <w:rsid w:val="00655AF0"/>
    <w:rsid w:val="00657690"/>
    <w:rsid w:val="00661BF1"/>
    <w:rsid w:val="006654AB"/>
    <w:rsid w:val="00666983"/>
    <w:rsid w:val="006670AB"/>
    <w:rsid w:val="00671510"/>
    <w:rsid w:val="006718D1"/>
    <w:rsid w:val="00673012"/>
    <w:rsid w:val="006770DE"/>
    <w:rsid w:val="006812BE"/>
    <w:rsid w:val="00683718"/>
    <w:rsid w:val="00684176"/>
    <w:rsid w:val="00685E97"/>
    <w:rsid w:val="00686CE0"/>
    <w:rsid w:val="00687191"/>
    <w:rsid w:val="00690DBD"/>
    <w:rsid w:val="00691861"/>
    <w:rsid w:val="006920CD"/>
    <w:rsid w:val="00694AFE"/>
    <w:rsid w:val="00694F0B"/>
    <w:rsid w:val="00696893"/>
    <w:rsid w:val="00697E0E"/>
    <w:rsid w:val="006A0137"/>
    <w:rsid w:val="006A0F10"/>
    <w:rsid w:val="006A269B"/>
    <w:rsid w:val="006A5DD5"/>
    <w:rsid w:val="006B6FB1"/>
    <w:rsid w:val="006C0B4F"/>
    <w:rsid w:val="006C12BE"/>
    <w:rsid w:val="006C55AC"/>
    <w:rsid w:val="006C67E3"/>
    <w:rsid w:val="006D097A"/>
    <w:rsid w:val="006D0ED5"/>
    <w:rsid w:val="006D3E83"/>
    <w:rsid w:val="006D4871"/>
    <w:rsid w:val="006D4C78"/>
    <w:rsid w:val="006D6AE4"/>
    <w:rsid w:val="006D7284"/>
    <w:rsid w:val="006E2580"/>
    <w:rsid w:val="006E6F85"/>
    <w:rsid w:val="006E7726"/>
    <w:rsid w:val="006F2604"/>
    <w:rsid w:val="006F39DF"/>
    <w:rsid w:val="006F3D54"/>
    <w:rsid w:val="006F482D"/>
    <w:rsid w:val="006F4AE4"/>
    <w:rsid w:val="006F7916"/>
    <w:rsid w:val="006F7EFE"/>
    <w:rsid w:val="006F7FF7"/>
    <w:rsid w:val="007007C8"/>
    <w:rsid w:val="00700BEA"/>
    <w:rsid w:val="00702314"/>
    <w:rsid w:val="00703F52"/>
    <w:rsid w:val="00704D08"/>
    <w:rsid w:val="00704E89"/>
    <w:rsid w:val="007056A5"/>
    <w:rsid w:val="00713D82"/>
    <w:rsid w:val="00714D44"/>
    <w:rsid w:val="0071622B"/>
    <w:rsid w:val="0072136A"/>
    <w:rsid w:val="00721B67"/>
    <w:rsid w:val="007259E8"/>
    <w:rsid w:val="00725EDF"/>
    <w:rsid w:val="007272F5"/>
    <w:rsid w:val="00730DBE"/>
    <w:rsid w:val="0073182A"/>
    <w:rsid w:val="0073253B"/>
    <w:rsid w:val="0073651C"/>
    <w:rsid w:val="00736C47"/>
    <w:rsid w:val="00740FC2"/>
    <w:rsid w:val="00741D29"/>
    <w:rsid w:val="00751097"/>
    <w:rsid w:val="00752D2C"/>
    <w:rsid w:val="00755C82"/>
    <w:rsid w:val="00756093"/>
    <w:rsid w:val="007561DB"/>
    <w:rsid w:val="00757A66"/>
    <w:rsid w:val="007609C1"/>
    <w:rsid w:val="00761DB6"/>
    <w:rsid w:val="00765EED"/>
    <w:rsid w:val="0077255A"/>
    <w:rsid w:val="00773331"/>
    <w:rsid w:val="00774809"/>
    <w:rsid w:val="0077575B"/>
    <w:rsid w:val="007757D4"/>
    <w:rsid w:val="00776EF4"/>
    <w:rsid w:val="00777D73"/>
    <w:rsid w:val="00780B67"/>
    <w:rsid w:val="00781CC8"/>
    <w:rsid w:val="00782CA4"/>
    <w:rsid w:val="0078349B"/>
    <w:rsid w:val="00783A46"/>
    <w:rsid w:val="007876EA"/>
    <w:rsid w:val="00791412"/>
    <w:rsid w:val="007929CD"/>
    <w:rsid w:val="007932EF"/>
    <w:rsid w:val="00793E16"/>
    <w:rsid w:val="007945A5"/>
    <w:rsid w:val="00794C86"/>
    <w:rsid w:val="007A42DC"/>
    <w:rsid w:val="007A4E37"/>
    <w:rsid w:val="007A7A4D"/>
    <w:rsid w:val="007C52FD"/>
    <w:rsid w:val="007C6CCA"/>
    <w:rsid w:val="007D0861"/>
    <w:rsid w:val="007D1F30"/>
    <w:rsid w:val="007D237E"/>
    <w:rsid w:val="007D4B20"/>
    <w:rsid w:val="007D5D9D"/>
    <w:rsid w:val="007D68D4"/>
    <w:rsid w:val="007D74F6"/>
    <w:rsid w:val="007E010B"/>
    <w:rsid w:val="007E05B0"/>
    <w:rsid w:val="007E0B64"/>
    <w:rsid w:val="007E2B7C"/>
    <w:rsid w:val="007E3E70"/>
    <w:rsid w:val="007E7B55"/>
    <w:rsid w:val="007F3A84"/>
    <w:rsid w:val="007F54D1"/>
    <w:rsid w:val="007F5EAD"/>
    <w:rsid w:val="007F78AC"/>
    <w:rsid w:val="00800DB0"/>
    <w:rsid w:val="00801402"/>
    <w:rsid w:val="008014C7"/>
    <w:rsid w:val="008021E0"/>
    <w:rsid w:val="00802BD0"/>
    <w:rsid w:val="00802FC2"/>
    <w:rsid w:val="008035E3"/>
    <w:rsid w:val="00803C58"/>
    <w:rsid w:val="008059D7"/>
    <w:rsid w:val="00807C30"/>
    <w:rsid w:val="008120E0"/>
    <w:rsid w:val="00817C80"/>
    <w:rsid w:val="008200A7"/>
    <w:rsid w:val="00820151"/>
    <w:rsid w:val="008210DC"/>
    <w:rsid w:val="00822CB9"/>
    <w:rsid w:val="00822FA7"/>
    <w:rsid w:val="0082357B"/>
    <w:rsid w:val="00823C51"/>
    <w:rsid w:val="0082653E"/>
    <w:rsid w:val="00827D60"/>
    <w:rsid w:val="008314C4"/>
    <w:rsid w:val="00832313"/>
    <w:rsid w:val="0083246E"/>
    <w:rsid w:val="008334D6"/>
    <w:rsid w:val="00833EED"/>
    <w:rsid w:val="00837585"/>
    <w:rsid w:val="0084434C"/>
    <w:rsid w:val="008455C0"/>
    <w:rsid w:val="0084563F"/>
    <w:rsid w:val="00845B61"/>
    <w:rsid w:val="00850662"/>
    <w:rsid w:val="00853291"/>
    <w:rsid w:val="00855FA7"/>
    <w:rsid w:val="0085681D"/>
    <w:rsid w:val="00857ECC"/>
    <w:rsid w:val="00860655"/>
    <w:rsid w:val="00860D4A"/>
    <w:rsid w:val="00863FA9"/>
    <w:rsid w:val="008648FF"/>
    <w:rsid w:val="00865D66"/>
    <w:rsid w:val="0087185D"/>
    <w:rsid w:val="008730C8"/>
    <w:rsid w:val="00873C72"/>
    <w:rsid w:val="008740A0"/>
    <w:rsid w:val="00874D22"/>
    <w:rsid w:val="00880A72"/>
    <w:rsid w:val="008810F3"/>
    <w:rsid w:val="008822AD"/>
    <w:rsid w:val="00882989"/>
    <w:rsid w:val="0088567A"/>
    <w:rsid w:val="008859BC"/>
    <w:rsid w:val="00887600"/>
    <w:rsid w:val="00891F7D"/>
    <w:rsid w:val="008A1127"/>
    <w:rsid w:val="008A1461"/>
    <w:rsid w:val="008A2914"/>
    <w:rsid w:val="008A2E4E"/>
    <w:rsid w:val="008B64CB"/>
    <w:rsid w:val="008B7352"/>
    <w:rsid w:val="008C00D9"/>
    <w:rsid w:val="008C1416"/>
    <w:rsid w:val="008C22D5"/>
    <w:rsid w:val="008C515F"/>
    <w:rsid w:val="008D2ECA"/>
    <w:rsid w:val="008D4B10"/>
    <w:rsid w:val="008D4CC2"/>
    <w:rsid w:val="008D6F98"/>
    <w:rsid w:val="008E0371"/>
    <w:rsid w:val="008E2694"/>
    <w:rsid w:val="008E44BD"/>
    <w:rsid w:val="008E4D8E"/>
    <w:rsid w:val="008E6B32"/>
    <w:rsid w:val="008E7391"/>
    <w:rsid w:val="008F1E98"/>
    <w:rsid w:val="008F2AC7"/>
    <w:rsid w:val="008F3DDE"/>
    <w:rsid w:val="008F55B8"/>
    <w:rsid w:val="008F7FFC"/>
    <w:rsid w:val="00904250"/>
    <w:rsid w:val="00906BE1"/>
    <w:rsid w:val="00907438"/>
    <w:rsid w:val="00914032"/>
    <w:rsid w:val="009158AA"/>
    <w:rsid w:val="0091642E"/>
    <w:rsid w:val="00921603"/>
    <w:rsid w:val="00922B06"/>
    <w:rsid w:val="0092614A"/>
    <w:rsid w:val="00931554"/>
    <w:rsid w:val="00931EE5"/>
    <w:rsid w:val="00940731"/>
    <w:rsid w:val="00942E9A"/>
    <w:rsid w:val="00943E65"/>
    <w:rsid w:val="00944BDE"/>
    <w:rsid w:val="0095207F"/>
    <w:rsid w:val="00955FFB"/>
    <w:rsid w:val="0095607E"/>
    <w:rsid w:val="00956400"/>
    <w:rsid w:val="00956FF4"/>
    <w:rsid w:val="00957286"/>
    <w:rsid w:val="00957B98"/>
    <w:rsid w:val="009605D8"/>
    <w:rsid w:val="009606D7"/>
    <w:rsid w:val="00961622"/>
    <w:rsid w:val="00965AE2"/>
    <w:rsid w:val="00966041"/>
    <w:rsid w:val="0096720F"/>
    <w:rsid w:val="009706CB"/>
    <w:rsid w:val="00971375"/>
    <w:rsid w:val="00971D00"/>
    <w:rsid w:val="00971D68"/>
    <w:rsid w:val="00980E18"/>
    <w:rsid w:val="00993E09"/>
    <w:rsid w:val="009957C5"/>
    <w:rsid w:val="00996AEF"/>
    <w:rsid w:val="009A301B"/>
    <w:rsid w:val="009A3072"/>
    <w:rsid w:val="009A4DBF"/>
    <w:rsid w:val="009A5579"/>
    <w:rsid w:val="009B3320"/>
    <w:rsid w:val="009B4623"/>
    <w:rsid w:val="009B5048"/>
    <w:rsid w:val="009B5878"/>
    <w:rsid w:val="009B6887"/>
    <w:rsid w:val="009B7970"/>
    <w:rsid w:val="009C3882"/>
    <w:rsid w:val="009C3C55"/>
    <w:rsid w:val="009C4AA1"/>
    <w:rsid w:val="009D050A"/>
    <w:rsid w:val="009D0D09"/>
    <w:rsid w:val="009D2BE4"/>
    <w:rsid w:val="009E3C0D"/>
    <w:rsid w:val="009E3E39"/>
    <w:rsid w:val="009E7791"/>
    <w:rsid w:val="009F034F"/>
    <w:rsid w:val="009F0766"/>
    <w:rsid w:val="009F0864"/>
    <w:rsid w:val="009F0D40"/>
    <w:rsid w:val="009F41D3"/>
    <w:rsid w:val="009F59D3"/>
    <w:rsid w:val="009F6C7C"/>
    <w:rsid w:val="00A00058"/>
    <w:rsid w:val="00A03896"/>
    <w:rsid w:val="00A071C3"/>
    <w:rsid w:val="00A200E0"/>
    <w:rsid w:val="00A22E8B"/>
    <w:rsid w:val="00A250B4"/>
    <w:rsid w:val="00A27572"/>
    <w:rsid w:val="00A30A77"/>
    <w:rsid w:val="00A312DC"/>
    <w:rsid w:val="00A313A9"/>
    <w:rsid w:val="00A32434"/>
    <w:rsid w:val="00A33B70"/>
    <w:rsid w:val="00A33E48"/>
    <w:rsid w:val="00A33EB7"/>
    <w:rsid w:val="00A36CB9"/>
    <w:rsid w:val="00A3777B"/>
    <w:rsid w:val="00A40116"/>
    <w:rsid w:val="00A42598"/>
    <w:rsid w:val="00A43B15"/>
    <w:rsid w:val="00A4581A"/>
    <w:rsid w:val="00A46DE3"/>
    <w:rsid w:val="00A546BE"/>
    <w:rsid w:val="00A5534F"/>
    <w:rsid w:val="00A565C7"/>
    <w:rsid w:val="00A61F97"/>
    <w:rsid w:val="00A62D23"/>
    <w:rsid w:val="00A634A0"/>
    <w:rsid w:val="00A642FA"/>
    <w:rsid w:val="00A748FA"/>
    <w:rsid w:val="00A803C4"/>
    <w:rsid w:val="00A82F1C"/>
    <w:rsid w:val="00A85B65"/>
    <w:rsid w:val="00A93F8D"/>
    <w:rsid w:val="00A95E76"/>
    <w:rsid w:val="00AA112B"/>
    <w:rsid w:val="00AA1EA4"/>
    <w:rsid w:val="00AC295E"/>
    <w:rsid w:val="00AC3770"/>
    <w:rsid w:val="00AC5814"/>
    <w:rsid w:val="00AC74CC"/>
    <w:rsid w:val="00AC7E59"/>
    <w:rsid w:val="00AD2356"/>
    <w:rsid w:val="00AD7F1F"/>
    <w:rsid w:val="00AE0728"/>
    <w:rsid w:val="00AE192E"/>
    <w:rsid w:val="00AE3F9E"/>
    <w:rsid w:val="00AE4E1E"/>
    <w:rsid w:val="00AE4FE2"/>
    <w:rsid w:val="00AE58D0"/>
    <w:rsid w:val="00AE6F4F"/>
    <w:rsid w:val="00AE7C0B"/>
    <w:rsid w:val="00AF08F2"/>
    <w:rsid w:val="00AF4187"/>
    <w:rsid w:val="00AF4794"/>
    <w:rsid w:val="00AF6912"/>
    <w:rsid w:val="00B0280F"/>
    <w:rsid w:val="00B0565A"/>
    <w:rsid w:val="00B063A1"/>
    <w:rsid w:val="00B06703"/>
    <w:rsid w:val="00B07446"/>
    <w:rsid w:val="00B103F0"/>
    <w:rsid w:val="00B13271"/>
    <w:rsid w:val="00B134F9"/>
    <w:rsid w:val="00B14C7C"/>
    <w:rsid w:val="00B15539"/>
    <w:rsid w:val="00B20561"/>
    <w:rsid w:val="00B230BB"/>
    <w:rsid w:val="00B25D37"/>
    <w:rsid w:val="00B32476"/>
    <w:rsid w:val="00B3365B"/>
    <w:rsid w:val="00B35881"/>
    <w:rsid w:val="00B37B81"/>
    <w:rsid w:val="00B4034A"/>
    <w:rsid w:val="00B40A97"/>
    <w:rsid w:val="00B425DE"/>
    <w:rsid w:val="00B434C7"/>
    <w:rsid w:val="00B50ED7"/>
    <w:rsid w:val="00B625B1"/>
    <w:rsid w:val="00B705D2"/>
    <w:rsid w:val="00B71AFC"/>
    <w:rsid w:val="00B75D0E"/>
    <w:rsid w:val="00B76A0B"/>
    <w:rsid w:val="00B775A0"/>
    <w:rsid w:val="00B7788B"/>
    <w:rsid w:val="00B8216E"/>
    <w:rsid w:val="00B842C6"/>
    <w:rsid w:val="00B8470E"/>
    <w:rsid w:val="00B85823"/>
    <w:rsid w:val="00B906AB"/>
    <w:rsid w:val="00B90E7B"/>
    <w:rsid w:val="00B937A3"/>
    <w:rsid w:val="00B9488F"/>
    <w:rsid w:val="00B965E7"/>
    <w:rsid w:val="00B96D82"/>
    <w:rsid w:val="00BA109B"/>
    <w:rsid w:val="00BA23BB"/>
    <w:rsid w:val="00BA244D"/>
    <w:rsid w:val="00BA4815"/>
    <w:rsid w:val="00BA5BCF"/>
    <w:rsid w:val="00BB0393"/>
    <w:rsid w:val="00BB1D5A"/>
    <w:rsid w:val="00BB4934"/>
    <w:rsid w:val="00BB54B0"/>
    <w:rsid w:val="00BB66D8"/>
    <w:rsid w:val="00BC13FD"/>
    <w:rsid w:val="00BC176E"/>
    <w:rsid w:val="00BC3610"/>
    <w:rsid w:val="00BC4FE7"/>
    <w:rsid w:val="00BC52C4"/>
    <w:rsid w:val="00BD3695"/>
    <w:rsid w:val="00BD5399"/>
    <w:rsid w:val="00BD585C"/>
    <w:rsid w:val="00BE0FD8"/>
    <w:rsid w:val="00BE32DE"/>
    <w:rsid w:val="00BE5138"/>
    <w:rsid w:val="00BE567B"/>
    <w:rsid w:val="00C00E5E"/>
    <w:rsid w:val="00C017D9"/>
    <w:rsid w:val="00C04F31"/>
    <w:rsid w:val="00C056A1"/>
    <w:rsid w:val="00C104B8"/>
    <w:rsid w:val="00C10C9F"/>
    <w:rsid w:val="00C12301"/>
    <w:rsid w:val="00C145F0"/>
    <w:rsid w:val="00C146F7"/>
    <w:rsid w:val="00C14710"/>
    <w:rsid w:val="00C14D5C"/>
    <w:rsid w:val="00C2013D"/>
    <w:rsid w:val="00C2185D"/>
    <w:rsid w:val="00C266AB"/>
    <w:rsid w:val="00C26C17"/>
    <w:rsid w:val="00C34622"/>
    <w:rsid w:val="00C3622F"/>
    <w:rsid w:val="00C3685D"/>
    <w:rsid w:val="00C3731F"/>
    <w:rsid w:val="00C37740"/>
    <w:rsid w:val="00C40C01"/>
    <w:rsid w:val="00C4386D"/>
    <w:rsid w:val="00C4438B"/>
    <w:rsid w:val="00C50C85"/>
    <w:rsid w:val="00C524CE"/>
    <w:rsid w:val="00C56DE0"/>
    <w:rsid w:val="00C57A2B"/>
    <w:rsid w:val="00C61B72"/>
    <w:rsid w:val="00C629EF"/>
    <w:rsid w:val="00C6528B"/>
    <w:rsid w:val="00C6534E"/>
    <w:rsid w:val="00C66416"/>
    <w:rsid w:val="00C667DB"/>
    <w:rsid w:val="00C67956"/>
    <w:rsid w:val="00C70837"/>
    <w:rsid w:val="00C7167E"/>
    <w:rsid w:val="00C72608"/>
    <w:rsid w:val="00C72C4C"/>
    <w:rsid w:val="00C73C08"/>
    <w:rsid w:val="00C747E3"/>
    <w:rsid w:val="00C758BE"/>
    <w:rsid w:val="00C75D7C"/>
    <w:rsid w:val="00C76E7E"/>
    <w:rsid w:val="00C801EA"/>
    <w:rsid w:val="00C80B12"/>
    <w:rsid w:val="00C813C9"/>
    <w:rsid w:val="00C818BC"/>
    <w:rsid w:val="00C84885"/>
    <w:rsid w:val="00C85100"/>
    <w:rsid w:val="00C85F3F"/>
    <w:rsid w:val="00C87119"/>
    <w:rsid w:val="00C9169A"/>
    <w:rsid w:val="00C95D8D"/>
    <w:rsid w:val="00CA0959"/>
    <w:rsid w:val="00CA1AFA"/>
    <w:rsid w:val="00CA423A"/>
    <w:rsid w:val="00CA7B35"/>
    <w:rsid w:val="00CB04DB"/>
    <w:rsid w:val="00CB0A3E"/>
    <w:rsid w:val="00CB20CB"/>
    <w:rsid w:val="00CB3AB8"/>
    <w:rsid w:val="00CB3E1F"/>
    <w:rsid w:val="00CB3F98"/>
    <w:rsid w:val="00CB5A3A"/>
    <w:rsid w:val="00CB616E"/>
    <w:rsid w:val="00CB61DD"/>
    <w:rsid w:val="00CC0984"/>
    <w:rsid w:val="00CC3008"/>
    <w:rsid w:val="00CC392D"/>
    <w:rsid w:val="00CC3C41"/>
    <w:rsid w:val="00CD0397"/>
    <w:rsid w:val="00CD1AF7"/>
    <w:rsid w:val="00CD68E8"/>
    <w:rsid w:val="00CD768C"/>
    <w:rsid w:val="00CE1299"/>
    <w:rsid w:val="00CE6508"/>
    <w:rsid w:val="00CE76FF"/>
    <w:rsid w:val="00CE7755"/>
    <w:rsid w:val="00CF011D"/>
    <w:rsid w:val="00CF1374"/>
    <w:rsid w:val="00CF35BA"/>
    <w:rsid w:val="00CF57F8"/>
    <w:rsid w:val="00CF5F99"/>
    <w:rsid w:val="00CF7376"/>
    <w:rsid w:val="00D045DD"/>
    <w:rsid w:val="00D12BB5"/>
    <w:rsid w:val="00D12D0A"/>
    <w:rsid w:val="00D1794A"/>
    <w:rsid w:val="00D20381"/>
    <w:rsid w:val="00D26558"/>
    <w:rsid w:val="00D32D86"/>
    <w:rsid w:val="00D34A7B"/>
    <w:rsid w:val="00D34BED"/>
    <w:rsid w:val="00D3579D"/>
    <w:rsid w:val="00D419A7"/>
    <w:rsid w:val="00D42D5B"/>
    <w:rsid w:val="00D52489"/>
    <w:rsid w:val="00D54EB6"/>
    <w:rsid w:val="00D56975"/>
    <w:rsid w:val="00D56C39"/>
    <w:rsid w:val="00D61120"/>
    <w:rsid w:val="00D62F33"/>
    <w:rsid w:val="00D6446E"/>
    <w:rsid w:val="00D64E86"/>
    <w:rsid w:val="00D65CFB"/>
    <w:rsid w:val="00D708EA"/>
    <w:rsid w:val="00D763CC"/>
    <w:rsid w:val="00D77F5A"/>
    <w:rsid w:val="00D80DDB"/>
    <w:rsid w:val="00D816C1"/>
    <w:rsid w:val="00D837D8"/>
    <w:rsid w:val="00D8563D"/>
    <w:rsid w:val="00D86024"/>
    <w:rsid w:val="00D87E74"/>
    <w:rsid w:val="00D9060D"/>
    <w:rsid w:val="00D96D85"/>
    <w:rsid w:val="00D975AA"/>
    <w:rsid w:val="00DA1648"/>
    <w:rsid w:val="00DA2214"/>
    <w:rsid w:val="00DA3B8F"/>
    <w:rsid w:val="00DA744D"/>
    <w:rsid w:val="00DB2642"/>
    <w:rsid w:val="00DB4867"/>
    <w:rsid w:val="00DB4B20"/>
    <w:rsid w:val="00DB5830"/>
    <w:rsid w:val="00DC1A68"/>
    <w:rsid w:val="00DC2B49"/>
    <w:rsid w:val="00DC2FF2"/>
    <w:rsid w:val="00DC7883"/>
    <w:rsid w:val="00DC7E05"/>
    <w:rsid w:val="00DD0B0B"/>
    <w:rsid w:val="00DD40EE"/>
    <w:rsid w:val="00DE0714"/>
    <w:rsid w:val="00DE153E"/>
    <w:rsid w:val="00DE3927"/>
    <w:rsid w:val="00DE4159"/>
    <w:rsid w:val="00DE5D5D"/>
    <w:rsid w:val="00DE678C"/>
    <w:rsid w:val="00DE6EEA"/>
    <w:rsid w:val="00DF23C3"/>
    <w:rsid w:val="00DF4A20"/>
    <w:rsid w:val="00DF589B"/>
    <w:rsid w:val="00DF6014"/>
    <w:rsid w:val="00E0068D"/>
    <w:rsid w:val="00E01F26"/>
    <w:rsid w:val="00E03986"/>
    <w:rsid w:val="00E07235"/>
    <w:rsid w:val="00E11317"/>
    <w:rsid w:val="00E22DC4"/>
    <w:rsid w:val="00E2669D"/>
    <w:rsid w:val="00E26AB7"/>
    <w:rsid w:val="00E273C1"/>
    <w:rsid w:val="00E277D4"/>
    <w:rsid w:val="00E332EC"/>
    <w:rsid w:val="00E33C9F"/>
    <w:rsid w:val="00E353E4"/>
    <w:rsid w:val="00E35D44"/>
    <w:rsid w:val="00E40170"/>
    <w:rsid w:val="00E50D53"/>
    <w:rsid w:val="00E522C4"/>
    <w:rsid w:val="00E52827"/>
    <w:rsid w:val="00E53824"/>
    <w:rsid w:val="00E57CE8"/>
    <w:rsid w:val="00E6243B"/>
    <w:rsid w:val="00E66FE8"/>
    <w:rsid w:val="00E71A13"/>
    <w:rsid w:val="00E71AF7"/>
    <w:rsid w:val="00E71E73"/>
    <w:rsid w:val="00E7294A"/>
    <w:rsid w:val="00E739A6"/>
    <w:rsid w:val="00E74D46"/>
    <w:rsid w:val="00E75396"/>
    <w:rsid w:val="00E76EB2"/>
    <w:rsid w:val="00E817DD"/>
    <w:rsid w:val="00E845C4"/>
    <w:rsid w:val="00E855D4"/>
    <w:rsid w:val="00E919F3"/>
    <w:rsid w:val="00E937F2"/>
    <w:rsid w:val="00E963B0"/>
    <w:rsid w:val="00E96BE2"/>
    <w:rsid w:val="00E979AB"/>
    <w:rsid w:val="00EA0E5C"/>
    <w:rsid w:val="00EA18F1"/>
    <w:rsid w:val="00EA2BFD"/>
    <w:rsid w:val="00EA4DA9"/>
    <w:rsid w:val="00EA56E6"/>
    <w:rsid w:val="00EA77E2"/>
    <w:rsid w:val="00EB0D8A"/>
    <w:rsid w:val="00EB1ECD"/>
    <w:rsid w:val="00EB281F"/>
    <w:rsid w:val="00EB5A7D"/>
    <w:rsid w:val="00EB6734"/>
    <w:rsid w:val="00EB6BDF"/>
    <w:rsid w:val="00EC2288"/>
    <w:rsid w:val="00EC39BC"/>
    <w:rsid w:val="00ED1286"/>
    <w:rsid w:val="00ED4AE9"/>
    <w:rsid w:val="00ED4B07"/>
    <w:rsid w:val="00ED634A"/>
    <w:rsid w:val="00ED6776"/>
    <w:rsid w:val="00EE140B"/>
    <w:rsid w:val="00EE337B"/>
    <w:rsid w:val="00EE3CF1"/>
    <w:rsid w:val="00EE6DDE"/>
    <w:rsid w:val="00EE783A"/>
    <w:rsid w:val="00EF2AAB"/>
    <w:rsid w:val="00EF4A18"/>
    <w:rsid w:val="00EF6BDE"/>
    <w:rsid w:val="00EF6EBE"/>
    <w:rsid w:val="00EF7ACA"/>
    <w:rsid w:val="00EF7EB8"/>
    <w:rsid w:val="00F01FF2"/>
    <w:rsid w:val="00F02072"/>
    <w:rsid w:val="00F028A8"/>
    <w:rsid w:val="00F03222"/>
    <w:rsid w:val="00F03A6A"/>
    <w:rsid w:val="00F0433C"/>
    <w:rsid w:val="00F04902"/>
    <w:rsid w:val="00F06959"/>
    <w:rsid w:val="00F139C8"/>
    <w:rsid w:val="00F147B8"/>
    <w:rsid w:val="00F20D08"/>
    <w:rsid w:val="00F260A6"/>
    <w:rsid w:val="00F336AC"/>
    <w:rsid w:val="00F411AA"/>
    <w:rsid w:val="00F4455F"/>
    <w:rsid w:val="00F50966"/>
    <w:rsid w:val="00F603E8"/>
    <w:rsid w:val="00F6057B"/>
    <w:rsid w:val="00F62F9E"/>
    <w:rsid w:val="00F62FF5"/>
    <w:rsid w:val="00F658FB"/>
    <w:rsid w:val="00F66A8D"/>
    <w:rsid w:val="00F674E6"/>
    <w:rsid w:val="00F715B9"/>
    <w:rsid w:val="00F71D65"/>
    <w:rsid w:val="00F7500C"/>
    <w:rsid w:val="00F9003C"/>
    <w:rsid w:val="00F9226F"/>
    <w:rsid w:val="00F93703"/>
    <w:rsid w:val="00F95432"/>
    <w:rsid w:val="00F95CA6"/>
    <w:rsid w:val="00F965A8"/>
    <w:rsid w:val="00F96AC1"/>
    <w:rsid w:val="00F96DCD"/>
    <w:rsid w:val="00FA3315"/>
    <w:rsid w:val="00FA6763"/>
    <w:rsid w:val="00FA69C1"/>
    <w:rsid w:val="00FA6C60"/>
    <w:rsid w:val="00FB02FF"/>
    <w:rsid w:val="00FB0890"/>
    <w:rsid w:val="00FB0D3C"/>
    <w:rsid w:val="00FB3971"/>
    <w:rsid w:val="00FB7A78"/>
    <w:rsid w:val="00FC2396"/>
    <w:rsid w:val="00FC38F8"/>
    <w:rsid w:val="00FC4635"/>
    <w:rsid w:val="00FD0241"/>
    <w:rsid w:val="00FD1163"/>
    <w:rsid w:val="00FD1E41"/>
    <w:rsid w:val="00FD2364"/>
    <w:rsid w:val="00FD6440"/>
    <w:rsid w:val="00FE5C95"/>
    <w:rsid w:val="00FF13F1"/>
    <w:rsid w:val="00FF21F4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AA72CB4F-BBE9-4F18-9F5E-196B2CF8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860655"/>
    <w:pPr>
      <w:numPr>
        <w:numId w:val="1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uiPriority w:val="99"/>
    <w:semiHidden/>
    <w:unhideWhenUsed/>
    <w:rsid w:val="003B41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41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410C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2C4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C4"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sid w:val="00F66A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E522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E5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F66A8D"/>
    <w:rPr>
      <w:i/>
      <w:iCs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F66A8D"/>
    <w:pPr>
      <w:spacing w:before="0" w:after="0"/>
      <w:ind w:left="720"/>
      <w:jc w:val="left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rsid w:val="00F66A8D"/>
    <w:rPr>
      <w:rFonts w:ascii="Calibri" w:eastAsia="Calibri" w:hAnsi="Calibri" w:cs="Times New Roman"/>
      <w:lang w:val="mt-MT"/>
    </w:rPr>
  </w:style>
  <w:style w:type="paragraph" w:customStyle="1" w:styleId="Numberedtilelevel1">
    <w:name w:val="Numbered tile level 1"/>
    <w:basedOn w:val="Normal"/>
    <w:qFormat/>
    <w:rsid w:val="00F66A8D"/>
    <w:pPr>
      <w:numPr>
        <w:numId w:val="18"/>
      </w:numPr>
      <w:pBdr>
        <w:bottom w:val="single" w:sz="8" w:space="1" w:color="1F497D" w:themeColor="text2"/>
      </w:pBdr>
      <w:spacing w:before="360" w:after="600" w:line="560" w:lineRule="exact"/>
      <w:jc w:val="lef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Normal"/>
    <w:next w:val="Normal"/>
    <w:qFormat/>
    <w:rsid w:val="00F66A8D"/>
    <w:pPr>
      <w:numPr>
        <w:ilvl w:val="1"/>
        <w:numId w:val="18"/>
      </w:numPr>
      <w:spacing w:before="240" w:after="240"/>
      <w:jc w:val="left"/>
    </w:pPr>
    <w:rPr>
      <w:rFonts w:asciiTheme="majorHAnsi" w:eastAsiaTheme="majorEastAsia" w:hAnsiTheme="majorHAnsi" w:cstheme="majorBidi"/>
      <w:bCs/>
      <w:color w:val="1F497D" w:themeColor="text2"/>
      <w:sz w:val="32"/>
      <w:szCs w:val="24"/>
    </w:rPr>
  </w:style>
  <w:style w:type="paragraph" w:customStyle="1" w:styleId="Numberedtitlelevel3">
    <w:name w:val="Numbered title level 3"/>
    <w:basedOn w:val="Normal"/>
    <w:next w:val="Normal"/>
    <w:qFormat/>
    <w:rsid w:val="00F66A8D"/>
    <w:pPr>
      <w:numPr>
        <w:ilvl w:val="2"/>
        <w:numId w:val="18"/>
      </w:numPr>
      <w:spacing w:before="240" w:after="240"/>
      <w:jc w:val="left"/>
    </w:pPr>
    <w:rPr>
      <w:rFonts w:asciiTheme="minorHAnsi" w:eastAsiaTheme="minorEastAsia" w:hAnsiTheme="minorHAnsi" w:cstheme="minorBidi"/>
      <w:b/>
      <w:color w:val="1F497D" w:themeColor="text2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6A8D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66A8D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F66A8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66A8D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6A8D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6A8D"/>
    <w:pPr>
      <w:numPr>
        <w:numId w:val="23"/>
      </w:numPr>
      <w:tabs>
        <w:tab w:val="clear" w:pos="1209"/>
        <w:tab w:val="num" w:pos="360"/>
      </w:tabs>
      <w:ind w:left="0" w:firstLine="0"/>
      <w:contextualSpacing/>
    </w:pPr>
  </w:style>
  <w:style w:type="character" w:customStyle="1" w:styleId="Mention">
    <w:name w:val="Mention"/>
    <w:basedOn w:val="DefaultParagraphFont"/>
    <w:uiPriority w:val="99"/>
    <w:unhideWhenUsed/>
    <w:rsid w:val="00BB66D8"/>
    <w:rPr>
      <w:color w:val="2B579A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065C5"/>
    <w:rPr>
      <w:rFonts w:ascii="Times New Roman" w:hAnsi="Times New Roman" w:cs="Times New Roman"/>
      <w:sz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5065C5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5065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5065C5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5065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Tiret5">
    <w:name w:val="Tiret 5"/>
    <w:basedOn w:val="Point5"/>
    <w:pPr>
      <w:numPr>
        <w:numId w:val="3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4"/>
      </w:numPr>
    </w:pPr>
  </w:style>
  <w:style w:type="paragraph" w:customStyle="1" w:styleId="Point1number">
    <w:name w:val="Point 1 (number)"/>
    <w:basedOn w:val="Normal"/>
    <w:pPr>
      <w:numPr>
        <w:ilvl w:val="2"/>
        <w:numId w:val="34"/>
      </w:numPr>
    </w:pPr>
  </w:style>
  <w:style w:type="paragraph" w:customStyle="1" w:styleId="Point2number">
    <w:name w:val="Point 2 (number)"/>
    <w:basedOn w:val="Normal"/>
    <w:pPr>
      <w:numPr>
        <w:ilvl w:val="4"/>
        <w:numId w:val="34"/>
      </w:numPr>
    </w:pPr>
  </w:style>
  <w:style w:type="paragraph" w:customStyle="1" w:styleId="Point3number">
    <w:name w:val="Point 3 (number)"/>
    <w:basedOn w:val="Normal"/>
    <w:pPr>
      <w:numPr>
        <w:ilvl w:val="6"/>
        <w:numId w:val="34"/>
      </w:numPr>
    </w:pPr>
  </w:style>
  <w:style w:type="paragraph" w:customStyle="1" w:styleId="Point0letter">
    <w:name w:val="Point 0 (letter)"/>
    <w:basedOn w:val="Normal"/>
    <w:pPr>
      <w:numPr>
        <w:ilvl w:val="1"/>
        <w:numId w:val="34"/>
      </w:numPr>
    </w:pPr>
  </w:style>
  <w:style w:type="paragraph" w:customStyle="1" w:styleId="Point1letter">
    <w:name w:val="Point 1 (letter)"/>
    <w:basedOn w:val="Normal"/>
    <w:pPr>
      <w:numPr>
        <w:ilvl w:val="3"/>
        <w:numId w:val="34"/>
      </w:numPr>
    </w:pPr>
  </w:style>
  <w:style w:type="paragraph" w:customStyle="1" w:styleId="Point2letter">
    <w:name w:val="Point 2 (letter)"/>
    <w:basedOn w:val="Normal"/>
    <w:pPr>
      <w:numPr>
        <w:ilvl w:val="5"/>
        <w:numId w:val="34"/>
      </w:numPr>
    </w:pPr>
  </w:style>
  <w:style w:type="paragraph" w:customStyle="1" w:styleId="Point3letter">
    <w:name w:val="Point 3 (letter)"/>
    <w:basedOn w:val="Normal"/>
    <w:pPr>
      <w:numPr>
        <w:ilvl w:val="7"/>
        <w:numId w:val="34"/>
      </w:numPr>
    </w:pPr>
  </w:style>
  <w:style w:type="paragraph" w:customStyle="1" w:styleId="Point4letter">
    <w:name w:val="Point 4 (letter)"/>
    <w:basedOn w:val="Normal"/>
    <w:pPr>
      <w:numPr>
        <w:ilvl w:val="8"/>
        <w:numId w:val="34"/>
      </w:numPr>
    </w:pPr>
  </w:style>
  <w:style w:type="paragraph" w:customStyle="1" w:styleId="Bullet0">
    <w:name w:val="Bullet 0"/>
    <w:basedOn w:val="Normal"/>
    <w:pPr>
      <w:numPr>
        <w:numId w:val="35"/>
      </w:numPr>
    </w:pPr>
  </w:style>
  <w:style w:type="paragraph" w:customStyle="1" w:styleId="Bullet1">
    <w:name w:val="Bullet 1"/>
    <w:basedOn w:val="Normal"/>
    <w:pPr>
      <w:numPr>
        <w:numId w:val="36"/>
      </w:numPr>
    </w:pPr>
  </w:style>
  <w:style w:type="paragraph" w:customStyle="1" w:styleId="Bullet2">
    <w:name w:val="Bullet 2"/>
    <w:basedOn w:val="Normal"/>
    <w:pPr>
      <w:numPr>
        <w:numId w:val="37"/>
      </w:numPr>
    </w:pPr>
  </w:style>
  <w:style w:type="paragraph" w:customStyle="1" w:styleId="Bullet3">
    <w:name w:val="Bullet 3"/>
    <w:basedOn w:val="Normal"/>
    <w:pPr>
      <w:numPr>
        <w:numId w:val="38"/>
      </w:numPr>
    </w:pPr>
  </w:style>
  <w:style w:type="paragraph" w:customStyle="1" w:styleId="Bullet4">
    <w:name w:val="Bullet 4"/>
    <w:basedOn w:val="Normal"/>
    <w:pPr>
      <w:numPr>
        <w:numId w:val="3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65C5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5065C5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5065C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5065C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e7e27166b6ddd379314dbc4ffb647a9d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6ba0d890b3d934a84d947fa41105d8de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Props1.xml><?xml version="1.0" encoding="utf-8"?>
<ds:datastoreItem xmlns:ds="http://schemas.openxmlformats.org/officeDocument/2006/customXml" ds:itemID="{6E1D94FA-59A2-43DC-8AAF-B6910649B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60BCE-8EB3-4832-AFC2-329D9AD32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D7331-5779-4BDE-AC01-802533C7CBF4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20</TotalTime>
  <Pages>11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58</cp:revision>
  <dcterms:created xsi:type="dcterms:W3CDTF">2025-08-04T13:17:00Z</dcterms:created>
  <dcterms:modified xsi:type="dcterms:W3CDTF">2025-11-07T09:07:00Z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2025-04-09T13:33:20Z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d56551eb-b4da-4789-8514-b565db36f190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lassificationContentMarkingHeaderShapeIds">
    <vt:lpwstr>659c3784,3ef802b7,174a3d84,7b208335,5070ca0e,2b70785b</vt:lpwstr>
  </property>
  <property fmtid="{D5CDD505-2E9C-101B-9397-08002B2CF9AE}" pid="18" name="ClassificationContentMarkingHeaderFontProps">
    <vt:lpwstr>#000000,12,Aptos</vt:lpwstr>
  </property>
  <property fmtid="{D5CDD505-2E9C-101B-9397-08002B2CF9AE}" pid="19" name="ClassificationContentMarkingHeaderText">
    <vt:lpwstr>EBA Regular Use</vt:lpwstr>
  </property>
  <property fmtid="{D5CDD505-2E9C-101B-9397-08002B2CF9AE}" pid="20" name="DocStatus">
    <vt:lpwstr>Red</vt:lpwstr>
  </property>
  <property fmtid="{D5CDD505-2E9C-101B-9397-08002B2CF9AE}" pid="21" name="ContentTypeId">
    <vt:lpwstr>0x010100BAD999D84E12C74482EA5120F5227F6F00217DECAAC21D6B43958DFE68658C192E</vt:lpwstr>
  </property>
  <property fmtid="{D5CDD505-2E9C-101B-9397-08002B2CF9AE}" pid="22" name="MediaServiceImageTags">
    <vt:lpwstr/>
  </property>
  <property fmtid="{D5CDD505-2E9C-101B-9397-08002B2CF9AE}" pid="23" name="DQCStatus">
    <vt:lpwstr>Green (DQC version 03)</vt:lpwstr>
  </property>
</Properties>
</file>