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6A2204" w:rsidRDefault="005865D7" w:rsidP="005865D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6B3532C-2F72-4D2C-94F0-FEAD6BCCAD63" style="width:455.25pt;height:426pt">
            <v:imagedata r:id="rId10" o:title=""/>
          </v:shape>
        </w:pict>
      </w:r>
    </w:p>
    <w:p w:rsidR="00860655" w:rsidRPr="006A2204" w:rsidRDefault="00860655" w:rsidP="00184085">
      <w:pPr>
        <w:rPr>
          <w:noProof/>
        </w:rPr>
        <w:sectPr w:rsidR="00860655" w:rsidRPr="006A2204" w:rsidSect="005865D7">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6A2204" w:rsidRDefault="00912EF1" w:rsidP="00912EF1">
      <w:pPr>
        <w:pStyle w:val="Typedudocument"/>
        <w:rPr>
          <w:noProof/>
        </w:rPr>
      </w:pPr>
      <w:bookmarkStart w:id="0" w:name="_GoBack"/>
      <w:bookmarkEnd w:id="0"/>
      <w:r w:rsidRPr="006A2204">
        <w:rPr>
          <w:noProof/>
        </w:rPr>
        <w:lastRenderedPageBreak/>
        <w:t>KOMISJONI RAKENDUSMÄÄRUS (EL) …/…,</w:t>
      </w:r>
    </w:p>
    <w:p w:rsidR="00860655" w:rsidRPr="006A2204" w:rsidRDefault="006B19A6" w:rsidP="00912EF1">
      <w:pPr>
        <w:pStyle w:val="Datedadoption"/>
        <w:rPr>
          <w:noProof/>
        </w:rPr>
      </w:pPr>
      <w:r>
        <w:rPr>
          <w:noProof/>
        </w:rPr>
        <w:t>14.11.2025,</w:t>
      </w:r>
    </w:p>
    <w:p w:rsidR="00860655" w:rsidRPr="006A2204" w:rsidRDefault="00912EF1" w:rsidP="00912EF1">
      <w:pPr>
        <w:pStyle w:val="Titreobjet"/>
        <w:rPr>
          <w:noProof/>
        </w:rPr>
      </w:pPr>
      <w:r w:rsidRPr="006A2204">
        <w:rPr>
          <w:noProof/>
        </w:rPr>
        <w:t>millega kehtestatakse rakenduslikud tehnilised standardid seoses sellise korra ning standardvormide ja -mallidega, mida kasutatakse teabe esitamiseks eesmärgiga koostada kriisilahenduskavad krediidiasutuste ja investeerimisühingute jaoks vastavalt Euroopa Parlamendi ja nõukogu direktiivile 2014/59/EL, ning millega tunnistatakse kehtetuks komisjoni rakendusmäärus (EL) 2018/1624</w:t>
      </w:r>
    </w:p>
    <w:p w:rsidR="00860655" w:rsidRPr="006A2204" w:rsidRDefault="00912EF1" w:rsidP="00912EF1">
      <w:pPr>
        <w:pStyle w:val="IntrtEEE"/>
        <w:rPr>
          <w:noProof/>
        </w:rPr>
      </w:pPr>
      <w:r w:rsidRPr="006A2204">
        <w:rPr>
          <w:noProof/>
        </w:rPr>
        <w:t>(EMPs kohaldatav tekst)</w:t>
      </w:r>
    </w:p>
    <w:p w:rsidR="00860655" w:rsidRPr="006A2204" w:rsidRDefault="00860655" w:rsidP="00184085">
      <w:pPr>
        <w:pStyle w:val="Institutionquiagit"/>
        <w:rPr>
          <w:noProof/>
        </w:rPr>
      </w:pPr>
      <w:r w:rsidRPr="006A2204">
        <w:rPr>
          <w:noProof/>
        </w:rPr>
        <w:t>EUROOPA KOMISJON,</w:t>
      </w:r>
    </w:p>
    <w:p w:rsidR="00860655" w:rsidRPr="006A2204" w:rsidRDefault="00860655" w:rsidP="00184085">
      <w:pPr>
        <w:rPr>
          <w:noProof/>
        </w:rPr>
      </w:pPr>
      <w:r w:rsidRPr="006A2204">
        <w:rPr>
          <w:noProof/>
          <w:color w:val="000000"/>
        </w:rPr>
        <w:t>võttes arvesse Euroopa Liidu toimimise lepingut</w:t>
      </w:r>
      <w:r w:rsidRPr="006A2204">
        <w:rPr>
          <w:noProof/>
        </w:rPr>
        <w:t>,</w:t>
      </w:r>
    </w:p>
    <w:p w:rsidR="00860655" w:rsidRPr="006A2204" w:rsidRDefault="00860655" w:rsidP="00184085">
      <w:pPr>
        <w:rPr>
          <w:noProof/>
        </w:rPr>
      </w:pPr>
      <w:r w:rsidRPr="006A2204">
        <w:rPr>
          <w:noProof/>
        </w:rPr>
        <w:t>võttes arvesse Euroopa Parlamendi ja nõukogu 15. mai 2014. aasta direktiivi 2014/59/EL, millega luuakse krediidiasutuste ja investeerimisühingute finantsseisundi taastamise ja kriisilahenduse õigusraamistik ning muudetakse nõukogu direktiivi 82/891/EMÜ ning Euroopa Parlamendi ja nõukogu direktiive 2001/24/EÜ, 2002/47/EÜ, 2004/25/EÜ, 2005/56/EÜ, 2007/36/EÜ, 2011/35/EL, 2012/30/EL ja 2013/36/EL ning määruseid (EL) nr 1093/2010 ja (EL) nr 648/2012,</w:t>
      </w:r>
      <w:r w:rsidRPr="006A2204">
        <w:rPr>
          <w:rStyle w:val="FootnoteReference"/>
          <w:noProof/>
        </w:rPr>
        <w:footnoteReference w:id="2"/>
      </w:r>
      <w:r w:rsidRPr="006A2204">
        <w:rPr>
          <w:noProof/>
        </w:rPr>
        <w:t xml:space="preserve"> eriti selle artikli 11 lõiget 3,</w:t>
      </w:r>
    </w:p>
    <w:p w:rsidR="00860655" w:rsidRPr="006A2204" w:rsidRDefault="00860655" w:rsidP="00184085">
      <w:pPr>
        <w:rPr>
          <w:noProof/>
        </w:rPr>
      </w:pPr>
      <w:r w:rsidRPr="006A2204">
        <w:rPr>
          <w:noProof/>
        </w:rPr>
        <w:t>ning arvestades järgmist:</w:t>
      </w:r>
    </w:p>
    <w:p w:rsidR="00860655" w:rsidRPr="006A2204" w:rsidRDefault="007062E6" w:rsidP="007062E6">
      <w:pPr>
        <w:pStyle w:val="ManualConsidrant"/>
        <w:rPr>
          <w:noProof/>
        </w:rPr>
      </w:pPr>
      <w:r w:rsidRPr="007062E6">
        <w:rPr>
          <w:noProof/>
        </w:rPr>
        <w:t>(1)</w:t>
      </w:r>
      <w:r w:rsidRPr="007062E6">
        <w:rPr>
          <w:noProof/>
        </w:rPr>
        <w:tab/>
      </w:r>
      <w:r w:rsidR="007464B3">
        <w:rPr>
          <w:noProof/>
        </w:rPr>
        <w:t>K</w:t>
      </w:r>
      <w:r w:rsidR="00860655" w:rsidRPr="006A2204">
        <w:rPr>
          <w:noProof/>
        </w:rPr>
        <w:t>omisjoni rakendusmäärusega (EL) 2018/1624</w:t>
      </w:r>
      <w:r w:rsidR="00860655" w:rsidRPr="006A2204">
        <w:rPr>
          <w:rStyle w:val="FootnoteReference"/>
          <w:noProof/>
        </w:rPr>
        <w:footnoteReference w:id="3"/>
      </w:r>
      <w:r w:rsidR="00860655" w:rsidRPr="006A2204">
        <w:rPr>
          <w:noProof/>
        </w:rPr>
        <w:t xml:space="preserve"> on nähtud ette kord ja kehtestatud minimaalne vormide komplekt, mida krediidiasutused ja investeerimisühingud peavad kasutama kriisilahendusasutustele teabe esitamiseks asutuste kriisilahenduskavade koostamise ja rakendamise eesmärgil. Pärast selle määruse vastuvõtmist on kriisilahendusasutused omandanud kogemusi kriisilahenduse kavandamise valdkonnas ning direktiivi 2014/59/EL on muudetud. Neid kogemusi arvestades ja nimetatud direktiivi uusi sätteid arvesse võttes on vaja ajakohastada minimaalset vormide komplekti, mis on mõeldud kriisilahenduskavade koostamise eesmärgil teabe kogumiseks.</w:t>
      </w:r>
    </w:p>
    <w:p w:rsidR="003B410C" w:rsidRPr="006A2204" w:rsidRDefault="007062E6" w:rsidP="007062E6">
      <w:pPr>
        <w:pStyle w:val="ManualConsidrant"/>
        <w:rPr>
          <w:noProof/>
        </w:rPr>
      </w:pPr>
      <w:r w:rsidRPr="007062E6">
        <w:rPr>
          <w:noProof/>
        </w:rPr>
        <w:t>(2)</w:t>
      </w:r>
      <w:r w:rsidRPr="007062E6">
        <w:rPr>
          <w:noProof/>
        </w:rPr>
        <w:tab/>
      </w:r>
      <w:r w:rsidR="003B410C" w:rsidRPr="006A2204">
        <w:rPr>
          <w:noProof/>
        </w:rPr>
        <w:t>Rakendusmäärusega (EL) 2018/1624 on sätestatud kord ja minimaalne vormide komplekt, et asutused saaksid esitada kriisilahendusasutustele teavet viisil, mis võimaldab kriisilahendusasutustel seda teavet kõikjal liidus järjepidevalt koguda ning hõlbustab teabevahetust asjaomaste ametiasutuste hulgas. Samas on kogemused näidanud, et ühtlustatud lähenemine selle teabe kogumisele on saavutatud üksnes osaliselt. Seepärast tuleb kõnealune rakendusmäärus läbi vaadata, et saavutada kõikjal liidus aruandluskohustuste suurem ühtlus läbivaadatud vormide komplekti abil, mis on kriisilahendusasutuste vajadustega järjepidevalt paremini vastavuses. See ei tohiks takistada kriisilahendusasutusi kogumast mis tahes lisaandmeid, mida nad peavad vajalikuks, et koostada ja rakendada kriisilahenduskavasid või kehtestada lihtsustatud teavitamiskohustusi kooskõlas direktiivi 2014/59/EL artikliga 4.</w:t>
      </w:r>
    </w:p>
    <w:p w:rsidR="003B410C" w:rsidRPr="006A2204" w:rsidRDefault="007062E6" w:rsidP="007062E6">
      <w:pPr>
        <w:pStyle w:val="ManualConsidrant"/>
        <w:rPr>
          <w:noProof/>
        </w:rPr>
      </w:pPr>
      <w:r w:rsidRPr="007062E6">
        <w:rPr>
          <w:noProof/>
        </w:rPr>
        <w:t>(3)</w:t>
      </w:r>
      <w:r w:rsidRPr="007062E6">
        <w:rPr>
          <w:noProof/>
        </w:rPr>
        <w:tab/>
      </w:r>
      <w:r w:rsidR="003B410C" w:rsidRPr="006A2204">
        <w:rPr>
          <w:noProof/>
        </w:rPr>
        <w:t>Tagamaks, et konsolideerimisgrupi kriisilahenduse kava katab reaalselt kogu asjaomast konsolideerimisgruppi, ei tohiks liidus tegutsevate emaettevõtjate suhtes kehtestatud aruandekohustus olla piiratud üksnes kriisilahendussubjektidega, vaid peaks puudutama ka muid asjaomaseid juriidilisi isikuid. Asjaomasus peaks sealjuures olema piisavalt piiritletud, et välistada aruandlus üksuste puhul, mis ei ole konsolideerimisgrupi jaoks asjaomased või süsteemi seisukohast olulised. Seda silmas pidades tuleks sätestada künnised, mille põhjal teha kindlaks konsolideerimisgrupi need juriidilised isikud, mille suhtes tuleks kehtestada kriisilahenduse aruandluse nõuded. Lisaks on direktiivi 2014/59/EL muudetud Euroopa Parlamendi ja nõukogu direktiiviga (EL) 2024/1174</w:t>
      </w:r>
      <w:r w:rsidR="003B410C" w:rsidRPr="006A2204">
        <w:rPr>
          <w:rStyle w:val="FootnoteReference"/>
          <w:noProof/>
        </w:rPr>
        <w:footnoteReference w:id="4"/>
      </w:r>
      <w:r w:rsidR="003B410C" w:rsidRPr="006A2204">
        <w:rPr>
          <w:noProof/>
        </w:rPr>
        <w:t>, millega muu hulgas lisati mõiste „likvideerimissubjekt“ määratlus. Seda uut määratlust silmas pidades on vaja eristada likvideerimissubjektide, kriisilahendussubjektide ja kriisilahenduse gruppi kuuluvate üksuste suhtes kehtivaid kriisilahenduse aruandluse nõudeid. Eeskätt on vaja täpsustada aruandluskohustusi, võttes arvesse, kas asjaomased üksused on eraldiseisvad üksused või kuuluvad nad mõnda gruppi ning kas on kindlaks tehtud, et sellised üksused või grupid on likvideerimissubjektid või sisaldavad üksusi, mis on likvideerimissubjektid. Sellised aruandekohustused tuleks ette näha individuaalsel, allkonsolideeritud või konsolideeritud tasandil ning viisil, mis tagab proportsionaalsuse, ei kahjusta toimiva kriisilahenduse kavandamist, vabastab üksused eri asutuste paralleelselt toimuvast andmete kogumisest ja kõrvaldab andmepunktid, mis kattuvad järelevalvelise aruandluse raamistikega. Selle eesmärgi saavutamiseks tuleks rakendada lähenemisviisi, mille korral vormide arv varieerub olenevalt asjaomase aruandva üksuse liigist. Eriti tuleks tähelepanu pöörata kriisilahendusalustele gruppidele, mis koosnevad keskasutusega alaliselt seotud krediidiasutustest ja keskasutusest endast, et oleks tagatud. et kriisilahenduse aruandlus katab reaalselt kõiki selle kriisilahendusaluse grupi keskasutusega alaliselt seotud krediidiasutusi, keskasutust ennast ja nende vastavaid tütarettevõtjaid individuaalsel, allkonsolideeritud ja konsolideeritud tasandil.</w:t>
      </w:r>
    </w:p>
    <w:p w:rsidR="003B410C" w:rsidRPr="006A2204" w:rsidRDefault="007062E6" w:rsidP="007062E6">
      <w:pPr>
        <w:pStyle w:val="ManualConsidrant"/>
        <w:rPr>
          <w:noProof/>
        </w:rPr>
      </w:pPr>
      <w:r w:rsidRPr="007062E6">
        <w:rPr>
          <w:noProof/>
        </w:rPr>
        <w:t>(4)</w:t>
      </w:r>
      <w:r w:rsidRPr="007062E6">
        <w:rPr>
          <w:noProof/>
        </w:rPr>
        <w:tab/>
      </w:r>
      <w:r w:rsidR="003B410C" w:rsidRPr="006A2204">
        <w:rPr>
          <w:noProof/>
        </w:rPr>
        <w:t>Kriisilahenduse kavandamise tõhususe tagamine nii, et sealjuures säiliks proportsionaalsus, võib tähendada, et kriisilahenduse aruandluse nõuete ulatus peab erinema usaldatavusnõuete kohta käiva aruandluse nõuete ulatusest, kui see on vajalik, et kriisilahendusasutustele oleks tagatud nende ülesannete täitmiseks piisavad ja usaldusväärsed andmed. Seoses sellega on vaja tagada, et kriisilahenduse aruandlust ei takistaks usaldatavusnõuetega seotud vabastused ega asjaolu, et kriisilahendusaluste gruppide suhtes ei kohaldata usaldatavusnõuete kohase konsolideerimise nõudeid.</w:t>
      </w:r>
    </w:p>
    <w:p w:rsidR="003B410C" w:rsidRPr="006A2204" w:rsidRDefault="007062E6" w:rsidP="007062E6">
      <w:pPr>
        <w:pStyle w:val="ManualConsidrant"/>
        <w:rPr>
          <w:noProof/>
        </w:rPr>
      </w:pPr>
      <w:r w:rsidRPr="007062E6">
        <w:rPr>
          <w:noProof/>
        </w:rPr>
        <w:t>(5)</w:t>
      </w:r>
      <w:r w:rsidRPr="007062E6">
        <w:rPr>
          <w:noProof/>
        </w:rPr>
        <w:tab/>
      </w:r>
      <w:r w:rsidR="00012E4C" w:rsidRPr="006A2204">
        <w:rPr>
          <w:noProof/>
        </w:rPr>
        <w:t>Tagamaks, et kriisilahenduse kavad põhinevad minimaalsel andmekogumil, mis on püsivalt kvaliteetne ja täpne, tuleks kasutusele võtta ühtne andmepunkti mudel, mida kasutatakse juba järelevalvelises aruandluses. Ühtne andmepunktide mudel peaks hõlmama andmekirjete struktuurset esitusviisi ja tegema kindlaks kõik asjakohased ärikontseptsioonid ühtse aruandluse tagamiseks kriisilahenduskavade koostamise eesmärgil ning sisaldama kõiki asjakohaseid kirjeldusi, mida on vaja ühtsete IT-aruandluslahenduste edasiseks arendamiseks.</w:t>
      </w:r>
    </w:p>
    <w:p w:rsidR="003B410C" w:rsidRPr="006A2204" w:rsidRDefault="007062E6" w:rsidP="007062E6">
      <w:pPr>
        <w:pStyle w:val="ManualConsidrant"/>
        <w:rPr>
          <w:noProof/>
        </w:rPr>
      </w:pPr>
      <w:r w:rsidRPr="007062E6">
        <w:rPr>
          <w:noProof/>
        </w:rPr>
        <w:t>(6)</w:t>
      </w:r>
      <w:r w:rsidRPr="007062E6">
        <w:rPr>
          <w:noProof/>
        </w:rPr>
        <w:tab/>
      </w:r>
      <w:r w:rsidR="00980E18" w:rsidRPr="006A2204">
        <w:rPr>
          <w:noProof/>
        </w:rPr>
        <w:t>Selleks et tagada asutuste esitatud andmekirjete kvaliteet, järjepidevus ja täpsus, tuleks andmekirjete suhtes kohaldada ühiseid valideerimiseeskirju.</w:t>
      </w:r>
    </w:p>
    <w:p w:rsidR="003B410C" w:rsidRPr="006A2204" w:rsidRDefault="007062E6" w:rsidP="007062E6">
      <w:pPr>
        <w:pStyle w:val="ManualConsidrant"/>
        <w:rPr>
          <w:noProof/>
        </w:rPr>
      </w:pPr>
      <w:r w:rsidRPr="007062E6">
        <w:rPr>
          <w:noProof/>
        </w:rPr>
        <w:t>(7)</w:t>
      </w:r>
      <w:r w:rsidRPr="007062E6">
        <w:rPr>
          <w:noProof/>
        </w:rPr>
        <w:tab/>
      </w:r>
      <w:r w:rsidR="003B410C" w:rsidRPr="006A2204">
        <w:rPr>
          <w:noProof/>
        </w:rPr>
        <w:t>Tulenevalt nende laadist ajakohastatakse valideerimiseeskirju ja andmepunkti määratlusi korrapäraselt, tagamaks, et need vastavad kohaldatavatele regulatiivsetele, analüüsi- ja infotehnoloogianõuetele igal ajal. Arvestades aega, mis praegu kulub üksikasjaliku ühtse andmepunktide mudeli ja valideerimiseeskirjade vastuvõtmiseks ja avaldamiseks, ei ole muudatusi võimalik teha piisavalt kiiresti ja õigel ajal, nii et liidus oleks tagatud kriisilahenduskavasid käsitleva ühtse teabe pidev esitamine. Seepärast tuleks kehtestada ranged kvalitatiivsed kriteeriumid üksikasjaliku ühtse andmepunktide mudeli jaoks ja üksikasjalikud ühised valideerimiseeskirjad, mille Euroopa Pangandusjärelevalve (EBA) oma veebisaidil elektrooniliselt avaldab. Eespool öeldu ei välista võimalust, et ka EBA võib oma veebisaidil avaldada tehnilisi juhendeid käesolevas määruses sätestatud vormide ja mallide täitmise kohta.</w:t>
      </w:r>
    </w:p>
    <w:p w:rsidR="003B410C" w:rsidRPr="006A2204" w:rsidRDefault="007062E6" w:rsidP="007062E6">
      <w:pPr>
        <w:pStyle w:val="ManualConsidrant"/>
        <w:rPr>
          <w:noProof/>
        </w:rPr>
      </w:pPr>
      <w:r w:rsidRPr="007062E6">
        <w:rPr>
          <w:noProof/>
        </w:rPr>
        <w:t>(8)</w:t>
      </w:r>
      <w:r w:rsidRPr="007062E6">
        <w:rPr>
          <w:noProof/>
        </w:rPr>
        <w:tab/>
      </w:r>
      <w:r w:rsidR="003B410C" w:rsidRPr="006A2204">
        <w:rPr>
          <w:noProof/>
        </w:rPr>
        <w:t>Direktiivi 2014/59/EL artikli 11 lõige 2 kohustab pädevaid asutusi ja kriisilahendusasutusi tegema koostööd, et minimeerida dubleerivaid teabenõudeid. Sel eesmärgil kehtestati rakendusmäärusega (EL) 2018/1624 pädevate asutuste ja kriisilahendusasutuste vahelise koostöö kord, mida tuleks hoida sellisena, et pädevad asutused ja kriisilahendusasutused kontrollivad üheskoos, kas osa nõutud teabest või kogu nõutud teave on pädevale asutusele juba kättesaadav. Kui teave on pädevale asutusele kättesaadav, on asjakohane, et ta edastab selle otse kriisilahendusasutusele.</w:t>
      </w:r>
    </w:p>
    <w:p w:rsidR="003B410C" w:rsidRPr="006A2204" w:rsidRDefault="007062E6" w:rsidP="007062E6">
      <w:pPr>
        <w:pStyle w:val="ManualConsidrant"/>
        <w:rPr>
          <w:noProof/>
        </w:rPr>
      </w:pPr>
      <w:r w:rsidRPr="007062E6">
        <w:rPr>
          <w:noProof/>
        </w:rPr>
        <w:t>(9)</w:t>
      </w:r>
      <w:r w:rsidRPr="007062E6">
        <w:rPr>
          <w:noProof/>
        </w:rPr>
        <w:tab/>
      </w:r>
      <w:r w:rsidR="003B410C" w:rsidRPr="006A2204">
        <w:rPr>
          <w:noProof/>
        </w:rPr>
        <w:t>Võttes arvesse rakendusmääruse (EL) 2018/1624 muudatuste ulatust, on õiguskindluse ja selguse huvides otstarbekas võtta vastu uus rakendusmäärus ning seega tunnistada rakendusmäärus (EL) 2018/1624 kehtetuks ja asendada see.</w:t>
      </w:r>
    </w:p>
    <w:p w:rsidR="003B410C" w:rsidRPr="006A2204" w:rsidRDefault="007062E6" w:rsidP="007062E6">
      <w:pPr>
        <w:pStyle w:val="ManualConsidrant"/>
        <w:rPr>
          <w:noProof/>
        </w:rPr>
      </w:pPr>
      <w:r w:rsidRPr="007062E6">
        <w:rPr>
          <w:noProof/>
        </w:rPr>
        <w:t>(10)</w:t>
      </w:r>
      <w:r w:rsidRPr="007062E6">
        <w:rPr>
          <w:noProof/>
        </w:rPr>
        <w:tab/>
      </w:r>
      <w:r w:rsidR="003B410C" w:rsidRPr="006A2204">
        <w:rPr>
          <w:noProof/>
        </w:rPr>
        <w:t>Käesolev määrus põhineb EBA poolt komisjonile esitatud rakenduslikel tehnilistel standarditel.</w:t>
      </w:r>
    </w:p>
    <w:p w:rsidR="00860655" w:rsidRPr="006A2204" w:rsidRDefault="007062E6" w:rsidP="007062E6">
      <w:pPr>
        <w:pStyle w:val="ManualConsidrant"/>
        <w:rPr>
          <w:noProof/>
        </w:rPr>
      </w:pPr>
      <w:r w:rsidRPr="007062E6">
        <w:rPr>
          <w:noProof/>
        </w:rPr>
        <w:t>(11)</w:t>
      </w:r>
      <w:r w:rsidRPr="007062E6">
        <w:rPr>
          <w:noProof/>
        </w:rPr>
        <w:tab/>
      </w:r>
      <w:r w:rsidR="003B410C" w:rsidRPr="006A2204">
        <w:rPr>
          <w:noProof/>
        </w:rPr>
        <w:t>EBA on korraldanud käesoleva määruse aluseks olevate rakenduslike tehniliste standardite kohta avalikud konsultatsioonid, analüüsinud potentsiaalseid seonduvaid kulusid ja kasu ning küsinud nõu Euroopa Parlamendi ja nõukogu määruse (EL) nr 1093/2010</w:t>
      </w:r>
      <w:r w:rsidR="003B410C" w:rsidRPr="006A2204">
        <w:rPr>
          <w:rStyle w:val="FootnoteReference"/>
          <w:noProof/>
        </w:rPr>
        <w:footnoteReference w:id="5"/>
      </w:r>
      <w:r w:rsidR="003B410C" w:rsidRPr="006A2204">
        <w:rPr>
          <w:noProof/>
        </w:rPr>
        <w:t xml:space="preserve"> artikli 37 kohaselt loodud pangandussektori sidusrühmade kogult,</w:t>
      </w:r>
    </w:p>
    <w:p w:rsidR="00860655" w:rsidRPr="006A2204" w:rsidRDefault="00860655" w:rsidP="00184085">
      <w:pPr>
        <w:pStyle w:val="Formuledadoption"/>
        <w:rPr>
          <w:noProof/>
        </w:rPr>
      </w:pPr>
      <w:r w:rsidRPr="006A2204">
        <w:rPr>
          <w:noProof/>
        </w:rPr>
        <w:t>ON VASTU VÕTNUD KÄESOLEVA MÄÄRUSE:</w:t>
      </w:r>
    </w:p>
    <w:p w:rsidR="00860655" w:rsidRPr="006A2204" w:rsidRDefault="00860655" w:rsidP="00184085">
      <w:pPr>
        <w:pStyle w:val="Titrearticle"/>
        <w:rPr>
          <w:noProof/>
        </w:rPr>
      </w:pPr>
      <w:r w:rsidRPr="006A2204">
        <w:rPr>
          <w:noProof/>
        </w:rPr>
        <w:t>Artikkel 1</w:t>
      </w:r>
    </w:p>
    <w:p w:rsidR="00860655" w:rsidRPr="006A2204" w:rsidRDefault="003B410C" w:rsidP="00184085">
      <w:pPr>
        <w:pStyle w:val="Titrearticle"/>
        <w:rPr>
          <w:noProof/>
        </w:rPr>
      </w:pPr>
      <w:r w:rsidRPr="006A2204">
        <w:rPr>
          <w:b/>
          <w:i w:val="0"/>
          <w:noProof/>
        </w:rPr>
        <w:t>Määratlus</w:t>
      </w:r>
    </w:p>
    <w:p w:rsidR="003B410C" w:rsidRPr="006A2204" w:rsidRDefault="003B410C" w:rsidP="00184085">
      <w:pPr>
        <w:rPr>
          <w:noProof/>
        </w:rPr>
      </w:pPr>
      <w:r w:rsidRPr="006A2204">
        <w:rPr>
          <w:noProof/>
        </w:rPr>
        <w:t>Käesolevas määruses kasutatakse mõistet „asjaomane juriidiline isik“, mis tähendab direktiivi 2014/59/EL artikli 2 lõike 1 punktis 31 määratletud konsolideerimisgrupi ettevõtjat, välja arvatud kriisilahendussubjekti, mis on asutatud liidus ja vastab mõnele järgmistest tingimustest:</w:t>
      </w:r>
    </w:p>
    <w:p w:rsidR="003B410C" w:rsidRPr="006A2204" w:rsidRDefault="007062E6" w:rsidP="007062E6">
      <w:pPr>
        <w:pStyle w:val="Point0"/>
        <w:rPr>
          <w:noProof/>
        </w:rPr>
      </w:pPr>
      <w:r w:rsidRPr="007062E6">
        <w:rPr>
          <w:noProof/>
        </w:rPr>
        <w:t>(a)</w:t>
      </w:r>
      <w:r w:rsidRPr="007062E6">
        <w:rPr>
          <w:noProof/>
        </w:rPr>
        <w:tab/>
      </w:r>
      <w:r w:rsidR="003B410C" w:rsidRPr="006A2204">
        <w:rPr>
          <w:noProof/>
        </w:rPr>
        <w:t>see täidab kriitilisi funktsioone;</w:t>
      </w:r>
    </w:p>
    <w:p w:rsidR="003B410C" w:rsidRPr="006A2204" w:rsidRDefault="007062E6" w:rsidP="007062E6">
      <w:pPr>
        <w:pStyle w:val="Point0"/>
        <w:rPr>
          <w:noProof/>
        </w:rPr>
      </w:pPr>
      <w:r w:rsidRPr="007062E6">
        <w:rPr>
          <w:noProof/>
        </w:rPr>
        <w:t>(b)</w:t>
      </w:r>
      <w:r w:rsidRPr="007062E6">
        <w:rPr>
          <w:noProof/>
        </w:rPr>
        <w:tab/>
      </w:r>
      <w:r w:rsidR="003B410C" w:rsidRPr="006A2204">
        <w:rPr>
          <w:noProof/>
        </w:rPr>
        <w:t>selle individuaalne koguriskipositsioon, mis on arvutatud vastavalt Euroopa Parlamendi ja nõukogu määruse (EL) nr 575/2013</w:t>
      </w:r>
      <w:r w:rsidR="003B410C" w:rsidRPr="006A2204">
        <w:rPr>
          <w:rStyle w:val="FootnoteReference"/>
          <w:noProof/>
        </w:rPr>
        <w:footnoteReference w:id="6"/>
      </w:r>
      <w:r w:rsidR="003B410C" w:rsidRPr="006A2204">
        <w:rPr>
          <w:noProof/>
        </w:rPr>
        <w:t xml:space="preserve"> artikli 92 lõikele 3, on vähemalt 2 % liidus tegutseva emaettevõtja konsolideeritud koguriskipositsioonist;</w:t>
      </w:r>
    </w:p>
    <w:p w:rsidR="003B410C" w:rsidRPr="006A2204" w:rsidRDefault="007062E6" w:rsidP="007062E6">
      <w:pPr>
        <w:pStyle w:val="Point0"/>
        <w:rPr>
          <w:noProof/>
        </w:rPr>
      </w:pPr>
      <w:r w:rsidRPr="007062E6">
        <w:rPr>
          <w:noProof/>
        </w:rPr>
        <w:t>(c)</w:t>
      </w:r>
      <w:r w:rsidRPr="007062E6">
        <w:rPr>
          <w:noProof/>
        </w:rPr>
        <w:tab/>
      </w:r>
      <w:r w:rsidR="003B410C" w:rsidRPr="006A2204">
        <w:rPr>
          <w:noProof/>
        </w:rPr>
        <w:t>selle individuaalne koguriskipositsiooni näitaja, millele on osutatud määruse (EL) nr 575/2013 artikli 429 lõikes 4, on vähemalt 2 % liidus tegutseva emaettevõtja konsolideeritud koguriskipositsiooni näitajast;</w:t>
      </w:r>
    </w:p>
    <w:p w:rsidR="003B410C" w:rsidRPr="006A2204" w:rsidRDefault="007062E6" w:rsidP="007062E6">
      <w:pPr>
        <w:pStyle w:val="Point0"/>
        <w:rPr>
          <w:noProof/>
        </w:rPr>
      </w:pPr>
      <w:r w:rsidRPr="007062E6">
        <w:rPr>
          <w:noProof/>
        </w:rPr>
        <w:t>(d)</w:t>
      </w:r>
      <w:r w:rsidRPr="007062E6">
        <w:rPr>
          <w:noProof/>
        </w:rPr>
        <w:tab/>
      </w:r>
      <w:r w:rsidR="003B410C" w:rsidRPr="006A2204">
        <w:rPr>
          <w:noProof/>
        </w:rPr>
        <w:t>selle individuaalne tegevustulu on vähemalt 2 % liidus tegutseva emaettevõtja tasandil arvutatud grupi konsolideeritud tegevuskulust kokku;</w:t>
      </w:r>
    </w:p>
    <w:p w:rsidR="003B410C" w:rsidRPr="006A2204" w:rsidRDefault="007062E6" w:rsidP="007062E6">
      <w:pPr>
        <w:pStyle w:val="Point0"/>
        <w:rPr>
          <w:noProof/>
        </w:rPr>
      </w:pPr>
      <w:r w:rsidRPr="007062E6">
        <w:rPr>
          <w:noProof/>
        </w:rPr>
        <w:t>(e)</w:t>
      </w:r>
      <w:r w:rsidRPr="007062E6">
        <w:rPr>
          <w:noProof/>
        </w:rPr>
        <w:tab/>
      </w:r>
      <w:r w:rsidR="003B410C" w:rsidRPr="006A2204">
        <w:rPr>
          <w:noProof/>
        </w:rPr>
        <w:t>selle individuaalse vara koguväärtus on üle 5 miljardi euro;</w:t>
      </w:r>
    </w:p>
    <w:p w:rsidR="008F1E98" w:rsidRPr="006A2204" w:rsidRDefault="007062E6" w:rsidP="007062E6">
      <w:pPr>
        <w:pStyle w:val="Point0"/>
        <w:rPr>
          <w:noProof/>
        </w:rPr>
      </w:pPr>
      <w:r w:rsidRPr="007062E6">
        <w:rPr>
          <w:noProof/>
        </w:rPr>
        <w:t>(f)</w:t>
      </w:r>
      <w:r w:rsidRPr="007062E6">
        <w:rPr>
          <w:noProof/>
        </w:rPr>
        <w:tab/>
      </w:r>
      <w:r w:rsidR="003B410C" w:rsidRPr="006A2204">
        <w:rPr>
          <w:noProof/>
        </w:rPr>
        <w:t>see on oluline vähemalt ühe liikmesriigi finantsstabiilsuse jaoks.</w:t>
      </w:r>
    </w:p>
    <w:p w:rsidR="00A803C4" w:rsidRPr="006A2204" w:rsidRDefault="008F1E98" w:rsidP="00184085">
      <w:pPr>
        <w:pStyle w:val="Text1"/>
        <w:rPr>
          <w:noProof/>
        </w:rPr>
      </w:pPr>
      <w:r w:rsidRPr="006A2204">
        <w:rPr>
          <w:noProof/>
        </w:rPr>
        <w:t>Rohkem kui üht kriisilahendussubjekti sisaldava grupi puhul peetakse isikut punkti b kohaldamisel asjaomaseks juriidiliseks isikuks, kui selle individuaalne koguriskipositsioon on vähemalt 2 % kriisilahendussubjekti koguriskipositsioonist kriisilahendusaluse grupi konsolideeritud tasandil.</w:t>
      </w:r>
    </w:p>
    <w:p w:rsidR="008F1E98" w:rsidRPr="006A2204" w:rsidRDefault="008F1E98" w:rsidP="00184085">
      <w:pPr>
        <w:pStyle w:val="Text1"/>
        <w:rPr>
          <w:noProof/>
        </w:rPr>
      </w:pPr>
      <w:r w:rsidRPr="006A2204">
        <w:rPr>
          <w:noProof/>
        </w:rPr>
        <w:t>Rohkem kui üht kriisilahendussubjekti sisaldava grupi puhul peetakse isikut punkti c kohaldamisel asjaomaseks juriidiliseks isikuks, kui selle individuaalne koguriskipositsiooni näitaja on vähemalt 2 % kriisilahendussubjekti koguriskipositsiooni näitajast kriisilahendusaluse grupi konsolideeritud tasandil.</w:t>
      </w:r>
    </w:p>
    <w:p w:rsidR="003B410C" w:rsidRPr="006A2204" w:rsidRDefault="003B410C" w:rsidP="00184085">
      <w:pPr>
        <w:pStyle w:val="Titrearticle"/>
        <w:rPr>
          <w:noProof/>
        </w:rPr>
      </w:pPr>
      <w:r w:rsidRPr="006A2204">
        <w:rPr>
          <w:noProof/>
        </w:rPr>
        <w:t>A</w:t>
      </w:r>
      <w:bookmarkStart w:id="1" w:name="_Hlk168321151"/>
      <w:r w:rsidRPr="006A2204">
        <w:rPr>
          <w:noProof/>
        </w:rPr>
        <w:t>rtikkel 2</w:t>
      </w:r>
    </w:p>
    <w:p w:rsidR="003B410C" w:rsidRPr="006A2204" w:rsidRDefault="003B410C" w:rsidP="00184085">
      <w:pPr>
        <w:pStyle w:val="Titrearticle"/>
        <w:spacing w:before="0"/>
        <w:rPr>
          <w:b/>
          <w:bCs/>
          <w:i w:val="0"/>
          <w:iCs/>
          <w:noProof/>
        </w:rPr>
      </w:pPr>
      <w:r w:rsidRPr="006A2204">
        <w:rPr>
          <w:b/>
          <w:i w:val="0"/>
          <w:noProof/>
        </w:rPr>
        <w:t>Selliste asutuste kriisilahenduse aruandlus, mis ei kuulu direktiivi 2013/36/EL artiklite 111 ja 112 kohase konsolideeritud järelevalve all olevasse gruppi</w:t>
      </w:r>
      <w:bookmarkEnd w:id="1"/>
    </w:p>
    <w:p w:rsidR="003B410C" w:rsidRPr="006A2204" w:rsidRDefault="007062E6" w:rsidP="007062E6">
      <w:pPr>
        <w:pStyle w:val="ManualNumPar1"/>
        <w:rPr>
          <w:noProof/>
        </w:rPr>
      </w:pPr>
      <w:r w:rsidRPr="007062E6">
        <w:rPr>
          <w:noProof/>
        </w:rPr>
        <w:t>1.</w:t>
      </w:r>
      <w:r w:rsidRPr="007062E6">
        <w:rPr>
          <w:noProof/>
        </w:rPr>
        <w:tab/>
      </w:r>
      <w:r w:rsidR="005E4DBA" w:rsidRPr="006A2204">
        <w:rPr>
          <w:noProof/>
        </w:rPr>
        <w:t>Kriisilahendussubjekt, kes ei kuulu Euroopa Parlamendi ja nõukogu direktiivi 2013/36/EL</w:t>
      </w:r>
      <w:r w:rsidR="005E4DBA" w:rsidRPr="006A2204">
        <w:rPr>
          <w:rStyle w:val="FootnoteReference"/>
          <w:noProof/>
        </w:rPr>
        <w:footnoteReference w:id="7"/>
      </w:r>
      <w:r w:rsidR="005E4DBA" w:rsidRPr="006A2204">
        <w:rPr>
          <w:noProof/>
        </w:rPr>
        <w:t xml:space="preserve"> artiklite 111 ja 112 kohase konsolideeritud järelevalve all olevasse gruppi, esitab kriisilahendusasutusele individuaalselt teabe, mis on kindlaks määratud kõigis käesoleva määruse I lisas esitatud vormides, välja arvatud teabe, millele osutatakse vormides Z 01.01, Z 04.00, Z 07.02, Z 07.03 ja Z 11.00.</w:t>
      </w:r>
    </w:p>
    <w:p w:rsidR="003B410C" w:rsidRPr="006A2204" w:rsidRDefault="007062E6" w:rsidP="007062E6">
      <w:pPr>
        <w:pStyle w:val="ManualNumPar1"/>
        <w:rPr>
          <w:noProof/>
        </w:rPr>
      </w:pPr>
      <w:r w:rsidRPr="007062E6">
        <w:rPr>
          <w:noProof/>
        </w:rPr>
        <w:t>2.</w:t>
      </w:r>
      <w:r w:rsidRPr="007062E6">
        <w:rPr>
          <w:noProof/>
        </w:rPr>
        <w:tab/>
      </w:r>
      <w:r w:rsidR="0017578A" w:rsidRPr="006A2204">
        <w:rPr>
          <w:noProof/>
        </w:rPr>
        <w:t>Likvideerimissubjektid, kelle suhtes ei kohaldata lihtsustatud kohustusi, kes ei kuulu direktiivi 2013/36/EL artiklite 111 ja 112 kohase konsolideeritud järelevalve all olevasse gruppi ja kelle puhul kriisilahendusasutus ei ole direktiivi 2014/59/EL artikli 45 lõikes 1 osutatud nõuet vastavalt kõnealuse direktiivi artikli 45c lõike 2 punktile a kindlaks määranud, esitab kriisilahendusasutusele individuaalselt teabe, mis on kindlaks määratud käesoleva määruse I lisas esitatud vormides Z 01.02, Z 02.00, Z 05.01, Z 05.02, Z 06.00, Z 07.01.1 kuni Z 07.01.5, Z 07.04 ja Z 09.01.</w:t>
      </w:r>
    </w:p>
    <w:p w:rsidR="003B410C" w:rsidRPr="006A2204" w:rsidRDefault="007062E6" w:rsidP="007062E6">
      <w:pPr>
        <w:pStyle w:val="ManualNumPar1"/>
        <w:rPr>
          <w:noProof/>
        </w:rPr>
      </w:pPr>
      <w:r w:rsidRPr="007062E6">
        <w:rPr>
          <w:noProof/>
        </w:rPr>
        <w:t>3.</w:t>
      </w:r>
      <w:r w:rsidRPr="007062E6">
        <w:rPr>
          <w:noProof/>
        </w:rPr>
        <w:tab/>
      </w:r>
      <w:r w:rsidR="00436F80" w:rsidRPr="006A2204">
        <w:rPr>
          <w:noProof/>
        </w:rPr>
        <w:t>Likvideerimissubjektid, kelle suhtes ei kohaldata lihtsustatud kohustusi, kes ei kuulu direktiivi 2013/36/EL artiklite 111 ja 112 kohase konsolideeritud järelevalve all olevasse gruppi ja kelle puhul kriisilahendusasutus on direktiivi 2014/59/EL artikli 45 lõikes 1 osutatud nõude vastavalt kõnealuse direktiivi artikli 45c lõike 2 punkti a teisele lõigule kindlaks määranud, esitab kriisilahendusasutusele individuaalselt teabe, mis on kindlaks määratud käesoleva määruse I lisas esitatud vormides Z 01.02, Z 02.00, Z 03.01, Z 03.02, Z 05.01, Z 05.02, Z 06.00, Z 07.01.1 kuni Z 07.01.5, Z 07.04 ja Z 09.01.</w:t>
      </w:r>
    </w:p>
    <w:p w:rsidR="003B410C" w:rsidRPr="006A2204" w:rsidRDefault="003B410C" w:rsidP="00184085">
      <w:pPr>
        <w:pStyle w:val="Titrearticle"/>
        <w:rPr>
          <w:noProof/>
        </w:rPr>
      </w:pPr>
      <w:r w:rsidRPr="006A2204">
        <w:rPr>
          <w:noProof/>
        </w:rPr>
        <w:t>Artikkel 3</w:t>
      </w:r>
    </w:p>
    <w:p w:rsidR="003B410C" w:rsidRPr="006A2204" w:rsidRDefault="003B410C" w:rsidP="00184085">
      <w:pPr>
        <w:pStyle w:val="Titrearticle"/>
        <w:spacing w:before="0"/>
        <w:rPr>
          <w:b/>
          <w:bCs/>
          <w:i w:val="0"/>
          <w:iCs/>
          <w:noProof/>
        </w:rPr>
      </w:pPr>
      <w:r w:rsidRPr="006A2204">
        <w:rPr>
          <w:b/>
          <w:i w:val="0"/>
          <w:noProof/>
        </w:rPr>
        <w:t>Konsolideerimisgrupi kriisilahenduse aruandlus – kriisilahendusalused grupid</w:t>
      </w:r>
    </w:p>
    <w:p w:rsidR="003B410C" w:rsidRPr="006A2204" w:rsidRDefault="007062E6" w:rsidP="007062E6">
      <w:pPr>
        <w:pStyle w:val="ManualNumPar1"/>
        <w:rPr>
          <w:noProof/>
        </w:rPr>
      </w:pPr>
      <w:r w:rsidRPr="007062E6">
        <w:rPr>
          <w:noProof/>
        </w:rPr>
        <w:t>1.</w:t>
      </w:r>
      <w:r w:rsidRPr="007062E6">
        <w:rPr>
          <w:noProof/>
        </w:rPr>
        <w:tab/>
      </w:r>
      <w:r w:rsidR="00873C72" w:rsidRPr="006A2204">
        <w:rPr>
          <w:noProof/>
        </w:rPr>
        <w:t>Liidus tegutsev emaettevõtja esitab konsolideerimisgrupi tasandi kriisilahendusasutusele I lisas esitatud vormides Z 01.01, Z 01.02 ja Z 08.01 kuni Z 09.04 kindlaks määratud teabe konsolideerimisgrupi kõigi ettevõtjate kohta.</w:t>
      </w:r>
    </w:p>
    <w:p w:rsidR="003B410C" w:rsidRPr="006A2204" w:rsidRDefault="007062E6" w:rsidP="007062E6">
      <w:pPr>
        <w:pStyle w:val="ManualNumPar1"/>
        <w:rPr>
          <w:noProof/>
        </w:rPr>
      </w:pPr>
      <w:r w:rsidRPr="007062E6">
        <w:rPr>
          <w:noProof/>
        </w:rPr>
        <w:t>2.</w:t>
      </w:r>
      <w:r w:rsidRPr="007062E6">
        <w:rPr>
          <w:noProof/>
        </w:rPr>
        <w:tab/>
      </w:r>
      <w:r w:rsidR="00873C72" w:rsidRPr="006A2204">
        <w:rPr>
          <w:noProof/>
        </w:rPr>
        <w:t>Liidus tegutsev emaettevõtja esitab konsolideerimisgrupi tasandi kriisilahendusasutusele teabe konsolideerimisgrupi kõigi ettevõtjate vastastikuste finantsseoste kohta, nagu on kindlaks määratud I lisas esitatud vormis Z 04.00.</w:t>
      </w:r>
    </w:p>
    <w:p w:rsidR="003B410C" w:rsidRPr="006A2204" w:rsidRDefault="007062E6" w:rsidP="007062E6">
      <w:pPr>
        <w:pStyle w:val="ManualNumPar1"/>
        <w:rPr>
          <w:noProof/>
        </w:rPr>
      </w:pPr>
      <w:r w:rsidRPr="007062E6">
        <w:rPr>
          <w:noProof/>
        </w:rPr>
        <w:t>3.</w:t>
      </w:r>
      <w:r w:rsidRPr="007062E6">
        <w:rPr>
          <w:noProof/>
        </w:rPr>
        <w:tab/>
      </w:r>
      <w:r w:rsidR="001744A5" w:rsidRPr="006A2204">
        <w:rPr>
          <w:noProof/>
        </w:rPr>
        <w:t>Liidus tegutsev emaettevõtja esitab konsolideerimisgrupi tasandi kriisilahendusasutusele I lisas esitatud vormis Z 02.00 kindlaksmääratud teabe järgmiselt:</w:t>
      </w:r>
    </w:p>
    <w:p w:rsidR="003B410C" w:rsidRPr="006A2204" w:rsidRDefault="007062E6" w:rsidP="007062E6">
      <w:pPr>
        <w:pStyle w:val="Point1"/>
        <w:rPr>
          <w:noProof/>
        </w:rPr>
      </w:pPr>
      <w:r w:rsidRPr="007062E6">
        <w:rPr>
          <w:noProof/>
        </w:rPr>
        <w:t>(a)</w:t>
      </w:r>
      <w:r w:rsidRPr="007062E6">
        <w:rPr>
          <w:noProof/>
        </w:rPr>
        <w:tab/>
      </w:r>
      <w:r w:rsidR="003B410C" w:rsidRPr="006A2204">
        <w:rPr>
          <w:noProof/>
        </w:rPr>
        <w:t>individuaalselt konsolideerimisgrupi kõigi kriisilahendussubjektide, kaasa arvatud liidus tegutseva emaettevõtja kohta ning kõigi asjaomaste juriidiliste isikute kohta, mis on asutused;</w:t>
      </w:r>
    </w:p>
    <w:p w:rsidR="003B410C" w:rsidRPr="006A2204" w:rsidRDefault="007062E6" w:rsidP="007062E6">
      <w:pPr>
        <w:pStyle w:val="Point1"/>
        <w:rPr>
          <w:noProof/>
        </w:rPr>
      </w:pPr>
      <w:r w:rsidRPr="007062E6">
        <w:rPr>
          <w:noProof/>
        </w:rPr>
        <w:t>(b)</w:t>
      </w:r>
      <w:r w:rsidRPr="007062E6">
        <w:rPr>
          <w:noProof/>
        </w:rPr>
        <w:tab/>
      </w:r>
      <w:r w:rsidR="003B410C" w:rsidRPr="006A2204">
        <w:rPr>
          <w:noProof/>
        </w:rPr>
        <w:t xml:space="preserve">konsolideeritud või, kui see on asjakohane, allkonsolideeritud alusel konsolideerimisgrupi kõigi ettevõtjate, kaasa arvatud liidus tegutseva emaettevõtja kohta ning kõigi asjaomaste juriidiliste isikute kohta, kelle puhul kriisilahendusasutus on määranud kindlaks direktiivi 2014/59/EL artikli 45 lõikes </w:t>
      </w:r>
      <w:r w:rsidR="006A2204" w:rsidRPr="006A2204">
        <w:rPr>
          <w:noProof/>
        </w:rPr>
        <w:t>1</w:t>
      </w:r>
      <w:r w:rsidR="003B410C" w:rsidRPr="006A2204">
        <w:rPr>
          <w:noProof/>
        </w:rPr>
        <w:t xml:space="preserve"> osutatud nõude konsolideeritud või allkonsolideeritud alusel, olenemata sellest, kas nende isikute suhtes kohaldatakse määruse (EL) nr 575/2013 I osa II jaotise 2. peatüki sätteid.</w:t>
      </w:r>
    </w:p>
    <w:p w:rsidR="003B410C" w:rsidRPr="006A2204" w:rsidRDefault="007062E6" w:rsidP="007062E6">
      <w:pPr>
        <w:pStyle w:val="ManualNumPar1"/>
        <w:rPr>
          <w:noProof/>
        </w:rPr>
      </w:pPr>
      <w:r w:rsidRPr="007062E6">
        <w:rPr>
          <w:noProof/>
        </w:rPr>
        <w:t>4.</w:t>
      </w:r>
      <w:r w:rsidRPr="007062E6">
        <w:rPr>
          <w:noProof/>
        </w:rPr>
        <w:tab/>
      </w:r>
      <w:r w:rsidR="00207905" w:rsidRPr="006A2204">
        <w:rPr>
          <w:noProof/>
        </w:rPr>
        <w:t>Liidus tegutsev emaettevõtja esitab konsolideerimisgrupi tasandi kriisilahendusasutusele I lisas esitatud vormis Z 03.01 või Z 03.02 kindlaksmääratud teabe järgmiselt:</w:t>
      </w:r>
    </w:p>
    <w:p w:rsidR="003B410C" w:rsidRPr="006A2204" w:rsidRDefault="007062E6" w:rsidP="007062E6">
      <w:pPr>
        <w:pStyle w:val="Point1"/>
        <w:rPr>
          <w:noProof/>
        </w:rPr>
      </w:pPr>
      <w:r w:rsidRPr="007062E6">
        <w:rPr>
          <w:noProof/>
        </w:rPr>
        <w:t>(a)</w:t>
      </w:r>
      <w:r w:rsidRPr="007062E6">
        <w:rPr>
          <w:noProof/>
        </w:rPr>
        <w:tab/>
      </w:r>
      <w:r w:rsidR="003B410C" w:rsidRPr="006A2204">
        <w:rPr>
          <w:noProof/>
        </w:rPr>
        <w:t>individuaalselt konsolideerimisgrupi kõigi kriisilahendussubjektide, kaasa arvatud liidus tegutseva emaettevõtja kohta ning kõigi asjaomaste juriidiliste isikute kohta, mis on asutused, mille puhul kriisilahendusasutus on kindlaks määranud direktiivi 2014/59/EL artikli 45 lõikes 1 osutatud nõude;</w:t>
      </w:r>
    </w:p>
    <w:p w:rsidR="003B410C" w:rsidRPr="006A2204" w:rsidRDefault="007062E6" w:rsidP="007062E6">
      <w:pPr>
        <w:pStyle w:val="Point1"/>
        <w:rPr>
          <w:noProof/>
        </w:rPr>
      </w:pPr>
      <w:r w:rsidRPr="007062E6">
        <w:rPr>
          <w:noProof/>
        </w:rPr>
        <w:t>(b)</w:t>
      </w:r>
      <w:r w:rsidRPr="007062E6">
        <w:rPr>
          <w:noProof/>
        </w:rPr>
        <w:tab/>
      </w:r>
      <w:r w:rsidR="003B410C" w:rsidRPr="006A2204">
        <w:rPr>
          <w:noProof/>
        </w:rPr>
        <w:t xml:space="preserve">konsolideeritud või allkonsolideeritud alusel konsolideerimisgrupi kõigi ettevõtjate, kaasa arvatud liidus tegutseva emaettevõtja kohta ning kõigi asjaomaste juriidiliste isikute kohta, mis on asutused, mille puhul kriisilahendusasutus on kindlaks määranud direktiivi 2014/59/EL artikli 45 lõikes </w:t>
      </w:r>
      <w:r w:rsidR="006A2204" w:rsidRPr="006A2204">
        <w:rPr>
          <w:noProof/>
        </w:rPr>
        <w:t>1</w:t>
      </w:r>
      <w:r w:rsidR="003B410C" w:rsidRPr="006A2204">
        <w:rPr>
          <w:noProof/>
        </w:rPr>
        <w:t xml:space="preserve"> osutatud nõude, olenemata sellest, kas nende isikute suhtes kohaldatakse määruse (EL) nr 575/2013 I osa II jaotise 2. peatüki sätteid.</w:t>
      </w:r>
    </w:p>
    <w:p w:rsidR="003B410C" w:rsidRPr="006A2204" w:rsidRDefault="007062E6" w:rsidP="007062E6">
      <w:pPr>
        <w:pStyle w:val="ManualNumPar1"/>
        <w:rPr>
          <w:noProof/>
        </w:rPr>
      </w:pPr>
      <w:r w:rsidRPr="007062E6">
        <w:rPr>
          <w:noProof/>
        </w:rPr>
        <w:t>5.</w:t>
      </w:r>
      <w:r w:rsidRPr="007062E6">
        <w:rPr>
          <w:noProof/>
        </w:rPr>
        <w:tab/>
      </w:r>
      <w:r w:rsidR="006E7726" w:rsidRPr="006A2204">
        <w:rPr>
          <w:noProof/>
        </w:rPr>
        <w:t>Liidus tegutsev emaettevõtja esitab konsolideerimisgrupi tasandi kriisilahendusasutusele I lisas esitatud vormides Z 07.01.1, Z 07.01.2, Z 07.01.3, Z 07.01.4 ja Z 07.01.5 osutatud teabe iga liikmesriigi tasandil, kus konsolideerimisgrupp tegutseb.</w:t>
      </w:r>
    </w:p>
    <w:p w:rsidR="003B410C" w:rsidRPr="006A2204" w:rsidRDefault="007062E6" w:rsidP="007062E6">
      <w:pPr>
        <w:pStyle w:val="ManualNumPar1"/>
        <w:rPr>
          <w:noProof/>
        </w:rPr>
      </w:pPr>
      <w:r w:rsidRPr="007062E6">
        <w:rPr>
          <w:noProof/>
        </w:rPr>
        <w:t>6.</w:t>
      </w:r>
      <w:r w:rsidRPr="007062E6">
        <w:rPr>
          <w:noProof/>
        </w:rPr>
        <w:tab/>
      </w:r>
      <w:r w:rsidR="006E7726" w:rsidRPr="006A2204">
        <w:rPr>
          <w:noProof/>
        </w:rPr>
        <w:t>Liidus tegutsev emaettevõtja esitab konsolideerimisgrupi tasandi kriisilahendusasutusele I lisas esitatud vormides Z 07.02, Z 07.03 ja Z 07.04 osutatud teabe seoses konsolideerimisgrupi mis tahes ettevõtja pakutavate kriitiliste funktsioonide ja põhiäriliinidega.</w:t>
      </w:r>
    </w:p>
    <w:p w:rsidR="003B410C" w:rsidRPr="006A2204" w:rsidRDefault="007062E6" w:rsidP="007062E6">
      <w:pPr>
        <w:pStyle w:val="ManualNumPar1"/>
        <w:rPr>
          <w:noProof/>
        </w:rPr>
      </w:pPr>
      <w:r w:rsidRPr="007062E6">
        <w:rPr>
          <w:noProof/>
        </w:rPr>
        <w:t>7.</w:t>
      </w:r>
      <w:r w:rsidRPr="007062E6">
        <w:rPr>
          <w:noProof/>
        </w:rPr>
        <w:tab/>
      </w:r>
      <w:r w:rsidR="006E7726" w:rsidRPr="006A2204">
        <w:rPr>
          <w:noProof/>
        </w:rPr>
        <w:t>Liidus tegutsev emaettevõtja esitab konsolideerimisgrupi tasandi kriisilahendusasutusele I lisas esitatud vormides Z 05.01, Z 05.02, Z 06.00, Z 07.01.1 kuni Z 07.01.5, Z 07.04 ja Z 11.00 kuni Z 17.00 kindlaks määratud teabe individuaalselt konsolideerimisgrupi kõigi kriisilahendussubjektide, kaasa arvatud liidus tegutseva emaettevõtja kohta.</w:t>
      </w:r>
    </w:p>
    <w:p w:rsidR="003B410C" w:rsidRPr="006A2204" w:rsidRDefault="007062E6" w:rsidP="007062E6">
      <w:pPr>
        <w:pStyle w:val="ManualNumPar1"/>
        <w:rPr>
          <w:noProof/>
        </w:rPr>
      </w:pPr>
      <w:r w:rsidRPr="007062E6">
        <w:rPr>
          <w:noProof/>
        </w:rPr>
        <w:t>8.</w:t>
      </w:r>
      <w:r w:rsidRPr="007062E6">
        <w:rPr>
          <w:noProof/>
        </w:rPr>
        <w:tab/>
      </w:r>
      <w:r w:rsidR="003B410C" w:rsidRPr="006A2204">
        <w:rPr>
          <w:noProof/>
        </w:rPr>
        <w:t>Liidus tegutsev emaettevõtja esitab konsolideerimisgrupi tasandi kriisilahendusasutusele I lisas esitatud vormides Z 05.01, Z 05.02, Z 06.00, Z 07.01.1 kuni Z 07.01.5 ja Z 07.04 kindlaks määratud teabe individuaalselt kõigi asjaomaste juriidiliste isikute kohta, mis on asutused.</w:t>
      </w:r>
    </w:p>
    <w:p w:rsidR="003B410C" w:rsidRPr="006A2204" w:rsidRDefault="007062E6" w:rsidP="007062E6">
      <w:pPr>
        <w:pStyle w:val="ManualNumPar1"/>
        <w:rPr>
          <w:noProof/>
        </w:rPr>
      </w:pPr>
      <w:r w:rsidRPr="007062E6">
        <w:rPr>
          <w:noProof/>
        </w:rPr>
        <w:t>9.</w:t>
      </w:r>
      <w:r w:rsidRPr="007062E6">
        <w:rPr>
          <w:noProof/>
        </w:rPr>
        <w:tab/>
      </w:r>
      <w:r w:rsidR="003B410C" w:rsidRPr="006A2204">
        <w:rPr>
          <w:noProof/>
        </w:rPr>
        <w:t>Käesoleva artikli lõiget 2, lõike 3 punkti a ning lõikeid 4, 5 ja 6 kohaldatakse olenemata usaldatavusnõuete kohaldamise mis tahes erandist, mis on tehtud kooskõlas määruse (EL) nr 575/2013 artikli 7 lõikega 1 või 3 või Euroopa Parlamendi ja nõukogu määruse (EL) 2019/2033</w:t>
      </w:r>
      <w:r w:rsidR="003B410C" w:rsidRPr="006A2204">
        <w:rPr>
          <w:rStyle w:val="FootnoteReference"/>
          <w:noProof/>
          <w:shd w:val="clear" w:color="auto" w:fill="FFFFFF" w:themeFill="background1"/>
        </w:rPr>
        <w:footnoteReference w:id="8"/>
      </w:r>
      <w:r w:rsidR="003B410C" w:rsidRPr="006A2204">
        <w:rPr>
          <w:noProof/>
        </w:rPr>
        <w:t xml:space="preserve"> artikliga 8, või omavahendite ja kõlblike kohustuste miinimumnõuete kohaldamise mis tahes erandist, mis on tehtud kooskõlas direktiivi 2014/59/EL artikliga 45f.</w:t>
      </w:r>
    </w:p>
    <w:p w:rsidR="003B410C" w:rsidRPr="006A2204" w:rsidRDefault="003B410C" w:rsidP="00184085">
      <w:pPr>
        <w:pStyle w:val="Titrearticle"/>
        <w:rPr>
          <w:noProof/>
        </w:rPr>
      </w:pPr>
      <w:r w:rsidRPr="006A2204">
        <w:rPr>
          <w:noProof/>
        </w:rPr>
        <w:t>Artikkel 4</w:t>
      </w:r>
    </w:p>
    <w:p w:rsidR="003B410C" w:rsidRPr="006A2204" w:rsidRDefault="003B410C" w:rsidP="00184085">
      <w:pPr>
        <w:pStyle w:val="Titrearticle"/>
        <w:spacing w:before="0"/>
        <w:rPr>
          <w:b/>
          <w:bCs/>
          <w:i w:val="0"/>
          <w:iCs/>
          <w:noProof/>
        </w:rPr>
      </w:pPr>
      <w:r w:rsidRPr="006A2204">
        <w:rPr>
          <w:b/>
          <w:i w:val="0"/>
          <w:noProof/>
        </w:rPr>
        <w:t>Konsolideerimisgrupi kriisilahenduse aruandlus – üksnes likvideerimissubjektidest koosnevad grupid</w:t>
      </w:r>
    </w:p>
    <w:p w:rsidR="003B410C" w:rsidRPr="006A2204" w:rsidRDefault="00F95432" w:rsidP="00184085">
      <w:pPr>
        <w:rPr>
          <w:noProof/>
        </w:rPr>
      </w:pPr>
      <w:r w:rsidRPr="006A2204">
        <w:rPr>
          <w:noProof/>
        </w:rPr>
        <w:t>Kui tegemist on konsolideerimisgrupiga, mis koosneb üksnes likvideerimissubjektidest, kelle suhtes ei kohaldata lihtsustatud kohustusi, esitab selle grupi liidus tegutsev emaettevõtja grupi tasandi kriisilahendusasutusele:</w:t>
      </w:r>
    </w:p>
    <w:p w:rsidR="003B410C" w:rsidRPr="006A2204" w:rsidRDefault="007062E6" w:rsidP="007062E6">
      <w:pPr>
        <w:pStyle w:val="Point0"/>
        <w:rPr>
          <w:noProof/>
        </w:rPr>
      </w:pPr>
      <w:r w:rsidRPr="007062E6">
        <w:rPr>
          <w:noProof/>
        </w:rPr>
        <w:t>(a)</w:t>
      </w:r>
      <w:r w:rsidRPr="007062E6">
        <w:rPr>
          <w:noProof/>
        </w:rPr>
        <w:tab/>
      </w:r>
      <w:r w:rsidR="003B410C" w:rsidRPr="006A2204">
        <w:rPr>
          <w:noProof/>
        </w:rPr>
        <w:t>I lisas esitatud vormides Z 01.01, Z 01.02, Z 07.01.1 kuni Z 07.01.5 ja Z 09.01 kindlaks määratud teabe konsolideerimisgrupi kõigi ettevõtjate kohta, vormi Z 02.00 konsolideeritud alusel ja vormi Z 04.00 konsolideerimisgrupi kõigi ettevõtjate vastastikuste finantsseoste kohta;</w:t>
      </w:r>
    </w:p>
    <w:p w:rsidR="003B410C" w:rsidRPr="006A2204" w:rsidRDefault="007062E6" w:rsidP="007062E6">
      <w:pPr>
        <w:pStyle w:val="Point0"/>
        <w:rPr>
          <w:noProof/>
        </w:rPr>
      </w:pPr>
      <w:r w:rsidRPr="007062E6">
        <w:rPr>
          <w:noProof/>
        </w:rPr>
        <w:t>(b)</w:t>
      </w:r>
      <w:r w:rsidRPr="007062E6">
        <w:rPr>
          <w:noProof/>
        </w:rPr>
        <w:tab/>
      </w:r>
      <w:r w:rsidR="009F0766" w:rsidRPr="006A2204">
        <w:rPr>
          <w:noProof/>
        </w:rPr>
        <w:t>enda ja iga asjaomase juriidilise isiku kohta, kelle puhul kriisilahendusasutus ei ole direktiivi 2014/59/EL artikli 45 lõikes 1 osutatud nõuet vastavalt kõnealuse direktiivi artikli 45c lõike 2 punkti a teisele lõigule kindlaks määranud, individuaalselt teabe, mis on kindlaks määratud käesoleva määruse I lisas esitatud vormides Z 02.00, Z 05.01, Z 05.02, Z 06.00, Z 07.01.1 kuni Z 07.01.5 ja Z 07.04;</w:t>
      </w:r>
    </w:p>
    <w:p w:rsidR="00E522C4" w:rsidRPr="006A2204" w:rsidRDefault="007062E6" w:rsidP="007062E6">
      <w:pPr>
        <w:pStyle w:val="Point0"/>
        <w:rPr>
          <w:noProof/>
        </w:rPr>
      </w:pPr>
      <w:r w:rsidRPr="007062E6">
        <w:rPr>
          <w:noProof/>
        </w:rPr>
        <w:t>(c)</w:t>
      </w:r>
      <w:r w:rsidRPr="007062E6">
        <w:rPr>
          <w:noProof/>
        </w:rPr>
        <w:tab/>
      </w:r>
      <w:r w:rsidR="009F0766" w:rsidRPr="006A2204">
        <w:rPr>
          <w:noProof/>
        </w:rPr>
        <w:t>enda ja iga asjaomase juriidilise isiku kohta, kelle puhul kriisilahendusasutus on direktiivi 2014/59/EL artikli 45 lõikes 1 osutatud nõude vastavalt kõnealuse direktiivi artikli 45c lõike 2 punkti a teisele lõigule kindlaks määranud, individuaalselt teabe, mis on kindlaks määratud käesoleva määruse I lisas esitatud vormides Z 02.00, Z 03.01, Z 03.02, Z 05.01, Z 05.02, Z 06.00, Z 07.01.1 kuni Z 07.01.5 ja Z 07.04.</w:t>
      </w:r>
    </w:p>
    <w:p w:rsidR="00E522C4" w:rsidRPr="006A2204" w:rsidRDefault="00E522C4" w:rsidP="00184085">
      <w:pPr>
        <w:pStyle w:val="Titrearticle"/>
        <w:rPr>
          <w:noProof/>
        </w:rPr>
      </w:pPr>
      <w:r w:rsidRPr="006A2204">
        <w:rPr>
          <w:noProof/>
        </w:rPr>
        <w:t>Artikkel 5</w:t>
      </w:r>
    </w:p>
    <w:p w:rsidR="00E522C4" w:rsidRPr="006A2204" w:rsidRDefault="00E522C4" w:rsidP="00184085">
      <w:pPr>
        <w:pStyle w:val="Titrearticle"/>
        <w:spacing w:before="0"/>
        <w:rPr>
          <w:b/>
          <w:bCs/>
          <w:i w:val="0"/>
          <w:iCs/>
          <w:noProof/>
        </w:rPr>
      </w:pPr>
      <w:r w:rsidRPr="006A2204">
        <w:rPr>
          <w:b/>
          <w:i w:val="0"/>
          <w:noProof/>
        </w:rPr>
        <w:t>Konsolideerimisgrupi kriisilahenduse aruandluse kohandamine</w:t>
      </w:r>
    </w:p>
    <w:p w:rsidR="00E522C4" w:rsidRPr="006A2204" w:rsidRDefault="007062E6" w:rsidP="007062E6">
      <w:pPr>
        <w:pStyle w:val="ManualNumPar1"/>
        <w:rPr>
          <w:noProof/>
        </w:rPr>
      </w:pPr>
      <w:r w:rsidRPr="007062E6">
        <w:rPr>
          <w:noProof/>
        </w:rPr>
        <w:t>1.</w:t>
      </w:r>
      <w:r w:rsidRPr="007062E6">
        <w:rPr>
          <w:noProof/>
        </w:rPr>
        <w:tab/>
      </w:r>
      <w:r w:rsidR="00E522C4" w:rsidRPr="006A2204">
        <w:rPr>
          <w:noProof/>
        </w:rPr>
        <w:t>Kui konsolideerimisgrupi liidus tegutsev emaettevõtja on likvideerimissubjekt ja konsolideerimisgrupp hõlmab kriisilahendussubjekte, esitab liidus tegutsev emaettevõtja järgmise teabe:</w:t>
      </w:r>
    </w:p>
    <w:p w:rsidR="00E522C4" w:rsidRPr="006A2204" w:rsidRDefault="007062E6" w:rsidP="007062E6">
      <w:pPr>
        <w:pStyle w:val="Point1"/>
        <w:rPr>
          <w:noProof/>
        </w:rPr>
      </w:pPr>
      <w:r w:rsidRPr="007062E6">
        <w:rPr>
          <w:noProof/>
        </w:rPr>
        <w:t>(a)</w:t>
      </w:r>
      <w:r w:rsidRPr="007062E6">
        <w:rPr>
          <w:noProof/>
        </w:rPr>
        <w:tab/>
      </w:r>
      <w:r w:rsidR="000C210A" w:rsidRPr="006A2204">
        <w:rPr>
          <w:noProof/>
        </w:rPr>
        <w:t>kriisilahendusalusesse gruppi kuuluvate konsolideerimisgrupi ettevõtjate kohta artiklis 3 osutatud teabe;</w:t>
      </w:r>
    </w:p>
    <w:p w:rsidR="00E522C4" w:rsidRPr="006A2204" w:rsidRDefault="007062E6" w:rsidP="007062E6">
      <w:pPr>
        <w:pStyle w:val="Point1"/>
        <w:rPr>
          <w:noProof/>
        </w:rPr>
      </w:pPr>
      <w:r w:rsidRPr="007062E6">
        <w:rPr>
          <w:noProof/>
        </w:rPr>
        <w:t>(b)</w:t>
      </w:r>
      <w:r w:rsidRPr="007062E6">
        <w:rPr>
          <w:noProof/>
        </w:rPr>
        <w:tab/>
      </w:r>
      <w:r w:rsidR="000C210A" w:rsidRPr="006A2204">
        <w:rPr>
          <w:noProof/>
        </w:rPr>
        <w:t>likvideerimissubjektide kohta, kelle suhtes ei kohaldata lihtsustatud kohustusi ja kes ei kuulu ühtegi kriisilahendusalusesse gruppi, artiklis 4 osutatud teabe.</w:t>
      </w:r>
    </w:p>
    <w:p w:rsidR="00E522C4" w:rsidRPr="006A2204" w:rsidRDefault="007062E6" w:rsidP="007062E6">
      <w:pPr>
        <w:pStyle w:val="ManualNumPar1"/>
        <w:rPr>
          <w:noProof/>
        </w:rPr>
      </w:pPr>
      <w:r w:rsidRPr="007062E6">
        <w:rPr>
          <w:noProof/>
        </w:rPr>
        <w:t>2.</w:t>
      </w:r>
      <w:r w:rsidRPr="007062E6">
        <w:rPr>
          <w:noProof/>
        </w:rPr>
        <w:tab/>
      </w:r>
      <w:r w:rsidR="00E522C4" w:rsidRPr="006A2204">
        <w:rPr>
          <w:noProof/>
        </w:rPr>
        <w:t>Direktiivi 2014/59/EL artikli 2 lõike 1 punkti 83b alapunktis b osutatud kriisilahendusaluse grupi kohta esitab käesoleva määruse artiklis 3 osutatud teabe vähemalt üks konsolideerimisgrupi kriisilahendussubjekt. See teave hõlmab reaalselt kõiki selle kriisilahendusaluse grupi keskasutusega alaliselt seotud krediidiasutusi, keskasutust ennast ja nende vastavaid tütarettevõtjaid individuaalsel, allkonsolideeritud ja konsolideeritud tasandil, nagu see on asjakohane.</w:t>
      </w:r>
    </w:p>
    <w:p w:rsidR="00E522C4" w:rsidRPr="006A2204" w:rsidRDefault="00E522C4" w:rsidP="00184085">
      <w:pPr>
        <w:pStyle w:val="Titrearticle"/>
        <w:rPr>
          <w:noProof/>
        </w:rPr>
      </w:pPr>
      <w:r w:rsidRPr="006A2204">
        <w:rPr>
          <w:noProof/>
        </w:rPr>
        <w:t>Artikkel 6</w:t>
      </w:r>
    </w:p>
    <w:p w:rsidR="00E522C4" w:rsidRPr="006A2204" w:rsidRDefault="00E522C4" w:rsidP="00184085">
      <w:pPr>
        <w:pStyle w:val="Titrearticle"/>
        <w:spacing w:before="0"/>
        <w:rPr>
          <w:b/>
          <w:bCs/>
          <w:i w:val="0"/>
          <w:iCs/>
          <w:noProof/>
        </w:rPr>
      </w:pPr>
      <w:r w:rsidRPr="006A2204">
        <w:rPr>
          <w:b/>
          <w:i w:val="0"/>
          <w:noProof/>
        </w:rPr>
        <w:t>Sagedus, aruandekuupäevad ja aruannete esitamise kuupäevad</w:t>
      </w:r>
    </w:p>
    <w:p w:rsidR="00E522C4" w:rsidRPr="006A2204" w:rsidRDefault="007062E6" w:rsidP="007062E6">
      <w:pPr>
        <w:pStyle w:val="ManualNumPar1"/>
        <w:rPr>
          <w:noProof/>
        </w:rPr>
      </w:pPr>
      <w:r w:rsidRPr="007062E6">
        <w:rPr>
          <w:noProof/>
        </w:rPr>
        <w:t>1.</w:t>
      </w:r>
      <w:r w:rsidRPr="007062E6">
        <w:rPr>
          <w:noProof/>
        </w:rPr>
        <w:tab/>
      </w:r>
      <w:r w:rsidR="00E522C4" w:rsidRPr="006A2204">
        <w:rPr>
          <w:noProof/>
        </w:rPr>
        <w:t>Asutused või, kui tegemist on grupiga, nende liidus tegutsevad emaettevõtjad esitavad artiklites 2–5 osutatud teabe järgmiselt:</w:t>
      </w:r>
    </w:p>
    <w:p w:rsidR="00E522C4" w:rsidRPr="006A2204" w:rsidRDefault="007062E6" w:rsidP="007062E6">
      <w:pPr>
        <w:pStyle w:val="Point1"/>
        <w:rPr>
          <w:noProof/>
        </w:rPr>
      </w:pPr>
      <w:bookmarkStart w:id="2" w:name="_Hlk188952542"/>
      <w:r w:rsidRPr="007062E6">
        <w:rPr>
          <w:noProof/>
        </w:rPr>
        <w:t>(a)</w:t>
      </w:r>
      <w:r w:rsidRPr="007062E6">
        <w:rPr>
          <w:noProof/>
        </w:rPr>
        <w:tab/>
      </w:r>
      <w:r w:rsidR="00A071C3" w:rsidRPr="006A2204">
        <w:rPr>
          <w:noProof/>
        </w:rPr>
        <w:t>vormid Z 01.01, Z 01.02, Z 02.00, Z 03.01, Z 03.02, Z 04.00, Z 05.01, Z 05.02, Z 06.00 ja Z 11.00 kuni Z 17</w:t>
      </w:r>
      <w:bookmarkEnd w:id="2"/>
      <w:r w:rsidR="00A071C3" w:rsidRPr="006A2204">
        <w:rPr>
          <w:noProof/>
        </w:rPr>
        <w:t>.00 eelmise kalendriaasta viimase päeva kohta hiljemalt iga aasta 31. märtsiks;</w:t>
      </w:r>
    </w:p>
    <w:p w:rsidR="00E522C4" w:rsidRPr="006A2204" w:rsidRDefault="007062E6" w:rsidP="007062E6">
      <w:pPr>
        <w:pStyle w:val="Point1"/>
        <w:rPr>
          <w:noProof/>
        </w:rPr>
      </w:pPr>
      <w:r w:rsidRPr="007062E6">
        <w:rPr>
          <w:noProof/>
        </w:rPr>
        <w:t>(b)</w:t>
      </w:r>
      <w:r w:rsidRPr="007062E6">
        <w:rPr>
          <w:noProof/>
        </w:rPr>
        <w:tab/>
      </w:r>
      <w:r w:rsidR="003F636B" w:rsidRPr="006A2204">
        <w:rPr>
          <w:noProof/>
        </w:rPr>
        <w:t xml:space="preserve">vormid Z 07.01.1 kuni Z 07.04, Z 08.01 kuni Z 08.05 ja Z 09.01 kuni Z 09.04 eelmise kalendriaasta viimase päeva kohta hiljemalt iga aasta 30. aprilliks. </w:t>
      </w:r>
    </w:p>
    <w:p w:rsidR="003F636B" w:rsidRPr="006A2204" w:rsidRDefault="003F636B" w:rsidP="00184085">
      <w:pPr>
        <w:pStyle w:val="Text1"/>
        <w:rPr>
          <w:noProof/>
        </w:rPr>
      </w:pPr>
      <w:r w:rsidRPr="006A2204">
        <w:rPr>
          <w:noProof/>
        </w:rPr>
        <w:t>Kui 31. märts ei ole tööpäev, esitatakse teave punkti a kohaldamiseks järgmisel tööpäeval.</w:t>
      </w:r>
    </w:p>
    <w:p w:rsidR="003F636B" w:rsidRPr="006A2204" w:rsidRDefault="003F636B" w:rsidP="00184085">
      <w:pPr>
        <w:pStyle w:val="Text1"/>
        <w:rPr>
          <w:noProof/>
        </w:rPr>
      </w:pPr>
      <w:r w:rsidRPr="006A2204">
        <w:rPr>
          <w:noProof/>
        </w:rPr>
        <w:t>Kui 30. aprill ei ole tööpäev, esitatakse teave punkti b kohaldamiseks järgmisel tööpäeval.</w:t>
      </w:r>
    </w:p>
    <w:p w:rsidR="00E522C4" w:rsidRPr="006A2204" w:rsidRDefault="007062E6" w:rsidP="007062E6">
      <w:pPr>
        <w:pStyle w:val="ManualNumPar1"/>
        <w:rPr>
          <w:noProof/>
        </w:rPr>
      </w:pPr>
      <w:r w:rsidRPr="007062E6">
        <w:rPr>
          <w:noProof/>
        </w:rPr>
        <w:t>2.</w:t>
      </w:r>
      <w:r w:rsidRPr="007062E6">
        <w:rPr>
          <w:noProof/>
        </w:rPr>
        <w:tab/>
      </w:r>
      <w:r w:rsidR="00E522C4" w:rsidRPr="006A2204">
        <w:rPr>
          <w:noProof/>
        </w:rPr>
        <w:t>Kriisilahendusasutused täpsustavad, kas teave tuleb esitada otse kriisilahendusasutusele või esitatakse see pädevale asutusele, kui see on asjakohane.</w:t>
      </w:r>
    </w:p>
    <w:p w:rsidR="00E522C4" w:rsidRPr="006A2204" w:rsidRDefault="007062E6" w:rsidP="007062E6">
      <w:pPr>
        <w:pStyle w:val="ManualNumPar1"/>
        <w:rPr>
          <w:noProof/>
        </w:rPr>
      </w:pPr>
      <w:r w:rsidRPr="007062E6">
        <w:rPr>
          <w:noProof/>
        </w:rPr>
        <w:t>3.</w:t>
      </w:r>
      <w:r w:rsidRPr="007062E6">
        <w:rPr>
          <w:noProof/>
        </w:rPr>
        <w:tab/>
      </w:r>
      <w:r w:rsidR="00E522C4" w:rsidRPr="006A2204">
        <w:rPr>
          <w:noProof/>
        </w:rPr>
        <w:t xml:space="preserve">Asutused või, kui tegemist on grupiga, nende liidus tegutsevad emaettevõtjad võivad esitada auditeerimata arvandmeid. Juhul kui auditeeritud arvandmed erinevad juba esitatud auditeerimata arvandmetest, tuleb ilma põhjendamatute viivitusteta esitada parandatud, auditeeritud arvandmed. </w:t>
      </w:r>
    </w:p>
    <w:p w:rsidR="00E522C4" w:rsidRPr="006A2204" w:rsidRDefault="007062E6" w:rsidP="007062E6">
      <w:pPr>
        <w:pStyle w:val="ManualNumPar1"/>
        <w:rPr>
          <w:noProof/>
        </w:rPr>
      </w:pPr>
      <w:r w:rsidRPr="007062E6">
        <w:rPr>
          <w:noProof/>
        </w:rPr>
        <w:t>4.</w:t>
      </w:r>
      <w:r w:rsidRPr="007062E6">
        <w:rPr>
          <w:noProof/>
        </w:rPr>
        <w:tab/>
      </w:r>
      <w:r w:rsidR="00E522C4" w:rsidRPr="006A2204">
        <w:rPr>
          <w:noProof/>
        </w:rPr>
        <w:t xml:space="preserve">Lõike 3 kohaldamisel on auditeerimata arvandmed sellised arvandmed, mille kohta ei ole saadud välisaudiitori arvamust, ning auditeeritud arvandmed on arvandmed, mille on auditeerinud välisaudiitor, kes on esitanud oma auditiarvamuse. </w:t>
      </w:r>
    </w:p>
    <w:p w:rsidR="00E522C4" w:rsidRPr="006A2204" w:rsidRDefault="007062E6" w:rsidP="007062E6">
      <w:pPr>
        <w:pStyle w:val="ManualNumPar1"/>
        <w:rPr>
          <w:noProof/>
        </w:rPr>
      </w:pPr>
      <w:r w:rsidRPr="007062E6">
        <w:rPr>
          <w:noProof/>
        </w:rPr>
        <w:t>5.</w:t>
      </w:r>
      <w:r w:rsidRPr="007062E6">
        <w:rPr>
          <w:noProof/>
        </w:rPr>
        <w:tab/>
      </w:r>
      <w:r w:rsidR="00E522C4" w:rsidRPr="006A2204">
        <w:rPr>
          <w:noProof/>
        </w:rPr>
        <w:t>Esitatud aruannete parandused esitatakse põhjendamatu viivituseta.</w:t>
      </w:r>
    </w:p>
    <w:p w:rsidR="00E522C4" w:rsidRPr="006A2204" w:rsidRDefault="00E522C4" w:rsidP="00184085">
      <w:pPr>
        <w:pStyle w:val="Titrearticle"/>
        <w:rPr>
          <w:noProof/>
        </w:rPr>
      </w:pPr>
      <w:r w:rsidRPr="006A2204">
        <w:rPr>
          <w:noProof/>
        </w:rPr>
        <w:t>Artikkel 7</w:t>
      </w:r>
    </w:p>
    <w:p w:rsidR="00E522C4" w:rsidRPr="006A2204" w:rsidRDefault="00E522C4" w:rsidP="00184085">
      <w:pPr>
        <w:pStyle w:val="Titrearticle"/>
        <w:spacing w:before="0"/>
        <w:rPr>
          <w:b/>
          <w:bCs/>
          <w:i w:val="0"/>
          <w:iCs/>
          <w:noProof/>
        </w:rPr>
      </w:pPr>
      <w:r w:rsidRPr="006A2204">
        <w:rPr>
          <w:b/>
          <w:i w:val="0"/>
          <w:noProof/>
        </w:rPr>
        <w:t>Andmevahetusvormingud ja esitatud andmetele lisatav teave</w:t>
      </w:r>
    </w:p>
    <w:p w:rsidR="00E522C4" w:rsidRPr="006A2204" w:rsidRDefault="007062E6" w:rsidP="007062E6">
      <w:pPr>
        <w:pStyle w:val="ManualNumPar1"/>
        <w:rPr>
          <w:noProof/>
        </w:rPr>
      </w:pPr>
      <w:r w:rsidRPr="007062E6">
        <w:rPr>
          <w:noProof/>
        </w:rPr>
        <w:t>1.</w:t>
      </w:r>
      <w:r w:rsidRPr="007062E6">
        <w:rPr>
          <w:noProof/>
        </w:rPr>
        <w:tab/>
      </w:r>
      <w:r w:rsidR="00E522C4" w:rsidRPr="006A2204">
        <w:rPr>
          <w:noProof/>
        </w:rPr>
        <w:t xml:space="preserve">Asutused või, kui tegemist on grupiga, nende liidus tegutsevad emaettevõtjad esitavad artiklites 2–5 osutatud teabe vastavalt I lisas esitatud vormidele kriisilahendusasutuste kindlaks määratud andmevahetusvormingutes ja kujul ning järgivad II lisas osutatud ühtses andmepunktide mudelis sisalduvaid andmepunktide määratlusi ja III lisas osutatud valideerimiseeskirju. </w:t>
      </w:r>
    </w:p>
    <w:p w:rsidR="00E522C4" w:rsidRPr="006A2204" w:rsidRDefault="007062E6" w:rsidP="007062E6">
      <w:pPr>
        <w:pStyle w:val="ManualNumPar1"/>
        <w:rPr>
          <w:noProof/>
        </w:rPr>
      </w:pPr>
      <w:r w:rsidRPr="007062E6">
        <w:rPr>
          <w:noProof/>
        </w:rPr>
        <w:t>2.</w:t>
      </w:r>
      <w:r w:rsidRPr="007062E6">
        <w:rPr>
          <w:noProof/>
        </w:rPr>
        <w:tab/>
      </w:r>
      <w:r w:rsidR="00E522C4" w:rsidRPr="006A2204">
        <w:rPr>
          <w:noProof/>
        </w:rPr>
        <w:t>Lisaks lõikes 1 osutatud kohustusele tagavad asutused või, kui tegemist on grupiga, nende liidus tegutsevad emaettevõtjad järgmise:</w:t>
      </w:r>
    </w:p>
    <w:p w:rsidR="00E522C4" w:rsidRPr="006A2204" w:rsidRDefault="007062E6" w:rsidP="007062E6">
      <w:pPr>
        <w:pStyle w:val="Point1"/>
        <w:rPr>
          <w:noProof/>
        </w:rPr>
      </w:pPr>
      <w:r w:rsidRPr="007062E6">
        <w:rPr>
          <w:noProof/>
        </w:rPr>
        <w:t>(a)</w:t>
      </w:r>
      <w:r w:rsidRPr="007062E6">
        <w:rPr>
          <w:noProof/>
        </w:rPr>
        <w:tab/>
      </w:r>
      <w:r w:rsidR="00E522C4" w:rsidRPr="006A2204">
        <w:rPr>
          <w:noProof/>
        </w:rPr>
        <w:t>arvväärtused esitatakse järgmiselt:</w:t>
      </w:r>
    </w:p>
    <w:p w:rsidR="00E522C4" w:rsidRPr="006A2204" w:rsidRDefault="00E522C4" w:rsidP="00184085">
      <w:pPr>
        <w:pStyle w:val="Point2"/>
        <w:rPr>
          <w:noProof/>
        </w:rPr>
      </w:pPr>
      <w:r w:rsidRPr="006A2204">
        <w:rPr>
          <w:noProof/>
        </w:rPr>
        <w:t>i)</w:t>
      </w:r>
      <w:r w:rsidRPr="006A2204">
        <w:rPr>
          <w:noProof/>
        </w:rPr>
        <w:tab/>
        <w:t xml:space="preserve">andmetüübi „rahaline“ andmepunktid esitatakse vähemalt kümne tuhande ühiku täpsusega; </w:t>
      </w:r>
    </w:p>
    <w:p w:rsidR="00E522C4" w:rsidRPr="006A2204" w:rsidRDefault="00E522C4" w:rsidP="00184085">
      <w:pPr>
        <w:pStyle w:val="Point2"/>
        <w:rPr>
          <w:noProof/>
        </w:rPr>
      </w:pPr>
      <w:r w:rsidRPr="006A2204">
        <w:rPr>
          <w:noProof/>
        </w:rPr>
        <w:t>ii)</w:t>
      </w:r>
      <w:r w:rsidRPr="006A2204">
        <w:rPr>
          <w:noProof/>
        </w:rPr>
        <w:tab/>
        <w:t>andmetüübi „protsendiline“ andmepunktid väljendatakse ühiku kohta täpsusega vähemalt neli kohta pärast koma;</w:t>
      </w:r>
    </w:p>
    <w:p w:rsidR="00E522C4" w:rsidRPr="006A2204" w:rsidRDefault="00E522C4" w:rsidP="00184085">
      <w:pPr>
        <w:pStyle w:val="Point2"/>
        <w:rPr>
          <w:noProof/>
        </w:rPr>
      </w:pPr>
      <w:r w:rsidRPr="006A2204">
        <w:rPr>
          <w:noProof/>
        </w:rPr>
        <w:t>iii)</w:t>
      </w:r>
      <w:r w:rsidRPr="006A2204">
        <w:rPr>
          <w:noProof/>
        </w:rPr>
        <w:tab/>
        <w:t>andmetüübi „täisarvuline“ andmepunktid esitatakse ilma kümnendkohtadeta, täisühiku täpsusega.</w:t>
      </w:r>
    </w:p>
    <w:p w:rsidR="00E522C4" w:rsidRPr="006A2204" w:rsidRDefault="007062E6" w:rsidP="007062E6">
      <w:pPr>
        <w:pStyle w:val="Point1"/>
        <w:rPr>
          <w:noProof/>
        </w:rPr>
      </w:pPr>
      <w:r w:rsidRPr="007062E6">
        <w:rPr>
          <w:noProof/>
        </w:rPr>
        <w:t>(b)</w:t>
      </w:r>
      <w:r w:rsidRPr="007062E6">
        <w:rPr>
          <w:noProof/>
        </w:rPr>
        <w:tab/>
      </w:r>
      <w:r w:rsidR="00E522C4" w:rsidRPr="006A2204">
        <w:rPr>
          <w:noProof/>
        </w:rPr>
        <w:t>asutuste ja kindlustusandjate identifitseerimiseks kasutatakse üksnes nende juriidilise isiku tunnust (LEI);</w:t>
      </w:r>
    </w:p>
    <w:p w:rsidR="00E522C4" w:rsidRPr="006A2204" w:rsidRDefault="007062E6" w:rsidP="007062E6">
      <w:pPr>
        <w:pStyle w:val="Point1"/>
        <w:rPr>
          <w:noProof/>
        </w:rPr>
      </w:pPr>
      <w:r w:rsidRPr="007062E6">
        <w:rPr>
          <w:noProof/>
        </w:rPr>
        <w:t>(c)</w:t>
      </w:r>
      <w:r w:rsidRPr="007062E6">
        <w:rPr>
          <w:noProof/>
        </w:rPr>
        <w:tab/>
      </w:r>
      <w:r w:rsidR="00E522C4" w:rsidRPr="006A2204">
        <w:rPr>
          <w:noProof/>
        </w:rPr>
        <w:t>muude juriidiliste isikute ja vastaspoolte kui asutused ja kindlustusandjad identifitseerimiseks kasutatakse nende juriidilise isiku tunnust, kui see on kättesaadav;</w:t>
      </w:r>
    </w:p>
    <w:p w:rsidR="0046629F" w:rsidRPr="006A2204" w:rsidRDefault="007062E6" w:rsidP="007062E6">
      <w:pPr>
        <w:pStyle w:val="Point1"/>
        <w:rPr>
          <w:noProof/>
        </w:rPr>
      </w:pPr>
      <w:r w:rsidRPr="007062E6">
        <w:rPr>
          <w:noProof/>
        </w:rPr>
        <w:t>(d)</w:t>
      </w:r>
      <w:r w:rsidRPr="007062E6">
        <w:rPr>
          <w:noProof/>
        </w:rPr>
        <w:tab/>
      </w:r>
      <w:r w:rsidR="0046629F" w:rsidRPr="006A2204">
        <w:rPr>
          <w:noProof/>
        </w:rPr>
        <w:t>andmete esitamisel ei esitata teavet, mida ei ole nõutud või mis ei ole asjakohane.</w:t>
      </w:r>
    </w:p>
    <w:p w:rsidR="00E522C4" w:rsidRPr="006A2204" w:rsidRDefault="007062E6" w:rsidP="007062E6">
      <w:pPr>
        <w:pStyle w:val="ManualNumPar1"/>
        <w:rPr>
          <w:noProof/>
        </w:rPr>
      </w:pPr>
      <w:r w:rsidRPr="007062E6">
        <w:rPr>
          <w:noProof/>
        </w:rPr>
        <w:t>3.</w:t>
      </w:r>
      <w:r w:rsidRPr="007062E6">
        <w:rPr>
          <w:noProof/>
        </w:rPr>
        <w:tab/>
      </w:r>
      <w:r w:rsidR="004B472A" w:rsidRPr="006A2204">
        <w:rPr>
          <w:noProof/>
        </w:rPr>
        <w:t>Asutused või, kui tegemist on grupiga, nende liidus tegutsevad emaettevõtjad lisavad esitatud andmetele järgmise teabe:</w:t>
      </w:r>
    </w:p>
    <w:p w:rsidR="004B472A" w:rsidRPr="006A2204" w:rsidRDefault="007062E6" w:rsidP="007062E6">
      <w:pPr>
        <w:pStyle w:val="Point1"/>
        <w:rPr>
          <w:noProof/>
        </w:rPr>
      </w:pPr>
      <w:r w:rsidRPr="007062E6">
        <w:rPr>
          <w:noProof/>
        </w:rPr>
        <w:t>(a)</w:t>
      </w:r>
      <w:r w:rsidRPr="007062E6">
        <w:rPr>
          <w:noProof/>
        </w:rPr>
        <w:tab/>
      </w:r>
      <w:r w:rsidR="004B472A" w:rsidRPr="006A2204">
        <w:rPr>
          <w:noProof/>
        </w:rPr>
        <w:t>aruandekuupäev;</w:t>
      </w:r>
    </w:p>
    <w:p w:rsidR="004B472A" w:rsidRPr="006A2204" w:rsidRDefault="007062E6" w:rsidP="007062E6">
      <w:pPr>
        <w:pStyle w:val="Point1"/>
        <w:rPr>
          <w:noProof/>
        </w:rPr>
      </w:pPr>
      <w:r w:rsidRPr="007062E6">
        <w:rPr>
          <w:noProof/>
        </w:rPr>
        <w:t>(b)</w:t>
      </w:r>
      <w:r w:rsidRPr="007062E6">
        <w:rPr>
          <w:noProof/>
        </w:rPr>
        <w:tab/>
      </w:r>
      <w:r w:rsidR="004B472A" w:rsidRPr="006A2204">
        <w:rPr>
          <w:noProof/>
        </w:rPr>
        <w:t>aruandevaluuta;</w:t>
      </w:r>
    </w:p>
    <w:p w:rsidR="004B472A" w:rsidRPr="006A2204" w:rsidRDefault="007062E6" w:rsidP="007062E6">
      <w:pPr>
        <w:pStyle w:val="Point1"/>
        <w:rPr>
          <w:noProof/>
        </w:rPr>
      </w:pPr>
      <w:r w:rsidRPr="007062E6">
        <w:rPr>
          <w:noProof/>
        </w:rPr>
        <w:t>(c)</w:t>
      </w:r>
      <w:r w:rsidRPr="007062E6">
        <w:rPr>
          <w:noProof/>
        </w:rPr>
        <w:tab/>
      </w:r>
      <w:r w:rsidR="004B472A" w:rsidRPr="006A2204">
        <w:rPr>
          <w:noProof/>
        </w:rPr>
        <w:t>raamatupidamisstandard;</w:t>
      </w:r>
    </w:p>
    <w:p w:rsidR="004B472A" w:rsidRPr="006A2204" w:rsidRDefault="007062E6" w:rsidP="007062E6">
      <w:pPr>
        <w:pStyle w:val="Point1"/>
        <w:rPr>
          <w:noProof/>
        </w:rPr>
      </w:pPr>
      <w:r w:rsidRPr="007062E6">
        <w:rPr>
          <w:noProof/>
        </w:rPr>
        <w:t>(d)</w:t>
      </w:r>
      <w:r w:rsidRPr="007062E6">
        <w:rPr>
          <w:noProof/>
        </w:rPr>
        <w:tab/>
      </w:r>
      <w:r w:rsidR="004B472A" w:rsidRPr="006A2204">
        <w:rPr>
          <w:noProof/>
        </w:rPr>
        <w:t>aruandva üksuse juriidilise isiku tunnus;</w:t>
      </w:r>
    </w:p>
    <w:p w:rsidR="004B472A" w:rsidRPr="006A2204" w:rsidRDefault="007062E6" w:rsidP="007062E6">
      <w:pPr>
        <w:pStyle w:val="Point1"/>
        <w:rPr>
          <w:noProof/>
        </w:rPr>
      </w:pPr>
      <w:r w:rsidRPr="007062E6">
        <w:rPr>
          <w:noProof/>
        </w:rPr>
        <w:t>(e)</w:t>
      </w:r>
      <w:r w:rsidRPr="007062E6">
        <w:rPr>
          <w:noProof/>
        </w:rPr>
        <w:tab/>
      </w:r>
      <w:r w:rsidR="004B472A" w:rsidRPr="006A2204">
        <w:rPr>
          <w:noProof/>
        </w:rPr>
        <w:t>kohaldamise tasand vastavalt artiklitele 2, 3 ja 4.</w:t>
      </w:r>
    </w:p>
    <w:p w:rsidR="004B472A" w:rsidRPr="006A2204" w:rsidRDefault="004B472A" w:rsidP="00184085">
      <w:pPr>
        <w:pStyle w:val="Titrearticle"/>
        <w:rPr>
          <w:noProof/>
        </w:rPr>
      </w:pPr>
      <w:bookmarkStart w:id="3" w:name="_Hlk169616472"/>
      <w:r w:rsidRPr="006A2204">
        <w:rPr>
          <w:noProof/>
        </w:rPr>
        <w:t>Artikkel 8</w:t>
      </w:r>
    </w:p>
    <w:p w:rsidR="004B472A" w:rsidRPr="006A2204" w:rsidRDefault="004B472A" w:rsidP="00184085">
      <w:pPr>
        <w:pStyle w:val="Titrearticle"/>
        <w:spacing w:before="0"/>
        <w:rPr>
          <w:b/>
          <w:bCs/>
          <w:i w:val="0"/>
          <w:iCs/>
          <w:noProof/>
        </w:rPr>
      </w:pPr>
      <w:r w:rsidRPr="006A2204">
        <w:rPr>
          <w:b/>
          <w:i w:val="0"/>
          <w:noProof/>
        </w:rPr>
        <w:t xml:space="preserve">Lisateabe esitamine individuaalsete või grupi kriisilahenduskavade jaoks </w:t>
      </w:r>
    </w:p>
    <w:bookmarkEnd w:id="3"/>
    <w:p w:rsidR="00FA69C1" w:rsidRPr="006A2204" w:rsidRDefault="007062E6" w:rsidP="007062E6">
      <w:pPr>
        <w:pStyle w:val="ManualNumPar1"/>
        <w:rPr>
          <w:noProof/>
        </w:rPr>
      </w:pPr>
      <w:r w:rsidRPr="007062E6">
        <w:rPr>
          <w:noProof/>
        </w:rPr>
        <w:t>1.</w:t>
      </w:r>
      <w:r w:rsidRPr="007062E6">
        <w:rPr>
          <w:noProof/>
        </w:rPr>
        <w:tab/>
      </w:r>
      <w:r w:rsidR="00C747E3" w:rsidRPr="006A2204">
        <w:rPr>
          <w:noProof/>
        </w:rPr>
        <w:t>Kriisilahendusasutus või konsolideerimisgrupi tasandi kriisilahendusasutus küsib asjaomaselt asutuselt või liidus tegutsevalt emaettevõtjalt lisateavet või teavet uues vormingus järgmistel juhtudel:</w:t>
      </w:r>
    </w:p>
    <w:p w:rsidR="00FA69C1" w:rsidRPr="006A2204" w:rsidRDefault="007062E6" w:rsidP="007062E6">
      <w:pPr>
        <w:pStyle w:val="Point1"/>
        <w:rPr>
          <w:noProof/>
        </w:rPr>
      </w:pPr>
      <w:r w:rsidRPr="007062E6">
        <w:rPr>
          <w:noProof/>
        </w:rPr>
        <w:t>(a)</w:t>
      </w:r>
      <w:r w:rsidRPr="007062E6">
        <w:rPr>
          <w:noProof/>
        </w:rPr>
        <w:tab/>
      </w:r>
      <w:r w:rsidR="00FA69C1" w:rsidRPr="006A2204">
        <w:rPr>
          <w:noProof/>
        </w:rPr>
        <w:t>kriisilahendusasutus või konsolideerimisgrupi tasandi kriisilahendusasutus leiab, et ükski I lisas esitatud vorm ei sisalda sellist teavet ning see on vajalik kriisilahenduse kavade koostamiseks ja rakendamiseks;</w:t>
      </w:r>
    </w:p>
    <w:p w:rsidR="00FA69C1" w:rsidRPr="006A2204" w:rsidRDefault="007062E6" w:rsidP="007062E6">
      <w:pPr>
        <w:pStyle w:val="Point1"/>
        <w:rPr>
          <w:noProof/>
        </w:rPr>
      </w:pPr>
      <w:r w:rsidRPr="007062E6">
        <w:rPr>
          <w:noProof/>
        </w:rPr>
        <w:t>(b)</w:t>
      </w:r>
      <w:r w:rsidRPr="007062E6">
        <w:rPr>
          <w:noProof/>
        </w:rPr>
        <w:tab/>
      </w:r>
      <w:r w:rsidR="00FA69C1" w:rsidRPr="006A2204">
        <w:rPr>
          <w:noProof/>
        </w:rPr>
        <w:t>kriisilahendusasutus või konsolideerimisgrupi tasandi kriisilahendusasutus leiab, et sellise teabe saamine isikutelt, kelle suhtes kohaldatakse lihtsustatud kohustusi, on vajalik kriisilahenduse kavade koostamiseks ja rakendamiseks;</w:t>
      </w:r>
    </w:p>
    <w:p w:rsidR="00FA69C1" w:rsidRPr="006A2204" w:rsidRDefault="007062E6" w:rsidP="007062E6">
      <w:pPr>
        <w:pStyle w:val="Point1"/>
        <w:rPr>
          <w:noProof/>
        </w:rPr>
      </w:pPr>
      <w:r w:rsidRPr="007062E6">
        <w:rPr>
          <w:noProof/>
        </w:rPr>
        <w:t>(c)</w:t>
      </w:r>
      <w:r w:rsidRPr="007062E6">
        <w:rPr>
          <w:noProof/>
        </w:rPr>
        <w:tab/>
      </w:r>
      <w:r w:rsidR="00FA69C1" w:rsidRPr="006A2204">
        <w:rPr>
          <w:noProof/>
        </w:rPr>
        <w:t>pädev asutus on esitanud teabe vastavalt artikli 9 lõikele 2, kuid see on vormingus, mis ei sobi kriisilahenduse kavade koostamiseks või rakendamiseks.</w:t>
      </w:r>
    </w:p>
    <w:p w:rsidR="004B472A" w:rsidRPr="006A2204" w:rsidRDefault="007062E6" w:rsidP="007062E6">
      <w:pPr>
        <w:pStyle w:val="ManualNumPar1"/>
        <w:rPr>
          <w:noProof/>
        </w:rPr>
      </w:pPr>
      <w:r w:rsidRPr="007062E6">
        <w:rPr>
          <w:noProof/>
        </w:rPr>
        <w:t>2.</w:t>
      </w:r>
      <w:r w:rsidRPr="007062E6">
        <w:rPr>
          <w:noProof/>
        </w:rPr>
        <w:tab/>
      </w:r>
      <w:r w:rsidR="004B472A" w:rsidRPr="006A2204">
        <w:rPr>
          <w:noProof/>
        </w:rPr>
        <w:t>Lõikes 1 osutatud palve korral teeb kriisilahendusasutus järgmist:</w:t>
      </w:r>
    </w:p>
    <w:p w:rsidR="004B472A" w:rsidRPr="006A2204" w:rsidRDefault="007062E6" w:rsidP="007062E6">
      <w:pPr>
        <w:pStyle w:val="Point1"/>
        <w:rPr>
          <w:noProof/>
        </w:rPr>
      </w:pPr>
      <w:r w:rsidRPr="007062E6">
        <w:rPr>
          <w:noProof/>
        </w:rPr>
        <w:t>(a)</w:t>
      </w:r>
      <w:r w:rsidRPr="007062E6">
        <w:rPr>
          <w:noProof/>
        </w:rPr>
        <w:tab/>
      </w:r>
      <w:r w:rsidR="004B472A" w:rsidRPr="006A2204">
        <w:rPr>
          <w:noProof/>
        </w:rPr>
        <w:t>määrab kindlaks esitatava lisateabe;</w:t>
      </w:r>
    </w:p>
    <w:p w:rsidR="004B472A" w:rsidRPr="006A2204" w:rsidRDefault="007062E6" w:rsidP="007062E6">
      <w:pPr>
        <w:pStyle w:val="Point1"/>
        <w:rPr>
          <w:noProof/>
        </w:rPr>
      </w:pPr>
      <w:r w:rsidRPr="007062E6">
        <w:rPr>
          <w:noProof/>
        </w:rPr>
        <w:t>(b)</w:t>
      </w:r>
      <w:r w:rsidRPr="007062E6">
        <w:rPr>
          <w:noProof/>
        </w:rPr>
        <w:tab/>
      </w:r>
      <w:r w:rsidR="004B472A" w:rsidRPr="006A2204">
        <w:rPr>
          <w:noProof/>
        </w:rPr>
        <w:t>määrab kindlaks asjakohase ajavahemiku, mille jooksul asutus või, kui tegemist on gruppidega, liidus tegutsev emaettevõtja esitab teabe kriisilahendusasutusele, võttes arvesse küsitud teabe mahtu ja keerukust;</w:t>
      </w:r>
    </w:p>
    <w:p w:rsidR="004B472A" w:rsidRPr="006A2204" w:rsidRDefault="007062E6" w:rsidP="007062E6">
      <w:pPr>
        <w:pStyle w:val="Point1"/>
        <w:rPr>
          <w:noProof/>
        </w:rPr>
      </w:pPr>
      <w:r w:rsidRPr="007062E6">
        <w:rPr>
          <w:noProof/>
        </w:rPr>
        <w:t>(c)</w:t>
      </w:r>
      <w:r w:rsidRPr="007062E6">
        <w:rPr>
          <w:noProof/>
        </w:rPr>
        <w:tab/>
      </w:r>
      <w:r w:rsidR="004B472A" w:rsidRPr="006A2204">
        <w:rPr>
          <w:noProof/>
        </w:rPr>
        <w:t>määrab kindlaks vormingu, mida asutused või, kui tegemist on gruppidega, liidus tegutsevad emaettevõtjad peavad kriisilahendusasutusele teabe esitamiseks kasutama;</w:t>
      </w:r>
    </w:p>
    <w:p w:rsidR="004B472A" w:rsidRPr="006A2204" w:rsidRDefault="007062E6" w:rsidP="007062E6">
      <w:pPr>
        <w:pStyle w:val="Point1"/>
        <w:rPr>
          <w:noProof/>
        </w:rPr>
      </w:pPr>
      <w:r w:rsidRPr="007062E6">
        <w:rPr>
          <w:noProof/>
        </w:rPr>
        <w:t>(d)</w:t>
      </w:r>
      <w:r w:rsidRPr="007062E6">
        <w:rPr>
          <w:noProof/>
        </w:rPr>
        <w:tab/>
      </w:r>
      <w:r w:rsidR="004B472A" w:rsidRPr="006A2204">
        <w:rPr>
          <w:noProof/>
        </w:rPr>
        <w:t>määrab kindlaks, kas teave tuleb esitada individuaalsel, allkonsolideeritud või konsolideeritud alusel ning kas selle ulatus on kohalik, üleliiduline või üleilmne;</w:t>
      </w:r>
    </w:p>
    <w:p w:rsidR="004B472A" w:rsidRPr="006A2204" w:rsidRDefault="007062E6" w:rsidP="007062E6">
      <w:pPr>
        <w:pStyle w:val="Point1"/>
        <w:rPr>
          <w:noProof/>
        </w:rPr>
      </w:pPr>
      <w:r w:rsidRPr="007062E6">
        <w:rPr>
          <w:noProof/>
        </w:rPr>
        <w:t>(e)</w:t>
      </w:r>
      <w:r w:rsidRPr="007062E6">
        <w:rPr>
          <w:noProof/>
        </w:rPr>
        <w:tab/>
      </w:r>
      <w:r w:rsidR="004B472A" w:rsidRPr="006A2204">
        <w:rPr>
          <w:noProof/>
        </w:rPr>
        <w:t>täpsustab teabe täpse saaja, andmevahetusvormingud ja esitamise korral lisatava teabe, kui tuleb esitada lisateavet.</w:t>
      </w:r>
    </w:p>
    <w:p w:rsidR="004B472A" w:rsidRPr="006A2204" w:rsidRDefault="004B472A" w:rsidP="00184085">
      <w:pPr>
        <w:pStyle w:val="Titrearticle"/>
        <w:rPr>
          <w:noProof/>
        </w:rPr>
      </w:pPr>
      <w:r w:rsidRPr="006A2204">
        <w:rPr>
          <w:noProof/>
        </w:rPr>
        <w:t>Artikkel 9</w:t>
      </w:r>
    </w:p>
    <w:p w:rsidR="004B472A" w:rsidRPr="006A2204" w:rsidRDefault="004B472A" w:rsidP="00184085">
      <w:pPr>
        <w:pStyle w:val="Titrearticle"/>
        <w:spacing w:before="0"/>
        <w:rPr>
          <w:b/>
          <w:bCs/>
          <w:i w:val="0"/>
          <w:iCs/>
          <w:noProof/>
        </w:rPr>
      </w:pPr>
      <w:r w:rsidRPr="006A2204">
        <w:rPr>
          <w:b/>
          <w:i w:val="0"/>
          <w:noProof/>
        </w:rPr>
        <w:t>Pädevate asutuste ja kriisilahendusasutuste vaheline koostöö</w:t>
      </w:r>
    </w:p>
    <w:p w:rsidR="004B472A" w:rsidRPr="006A2204" w:rsidRDefault="007062E6" w:rsidP="007062E6">
      <w:pPr>
        <w:pStyle w:val="ManualNumPar1"/>
        <w:rPr>
          <w:noProof/>
        </w:rPr>
      </w:pPr>
      <w:r w:rsidRPr="007062E6">
        <w:rPr>
          <w:noProof/>
        </w:rPr>
        <w:t>1.</w:t>
      </w:r>
      <w:r w:rsidRPr="007062E6">
        <w:rPr>
          <w:noProof/>
        </w:rPr>
        <w:tab/>
      </w:r>
      <w:r w:rsidR="004B472A" w:rsidRPr="006A2204">
        <w:rPr>
          <w:noProof/>
        </w:rPr>
        <w:t>Pädevad asutused ja kriisilahendusasutused kontrollivad üheskoos, kas teave, mis tuleb kriisilahendusasutusele esitada kooskõlas artiklitega 2–5 ning artiklitega 7 ja 8, on pädevale asutusele osaliselt või täielikult juba kättesaadav.</w:t>
      </w:r>
    </w:p>
    <w:p w:rsidR="004B472A" w:rsidRPr="006A2204" w:rsidRDefault="007062E6" w:rsidP="007062E6">
      <w:pPr>
        <w:pStyle w:val="ManualNumPar1"/>
        <w:rPr>
          <w:noProof/>
        </w:rPr>
      </w:pPr>
      <w:r w:rsidRPr="007062E6">
        <w:rPr>
          <w:noProof/>
        </w:rPr>
        <w:t>2.</w:t>
      </w:r>
      <w:r w:rsidRPr="007062E6">
        <w:rPr>
          <w:noProof/>
        </w:rPr>
        <w:tab/>
      </w:r>
      <w:r w:rsidR="004B472A" w:rsidRPr="006A2204">
        <w:rPr>
          <w:noProof/>
        </w:rPr>
        <w:t xml:space="preserve">Juhul kui teave on pädevale asutusele osaliselt või täielikult juba kättesaadav, esitab nimetatud asutus sellise teabe kriisilahendusasutusele õigel ajal. </w:t>
      </w:r>
    </w:p>
    <w:p w:rsidR="004B472A" w:rsidRPr="006A2204" w:rsidRDefault="007062E6" w:rsidP="007062E6">
      <w:pPr>
        <w:pStyle w:val="ManualNumPar1"/>
        <w:rPr>
          <w:noProof/>
        </w:rPr>
      </w:pPr>
      <w:r w:rsidRPr="007062E6">
        <w:rPr>
          <w:noProof/>
        </w:rPr>
        <w:t>3.</w:t>
      </w:r>
      <w:r w:rsidRPr="007062E6">
        <w:rPr>
          <w:noProof/>
        </w:rPr>
        <w:tab/>
      </w:r>
      <w:r w:rsidR="00914032" w:rsidRPr="006A2204">
        <w:rPr>
          <w:noProof/>
        </w:rPr>
        <w:t>Lõike 2 kohaldamisel teatavad kriisilahendusasutused asutustele või, kui tegemist on gruppidega, nende liidus tegutsevatele emaettevõtjatele, milline teave tuleb teabe esitamise korral lisada kooskõlas käesoleva määrusega. Kriisilahendusasutused identifitseerivad selle teabe, viidates I lisas esitatud vormidele.</w:t>
      </w:r>
    </w:p>
    <w:p w:rsidR="004B472A" w:rsidRPr="006A2204" w:rsidRDefault="004B472A" w:rsidP="00184085">
      <w:pPr>
        <w:pStyle w:val="Titrearticle"/>
        <w:rPr>
          <w:noProof/>
        </w:rPr>
      </w:pPr>
      <w:r w:rsidRPr="006A2204">
        <w:rPr>
          <w:noProof/>
        </w:rPr>
        <w:t>Artikkel 10</w:t>
      </w:r>
    </w:p>
    <w:p w:rsidR="004B472A" w:rsidRPr="006A2204" w:rsidRDefault="004B472A" w:rsidP="00184085">
      <w:pPr>
        <w:pStyle w:val="Titrearticle"/>
        <w:spacing w:before="0"/>
        <w:rPr>
          <w:b/>
          <w:bCs/>
          <w:i w:val="0"/>
          <w:iCs/>
          <w:noProof/>
        </w:rPr>
      </w:pPr>
      <w:r w:rsidRPr="006A2204">
        <w:rPr>
          <w:b/>
          <w:i w:val="0"/>
          <w:noProof/>
        </w:rPr>
        <w:t>Kehtetuks tunnistamine</w:t>
      </w:r>
    </w:p>
    <w:p w:rsidR="004B472A" w:rsidRPr="006A2204" w:rsidRDefault="004B472A" w:rsidP="00184085">
      <w:pPr>
        <w:rPr>
          <w:noProof/>
        </w:rPr>
      </w:pPr>
      <w:r w:rsidRPr="006A2204">
        <w:rPr>
          <w:noProof/>
        </w:rPr>
        <w:t>Rakendusmäärus (EL) 2018/1624 tunnistatakse kehtetuks.</w:t>
      </w:r>
    </w:p>
    <w:p w:rsidR="004B472A" w:rsidRPr="006A2204" w:rsidRDefault="004B472A" w:rsidP="00184085">
      <w:pPr>
        <w:rPr>
          <w:noProof/>
        </w:rPr>
      </w:pPr>
      <w:r w:rsidRPr="006A2204">
        <w:rPr>
          <w:noProof/>
        </w:rPr>
        <w:t>Viiteid kehtetuks tunnistatud rakendusmäärusele käsitatakse viidetena käesolevale määrusele.</w:t>
      </w:r>
    </w:p>
    <w:p w:rsidR="00860655" w:rsidRPr="006A2204" w:rsidRDefault="00860655" w:rsidP="00184085">
      <w:pPr>
        <w:pStyle w:val="Titrearticle"/>
        <w:rPr>
          <w:noProof/>
        </w:rPr>
      </w:pPr>
      <w:r w:rsidRPr="006A2204">
        <w:rPr>
          <w:noProof/>
        </w:rPr>
        <w:t>Artikkel 11</w:t>
      </w:r>
    </w:p>
    <w:p w:rsidR="004B472A" w:rsidRPr="006A2204" w:rsidRDefault="004B472A" w:rsidP="00184085">
      <w:pPr>
        <w:pStyle w:val="Titrearticle"/>
        <w:spacing w:before="0"/>
        <w:rPr>
          <w:b/>
          <w:bCs/>
          <w:i w:val="0"/>
          <w:iCs/>
          <w:noProof/>
        </w:rPr>
      </w:pPr>
      <w:r w:rsidRPr="006A2204">
        <w:rPr>
          <w:b/>
          <w:i w:val="0"/>
          <w:noProof/>
        </w:rPr>
        <w:t>Jõustumine</w:t>
      </w:r>
    </w:p>
    <w:p w:rsidR="00860655" w:rsidRPr="006A2204" w:rsidRDefault="00860655" w:rsidP="00184085">
      <w:pPr>
        <w:rPr>
          <w:noProof/>
        </w:rPr>
      </w:pPr>
      <w:r w:rsidRPr="006A2204">
        <w:rPr>
          <w:noProof/>
        </w:rPr>
        <w:t xml:space="preserve">Käesolev määrus jõustub kahekümnendal päeval pärast selle avaldamist </w:t>
      </w:r>
      <w:r w:rsidRPr="006A2204">
        <w:rPr>
          <w:i/>
          <w:noProof/>
        </w:rPr>
        <w:t>Euroopa Liidu Teatajas</w:t>
      </w:r>
      <w:r w:rsidRPr="006A2204">
        <w:rPr>
          <w:noProof/>
        </w:rPr>
        <w:t>.</w:t>
      </w:r>
    </w:p>
    <w:p w:rsidR="00860655" w:rsidRPr="006A2204" w:rsidRDefault="00860655" w:rsidP="001E741A">
      <w:pPr>
        <w:pStyle w:val="Applicationdirecte"/>
        <w:keepNext/>
        <w:keepLines/>
        <w:rPr>
          <w:noProof/>
        </w:rPr>
      </w:pPr>
      <w:r w:rsidRPr="006A2204">
        <w:rPr>
          <w:noProof/>
        </w:rPr>
        <w:t>Käesolev määrus on tervikuna siduv ja vahetult kohaldatav kõikides liikmesriikides.</w:t>
      </w:r>
    </w:p>
    <w:p w:rsidR="00860655" w:rsidRPr="006A2204" w:rsidRDefault="006B19A6" w:rsidP="001E741A">
      <w:pPr>
        <w:pStyle w:val="Fait"/>
        <w:rPr>
          <w:noProof/>
        </w:rPr>
      </w:pPr>
      <w:r>
        <w:rPr>
          <w:noProof/>
        </w:rPr>
        <w:t>Brüssel, 14.11.2025</w:t>
      </w:r>
    </w:p>
    <w:p w:rsidR="00860655" w:rsidRPr="006A2204" w:rsidRDefault="00860655" w:rsidP="001E741A">
      <w:pPr>
        <w:pStyle w:val="Institutionquisigne"/>
        <w:rPr>
          <w:noProof/>
        </w:rPr>
      </w:pPr>
      <w:r w:rsidRPr="006A2204">
        <w:rPr>
          <w:noProof/>
        </w:rPr>
        <w:tab/>
        <w:t>Komisjoni nimel</w:t>
      </w:r>
    </w:p>
    <w:p w:rsidR="00860655" w:rsidRPr="006A2204" w:rsidRDefault="00D10FAF" w:rsidP="00184085">
      <w:pPr>
        <w:pStyle w:val="Personnequisigne"/>
        <w:rPr>
          <w:noProof/>
        </w:rPr>
      </w:pPr>
      <w:r>
        <w:rPr>
          <w:noProof/>
        </w:rPr>
        <w:tab/>
        <w:t>president</w:t>
      </w:r>
      <w:r>
        <w:rPr>
          <w:noProof/>
        </w:rPr>
        <w:br/>
      </w:r>
      <w:r>
        <w:rPr>
          <w:noProof/>
        </w:rPr>
        <w:tab/>
        <w:t>Ursula VON DER LEYEN</w:t>
      </w:r>
    </w:p>
    <w:sectPr w:rsidR="00860655" w:rsidRPr="006A2204" w:rsidSect="005865D7">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7" w:rsidRPr="005865D7" w:rsidRDefault="005865D7" w:rsidP="005865D7">
    <w:pPr>
      <w:pStyle w:val="Footer"/>
      <w:rPr>
        <w:rFonts w:ascii="Arial" w:hAnsi="Arial" w:cs="Arial"/>
        <w:b/>
        <w:sz w:val="48"/>
      </w:rPr>
    </w:pPr>
    <w:r w:rsidRPr="005865D7">
      <w:rPr>
        <w:rFonts w:ascii="Arial" w:hAnsi="Arial" w:cs="Arial"/>
        <w:b/>
        <w:sz w:val="48"/>
      </w:rPr>
      <w:t>ET</w:t>
    </w:r>
    <w:r w:rsidRPr="005865D7">
      <w:rPr>
        <w:rFonts w:ascii="Arial" w:hAnsi="Arial" w:cs="Arial"/>
        <w:b/>
        <w:sz w:val="48"/>
      </w:rPr>
      <w:tab/>
    </w:r>
    <w:r w:rsidRPr="005865D7">
      <w:rPr>
        <w:rFonts w:ascii="Arial" w:hAnsi="Arial" w:cs="Arial"/>
        <w:b/>
        <w:sz w:val="48"/>
      </w:rPr>
      <w:tab/>
    </w:r>
    <w:r w:rsidRPr="005865D7">
      <w:tab/>
    </w:r>
    <w:r w:rsidRPr="005865D7">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7" w:rsidRPr="005865D7" w:rsidRDefault="005865D7" w:rsidP="005865D7">
    <w:pPr>
      <w:pStyle w:val="Footer"/>
      <w:rPr>
        <w:rFonts w:ascii="Arial" w:hAnsi="Arial" w:cs="Arial"/>
        <w:b/>
        <w:sz w:val="48"/>
      </w:rPr>
    </w:pPr>
    <w:r w:rsidRPr="005865D7">
      <w:rPr>
        <w:rFonts w:ascii="Arial" w:hAnsi="Arial" w:cs="Arial"/>
        <w:b/>
        <w:sz w:val="48"/>
      </w:rPr>
      <w:t>ET</w:t>
    </w:r>
    <w:r w:rsidRPr="005865D7">
      <w:rPr>
        <w:rFonts w:ascii="Arial" w:hAnsi="Arial" w:cs="Arial"/>
        <w:b/>
        <w:sz w:val="48"/>
      </w:rPr>
      <w:tab/>
    </w:r>
    <w:r w:rsidRPr="005865D7">
      <w:rPr>
        <w:rFonts w:ascii="Arial" w:hAnsi="Arial" w:cs="Arial"/>
        <w:b/>
        <w:sz w:val="48"/>
      </w:rPr>
      <w:tab/>
    </w:r>
    <w:r w:rsidRPr="005865D7">
      <w:tab/>
    </w:r>
    <w:r w:rsidRPr="005865D7">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7" w:rsidRDefault="005865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7" w:rsidRPr="005865D7" w:rsidRDefault="005865D7" w:rsidP="005865D7">
    <w:pPr>
      <w:pStyle w:val="Footer"/>
      <w:rPr>
        <w:rFonts w:ascii="Arial" w:hAnsi="Arial" w:cs="Arial"/>
        <w:b/>
        <w:sz w:val="48"/>
      </w:rPr>
    </w:pPr>
    <w:r w:rsidRPr="005865D7">
      <w:rPr>
        <w:rFonts w:ascii="Arial" w:hAnsi="Arial" w:cs="Arial"/>
        <w:b/>
        <w:sz w:val="48"/>
      </w:rPr>
      <w:t>ET</w:t>
    </w:r>
    <w:r w:rsidRPr="005865D7">
      <w:rPr>
        <w:rFonts w:ascii="Arial" w:hAnsi="Arial" w:cs="Arial"/>
        <w:b/>
        <w:sz w:val="48"/>
      </w:rPr>
      <w:tab/>
    </w:r>
    <w:r>
      <w:fldChar w:fldCharType="begin"/>
    </w:r>
    <w:r>
      <w:instrText xml:space="preserve"> PAGE  \* MERGEFORMAT </w:instrText>
    </w:r>
    <w:r>
      <w:fldChar w:fldCharType="separate"/>
    </w:r>
    <w:r w:rsidR="00DB082B">
      <w:rPr>
        <w:noProof/>
      </w:rPr>
      <w:t>2</w:t>
    </w:r>
    <w:r>
      <w:fldChar w:fldCharType="end"/>
    </w:r>
    <w:r>
      <w:tab/>
    </w:r>
    <w:r w:rsidRPr="005865D7">
      <w:tab/>
    </w:r>
    <w:r w:rsidRPr="005865D7">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7" w:rsidRDefault="005865D7" w:rsidP="00586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pPr>
      <w:r>
        <w:rPr>
          <w:rStyle w:val="FootnoteReference"/>
        </w:rPr>
        <w:footnoteRef/>
      </w:r>
      <w:r>
        <w:tab/>
        <w:t>ELT L 173, 12.6.2014, lk 190, ELI: http://data.europa.eu/eli/dir/2014/59/oj.</w:t>
      </w:r>
    </w:p>
  </w:footnote>
  <w:footnote w:id="3">
    <w:p w:rsidR="00736C47" w:rsidRPr="004E6E7D" w:rsidRDefault="00736C47">
      <w:pPr>
        <w:pStyle w:val="FootnoteText"/>
      </w:pPr>
      <w:r>
        <w:rPr>
          <w:rStyle w:val="FootnoteReference"/>
        </w:rPr>
        <w:footnoteRef/>
      </w:r>
      <w:r>
        <w:tab/>
        <w:t>Komisjoni 23. oktoobri 2018. aasta rakendusmäärus (EL) 2018/1624, millega kehtestatakse rakenduslikud tehnilised standardid seoses sellise korra ning standardvormide ja -mallidega, mida kasutatakse teabe esitamiseks eesmärgiga koostada kriisilahenduskavad krediidiasutuste ja investeerimisühingute jaoks vastavalt Euroopa Parlamendi ja nõukogu direktiivile 2014/59/EL, ning millega tunnistatakse kehtetuks komisjoni rakendusmäärus (EL) 2016/1066 (ELT L 277, 7.11.2018, lk 1, ELI: http://data.europa.eu/eli/reg_impl/2018/1624/oj).</w:t>
      </w:r>
    </w:p>
  </w:footnote>
  <w:footnote w:id="4">
    <w:p w:rsidR="00736C47" w:rsidRPr="004E6E7D" w:rsidRDefault="00736C47">
      <w:pPr>
        <w:pStyle w:val="FootnoteText"/>
      </w:pPr>
      <w:r>
        <w:rPr>
          <w:rStyle w:val="FootnoteReference"/>
        </w:rPr>
        <w:footnoteRef/>
      </w:r>
      <w:r>
        <w:tab/>
        <w:t>Euroopa Parlamendi ja nõukogu 11. aprilli 2024. aasta direktiiv (EL) 2024/1174, millega muudetakse direktiivi 2014/59/EL ja määrust (EL) nr 806/2014 seoses omavahendite ja kõlblike kohustuste miinimumnõude teatavate aspektidega (ELT L, 2024/1174, 22.4.2024, lk 1, ELI: http://data.europa.eu/eli/dir/2024/1174/oj).</w:t>
      </w:r>
    </w:p>
  </w:footnote>
  <w:footnote w:id="5">
    <w:p w:rsidR="00736C47" w:rsidRPr="004E6E7D" w:rsidRDefault="00736C47">
      <w:pPr>
        <w:pStyle w:val="FootnoteText"/>
      </w:pPr>
      <w:r>
        <w:rPr>
          <w:rStyle w:val="FootnoteReference"/>
        </w:rPr>
        <w:footnoteRef/>
      </w:r>
      <w:r>
        <w:tab/>
        <w:t>Euroopa Parlamendi ja nõukogu 24. novembri 2010. aasta määrus (EL) nr 1093/2010, millega asutatakse Euroopa Järelevalveasutus (Euroopa Pangandusjärelevalve), muudetakse otsust nr 716/2009/EÜ ning tunnistatakse kehtetuks komisjoni otsus 2009/78/EÜ (ELT L 331, 15.12.2010, lk 12, ELI: http://data.europa.eu/eli/reg/2010/1093/oj).</w:t>
      </w:r>
    </w:p>
  </w:footnote>
  <w:footnote w:id="6">
    <w:p w:rsidR="00736C47" w:rsidRPr="004E6E7D" w:rsidRDefault="00736C47">
      <w:pPr>
        <w:pStyle w:val="FootnoteText"/>
      </w:pPr>
      <w:r>
        <w:rPr>
          <w:rStyle w:val="FootnoteReference"/>
        </w:rPr>
        <w:footnoteRef/>
      </w:r>
      <w:r>
        <w:tab/>
        <w:t>Euroopa Parlamendi ja nõukogu 26. juuni 2013. aasta määrus (EL) nr 575/2013, mis käsitleb krediidiasutuste suhtes kohaldatavaid usaldatavusnõudeid ja millega muudetakse määrust (EL) nr 648/2012 (ELT L 176, 27.6.2013, lk 1, ELI: http://data.europa.eu/eli/reg/2013/575/oj).</w:t>
      </w:r>
    </w:p>
  </w:footnote>
  <w:footnote w:id="7">
    <w:p w:rsidR="00736C47" w:rsidRPr="004E6E7D" w:rsidRDefault="00736C47">
      <w:pPr>
        <w:pStyle w:val="FootnoteText"/>
      </w:pPr>
      <w:r>
        <w:rPr>
          <w:rStyle w:val="FootnoteReference"/>
        </w:rPr>
        <w:footnoteRef/>
      </w:r>
      <w:r>
        <w:tab/>
        <w:t>Euroopa Parlamendi ja nõukogu 26. juuni 2013. aasta direktiiv 2013/36/EL, mis käsitleb krediidiasutuste tegevuse alustamise tingimusi ning krediidiasutuste usaldatavusnõuete täitmise järelevalvet, millega muudetakse direktiivi 2002/87/EÜ ning millega tunnistatakse kehtetuks direktiivid 2006/48/EÜ ja 2006/49/EÜ (ELT L 176, 27.6.2013, lk 338, ELI: http://data.europa.eu/eli/dir/2013/36/oj).</w:t>
      </w:r>
    </w:p>
  </w:footnote>
  <w:footnote w:id="8">
    <w:p w:rsidR="00736C47" w:rsidRPr="00736C47" w:rsidRDefault="00736C47">
      <w:pPr>
        <w:pStyle w:val="FootnoteText"/>
      </w:pPr>
      <w:r>
        <w:rPr>
          <w:rStyle w:val="FootnoteReference"/>
        </w:rPr>
        <w:footnoteRef/>
      </w:r>
      <w:r>
        <w:tab/>
        <w:t>Euroopa Parlamendi ja nõukogu 27. novembri 2019. aastamäärus (EL) 2019/2033, mis käsitleb investeerimisühingute suhtes kohaldatavaid usaldatavusnõudeid ning millega muudetakse määrusi (EL) nr 1093/2010, (EL) nr 575/2013, (EL) nr 600/2014 ja (EL) nr 806/2014 (ELT L 314, 5.12.2019, lk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7" w:rsidRDefault="00586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D7" w:rsidRDefault="00586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1"/>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7:0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6B3532C-2F72-4D2C-94F0-FEAD6BCCAD63"/>
    <w:docVar w:name="LW_COVERPAGE_TYPE" w:val="1"/>
    <w:docVar w:name="LW_CreatedUtc" w:val="2025-04-09T13:24:10.7425134Z"/>
    <w:docVar w:name="LW_CROSSREFERENCE" w:val="&lt;UNUSED&gt;"/>
    <w:docVar w:name="LW_DATE.ADOPT.CP" w:val="14.11.2025,"/>
    <w:docVar w:name="LW_DATE.ADOPT.CP_DATEFORMAT" w:val="%DATE%,"/>
    <w:docVar w:name="LW_DATE.ADOPT.CP_ISODATE" w:val="2025-11-14"/>
    <w:docVar w:name="LW_DocType" w:val="COM"/>
    <w:docVar w:name="LW_EMISSION" w:val="14.11.2025"/>
    <w:docVar w:name="LW_EMISSION_ISODATE" w:val="2025-11-14"/>
    <w:docVar w:name="LW_EMISSION_LOCATION" w:val="BRX"/>
    <w:docVar w:name="LW_EMISSION_PREFIX" w:val="Brüssel,"/>
    <w:docVar w:name="LW_EMISSION_SUFFIX" w:val=" "/>
    <w:docVar w:name="LW_ID_DOCMODEL" w:val="SJ-004"/>
    <w:docVar w:name="LW_ID_DOCSIGNATURE" w:val="SJ-004"/>
    <w:docVar w:name="LW_ID_DOCSTRUCTURE" w:val="COM/AA"/>
    <w:docVar w:name="LW_ID_DOCTYPE" w:val="SJ-004"/>
    <w:docVar w:name="LW_INTERETEEE.CP" w:val="(EMPs kohaldatav tekst)"/>
    <w:docVar w:name="LW_LANGUE" w:val="ET"/>
    <w:docVar w:name="LW_LANGUESFAISANTFOI.CP" w:val="&lt;UNUSED&gt;"/>
    <w:docVar w:name="LW_LEVEL_OF_SENSITIVITY" w:val="Standard treatment"/>
    <w:docVar w:name="LW_NOM.INST" w:val="EUROOPA KOMISJON"/>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illega kehtestatakse rakenduslikud tehnilised standardid seoses sellise korra ning standardvormide ja -mallidega, mida kasutatakse teabe esitamiseks eesmärgiga koostada kriisilahenduskavad krediidiasutuste ja investeerimisühingute jaoks vastavalt Euroopa Parlamendi ja nõukogu direktiivile 2014/59/EL, ning millega tunnistatakse kehtetuks komisjoni rakendusmäärus (EL) 2018/1624"/>
    <w:docVar w:name="LW_TYPE.DOC.CP" w:val="KOMISJONI RAKENDUSMÄÄRUS (EL) \u8230?/\u8230?,"/>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0FCB"/>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E741A"/>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3594"/>
    <w:rsid w:val="002240FE"/>
    <w:rsid w:val="002254AE"/>
    <w:rsid w:val="00225EC6"/>
    <w:rsid w:val="00226CAF"/>
    <w:rsid w:val="00227B0D"/>
    <w:rsid w:val="00227EDB"/>
    <w:rsid w:val="00230726"/>
    <w:rsid w:val="0023110C"/>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3D27"/>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2FB"/>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1FA6"/>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0758A"/>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5D9"/>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65B"/>
    <w:rsid w:val="00551FD8"/>
    <w:rsid w:val="00552022"/>
    <w:rsid w:val="00552EEC"/>
    <w:rsid w:val="00554891"/>
    <w:rsid w:val="005655BA"/>
    <w:rsid w:val="00573EF6"/>
    <w:rsid w:val="00577772"/>
    <w:rsid w:val="0058118B"/>
    <w:rsid w:val="00582810"/>
    <w:rsid w:val="00582ED2"/>
    <w:rsid w:val="00583D8A"/>
    <w:rsid w:val="005865D7"/>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20A1C"/>
    <w:rsid w:val="006222BE"/>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5DA1"/>
    <w:rsid w:val="00696893"/>
    <w:rsid w:val="00697E0E"/>
    <w:rsid w:val="006A0137"/>
    <w:rsid w:val="006A0F10"/>
    <w:rsid w:val="006A2204"/>
    <w:rsid w:val="006A269B"/>
    <w:rsid w:val="006A5DD5"/>
    <w:rsid w:val="006B19A6"/>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062E6"/>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464B3"/>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7F7949"/>
    <w:rsid w:val="00801402"/>
    <w:rsid w:val="008014C7"/>
    <w:rsid w:val="008021E0"/>
    <w:rsid w:val="00802BD0"/>
    <w:rsid w:val="00802FC2"/>
    <w:rsid w:val="008035E3"/>
    <w:rsid w:val="00803C58"/>
    <w:rsid w:val="00806DC8"/>
    <w:rsid w:val="00807C30"/>
    <w:rsid w:val="008120E0"/>
    <w:rsid w:val="00817C80"/>
    <w:rsid w:val="008200A7"/>
    <w:rsid w:val="00820151"/>
    <w:rsid w:val="008210DC"/>
    <w:rsid w:val="00822CB9"/>
    <w:rsid w:val="00822FA7"/>
    <w:rsid w:val="0082357B"/>
    <w:rsid w:val="00823C51"/>
    <w:rsid w:val="00825DE4"/>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C1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2EF1"/>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A620C"/>
    <w:rsid w:val="009B3320"/>
    <w:rsid w:val="009B4623"/>
    <w:rsid w:val="009B5048"/>
    <w:rsid w:val="009B5878"/>
    <w:rsid w:val="009B6887"/>
    <w:rsid w:val="009B7970"/>
    <w:rsid w:val="009C3882"/>
    <w:rsid w:val="009C3C55"/>
    <w:rsid w:val="009C4AA1"/>
    <w:rsid w:val="009C601A"/>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07E5"/>
    <w:rsid w:val="00A546BE"/>
    <w:rsid w:val="00A5534F"/>
    <w:rsid w:val="00A565C7"/>
    <w:rsid w:val="00A61F97"/>
    <w:rsid w:val="00A62D23"/>
    <w:rsid w:val="00A634A0"/>
    <w:rsid w:val="00A642FA"/>
    <w:rsid w:val="00A748FA"/>
    <w:rsid w:val="00A803C4"/>
    <w:rsid w:val="00A82F1C"/>
    <w:rsid w:val="00A85B65"/>
    <w:rsid w:val="00A93F8D"/>
    <w:rsid w:val="00A95E76"/>
    <w:rsid w:val="00AA112B"/>
    <w:rsid w:val="00AA1EA4"/>
    <w:rsid w:val="00AC295E"/>
    <w:rsid w:val="00AC3770"/>
    <w:rsid w:val="00AC496B"/>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0151"/>
    <w:rsid w:val="00B32476"/>
    <w:rsid w:val="00B3365B"/>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0C4"/>
    <w:rsid w:val="00BB4934"/>
    <w:rsid w:val="00BB54B0"/>
    <w:rsid w:val="00BB56FC"/>
    <w:rsid w:val="00BB66D8"/>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0FAF"/>
    <w:rsid w:val="00D12BB5"/>
    <w:rsid w:val="00D12D0A"/>
    <w:rsid w:val="00D1794A"/>
    <w:rsid w:val="00D20381"/>
    <w:rsid w:val="00D26558"/>
    <w:rsid w:val="00D32D86"/>
    <w:rsid w:val="00D34A7B"/>
    <w:rsid w:val="00D34BED"/>
    <w:rsid w:val="00D3579D"/>
    <w:rsid w:val="00D419A7"/>
    <w:rsid w:val="00D42D5B"/>
    <w:rsid w:val="00D52489"/>
    <w:rsid w:val="00D54EB6"/>
    <w:rsid w:val="00D56975"/>
    <w:rsid w:val="00D56C39"/>
    <w:rsid w:val="00D61120"/>
    <w:rsid w:val="00D62F33"/>
    <w:rsid w:val="00D6446E"/>
    <w:rsid w:val="00D64E86"/>
    <w:rsid w:val="00D65CFB"/>
    <w:rsid w:val="00D70734"/>
    <w:rsid w:val="00D708E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082B"/>
    <w:rsid w:val="00DB2642"/>
    <w:rsid w:val="00DB4867"/>
    <w:rsid w:val="00DB4B20"/>
    <w:rsid w:val="00DB5830"/>
    <w:rsid w:val="00DC1A68"/>
    <w:rsid w:val="00DC2B49"/>
    <w:rsid w:val="00DC2FF2"/>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5B60"/>
    <w:rsid w:val="00DF6014"/>
    <w:rsid w:val="00E0068D"/>
    <w:rsid w:val="00E01F26"/>
    <w:rsid w:val="00E03986"/>
    <w:rsid w:val="00E07235"/>
    <w:rsid w:val="00E07CF0"/>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0328"/>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2476"/>
    <w:rsid w:val="00F7500C"/>
    <w:rsid w:val="00F9003C"/>
    <w:rsid w:val="00F9226F"/>
    <w:rsid w:val="00F93703"/>
    <w:rsid w:val="00F95432"/>
    <w:rsid w:val="00F95CA6"/>
    <w:rsid w:val="00F965A8"/>
    <w:rsid w:val="00F96AC1"/>
    <w:rsid w:val="00F96DCD"/>
    <w:rsid w:val="00F97417"/>
    <w:rsid w:val="00FA27E2"/>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et-EE"/>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et-EE"/>
    </w:rPr>
  </w:style>
  <w:style w:type="paragraph" w:customStyle="1" w:styleId="Numberedtilelevel1">
    <w:name w:val="Numbered tile level 1"/>
    <w:basedOn w:val="Normal"/>
    <w:qFormat/>
    <w:rsid w:val="00F66A8D"/>
    <w:pPr>
      <w:numPr>
        <w:numId w:val="18"/>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8"/>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8"/>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20"/>
      </w:numPr>
      <w:contextualSpacing/>
    </w:pPr>
  </w:style>
  <w:style w:type="paragraph" w:styleId="ListNumber2">
    <w:name w:val="List Number 2"/>
    <w:basedOn w:val="Normal"/>
    <w:uiPriority w:val="99"/>
    <w:semiHidden/>
    <w:unhideWhenUsed/>
    <w:rsid w:val="00F66A8D"/>
    <w:pPr>
      <w:numPr>
        <w:numId w:val="21"/>
      </w:numPr>
      <w:contextualSpacing/>
    </w:pPr>
  </w:style>
  <w:style w:type="paragraph" w:styleId="ListNumber3">
    <w:name w:val="List Number 3"/>
    <w:basedOn w:val="Normal"/>
    <w:uiPriority w:val="99"/>
    <w:semiHidden/>
    <w:unhideWhenUsed/>
    <w:rsid w:val="00F66A8D"/>
    <w:pPr>
      <w:numPr>
        <w:numId w:val="22"/>
      </w:numPr>
      <w:contextualSpacing/>
    </w:pPr>
  </w:style>
  <w:style w:type="paragraph" w:styleId="ListNumber4">
    <w:name w:val="List Number 4"/>
    <w:basedOn w:val="Normal"/>
    <w:uiPriority w:val="99"/>
    <w:semiHidden/>
    <w:unhideWhenUsed/>
    <w:rsid w:val="00F66A8D"/>
    <w:pPr>
      <w:numPr>
        <w:numId w:val="23"/>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5865D7"/>
    <w:rPr>
      <w:rFonts w:ascii="Times New Roman" w:hAnsi="Times New Roman" w:cs="Times New Roman"/>
      <w:sz w:val="24"/>
      <w:lang w:val="et-EE"/>
    </w:rPr>
  </w:style>
  <w:style w:type="character" w:customStyle="1" w:styleId="FooterChar">
    <w:name w:val="Footer Char"/>
    <w:basedOn w:val="DefaultParagraphFont"/>
    <w:link w:val="Footer"/>
    <w:uiPriority w:val="99"/>
    <w:rsid w:val="005865D7"/>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865D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865D7"/>
    <w:pPr>
      <w:spacing w:before="0"/>
      <w:jc w:val="right"/>
    </w:pPr>
    <w:rPr>
      <w:sz w:val="28"/>
    </w:rPr>
  </w:style>
  <w:style w:type="paragraph" w:customStyle="1" w:styleId="FooterSensitivity">
    <w:name w:val="Footer Sensitivity"/>
    <w:basedOn w:val="Normal"/>
    <w:rsid w:val="005865D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865D7"/>
    <w:pPr>
      <w:tabs>
        <w:tab w:val="center" w:pos="4535"/>
        <w:tab w:val="right" w:pos="9071"/>
      </w:tabs>
      <w:spacing w:before="0"/>
    </w:pPr>
  </w:style>
  <w:style w:type="paragraph" w:customStyle="1" w:styleId="HeaderLandscape">
    <w:name w:val="HeaderLandscape"/>
    <w:basedOn w:val="Normal"/>
    <w:rsid w:val="005865D7"/>
    <w:pPr>
      <w:tabs>
        <w:tab w:val="center" w:pos="7285"/>
        <w:tab w:val="right" w:pos="14003"/>
      </w:tabs>
      <w:spacing w:before="0"/>
    </w:pPr>
  </w:style>
  <w:style w:type="paragraph" w:styleId="Footer">
    <w:name w:val="footer"/>
    <w:basedOn w:val="Normal"/>
    <w:link w:val="FooterChar"/>
    <w:uiPriority w:val="99"/>
    <w:unhideWhenUsed/>
    <w:rsid w:val="005865D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865D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2.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229</TotalTime>
  <Pages>10</Pages>
  <Words>3580</Words>
  <Characters>20407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65</cp:revision>
  <dcterms:created xsi:type="dcterms:W3CDTF">2025-08-04T13:17:00Z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