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F04E52" w:rsidRDefault="00B47BF9" w:rsidP="00B47BF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0B1C65D-A2A3-4E2C-8CD9-33D216919411" style="width:455.25pt;height:426pt">
            <v:imagedata r:id="rId10" o:title=""/>
          </v:shape>
        </w:pict>
      </w:r>
    </w:p>
    <w:p w:rsidR="00860655" w:rsidRPr="00F04E52" w:rsidRDefault="00860655" w:rsidP="00184085">
      <w:pPr>
        <w:rPr>
          <w:noProof/>
        </w:rPr>
        <w:sectPr w:rsidR="00860655" w:rsidRPr="00F04E52" w:rsidSect="00B47BF9">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F04E52" w:rsidRDefault="001A447C" w:rsidP="001A447C">
      <w:pPr>
        <w:pStyle w:val="Typedudocument"/>
        <w:rPr>
          <w:noProof/>
        </w:rPr>
      </w:pPr>
      <w:bookmarkStart w:id="0" w:name="_GoBack"/>
      <w:bookmarkEnd w:id="0"/>
      <w:r w:rsidRPr="001A447C">
        <w:rPr>
          <w:noProof/>
        </w:rPr>
        <w:lastRenderedPageBreak/>
        <w:t>ΕΚΤΕΛΕΣΤΙΚΟΣ ΚΑΝΟΝΙΣΜΟΣ (ΕΕ) …/... ΤΗΣ ΕΠΙΤΡΟΠΗΣ</w:t>
      </w:r>
    </w:p>
    <w:p w:rsidR="00860655" w:rsidRPr="00F04E52" w:rsidRDefault="00914E3A" w:rsidP="001A447C">
      <w:pPr>
        <w:pStyle w:val="Datedadoption"/>
        <w:rPr>
          <w:noProof/>
        </w:rPr>
      </w:pPr>
      <w:r>
        <w:rPr>
          <w:noProof/>
        </w:rPr>
        <w:t>της 14.11.2025</w:t>
      </w:r>
    </w:p>
    <w:p w:rsidR="00860655" w:rsidRPr="00F04E52" w:rsidRDefault="001A447C" w:rsidP="001A447C">
      <w:pPr>
        <w:pStyle w:val="Titreobjet"/>
        <w:rPr>
          <w:noProof/>
        </w:rPr>
      </w:pPr>
      <w:r w:rsidRPr="001A447C">
        <w:rPr>
          <w:noProof/>
        </w:rPr>
        <w:t>σχετικά με τη θέσπιση εκτελεστικών τεχνικών προτύπων όσον αφορά τις διαδικασίες, τα τυποποιημένα έντυπα και τα υποδείγματα για την παροχή πληροφοριών για τους σκοπούς των σχεδίων εξυγίανσης πιστωτικών ιδρυμάτων και επιχειρήσεων επενδύσεων σύμφωνα με την οδηγία 2014/59/ΕΕ του Ευρωπαϊκού Κοινοβουλίου και του Συμβουλίου και για την κατάργηση του εκτελεστικού κανονισμού (ΕΕ) 2018/1624 της Επιτροπής</w:t>
      </w:r>
    </w:p>
    <w:p w:rsidR="00860655" w:rsidRPr="00F04E52" w:rsidRDefault="001A447C" w:rsidP="001A447C">
      <w:pPr>
        <w:pStyle w:val="IntrtEEE"/>
        <w:rPr>
          <w:noProof/>
        </w:rPr>
      </w:pPr>
      <w:r w:rsidRPr="001A447C">
        <w:rPr>
          <w:noProof/>
        </w:rPr>
        <w:t>(Κείμενο που παρουσιάζει ενδιαφέρον για τον ΕΟΧ)</w:t>
      </w:r>
    </w:p>
    <w:p w:rsidR="00860655" w:rsidRPr="00F04E52" w:rsidRDefault="00860655" w:rsidP="00184085">
      <w:pPr>
        <w:pStyle w:val="Institutionquiagit"/>
        <w:rPr>
          <w:noProof/>
        </w:rPr>
      </w:pPr>
      <w:r w:rsidRPr="00F04E52">
        <w:rPr>
          <w:noProof/>
        </w:rPr>
        <w:t>Η ΕΥΡΩΠΑΪΚΗ ΕΠΙΤΡΟΠΗ,</w:t>
      </w:r>
    </w:p>
    <w:p w:rsidR="00860655" w:rsidRPr="00F04E52" w:rsidRDefault="00860655" w:rsidP="00184085">
      <w:pPr>
        <w:rPr>
          <w:noProof/>
        </w:rPr>
      </w:pPr>
      <w:r w:rsidRPr="00F04E52">
        <w:rPr>
          <w:noProof/>
          <w:color w:val="000000"/>
        </w:rPr>
        <w:t>Έχοντας υπόψη τη Συνθήκη για τη λειτουργία της Ευρωπαϊκής Ένωσης,</w:t>
      </w:r>
    </w:p>
    <w:p w:rsidR="00860655" w:rsidRPr="00F04E52" w:rsidRDefault="00860655" w:rsidP="00184085">
      <w:pPr>
        <w:rPr>
          <w:noProof/>
        </w:rPr>
      </w:pPr>
      <w:r w:rsidRPr="00F04E52">
        <w:rPr>
          <w:noProof/>
        </w:rPr>
        <w:t>Έχοντας υπόψη την οδηγία 2014/59/ΕΕ του Ευρωπαϊκού Κοινοβουλίου και του Συμβουλίου, της 15ης Μαΐου 2014, για τη θέσπιση πλαισίου για την ανάκαμψη και την εξυγίανση πιστωτικών ιδρυμάτων και επιχειρήσεων επενδύσεων και για την τροποποίηση της οδηγίας 82/891/ΕΟΚ του Συμβουλίου, και των οδηγιών 2001/24/ΕΚ, 2002/47/ΕΚ, 2004/25/ΕΚ, 2005/56/ΕΚ, 2007/36/ΕΚ, 2011/35/ΕΕ, 2012/30/ΕΕ και 2013/36/ΕΕ, καθώς και των κανονισμών του Ευρωπαϊκού Κοινοβουλίου και του Συμβουλίου (ΕΕ) αριθ. 1093/2010 και (ΕΕ) αριθ. 648/2012</w:t>
      </w:r>
      <w:r w:rsidRPr="00F04E52">
        <w:rPr>
          <w:rStyle w:val="FootnoteReference"/>
          <w:noProof/>
        </w:rPr>
        <w:footnoteReference w:id="2"/>
      </w:r>
      <w:r w:rsidRPr="00F04E52">
        <w:rPr>
          <w:noProof/>
        </w:rPr>
        <w:t>, και ιδίως το άρθρο 11 παράγραφος 3,</w:t>
      </w:r>
    </w:p>
    <w:p w:rsidR="00860655" w:rsidRPr="00F04E52" w:rsidRDefault="00860655" w:rsidP="00184085">
      <w:pPr>
        <w:rPr>
          <w:noProof/>
        </w:rPr>
      </w:pPr>
      <w:r w:rsidRPr="00F04E52">
        <w:rPr>
          <w:noProof/>
        </w:rPr>
        <w:t>Εκτιμώντας τα ακόλουθα:</w:t>
      </w:r>
    </w:p>
    <w:p w:rsidR="00860655" w:rsidRPr="00F04E52" w:rsidRDefault="00227DF6" w:rsidP="00227DF6">
      <w:pPr>
        <w:pStyle w:val="ManualConsidrant"/>
        <w:rPr>
          <w:noProof/>
        </w:rPr>
      </w:pPr>
      <w:r w:rsidRPr="00227DF6">
        <w:rPr>
          <w:noProof/>
        </w:rPr>
        <w:t>(1)</w:t>
      </w:r>
      <w:r w:rsidRPr="00227DF6">
        <w:rPr>
          <w:noProof/>
        </w:rPr>
        <w:tab/>
      </w:r>
      <w:r w:rsidR="00860655" w:rsidRPr="00F04E52">
        <w:rPr>
          <w:noProof/>
        </w:rPr>
        <w:t>Ο εκτελεστικός κανονισμός (ΕΕ) 2018/1624 της Επιτροπής</w:t>
      </w:r>
      <w:r w:rsidR="00860655" w:rsidRPr="00F04E52">
        <w:rPr>
          <w:rStyle w:val="FootnoteReference"/>
          <w:noProof/>
        </w:rPr>
        <w:footnoteReference w:id="3"/>
      </w:r>
      <w:r w:rsidR="00860655" w:rsidRPr="00F04E52">
        <w:rPr>
          <w:noProof/>
        </w:rPr>
        <w:t xml:space="preserve"> καθορίζει τη διαδικασία και θεσπίζει μια ελάχιστη σειρά υποδειγμάτων για την παροχή πληροφοριών από πιστωτικά ιδρύματα ή επιχειρήσεις επενδύσεων στις αρχές εξυγίανσης για την κατάρτιση και την εφαρμογή σχεδίων εξυγίανσης για τα ιδρύματα. Από την έκδοση του εν λόγω κανονισμού, οι αρχές εξυγίανσης έχουν αποκτήσει πείρα όσον αφορά τον σχεδιασμό της εξυγίανσης και η οδηγία 2014/59/ΕΕ έχει τροποποιηθεί. Υπό το πρίσμα της πείρας αυτής και προκειμένου να ληφθούν υπόψη οι νέες διατάξεις της εν λόγω οδηγίας, είναι αναγκαίο να επικαιροποιηθεί η ελάχιστη σειρά υποδειγμάτων για τη συλλογή πληροφοριών για τους σκοπούς του σχεδιασμού της εξυγίανσης.</w:t>
      </w:r>
    </w:p>
    <w:p w:rsidR="003B410C" w:rsidRPr="00F04E52" w:rsidRDefault="00227DF6" w:rsidP="00227DF6">
      <w:pPr>
        <w:pStyle w:val="ManualConsidrant"/>
        <w:rPr>
          <w:noProof/>
        </w:rPr>
      </w:pPr>
      <w:r w:rsidRPr="00227DF6">
        <w:rPr>
          <w:noProof/>
        </w:rPr>
        <w:t>(2)</w:t>
      </w:r>
      <w:r w:rsidRPr="00227DF6">
        <w:rPr>
          <w:noProof/>
        </w:rPr>
        <w:tab/>
      </w:r>
      <w:r w:rsidR="003B410C" w:rsidRPr="00F04E52">
        <w:rPr>
          <w:noProof/>
        </w:rPr>
        <w:t>Ο εκτελεστικός κανονισμός (ΕΕ) 2018/1624 ορίζει μια διαδικασία και μια ελάχιστη σειρά υποδειγμάτων για την παροχή πληροφοριών από τα ιδρύματα στις αρχές εξυγίανσης κατά τρόπο που να τους επιτρέπει να συλλέγουν τις πληροφορίες αυτές με συνεπή τρόπο σε ολόκληρη την Ένωση και που να διευκολύνει την ανταλλαγή πληροφοριών μεταξύ των σχετικών αρχών. Ωστόσο, από την πείρα που έχει αποκτηθεί προκύπτει ότι η εναρμονισμένη προσέγγιση για τη συλλογή των εν λόγω πληροφοριών έχει επιτευχθεί μόνο εν μέρει. Ως εκ τούτου, είναι αναγκαίο ο εν λόγω εκτελεστικός κανονισμός να αναθεωρηθεί, ώστε να προωθηθεί η εναρμόνιση των υποχρεώσεων υποβολής αναφορών σε ολόκληρη την Ένωση με βάση ένα αναθεωρημένο σύνολο υποδειγμάτων, το οποίο αποτυπώνει καλύτερα τις ανάγκες των αρχών εξυγίανσης με συνεκτικό τρόπο. Αυτό δεν θα πρέπει να εμποδίζει τις αρχές εξυγίανσης να συλλέγουν τυχόν πρόσθετες πληροφορίες που κρίνουν αναγκαίες για την κατάρτιση και την εφαρμογή σχεδίων εξυγίανσης ή για τον καθορισμό απλουστευμένων υποχρεώσεων παροχής πληροφοριών σύμφωνα με το άρθρο 4 της οδηγίας 2014/59/ΕΕ.</w:t>
      </w:r>
    </w:p>
    <w:p w:rsidR="003B410C" w:rsidRPr="00F04E52" w:rsidRDefault="00227DF6" w:rsidP="00227DF6">
      <w:pPr>
        <w:pStyle w:val="ManualConsidrant"/>
        <w:rPr>
          <w:noProof/>
        </w:rPr>
      </w:pPr>
      <w:r w:rsidRPr="00227DF6">
        <w:rPr>
          <w:noProof/>
        </w:rPr>
        <w:t>(3)</w:t>
      </w:r>
      <w:r w:rsidRPr="00227DF6">
        <w:rPr>
          <w:noProof/>
        </w:rPr>
        <w:tab/>
      </w:r>
      <w:r w:rsidR="003B410C" w:rsidRPr="00F04E52">
        <w:rPr>
          <w:noProof/>
        </w:rPr>
        <w:t>Για να διασφαλιστεί ότι τα σχέδια εξυγίανσης ομίλου καλύπτουν αποτελεσματικά τον οικείο όμιλο, οι υποχρεώσεις υποβολής αναφορών που επιβάλλονται στις ενωσιακές μητρικές επιχειρήσεις δεν θα πρέπει να περιορίζονται μόνο σε οντότητες εξυγίανσης, αλλά θα πρέπει να αφορούν και άλλες σχετικές νομικές οντότητες. Ωστόσο, το αν οι οντότητες είναι σχετικές θα πρέπει να προσδιορίζεται επαρκώς, ώστε να αποκλείεται η υποβολή αναφορών για οντότητες που δεν είναι σχετικές για τον όμιλο ή που δεν είναι συστημικά σημαντικές. Για τον σκοπό αυτό, θα πρέπει να καθοριστούν κατώτατα όρια για τον προσδιορισμό των νομικών οντοτήτων του ομίλου στις οποίες θα πρέπει να επιβάλλονται οι απαιτήσεις υποβολής αναφορών εξυγίανσης. Επιπλέον, η οδηγία (ΕΕ) 2024/1174 του Ευρωπαϊκού Κοινοβουλίου και του Συμβουλίου</w:t>
      </w:r>
      <w:r w:rsidR="003B410C" w:rsidRPr="00F04E52">
        <w:rPr>
          <w:rStyle w:val="FootnoteReference"/>
          <w:noProof/>
        </w:rPr>
        <w:footnoteReference w:id="4"/>
      </w:r>
      <w:r w:rsidR="003B410C" w:rsidRPr="00F04E52">
        <w:rPr>
          <w:noProof/>
        </w:rPr>
        <w:t xml:space="preserve"> τροποποίησε την οδηγία 2014/59/ΕΕ εισάγοντας, μεταξύ άλλων, ορισμό της «οντότητας εκκαθάρισης». Για να ληφθεί υπόψη αυτός ο νέος ορισμός, είναι αναγκαίο να γίνει διάκριση μεταξύ των απαιτήσεων υποβολής αναφορών εξυγίανσης για τις οντότητες εκκαθάρισης, για τις οντότητες εξυγίανσης και για τις οντότητες που περιλαμβάνονται σε ομίλους εξυγίανσης. Ειδικότερα, είναι αναγκαίο να προσδιοριστούν οι υποχρεώσεις υποβολής αναφορών με γνώμονα το κατά πόσον οι σχετικές οντότητες είναι αυτόνομες οντότητες ή ανήκουν σε ομίλους και αν οι εν λόγω οντότητες ή όμιλοι έχουν προσδιοριστεί ως οντότητες εκκαθάρισης ή περιλαμβάνουν οντότητες που έχουν προσδιοριστεί ως τέτοιες. Οι εν λόγω υποχρεώσεις υποβολής αναφορών θα πρέπει να καθορίζονται σε ατομικό, υποενοποιημένο ή ενοποιημένο επίπεδο, κατά τρόπο που να διασφαλίζει την αναλογικότητα, να μη θέτει σε κίνδυνο τον αποτελεσματικό σχεδιασμό της εξυγίανσης, να απαλλάσσει τις οντότητες από παράλληλες συλλογές δεδομένων που προέρχονται από διαφορετικές αρχές και να καταργεί τα αλληλεπικαλυπτόμενα σημεία δεδομένων με πλαίσια υποβολής εποπτικών αναφορών. Αυτό θα πρέπει να επιτευχθεί μέσω της εφαρμογής μιας προσέγγισης που διαφοροποιεί τον αριθμό των υποδειγμάτων ανάλογα με τον τύπο της εκάστοτε αναφέρουσας οντότητας. Ιδιαίτερη προσοχή θα πρέπει επίσης να δοθεί στους ομίλους εξυγίανσης που αποτελούνται από πιστωτικά ιδρύματα μόνιμα συνδεδεμένα με κεντρικό οργανισμό, καθώς και στον ίδιο τον κεντρικό οργανισμό, ώστε να διασφαλίζεται ότι η υποβολή αναφορών εξυγίανσης καλύπτει αποτελεσματικά όλα τα πιστωτικά ιδρύματα που είναι μόνιμα συνδεδεμένα με τον κεντρικό οργανισμό του εν λόγω ομίλου εξυγίανσης, τον ίδιο τον κεντρικό οργανισμό και τις αντίστοιχες θυγατρικές τους, σε ατομικό, υποενοποιημένο και ενοποιημένο επίπεδο.</w:t>
      </w:r>
    </w:p>
    <w:p w:rsidR="003B410C" w:rsidRPr="00F04E52" w:rsidRDefault="00227DF6" w:rsidP="00227DF6">
      <w:pPr>
        <w:pStyle w:val="ManualConsidrant"/>
        <w:rPr>
          <w:noProof/>
        </w:rPr>
      </w:pPr>
      <w:r w:rsidRPr="00227DF6">
        <w:rPr>
          <w:noProof/>
        </w:rPr>
        <w:t>(4)</w:t>
      </w:r>
      <w:r w:rsidRPr="00227DF6">
        <w:rPr>
          <w:noProof/>
        </w:rPr>
        <w:tab/>
      </w:r>
      <w:r w:rsidR="003B410C" w:rsidRPr="00F04E52">
        <w:rPr>
          <w:noProof/>
        </w:rPr>
        <w:t>Για να διασφαλιστεί ο αποτελεσματικός σχεδιασμός της εξυγίανσης, με παράλληλη διατήρηση της αναλογικότητας, το πεδίο εφαρμογής των απαιτήσεων υποβολής αναφορών εξυγίανσης ενδέχεται να πρέπει να διαφέρει από το πεδίο εφαρμογής των απαιτήσεων υποβολής αναφορών προληπτικής εποπτείας, όταν αυτό είναι αναγκαίο ώστε να διασφαλίζεται ότι οι αρχές εξυγίανσης διαθέτουν επαρκή και αξιόπιστα δεδομένα για την εκτέλεση των καθηκόντων τους. Στο πλαίσιο αυτό, είναι αναγκαίο να διασφαλιστεί ότι η υποβολή αναφορών εξυγίανσης δεν παρεμποδίζεται από απαλλαγές από την προληπτική εποπτεία ή από το γεγονός ότι κάποιοι όμιλοι εξυγίανσης δεν υπόκεινται σε απαιτήσεις εποπτικής ενοποίησης.</w:t>
      </w:r>
    </w:p>
    <w:p w:rsidR="003B410C" w:rsidRPr="00F04E52" w:rsidRDefault="00227DF6" w:rsidP="00227DF6">
      <w:pPr>
        <w:pStyle w:val="ManualConsidrant"/>
        <w:rPr>
          <w:noProof/>
        </w:rPr>
      </w:pPr>
      <w:r w:rsidRPr="00227DF6">
        <w:rPr>
          <w:noProof/>
        </w:rPr>
        <w:t>(5)</w:t>
      </w:r>
      <w:r w:rsidRPr="00227DF6">
        <w:rPr>
          <w:noProof/>
        </w:rPr>
        <w:tab/>
      </w:r>
      <w:r w:rsidR="00012E4C" w:rsidRPr="00F04E52">
        <w:rPr>
          <w:noProof/>
        </w:rPr>
        <w:t>Για να διασφαλιστεί ότι τα σχέδια εξυγίανσης βασίζονται σε ένα ελάχιστο σύνολο δεδομένων σταθερά υψηλής ποιότητας και ακρίβειας, θα πρέπει να υιοθετηθεί ένα ενιαίο μοντέλο σημείων δεδομένων, όπως συμβαίνει στην πράξη και με την υποβολή εποπτικών αναφορών. Το ενιαίο μοντέλο σημείων δεδομένων θα πρέπει να αποτελείται από δομημένη απεικόνιση των στοιχείων δεδομένων και να προσδιορίζει όλες τις σχετικές επιχειρηματικές έννοιες για τους σκοπούς της ενιαίας υποβολής αναφορών για τον σχεδιασμό της εξυγίανσης, καθώς και να περιέχει όλες τις σχετικές προδιαγραφές που είναι αναγκαίες για την περαιτέρω ανάπτυξη ενιαίων λύσεων πληροφορικής για την υποβολή αναφορών.</w:t>
      </w:r>
    </w:p>
    <w:p w:rsidR="003B410C" w:rsidRPr="00F04E52" w:rsidRDefault="00227DF6" w:rsidP="00227DF6">
      <w:pPr>
        <w:pStyle w:val="ManualConsidrant"/>
        <w:rPr>
          <w:noProof/>
        </w:rPr>
      </w:pPr>
      <w:r w:rsidRPr="00227DF6">
        <w:rPr>
          <w:noProof/>
        </w:rPr>
        <w:t>(6)</w:t>
      </w:r>
      <w:r w:rsidRPr="00227DF6">
        <w:rPr>
          <w:noProof/>
        </w:rPr>
        <w:tab/>
      </w:r>
      <w:r w:rsidR="00980E18" w:rsidRPr="00F04E52">
        <w:rPr>
          <w:noProof/>
        </w:rPr>
        <w:t>Προκειμένου να διασφαλιστεί η ποιότητα, η συνεκτικότητα και η ακρίβεια των στοιχείων δεδομένων που υποβάλλουν τα ιδρύματα, τα εν λόγω στοιχεία δεδομένων πρέπει να διέπονται από κοινούς κανόνες επικύρωσης.</w:t>
      </w:r>
    </w:p>
    <w:p w:rsidR="003B410C" w:rsidRPr="00F04E52" w:rsidRDefault="00227DF6" w:rsidP="00227DF6">
      <w:pPr>
        <w:pStyle w:val="ManualConsidrant"/>
        <w:rPr>
          <w:noProof/>
        </w:rPr>
      </w:pPr>
      <w:r w:rsidRPr="00227DF6">
        <w:rPr>
          <w:noProof/>
        </w:rPr>
        <w:t>(7)</w:t>
      </w:r>
      <w:r w:rsidRPr="00227DF6">
        <w:rPr>
          <w:noProof/>
        </w:rPr>
        <w:tab/>
      </w:r>
      <w:r w:rsidR="003B410C" w:rsidRPr="00F04E52">
        <w:rPr>
          <w:noProof/>
        </w:rPr>
        <w:t>Λόγω της φύσης τους, οι κανόνες επικύρωσης και οι ορισμοί των σημείων δεδομένων επικαιροποιούνται τακτικά, ώστε να εξασφαλίζεται ότι είναι σύμφωνοι, ανά πάσα στιγμή, με τις ισχύουσες απαιτήσεις στο πλαίσιο των κανονιστικών ρυθμίσεων, της ανάλυσης και της πληροφορικής. Ωστόσο, λόγω του χρόνου που απαιτείται επί του παρόντος για να εγκριθεί και να δημοσιευτεί το λεπτομερές ενιαίο μοντέλο σημείων δεδομένων, καθώς και οι κανόνες επικύρωσης, δεν είναι δυνατόν να γίνουν τροποποιήσεις αρκετά γρήγορα και έγκαιρα, ώστε να εξασφαλιστεί η συνεχής παροχή ενιαίων πληροφοριών σχετικά με τα σχέδια εξυγίανσης στην Ένωση. Ως εκ τούτου, θα πρέπει να θεσπιστούν αυστηρά ποιοτικά κριτήρια για το λεπτομερές ενιαίο μοντέλο σημείων δεδομένων, καθώς και οι λεπτομερείς κοινοί κανόνες επικύρωσης που θα δημοσιεύονται ηλεκτρονικά από την Ευρωπαϊκή Αρχή Τραπεζών (ΕΑΤ) στον δικτυακό της τόπο. Τα ανωτέρω δεν αποκλείουν το γεγονός ότι η ΕΑΤ μπορεί επίσης να δημοσιεύει στον ιστότοπό της τεχνικές οδηγίες για τη συμπλήρωση των εντύπων και των υποδειγμάτων που καθορίζονται στον παρόντα κανονισμό.</w:t>
      </w:r>
    </w:p>
    <w:p w:rsidR="003B410C" w:rsidRPr="00F04E52" w:rsidRDefault="00227DF6" w:rsidP="00227DF6">
      <w:pPr>
        <w:pStyle w:val="ManualConsidrant"/>
        <w:rPr>
          <w:noProof/>
        </w:rPr>
      </w:pPr>
      <w:r w:rsidRPr="00227DF6">
        <w:rPr>
          <w:noProof/>
        </w:rPr>
        <w:t>(8)</w:t>
      </w:r>
      <w:r w:rsidRPr="00227DF6">
        <w:rPr>
          <w:noProof/>
        </w:rPr>
        <w:tab/>
      </w:r>
      <w:r w:rsidR="003B410C" w:rsidRPr="00F04E52">
        <w:rPr>
          <w:noProof/>
        </w:rPr>
        <w:t>Το άρθρο 11 παράγραφος 2 της οδηγίας 2014/59/ΕΕ υποχρεώνει τις αρμόδιες αρχές και τις αρχές εξυγίανσης να συνεργάζονται για την ελαχιστοποίηση της αλληλεπικάλυψης των απαιτήσεων αναφοράς πληροφοριών. Για τον σκοπό αυτόν, ο εκτελεστικός κανονισμός (ΕΕ) 2018/1624 εισήγαγε μια διαδικασία συνεργασίας μεταξύ των αρμόδιων αρχών και των αρχών εξυγίανσης, η οποία θα πρέπει να διατηρηθεί ώστε οι αρμόδιες αρχές και οι αρχές εξυγίανσης να επαληθεύουν από κοινού αν ορισμένες ή όλες οι ζητούμενες πληροφορίες είναι ήδη διαθέσιμες στην αρμόδια αρχή. Όταν οι πληροφορίες είναι διαθέσιμες στην αρμόδια αρχή, είναι σκόπιμο να τις διαβιβάζει άμεσα στην αρχή εξυγίανσης.</w:t>
      </w:r>
    </w:p>
    <w:p w:rsidR="003B410C" w:rsidRPr="00F04E52" w:rsidRDefault="00227DF6" w:rsidP="00227DF6">
      <w:pPr>
        <w:pStyle w:val="ManualConsidrant"/>
        <w:rPr>
          <w:noProof/>
        </w:rPr>
      </w:pPr>
      <w:r w:rsidRPr="00227DF6">
        <w:rPr>
          <w:noProof/>
        </w:rPr>
        <w:t>(9)</w:t>
      </w:r>
      <w:r w:rsidRPr="00227DF6">
        <w:rPr>
          <w:noProof/>
        </w:rPr>
        <w:tab/>
      </w:r>
      <w:r w:rsidR="003B410C" w:rsidRPr="00F04E52">
        <w:rPr>
          <w:noProof/>
        </w:rPr>
        <w:t>Με δεδομένη την έκταση των τροποποιήσεων του εκτελεστικού κανονισμού (ΕΕ) 2018/1624, είναι συνετό, για λόγους ασφάλειας δικαίου και νομικής σαφήνειας, να εκδοθεί νέος εκτελεστικός κανονισμός και, ως εκ τούτου, να καταργηθεί και να αντικατασταθεί ο εκτελεστικός κανονισμός (ΕΕ) 2018/1624.</w:t>
      </w:r>
    </w:p>
    <w:p w:rsidR="003B410C" w:rsidRPr="00F04E52" w:rsidRDefault="00227DF6" w:rsidP="00227DF6">
      <w:pPr>
        <w:pStyle w:val="ManualConsidrant"/>
        <w:rPr>
          <w:noProof/>
        </w:rPr>
      </w:pPr>
      <w:r w:rsidRPr="00227DF6">
        <w:rPr>
          <w:noProof/>
        </w:rPr>
        <w:t>(10)</w:t>
      </w:r>
      <w:r w:rsidRPr="00227DF6">
        <w:rPr>
          <w:noProof/>
        </w:rPr>
        <w:tab/>
      </w:r>
      <w:r w:rsidR="003B410C" w:rsidRPr="00F04E52">
        <w:rPr>
          <w:noProof/>
        </w:rPr>
        <w:t>Ο παρών κανονισμός βασίζεται στα εκτελεστικά τεχνικά πρότυπα που υπέβαλε η ΕΑΤ στην Επιτροπή.</w:t>
      </w:r>
    </w:p>
    <w:p w:rsidR="00860655" w:rsidRPr="00F04E52" w:rsidRDefault="00227DF6" w:rsidP="00227DF6">
      <w:pPr>
        <w:pStyle w:val="ManualConsidrant"/>
        <w:rPr>
          <w:noProof/>
        </w:rPr>
      </w:pPr>
      <w:r w:rsidRPr="00227DF6">
        <w:rPr>
          <w:noProof/>
        </w:rPr>
        <w:t>(11)</w:t>
      </w:r>
      <w:r w:rsidRPr="00227DF6">
        <w:rPr>
          <w:noProof/>
        </w:rPr>
        <w:tab/>
      </w:r>
      <w:r w:rsidR="003B410C" w:rsidRPr="00F04E52">
        <w:rPr>
          <w:noProof/>
        </w:rPr>
        <w:t>Η ΕΑΤ διεξήγαγε ανοικτές δημόσιες διαβουλεύσεις σχετικά με τα εκτελεστικά τεχνικά πρότυπα στα οποία βασίζεται ο παρών κανονισμός, ανέλυσε τα ενδεχόμενα συναφή κόστη και τα οφέλη και ζήτησε τη γνώμη της ομάδας τραπεζικών συμφεροντούχων που συστάθηκε σύμφωνα με το άρθρο 37 του κανονισμού (ΕΕ) αριθ. 1093/2010 του Ευρωπαϊκού Κοινοβουλίου και του Συμβουλίου</w:t>
      </w:r>
      <w:r w:rsidR="003B410C" w:rsidRPr="00F04E52">
        <w:rPr>
          <w:rStyle w:val="FootnoteReference"/>
          <w:noProof/>
        </w:rPr>
        <w:footnoteReference w:id="5"/>
      </w:r>
      <w:r w:rsidR="003B410C" w:rsidRPr="00F04E52">
        <w:rPr>
          <w:noProof/>
        </w:rPr>
        <w:t>,</w:t>
      </w:r>
    </w:p>
    <w:p w:rsidR="00860655" w:rsidRPr="00F04E52" w:rsidRDefault="00860655" w:rsidP="00184085">
      <w:pPr>
        <w:pStyle w:val="Formuledadoption"/>
        <w:rPr>
          <w:noProof/>
        </w:rPr>
      </w:pPr>
      <w:r w:rsidRPr="00F04E52">
        <w:rPr>
          <w:noProof/>
        </w:rPr>
        <w:t>ΕΞΕΔΩΣΕ ΤΟΝ ΠΑΡΟΝΤΑ ΚΑΝΟΝΙΣΜΟ:</w:t>
      </w:r>
    </w:p>
    <w:p w:rsidR="00860655" w:rsidRPr="00F04E52" w:rsidRDefault="00860655" w:rsidP="00184085">
      <w:pPr>
        <w:pStyle w:val="Titrearticle"/>
        <w:rPr>
          <w:noProof/>
        </w:rPr>
      </w:pPr>
      <w:r w:rsidRPr="00F04E52">
        <w:rPr>
          <w:noProof/>
        </w:rPr>
        <w:t>Άρθρο 1</w:t>
      </w:r>
    </w:p>
    <w:p w:rsidR="00860655" w:rsidRPr="00F04E52" w:rsidRDefault="003B410C" w:rsidP="00184085">
      <w:pPr>
        <w:pStyle w:val="Titrearticle"/>
        <w:rPr>
          <w:noProof/>
        </w:rPr>
      </w:pPr>
      <w:r w:rsidRPr="00F04E52">
        <w:rPr>
          <w:b/>
          <w:i w:val="0"/>
          <w:noProof/>
        </w:rPr>
        <w:t>Ορισμός</w:t>
      </w:r>
    </w:p>
    <w:p w:rsidR="003B410C" w:rsidRPr="00F04E52" w:rsidRDefault="003B410C" w:rsidP="00184085">
      <w:pPr>
        <w:rPr>
          <w:noProof/>
        </w:rPr>
      </w:pPr>
      <w:r w:rsidRPr="00F04E52">
        <w:rPr>
          <w:noProof/>
        </w:rPr>
        <w:t>Για τους σκοπούς του παρόντος κανονισμού, ως «σχετική νομική οντότητα» νοείται μια οντότητα του ομίλου, όπως αυτή ορίζεται στο άρθρο 2 παράγραφος 1 σημείο 31) της οδηγίας 2014/59/ΕΕ, η οποία δεν αποτελεί οντότητα εξυγίανσης, είναι εγκατεστημένη στην Ένωση και πληροί οποιαδήποτε από τις ακόλουθες προϋποθέσεις:</w:t>
      </w:r>
    </w:p>
    <w:p w:rsidR="003B410C" w:rsidRPr="00F04E52" w:rsidRDefault="00F04E52" w:rsidP="00F04E52">
      <w:pPr>
        <w:pStyle w:val="Point0"/>
        <w:rPr>
          <w:noProof/>
        </w:rPr>
      </w:pPr>
      <w:r>
        <w:rPr>
          <w:noProof/>
        </w:rPr>
        <w:t>α)</w:t>
      </w:r>
      <w:r>
        <w:rPr>
          <w:noProof/>
        </w:rPr>
        <w:tab/>
      </w:r>
      <w:r w:rsidR="003B410C" w:rsidRPr="00F04E52">
        <w:rPr>
          <w:noProof/>
        </w:rPr>
        <w:t>παρέχει κρίσιμες λειτουργίες·</w:t>
      </w:r>
    </w:p>
    <w:p w:rsidR="003B410C" w:rsidRPr="00F04E52" w:rsidRDefault="00F04E52" w:rsidP="00F04E52">
      <w:pPr>
        <w:pStyle w:val="Point0"/>
        <w:rPr>
          <w:noProof/>
        </w:rPr>
      </w:pPr>
      <w:r>
        <w:rPr>
          <w:noProof/>
        </w:rPr>
        <w:t>β)</w:t>
      </w:r>
      <w:r>
        <w:rPr>
          <w:noProof/>
        </w:rPr>
        <w:tab/>
      </w:r>
      <w:r w:rsidR="003B410C" w:rsidRPr="00F04E52">
        <w:rPr>
          <w:noProof/>
        </w:rPr>
        <w:t>το ατομικό συνολικό ποσό ανοίγματός της σε κίνδυνο, το οποίο υπολογίζεται σύμφωνα με το άρθρο 92 παράγραφος 3 του κανονισμού (ΕΕ) αριθ. 575/2013 του Ευρωπαϊκού Κοινοβουλίου και του Συμβουλίου</w:t>
      </w:r>
      <w:r w:rsidR="003B410C" w:rsidRPr="00F04E52">
        <w:rPr>
          <w:rStyle w:val="FootnoteReference"/>
          <w:noProof/>
        </w:rPr>
        <w:footnoteReference w:id="6"/>
      </w:r>
      <w:r w:rsidR="003B410C" w:rsidRPr="00F04E52">
        <w:rPr>
          <w:noProof/>
        </w:rPr>
        <w:t>, ισούται με ή υπερβαίνει το 2 % του ενοποιημένου συνολικού ποσού ανοίγματος σε κίνδυνο της ενωσιακής μητρικής επιχείρησης·</w:t>
      </w:r>
    </w:p>
    <w:p w:rsidR="003B410C" w:rsidRPr="00F04E52" w:rsidRDefault="00F04E52" w:rsidP="00F04E52">
      <w:pPr>
        <w:pStyle w:val="Point0"/>
        <w:rPr>
          <w:noProof/>
        </w:rPr>
      </w:pPr>
      <w:r>
        <w:rPr>
          <w:noProof/>
        </w:rPr>
        <w:t>γ)</w:t>
      </w:r>
      <w:r>
        <w:rPr>
          <w:noProof/>
        </w:rPr>
        <w:tab/>
      </w:r>
      <w:r w:rsidR="003B410C" w:rsidRPr="00F04E52">
        <w:rPr>
          <w:noProof/>
        </w:rPr>
        <w:t>το μέτρο του ατομικού συνολικού ανοίγματός της, το οποίο αναφέρεται στο άρθρο 429 παράγραφος 4 του κανονισμού (ΕΕ) αριθ. 575/2013, ισούται με ή υπερβαίνει το 2 % του μέτρου του ενοποιημένου συνολικού ανοίγματος της ενωσιακής μητρικής επιχείρησης·</w:t>
      </w:r>
    </w:p>
    <w:p w:rsidR="003B410C" w:rsidRPr="00F04E52" w:rsidRDefault="00F04E52" w:rsidP="00F04E52">
      <w:pPr>
        <w:pStyle w:val="Point0"/>
        <w:rPr>
          <w:noProof/>
        </w:rPr>
      </w:pPr>
      <w:r>
        <w:rPr>
          <w:noProof/>
        </w:rPr>
        <w:t>δ)</w:t>
      </w:r>
      <w:r>
        <w:rPr>
          <w:noProof/>
        </w:rPr>
        <w:tab/>
      </w:r>
      <w:r w:rsidR="003B410C" w:rsidRPr="00F04E52">
        <w:rPr>
          <w:noProof/>
        </w:rPr>
        <w:t>τα ατομικά έσοδα εκμετάλλευσης της οντότητας ισούνται με ή υπερβαίνουν το 2 % των ενοποιημένων συνολικών εσόδων εκμετάλλευσης του ομίλου υπολογιζόμενων στο επίπεδο της ενωσιακής μητρικής επιχείρησης·</w:t>
      </w:r>
    </w:p>
    <w:p w:rsidR="003B410C" w:rsidRPr="00F04E52" w:rsidRDefault="00F04E52" w:rsidP="00F04E52">
      <w:pPr>
        <w:pStyle w:val="Point0"/>
        <w:rPr>
          <w:noProof/>
        </w:rPr>
      </w:pPr>
      <w:r>
        <w:rPr>
          <w:noProof/>
        </w:rPr>
        <w:t>ε)</w:t>
      </w:r>
      <w:r>
        <w:rPr>
          <w:noProof/>
        </w:rPr>
        <w:tab/>
      </w:r>
      <w:r w:rsidR="003B410C" w:rsidRPr="00F04E52">
        <w:rPr>
          <w:noProof/>
        </w:rPr>
        <w:t>τα ατομικά συνολικά στοιχεία ενεργητικού της υπερβαίνουν τα 5 δισ. EUR·</w:t>
      </w:r>
    </w:p>
    <w:p w:rsidR="008F1E98" w:rsidRPr="00F04E52" w:rsidRDefault="00F04E52" w:rsidP="00F04E52">
      <w:pPr>
        <w:pStyle w:val="Point0"/>
        <w:rPr>
          <w:noProof/>
        </w:rPr>
      </w:pPr>
      <w:r>
        <w:rPr>
          <w:noProof/>
        </w:rPr>
        <w:t>στ)</w:t>
      </w:r>
      <w:r>
        <w:rPr>
          <w:noProof/>
        </w:rPr>
        <w:tab/>
      </w:r>
      <w:r w:rsidR="003B410C" w:rsidRPr="00F04E52">
        <w:rPr>
          <w:noProof/>
        </w:rPr>
        <w:t>είναι σημαντική για τη χρηματοπιστωτική σταθερότητα σε τουλάχιστον ένα κράτος μέλος.</w:t>
      </w:r>
    </w:p>
    <w:p w:rsidR="00A803C4" w:rsidRPr="00F04E52" w:rsidRDefault="008F1E98" w:rsidP="00184085">
      <w:pPr>
        <w:pStyle w:val="Text1"/>
        <w:rPr>
          <w:noProof/>
        </w:rPr>
      </w:pPr>
      <w:r w:rsidRPr="00F04E52">
        <w:rPr>
          <w:noProof/>
        </w:rPr>
        <w:t>Για τους σκοπούς του στοιχείου β), για όμιλο που περιλαμβάνει περισσότερες από μία οντότητες εξυγίανσης, μια οντότητα θεωρείται ότι αποτελεί σχετική νομική οντότητα όταν το ατομικό συνολικό ποσό ανοίγματός της σε κίνδυνο ισούται με ή υπερβαίνει το 2 % του συνολικού ποσού ανοίγματος σε κίνδυνο της οντότητας εξυγίανσης σε ενοποιημένο επίπεδο ομίλου εξυγίανσης.</w:t>
      </w:r>
    </w:p>
    <w:p w:rsidR="008F1E98" w:rsidRPr="00F04E52" w:rsidRDefault="008F1E98" w:rsidP="00184085">
      <w:pPr>
        <w:pStyle w:val="Text1"/>
        <w:rPr>
          <w:noProof/>
        </w:rPr>
      </w:pPr>
      <w:r w:rsidRPr="00F04E52">
        <w:rPr>
          <w:noProof/>
        </w:rPr>
        <w:t>Για τους σκοπούς του στοιχείου γ), για όμιλο που περιλαμβάνει περισσότερες από μία οντότητες εξυγίανσης, μια οντότητα θεωρείται ότι αποτελεί σχετική νομική οντότητα όταν το μέτρο του ατομικού συνολικού ανοίγματός της ισούται με ή υπερβαίνει το 2 % του μέτρου του συνολικού ανοίγματος της οντότητας εξυγίανσης σε ενοποιημένο επίπεδο ομίλου εξυγίανσης.</w:t>
      </w:r>
    </w:p>
    <w:p w:rsidR="003B410C" w:rsidRPr="00F04E52" w:rsidRDefault="003B410C" w:rsidP="00184085">
      <w:pPr>
        <w:pStyle w:val="Titrearticle"/>
        <w:rPr>
          <w:noProof/>
        </w:rPr>
      </w:pPr>
      <w:r w:rsidRPr="00F04E52">
        <w:rPr>
          <w:noProof/>
        </w:rPr>
        <w:t>Ά</w:t>
      </w:r>
      <w:bookmarkStart w:id="1" w:name="_Hlk168321151"/>
      <w:r w:rsidRPr="00F04E52">
        <w:rPr>
          <w:noProof/>
        </w:rPr>
        <w:t>ρθρο 2</w:t>
      </w:r>
    </w:p>
    <w:p w:rsidR="003B410C" w:rsidRPr="00F04E52" w:rsidRDefault="003B410C" w:rsidP="00184085">
      <w:pPr>
        <w:pStyle w:val="Titrearticle"/>
        <w:spacing w:before="0"/>
        <w:rPr>
          <w:b/>
          <w:bCs/>
          <w:i w:val="0"/>
          <w:iCs/>
          <w:noProof/>
        </w:rPr>
      </w:pPr>
      <w:r w:rsidRPr="00F04E52">
        <w:rPr>
          <w:b/>
          <w:i w:val="0"/>
          <w:noProof/>
        </w:rPr>
        <w:t>Υποβολή αναφορών εξυγίανσης από ιδρύματα που δεν ανήκουν σε όμιλο που υπόκειται σε ενοποιημένη εποπτεία σύμφωνα με τα άρθρα 111 και 112 της οδηγίας 2013/36/ΕΕ</w:t>
      </w:r>
      <w:bookmarkEnd w:id="1"/>
    </w:p>
    <w:p w:rsidR="003B410C" w:rsidRPr="00F04E52" w:rsidRDefault="00227DF6" w:rsidP="00227DF6">
      <w:pPr>
        <w:pStyle w:val="ManualNumPar1"/>
        <w:rPr>
          <w:noProof/>
        </w:rPr>
      </w:pPr>
      <w:r w:rsidRPr="00227DF6">
        <w:rPr>
          <w:noProof/>
        </w:rPr>
        <w:t>1.</w:t>
      </w:r>
      <w:r w:rsidRPr="00227DF6">
        <w:rPr>
          <w:noProof/>
        </w:rPr>
        <w:tab/>
      </w:r>
      <w:r w:rsidR="005E4DBA" w:rsidRPr="00F04E52">
        <w:rPr>
          <w:noProof/>
        </w:rPr>
        <w:t>Οι οντότητες εξυγίανσης που δεν ανήκουν σε όμιλο που υπόκειται σε ενοποιημένη εποπτεία σύμφωνα με τα άρθρα 111 και 112 της οδηγίας 2013/36/ΕΕ του Ευρωπαϊκού Κοινοβουλίου και του Συμβουλίου</w:t>
      </w:r>
      <w:r w:rsidR="005E4DBA" w:rsidRPr="00F04E52">
        <w:rPr>
          <w:rStyle w:val="FootnoteReference"/>
          <w:noProof/>
        </w:rPr>
        <w:footnoteReference w:id="7"/>
      </w:r>
      <w:r w:rsidR="005E4DBA" w:rsidRPr="00F04E52">
        <w:rPr>
          <w:noProof/>
        </w:rPr>
        <w:t xml:space="preserve"> υποβάλλουν στην αρχή εξυγίανσης, σε ατομική βάση, τις πληροφορίες που ορίζονται σε όλα τα υποδείγματα που παρατίθενται στο παράρτημα I του παρόντος κανονισμού, εκτός από τις πληροφορίες που αναφέρονται στα υποδείγματα Z 01.01, Z 04.00, Z 07.02, Z 07.03 και Z 11.00.</w:t>
      </w:r>
    </w:p>
    <w:p w:rsidR="003B410C" w:rsidRPr="00F04E52" w:rsidRDefault="00227DF6" w:rsidP="00227DF6">
      <w:pPr>
        <w:pStyle w:val="ManualNumPar1"/>
        <w:rPr>
          <w:noProof/>
        </w:rPr>
      </w:pPr>
      <w:r w:rsidRPr="00227DF6">
        <w:rPr>
          <w:noProof/>
        </w:rPr>
        <w:t>2.</w:t>
      </w:r>
      <w:r w:rsidRPr="00227DF6">
        <w:rPr>
          <w:noProof/>
        </w:rPr>
        <w:tab/>
      </w:r>
      <w:r w:rsidR="0017578A" w:rsidRPr="00F04E52">
        <w:rPr>
          <w:noProof/>
        </w:rPr>
        <w:t>Οι οντότητες εκκαθάρισης που δεν υπόκεινται σε απλουστευμένες υποχρεώσεις, οι οποίες δεν ανήκουν σε όμιλο που υπόκειται σε ενοποιημένη εποπτεία σύμφωνα με τα άρθρα 111 και 112 της οδηγίας 2013/36/ΕΕ, και για τις οποίες η αρχή εξυγίανσης δεν έχει καθορίσει την απαίτηση που αναφέρεται στο άρθρο 45 παράγραφος 1 της οδηγίας 2014/59/ΕΕ σύμφωνα με το άρθρο 45γ παράγραφος 2α δεύτερο εδάφιο της εν λόγω οδηγίας, υποβάλλουν στην αρχή εξυγίανσης, σε ατομική βάση, τις πληροφορίες που ορίζονται στα υποδείγματα Z 01.02, Z 02.00, Z 05.01, Z 05.02, Z 06.00, Z 07.01.1 έως Z 07.01.5, Z 07.04 και Z 09.01, τα οποία παρατίθενται στο παράρτημα I του παρόντος κανονισμού.</w:t>
      </w:r>
    </w:p>
    <w:p w:rsidR="003B410C" w:rsidRPr="00F04E52" w:rsidRDefault="00227DF6" w:rsidP="00227DF6">
      <w:pPr>
        <w:pStyle w:val="ManualNumPar1"/>
        <w:rPr>
          <w:noProof/>
        </w:rPr>
      </w:pPr>
      <w:r w:rsidRPr="00227DF6">
        <w:rPr>
          <w:noProof/>
        </w:rPr>
        <w:t>3.</w:t>
      </w:r>
      <w:r w:rsidRPr="00227DF6">
        <w:rPr>
          <w:noProof/>
        </w:rPr>
        <w:tab/>
      </w:r>
      <w:r w:rsidR="00436F80" w:rsidRPr="00F04E52">
        <w:rPr>
          <w:noProof/>
        </w:rPr>
        <w:t>Οι οντότητες εκκαθάρισης που δεν υπόκεινται σε απλουστευμένες υποχρεώσεις, οι οποίες δεν ανήκουν σε όμιλο που υπόκειται σε ενοποιημένη εποπτεία σύμφωνα με τα άρθρα 111 και 112 της οδηγίας 2013/36/ΕΕ, και για τις οποίες η αρχή εξυγίανσης έχει καθορίσει την απαίτηση που αναφέρεται στο άρθρο 45 παράγραφος 1 της οδηγίας 2014/59/ΕΕ σύμφωνα με το άρθρο 45γ παράγραφος 2α δεύτερο εδάφιο της εν λόγω οδηγίας, υποβάλλουν στην αρχή εξυγίανσης, σε ατομική βάση, τις πληροφορίες που ορίζονται στα υποδείγματα Z 01.02, Z 02.00, Z 03.01, Z 03.02, Z 05.01, Z 05.02, Z 06.00, Z 07.01.1 έως Z 07.01.5, Z 07.04 και Z 09.01, τα οποία παρατίθενται στο παράρτημα I του παρόντος κανονισμού.</w:t>
      </w:r>
    </w:p>
    <w:p w:rsidR="003B410C" w:rsidRPr="00F04E52" w:rsidRDefault="003B410C" w:rsidP="00184085">
      <w:pPr>
        <w:pStyle w:val="Titrearticle"/>
        <w:rPr>
          <w:noProof/>
        </w:rPr>
      </w:pPr>
      <w:r w:rsidRPr="00F04E52">
        <w:rPr>
          <w:noProof/>
        </w:rPr>
        <w:t>Άρθρο 3</w:t>
      </w:r>
    </w:p>
    <w:p w:rsidR="003B410C" w:rsidRPr="00F04E52" w:rsidRDefault="003B410C" w:rsidP="00184085">
      <w:pPr>
        <w:pStyle w:val="Titrearticle"/>
        <w:spacing w:before="0"/>
        <w:rPr>
          <w:b/>
          <w:bCs/>
          <w:i w:val="0"/>
          <w:iCs/>
          <w:noProof/>
        </w:rPr>
      </w:pPr>
      <w:r w:rsidRPr="00F04E52">
        <w:rPr>
          <w:b/>
          <w:i w:val="0"/>
          <w:noProof/>
        </w:rPr>
        <w:t>Υποβολή αναφορών εξυγίανσης ομίλου — όμιλοι εξυγίανσης</w:t>
      </w:r>
    </w:p>
    <w:p w:rsidR="003B410C" w:rsidRPr="00F04E52" w:rsidRDefault="00227DF6" w:rsidP="00227DF6">
      <w:pPr>
        <w:pStyle w:val="ManualNumPar1"/>
        <w:rPr>
          <w:noProof/>
        </w:rPr>
      </w:pPr>
      <w:r w:rsidRPr="00227DF6">
        <w:rPr>
          <w:noProof/>
        </w:rPr>
        <w:t>1.</w:t>
      </w:r>
      <w:r w:rsidRPr="00227DF6">
        <w:rPr>
          <w:noProof/>
        </w:rPr>
        <w:tab/>
      </w:r>
      <w:r w:rsidR="00873C72" w:rsidRPr="00F04E52">
        <w:rPr>
          <w:noProof/>
        </w:rPr>
        <w:t>Η ενωσιακή μητρική επιχείρηση υποβάλλει στην αρχή εξυγίανσης σε επίπεδο ομίλου τις πληροφορίες που προσδιορίζονται στα υποδείγματα Z 01.01, Z 01.02 και Z 08.01 έως Z 09.04, τα οποία παρατίθενται στο παράρτημα I, σε σχέση με όλες τις οντότητες του ομίλου.</w:t>
      </w:r>
    </w:p>
    <w:p w:rsidR="003B410C" w:rsidRPr="00F04E52" w:rsidRDefault="00227DF6" w:rsidP="00227DF6">
      <w:pPr>
        <w:pStyle w:val="ManualNumPar1"/>
        <w:rPr>
          <w:noProof/>
        </w:rPr>
      </w:pPr>
      <w:r w:rsidRPr="00227DF6">
        <w:rPr>
          <w:noProof/>
        </w:rPr>
        <w:t>2.</w:t>
      </w:r>
      <w:r w:rsidRPr="00227DF6">
        <w:rPr>
          <w:noProof/>
        </w:rPr>
        <w:tab/>
      </w:r>
      <w:r w:rsidR="00873C72" w:rsidRPr="00F04E52">
        <w:rPr>
          <w:noProof/>
        </w:rPr>
        <w:t>Η ενωσιακή μητρική επιχείρηση υποβάλλει στην αρχή εξυγίανσης σε επίπεδο ομίλου τις πληροφορίες που αφορούν τις χρηματοοικονομικές διασυνδέσεις μεταξύ όλων των οντοτήτων του ομίλου, όπως ορίζεται στο υπόδειγμα Z 04.00, το οποίο παρατίθεται στο παράρτημα I.</w:t>
      </w:r>
    </w:p>
    <w:p w:rsidR="003B410C" w:rsidRPr="00F04E52" w:rsidRDefault="00227DF6" w:rsidP="00227DF6">
      <w:pPr>
        <w:pStyle w:val="ManualNumPar1"/>
        <w:rPr>
          <w:noProof/>
        </w:rPr>
      </w:pPr>
      <w:r w:rsidRPr="00227DF6">
        <w:rPr>
          <w:noProof/>
        </w:rPr>
        <w:t>3.</w:t>
      </w:r>
      <w:r w:rsidRPr="00227DF6">
        <w:rPr>
          <w:noProof/>
        </w:rPr>
        <w:tab/>
      </w:r>
      <w:r w:rsidR="001744A5" w:rsidRPr="00F04E52">
        <w:rPr>
          <w:noProof/>
        </w:rPr>
        <w:t>Η ενωσιακή μητρική επιχείρηση υποβάλλει στην αρχή εξυγίανσης σε επίπεδο ομίλου τις πληροφορίες που προσδιορίζονται στο υπόδειγμα Z 02.00, το οποίο παρατίθεται στο παράρτημα I, ως εξής:</w:t>
      </w:r>
    </w:p>
    <w:p w:rsidR="003B410C" w:rsidRPr="00F04E52" w:rsidRDefault="00F04E52" w:rsidP="00F04E52">
      <w:pPr>
        <w:pStyle w:val="Point1"/>
        <w:rPr>
          <w:noProof/>
        </w:rPr>
      </w:pPr>
      <w:r>
        <w:rPr>
          <w:noProof/>
        </w:rPr>
        <w:t>α)</w:t>
      </w:r>
      <w:r>
        <w:rPr>
          <w:noProof/>
        </w:rPr>
        <w:tab/>
      </w:r>
      <w:r w:rsidR="003B410C" w:rsidRPr="00F04E52">
        <w:rPr>
          <w:noProof/>
        </w:rPr>
        <w:t>σε ατομική βάση, για όλες τις οντότητες εξυγίανσης του ομίλου, συμπεριλαμβανομένης της ενωσιακής μητρικής επιχείρησης, και για όλες τις σχετικές νομικές οντότητες που είναι ιδρύματα·</w:t>
      </w:r>
    </w:p>
    <w:p w:rsidR="003B410C" w:rsidRPr="00F04E52" w:rsidRDefault="00F04E52" w:rsidP="00F04E52">
      <w:pPr>
        <w:pStyle w:val="Point1"/>
        <w:rPr>
          <w:noProof/>
        </w:rPr>
      </w:pPr>
      <w:r>
        <w:rPr>
          <w:noProof/>
        </w:rPr>
        <w:t>β)</w:t>
      </w:r>
      <w:r>
        <w:rPr>
          <w:noProof/>
        </w:rPr>
        <w:tab/>
      </w:r>
      <w:r w:rsidR="003B410C" w:rsidRPr="00F04E52">
        <w:rPr>
          <w:noProof/>
        </w:rPr>
        <w:t xml:space="preserve">σε ενοποιημένη βάση ή, κατά περίπτωση, σε υποενοποιημένη βάση, για όλες τις οντότητες εξυγίανσης του ομίλου, συμπεριλαμβανομένης της ενωσιακής μητρικής επιχείρησης, και για όλες τις σχετικές νομικές οντότητες </w:t>
      </w:r>
      <w:r w:rsidR="003B410C" w:rsidRPr="00F04E52">
        <w:rPr>
          <w:noProof/>
          <w:color w:val="000000" w:themeColor="text1"/>
        </w:rPr>
        <w:t>για τις οποίες η αρχή εξυγίανσης έχει καθορίσει απαίτηση όπως αναφέρεται στο άρθρο 45 παράγραφος 1 της οδηγίας 2014/59/ΕΕ</w:t>
      </w:r>
      <w:r w:rsidR="003B410C" w:rsidRPr="00F04E52">
        <w:rPr>
          <w:noProof/>
        </w:rPr>
        <w:t xml:space="preserve"> σε ενοποιημένη ή υποενοποιημένη βάση, ανεξάρτητα από το αν οι εν λόγω οντότητες υπόκεινται στο πρώτο μέρος τίτλος II κεφάλαιο 2 του κανονισμού (ΕΕ) αριθ. 575/2013.</w:t>
      </w:r>
    </w:p>
    <w:p w:rsidR="003B410C" w:rsidRPr="00F04E52" w:rsidRDefault="00227DF6" w:rsidP="00227DF6">
      <w:pPr>
        <w:pStyle w:val="ManualNumPar1"/>
        <w:rPr>
          <w:noProof/>
        </w:rPr>
      </w:pPr>
      <w:r w:rsidRPr="00227DF6">
        <w:rPr>
          <w:noProof/>
        </w:rPr>
        <w:t>4.</w:t>
      </w:r>
      <w:r w:rsidRPr="00227DF6">
        <w:rPr>
          <w:noProof/>
        </w:rPr>
        <w:tab/>
      </w:r>
      <w:r w:rsidR="00207905" w:rsidRPr="00F04E52">
        <w:rPr>
          <w:noProof/>
        </w:rPr>
        <w:t>Η ενωσιακή μητρική επιχείρηση υποβάλλει στην αρχή εξυγίανσης σε επίπεδο ομίλου τις πληροφορίες που προσδιορίζονται στο υπόδειγμα Z 03.01 ή στο υπόδειγμα Z 03.02, το οποίο παρατίθεται στο παράρτημα I, ως εξής:</w:t>
      </w:r>
    </w:p>
    <w:p w:rsidR="003B410C" w:rsidRPr="00F04E52" w:rsidRDefault="00F04E52" w:rsidP="00F04E52">
      <w:pPr>
        <w:pStyle w:val="Point1"/>
        <w:rPr>
          <w:noProof/>
        </w:rPr>
      </w:pPr>
      <w:r>
        <w:rPr>
          <w:noProof/>
        </w:rPr>
        <w:t>α)</w:t>
      </w:r>
      <w:r>
        <w:rPr>
          <w:noProof/>
        </w:rPr>
        <w:tab/>
      </w:r>
      <w:r w:rsidR="003B410C" w:rsidRPr="00F04E52">
        <w:rPr>
          <w:noProof/>
        </w:rPr>
        <w:t>σε ατομική βάση, για όλες τις οντότητες εξυγίανσης του ομίλου, συμπεριλαμβανομένης της ενωσιακής μητρικής επιχείρησης, και για όλες τις σχετικές νομικές οντότητες που είναι ιδρύματα για τα οποία η αρχή εξυγίανσης έχει καθορίσει απαίτηση όπως αναφέρεται στο άρθρο 45 παράγραφος 1 της οδηγίας 2014/59/ΕΕ·</w:t>
      </w:r>
    </w:p>
    <w:p w:rsidR="003B410C" w:rsidRPr="00F04E52" w:rsidRDefault="00F04E52" w:rsidP="00F04E52">
      <w:pPr>
        <w:pStyle w:val="Point1"/>
        <w:rPr>
          <w:noProof/>
        </w:rPr>
      </w:pPr>
      <w:r>
        <w:rPr>
          <w:noProof/>
        </w:rPr>
        <w:t>β)</w:t>
      </w:r>
      <w:r>
        <w:rPr>
          <w:noProof/>
        </w:rPr>
        <w:tab/>
      </w:r>
      <w:r w:rsidR="003B410C" w:rsidRPr="00F04E52">
        <w:rPr>
          <w:noProof/>
        </w:rPr>
        <w:t>σε ενοποιημένη ή υποενοποιημένη βάση, για όλες τις οντότητες εξυγίανσης του ομίλου, συμπεριλαμβανομένης της ενωσιακής μητρικής επιχείρησης, και για όλες τις σχετικές νομικές οντότητες που είναι ιδρύματα για τα οποία η αρχή εξυγίανσης έχει καθορίσει απαίτηση όπως αναφέρεται στο άρθρο 45 παράγραφος 1 της οδηγίας 2014/59/ΕΕ, ανεξάρτητα από το αν οι εν λόγω οντότητες υπόκεινται στο πρώτο μέρος τίτλος II κεφάλαιο 2 του κανονισμού (ΕΕ) αριθ. 575/2013.</w:t>
      </w:r>
    </w:p>
    <w:p w:rsidR="003B410C" w:rsidRPr="00F04E52" w:rsidRDefault="00227DF6" w:rsidP="00227DF6">
      <w:pPr>
        <w:pStyle w:val="ManualNumPar1"/>
        <w:rPr>
          <w:noProof/>
        </w:rPr>
      </w:pPr>
      <w:r w:rsidRPr="00227DF6">
        <w:rPr>
          <w:noProof/>
        </w:rPr>
        <w:t>5.</w:t>
      </w:r>
      <w:r w:rsidRPr="00227DF6">
        <w:rPr>
          <w:noProof/>
        </w:rPr>
        <w:tab/>
      </w:r>
      <w:r w:rsidR="006E7726" w:rsidRPr="00F04E52">
        <w:rPr>
          <w:noProof/>
        </w:rPr>
        <w:t>Η ενωσιακή μητρική επιχείρηση υποβάλλει στην αρχή εξυγίανσης σε επίπεδο ομίλου τις πληροφορίες που αναφέρονται στα υποδείγματα Z 07.01.1, Z 07.01.2, Z 07.01.3, Z 07.01.4 και Z 07.01.5, τα οποία παρατίθενται στο παράρτημα I, στο επίπεδο κάθε κράτους μέλους στο οποίο δραστηριοποιείται ο όμιλος.</w:t>
      </w:r>
    </w:p>
    <w:p w:rsidR="003B410C" w:rsidRPr="00F04E52" w:rsidRDefault="00227DF6" w:rsidP="00227DF6">
      <w:pPr>
        <w:pStyle w:val="ManualNumPar1"/>
        <w:rPr>
          <w:noProof/>
        </w:rPr>
      </w:pPr>
      <w:r w:rsidRPr="00227DF6">
        <w:rPr>
          <w:noProof/>
        </w:rPr>
        <w:t>6.</w:t>
      </w:r>
      <w:r w:rsidRPr="00227DF6">
        <w:rPr>
          <w:noProof/>
        </w:rPr>
        <w:tab/>
      </w:r>
      <w:r w:rsidR="006E7726" w:rsidRPr="00F04E52">
        <w:rPr>
          <w:noProof/>
        </w:rPr>
        <w:t>Η ενωσιακή μητρική επιχείρηση υποβάλλει στην αρχή εξυγίανσης σε επίπεδο ομίλου τις πληροφορίες που αναφέρονται στα υποδείγματα Z 07.02, Z 07.03 και Z 07.04, τα οποία παρατίθενται στο παράρτημα I, σε σχέση με τις κρίσιμες λειτουργίες και τους βασικούς επιχειρηματικούς τομείς που παρέχονται από κάθε οντότητα του ομίλου.</w:t>
      </w:r>
    </w:p>
    <w:p w:rsidR="003B410C" w:rsidRPr="00F04E52" w:rsidRDefault="00227DF6" w:rsidP="00227DF6">
      <w:pPr>
        <w:pStyle w:val="ManualNumPar1"/>
        <w:rPr>
          <w:noProof/>
        </w:rPr>
      </w:pPr>
      <w:r w:rsidRPr="00227DF6">
        <w:rPr>
          <w:noProof/>
        </w:rPr>
        <w:t>7.</w:t>
      </w:r>
      <w:r w:rsidRPr="00227DF6">
        <w:rPr>
          <w:noProof/>
        </w:rPr>
        <w:tab/>
      </w:r>
      <w:r w:rsidR="006E7726" w:rsidRPr="00F04E52">
        <w:rPr>
          <w:noProof/>
        </w:rPr>
        <w:t>Η ενωσιακή μητρική επιχείρηση υποβάλλει στην αρχή εξυγίανσης σε επίπεδο ομίλου, σε ατομική βάση, τις πληροφορίες που ορίζονται στα υποδείγματα Z 05.01, Z 05.02, Z 06.00, Z 07.01.1 έως Z 07.01.5, Z 07.04 και Z 11.00 έως Z 17.00, τα οποία παρατίθενται στο παράρτημα I, για όλες τις οντότητες εξυγίανσης του ομίλου, συμπεριλαμβανομένης της ενωσιακής μητρικής επιχείρησης.</w:t>
      </w:r>
    </w:p>
    <w:p w:rsidR="003B410C" w:rsidRPr="00F04E52" w:rsidRDefault="00227DF6" w:rsidP="00227DF6">
      <w:pPr>
        <w:pStyle w:val="ManualNumPar1"/>
        <w:rPr>
          <w:noProof/>
        </w:rPr>
      </w:pPr>
      <w:r w:rsidRPr="00227DF6">
        <w:rPr>
          <w:noProof/>
        </w:rPr>
        <w:t>8.</w:t>
      </w:r>
      <w:r w:rsidRPr="00227DF6">
        <w:rPr>
          <w:noProof/>
        </w:rPr>
        <w:tab/>
      </w:r>
      <w:r w:rsidR="003B410C" w:rsidRPr="00F04E52">
        <w:rPr>
          <w:noProof/>
        </w:rPr>
        <w:t>Η ενωσιακή μητρική επιχείρηση υποβάλλει στην αρχή εξυγίανσης σε επίπεδο ομίλου, σε ατομική βάση, τις πληροφορίες που ορίζονται στα υποδείγματα Z 05.01, Z 05.02, Z 06.00, Z 07.01.1 έως Z 07.01.5 και Z 07.04, τα οποία παρατίθενται στο παράρτημα I, για όλες τις σχετικές νομικές οντότητες που είναι ιδρύματα.</w:t>
      </w:r>
    </w:p>
    <w:p w:rsidR="003B410C" w:rsidRPr="00F04E52" w:rsidRDefault="00227DF6" w:rsidP="00227DF6">
      <w:pPr>
        <w:pStyle w:val="ManualNumPar1"/>
        <w:rPr>
          <w:noProof/>
        </w:rPr>
      </w:pPr>
      <w:r w:rsidRPr="00227DF6">
        <w:rPr>
          <w:noProof/>
        </w:rPr>
        <w:t>9.</w:t>
      </w:r>
      <w:r w:rsidRPr="00227DF6">
        <w:rPr>
          <w:noProof/>
        </w:rPr>
        <w:tab/>
      </w:r>
      <w:r w:rsidR="003B410C" w:rsidRPr="00F04E52">
        <w:rPr>
          <w:noProof/>
        </w:rPr>
        <w:t>Η παράγραφος 2, η παράγραφος 3 στοιχείο α) και οι παράγραφοι 4, 5 και 6 του παρόντος άρθρου εφαρμόζονται ανεξάρτητα από οποιαδήποτε παρέκκλιση από την εφαρμογή των απαιτήσεων προληπτικής εποπτείας που χορηγείται σύμφωνα με το άρθρο 7 παράγραφος 1 ή 3 του κανονισμού (ΕΕ) αριθ. 575/2013 ή το άρθρο 8 του κανονισμού (ΕΕ</w:t>
      </w:r>
      <w:r w:rsidR="003B410C" w:rsidRPr="00F04E52">
        <w:rPr>
          <w:noProof/>
          <w:shd w:val="clear" w:color="auto" w:fill="FFFFFF" w:themeFill="background1"/>
        </w:rPr>
        <w:t>) 2019/2033 του Ευρωπαϊκού Κοινοβουλίου και του Συμβουλίου</w:t>
      </w:r>
      <w:r w:rsidR="003B410C" w:rsidRPr="00F04E52">
        <w:rPr>
          <w:rStyle w:val="FootnoteReference"/>
          <w:noProof/>
          <w:shd w:val="clear" w:color="auto" w:fill="FFFFFF" w:themeFill="background1"/>
        </w:rPr>
        <w:footnoteReference w:id="8"/>
      </w:r>
      <w:r w:rsidR="003B410C" w:rsidRPr="00F04E52">
        <w:rPr>
          <w:noProof/>
          <w:shd w:val="clear" w:color="auto" w:fill="FFFFFF" w:themeFill="background1"/>
        </w:rPr>
        <w:t xml:space="preserve"> ή από οποιαδήποτε απαλλαγή από την εφαρμογή</w:t>
      </w:r>
      <w:r w:rsidR="003B410C" w:rsidRPr="00F04E52">
        <w:rPr>
          <w:noProof/>
        </w:rPr>
        <w:t xml:space="preserve"> της ελάχιστης απαίτησης ιδίων κεφαλαίων και επιλέξιμων υποχρεώσεων που χορηγείται σύμφωνα με το άρθρο 45στ της οδηγίας 2014/59/ΕΕ.</w:t>
      </w:r>
    </w:p>
    <w:p w:rsidR="003B410C" w:rsidRPr="00F04E52" w:rsidRDefault="003B410C" w:rsidP="00184085">
      <w:pPr>
        <w:pStyle w:val="Titrearticle"/>
        <w:rPr>
          <w:noProof/>
        </w:rPr>
      </w:pPr>
      <w:r w:rsidRPr="00F04E52">
        <w:rPr>
          <w:noProof/>
        </w:rPr>
        <w:t>Άρθρο 4</w:t>
      </w:r>
    </w:p>
    <w:p w:rsidR="003B410C" w:rsidRPr="00F04E52" w:rsidRDefault="003B410C" w:rsidP="00184085">
      <w:pPr>
        <w:pStyle w:val="Titrearticle"/>
        <w:spacing w:before="0"/>
        <w:rPr>
          <w:b/>
          <w:bCs/>
          <w:i w:val="0"/>
          <w:iCs/>
          <w:noProof/>
        </w:rPr>
      </w:pPr>
      <w:r w:rsidRPr="00F04E52">
        <w:rPr>
          <w:b/>
          <w:i w:val="0"/>
          <w:noProof/>
        </w:rPr>
        <w:t>Υποβολή αναφορών εξυγίανσης ομίλου — όμιλοι που περιλαμβάνουν μόνο οντότητες εκκαθάρισης</w:t>
      </w:r>
    </w:p>
    <w:p w:rsidR="003B410C" w:rsidRPr="00F04E52" w:rsidRDefault="00F95432" w:rsidP="00184085">
      <w:pPr>
        <w:rPr>
          <w:noProof/>
        </w:rPr>
      </w:pPr>
      <w:r w:rsidRPr="00F04E52">
        <w:rPr>
          <w:noProof/>
        </w:rPr>
        <w:t>Η ενωσιακή μητρική επιχείρηση ενός ομίλου που περιλαμβάνει μόνο οντότητες εκκαθάρισης που δεν υπόκεινται σε απλουστευμένες υποχρεώσεις υποβάλλει στην αρχή εξυγίανσης σε επίπεδο ομίλου:</w:t>
      </w:r>
    </w:p>
    <w:p w:rsidR="003B410C" w:rsidRPr="00F04E52" w:rsidRDefault="00F04E52" w:rsidP="00F04E52">
      <w:pPr>
        <w:pStyle w:val="Point0"/>
        <w:rPr>
          <w:noProof/>
        </w:rPr>
      </w:pPr>
      <w:r>
        <w:rPr>
          <w:noProof/>
        </w:rPr>
        <w:t>α)</w:t>
      </w:r>
      <w:r>
        <w:rPr>
          <w:noProof/>
        </w:rPr>
        <w:tab/>
      </w:r>
      <w:r w:rsidR="003B410C" w:rsidRPr="00F04E52">
        <w:rPr>
          <w:noProof/>
        </w:rPr>
        <w:t>τις πληροφορίες που ορίζονται στα υποδείγματα Z 01.01, Z 01.02, Z 07.01.1 έως Z 07.01.5 και Z 09.01, τα οποία παρατίθενται στο παράρτημα I, σε σχέση με όλες τις οντότητες του ομίλου, στο υπόδειγμα Z 02.00 σε ενοποιημένη βάση και στο υπόδειγμα Z 04.00 σε σχέση με τις χρηματοοικονομικές διασυνδέσεις μεταξύ όλων των οντοτήτων του ομίλου·</w:t>
      </w:r>
    </w:p>
    <w:p w:rsidR="003B410C" w:rsidRPr="00F04E52" w:rsidRDefault="00F04E52" w:rsidP="00F04E52">
      <w:pPr>
        <w:pStyle w:val="Point0"/>
        <w:rPr>
          <w:noProof/>
        </w:rPr>
      </w:pPr>
      <w:r>
        <w:rPr>
          <w:noProof/>
        </w:rPr>
        <w:t>β)</w:t>
      </w:r>
      <w:r>
        <w:rPr>
          <w:noProof/>
        </w:rPr>
        <w:tab/>
      </w:r>
      <w:r w:rsidR="009F0766" w:rsidRPr="00F04E52">
        <w:rPr>
          <w:noProof/>
        </w:rPr>
        <w:t>σε ατομική βάση, για την ίδια και για κάθε σχετική νομική οντότητα για την οποία η αρχή εξυγίανσης δεν έχει καθορίσει την απαίτηση που αναφέρεται στο άρθρο 45 παράγραφος 1 της οδηγίας 2014/59/ΕΕ, σύμφωνα με το άρθρο 45γ παράγραφος 2α δεύτερο εδάφιο της εν λόγω οδηγίας, τις πληροφορίες που ορίζονται στα υποδείγματα Z 02.00, Z 05.01, Z 05.02, Z 06.00, Z 07.01.1 έως Z 07.01.5 και Z 07.04, τα οποία παρατίθενται στο παράρτημα I του παρόντος κανονισμού·</w:t>
      </w:r>
    </w:p>
    <w:p w:rsidR="00E522C4" w:rsidRPr="00F04E52" w:rsidRDefault="00F04E52" w:rsidP="00F04E52">
      <w:pPr>
        <w:pStyle w:val="Point0"/>
        <w:rPr>
          <w:noProof/>
        </w:rPr>
      </w:pPr>
      <w:r>
        <w:rPr>
          <w:noProof/>
        </w:rPr>
        <w:t>γ)</w:t>
      </w:r>
      <w:r>
        <w:rPr>
          <w:noProof/>
        </w:rPr>
        <w:tab/>
      </w:r>
      <w:r w:rsidR="009F0766" w:rsidRPr="00F04E52">
        <w:rPr>
          <w:noProof/>
        </w:rPr>
        <w:t>σε ατομική βάση, για την ίδια και για κάθε σχετική νομική οντότητα για την οποία η αρχή εξυγίανσης έχει καθορίσει την απαίτηση που αναφέρεται στο άρθρο 45 παράγραφος 1 της οδηγίας 2014/59/ΕΕ, σύμφωνα με το άρθρο 45γ παράγραφος 2α δεύτερο εδάφιο της εν λόγω οδηγίας, τις πληροφορίες που ορίζονται στα υποδείγματα Z 02.00, Z 03.01, Z 03.02, Z 05.01, Z 05.02, Z 06.00, Z 07.01.1 έως Z 07.01.5 και Z 07.04, τα οποία παρατίθενται στο παράρτημα I του παρόντος κανονισμού.</w:t>
      </w:r>
    </w:p>
    <w:p w:rsidR="00E522C4" w:rsidRPr="00F04E52" w:rsidRDefault="00E522C4" w:rsidP="00184085">
      <w:pPr>
        <w:pStyle w:val="Titrearticle"/>
        <w:rPr>
          <w:noProof/>
        </w:rPr>
      </w:pPr>
      <w:r w:rsidRPr="00F04E52">
        <w:rPr>
          <w:noProof/>
        </w:rPr>
        <w:t>Άρθρο 5</w:t>
      </w:r>
    </w:p>
    <w:p w:rsidR="00E522C4" w:rsidRPr="00F04E52" w:rsidRDefault="00E522C4" w:rsidP="00184085">
      <w:pPr>
        <w:pStyle w:val="Titrearticle"/>
        <w:spacing w:before="0"/>
        <w:rPr>
          <w:b/>
          <w:bCs/>
          <w:i w:val="0"/>
          <w:iCs/>
          <w:noProof/>
        </w:rPr>
      </w:pPr>
      <w:r w:rsidRPr="00F04E52">
        <w:rPr>
          <w:b/>
          <w:i w:val="0"/>
          <w:noProof/>
        </w:rPr>
        <w:t>Προσαρμογές στην υποβολή αναφορών εξυγίανσης ομίλου</w:t>
      </w:r>
    </w:p>
    <w:p w:rsidR="00E522C4" w:rsidRPr="00F04E52" w:rsidRDefault="00227DF6" w:rsidP="00227DF6">
      <w:pPr>
        <w:pStyle w:val="ManualNumPar1"/>
        <w:rPr>
          <w:noProof/>
        </w:rPr>
      </w:pPr>
      <w:r w:rsidRPr="00227DF6">
        <w:rPr>
          <w:noProof/>
        </w:rPr>
        <w:t>1.</w:t>
      </w:r>
      <w:r w:rsidRPr="00227DF6">
        <w:rPr>
          <w:noProof/>
        </w:rPr>
        <w:tab/>
      </w:r>
      <w:r w:rsidR="00E522C4" w:rsidRPr="00F04E52">
        <w:rPr>
          <w:noProof/>
        </w:rPr>
        <w:t>Για όμιλο του οποίου η ενωσιακή μητρική επιχείρηση είναι οντότητα εκκαθάρισης και ο οποίος περιλαμβάνει οντότητες εξυγίανσης, η ενωσιακή μητρική επιχείρηση υποβάλλει τα ακόλουθα:</w:t>
      </w:r>
    </w:p>
    <w:p w:rsidR="00E522C4" w:rsidRPr="00F04E52" w:rsidRDefault="00F04E52" w:rsidP="00F04E52">
      <w:pPr>
        <w:pStyle w:val="Point1"/>
        <w:rPr>
          <w:noProof/>
        </w:rPr>
      </w:pPr>
      <w:r>
        <w:rPr>
          <w:noProof/>
        </w:rPr>
        <w:t>α)</w:t>
      </w:r>
      <w:r>
        <w:rPr>
          <w:noProof/>
        </w:rPr>
        <w:tab/>
      </w:r>
      <w:r w:rsidR="000C210A" w:rsidRPr="00F04E52">
        <w:rPr>
          <w:noProof/>
        </w:rPr>
        <w:t>για οντότητες του ομίλου που ανήκουν σε ομίλους εξυγίανσης, τις πληροφορίες που αναφέρονται στο άρθρο 3·</w:t>
      </w:r>
    </w:p>
    <w:p w:rsidR="00E522C4" w:rsidRPr="00F04E52" w:rsidRDefault="00F04E52" w:rsidP="00F04E52">
      <w:pPr>
        <w:pStyle w:val="Point1"/>
        <w:rPr>
          <w:noProof/>
        </w:rPr>
      </w:pPr>
      <w:r>
        <w:rPr>
          <w:noProof/>
        </w:rPr>
        <w:t>β)</w:t>
      </w:r>
      <w:r>
        <w:rPr>
          <w:noProof/>
        </w:rPr>
        <w:tab/>
      </w:r>
      <w:r w:rsidR="000C210A" w:rsidRPr="00F04E52">
        <w:rPr>
          <w:noProof/>
        </w:rPr>
        <w:t>για οντότητες εκκαθάρισης που δεν υπόκεινται σε απλουστευμένες υποχρεώσεις και δεν ανήκουν σε κανέναν όμιλο εξυγίανσης, τις πληροφορίες που αναφέρονται στο άρθρο 4.</w:t>
      </w:r>
    </w:p>
    <w:p w:rsidR="00E522C4" w:rsidRPr="00F04E52" w:rsidRDefault="00227DF6" w:rsidP="00227DF6">
      <w:pPr>
        <w:pStyle w:val="ManualNumPar1"/>
        <w:rPr>
          <w:noProof/>
        </w:rPr>
      </w:pPr>
      <w:r w:rsidRPr="00227DF6">
        <w:rPr>
          <w:noProof/>
        </w:rPr>
        <w:t>2.</w:t>
      </w:r>
      <w:r w:rsidRPr="00227DF6">
        <w:rPr>
          <w:noProof/>
        </w:rPr>
        <w:tab/>
      </w:r>
      <w:r w:rsidR="00E522C4" w:rsidRPr="00F04E52">
        <w:rPr>
          <w:noProof/>
        </w:rPr>
        <w:t>Για όμιλο εξυγίανσης, όπως αναφέρεται στο άρθρο 2 παράγραφος 1 σημείο 83β) στοιχείο β) της οδηγίας 2014/59/ΕΕ, οι πληροφορίες που αναφέρονται στο άρθρο 3 του παρόντος κανονισμού υποβάλλονται από τουλάχιστον μία από τις οντότητες εξυγίανσης του ομίλου. Οι πληροφορίες αυτές καλύπτουν αποτελεσματικά όλα τα πιστωτικά ιδρύματα που είναι μόνιμα συνδεδεμένα με τον κεντρικό οργανισμό του εν λόγω ομίλου εξυγίανσης, τον ίδιο τον κεντρικό οργανισμό και τις αντίστοιχες θυγατρικές τους, σε ατομική, υποενοποιημένη και ενοποιημένη βάση, κατά περίπτωση.</w:t>
      </w:r>
    </w:p>
    <w:p w:rsidR="00E522C4" w:rsidRPr="00F04E52" w:rsidRDefault="00E522C4" w:rsidP="00184085">
      <w:pPr>
        <w:pStyle w:val="Titrearticle"/>
        <w:rPr>
          <w:noProof/>
        </w:rPr>
      </w:pPr>
      <w:r w:rsidRPr="00F04E52">
        <w:rPr>
          <w:noProof/>
        </w:rPr>
        <w:t>Άρθρο 6</w:t>
      </w:r>
    </w:p>
    <w:p w:rsidR="00E522C4" w:rsidRPr="00F04E52" w:rsidRDefault="00E522C4" w:rsidP="00184085">
      <w:pPr>
        <w:pStyle w:val="Titrearticle"/>
        <w:spacing w:before="0"/>
        <w:rPr>
          <w:b/>
          <w:bCs/>
          <w:i w:val="0"/>
          <w:iCs/>
          <w:noProof/>
        </w:rPr>
      </w:pPr>
      <w:r w:rsidRPr="00F04E52">
        <w:rPr>
          <w:b/>
          <w:i w:val="0"/>
          <w:noProof/>
        </w:rPr>
        <w:t>Συχνότητα, ημερομηνίες αναφοράς και ημερομηνίες αποστολής</w:t>
      </w:r>
    </w:p>
    <w:p w:rsidR="00E522C4" w:rsidRPr="00F04E52" w:rsidRDefault="00227DF6" w:rsidP="00227DF6">
      <w:pPr>
        <w:pStyle w:val="ManualNumPar1"/>
        <w:rPr>
          <w:noProof/>
        </w:rPr>
      </w:pPr>
      <w:r w:rsidRPr="00227DF6">
        <w:rPr>
          <w:noProof/>
        </w:rPr>
        <w:t>1.</w:t>
      </w:r>
      <w:r w:rsidRPr="00227DF6">
        <w:rPr>
          <w:noProof/>
        </w:rPr>
        <w:tab/>
      </w:r>
      <w:r w:rsidR="00E522C4" w:rsidRPr="00F04E52">
        <w:rPr>
          <w:noProof/>
        </w:rPr>
        <w:t>Τα ιδρύματα ή, στην περίπτωση ομίλων, οι ενωσιακές μητρικές επιχειρήσεις υποβάλλουν τις πληροφορίες που αναφέρονται στα άρθρα 2 έως 5 ως εξής:</w:t>
      </w:r>
    </w:p>
    <w:p w:rsidR="00E522C4" w:rsidRPr="00F04E52" w:rsidRDefault="00F04E52" w:rsidP="00F04E52">
      <w:pPr>
        <w:pStyle w:val="Point1"/>
        <w:rPr>
          <w:noProof/>
        </w:rPr>
      </w:pPr>
      <w:r>
        <w:rPr>
          <w:noProof/>
        </w:rPr>
        <w:t>α)</w:t>
      </w:r>
      <w:r>
        <w:rPr>
          <w:noProof/>
        </w:rPr>
        <w:tab/>
      </w:r>
      <w:r w:rsidR="00A071C3" w:rsidRPr="00F04E52">
        <w:rPr>
          <w:noProof/>
        </w:rPr>
        <w:t xml:space="preserve">για τα </w:t>
      </w:r>
      <w:bookmarkStart w:id="2" w:name="_Hlk188952542"/>
      <w:r w:rsidR="00A071C3" w:rsidRPr="00F04E52">
        <w:rPr>
          <w:noProof/>
        </w:rPr>
        <w:t>υποδείγματα Z 01.01, Z 01.02, Z 02.00, Z 03.01, Z 03.02, Z 04.00, Z 05.01, Z 05.02, Z 06.00 και Z 11.00 έως Z 17.00</w:t>
      </w:r>
      <w:bookmarkEnd w:id="2"/>
      <w:r w:rsidR="00A071C3" w:rsidRPr="00F04E52">
        <w:rPr>
          <w:noProof/>
        </w:rPr>
        <w:t>, το αργότερο έως τις 31 Μαρτίου κάθε έτους σε σχέση με την τελευταία ημέρα του προηγούμενου ημερολογιακού έτους·</w:t>
      </w:r>
    </w:p>
    <w:p w:rsidR="00E522C4" w:rsidRPr="00F04E52" w:rsidRDefault="00F04E52" w:rsidP="00F04E52">
      <w:pPr>
        <w:pStyle w:val="Point1"/>
        <w:rPr>
          <w:noProof/>
        </w:rPr>
      </w:pPr>
      <w:r>
        <w:rPr>
          <w:noProof/>
        </w:rPr>
        <w:t>β)</w:t>
      </w:r>
      <w:r>
        <w:rPr>
          <w:noProof/>
        </w:rPr>
        <w:tab/>
      </w:r>
      <w:r w:rsidR="003F636B" w:rsidRPr="00F04E52">
        <w:rPr>
          <w:noProof/>
        </w:rPr>
        <w:t xml:space="preserve">για τα υποδείγματα Z 07.01.1 έως Z 07.04, Z 08.01 έως Z 08.05 και Z 09.01 έως Z 09.04, το αργότερο έως τις 30 Απριλίου κάθε έτους σε σχέση με την τελευταία ημέρα του προηγούμενου ημερολογιακού έτους. </w:t>
      </w:r>
    </w:p>
    <w:p w:rsidR="003F636B" w:rsidRPr="00F04E52" w:rsidRDefault="003F636B" w:rsidP="00184085">
      <w:pPr>
        <w:pStyle w:val="Text1"/>
        <w:rPr>
          <w:noProof/>
        </w:rPr>
      </w:pPr>
      <w:r w:rsidRPr="00F04E52">
        <w:rPr>
          <w:noProof/>
        </w:rPr>
        <w:t>Για τους σκοπούς του στοιχείου α), εάν η 31η Μαρτίου δεν είναι εργάσιμη, οι εν λόγω πληροφορίες παρέχονται την επόμενη εργάσιμη ημέρα.</w:t>
      </w:r>
    </w:p>
    <w:p w:rsidR="003F636B" w:rsidRPr="00F04E52" w:rsidRDefault="003F636B" w:rsidP="00184085">
      <w:pPr>
        <w:pStyle w:val="Text1"/>
        <w:rPr>
          <w:noProof/>
        </w:rPr>
      </w:pPr>
      <w:r w:rsidRPr="00F04E52">
        <w:rPr>
          <w:noProof/>
        </w:rPr>
        <w:t>Για τους σκοπούς του στοιχείου β), εάν η 30ή Απριλίου δεν είναι εργάσιμη, οι εν λόγω πληροφορίες παρέχονται την επόμενη εργάσιμη ημέρα.</w:t>
      </w:r>
    </w:p>
    <w:p w:rsidR="00E522C4" w:rsidRPr="00F04E52" w:rsidRDefault="00227DF6" w:rsidP="00227DF6">
      <w:pPr>
        <w:pStyle w:val="ManualNumPar1"/>
        <w:rPr>
          <w:noProof/>
        </w:rPr>
      </w:pPr>
      <w:r w:rsidRPr="00227DF6">
        <w:rPr>
          <w:noProof/>
        </w:rPr>
        <w:t>2.</w:t>
      </w:r>
      <w:r w:rsidRPr="00227DF6">
        <w:rPr>
          <w:noProof/>
        </w:rPr>
        <w:tab/>
      </w:r>
      <w:r w:rsidR="00E522C4" w:rsidRPr="00F04E52">
        <w:rPr>
          <w:noProof/>
        </w:rPr>
        <w:t>Οι αρχές εξυγίανσης διευκρινίζουν αν οι πληροφορίες υποβάλλονται απευθείας στην αρχή εξυγίανσης ή αν υποβάλλονται αντ’ αυτού στην αρμόδια αρχή, κατά περίπτωση.</w:t>
      </w:r>
    </w:p>
    <w:p w:rsidR="00E522C4" w:rsidRPr="00F04E52" w:rsidRDefault="00227DF6" w:rsidP="00227DF6">
      <w:pPr>
        <w:pStyle w:val="ManualNumPar1"/>
        <w:rPr>
          <w:noProof/>
        </w:rPr>
      </w:pPr>
      <w:r w:rsidRPr="00227DF6">
        <w:rPr>
          <w:noProof/>
        </w:rPr>
        <w:t>3.</w:t>
      </w:r>
      <w:r w:rsidRPr="00227DF6">
        <w:rPr>
          <w:noProof/>
        </w:rPr>
        <w:tab/>
      </w:r>
      <w:r w:rsidR="00E522C4" w:rsidRPr="00F04E52">
        <w:rPr>
          <w:noProof/>
        </w:rPr>
        <w:t xml:space="preserve">Τα ιδρύματα ή, στην περίπτωση ομίλων, οι ενωσιακές μητρικές επιχειρήσεις μπορούν να υποβάλλουν μη ελεγχθέντα στοιχεία. Σε περίπτωση που τα ελεγχθέντα στοιχεία αποκλίνουν από τα υποβληθέντα μη ελεγχθέντα στοιχεία, τότε τα αναθεωρημένα, ελεγχθέντα στοιχεία υποβάλλονται χωρίς αδικαιολόγητη καθυστέρηση. </w:t>
      </w:r>
    </w:p>
    <w:p w:rsidR="00E522C4" w:rsidRPr="00F04E52" w:rsidRDefault="00227DF6" w:rsidP="00227DF6">
      <w:pPr>
        <w:pStyle w:val="ManualNumPar1"/>
        <w:rPr>
          <w:noProof/>
        </w:rPr>
      </w:pPr>
      <w:r w:rsidRPr="00227DF6">
        <w:rPr>
          <w:noProof/>
        </w:rPr>
        <w:t>4.</w:t>
      </w:r>
      <w:r w:rsidRPr="00227DF6">
        <w:rPr>
          <w:noProof/>
        </w:rPr>
        <w:tab/>
      </w:r>
      <w:r w:rsidR="00E522C4" w:rsidRPr="00F04E52">
        <w:rPr>
          <w:noProof/>
        </w:rPr>
        <w:t xml:space="preserve">Για τους σκοπούς της παραγράφου 3, «μη ελεγχθέντα στοιχεία» είναι τα στοιχεία για τα οποία δεν έχει εξασφαλιστεί σχετικό πόρισμα από εξωτερικό ελεγκτή και «ελεγχθέντα στοιχεία» είναι τα στοιχεία που έχουν ελεγχθεί από εξωτερικό ελεγκτή, ο οποίος και διατύπωσε σχετικό πόρισμα ελέγχου. </w:t>
      </w:r>
    </w:p>
    <w:p w:rsidR="00E522C4" w:rsidRPr="00F04E52" w:rsidRDefault="00227DF6" w:rsidP="00227DF6">
      <w:pPr>
        <w:pStyle w:val="ManualNumPar1"/>
        <w:rPr>
          <w:noProof/>
        </w:rPr>
      </w:pPr>
      <w:r w:rsidRPr="00227DF6">
        <w:rPr>
          <w:noProof/>
        </w:rPr>
        <w:t>5.</w:t>
      </w:r>
      <w:r w:rsidRPr="00227DF6">
        <w:rPr>
          <w:noProof/>
        </w:rPr>
        <w:tab/>
      </w:r>
      <w:r w:rsidR="00E522C4" w:rsidRPr="00F04E52">
        <w:rPr>
          <w:noProof/>
        </w:rPr>
        <w:t>Διορθώσεις στις υποβληθείσες αναφορές υποβάλλονται χωρίς αδικαιολόγητη καθυστέρηση.</w:t>
      </w:r>
    </w:p>
    <w:p w:rsidR="00E522C4" w:rsidRPr="00F04E52" w:rsidRDefault="00E522C4" w:rsidP="00184085">
      <w:pPr>
        <w:pStyle w:val="Titrearticle"/>
        <w:rPr>
          <w:noProof/>
        </w:rPr>
      </w:pPr>
      <w:r w:rsidRPr="00F04E52">
        <w:rPr>
          <w:noProof/>
        </w:rPr>
        <w:t>Άρθρο 7</w:t>
      </w:r>
    </w:p>
    <w:p w:rsidR="00E522C4" w:rsidRPr="00F04E52" w:rsidRDefault="00E522C4" w:rsidP="00184085">
      <w:pPr>
        <w:pStyle w:val="Titrearticle"/>
        <w:spacing w:before="0"/>
        <w:rPr>
          <w:b/>
          <w:bCs/>
          <w:i w:val="0"/>
          <w:iCs/>
          <w:noProof/>
        </w:rPr>
      </w:pPr>
      <w:r w:rsidRPr="00F04E52">
        <w:rPr>
          <w:b/>
          <w:i w:val="0"/>
          <w:noProof/>
        </w:rPr>
        <w:t>Μορφότυποι ανταλλαγής δεδομένων και πληροφορίες που συνοδεύουν την υποβολή</w:t>
      </w:r>
    </w:p>
    <w:p w:rsidR="00E522C4" w:rsidRPr="00F04E52" w:rsidRDefault="00227DF6" w:rsidP="00227DF6">
      <w:pPr>
        <w:pStyle w:val="ManualNumPar1"/>
        <w:rPr>
          <w:noProof/>
        </w:rPr>
      </w:pPr>
      <w:r w:rsidRPr="00227DF6">
        <w:rPr>
          <w:noProof/>
        </w:rPr>
        <w:t>1.</w:t>
      </w:r>
      <w:r w:rsidRPr="00227DF6">
        <w:rPr>
          <w:noProof/>
        </w:rPr>
        <w:tab/>
      </w:r>
      <w:r w:rsidR="00E522C4" w:rsidRPr="00F04E52">
        <w:rPr>
          <w:noProof/>
        </w:rPr>
        <w:t xml:space="preserve">Τα ιδρύματα ή, στην περίπτωση ομίλων, οι ενωσιακές μητρικές επιχειρήσεις, υποβάλλουν τις πληροφορίες που αναφέρονται στα άρθρα 2 έως 5, όπως ορίζονται στα υποδείγματα που παρατίθενται στο παράρτημα I, με τους μορφότυπους ανταλλαγής δεδομένων και τις απεικονίσεις που ορίζονται από τις αρχές εξυγίανσης, και τηρούν τους ορισμούς των σημείων δεδομένων που περιλαμβάνονται στο ενιαίο μοντέλο σημείων δεδομένων του παραρτήματος II και τους κανόνες επικύρωσης του παραρτήματος III. </w:t>
      </w:r>
    </w:p>
    <w:p w:rsidR="00E522C4" w:rsidRPr="00F04E52" w:rsidRDefault="00227DF6" w:rsidP="00227DF6">
      <w:pPr>
        <w:pStyle w:val="ManualNumPar1"/>
        <w:rPr>
          <w:noProof/>
        </w:rPr>
      </w:pPr>
      <w:r w:rsidRPr="00227DF6">
        <w:rPr>
          <w:noProof/>
        </w:rPr>
        <w:t>2.</w:t>
      </w:r>
      <w:r w:rsidRPr="00227DF6">
        <w:rPr>
          <w:noProof/>
        </w:rPr>
        <w:tab/>
      </w:r>
      <w:r w:rsidR="00E522C4" w:rsidRPr="00F04E52">
        <w:rPr>
          <w:noProof/>
        </w:rPr>
        <w:t>Επιπλέον της υποχρέωσης που αναφέρεται στην παράγραφο 1, τα ιδρύματα ή, στην περίπτωση ομίλων, οι ενωσιακές μητρικές επιχειρήσεις διασφαλίζουν τα εξής:</w:t>
      </w:r>
    </w:p>
    <w:p w:rsidR="00E522C4" w:rsidRPr="00F04E52" w:rsidRDefault="00F04E52" w:rsidP="00F04E52">
      <w:pPr>
        <w:pStyle w:val="Point1"/>
        <w:rPr>
          <w:noProof/>
        </w:rPr>
      </w:pPr>
      <w:r>
        <w:rPr>
          <w:noProof/>
        </w:rPr>
        <w:t>α)</w:t>
      </w:r>
      <w:r>
        <w:rPr>
          <w:noProof/>
        </w:rPr>
        <w:tab/>
      </w:r>
      <w:r w:rsidR="00E522C4" w:rsidRPr="00F04E52">
        <w:rPr>
          <w:noProof/>
        </w:rPr>
        <w:t>οι αριθμητικές τιμές υποβάλλονται ως εξής:</w:t>
      </w:r>
    </w:p>
    <w:p w:rsidR="00E522C4" w:rsidRPr="00F04E52" w:rsidRDefault="00E522C4" w:rsidP="00184085">
      <w:pPr>
        <w:pStyle w:val="Point2"/>
        <w:rPr>
          <w:noProof/>
        </w:rPr>
      </w:pPr>
      <w:r w:rsidRPr="00F04E52">
        <w:rPr>
          <w:noProof/>
        </w:rPr>
        <w:t>i)</w:t>
      </w:r>
      <w:r w:rsidRPr="00F04E52">
        <w:rPr>
          <w:noProof/>
        </w:rPr>
        <w:tab/>
        <w:t xml:space="preserve">τα σημεία δεδομένων με τον τύπο δεδομένων «Νομισματικά» υποβάλλονται με τη χρήση ελάχιστης ακρίβειας που αντιστοιχεί σε δέκα χιλιάδες μονάδες· </w:t>
      </w:r>
    </w:p>
    <w:p w:rsidR="00E522C4" w:rsidRPr="00F04E52" w:rsidRDefault="00E522C4" w:rsidP="00184085">
      <w:pPr>
        <w:pStyle w:val="Point2"/>
        <w:rPr>
          <w:noProof/>
        </w:rPr>
      </w:pPr>
      <w:r w:rsidRPr="00F04E52">
        <w:rPr>
          <w:noProof/>
        </w:rPr>
        <w:t>ii)</w:t>
      </w:r>
      <w:r w:rsidRPr="00F04E52">
        <w:rPr>
          <w:noProof/>
        </w:rPr>
        <w:tab/>
        <w:t>τα σημεία δεδομένων με τον τύπο δεδομένων «Ποσοστό» εκφράζονται ανά μονάδα, με ελάχιστη ακρίβεια που αντιστοιχεί σε τέσσερα δεκαδικά ψηφία·</w:t>
      </w:r>
    </w:p>
    <w:p w:rsidR="00E522C4" w:rsidRPr="00F04E52" w:rsidRDefault="00E522C4" w:rsidP="00184085">
      <w:pPr>
        <w:pStyle w:val="Point2"/>
        <w:rPr>
          <w:noProof/>
        </w:rPr>
      </w:pPr>
      <w:r w:rsidRPr="00F04E52">
        <w:rPr>
          <w:noProof/>
        </w:rPr>
        <w:t>iii)</w:t>
      </w:r>
      <w:r w:rsidRPr="00F04E52">
        <w:rPr>
          <w:noProof/>
        </w:rPr>
        <w:tab/>
        <w:t>τα σημεία δεδομένων με τον τύπο δεδομένων «Ακέραιοι» υποβάλλονται χωρίς τη χρήση δεκαδικών ψηφίων και με ακρίβεια που αντιστοιχεί σε μονάδες.</w:t>
      </w:r>
    </w:p>
    <w:p w:rsidR="00E522C4" w:rsidRPr="00F04E52" w:rsidRDefault="00F04E52" w:rsidP="00F04E52">
      <w:pPr>
        <w:pStyle w:val="Point1"/>
        <w:rPr>
          <w:noProof/>
        </w:rPr>
      </w:pPr>
      <w:r>
        <w:rPr>
          <w:noProof/>
        </w:rPr>
        <w:t>β)</w:t>
      </w:r>
      <w:r>
        <w:rPr>
          <w:noProof/>
        </w:rPr>
        <w:tab/>
      </w:r>
      <w:r w:rsidR="00E522C4" w:rsidRPr="00F04E52">
        <w:rPr>
          <w:noProof/>
        </w:rPr>
        <w:t>τα ιδρύματα και οι ασφαλιστικές επιχειρήσεις ταυτοποιούνται μόνο μέσω του αναγνωριστικού νομικής οντότητας·</w:t>
      </w:r>
    </w:p>
    <w:p w:rsidR="00E522C4" w:rsidRPr="00F04E52" w:rsidRDefault="00F04E52" w:rsidP="00F04E52">
      <w:pPr>
        <w:pStyle w:val="Point1"/>
        <w:rPr>
          <w:noProof/>
        </w:rPr>
      </w:pPr>
      <w:r>
        <w:rPr>
          <w:noProof/>
        </w:rPr>
        <w:t>γ)</w:t>
      </w:r>
      <w:r>
        <w:rPr>
          <w:noProof/>
        </w:rPr>
        <w:tab/>
      </w:r>
      <w:r w:rsidR="00E522C4" w:rsidRPr="00F04E52">
        <w:rPr>
          <w:noProof/>
        </w:rPr>
        <w:t>οι νομικές οντότητες και οι αντισυμβαλλόμενοι που δεν αποτελούν ιδρύματα και ασφαλιστικές επιχειρήσεις ταυτοποιούνται με τον αναγνωριστικό κωδικό νομικής οντότητας, εφόσον υπάρχει·</w:t>
      </w:r>
    </w:p>
    <w:p w:rsidR="0046629F" w:rsidRPr="00F04E52" w:rsidRDefault="00F04E52" w:rsidP="00F04E52">
      <w:pPr>
        <w:pStyle w:val="Point1"/>
        <w:rPr>
          <w:noProof/>
        </w:rPr>
      </w:pPr>
      <w:r>
        <w:rPr>
          <w:noProof/>
        </w:rPr>
        <w:t>δ)</w:t>
      </w:r>
      <w:r>
        <w:rPr>
          <w:noProof/>
        </w:rPr>
        <w:tab/>
      </w:r>
      <w:r w:rsidR="0046629F" w:rsidRPr="00F04E52">
        <w:rPr>
          <w:noProof/>
        </w:rPr>
        <w:t>δεν περιλαμβάνονται στα υποβαλλόμενα δεδομένα οι μη απαιτούμενες ή μη εφαρμοστέες πληροφορίες.</w:t>
      </w:r>
    </w:p>
    <w:p w:rsidR="00E522C4" w:rsidRPr="00F04E52" w:rsidRDefault="00227DF6" w:rsidP="00227DF6">
      <w:pPr>
        <w:pStyle w:val="ManualNumPar1"/>
        <w:rPr>
          <w:noProof/>
        </w:rPr>
      </w:pPr>
      <w:r w:rsidRPr="00227DF6">
        <w:rPr>
          <w:noProof/>
        </w:rPr>
        <w:t>3.</w:t>
      </w:r>
      <w:r w:rsidRPr="00227DF6">
        <w:rPr>
          <w:noProof/>
        </w:rPr>
        <w:tab/>
      </w:r>
      <w:r w:rsidR="004B472A" w:rsidRPr="00F04E52">
        <w:rPr>
          <w:noProof/>
        </w:rPr>
        <w:t>Τα δεδομένα που υποβάλλονται από τα ιδρύματα ή, στην περίπτωση ομίλων, από τις ενωσιακές μητρικές επιχειρήσεις, συνοδεύονται από τις ακόλουθες πληροφορίες:</w:t>
      </w:r>
    </w:p>
    <w:p w:rsidR="004B472A" w:rsidRPr="00F04E52" w:rsidRDefault="00F04E52" w:rsidP="00F04E52">
      <w:pPr>
        <w:pStyle w:val="Point1"/>
        <w:rPr>
          <w:noProof/>
        </w:rPr>
      </w:pPr>
      <w:r>
        <w:rPr>
          <w:noProof/>
        </w:rPr>
        <w:t>α)</w:t>
      </w:r>
      <w:r>
        <w:rPr>
          <w:noProof/>
        </w:rPr>
        <w:tab/>
      </w:r>
      <w:r w:rsidR="004B472A" w:rsidRPr="00F04E52">
        <w:rPr>
          <w:noProof/>
        </w:rPr>
        <w:t>ημερομηνία αναφοράς·</w:t>
      </w:r>
    </w:p>
    <w:p w:rsidR="004B472A" w:rsidRPr="00F04E52" w:rsidRDefault="00F04E52" w:rsidP="00F04E52">
      <w:pPr>
        <w:pStyle w:val="Point1"/>
        <w:rPr>
          <w:noProof/>
        </w:rPr>
      </w:pPr>
      <w:r>
        <w:rPr>
          <w:noProof/>
        </w:rPr>
        <w:t>β)</w:t>
      </w:r>
      <w:r>
        <w:rPr>
          <w:noProof/>
        </w:rPr>
        <w:tab/>
      </w:r>
      <w:r w:rsidR="004B472A" w:rsidRPr="00F04E52">
        <w:rPr>
          <w:noProof/>
        </w:rPr>
        <w:t>νόμισμα που χρησιμοποιείται για την υποβολή αναφορών·</w:t>
      </w:r>
    </w:p>
    <w:p w:rsidR="004B472A" w:rsidRPr="00F04E52" w:rsidRDefault="00F04E52" w:rsidP="00F04E52">
      <w:pPr>
        <w:pStyle w:val="Point1"/>
        <w:rPr>
          <w:noProof/>
        </w:rPr>
      </w:pPr>
      <w:r>
        <w:rPr>
          <w:noProof/>
        </w:rPr>
        <w:t>γ)</w:t>
      </w:r>
      <w:r>
        <w:rPr>
          <w:noProof/>
        </w:rPr>
        <w:tab/>
      </w:r>
      <w:r w:rsidR="004B472A" w:rsidRPr="00F04E52">
        <w:rPr>
          <w:noProof/>
        </w:rPr>
        <w:t>λογιστικό πρότυπο·</w:t>
      </w:r>
    </w:p>
    <w:p w:rsidR="004B472A" w:rsidRPr="00F04E52" w:rsidRDefault="00F04E52" w:rsidP="00F04E52">
      <w:pPr>
        <w:pStyle w:val="Point1"/>
        <w:rPr>
          <w:noProof/>
        </w:rPr>
      </w:pPr>
      <w:r>
        <w:rPr>
          <w:noProof/>
        </w:rPr>
        <w:t>δ)</w:t>
      </w:r>
      <w:r>
        <w:rPr>
          <w:noProof/>
        </w:rPr>
        <w:tab/>
      </w:r>
      <w:r w:rsidR="004B472A" w:rsidRPr="00F04E52">
        <w:rPr>
          <w:noProof/>
        </w:rPr>
        <w:t>αναγνωριστικός κωδικός νομικής οντότητας της αναφέρουσας οντότητας·</w:t>
      </w:r>
    </w:p>
    <w:p w:rsidR="004B472A" w:rsidRPr="00F04E52" w:rsidRDefault="00F04E52" w:rsidP="00F04E52">
      <w:pPr>
        <w:pStyle w:val="Point1"/>
        <w:rPr>
          <w:noProof/>
        </w:rPr>
      </w:pPr>
      <w:r>
        <w:rPr>
          <w:noProof/>
        </w:rPr>
        <w:t>ε)</w:t>
      </w:r>
      <w:r>
        <w:rPr>
          <w:noProof/>
        </w:rPr>
        <w:tab/>
      </w:r>
      <w:r w:rsidR="004B472A" w:rsidRPr="00F04E52">
        <w:rPr>
          <w:noProof/>
        </w:rPr>
        <w:t>επίπεδο εφαρμογής όπως ορίζεται στα άρθρα 2, 3 και 4.</w:t>
      </w:r>
    </w:p>
    <w:p w:rsidR="004B472A" w:rsidRPr="00F04E52" w:rsidRDefault="004B472A" w:rsidP="00184085">
      <w:pPr>
        <w:pStyle w:val="Titrearticle"/>
        <w:rPr>
          <w:noProof/>
        </w:rPr>
      </w:pPr>
      <w:bookmarkStart w:id="3" w:name="_Hlk169616472"/>
      <w:r w:rsidRPr="00F04E52">
        <w:rPr>
          <w:noProof/>
        </w:rPr>
        <w:t>Άρθρο 8</w:t>
      </w:r>
    </w:p>
    <w:p w:rsidR="004B472A" w:rsidRPr="00F04E52" w:rsidRDefault="004B472A" w:rsidP="00184085">
      <w:pPr>
        <w:pStyle w:val="Titrearticle"/>
        <w:spacing w:before="0"/>
        <w:rPr>
          <w:b/>
          <w:bCs/>
          <w:i w:val="0"/>
          <w:iCs/>
          <w:noProof/>
        </w:rPr>
      </w:pPr>
      <w:r w:rsidRPr="00F04E52">
        <w:rPr>
          <w:b/>
          <w:i w:val="0"/>
          <w:noProof/>
        </w:rPr>
        <w:t xml:space="preserve">Παροχή πρόσθετων πληροφοριών για σχέδια εξυγίανσης σε ατομικό επίπεδο ή σε επίπεδο ομίλου </w:t>
      </w:r>
    </w:p>
    <w:bookmarkEnd w:id="3"/>
    <w:p w:rsidR="00FA69C1" w:rsidRPr="00F04E52" w:rsidRDefault="00227DF6" w:rsidP="00227DF6">
      <w:pPr>
        <w:pStyle w:val="ManualNumPar1"/>
        <w:rPr>
          <w:noProof/>
        </w:rPr>
      </w:pPr>
      <w:r w:rsidRPr="00227DF6">
        <w:rPr>
          <w:noProof/>
        </w:rPr>
        <w:t>1.</w:t>
      </w:r>
      <w:r w:rsidRPr="00227DF6">
        <w:rPr>
          <w:noProof/>
        </w:rPr>
        <w:tab/>
      </w:r>
      <w:r w:rsidR="00C747E3" w:rsidRPr="00F04E52">
        <w:rPr>
          <w:noProof/>
        </w:rPr>
        <w:t>Η αρχή εξυγίανσης ή η αρχή εξυγίανσης σε επίπεδο ομίλου ζητεί πρόσθετες πληροφορίες ή πληροφορίες σε νέο μορφότυπο από το σχετικό ίδρυμα ή την ενωσιακή μητρική επιχείρηση όταν ισχύει οποιοδήποτε από τα ακόλουθα:</w:t>
      </w:r>
    </w:p>
    <w:p w:rsidR="00FA69C1" w:rsidRPr="00F04E52" w:rsidRDefault="00F04E52" w:rsidP="00F04E52">
      <w:pPr>
        <w:pStyle w:val="Point1"/>
        <w:rPr>
          <w:noProof/>
        </w:rPr>
      </w:pPr>
      <w:r>
        <w:rPr>
          <w:noProof/>
        </w:rPr>
        <w:t>α)</w:t>
      </w:r>
      <w:r>
        <w:rPr>
          <w:noProof/>
        </w:rPr>
        <w:tab/>
      </w:r>
      <w:r w:rsidR="00FA69C1" w:rsidRPr="00F04E52">
        <w:rPr>
          <w:noProof/>
        </w:rPr>
        <w:t>η αρχή εξυγίανσης ή η αρχή εξυγίανσης σε επίπεδο ομίλου θεωρεί ότι οι εν λόγω πληροφορίες δεν καλύπτονται από κανένα υπόδειγμα που παρατίθεται στο παράρτημα I και είναι απαραίτητες για την κατάρτιση και την εφαρμογή σχεδίων εξυγίανσης·</w:t>
      </w:r>
    </w:p>
    <w:p w:rsidR="00FA69C1" w:rsidRPr="00F04E52" w:rsidRDefault="00F04E52" w:rsidP="00F04E52">
      <w:pPr>
        <w:pStyle w:val="Point1"/>
        <w:rPr>
          <w:noProof/>
        </w:rPr>
      </w:pPr>
      <w:r>
        <w:rPr>
          <w:noProof/>
        </w:rPr>
        <w:t>β)</w:t>
      </w:r>
      <w:r>
        <w:rPr>
          <w:noProof/>
        </w:rPr>
        <w:tab/>
      </w:r>
      <w:r w:rsidR="00FA69C1" w:rsidRPr="00F04E52">
        <w:rPr>
          <w:noProof/>
        </w:rPr>
        <w:t>η αρχή εξυγίανσης ή η αρχή εξυγίανσης σε επίπεδο ομίλου θεωρεί ότι η λήψη των εν λόγω πληροφοριών από οντότητες που υπόκεινται σε απλουστευμένες υποχρεώσεις είναι απαραίτητη για την κατάρτιση και την εφαρμογή σχεδίων εξυγίανσης·</w:t>
      </w:r>
    </w:p>
    <w:p w:rsidR="00FA69C1" w:rsidRPr="00F04E52" w:rsidRDefault="00F04E52" w:rsidP="00F04E52">
      <w:pPr>
        <w:pStyle w:val="Point1"/>
        <w:rPr>
          <w:noProof/>
        </w:rPr>
      </w:pPr>
      <w:r>
        <w:rPr>
          <w:noProof/>
        </w:rPr>
        <w:t>γ)</w:t>
      </w:r>
      <w:r>
        <w:rPr>
          <w:noProof/>
        </w:rPr>
        <w:tab/>
      </w:r>
      <w:r w:rsidR="00FA69C1" w:rsidRPr="00F04E52">
        <w:rPr>
          <w:noProof/>
        </w:rPr>
        <w:t>ο μορφότυπος με τον οποίο παρέχονται πληροφορίες από την αρμόδια αρχή σύμφωνα με το άρθρο 9 παράγραφος 2 δεν είναι κατάλληλος για την κατάρτιση ή την εφαρμογή σχεδίων εξυγίανσης.</w:t>
      </w:r>
    </w:p>
    <w:p w:rsidR="004B472A" w:rsidRPr="00F04E52" w:rsidRDefault="00227DF6" w:rsidP="00227DF6">
      <w:pPr>
        <w:pStyle w:val="ManualNumPar1"/>
        <w:rPr>
          <w:noProof/>
        </w:rPr>
      </w:pPr>
      <w:r w:rsidRPr="00227DF6">
        <w:rPr>
          <w:noProof/>
        </w:rPr>
        <w:t>2.</w:t>
      </w:r>
      <w:r w:rsidRPr="00227DF6">
        <w:rPr>
          <w:noProof/>
        </w:rPr>
        <w:tab/>
      </w:r>
      <w:r w:rsidR="004B472A" w:rsidRPr="00F04E52">
        <w:rPr>
          <w:noProof/>
        </w:rPr>
        <w:t>Για το αίτημα που αναφέρεται στην παράγραφο 1, η αρχή εξυγίανσης:</w:t>
      </w:r>
    </w:p>
    <w:p w:rsidR="004B472A" w:rsidRPr="00F04E52" w:rsidRDefault="00F04E52" w:rsidP="00F04E52">
      <w:pPr>
        <w:pStyle w:val="Point1"/>
        <w:rPr>
          <w:noProof/>
        </w:rPr>
      </w:pPr>
      <w:r>
        <w:rPr>
          <w:noProof/>
        </w:rPr>
        <w:t>α)</w:t>
      </w:r>
      <w:r>
        <w:rPr>
          <w:noProof/>
        </w:rPr>
        <w:tab/>
      </w:r>
      <w:r w:rsidR="004B472A" w:rsidRPr="00F04E52">
        <w:rPr>
          <w:noProof/>
        </w:rPr>
        <w:t>προσδιορίζει τις πρόσθετες πληροφορίες που πρέπει να παρασχεθούν·</w:t>
      </w:r>
    </w:p>
    <w:p w:rsidR="004B472A" w:rsidRPr="00F04E52" w:rsidRDefault="00F04E52" w:rsidP="00F04E52">
      <w:pPr>
        <w:pStyle w:val="Point1"/>
        <w:rPr>
          <w:noProof/>
        </w:rPr>
      </w:pPr>
      <w:r>
        <w:rPr>
          <w:noProof/>
        </w:rPr>
        <w:t>β)</w:t>
      </w:r>
      <w:r>
        <w:rPr>
          <w:noProof/>
        </w:rPr>
        <w:tab/>
      </w:r>
      <w:r w:rsidR="004B472A" w:rsidRPr="00F04E52">
        <w:rPr>
          <w:noProof/>
        </w:rPr>
        <w:t>προσδιορίζει το κατάλληλο χρονικό πλαίσιο εντός του οποίου το ίδρυμα ή, στην περίπτωση ομίλων, η ενωσιακή μητρική επιχείρηση παρέχει τις πληροφορίες στην αρχή εξυγίανσης, λαμβανομένου υπόψη του όγκου και της πολυπλοκότητας των απαιτούμενων πληροφοριών·</w:t>
      </w:r>
    </w:p>
    <w:p w:rsidR="004B472A" w:rsidRPr="00F04E52" w:rsidRDefault="00F04E52" w:rsidP="00F04E52">
      <w:pPr>
        <w:pStyle w:val="Point1"/>
        <w:rPr>
          <w:noProof/>
        </w:rPr>
      </w:pPr>
      <w:r>
        <w:rPr>
          <w:noProof/>
        </w:rPr>
        <w:t>γ)</w:t>
      </w:r>
      <w:r>
        <w:rPr>
          <w:noProof/>
        </w:rPr>
        <w:tab/>
      </w:r>
      <w:r w:rsidR="004B472A" w:rsidRPr="00F04E52">
        <w:rPr>
          <w:noProof/>
        </w:rPr>
        <w:t>καθορίζει τον μορφότυπο που θα χρησιμοποιηθεί από τα ιδρύματα ή, στην περίπτωση ομίλων, τις ενωσιακές μητρικές επιχειρήσεις για την παροχή των πληροφοριών στην αρχή εξυγίανσης·</w:t>
      </w:r>
    </w:p>
    <w:p w:rsidR="004B472A" w:rsidRPr="00F04E52" w:rsidRDefault="00F04E52" w:rsidP="00F04E52">
      <w:pPr>
        <w:pStyle w:val="Point1"/>
        <w:rPr>
          <w:noProof/>
        </w:rPr>
      </w:pPr>
      <w:r>
        <w:rPr>
          <w:noProof/>
        </w:rPr>
        <w:t>δ)</w:t>
      </w:r>
      <w:r>
        <w:rPr>
          <w:noProof/>
        </w:rPr>
        <w:tab/>
      </w:r>
      <w:r w:rsidR="004B472A" w:rsidRPr="00F04E52">
        <w:rPr>
          <w:noProof/>
        </w:rPr>
        <w:t>προσδιορίζει αν οι πληροφορίες πρέπει να παρασχεθούν σε ατομική, υποενοποιημένη ή ενοποιημένη βάση και αν το πεδίο εφαρμογής τους είναι τοπικό, ενωσιακό ή παγκόσμιο·</w:t>
      </w:r>
    </w:p>
    <w:p w:rsidR="004B472A" w:rsidRPr="00F04E52" w:rsidRDefault="00F04E52" w:rsidP="00F04E52">
      <w:pPr>
        <w:pStyle w:val="Point1"/>
        <w:rPr>
          <w:noProof/>
        </w:rPr>
      </w:pPr>
      <w:r>
        <w:rPr>
          <w:noProof/>
        </w:rPr>
        <w:t>ε)</w:t>
      </w:r>
      <w:r>
        <w:rPr>
          <w:noProof/>
        </w:rPr>
        <w:tab/>
      </w:r>
      <w:r w:rsidR="004B472A" w:rsidRPr="00F04E52">
        <w:rPr>
          <w:noProof/>
        </w:rPr>
        <w:t>προσδιορίζει τον ακριβή αποδέκτη, τους μορφότυπους ανταλλαγής δεδομένων και τις πληροφορίες που πρέπει να συνοδεύουν τις υποβολές σε περίπτωση που πρέπει να παρασχεθούν πρόσθετες πληροφορίες.</w:t>
      </w:r>
    </w:p>
    <w:p w:rsidR="004B472A" w:rsidRPr="00F04E52" w:rsidRDefault="004B472A" w:rsidP="00184085">
      <w:pPr>
        <w:pStyle w:val="Titrearticle"/>
        <w:rPr>
          <w:noProof/>
        </w:rPr>
      </w:pPr>
      <w:r w:rsidRPr="00F04E52">
        <w:rPr>
          <w:noProof/>
        </w:rPr>
        <w:t>Άρθρο 9</w:t>
      </w:r>
    </w:p>
    <w:p w:rsidR="004B472A" w:rsidRPr="00F04E52" w:rsidRDefault="004B472A" w:rsidP="00184085">
      <w:pPr>
        <w:pStyle w:val="Titrearticle"/>
        <w:spacing w:before="0"/>
        <w:rPr>
          <w:b/>
          <w:bCs/>
          <w:i w:val="0"/>
          <w:iCs/>
          <w:noProof/>
        </w:rPr>
      </w:pPr>
      <w:r w:rsidRPr="00F04E52">
        <w:rPr>
          <w:b/>
          <w:i w:val="0"/>
          <w:noProof/>
        </w:rPr>
        <w:t>Συνεργασία μεταξύ των αρμόδιων αρχών και των αρχών εξυγίανσης</w:t>
      </w:r>
    </w:p>
    <w:p w:rsidR="004B472A" w:rsidRPr="00F04E52" w:rsidRDefault="00227DF6" w:rsidP="00227DF6">
      <w:pPr>
        <w:pStyle w:val="ManualNumPar1"/>
        <w:rPr>
          <w:noProof/>
        </w:rPr>
      </w:pPr>
      <w:r w:rsidRPr="00227DF6">
        <w:rPr>
          <w:noProof/>
        </w:rPr>
        <w:t>1.</w:t>
      </w:r>
      <w:r w:rsidRPr="00227DF6">
        <w:rPr>
          <w:noProof/>
        </w:rPr>
        <w:tab/>
      </w:r>
      <w:r w:rsidR="004B472A" w:rsidRPr="00F04E52">
        <w:rPr>
          <w:noProof/>
        </w:rPr>
        <w:t>Οι αρμόδιες αρχές και οι αρχές εξυγίανσης επαληθεύουν από κοινού αν ορισμένες ή όλες οι πληροφορίες που πρέπει να παρασχεθούν στην αρχή εξυγίανσης, σύμφωνα με τα άρθρα 2 έως 5 και τα άρθρα 7 και 8, είναι ήδη διαθέσιμες στην αρμόδια αρχή.</w:t>
      </w:r>
    </w:p>
    <w:p w:rsidR="004B472A" w:rsidRPr="00F04E52" w:rsidRDefault="00227DF6" w:rsidP="00227DF6">
      <w:pPr>
        <w:pStyle w:val="ManualNumPar1"/>
        <w:rPr>
          <w:noProof/>
        </w:rPr>
      </w:pPr>
      <w:r w:rsidRPr="00227DF6">
        <w:rPr>
          <w:noProof/>
        </w:rPr>
        <w:t>2.</w:t>
      </w:r>
      <w:r w:rsidRPr="00227DF6">
        <w:rPr>
          <w:noProof/>
        </w:rPr>
        <w:tab/>
      </w:r>
      <w:r w:rsidR="004B472A" w:rsidRPr="00F04E52">
        <w:rPr>
          <w:noProof/>
        </w:rPr>
        <w:t xml:space="preserve">Αν ορισμένες ή όλες οι πληροφορίες είναι ήδη διαθέσιμες στην αρμόδια αρχή, η εν λόγω αρχή παρέχει εγκαίρως τις πληροφορίες αυτές στην αρχή εξυγίανσης. </w:t>
      </w:r>
    </w:p>
    <w:p w:rsidR="004B472A" w:rsidRPr="00F04E52" w:rsidRDefault="00227DF6" w:rsidP="00227DF6">
      <w:pPr>
        <w:pStyle w:val="ManualNumPar1"/>
        <w:rPr>
          <w:noProof/>
        </w:rPr>
      </w:pPr>
      <w:r w:rsidRPr="00227DF6">
        <w:rPr>
          <w:noProof/>
        </w:rPr>
        <w:t>3.</w:t>
      </w:r>
      <w:r w:rsidRPr="00227DF6">
        <w:rPr>
          <w:noProof/>
        </w:rPr>
        <w:tab/>
      </w:r>
      <w:r w:rsidR="00914032" w:rsidRPr="00F04E52">
        <w:rPr>
          <w:noProof/>
        </w:rPr>
        <w:t>Για τους σκοπούς της παραγράφου 2, οι αρχές εξυγίανσης ενημερώνουν τα ιδρύματα ή, στην περίπτωση ομίλων, τις ενωσιακές μητρικές επιχειρήσεις, για τις πληροφορίες που απαιτείται να περιλαμβάνονται στην υποβολή πληροφοριών σύμφωνα με τον παρόντα κανονισμό. Οι αρχές εξυγίανσης προσδιορίζουν τις εν λόγω πληροφορίες παραπέμποντας στα υποδείγματα που καθορίζονται στο παράρτημα I.</w:t>
      </w:r>
    </w:p>
    <w:p w:rsidR="004B472A" w:rsidRPr="00F04E52" w:rsidRDefault="004B472A" w:rsidP="00184085">
      <w:pPr>
        <w:pStyle w:val="Titrearticle"/>
        <w:rPr>
          <w:noProof/>
        </w:rPr>
      </w:pPr>
      <w:r w:rsidRPr="00F04E52">
        <w:rPr>
          <w:noProof/>
        </w:rPr>
        <w:t>Άρθρο 10</w:t>
      </w:r>
    </w:p>
    <w:p w:rsidR="004B472A" w:rsidRPr="00F04E52" w:rsidRDefault="004B472A" w:rsidP="00184085">
      <w:pPr>
        <w:pStyle w:val="Titrearticle"/>
        <w:spacing w:before="0"/>
        <w:rPr>
          <w:b/>
          <w:bCs/>
          <w:i w:val="0"/>
          <w:iCs/>
          <w:noProof/>
        </w:rPr>
      </w:pPr>
      <w:r w:rsidRPr="00F04E52">
        <w:rPr>
          <w:b/>
          <w:i w:val="0"/>
          <w:noProof/>
        </w:rPr>
        <w:t>Κατάργηση</w:t>
      </w:r>
    </w:p>
    <w:p w:rsidR="004B472A" w:rsidRPr="00F04E52" w:rsidRDefault="004B472A" w:rsidP="00184085">
      <w:pPr>
        <w:rPr>
          <w:noProof/>
        </w:rPr>
      </w:pPr>
      <w:r w:rsidRPr="00F04E52">
        <w:rPr>
          <w:noProof/>
        </w:rPr>
        <w:t>Ο εκτελεστικός κανονισμός (ΕΕ) 2018/1624 καταργείται.</w:t>
      </w:r>
    </w:p>
    <w:p w:rsidR="004B472A" w:rsidRPr="00F04E52" w:rsidRDefault="004B472A" w:rsidP="00184085">
      <w:pPr>
        <w:rPr>
          <w:noProof/>
        </w:rPr>
      </w:pPr>
      <w:r w:rsidRPr="00F04E52">
        <w:rPr>
          <w:noProof/>
        </w:rPr>
        <w:t>Οι παραπομπές στον καταργούμενο εκτελεστικό κανονισμό θεωρούνται παραπομπές στον παρόντα κανονισμό.</w:t>
      </w:r>
    </w:p>
    <w:p w:rsidR="00860655" w:rsidRPr="00F04E52" w:rsidRDefault="00860655" w:rsidP="00184085">
      <w:pPr>
        <w:pStyle w:val="Titrearticle"/>
        <w:rPr>
          <w:noProof/>
        </w:rPr>
      </w:pPr>
      <w:r w:rsidRPr="00F04E52">
        <w:rPr>
          <w:noProof/>
        </w:rPr>
        <w:t>Άρθρο 11</w:t>
      </w:r>
    </w:p>
    <w:p w:rsidR="004B472A" w:rsidRPr="00F04E52" w:rsidRDefault="004B472A" w:rsidP="00184085">
      <w:pPr>
        <w:pStyle w:val="Titrearticle"/>
        <w:spacing w:before="0"/>
        <w:rPr>
          <w:b/>
          <w:bCs/>
          <w:i w:val="0"/>
          <w:iCs/>
          <w:noProof/>
        </w:rPr>
      </w:pPr>
      <w:r w:rsidRPr="00F04E52">
        <w:rPr>
          <w:b/>
          <w:i w:val="0"/>
          <w:noProof/>
        </w:rPr>
        <w:t>Έναρξη ισχύος</w:t>
      </w:r>
    </w:p>
    <w:p w:rsidR="00860655" w:rsidRPr="00F04E52" w:rsidRDefault="00860655" w:rsidP="00184085">
      <w:pPr>
        <w:rPr>
          <w:noProof/>
        </w:rPr>
      </w:pPr>
      <w:r w:rsidRPr="00F04E52">
        <w:rPr>
          <w:noProof/>
        </w:rPr>
        <w:t xml:space="preserve">Ο παρών κανονισμός αρχίζει να ισχύει την εικοστή ημέρα από τη δημοσίευσή του στην </w:t>
      </w:r>
      <w:r w:rsidRPr="00F04E52">
        <w:rPr>
          <w:i/>
          <w:noProof/>
        </w:rPr>
        <w:t>Επίσημη Εφημερίδα της Ευρωπαϊκής Ένωσης</w:t>
      </w:r>
      <w:r w:rsidRPr="00F04E52">
        <w:rPr>
          <w:noProof/>
        </w:rPr>
        <w:t>.</w:t>
      </w:r>
    </w:p>
    <w:p w:rsidR="00860655" w:rsidRPr="00F04E52" w:rsidRDefault="00860655" w:rsidP="00184085">
      <w:pPr>
        <w:pStyle w:val="Applicationdirecte"/>
        <w:rPr>
          <w:noProof/>
        </w:rPr>
      </w:pPr>
      <w:r w:rsidRPr="00F04E52">
        <w:rPr>
          <w:noProof/>
        </w:rPr>
        <w:t>Ο παρών κανονισμός είναι δεσμευτικός ως προς όλα τα μέρη του και ισχύει άμεσα σε κάθε κράτος μέλος.</w:t>
      </w:r>
    </w:p>
    <w:p w:rsidR="00860655" w:rsidRPr="00F04E52" w:rsidRDefault="00914E3A" w:rsidP="002703BF">
      <w:pPr>
        <w:pStyle w:val="Fait"/>
        <w:rPr>
          <w:noProof/>
        </w:rPr>
      </w:pPr>
      <w:r>
        <w:rPr>
          <w:noProof/>
        </w:rPr>
        <w:t>Βρυξέλλες, 14.11.2025</w:t>
      </w:r>
    </w:p>
    <w:p w:rsidR="00860655" w:rsidRPr="00F04E52" w:rsidRDefault="00860655" w:rsidP="002703BF">
      <w:pPr>
        <w:pStyle w:val="Institutionquisigne"/>
        <w:rPr>
          <w:noProof/>
        </w:rPr>
      </w:pPr>
      <w:r w:rsidRPr="00F04E52">
        <w:rPr>
          <w:noProof/>
        </w:rPr>
        <w:tab/>
        <w:t>Για την Επιτροπή</w:t>
      </w:r>
    </w:p>
    <w:p w:rsidR="00860655" w:rsidRPr="00F04E52" w:rsidRDefault="00B114B2" w:rsidP="00184085">
      <w:pPr>
        <w:pStyle w:val="Personnequisigne"/>
        <w:rPr>
          <w:noProof/>
        </w:rPr>
      </w:pPr>
      <w:r>
        <w:rPr>
          <w:noProof/>
        </w:rPr>
        <w:tab/>
        <w:t>Η Πρόεδρος</w:t>
      </w:r>
      <w:r>
        <w:rPr>
          <w:noProof/>
        </w:rPr>
        <w:br/>
      </w:r>
      <w:r>
        <w:rPr>
          <w:noProof/>
        </w:rPr>
        <w:tab/>
        <w:t>Ursula VON DER LEYEN</w:t>
      </w:r>
    </w:p>
    <w:sectPr w:rsidR="00860655" w:rsidRPr="00F04E52" w:rsidSect="00B47BF9">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F9" w:rsidRPr="00B47BF9" w:rsidRDefault="00B47BF9" w:rsidP="00B47BF9">
    <w:pPr>
      <w:pStyle w:val="Footer"/>
      <w:rPr>
        <w:rFonts w:ascii="Arial" w:hAnsi="Arial" w:cs="Arial"/>
        <w:b/>
        <w:sz w:val="48"/>
      </w:rPr>
    </w:pPr>
    <w:r w:rsidRPr="00B47BF9">
      <w:rPr>
        <w:rFonts w:ascii="Arial" w:hAnsi="Arial" w:cs="Arial"/>
        <w:b/>
        <w:sz w:val="48"/>
      </w:rPr>
      <w:t>EL</w:t>
    </w:r>
    <w:r w:rsidRPr="00B47BF9">
      <w:rPr>
        <w:rFonts w:ascii="Arial" w:hAnsi="Arial" w:cs="Arial"/>
        <w:b/>
        <w:sz w:val="48"/>
      </w:rPr>
      <w:tab/>
    </w:r>
    <w:r w:rsidRPr="00B47BF9">
      <w:rPr>
        <w:rFonts w:ascii="Arial" w:hAnsi="Arial" w:cs="Arial"/>
        <w:b/>
        <w:sz w:val="48"/>
      </w:rPr>
      <w:tab/>
    </w:r>
    <w:r w:rsidRPr="00B47BF9">
      <w:tab/>
    </w:r>
    <w:r w:rsidRPr="00B47BF9">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F9" w:rsidRPr="00B47BF9" w:rsidRDefault="00B47BF9" w:rsidP="00B47BF9">
    <w:pPr>
      <w:pStyle w:val="Footer"/>
      <w:rPr>
        <w:rFonts w:ascii="Arial" w:hAnsi="Arial" w:cs="Arial"/>
        <w:b/>
        <w:sz w:val="48"/>
      </w:rPr>
    </w:pPr>
    <w:r w:rsidRPr="00B47BF9">
      <w:rPr>
        <w:rFonts w:ascii="Arial" w:hAnsi="Arial" w:cs="Arial"/>
        <w:b/>
        <w:sz w:val="48"/>
      </w:rPr>
      <w:t>EL</w:t>
    </w:r>
    <w:r w:rsidRPr="00B47BF9">
      <w:rPr>
        <w:rFonts w:ascii="Arial" w:hAnsi="Arial" w:cs="Arial"/>
        <w:b/>
        <w:sz w:val="48"/>
      </w:rPr>
      <w:tab/>
    </w:r>
    <w:r w:rsidRPr="00B47BF9">
      <w:rPr>
        <w:rFonts w:ascii="Arial" w:hAnsi="Arial" w:cs="Arial"/>
        <w:b/>
        <w:sz w:val="48"/>
      </w:rPr>
      <w:tab/>
    </w:r>
    <w:r w:rsidRPr="00B47BF9">
      <w:tab/>
    </w:r>
    <w:r w:rsidRPr="00B47BF9">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F9" w:rsidRDefault="00B47B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F9" w:rsidRPr="00B47BF9" w:rsidRDefault="00B47BF9" w:rsidP="00B47BF9">
    <w:pPr>
      <w:pStyle w:val="Footer"/>
      <w:rPr>
        <w:rFonts w:ascii="Arial" w:hAnsi="Arial" w:cs="Arial"/>
        <w:b/>
        <w:sz w:val="48"/>
      </w:rPr>
    </w:pPr>
    <w:r w:rsidRPr="00B47BF9">
      <w:rPr>
        <w:rFonts w:ascii="Arial" w:hAnsi="Arial" w:cs="Arial"/>
        <w:b/>
        <w:sz w:val="48"/>
      </w:rPr>
      <w:t>EL</w:t>
    </w:r>
    <w:r w:rsidRPr="00B47BF9">
      <w:rPr>
        <w:rFonts w:ascii="Arial" w:hAnsi="Arial" w:cs="Arial"/>
        <w:b/>
        <w:sz w:val="48"/>
      </w:rPr>
      <w:tab/>
    </w:r>
    <w:r>
      <w:fldChar w:fldCharType="begin"/>
    </w:r>
    <w:r>
      <w:instrText xml:space="preserve"> PAGE  \* MERGEFORMAT </w:instrText>
    </w:r>
    <w:r>
      <w:fldChar w:fldCharType="separate"/>
    </w:r>
    <w:r w:rsidR="002703BF">
      <w:rPr>
        <w:noProof/>
      </w:rPr>
      <w:t>11</w:t>
    </w:r>
    <w:r>
      <w:fldChar w:fldCharType="end"/>
    </w:r>
    <w:r>
      <w:tab/>
    </w:r>
    <w:r w:rsidRPr="00B47BF9">
      <w:tab/>
    </w:r>
    <w:r w:rsidRPr="00B47BF9">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F9" w:rsidRDefault="00B47BF9" w:rsidP="00B47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F04E52" w:rsidRDefault="00860655" w:rsidP="00730DBE">
      <w:pPr>
        <w:pStyle w:val="FootnoteText"/>
      </w:pPr>
      <w:r>
        <w:rPr>
          <w:rStyle w:val="FootnoteReference"/>
        </w:rPr>
        <w:footnoteRef/>
      </w:r>
      <w:r w:rsidRPr="00F04E52">
        <w:tab/>
        <w:t xml:space="preserve">ΕΕ </w:t>
      </w:r>
      <w:r>
        <w:t>L</w:t>
      </w:r>
      <w:r w:rsidRPr="00F04E52">
        <w:t xml:space="preserve"> 173 της 12.6.2014, σ. 190, </w:t>
      </w:r>
      <w:r>
        <w:t>ELI</w:t>
      </w:r>
      <w:r w:rsidRPr="00F04E52">
        <w:t xml:space="preserve">: </w:t>
      </w:r>
      <w:r>
        <w:t>http</w:t>
      </w:r>
      <w:r w:rsidRPr="00F04E52">
        <w:t>://</w:t>
      </w:r>
      <w:r>
        <w:t>data</w:t>
      </w:r>
      <w:r w:rsidRPr="00F04E52">
        <w:t>.</w:t>
      </w:r>
      <w:r>
        <w:t>europa</w:t>
      </w:r>
      <w:r w:rsidRPr="00F04E52">
        <w:t>.</w:t>
      </w:r>
      <w:r>
        <w:t>eu</w:t>
      </w:r>
      <w:r w:rsidRPr="00F04E52">
        <w:t>/</w:t>
      </w:r>
      <w:r>
        <w:t>eli</w:t>
      </w:r>
      <w:r w:rsidRPr="00F04E52">
        <w:t>/</w:t>
      </w:r>
      <w:r>
        <w:t>dir</w:t>
      </w:r>
      <w:r w:rsidRPr="00F04E52">
        <w:t>/2014/59/</w:t>
      </w:r>
      <w:r>
        <w:t>oj</w:t>
      </w:r>
      <w:r w:rsidRPr="00F04E52">
        <w:t>.</w:t>
      </w:r>
    </w:p>
  </w:footnote>
  <w:footnote w:id="3">
    <w:p w:rsidR="00736C47" w:rsidRPr="00F04E52" w:rsidRDefault="00736C47">
      <w:pPr>
        <w:pStyle w:val="FootnoteText"/>
      </w:pPr>
      <w:r>
        <w:rPr>
          <w:rStyle w:val="FootnoteReference"/>
        </w:rPr>
        <w:footnoteRef/>
      </w:r>
      <w:r w:rsidRPr="00F04E52">
        <w:tab/>
        <w:t>Εκτελεστικός κανονισμός (ΕΕ) 2018/1624 της Επιτροπής, της 23ης</w:t>
      </w:r>
      <w:r>
        <w:t> </w:t>
      </w:r>
      <w:r w:rsidRPr="00F04E52">
        <w:t>Οκτωβρίου 2018, σχετικά με τη θέσπιση εκτελεστικών τεχνικών προτύπων όσον αφορά τις διαδικασίες, τα τυποποιημένα έντυπα και τα υποδείγματα για την παροχή πληροφοριών για τους σκοπούς των σχεδίων εξυγίανσης πιστωτικών ιδρυμάτων και επιχειρήσεων επενδύσεων σύμφωνα με την οδηγία 2014/59/ΕΕ του Ευρωπαϊκού Κοινοβουλίου και του Συμβουλίου και για την κατάργηση του εκτελεστικού κανονισμού της Επιτροπής (ΕΕ) 2016/1066 (ΕΕ</w:t>
      </w:r>
      <w:r>
        <w:t> L </w:t>
      </w:r>
      <w:r w:rsidRPr="00F04E52">
        <w:t>277 της 7.11.2018, σ.</w:t>
      </w:r>
      <w:r>
        <w:t> </w:t>
      </w:r>
      <w:r w:rsidRPr="00F04E52">
        <w:t xml:space="preserve">1, </w:t>
      </w:r>
      <w:r>
        <w:t>ELI</w:t>
      </w:r>
      <w:r w:rsidRPr="00F04E52">
        <w:t xml:space="preserve">: </w:t>
      </w:r>
      <w:r>
        <w:t>http</w:t>
      </w:r>
      <w:r w:rsidRPr="00F04E52">
        <w:t>://</w:t>
      </w:r>
      <w:r>
        <w:t>data</w:t>
      </w:r>
      <w:r w:rsidRPr="00F04E52">
        <w:t>.</w:t>
      </w:r>
      <w:r>
        <w:t>europa</w:t>
      </w:r>
      <w:r w:rsidRPr="00F04E52">
        <w:t>.</w:t>
      </w:r>
      <w:r>
        <w:t>eu</w:t>
      </w:r>
      <w:r w:rsidRPr="00F04E52">
        <w:t>/</w:t>
      </w:r>
      <w:r>
        <w:t>eli</w:t>
      </w:r>
      <w:r w:rsidRPr="00F04E52">
        <w:t>/</w:t>
      </w:r>
      <w:r>
        <w:t>reg</w:t>
      </w:r>
      <w:r w:rsidRPr="00F04E52">
        <w:t>_</w:t>
      </w:r>
      <w:r>
        <w:t>impl</w:t>
      </w:r>
      <w:r w:rsidRPr="00F04E52">
        <w:t>/2018/1624/</w:t>
      </w:r>
      <w:r>
        <w:t>oj</w:t>
      </w:r>
      <w:r w:rsidRPr="00F04E52">
        <w:t>).</w:t>
      </w:r>
    </w:p>
  </w:footnote>
  <w:footnote w:id="4">
    <w:p w:rsidR="00736C47" w:rsidRPr="00F04E52" w:rsidRDefault="00736C47">
      <w:pPr>
        <w:pStyle w:val="FootnoteText"/>
      </w:pPr>
      <w:r>
        <w:rPr>
          <w:rStyle w:val="FootnoteReference"/>
        </w:rPr>
        <w:footnoteRef/>
      </w:r>
      <w:r w:rsidRPr="00F04E52">
        <w:tab/>
        <w:t>Οδηγία (ΕΕ)</w:t>
      </w:r>
      <w:r>
        <w:t> </w:t>
      </w:r>
      <w:r w:rsidRPr="00F04E52">
        <w:t>2024/1174 του Ευρωπαϊκού Κοινοβουλίου και του Συμβουλίου, της 11ης</w:t>
      </w:r>
      <w:r>
        <w:t> </w:t>
      </w:r>
      <w:r w:rsidRPr="00F04E52">
        <w:t>Απριλίου 2024, για την τροποποίηση της οδηγίας</w:t>
      </w:r>
      <w:r>
        <w:t> </w:t>
      </w:r>
      <w:r w:rsidRPr="00F04E52">
        <w:t>2014/59/ΕΕ και του κανονισμού (ΕΕ) αριθ.</w:t>
      </w:r>
      <w:r>
        <w:t> </w:t>
      </w:r>
      <w:r w:rsidRPr="00F04E52">
        <w:t xml:space="preserve">806/2014 όσον αφορά ορισμένες πτυχές της ελάχιστης απαίτησης ιδίων κεφαλαίων και επιλέξιμων υποχρεώσεων (ΕΕ </w:t>
      </w:r>
      <w:r>
        <w:t>L</w:t>
      </w:r>
      <w:r w:rsidRPr="00F04E52">
        <w:t>, 2024/1174, 22.4.2024, σ.</w:t>
      </w:r>
      <w:r>
        <w:t> </w:t>
      </w:r>
      <w:r w:rsidRPr="00F04E52">
        <w:t xml:space="preserve">1, </w:t>
      </w:r>
      <w:r>
        <w:t>ELI</w:t>
      </w:r>
      <w:r w:rsidRPr="00F04E52">
        <w:t xml:space="preserve">: </w:t>
      </w:r>
      <w:r>
        <w:t>http</w:t>
      </w:r>
      <w:r w:rsidRPr="00F04E52">
        <w:t>://</w:t>
      </w:r>
      <w:r>
        <w:t>data</w:t>
      </w:r>
      <w:r w:rsidRPr="00F04E52">
        <w:t>.</w:t>
      </w:r>
      <w:r>
        <w:t>europa</w:t>
      </w:r>
      <w:r w:rsidRPr="00F04E52">
        <w:t>.</w:t>
      </w:r>
      <w:r>
        <w:t>eu</w:t>
      </w:r>
      <w:r w:rsidRPr="00F04E52">
        <w:t>/</w:t>
      </w:r>
      <w:r>
        <w:t>eli</w:t>
      </w:r>
      <w:r w:rsidRPr="00F04E52">
        <w:t>/</w:t>
      </w:r>
      <w:r>
        <w:t>dir</w:t>
      </w:r>
      <w:r w:rsidRPr="00F04E52">
        <w:t>/2024/1174/</w:t>
      </w:r>
      <w:r>
        <w:t>oj</w:t>
      </w:r>
      <w:r w:rsidRPr="00F04E52">
        <w:t>).</w:t>
      </w:r>
    </w:p>
  </w:footnote>
  <w:footnote w:id="5">
    <w:p w:rsidR="00736C47" w:rsidRPr="00F04E52" w:rsidRDefault="00736C47">
      <w:pPr>
        <w:pStyle w:val="FootnoteText"/>
      </w:pPr>
      <w:r>
        <w:rPr>
          <w:rStyle w:val="FootnoteReference"/>
        </w:rPr>
        <w:footnoteRef/>
      </w:r>
      <w:r w:rsidRPr="00F04E52">
        <w:tab/>
        <w:t xml:space="preserve">Κανονισμός (ΕΕ) αριθ. 1093/2010 του Ευρωπαϊκού Κοινοβουλίου και του Συμβουλίου, της 24ης Νοεμβρίου 2010, σχετικά με τη σύσταση Ευρωπαϊκής Εποπτικής Αρχής (Ευρωπαϊκή Αρχή Τραπεζών), την τροποποίηση της απόφασης αριθ. 716/2009/ΕΚ και την κατάργηση της απόφασης 2009/78/ΕΚ της Επιτροπής (ΕΕ </w:t>
      </w:r>
      <w:r>
        <w:t>L </w:t>
      </w:r>
      <w:r w:rsidRPr="00F04E52">
        <w:t>331 της 15.12.2010, σ.</w:t>
      </w:r>
      <w:r>
        <w:t> </w:t>
      </w:r>
      <w:r w:rsidRPr="00F04E52">
        <w:t xml:space="preserve">12, </w:t>
      </w:r>
      <w:r>
        <w:t>ELI</w:t>
      </w:r>
      <w:r w:rsidRPr="00F04E52">
        <w:t xml:space="preserve">: </w:t>
      </w:r>
      <w:r>
        <w:t>http</w:t>
      </w:r>
      <w:r w:rsidRPr="00F04E52">
        <w:t>://</w:t>
      </w:r>
      <w:r>
        <w:t>data</w:t>
      </w:r>
      <w:r w:rsidRPr="00F04E52">
        <w:t>.</w:t>
      </w:r>
      <w:r>
        <w:t>europa</w:t>
      </w:r>
      <w:r w:rsidRPr="00F04E52">
        <w:t>.</w:t>
      </w:r>
      <w:r>
        <w:t>eu</w:t>
      </w:r>
      <w:r w:rsidRPr="00F04E52">
        <w:t>/</w:t>
      </w:r>
      <w:r>
        <w:t>eli</w:t>
      </w:r>
      <w:r w:rsidRPr="00F04E52">
        <w:t>/</w:t>
      </w:r>
      <w:r>
        <w:t>reg</w:t>
      </w:r>
      <w:r w:rsidRPr="00F04E52">
        <w:t>/2010/1093/</w:t>
      </w:r>
      <w:r>
        <w:t>oj</w:t>
      </w:r>
      <w:r w:rsidRPr="00F04E52">
        <w:t>).</w:t>
      </w:r>
    </w:p>
  </w:footnote>
  <w:footnote w:id="6">
    <w:p w:rsidR="00736C47" w:rsidRPr="00F04E52" w:rsidRDefault="00736C47">
      <w:pPr>
        <w:pStyle w:val="FootnoteText"/>
      </w:pPr>
      <w:r>
        <w:rPr>
          <w:rStyle w:val="FootnoteReference"/>
        </w:rPr>
        <w:footnoteRef/>
      </w:r>
      <w:r w:rsidRPr="00F04E52">
        <w:tab/>
        <w:t>Κανονισμός (ΕΕ) αριθ.</w:t>
      </w:r>
      <w:r>
        <w:t> </w:t>
      </w:r>
      <w:r w:rsidRPr="00F04E52">
        <w:t>575/2013 του Ευρωπαϊκού Κοινοβουλίου και του Συμβουλίου, της 26ης</w:t>
      </w:r>
      <w:r>
        <w:t> </w:t>
      </w:r>
      <w:r w:rsidRPr="00F04E52">
        <w:t>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w:t>
      </w:r>
      <w:r>
        <w:t> </w:t>
      </w:r>
      <w:r w:rsidRPr="00F04E52">
        <w:t xml:space="preserve">648/2012 (ΕΕ </w:t>
      </w:r>
      <w:r>
        <w:t>L </w:t>
      </w:r>
      <w:r w:rsidRPr="00F04E52">
        <w:t>176 της 27.6.2013, σ.</w:t>
      </w:r>
      <w:r>
        <w:t> </w:t>
      </w:r>
      <w:r w:rsidRPr="00F04E52">
        <w:t xml:space="preserve">1, </w:t>
      </w:r>
      <w:r>
        <w:t>ELI</w:t>
      </w:r>
      <w:r w:rsidRPr="00F04E52">
        <w:t xml:space="preserve">: </w:t>
      </w:r>
      <w:r>
        <w:t>http</w:t>
      </w:r>
      <w:r w:rsidRPr="00F04E52">
        <w:t>://</w:t>
      </w:r>
      <w:r>
        <w:t>data</w:t>
      </w:r>
      <w:r w:rsidRPr="00F04E52">
        <w:t>.</w:t>
      </w:r>
      <w:r>
        <w:t>europa</w:t>
      </w:r>
      <w:r w:rsidRPr="00F04E52">
        <w:t>.</w:t>
      </w:r>
      <w:r>
        <w:t>eu</w:t>
      </w:r>
      <w:r w:rsidRPr="00F04E52">
        <w:t>/</w:t>
      </w:r>
      <w:r>
        <w:t>eli</w:t>
      </w:r>
      <w:r w:rsidRPr="00F04E52">
        <w:t>/</w:t>
      </w:r>
      <w:r>
        <w:t>reg</w:t>
      </w:r>
      <w:r w:rsidRPr="00F04E52">
        <w:t>/2013/575/</w:t>
      </w:r>
      <w:r>
        <w:t>oj</w:t>
      </w:r>
      <w:r w:rsidRPr="00F04E52">
        <w:t>).</w:t>
      </w:r>
    </w:p>
  </w:footnote>
  <w:footnote w:id="7">
    <w:p w:rsidR="00736C47" w:rsidRPr="00F04E52" w:rsidRDefault="00736C47">
      <w:pPr>
        <w:pStyle w:val="FootnoteText"/>
      </w:pPr>
      <w:r>
        <w:rPr>
          <w:rStyle w:val="FootnoteReference"/>
        </w:rPr>
        <w:footnoteRef/>
      </w:r>
      <w:r w:rsidRPr="00F04E52">
        <w:tab/>
        <w:t>Οδηγία 2013/36/ΕΕ του Ευρωπαϊκού Κοινοβουλίου και του Συμβουλίου, της 26ης</w:t>
      </w:r>
      <w:r>
        <w:t> </w:t>
      </w:r>
      <w:r w:rsidRPr="00F04E52">
        <w:t xml:space="preserve">Ιουνίου 2013, σχετικά με την πρόσβαση στη δραστηριότητα των πιστωτικών ιδρυμάτων και την προληπτική εποπτεία των πιστωτικών ιδρυμάτων, την τροποποίηση της οδηγίας 2002/87/ΕΚ και την κατάργηση των οδηγιών 2006/48/ΕΚ και 2006/49/ΕΚ (ΕΕ </w:t>
      </w:r>
      <w:r>
        <w:t>L </w:t>
      </w:r>
      <w:r w:rsidRPr="00F04E52">
        <w:t>176 της 27.6.2013, σ.</w:t>
      </w:r>
      <w:r>
        <w:t> </w:t>
      </w:r>
      <w:r w:rsidRPr="00F04E52">
        <w:t xml:space="preserve">338, </w:t>
      </w:r>
      <w:r>
        <w:t>ELI</w:t>
      </w:r>
      <w:r w:rsidRPr="00F04E52">
        <w:t xml:space="preserve">: </w:t>
      </w:r>
      <w:r>
        <w:t>http</w:t>
      </w:r>
      <w:r w:rsidRPr="00F04E52">
        <w:t>://</w:t>
      </w:r>
      <w:r>
        <w:t>data</w:t>
      </w:r>
      <w:r w:rsidRPr="00F04E52">
        <w:t>.</w:t>
      </w:r>
      <w:r>
        <w:t>europa</w:t>
      </w:r>
      <w:r w:rsidRPr="00F04E52">
        <w:t>.</w:t>
      </w:r>
      <w:r>
        <w:t>eu</w:t>
      </w:r>
      <w:r w:rsidRPr="00F04E52">
        <w:t>/</w:t>
      </w:r>
      <w:r>
        <w:t>eli</w:t>
      </w:r>
      <w:r w:rsidRPr="00F04E52">
        <w:t>/</w:t>
      </w:r>
      <w:r>
        <w:t>dir</w:t>
      </w:r>
      <w:r w:rsidRPr="00F04E52">
        <w:t>/2013/36/</w:t>
      </w:r>
      <w:r>
        <w:t>oj</w:t>
      </w:r>
      <w:r w:rsidRPr="00F04E52">
        <w:t>).</w:t>
      </w:r>
    </w:p>
  </w:footnote>
  <w:footnote w:id="8">
    <w:p w:rsidR="00736C47" w:rsidRPr="00F04E52" w:rsidRDefault="00736C47">
      <w:pPr>
        <w:pStyle w:val="FootnoteText"/>
      </w:pPr>
      <w:r>
        <w:rPr>
          <w:rStyle w:val="FootnoteReference"/>
        </w:rPr>
        <w:footnoteRef/>
      </w:r>
      <w:r w:rsidRPr="00F04E52">
        <w:tab/>
        <w:t xml:space="preserve">Κανονισμός (ΕΕ) 2019/2033 του Ευρωπαϊκού Κοινοβουλίου και το Συμβουλίου, της 27ης Νοεμβρίου 2019, σχετικά με τις απαιτήσεις προληπτικής εποπτείας επιχειρήσεων επενδύσεων και την τροποποίηση των κανονισμών (ΕΕ) αριθ. 1093/2010, (ΕΕ) αριθ. 575/2013, (ΕΕ) αριθ. 600/2014 και (ΕΕ) αριθ. 806/2014 (ΕΕ </w:t>
      </w:r>
      <w:r>
        <w:t>L</w:t>
      </w:r>
      <w:r w:rsidRPr="00F04E52">
        <w:t xml:space="preserve"> 314 της 5.12.2019, σ. 1, </w:t>
      </w:r>
      <w:r>
        <w:t>ELI</w:t>
      </w:r>
      <w:r w:rsidRPr="00F04E52">
        <w:t xml:space="preserve">: </w:t>
      </w:r>
      <w:r>
        <w:t>http</w:t>
      </w:r>
      <w:r w:rsidRPr="00F04E52">
        <w:t>://</w:t>
      </w:r>
      <w:r>
        <w:t>data</w:t>
      </w:r>
      <w:r w:rsidRPr="00F04E52">
        <w:t>.</w:t>
      </w:r>
      <w:r>
        <w:t>europa</w:t>
      </w:r>
      <w:r w:rsidRPr="00F04E52">
        <w:t>.</w:t>
      </w:r>
      <w:r>
        <w:t>eu</w:t>
      </w:r>
      <w:r w:rsidRPr="00F04E52">
        <w:t>/</w:t>
      </w:r>
      <w:r>
        <w:t>eli</w:t>
      </w:r>
      <w:r w:rsidRPr="00F04E52">
        <w:t>/</w:t>
      </w:r>
      <w:r>
        <w:t>reg</w:t>
      </w:r>
      <w:r w:rsidRPr="00F04E52">
        <w:t>/2019/2033/</w:t>
      </w:r>
      <w:r>
        <w:t>oj</w:t>
      </w:r>
      <w:r w:rsidRPr="00F04E5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F9" w:rsidRDefault="00B47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F9" w:rsidRDefault="00B47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3"/>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6"/>
  </w:num>
  <w:num w:numId="15">
    <w:abstractNumId w:val="2"/>
  </w:num>
  <w:num w:numId="16">
    <w:abstractNumId w:val="1"/>
  </w:num>
  <w:num w:numId="17">
    <w:abstractNumId w:val="0"/>
  </w:num>
  <w:num w:numId="18">
    <w:abstractNumId w:val="19"/>
  </w:num>
  <w:num w:numId="19">
    <w:abstractNumId w:val="12"/>
  </w:num>
  <w:num w:numId="20">
    <w:abstractNumId w:val="21"/>
  </w:num>
  <w:num w:numId="21">
    <w:abstractNumId w:val="11"/>
  </w:num>
  <w:num w:numId="22">
    <w:abstractNumId w:val="13"/>
  </w:num>
  <w:num w:numId="23">
    <w:abstractNumId w:val="14"/>
  </w:num>
  <w:num w:numId="24">
    <w:abstractNumId w:val="9"/>
  </w:num>
  <w:num w:numId="25">
    <w:abstractNumId w:val="20"/>
  </w:num>
  <w:num w:numId="26">
    <w:abstractNumId w:val="8"/>
  </w:num>
  <w:num w:numId="27">
    <w:abstractNumId w:val="15"/>
  </w:num>
  <w:num w:numId="28">
    <w:abstractNumId w:val="17"/>
  </w:num>
  <w:num w:numId="29">
    <w:abstractNumId w:val="18"/>
  </w:num>
  <w:num w:numId="30">
    <w:abstractNumId w:val="10"/>
  </w:num>
  <w:num w:numId="31">
    <w:abstractNumId w:val="16"/>
  </w:num>
  <w:num w:numId="32">
    <w:abstractNumId w:val="23"/>
  </w:num>
  <w:num w:numId="33">
    <w:abstractNumId w:val="19"/>
  </w:num>
  <w:num w:numId="34">
    <w:abstractNumId w:val="12"/>
  </w:num>
  <w:num w:numId="35">
    <w:abstractNumId w:val="21"/>
  </w:num>
  <w:num w:numId="36">
    <w:abstractNumId w:val="11"/>
  </w:num>
  <w:num w:numId="37">
    <w:abstractNumId w:val="13"/>
  </w:num>
  <w:num w:numId="38">
    <w:abstractNumId w:val="14"/>
  </w:num>
  <w:num w:numId="39">
    <w:abstractNumId w:val="9"/>
  </w:num>
  <w:num w:numId="40">
    <w:abstractNumId w:val="20"/>
  </w:num>
  <w:num w:numId="41">
    <w:abstractNumId w:val="8"/>
  </w:num>
  <w:num w:numId="42">
    <w:abstractNumId w:val="15"/>
  </w:num>
  <w:num w:numId="43">
    <w:abstractNumId w:val="17"/>
  </w:num>
  <w:num w:numId="44">
    <w:abstractNumId w:val="18"/>
  </w:num>
  <w:num w:numId="45">
    <w:abstractNumId w:val="10"/>
  </w:num>
  <w:num w:numId="46">
    <w:abstractNumId w:val="16"/>
  </w:num>
  <w:num w:numId="47">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7: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0B1C65D-A2A3-4E2C-8CD9-33D216919411"/>
    <w:docVar w:name="LW_COVERPAGE_TYPE" w:val="1"/>
    <w:docVar w:name="LW_CreatedUtc" w:val="2025-04-09T13:24:10.7425134Z"/>
    <w:docVar w:name="LW_CROSSREFERENCE" w:val="&lt;UNUSED&gt;"/>
    <w:docVar w:name="LW_DATE.ADOPT.CP" w:val="\u964?\u951?\u962? 14.11.2025"/>
    <w:docVar w:name="LW_DATE.ADOPT.CP_DATEFORMAT" w:val="\u964?\u951?\u962? %DATE%"/>
    <w:docVar w:name="LW_DATE.ADOPT.CP_ISODATE" w:val="2025-11-14"/>
    <w:docVar w:name="LW_DocType" w:val="COM"/>
    <w:docVar w:name="LW_EMISSION" w:val="14.11.2025"/>
    <w:docVar w:name="LW_EMISSION_ISODATE" w:val="2025-11-14"/>
    <w:docVar w:name="LW_EMISSION_LOCATION" w:val="BRX"/>
    <w:docVar w:name="LW_EMISSION_PREFIX" w:val="\u914?\u961?\u965?\u958?\u941?\u955?\u955?\u949?\u962?, "/>
    <w:docVar w:name="LW_EMISSION_SUFFIX" w:val=" "/>
    <w:docVar w:name="LW_ID_DOCMODEL" w:val="SJ-004"/>
    <w:docVar w:name="LW_ID_DOCSIGNATURE" w:val="SJ-004"/>
    <w:docVar w:name="LW_ID_DOCSTRUCTURE" w:val="COM/AA"/>
    <w:docVar w:name="LW_ID_DOCTYPE" w:val="SJ-004"/>
    <w:docVar w:name="LW_INTERETEEE.CP" w:val="(\u922?\u949?\u943?\u956?\u949?\u957?\u959? \u960?\u959?\u965? \u960?\u945?\u961?\u959?\u965?\u963?\u953?\u940?\u950?\u949?\u953? \u949?\u957?\u948?\u953?\u945?\u966?\u941?\u961?\u959?\u957? \u947?\u953?\u945? \u964?\u959?\u957? \u917?\u927?\u935?)"/>
    <w:docVar w:name="LW_LANGUE" w:val="EL"/>
    <w:docVar w:name="LW_LANGUESFAISANTFOI.CP" w:val="&lt;UNUSED&gt;"/>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63?\u967?\u949?\u964?\u953?\u954?\u940? \u956?\u949? \u964?\u951? \u952?\u941?\u963?\u960?\u953?\u963?\u951? \u949?\u954?\u964?\u949?\u955?\u949?\u963?\u964?\u953?\u954?\u974?\u957? \u964?\u949?\u967?\u957?\u953?\u954?\u974?\u957? \u960?\u961?\u959?\u964?\u973?\u960?\u969?\u957? \u972?\u963?\u959?\u957? \u945?\u966?\u959?\u961?\u940? \u964?\u953?\u962? \u948?\u953?\u945?\u948?\u953?\u954?\u945?\u963?\u943?\u949?\u962?, \u964?\u945? \u964?\u965?\u960?\u959?\u960?\u959?\u953?\u951?\u956?\u941?\u957?\u945? \u941?\u957?\u964?\u965?\u960?\u945? \u954?\u945?\u953? \u964?\u945? \u965?\u960?\u959?\u948?\u949?\u943?\u947?\u956?\u945?\u964?\u945? \u947?\u953?\u945? \u964?\u951?\u957? \u960?\u945?\u961?\u959?\u967?\u942? \u960?\u955?\u951?\u961?\u959?\u966?\u959?\u961?\u953?\u974?\u957? \u947?\u953?\u945? \u964?\u959?\u965?\u962? \u963?\u954?\u959?\u960?\u959?\u973?\u962? \u964?\u969?\u957? \u963?\u967?\u949?\u948?\u943?\u969?\u957? \u949?\u958?\u965?\u947?\u943?\u945?\u957?\u963?\u951?\u962? \u960?\u953?\u963?\u964?\u969?\u964?\u953?\u954?\u974?\u957? \u953?\u948?\u961?\u965?\u956?\u940?\u964?\u969?\u957? \u954?\u945?\u953? \u949?\u960?\u953?\u967?\u949?\u953?\u961?\u942?\u963?\u949?\u969?\u957? \u949?\u960?\u949?\u957?\u948?\u973?\u963?\u949?\u969?\u957? \u963?\u973?\u956?\u966?\u969?\u957?\u945? \u956?\u949? \u964?\u951?\u957? \u959?\u948?\u951?\u947?\u943?\u945? 2014/59/\u917?\u917? \u964?\u959?\u965? \u917?\u965?\u961?\u969?\u960?\u945?\u970?\u954?\u959?\u973? \u922?\u959?\u953?\u957?\u959?\u946?\u959?\u965?\u955?\u943?\u959?\u965? \u954?\u945?\u953? \u964?\u959?\u965? \u931?\u965?\u956?\u946?\u959?\u965?\u955?\u943?\u959?\u965? \u954?\u945?\u953? \u947?\u953?\u945? \u964?\u951?\u957? \u954?\u945?\u964?\u940?\u961?\u947?\u951?\u963?\u951? \u964?\u959?\u965? \u949?\u954?\u964?\u949?\u955?\u949?\u963?\u964?\u953?\u954?\u959?\u973? \u954?\u945?\u957?\u959?\u957?\u953?\u963?\u956?\u959?\u973? (\u917?\u917?) 2018/1624 \u964?\u951?\u962? \u917?\u960?\u953?\u964?\u961?\u959?\u960?\u942?\u962?"/>
    <w:docVar w:name="LW_TYPE.DOC.CP" w:val="\u917?\u922?\u932?\u917?\u923?\u917?\u931?\u932?\u921?\u922?\u927?\u931? \u922?\u913?\u925?\u927?\u925?\u921?\u931?\u924?\u927?\u931? (\u917?\u917?) \u8230?/... \u932?\u919?\u931? \u917?\u928?\u921?\u932?\u929?\u927?\u928?\u919?\u931?"/>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07B"/>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238F"/>
    <w:rsid w:val="001330E3"/>
    <w:rsid w:val="00134F11"/>
    <w:rsid w:val="00135713"/>
    <w:rsid w:val="00142E17"/>
    <w:rsid w:val="00146F44"/>
    <w:rsid w:val="00147D59"/>
    <w:rsid w:val="00152894"/>
    <w:rsid w:val="001544FF"/>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253F"/>
    <w:rsid w:val="00193875"/>
    <w:rsid w:val="00194D17"/>
    <w:rsid w:val="001956D7"/>
    <w:rsid w:val="00197613"/>
    <w:rsid w:val="001977E5"/>
    <w:rsid w:val="00197AB1"/>
    <w:rsid w:val="001A0934"/>
    <w:rsid w:val="001A2326"/>
    <w:rsid w:val="001A2CF0"/>
    <w:rsid w:val="001A2E1C"/>
    <w:rsid w:val="001A314A"/>
    <w:rsid w:val="001A3D9B"/>
    <w:rsid w:val="001A4085"/>
    <w:rsid w:val="001A447C"/>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DF6"/>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7557"/>
    <w:rsid w:val="002703BF"/>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09DC"/>
    <w:rsid w:val="002D19F0"/>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47343"/>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5EE"/>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2FD8"/>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3904"/>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A7FD8"/>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10E8E"/>
    <w:rsid w:val="00611E70"/>
    <w:rsid w:val="00611F25"/>
    <w:rsid w:val="00612BC5"/>
    <w:rsid w:val="00621968"/>
    <w:rsid w:val="00624324"/>
    <w:rsid w:val="006265C3"/>
    <w:rsid w:val="00626A19"/>
    <w:rsid w:val="00626D86"/>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A6B10"/>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42DC"/>
    <w:rsid w:val="007A4E37"/>
    <w:rsid w:val="007A6B8E"/>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4E3A"/>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86FD6"/>
    <w:rsid w:val="00993E09"/>
    <w:rsid w:val="009957C5"/>
    <w:rsid w:val="00996AEF"/>
    <w:rsid w:val="009A301B"/>
    <w:rsid w:val="009A3072"/>
    <w:rsid w:val="009A4DBF"/>
    <w:rsid w:val="009A5579"/>
    <w:rsid w:val="009B3320"/>
    <w:rsid w:val="009B4623"/>
    <w:rsid w:val="009B5048"/>
    <w:rsid w:val="009B5878"/>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46BE"/>
    <w:rsid w:val="00A5534F"/>
    <w:rsid w:val="00A556B1"/>
    <w:rsid w:val="00A565C7"/>
    <w:rsid w:val="00A61F97"/>
    <w:rsid w:val="00A62D23"/>
    <w:rsid w:val="00A634A0"/>
    <w:rsid w:val="00A642FA"/>
    <w:rsid w:val="00A748FA"/>
    <w:rsid w:val="00A803C4"/>
    <w:rsid w:val="00A82F1C"/>
    <w:rsid w:val="00A85B65"/>
    <w:rsid w:val="00A93F8D"/>
    <w:rsid w:val="00A95E76"/>
    <w:rsid w:val="00AA112B"/>
    <w:rsid w:val="00AA1EA4"/>
    <w:rsid w:val="00AC295E"/>
    <w:rsid w:val="00AC3770"/>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14B2"/>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47BF9"/>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B2642"/>
    <w:rsid w:val="00DB4867"/>
    <w:rsid w:val="00DB4B20"/>
    <w:rsid w:val="00DB5830"/>
    <w:rsid w:val="00DC1A68"/>
    <w:rsid w:val="00DC2B49"/>
    <w:rsid w:val="00DC2FF2"/>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6014"/>
    <w:rsid w:val="00DF73D8"/>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C7799"/>
    <w:rsid w:val="00ED1286"/>
    <w:rsid w:val="00ED4AE9"/>
    <w:rsid w:val="00ED4B07"/>
    <w:rsid w:val="00ED634A"/>
    <w:rsid w:val="00ED6776"/>
    <w:rsid w:val="00EE140B"/>
    <w:rsid w:val="00EE337B"/>
    <w:rsid w:val="00EE3CF1"/>
    <w:rsid w:val="00EE6DDE"/>
    <w:rsid w:val="00EE783A"/>
    <w:rsid w:val="00EF2AAB"/>
    <w:rsid w:val="00EF4A18"/>
    <w:rsid w:val="00EF56A2"/>
    <w:rsid w:val="00EF6BDE"/>
    <w:rsid w:val="00EF6EBE"/>
    <w:rsid w:val="00EF7ACA"/>
    <w:rsid w:val="00EF7EB8"/>
    <w:rsid w:val="00F01FF2"/>
    <w:rsid w:val="00F02072"/>
    <w:rsid w:val="00F028A8"/>
    <w:rsid w:val="00F03222"/>
    <w:rsid w:val="00F03A6A"/>
    <w:rsid w:val="00F0433C"/>
    <w:rsid w:val="00F04902"/>
    <w:rsid w:val="00F04E52"/>
    <w:rsid w:val="00F06959"/>
    <w:rsid w:val="00F139C8"/>
    <w:rsid w:val="00F147B8"/>
    <w:rsid w:val="00F20D08"/>
    <w:rsid w:val="00F260A6"/>
    <w:rsid w:val="00F336AC"/>
    <w:rsid w:val="00F411AA"/>
    <w:rsid w:val="00F4455F"/>
    <w:rsid w:val="00F50966"/>
    <w:rsid w:val="00F603E8"/>
    <w:rsid w:val="00F6057B"/>
    <w:rsid w:val="00F62F9E"/>
    <w:rsid w:val="00F62FF5"/>
    <w:rsid w:val="00F658FB"/>
    <w:rsid w:val="00F66A8D"/>
    <w:rsid w:val="00F674E6"/>
    <w:rsid w:val="00F715B9"/>
    <w:rsid w:val="00F71D65"/>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5D"/>
    <w:rsid w:val="00FB0890"/>
    <w:rsid w:val="00FB0D3C"/>
    <w:rsid w:val="00FB3971"/>
    <w:rsid w:val="00FB7A78"/>
    <w:rsid w:val="00FC2396"/>
    <w:rsid w:val="00FC38F8"/>
    <w:rsid w:val="00FC4635"/>
    <w:rsid w:val="00FD0241"/>
    <w:rsid w:val="00FD1163"/>
    <w:rsid w:val="00FD1E41"/>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el-GR"/>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el-GR"/>
    </w:rPr>
  </w:style>
  <w:style w:type="paragraph" w:customStyle="1" w:styleId="Numberedtilelevel1">
    <w:name w:val="Numbered tile level 1"/>
    <w:basedOn w:val="Normal"/>
    <w:qFormat/>
    <w:rsid w:val="00F66A8D"/>
    <w:pPr>
      <w:numPr>
        <w:numId w:val="13"/>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3"/>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3"/>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14"/>
      </w:numPr>
      <w:contextualSpacing/>
    </w:pPr>
  </w:style>
  <w:style w:type="paragraph" w:styleId="ListNumber2">
    <w:name w:val="List Number 2"/>
    <w:basedOn w:val="Normal"/>
    <w:uiPriority w:val="99"/>
    <w:semiHidden/>
    <w:unhideWhenUsed/>
    <w:rsid w:val="00F66A8D"/>
    <w:pPr>
      <w:numPr>
        <w:numId w:val="15"/>
      </w:numPr>
      <w:contextualSpacing/>
    </w:pPr>
  </w:style>
  <w:style w:type="paragraph" w:styleId="ListNumber3">
    <w:name w:val="List Number 3"/>
    <w:basedOn w:val="Normal"/>
    <w:uiPriority w:val="99"/>
    <w:semiHidden/>
    <w:unhideWhenUsed/>
    <w:rsid w:val="00F66A8D"/>
    <w:pPr>
      <w:numPr>
        <w:numId w:val="16"/>
      </w:numPr>
      <w:contextualSpacing/>
    </w:pPr>
  </w:style>
  <w:style w:type="paragraph" w:styleId="ListNumber4">
    <w:name w:val="List Number 4"/>
    <w:basedOn w:val="Normal"/>
    <w:uiPriority w:val="99"/>
    <w:semiHidden/>
    <w:unhideWhenUsed/>
    <w:rsid w:val="00F66A8D"/>
    <w:pPr>
      <w:numPr>
        <w:numId w:val="17"/>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B47BF9"/>
    <w:rPr>
      <w:rFonts w:ascii="Times New Roman" w:hAnsi="Times New Roman" w:cs="Times New Roman"/>
      <w:sz w:val="24"/>
      <w:lang w:val="el-GR"/>
    </w:rPr>
  </w:style>
  <w:style w:type="character" w:customStyle="1" w:styleId="FooterChar">
    <w:name w:val="Footer Char"/>
    <w:basedOn w:val="DefaultParagraphFont"/>
    <w:link w:val="Footer"/>
    <w:uiPriority w:val="99"/>
    <w:rsid w:val="00B47BF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47BF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47BF9"/>
    <w:pPr>
      <w:spacing w:before="0"/>
      <w:jc w:val="right"/>
    </w:pPr>
    <w:rPr>
      <w:sz w:val="28"/>
    </w:rPr>
  </w:style>
  <w:style w:type="paragraph" w:customStyle="1" w:styleId="FooterSensitivity">
    <w:name w:val="Footer Sensitivity"/>
    <w:basedOn w:val="Normal"/>
    <w:rsid w:val="00B47BF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47BF9"/>
    <w:pPr>
      <w:tabs>
        <w:tab w:val="center" w:pos="4535"/>
        <w:tab w:val="right" w:pos="9071"/>
      </w:tabs>
      <w:spacing w:before="0"/>
    </w:pPr>
  </w:style>
  <w:style w:type="paragraph" w:customStyle="1" w:styleId="HeaderLandscape">
    <w:name w:val="HeaderLandscape"/>
    <w:basedOn w:val="Normal"/>
    <w:rsid w:val="00B47BF9"/>
    <w:pPr>
      <w:tabs>
        <w:tab w:val="center" w:pos="7285"/>
        <w:tab w:val="right" w:pos="14003"/>
      </w:tabs>
      <w:spacing w:before="0"/>
    </w:pPr>
  </w:style>
  <w:style w:type="paragraph" w:styleId="Footer">
    <w:name w:val="footer"/>
    <w:basedOn w:val="Normal"/>
    <w:link w:val="FooterChar"/>
    <w:uiPriority w:val="99"/>
    <w:unhideWhenUsed/>
    <w:rsid w:val="00B47BF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47BF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3.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53</TotalTime>
  <Pages>12</Pages>
  <Words>4097</Words>
  <Characters>23357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60</cp:revision>
  <dcterms:created xsi:type="dcterms:W3CDTF">2025-08-04T13:17:00Z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