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33F" w:rsidRPr="005456C3" w:rsidRDefault="009A2595" w:rsidP="009A2595">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3D8F5268-F52F-43A4-8B1B-54395A6A8EAC" style="width:455.25pt;height:414pt">
            <v:imagedata r:id="rId10" o:title=""/>
          </v:shape>
        </w:pict>
      </w:r>
    </w:p>
    <w:p w:rsidR="00860655" w:rsidRPr="005456C3" w:rsidRDefault="00860655" w:rsidP="00184085">
      <w:pPr>
        <w:rPr>
          <w:noProof/>
        </w:rPr>
        <w:sectPr w:rsidR="00860655" w:rsidRPr="005456C3" w:rsidSect="009A2595">
          <w:footerReference w:type="even" r:id="rId11"/>
          <w:footerReference w:type="default" r:id="rId12"/>
          <w:pgSz w:w="11907" w:h="16839"/>
          <w:pgMar w:top="1134" w:right="1417" w:bottom="1134" w:left="1417" w:header="709" w:footer="709" w:gutter="0"/>
          <w:pgNumType w:start="0"/>
          <w:cols w:space="720"/>
          <w:docGrid w:linePitch="360"/>
        </w:sectPr>
      </w:pPr>
    </w:p>
    <w:p w:rsidR="00860655" w:rsidRPr="005456C3" w:rsidRDefault="002E6811" w:rsidP="002E6811">
      <w:pPr>
        <w:pStyle w:val="Typedudocument"/>
        <w:rPr>
          <w:noProof/>
        </w:rPr>
      </w:pPr>
      <w:bookmarkStart w:id="0" w:name="_GoBack"/>
      <w:bookmarkEnd w:id="0"/>
      <w:r w:rsidRPr="002E6811">
        <w:rPr>
          <w:noProof/>
        </w:rPr>
        <w:lastRenderedPageBreak/>
        <w:t>PROVÁDĚCÍ NAŘÍZENÍ KOMISE (EU) …/...</w:t>
      </w:r>
    </w:p>
    <w:p w:rsidR="00860655" w:rsidRPr="005456C3" w:rsidRDefault="00D40375" w:rsidP="002E6811">
      <w:pPr>
        <w:pStyle w:val="Datedadoption"/>
        <w:rPr>
          <w:noProof/>
        </w:rPr>
      </w:pPr>
      <w:r>
        <w:rPr>
          <w:noProof/>
        </w:rPr>
        <w:t>ze dne 14.11.2025,</w:t>
      </w:r>
    </w:p>
    <w:p w:rsidR="00860655" w:rsidRPr="005456C3" w:rsidRDefault="002E6811" w:rsidP="002E6811">
      <w:pPr>
        <w:pStyle w:val="Titreobjet"/>
        <w:rPr>
          <w:noProof/>
        </w:rPr>
      </w:pPr>
      <w:r w:rsidRPr="002E6811">
        <w:rPr>
          <w:noProof/>
        </w:rPr>
        <w:t>kterým se stanoví prováděcí technické normy, pokud jde o postupy, standardní formuláře a vzory k poskytování informací pro účely plánů řešení krize úvěrových institucí a investičních podniků podle směrnice Evropského parlamentu a Rady 2014/59/EU, a zrušuje prováděcí nařízení Komise (EU) 2018/1624</w:t>
      </w:r>
    </w:p>
    <w:p w:rsidR="00860655" w:rsidRPr="005456C3" w:rsidRDefault="002E6811" w:rsidP="002E6811">
      <w:pPr>
        <w:pStyle w:val="IntrtEEE"/>
        <w:rPr>
          <w:noProof/>
        </w:rPr>
      </w:pPr>
      <w:r w:rsidRPr="002E6811">
        <w:rPr>
          <w:noProof/>
        </w:rPr>
        <w:t>(Text s významem pro EHP)</w:t>
      </w:r>
    </w:p>
    <w:p w:rsidR="00860655" w:rsidRPr="005456C3" w:rsidRDefault="00860655" w:rsidP="00184085">
      <w:pPr>
        <w:pStyle w:val="Institutionquiagit"/>
        <w:rPr>
          <w:noProof/>
        </w:rPr>
      </w:pPr>
      <w:r w:rsidRPr="005456C3">
        <w:rPr>
          <w:noProof/>
        </w:rPr>
        <w:t>EVROPSKÁ KOMISE,</w:t>
      </w:r>
    </w:p>
    <w:p w:rsidR="00860655" w:rsidRPr="005456C3" w:rsidRDefault="00860655" w:rsidP="00184085">
      <w:pPr>
        <w:rPr>
          <w:noProof/>
        </w:rPr>
      </w:pPr>
      <w:r w:rsidRPr="005456C3">
        <w:rPr>
          <w:noProof/>
        </w:rPr>
        <w:t>s ohledem na Smlouvu o fungování Evropské unie,</w:t>
      </w:r>
    </w:p>
    <w:p w:rsidR="00860655" w:rsidRPr="005456C3" w:rsidRDefault="00860655" w:rsidP="00184085">
      <w:pPr>
        <w:rPr>
          <w:noProof/>
        </w:rPr>
      </w:pPr>
      <w:r w:rsidRPr="005456C3">
        <w:rPr>
          <w:noProof/>
        </w:rPr>
        <w:t>s ohledem na směrnici Evropského parlamentu a Rady 2014/59/EU ze dne 15. května 2014, kterou se stanoví rámec pro ozdravné postupy a řešení krize úvěrových institucí a investičních podniků a kterou se mění směrnice Rady 82/891/EHS, směrnice Evropského parlamentu a Rady 2001/24/ES, 2002/47/ES, 2004/25/ES, 2005/56/ES, 2007/36/ES, 2011/35/EU, 2012/30/EU a 2013/36/EU a nařízení Evropského parlamentu a Rady (EU) č. 1093/2010 a (EU) č. 648/2012</w:t>
      </w:r>
      <w:r w:rsidRPr="005456C3">
        <w:rPr>
          <w:rStyle w:val="FootnoteReference"/>
          <w:noProof/>
        </w:rPr>
        <w:footnoteReference w:id="2"/>
      </w:r>
      <w:r w:rsidRPr="005456C3">
        <w:rPr>
          <w:noProof/>
        </w:rPr>
        <w:t>, a zejména na čl. 11 odst. 3 uvedené směrnice,</w:t>
      </w:r>
    </w:p>
    <w:p w:rsidR="00860655" w:rsidRPr="005456C3" w:rsidRDefault="00860655" w:rsidP="00184085">
      <w:pPr>
        <w:rPr>
          <w:noProof/>
        </w:rPr>
      </w:pPr>
      <w:r w:rsidRPr="005456C3">
        <w:rPr>
          <w:noProof/>
        </w:rPr>
        <w:t>vzhledem k těmto důvodům:</w:t>
      </w:r>
    </w:p>
    <w:p w:rsidR="00860655" w:rsidRPr="005456C3" w:rsidRDefault="00E5346F" w:rsidP="00E5346F">
      <w:pPr>
        <w:pStyle w:val="ManualConsidrant"/>
        <w:rPr>
          <w:noProof/>
        </w:rPr>
      </w:pPr>
      <w:r w:rsidRPr="00E5346F">
        <w:rPr>
          <w:noProof/>
        </w:rPr>
        <w:t>(1)</w:t>
      </w:r>
      <w:r w:rsidRPr="00E5346F">
        <w:rPr>
          <w:noProof/>
        </w:rPr>
        <w:tab/>
      </w:r>
      <w:r w:rsidR="00860655" w:rsidRPr="005456C3">
        <w:rPr>
          <w:noProof/>
        </w:rPr>
        <w:t>Prováděcí nařízení Komise (EU) 2018/1624</w:t>
      </w:r>
      <w:r w:rsidR="00860655" w:rsidRPr="005456C3">
        <w:rPr>
          <w:rStyle w:val="FootnoteReference"/>
          <w:noProof/>
        </w:rPr>
        <w:footnoteReference w:id="3"/>
      </w:r>
      <w:r w:rsidR="00860655" w:rsidRPr="005456C3">
        <w:rPr>
          <w:noProof/>
        </w:rPr>
        <w:t xml:space="preserve"> stanoví postup a zavádí minimální soubor vzorů pro poskytování informací orgánům příslušným k řešení krize ze strany úvěrových institucí nebo investičních podniků za účelem vypracování a provádění plánů řešení krize pro instituce. Od přijetí uvedeného nařízení získaly orgány příslušné k řešení krize zkušenosti v oblasti plánování řešení krize a směrnice 2014/59/EU byla změněna. Vzhledem k těmto zkušenostem a s ohledem na nová ustanovení uvedené směrnice je nutné aktualizovat minimální soubor vzorů pro shromažďování informací pro účely plánování řešení krize.</w:t>
      </w:r>
    </w:p>
    <w:p w:rsidR="003B410C" w:rsidRPr="005456C3" w:rsidRDefault="00E5346F" w:rsidP="00E5346F">
      <w:pPr>
        <w:pStyle w:val="ManualConsidrant"/>
        <w:rPr>
          <w:noProof/>
        </w:rPr>
      </w:pPr>
      <w:r w:rsidRPr="00E5346F">
        <w:rPr>
          <w:noProof/>
        </w:rPr>
        <w:t>(2)</w:t>
      </w:r>
      <w:r w:rsidRPr="00E5346F">
        <w:rPr>
          <w:noProof/>
        </w:rPr>
        <w:tab/>
      </w:r>
      <w:r w:rsidR="003B410C" w:rsidRPr="005456C3">
        <w:rPr>
          <w:noProof/>
        </w:rPr>
        <w:t>Prováděcí nařízení (EU) 2018/1624 stanoví postup a minimální soubor vzorů pro poskytování informací orgánům příslušným k řešení krize ze strany institucí tak, aby orgány příslušné k řešení krize mohly tyto informace shromažďovat způsobem jednotným v celé Unii a aby se zjednodušila výměna informací mezi příslušnými orgány. Zkušenosti však ukázaly, že harmonizovaný přístup ke shromažďování těchto informací byl dosažen jen částečně. Uvedené prováděcí nařízení je proto nezbytné přezkoumat s cílem podpořit harmonizaci povinností v oblasti vykazování v celé Unii na základě revidovaného souboru vzorů, které budou lépe konzistentním způsobem zachycovat potřeby orgánů příslušných k řešení krize. To by nemělo bránit orgánům příslušným k řešení krize, aby shromažďovaly jakékoli doplňující informace, které považují za nezbytné pro přípravu a provádění plánů řešení krize nebo pro stanovení zjednodušených informačních povinností podle článku 4 směrnice 2014/59/EU.</w:t>
      </w:r>
    </w:p>
    <w:p w:rsidR="003B410C" w:rsidRPr="005456C3" w:rsidRDefault="00E5346F" w:rsidP="00E5346F">
      <w:pPr>
        <w:pStyle w:val="ManualConsidrant"/>
        <w:rPr>
          <w:noProof/>
        </w:rPr>
      </w:pPr>
      <w:r w:rsidRPr="00E5346F">
        <w:rPr>
          <w:noProof/>
        </w:rPr>
        <w:t>(3)</w:t>
      </w:r>
      <w:r w:rsidRPr="00E5346F">
        <w:rPr>
          <w:noProof/>
        </w:rPr>
        <w:tab/>
      </w:r>
      <w:r w:rsidR="003B410C" w:rsidRPr="005456C3">
        <w:rPr>
          <w:noProof/>
        </w:rPr>
        <w:t>Aby se zajistilo, že skupinové plány řešení krize budou účinně pokrývat dotčenou skupinu, neměly by se povinnosti v oblasti vykazování uložené mateřským podnikům v Unii omezovat pouze na subjekty řešící krizi, nýbrž by se měly týkat i jiných relevantních právních subjektů. Tato relevantnost by však měla být řádně vymezena, aby se vyloučilo vykazování u subjektů, které nejsou pro skupinu relevantní nebo které nejsou systémově významné. Za tímto účelem by měly být stanoveny prahové hodnoty pro určení těch právních subjektů skupiny, jimž by měly být uloženy požadavky na vykazování v souvislosti s řešením krize. Směrnice Evropského parlamentu a Rady (EU) 2024/1174</w:t>
      </w:r>
      <w:r w:rsidR="003B410C" w:rsidRPr="005456C3">
        <w:rPr>
          <w:rStyle w:val="FootnoteReference"/>
          <w:noProof/>
        </w:rPr>
        <w:footnoteReference w:id="4"/>
      </w:r>
      <w:r w:rsidR="003B410C" w:rsidRPr="005456C3">
        <w:rPr>
          <w:noProof/>
        </w:rPr>
        <w:t xml:space="preserve"> navíc změnila směrnici 2014/59/EU tím, že mimo jiné zavedla definici „subjektu v likvidaci“. Aby se zohlednila tato nová definice, je nezbytné rozlišovat mezi požadavky na vykazování v souvislosti s řešením krize u subjektů v likvidaci, u subjektů řešících krizi a u subjektů patřících do skupin řešících krizi. Zejména je nezbytné upřesnit povinnosti v oblasti vykazování s přihlédnutím k tomu, zda jsou dotčené subjekty samostatnými subjekty, nebo patří do skupin a zda tyto subjekty či skupiny byly určeny jako subjekty v likvidaci nebo zahrnují subjekty, které byly určeny jako subjekty v likvidaci. Tyto povinnosti v oblasti vykazování by měly být stanoveny na individuální, subkonsolidované nebo konsolidované úrovni způsobem, který zajistí proporcionalitu, neohrozí účinné plánování řešení krize, osvobodí subjekty od paralelního shromažďování údajů od různých orgánů a odstraní datové body překrývající se s rámci pro podávání zpráv pro účely dohledu. Toho by mělo být dosaženo zavedením přístupu, který bude upravovat počet vzorů v závislosti na typu dotčeného vykazujícího subjektu. Také by měla být věnována zvláštní pozornost skupinám řešícím krizi sestávajícím z úvěrových institucí trvale přidružených k ústřednímu subjektu a ústřednímu subjektu samotnému s cílem zajistit, aby vykazování v souvislosti s řešením krize účinně pokrývalo všechny úvěrové instituce trvale přidružené k ústřednímu subjektu dané skupiny řešící krizi, samotný ústřední subjekt a jejich příslušné dceřiné podniky na individuální, subkonsolidované a konsolidované úrovni.</w:t>
      </w:r>
    </w:p>
    <w:p w:rsidR="003B410C" w:rsidRPr="005456C3" w:rsidRDefault="00E5346F" w:rsidP="00E5346F">
      <w:pPr>
        <w:pStyle w:val="ManualConsidrant"/>
        <w:rPr>
          <w:noProof/>
        </w:rPr>
      </w:pPr>
      <w:r w:rsidRPr="00E5346F">
        <w:rPr>
          <w:noProof/>
        </w:rPr>
        <w:t>(4)</w:t>
      </w:r>
      <w:r w:rsidRPr="00E5346F">
        <w:rPr>
          <w:noProof/>
        </w:rPr>
        <w:tab/>
      </w:r>
      <w:r w:rsidR="003B410C" w:rsidRPr="005456C3">
        <w:rPr>
          <w:noProof/>
        </w:rPr>
        <w:t>Aby bylo zajištěno účinné plánování řešení krize při zachování proporcionality, může se rozsah požadavků na vykazování v souvislosti s řešením krize lišit od rozsahu obezřetnostních požadavků na vykazování, je-li to nezbytné k zajištění toho, aby orgány příslušné k řešení krize měly k plnění svých úkolů přiměřené a důvěryhodné údaje. V této souvislosti je nezbytné zajistit, aby vykazování v souvislosti s řešením krize nebránily obezřetnostní výjimky ani skupiny řešící krizi, na které se nevztahují požadavky na obezřetnostní konsolidaci.</w:t>
      </w:r>
    </w:p>
    <w:p w:rsidR="003B410C" w:rsidRPr="005456C3" w:rsidRDefault="00E5346F" w:rsidP="00E5346F">
      <w:pPr>
        <w:pStyle w:val="ManualConsidrant"/>
        <w:rPr>
          <w:noProof/>
        </w:rPr>
      </w:pPr>
      <w:r w:rsidRPr="00E5346F">
        <w:rPr>
          <w:noProof/>
        </w:rPr>
        <w:t>(5)</w:t>
      </w:r>
      <w:r w:rsidRPr="00E5346F">
        <w:rPr>
          <w:noProof/>
        </w:rPr>
        <w:tab/>
      </w:r>
      <w:r w:rsidR="00012E4C" w:rsidRPr="005456C3">
        <w:rPr>
          <w:noProof/>
        </w:rPr>
        <w:t>Aby se zajistilo, že plány řešení krize budou založeny na minimálním souboru údajů s trvale vysokou kvalitou a přesností, měl by být přijat jednotný model datových bodů, stejně jako je tomu v případě podávání zpráv pro účely dohledu. Jednotný model datových bodů by měl sestávat ze strukturovaného znázornění datových položek, měl by identifikovat veškeré relevantní obchodní koncepty pro účel jednotného vykazování pro plánování řešení krize a měl by obsahovat všechny relevantní specifikace nezbytné pro další rozvoj jednotných IT řešení v oblasti vykazování.</w:t>
      </w:r>
    </w:p>
    <w:p w:rsidR="003B410C" w:rsidRPr="005456C3" w:rsidRDefault="00E5346F" w:rsidP="00E5346F">
      <w:pPr>
        <w:pStyle w:val="ManualConsidrant"/>
        <w:rPr>
          <w:noProof/>
        </w:rPr>
      </w:pPr>
      <w:r w:rsidRPr="00E5346F">
        <w:rPr>
          <w:noProof/>
        </w:rPr>
        <w:t>(6)</w:t>
      </w:r>
      <w:r w:rsidRPr="00E5346F">
        <w:rPr>
          <w:noProof/>
        </w:rPr>
        <w:tab/>
      </w:r>
      <w:r w:rsidR="00980E18" w:rsidRPr="005456C3">
        <w:rPr>
          <w:noProof/>
        </w:rPr>
        <w:t>Za účelem ochrany kvality, konzistence a přesnosti datových položek předkládaných institucemi by datové položky měly podléhat společným pravidlům pro ověřování.</w:t>
      </w:r>
    </w:p>
    <w:p w:rsidR="003B410C" w:rsidRPr="005456C3" w:rsidRDefault="00E5346F" w:rsidP="00E5346F">
      <w:pPr>
        <w:pStyle w:val="ManualConsidrant"/>
        <w:rPr>
          <w:noProof/>
        </w:rPr>
      </w:pPr>
      <w:r w:rsidRPr="00E5346F">
        <w:rPr>
          <w:noProof/>
        </w:rPr>
        <w:t>(7)</w:t>
      </w:r>
      <w:r w:rsidRPr="00E5346F">
        <w:rPr>
          <w:noProof/>
        </w:rPr>
        <w:tab/>
      </w:r>
      <w:r w:rsidR="003B410C" w:rsidRPr="005456C3">
        <w:rPr>
          <w:noProof/>
        </w:rPr>
        <w:t>Pravidla pro ověřování a definice datových položek se vzhledem ke své podstatě pravidelně aktualizují, aby bylo zajištěno, že budou vždy odpovídat platným právním a analytickým požadavkům a požadavkům informačních technologií. Vzhledem k času, který je aktuálně zapotřebí k přijetí a zveřejnění podrobného jednotného modelu datových bodů a pravidel pro ověřování, není možné provést změny dostatečně rychle a včas, aby bylo zajištěno trvalé poskytování jednotných informací, pokud jde o plány řešení krize v Unii. Pro podrobný jednotný model datových bodů a podrobná společná pravidla pro ověřování, která Evropský orgán pro bankovnictví (EBA) zveřejní elektronicky na svých webových stránkách, by proto měla být stanovena přísná kritéria kvality. Výše uvedené nevylučuje, že EBA může na svých internetových stránkách rovněž zveřejnit technické pokyny k vyplnění formulářů a vzorů uvedených v tomto nařízení.</w:t>
      </w:r>
    </w:p>
    <w:p w:rsidR="003B410C" w:rsidRPr="005456C3" w:rsidRDefault="00E5346F" w:rsidP="00E5346F">
      <w:pPr>
        <w:pStyle w:val="ManualConsidrant"/>
        <w:rPr>
          <w:noProof/>
        </w:rPr>
      </w:pPr>
      <w:r w:rsidRPr="00E5346F">
        <w:rPr>
          <w:noProof/>
        </w:rPr>
        <w:t>(8)</w:t>
      </w:r>
      <w:r w:rsidRPr="00E5346F">
        <w:rPr>
          <w:noProof/>
        </w:rPr>
        <w:tab/>
      </w:r>
      <w:r w:rsidR="003B410C" w:rsidRPr="005456C3">
        <w:rPr>
          <w:noProof/>
        </w:rPr>
        <w:t>V čl. 11 odst. 2 směrnice 2014/59/EU se příslušným orgánům a orgánům příslušným k řešení krize ukládá povinnost spolupracovat, aby se minimalizovalo zdvojování požadavků na informace. Za tímto účelem zavedlo prováděcí nařízení (EU) 2018/1624 postup spolupráce mezi příslušnými orgány a orgány příslušnými k řešení krize, který by měl být dodržován, aby příslušné orgány a orgány příslušné k řešení krize společně ověřovaly, zda příslušný orgán nemá již veškeré požadované informace nebo některé z nich k dispozici. Pokud příslušný orgán tyto informace k dispozici již má, je vhodné, aby je předal přímo orgánu příslušnému k řešení krize.</w:t>
      </w:r>
    </w:p>
    <w:p w:rsidR="003B410C" w:rsidRPr="005456C3" w:rsidRDefault="00E5346F" w:rsidP="00E5346F">
      <w:pPr>
        <w:pStyle w:val="ManualConsidrant"/>
        <w:rPr>
          <w:noProof/>
        </w:rPr>
      </w:pPr>
      <w:r w:rsidRPr="00E5346F">
        <w:rPr>
          <w:noProof/>
        </w:rPr>
        <w:t>(9)</w:t>
      </w:r>
      <w:r w:rsidRPr="00E5346F">
        <w:rPr>
          <w:noProof/>
        </w:rPr>
        <w:tab/>
      </w:r>
      <w:r w:rsidR="003B410C" w:rsidRPr="005456C3">
        <w:rPr>
          <w:noProof/>
        </w:rPr>
        <w:t>Vzhledem k rozsahu změn prováděcího nařízení (EU) 2018/1624 je vhodné z důvodu právní jistoty a jasnosti přijmout nové prováděcí nařízení, a tedy zrušit a nahradit prováděcí nařízení (EU) 2018/1624.</w:t>
      </w:r>
    </w:p>
    <w:p w:rsidR="003B410C" w:rsidRPr="005456C3" w:rsidRDefault="00E5346F" w:rsidP="00E5346F">
      <w:pPr>
        <w:pStyle w:val="ManualConsidrant"/>
        <w:rPr>
          <w:noProof/>
        </w:rPr>
      </w:pPr>
      <w:r w:rsidRPr="00E5346F">
        <w:rPr>
          <w:noProof/>
        </w:rPr>
        <w:t>(10)</w:t>
      </w:r>
      <w:r w:rsidRPr="00E5346F">
        <w:rPr>
          <w:noProof/>
        </w:rPr>
        <w:tab/>
      </w:r>
      <w:r w:rsidR="003B410C" w:rsidRPr="005456C3">
        <w:rPr>
          <w:noProof/>
        </w:rPr>
        <w:t>Toto nařízení vychází z prováděcích technických norem, které Komisi předložil EBA.</w:t>
      </w:r>
    </w:p>
    <w:p w:rsidR="00860655" w:rsidRPr="005456C3" w:rsidRDefault="00E5346F" w:rsidP="00E5346F">
      <w:pPr>
        <w:pStyle w:val="ManualConsidrant"/>
        <w:rPr>
          <w:noProof/>
        </w:rPr>
      </w:pPr>
      <w:r w:rsidRPr="00E5346F">
        <w:rPr>
          <w:noProof/>
        </w:rPr>
        <w:t>(11)</w:t>
      </w:r>
      <w:r w:rsidRPr="00E5346F">
        <w:rPr>
          <w:noProof/>
        </w:rPr>
        <w:tab/>
      </w:r>
      <w:r w:rsidR="003B410C" w:rsidRPr="005456C3">
        <w:rPr>
          <w:noProof/>
        </w:rPr>
        <w:t>EBA uskutečnil k prováděcím technickým normám, z nichž toto nařízení vychází, otevřené veřejné konzultace, analyzoval potenciální související náklady a přínosy a požádal o stanovisko skupinu subjektů působících v bankovnictví zřízenou v souladu s článkem 37 nařízení Evropského parlamentu a Rady (EU) č. 1093/2010</w:t>
      </w:r>
      <w:r w:rsidR="003B410C" w:rsidRPr="005456C3">
        <w:rPr>
          <w:rStyle w:val="FootnoteReference"/>
          <w:noProof/>
        </w:rPr>
        <w:footnoteReference w:id="5"/>
      </w:r>
      <w:r w:rsidR="003B410C" w:rsidRPr="005456C3">
        <w:rPr>
          <w:noProof/>
        </w:rPr>
        <w:t>,</w:t>
      </w:r>
    </w:p>
    <w:p w:rsidR="00860655" w:rsidRPr="005456C3" w:rsidRDefault="00860655" w:rsidP="00184085">
      <w:pPr>
        <w:pStyle w:val="Formuledadoption"/>
        <w:rPr>
          <w:noProof/>
        </w:rPr>
      </w:pPr>
      <w:r w:rsidRPr="005456C3">
        <w:rPr>
          <w:noProof/>
        </w:rPr>
        <w:t>PŘIJALA TOTO NAŘÍZENÍ:</w:t>
      </w:r>
    </w:p>
    <w:p w:rsidR="00860655" w:rsidRPr="005456C3" w:rsidRDefault="00860655" w:rsidP="00184085">
      <w:pPr>
        <w:pStyle w:val="Titrearticle"/>
        <w:rPr>
          <w:noProof/>
        </w:rPr>
      </w:pPr>
      <w:r w:rsidRPr="005456C3">
        <w:rPr>
          <w:noProof/>
        </w:rPr>
        <w:t>Článek 1</w:t>
      </w:r>
    </w:p>
    <w:p w:rsidR="00860655" w:rsidRPr="005456C3" w:rsidRDefault="003B410C" w:rsidP="00184085">
      <w:pPr>
        <w:pStyle w:val="Titrearticle"/>
        <w:rPr>
          <w:noProof/>
        </w:rPr>
      </w:pPr>
      <w:r w:rsidRPr="005456C3">
        <w:rPr>
          <w:b/>
          <w:i w:val="0"/>
          <w:noProof/>
        </w:rPr>
        <w:t>Definice</w:t>
      </w:r>
    </w:p>
    <w:p w:rsidR="003B410C" w:rsidRPr="005456C3" w:rsidRDefault="003B410C" w:rsidP="00184085">
      <w:pPr>
        <w:rPr>
          <w:noProof/>
        </w:rPr>
      </w:pPr>
      <w:r w:rsidRPr="005456C3">
        <w:rPr>
          <w:noProof/>
        </w:rPr>
        <w:t>Pro účely tohoto nařízení se „</w:t>
      </w:r>
      <w:r w:rsidR="00382C60">
        <w:rPr>
          <w:noProof/>
        </w:rPr>
        <w:t>relevantním</w:t>
      </w:r>
      <w:r w:rsidRPr="005456C3">
        <w:rPr>
          <w:noProof/>
        </w:rPr>
        <w:t xml:space="preserve"> právním subjektem“ rozumí subjekt skupiny ve smyslu čl. 2 odst. 1 bodu 31 směrnice 2014/59/EU, který není subjektem řešícím krizi a je usazen v Unii a splňuje některou z těchto podmínek:</w:t>
      </w:r>
    </w:p>
    <w:p w:rsidR="003B410C" w:rsidRPr="005456C3" w:rsidRDefault="00E05F0D" w:rsidP="00E05F0D">
      <w:pPr>
        <w:pStyle w:val="Point0"/>
        <w:rPr>
          <w:noProof/>
        </w:rPr>
      </w:pPr>
      <w:r>
        <w:rPr>
          <w:noProof/>
        </w:rPr>
        <w:t>a)</w:t>
      </w:r>
      <w:r>
        <w:rPr>
          <w:noProof/>
        </w:rPr>
        <w:tab/>
      </w:r>
      <w:r w:rsidR="003B410C" w:rsidRPr="005456C3">
        <w:rPr>
          <w:noProof/>
        </w:rPr>
        <w:t>zajišťuje zásadní funkce;</w:t>
      </w:r>
    </w:p>
    <w:p w:rsidR="003B410C" w:rsidRPr="005456C3" w:rsidRDefault="00E05F0D" w:rsidP="00E05F0D">
      <w:pPr>
        <w:pStyle w:val="Point0"/>
        <w:rPr>
          <w:noProof/>
        </w:rPr>
      </w:pPr>
      <w:r>
        <w:rPr>
          <w:noProof/>
        </w:rPr>
        <w:t>b)</w:t>
      </w:r>
      <w:r>
        <w:rPr>
          <w:noProof/>
        </w:rPr>
        <w:tab/>
      </w:r>
      <w:r w:rsidR="003B410C" w:rsidRPr="005456C3">
        <w:rPr>
          <w:noProof/>
        </w:rPr>
        <w:t>jeho individuální celkový objem rizikové expozice vypočtený v souladu s čl. 92 odst. 3 nařízení Evropského parlamentu a Rady (EU) č. 575/2013</w:t>
      </w:r>
      <w:r w:rsidR="003B410C" w:rsidRPr="005456C3">
        <w:rPr>
          <w:rStyle w:val="FootnoteReference"/>
          <w:noProof/>
        </w:rPr>
        <w:footnoteReference w:id="6"/>
      </w:r>
      <w:r w:rsidR="003B410C" w:rsidRPr="005456C3">
        <w:rPr>
          <w:noProof/>
        </w:rPr>
        <w:t xml:space="preserve"> činí nejméně 2 % konsolidovaného celkového objemu rizikové expozice mateřského podniku v Unii;</w:t>
      </w:r>
    </w:p>
    <w:p w:rsidR="003B410C" w:rsidRPr="005456C3" w:rsidRDefault="00E05F0D" w:rsidP="00E05F0D">
      <w:pPr>
        <w:pStyle w:val="Point0"/>
        <w:rPr>
          <w:noProof/>
        </w:rPr>
      </w:pPr>
      <w:r>
        <w:rPr>
          <w:noProof/>
        </w:rPr>
        <w:t>c)</w:t>
      </w:r>
      <w:r>
        <w:rPr>
          <w:noProof/>
        </w:rPr>
        <w:tab/>
      </w:r>
      <w:r w:rsidR="003B410C" w:rsidRPr="005456C3">
        <w:rPr>
          <w:noProof/>
        </w:rPr>
        <w:t>jeho individuální celková míra expozic uvedená v čl. 429 odst. 4 nařízení (EU) č. 575/2013 činí nejméně 2 % konsolidované celkové míry expozic mateřského podniku v Unii;</w:t>
      </w:r>
    </w:p>
    <w:p w:rsidR="003B410C" w:rsidRPr="005456C3" w:rsidRDefault="00E05F0D" w:rsidP="00E05F0D">
      <w:pPr>
        <w:pStyle w:val="Point0"/>
        <w:rPr>
          <w:noProof/>
        </w:rPr>
      </w:pPr>
      <w:r>
        <w:rPr>
          <w:noProof/>
        </w:rPr>
        <w:t>d)</w:t>
      </w:r>
      <w:r>
        <w:rPr>
          <w:noProof/>
        </w:rPr>
        <w:tab/>
      </w:r>
      <w:r w:rsidR="003B410C" w:rsidRPr="005456C3">
        <w:rPr>
          <w:noProof/>
        </w:rPr>
        <w:t>jeho individuální provozní zisk činí nejméně 2 % konsolidovaného celkového provozního zisku skupiny vypočteného na úrovni mateřského podniku v Unii;</w:t>
      </w:r>
    </w:p>
    <w:p w:rsidR="003B410C" w:rsidRPr="005456C3" w:rsidRDefault="00E05F0D" w:rsidP="00E05F0D">
      <w:pPr>
        <w:pStyle w:val="Point0"/>
        <w:rPr>
          <w:noProof/>
        </w:rPr>
      </w:pPr>
      <w:r>
        <w:rPr>
          <w:noProof/>
        </w:rPr>
        <w:t>e)</w:t>
      </w:r>
      <w:r>
        <w:rPr>
          <w:noProof/>
        </w:rPr>
        <w:tab/>
      </w:r>
      <w:r w:rsidR="003B410C" w:rsidRPr="005456C3">
        <w:rPr>
          <w:noProof/>
        </w:rPr>
        <w:t>jeho individuální celková aktiva přesahují 5 miliard EUR;</w:t>
      </w:r>
    </w:p>
    <w:p w:rsidR="008F1E98" w:rsidRPr="005456C3" w:rsidRDefault="00E05F0D" w:rsidP="00E05F0D">
      <w:pPr>
        <w:pStyle w:val="Point0"/>
        <w:rPr>
          <w:noProof/>
        </w:rPr>
      </w:pPr>
      <w:r>
        <w:rPr>
          <w:noProof/>
        </w:rPr>
        <w:t>f)</w:t>
      </w:r>
      <w:r>
        <w:rPr>
          <w:noProof/>
        </w:rPr>
        <w:tab/>
      </w:r>
      <w:r w:rsidR="003B410C" w:rsidRPr="005456C3">
        <w:rPr>
          <w:noProof/>
        </w:rPr>
        <w:t>je důležitý pro finanční stabilitu alespoň v jednom členském státě.</w:t>
      </w:r>
    </w:p>
    <w:p w:rsidR="00A803C4" w:rsidRPr="005456C3" w:rsidRDefault="008F1E98" w:rsidP="00184085">
      <w:pPr>
        <w:pStyle w:val="Text1"/>
        <w:rPr>
          <w:noProof/>
        </w:rPr>
      </w:pPr>
      <w:r w:rsidRPr="005456C3">
        <w:rPr>
          <w:noProof/>
        </w:rPr>
        <w:t>Pro účely písmene b) se v případě skupiny tvořené více než jedním subjektem řešícím krizi subjekt považuje za relevantní právní subjekt, pokud jeho individuální celkový objem rizikové expozice činí nejméně 2 % celkového objemu rizikové expozice subjektu řešícího krizi na konsolidované úrovni skupiny řešící krizi.</w:t>
      </w:r>
    </w:p>
    <w:p w:rsidR="008F1E98" w:rsidRPr="005456C3" w:rsidRDefault="008F1E98" w:rsidP="00184085">
      <w:pPr>
        <w:pStyle w:val="Text1"/>
        <w:rPr>
          <w:noProof/>
        </w:rPr>
      </w:pPr>
      <w:r w:rsidRPr="005456C3">
        <w:rPr>
          <w:noProof/>
        </w:rPr>
        <w:t>Pro účely písmene c) se v případě skupiny tvořené více než jedním subjektem řešícím krizi subjekt považuje za relevantní právní subjekt, pokud jeho individuální celková míra expozic činí nejméně 2 % celkové míry expozic subjektu řešícího krizi na konsolidované úrovni skupiny řešící krizi.</w:t>
      </w:r>
    </w:p>
    <w:p w:rsidR="003B410C" w:rsidRPr="005456C3" w:rsidRDefault="003B410C" w:rsidP="00184085">
      <w:pPr>
        <w:pStyle w:val="Titrearticle"/>
        <w:rPr>
          <w:noProof/>
        </w:rPr>
      </w:pPr>
      <w:r w:rsidRPr="005456C3">
        <w:rPr>
          <w:noProof/>
        </w:rPr>
        <w:t>Č</w:t>
      </w:r>
      <w:bookmarkStart w:id="1" w:name="_Hlk168321151"/>
      <w:r w:rsidRPr="005456C3">
        <w:rPr>
          <w:noProof/>
        </w:rPr>
        <w:t>lánek 2</w:t>
      </w:r>
    </w:p>
    <w:p w:rsidR="003B410C" w:rsidRPr="005456C3" w:rsidRDefault="003B410C" w:rsidP="00184085">
      <w:pPr>
        <w:pStyle w:val="Titrearticle"/>
        <w:spacing w:before="0"/>
        <w:rPr>
          <w:b/>
          <w:bCs/>
          <w:i w:val="0"/>
          <w:iCs/>
          <w:noProof/>
        </w:rPr>
      </w:pPr>
      <w:r w:rsidRPr="005456C3">
        <w:rPr>
          <w:b/>
          <w:i w:val="0"/>
          <w:noProof/>
        </w:rPr>
        <w:t>Vykazování v souvislosti s řešením krize institucemi, které nejsou součástí skupiny podléhající dohledu na konsolidovaném základě podle článků 111 a 112 směrnice 2013/36/EU</w:t>
      </w:r>
      <w:bookmarkEnd w:id="1"/>
    </w:p>
    <w:p w:rsidR="003B410C" w:rsidRPr="005456C3" w:rsidRDefault="00E5346F" w:rsidP="00E5346F">
      <w:pPr>
        <w:pStyle w:val="ManualNumPar1"/>
        <w:rPr>
          <w:noProof/>
        </w:rPr>
      </w:pPr>
      <w:r w:rsidRPr="00E5346F">
        <w:rPr>
          <w:noProof/>
        </w:rPr>
        <w:t>1.</w:t>
      </w:r>
      <w:r w:rsidRPr="00E5346F">
        <w:rPr>
          <w:noProof/>
        </w:rPr>
        <w:tab/>
      </w:r>
      <w:r w:rsidR="005E4DBA" w:rsidRPr="005456C3">
        <w:rPr>
          <w:noProof/>
        </w:rPr>
        <w:t>Subjekty řešící krizi, které nejsou součástí skupiny podléhající dohledu na konsolidovaném základě podle článků 111 a 112 směrnice Evropského parlamentu a Rady 2013/36/EU</w:t>
      </w:r>
      <w:r w:rsidR="005E4DBA" w:rsidRPr="005456C3">
        <w:rPr>
          <w:rStyle w:val="FootnoteReference"/>
          <w:noProof/>
        </w:rPr>
        <w:footnoteReference w:id="7"/>
      </w:r>
      <w:r w:rsidR="005E4DBA" w:rsidRPr="005456C3">
        <w:rPr>
          <w:noProof/>
        </w:rPr>
        <w:t>, předloží orgánu příslušnému k řešení krize na individuálním základě informace uvedené ve všech vzorech stanovených v příloze I tohoto nařízení, s výjimkou informací uvedených ve vzorech Z 01.01, Z 04.00, Z 07.02, Z 07.03 a Z 11.00.</w:t>
      </w:r>
    </w:p>
    <w:p w:rsidR="003B410C" w:rsidRPr="005456C3" w:rsidRDefault="00E5346F" w:rsidP="00E5346F">
      <w:pPr>
        <w:pStyle w:val="ManualNumPar1"/>
        <w:rPr>
          <w:noProof/>
        </w:rPr>
      </w:pPr>
      <w:r w:rsidRPr="00E5346F">
        <w:rPr>
          <w:noProof/>
        </w:rPr>
        <w:t>2.</w:t>
      </w:r>
      <w:r w:rsidRPr="00E5346F">
        <w:rPr>
          <w:noProof/>
        </w:rPr>
        <w:tab/>
      </w:r>
      <w:r w:rsidR="0017578A" w:rsidRPr="005456C3">
        <w:rPr>
          <w:noProof/>
        </w:rPr>
        <w:t>Subjekty v likvidaci, které nepodléhají zjednodušeným povinnostem, nejsou součástí skupiny podléhající dohledu na konsolidovaném základě podle článků 111 a 112 směrnice 2013/36/EU a orgán příslušný k řešení krize u nich neurčil požadavek uvedený v čl. 45 odst. 1 směrnice 2014/59/EU v souladu s čl. 45c odst. 2a druhým pododstavcem uvedené směrnice, předloží orgánu příslušnému k řešení krize na individuálním základě informace uvedené ve vzorech Z 01.02, Z 02.00, Z 05.01, Z 05.02, Z 06.00, Z 07.01.1 až Z 07.01.5, Z 07.04 a Z 09.01 stanovených v příloze I tohoto nařízení.</w:t>
      </w:r>
    </w:p>
    <w:p w:rsidR="003B410C" w:rsidRPr="005456C3" w:rsidRDefault="00E5346F" w:rsidP="00E5346F">
      <w:pPr>
        <w:pStyle w:val="ManualNumPar1"/>
        <w:rPr>
          <w:noProof/>
        </w:rPr>
      </w:pPr>
      <w:r w:rsidRPr="00E5346F">
        <w:rPr>
          <w:noProof/>
        </w:rPr>
        <w:t>3.</w:t>
      </w:r>
      <w:r w:rsidRPr="00E5346F">
        <w:rPr>
          <w:noProof/>
        </w:rPr>
        <w:tab/>
      </w:r>
      <w:r w:rsidR="00436F80" w:rsidRPr="005456C3">
        <w:rPr>
          <w:noProof/>
        </w:rPr>
        <w:t>Subjekty v likvidaci, které nepodléhají zjednodušeným povinnostem, nejsou součástí skupiny podléhající dohledu na konsolidovaném základě podle článků 111 a 112 směrnice 2013/36/EU a orgán příslušný k řešení krize u nich určil požadavek uvedený v čl. 45 odst. 1 směrnice 2014/59/EU v souladu s čl. 45c odst. 2a druhým pododstavcem uvedené směrnice, předloží orgánu příslušnému k řešení krize na individuálním základě informace uvedené ve vzorech Z 01.02, Z 02.00, Z 03.01, Z 03.02, Z 05.01, Z 05.02, Z 06.00, Z 07.01.1 až Z 07.01.5, Z 07.04 a Z 09.01 stanovených v příloze I tohoto nařízení.</w:t>
      </w:r>
    </w:p>
    <w:p w:rsidR="003B410C" w:rsidRPr="005456C3" w:rsidRDefault="003B410C" w:rsidP="00184085">
      <w:pPr>
        <w:pStyle w:val="Titrearticle"/>
        <w:rPr>
          <w:noProof/>
        </w:rPr>
      </w:pPr>
      <w:r w:rsidRPr="005456C3">
        <w:rPr>
          <w:noProof/>
        </w:rPr>
        <w:t>Článek 3</w:t>
      </w:r>
    </w:p>
    <w:p w:rsidR="003B410C" w:rsidRPr="005456C3" w:rsidRDefault="003B410C" w:rsidP="00184085">
      <w:pPr>
        <w:pStyle w:val="Titrearticle"/>
        <w:spacing w:before="0"/>
        <w:rPr>
          <w:b/>
          <w:bCs/>
          <w:i w:val="0"/>
          <w:iCs/>
          <w:noProof/>
        </w:rPr>
      </w:pPr>
      <w:r w:rsidRPr="005456C3">
        <w:rPr>
          <w:b/>
          <w:i w:val="0"/>
          <w:noProof/>
        </w:rPr>
        <w:t>Vykazování v souvislosti s řešením krize na úrovni skupiny – skupiny řešící krizi</w:t>
      </w:r>
    </w:p>
    <w:p w:rsidR="003B410C" w:rsidRPr="005456C3" w:rsidRDefault="00E5346F" w:rsidP="00E5346F">
      <w:pPr>
        <w:pStyle w:val="ManualNumPar1"/>
        <w:rPr>
          <w:noProof/>
        </w:rPr>
      </w:pPr>
      <w:r w:rsidRPr="00E5346F">
        <w:rPr>
          <w:noProof/>
        </w:rPr>
        <w:t>1.</w:t>
      </w:r>
      <w:r w:rsidRPr="00E5346F">
        <w:rPr>
          <w:noProof/>
        </w:rPr>
        <w:tab/>
      </w:r>
      <w:r w:rsidR="00873C72" w:rsidRPr="005456C3">
        <w:rPr>
          <w:noProof/>
        </w:rPr>
        <w:t>Mateřský podnik v Unii předloží orgánu příslušnému k řešení krize na úrovni skupiny informace uvedené ve vzorech Z 01.01, Z 01.02 a Z 08.01 až Z 09.04 stanovených v příloze I ve vztahu ke všem subjektům skupiny.</w:t>
      </w:r>
    </w:p>
    <w:p w:rsidR="003B410C" w:rsidRPr="005456C3" w:rsidRDefault="00E5346F" w:rsidP="00E5346F">
      <w:pPr>
        <w:pStyle w:val="ManualNumPar1"/>
        <w:rPr>
          <w:noProof/>
        </w:rPr>
      </w:pPr>
      <w:r w:rsidRPr="00E5346F">
        <w:rPr>
          <w:noProof/>
        </w:rPr>
        <w:t>2.</w:t>
      </w:r>
      <w:r w:rsidRPr="00E5346F">
        <w:rPr>
          <w:noProof/>
        </w:rPr>
        <w:tab/>
      </w:r>
      <w:r w:rsidR="00873C72" w:rsidRPr="005456C3">
        <w:rPr>
          <w:noProof/>
        </w:rPr>
        <w:t>Mateřský podnik v Unii předloží orgánu příslušnému k řešení krize na úrovni skupiny informace o finančním propojení mezi všemi subjekty skupiny, jak je uvedeno ve vzoru Z 04.00 stanoveném v příloze I.</w:t>
      </w:r>
    </w:p>
    <w:p w:rsidR="003B410C" w:rsidRPr="005456C3" w:rsidRDefault="00E5346F" w:rsidP="00E5346F">
      <w:pPr>
        <w:pStyle w:val="ManualNumPar1"/>
        <w:rPr>
          <w:noProof/>
        </w:rPr>
      </w:pPr>
      <w:r w:rsidRPr="00E5346F">
        <w:rPr>
          <w:noProof/>
        </w:rPr>
        <w:t>3.</w:t>
      </w:r>
      <w:r w:rsidRPr="00E5346F">
        <w:rPr>
          <w:noProof/>
        </w:rPr>
        <w:tab/>
      </w:r>
      <w:r w:rsidR="001744A5" w:rsidRPr="005456C3">
        <w:rPr>
          <w:noProof/>
        </w:rPr>
        <w:t>Mateřský podnik v Unii předloží orgánu příslušnému k řešení krize na úrovni skupiny informace uvedené ve vzoru Z 02.00 stanoveném v příloze I takto:</w:t>
      </w:r>
    </w:p>
    <w:p w:rsidR="003B410C" w:rsidRPr="005456C3" w:rsidRDefault="00E05F0D" w:rsidP="00E05F0D">
      <w:pPr>
        <w:pStyle w:val="Point1"/>
        <w:rPr>
          <w:noProof/>
        </w:rPr>
      </w:pPr>
      <w:r>
        <w:rPr>
          <w:noProof/>
        </w:rPr>
        <w:t>a)</w:t>
      </w:r>
      <w:r>
        <w:rPr>
          <w:noProof/>
        </w:rPr>
        <w:tab/>
      </w:r>
      <w:r w:rsidR="003B410C" w:rsidRPr="005456C3">
        <w:rPr>
          <w:noProof/>
        </w:rPr>
        <w:t>na individuálním základě pro všechny subjekty skupiny řešící krizi, včetně mateřského podniku v Unii, a pro všechny relevantní právní subjekty, které jsou institucemi;</w:t>
      </w:r>
    </w:p>
    <w:p w:rsidR="003B410C" w:rsidRPr="005456C3" w:rsidRDefault="00E05F0D" w:rsidP="00E05F0D">
      <w:pPr>
        <w:pStyle w:val="Point1"/>
        <w:rPr>
          <w:noProof/>
        </w:rPr>
      </w:pPr>
      <w:r>
        <w:rPr>
          <w:noProof/>
        </w:rPr>
        <w:t>b)</w:t>
      </w:r>
      <w:r>
        <w:rPr>
          <w:noProof/>
        </w:rPr>
        <w:tab/>
      </w:r>
      <w:r w:rsidR="003B410C" w:rsidRPr="005456C3">
        <w:rPr>
          <w:noProof/>
        </w:rPr>
        <w:t>na konsolidovaném základě nebo v příslušných případech na subkonsolidovaném základě pro všechny subjekty skupiny řešící krizi, včetně mateřského podniku v Unii, a pro všechny relevantní právní subjekty, u nichž orgán příslušný k řešení krize určil požadavek uvedený v čl. 45 odst. 1 směrnice 2014/59/EU na konsolidovaném nebo subkonsolidovaném základě, bez ohledu na to, zda se na tyto subjekty vztahuje část první hlava II kapitola 2 nařízení (EU) č. 575/2013.</w:t>
      </w:r>
    </w:p>
    <w:p w:rsidR="003B410C" w:rsidRPr="005456C3" w:rsidRDefault="00E5346F" w:rsidP="00E5346F">
      <w:pPr>
        <w:pStyle w:val="ManualNumPar1"/>
        <w:rPr>
          <w:noProof/>
        </w:rPr>
      </w:pPr>
      <w:r w:rsidRPr="00E5346F">
        <w:rPr>
          <w:noProof/>
        </w:rPr>
        <w:t>4.</w:t>
      </w:r>
      <w:r w:rsidRPr="00E5346F">
        <w:rPr>
          <w:noProof/>
        </w:rPr>
        <w:tab/>
      </w:r>
      <w:r w:rsidR="00207905" w:rsidRPr="005456C3">
        <w:rPr>
          <w:noProof/>
        </w:rPr>
        <w:t>Mateřský podnik v Unii předloží orgánu příslušnému k řešení krize na úrovni skupiny informace uvedené ve vzorech Z 03.01 nebo Z 03.02 stanovených v příloze I takto:</w:t>
      </w:r>
    </w:p>
    <w:p w:rsidR="003B410C" w:rsidRPr="005456C3" w:rsidRDefault="00E05F0D" w:rsidP="00E05F0D">
      <w:pPr>
        <w:pStyle w:val="Point1"/>
        <w:rPr>
          <w:noProof/>
        </w:rPr>
      </w:pPr>
      <w:r>
        <w:rPr>
          <w:noProof/>
        </w:rPr>
        <w:t>a)</w:t>
      </w:r>
      <w:r>
        <w:rPr>
          <w:noProof/>
        </w:rPr>
        <w:tab/>
      </w:r>
      <w:r w:rsidR="003B410C" w:rsidRPr="005456C3">
        <w:rPr>
          <w:noProof/>
        </w:rPr>
        <w:t>na individuálním základě pro všechny subjekty skupiny řešící krizi, včetně mateřského podniku v Unii, a pro všechny relevantní právní subjekty, které jsou institucemi, u nichž orgán příslušný k řešení krize určil požadavek uvedený v čl. 45 odst. 1 směrnice 2014/59/EU;</w:t>
      </w:r>
    </w:p>
    <w:p w:rsidR="003B410C" w:rsidRPr="005456C3" w:rsidRDefault="00E05F0D" w:rsidP="00E05F0D">
      <w:pPr>
        <w:pStyle w:val="Point1"/>
        <w:rPr>
          <w:noProof/>
        </w:rPr>
      </w:pPr>
      <w:r>
        <w:rPr>
          <w:noProof/>
        </w:rPr>
        <w:t>b)</w:t>
      </w:r>
      <w:r>
        <w:rPr>
          <w:noProof/>
        </w:rPr>
        <w:tab/>
      </w:r>
      <w:r w:rsidR="003B410C" w:rsidRPr="005456C3">
        <w:rPr>
          <w:noProof/>
        </w:rPr>
        <w:t>na konsolidovaném základě nebo na subkonsolidovaném základě pro všechny subjekty skupiny řešící krizi, včetně mateřského podniku v Unii, a pro všechny relevantní právní subjekty, které jsou institucemi, u nichž orgán příslušný k řešení krize určil požadavek uvedený v čl. 45 odst. 1 směrnice 2014/59/EU, bez ohledu na to, zda se na tyto subjekty vztahuje část první hlava II kapitola 2 nařízení (EU) č. 575/2013.</w:t>
      </w:r>
    </w:p>
    <w:p w:rsidR="003B410C" w:rsidRPr="005456C3" w:rsidRDefault="00E5346F" w:rsidP="00E5346F">
      <w:pPr>
        <w:pStyle w:val="ManualNumPar1"/>
        <w:rPr>
          <w:noProof/>
        </w:rPr>
      </w:pPr>
      <w:r w:rsidRPr="00E5346F">
        <w:rPr>
          <w:noProof/>
        </w:rPr>
        <w:t>5.</w:t>
      </w:r>
      <w:r w:rsidRPr="00E5346F">
        <w:rPr>
          <w:noProof/>
        </w:rPr>
        <w:tab/>
      </w:r>
      <w:r w:rsidR="006E7726" w:rsidRPr="005456C3">
        <w:rPr>
          <w:noProof/>
        </w:rPr>
        <w:t>Mateřský podnik v Unii předloží orgánu příslušnému k řešení krize na úrovni skupiny informace uvedené ve vzorech Z 07.01.1, Z 07.01.2, Z 07.01.3, Z 07.01.4 a Z 07.01.5 stanovených v příloze I na úrovni každého členského státu, v němž skupina působí.</w:t>
      </w:r>
    </w:p>
    <w:p w:rsidR="003B410C" w:rsidRPr="005456C3" w:rsidRDefault="00E5346F" w:rsidP="00E5346F">
      <w:pPr>
        <w:pStyle w:val="ManualNumPar1"/>
        <w:rPr>
          <w:noProof/>
        </w:rPr>
      </w:pPr>
      <w:r w:rsidRPr="00E5346F">
        <w:rPr>
          <w:noProof/>
        </w:rPr>
        <w:t>6.</w:t>
      </w:r>
      <w:r w:rsidRPr="00E5346F">
        <w:rPr>
          <w:noProof/>
        </w:rPr>
        <w:tab/>
      </w:r>
      <w:r w:rsidR="006E7726" w:rsidRPr="005456C3">
        <w:rPr>
          <w:noProof/>
        </w:rPr>
        <w:t>Mateřský podnik v Unii předloží orgánu příslušnému k řešení krize na úrovni skupiny informace uvedené ve vzorech Z 07.02, Z 07.03 a Z 07.04 stanovených v příloze I v souvislosti se zásadními funkcemi a hlavními liniemi podnikání zajišťovanými jakýmkoli subjektem skupiny.</w:t>
      </w:r>
    </w:p>
    <w:p w:rsidR="003B410C" w:rsidRPr="005456C3" w:rsidRDefault="00E5346F" w:rsidP="00E5346F">
      <w:pPr>
        <w:pStyle w:val="ManualNumPar1"/>
        <w:rPr>
          <w:noProof/>
        </w:rPr>
      </w:pPr>
      <w:r w:rsidRPr="00E5346F">
        <w:rPr>
          <w:noProof/>
        </w:rPr>
        <w:t>7.</w:t>
      </w:r>
      <w:r w:rsidRPr="00E5346F">
        <w:rPr>
          <w:noProof/>
        </w:rPr>
        <w:tab/>
      </w:r>
      <w:r w:rsidR="006E7726" w:rsidRPr="005456C3">
        <w:rPr>
          <w:noProof/>
        </w:rPr>
        <w:t>Mateřský podnik v Unii předloží na individuálním základě orgánu příslušnému k řešení krize na úrovni skupiny informace uvedené ve vzorech Z 05.01, Z 05.02, Z 06.00, Z 07.01.1 až Z 07.01.5, Z 07.04 a Z 11.00 až Z 17.00 stanovených v příloze I pro všechny subjekty skupiny řešící krizi, včetně mateřského podniku v Unii.</w:t>
      </w:r>
    </w:p>
    <w:p w:rsidR="003B410C" w:rsidRPr="005456C3" w:rsidRDefault="00E5346F" w:rsidP="00E5346F">
      <w:pPr>
        <w:pStyle w:val="ManualNumPar1"/>
        <w:rPr>
          <w:noProof/>
        </w:rPr>
      </w:pPr>
      <w:r w:rsidRPr="00E5346F">
        <w:rPr>
          <w:noProof/>
        </w:rPr>
        <w:t>8.</w:t>
      </w:r>
      <w:r w:rsidRPr="00E5346F">
        <w:rPr>
          <w:noProof/>
        </w:rPr>
        <w:tab/>
      </w:r>
      <w:r w:rsidR="003B410C" w:rsidRPr="005456C3">
        <w:rPr>
          <w:noProof/>
        </w:rPr>
        <w:t>Mateřský podnik v Unii předloží na individuálním základě orgánu příslušnému k řešení krize na úrovni skupiny informace uvedené ve vzorech Z 05.01, Z 05.02, Z 06.00, Z 07.01.1 až Z 07.01.5 a Z 07.04 stanovených v příloze I pro všechny relevantní právní subjekty, které jsou institucemi.</w:t>
      </w:r>
    </w:p>
    <w:p w:rsidR="003B410C" w:rsidRPr="005456C3" w:rsidRDefault="00E5346F" w:rsidP="00E5346F">
      <w:pPr>
        <w:pStyle w:val="ManualNumPar1"/>
        <w:rPr>
          <w:noProof/>
        </w:rPr>
      </w:pPr>
      <w:r w:rsidRPr="00E5346F">
        <w:rPr>
          <w:noProof/>
        </w:rPr>
        <w:t>9.</w:t>
      </w:r>
      <w:r w:rsidRPr="00E5346F">
        <w:rPr>
          <w:noProof/>
        </w:rPr>
        <w:tab/>
      </w:r>
      <w:r w:rsidR="003B410C" w:rsidRPr="005456C3">
        <w:rPr>
          <w:noProof/>
        </w:rPr>
        <w:t>Odstavec 2, odst. 3 písm. a) a odstavce 4, 5 a 6 tohoto článku se použijí bez ohledu na jakoukoli výjimku z uplatňování obezřetnostních požadavků v souladu s čl. 7 odst. 1 nebo 3 nařízení (EU) č. 575/2013 nebo článkem 8 nařízení Evropského parlamentu a Rady (EU</w:t>
      </w:r>
      <w:r w:rsidR="003B410C" w:rsidRPr="005456C3">
        <w:rPr>
          <w:noProof/>
          <w:shd w:val="clear" w:color="auto" w:fill="FFFFFF" w:themeFill="background1"/>
        </w:rPr>
        <w:t>) 2019/2033</w:t>
      </w:r>
      <w:r w:rsidR="003B410C" w:rsidRPr="005456C3">
        <w:rPr>
          <w:rStyle w:val="FootnoteReference"/>
          <w:noProof/>
          <w:shd w:val="clear" w:color="auto" w:fill="FFFFFF" w:themeFill="background1"/>
        </w:rPr>
        <w:footnoteReference w:id="8"/>
      </w:r>
      <w:r w:rsidR="003B410C" w:rsidRPr="005456C3">
        <w:rPr>
          <w:noProof/>
          <w:shd w:val="clear" w:color="auto" w:fill="FFFFFF" w:themeFill="background1"/>
        </w:rPr>
        <w:t xml:space="preserve"> nebo jakékoli upuštění od uplatnění</w:t>
      </w:r>
      <w:r w:rsidR="003B410C" w:rsidRPr="005456C3">
        <w:rPr>
          <w:noProof/>
        </w:rPr>
        <w:t xml:space="preserve"> minimálního požadavku na kapitál a způsobilé závazky v souladu s článkem 45f směrnice 2014/59/EU.</w:t>
      </w:r>
    </w:p>
    <w:p w:rsidR="003B410C" w:rsidRPr="005456C3" w:rsidRDefault="003B410C" w:rsidP="00184085">
      <w:pPr>
        <w:pStyle w:val="Titrearticle"/>
        <w:rPr>
          <w:noProof/>
        </w:rPr>
      </w:pPr>
      <w:r w:rsidRPr="005456C3">
        <w:rPr>
          <w:noProof/>
        </w:rPr>
        <w:t>Článek 4</w:t>
      </w:r>
    </w:p>
    <w:p w:rsidR="003B410C" w:rsidRPr="005456C3" w:rsidRDefault="003B410C" w:rsidP="00184085">
      <w:pPr>
        <w:pStyle w:val="Titrearticle"/>
        <w:spacing w:before="0"/>
        <w:rPr>
          <w:b/>
          <w:bCs/>
          <w:i w:val="0"/>
          <w:iCs/>
          <w:noProof/>
        </w:rPr>
      </w:pPr>
      <w:r w:rsidRPr="005456C3">
        <w:rPr>
          <w:b/>
          <w:i w:val="0"/>
          <w:noProof/>
        </w:rPr>
        <w:t>Vykazování v souvislosti s řešením krize na úrovni skupiny – skupiny zahrnující pouze subjekty v likvidaci</w:t>
      </w:r>
    </w:p>
    <w:p w:rsidR="003B410C" w:rsidRPr="005456C3" w:rsidRDefault="00F95432" w:rsidP="00184085">
      <w:pPr>
        <w:rPr>
          <w:noProof/>
        </w:rPr>
      </w:pPr>
      <w:r w:rsidRPr="005456C3">
        <w:rPr>
          <w:noProof/>
        </w:rPr>
        <w:t>Mateřský podnik v Unii skupiny zahrnující pouze subjekty v likvidaci, které nepodléhají zjednodušeným povinnostem, předloží orgánu příslušnému k řešení krize na úrovni skupiny:</w:t>
      </w:r>
    </w:p>
    <w:p w:rsidR="003B410C" w:rsidRPr="005456C3" w:rsidRDefault="00E05F0D" w:rsidP="00E05F0D">
      <w:pPr>
        <w:pStyle w:val="Point0"/>
        <w:rPr>
          <w:noProof/>
        </w:rPr>
      </w:pPr>
      <w:r>
        <w:rPr>
          <w:noProof/>
        </w:rPr>
        <w:t>a)</w:t>
      </w:r>
      <w:r>
        <w:rPr>
          <w:noProof/>
        </w:rPr>
        <w:tab/>
      </w:r>
      <w:r w:rsidR="003B410C" w:rsidRPr="005456C3">
        <w:rPr>
          <w:noProof/>
        </w:rPr>
        <w:t>informace uvedené ve vzorech Z 01.01, Z 01.02, Z 07.01.1 až Z 07.01.5 a Z 09.01 stanovených v příloze I ve vztahu ke všem subjektům skupiny, ve vzoru Z 02.00 na konsolidovaném základě a ve vzoru Z 04.00 ve vztahu k finančnímu propojení mezi všemi subjekty skupiny;</w:t>
      </w:r>
    </w:p>
    <w:p w:rsidR="003B410C" w:rsidRPr="005456C3" w:rsidRDefault="00E05F0D" w:rsidP="00E05F0D">
      <w:pPr>
        <w:pStyle w:val="Point0"/>
        <w:rPr>
          <w:noProof/>
        </w:rPr>
      </w:pPr>
      <w:r>
        <w:rPr>
          <w:noProof/>
        </w:rPr>
        <w:t>b)</w:t>
      </w:r>
      <w:r>
        <w:rPr>
          <w:noProof/>
        </w:rPr>
        <w:tab/>
      </w:r>
      <w:r w:rsidR="009F0766" w:rsidRPr="005456C3">
        <w:rPr>
          <w:noProof/>
        </w:rPr>
        <w:t>informace uvedené ve vzorech Z 02.00, Z 05.01, Z 05.02, Z 06.00, Z 07.01.1 až Z 07.01.5, Z 07.04 stanovených v příloze I tohoto nařízení, a to na individuálním základě pro sebe a pro každý relevantní právní subjekt, u něhož orgán příslušný k řešení krize neurčil požadavek uvedený v čl. 45 odst. 1 směrnice 2014/59/EU v souladu s čl. 45c odst. 2a druhým pododstavcem uvedené směrnice;</w:t>
      </w:r>
    </w:p>
    <w:p w:rsidR="00E522C4" w:rsidRPr="005456C3" w:rsidRDefault="00E05F0D" w:rsidP="00E05F0D">
      <w:pPr>
        <w:pStyle w:val="Point0"/>
        <w:rPr>
          <w:noProof/>
        </w:rPr>
      </w:pPr>
      <w:r>
        <w:rPr>
          <w:noProof/>
        </w:rPr>
        <w:t>c)</w:t>
      </w:r>
      <w:r>
        <w:rPr>
          <w:noProof/>
        </w:rPr>
        <w:tab/>
      </w:r>
      <w:r w:rsidR="009F0766" w:rsidRPr="005456C3">
        <w:rPr>
          <w:noProof/>
        </w:rPr>
        <w:t>informace uvedené ve vzorech Z 02.00, Z 03.01, Z 03.02, Z 05.01, Z 05.02, Z 06.00, Z 07.01.1 až Z 07.01.5, Z 07.04 stanovených v příloze I tohoto nařízení, a to na individuálním základě pro sebe a pro každý relevantní právní subjekt, u něhož orgán příslušný k řešení krize určil požadavek uvedený v čl. 45 odst. 1 směrnice 2014/59/EU v souladu s čl. 45c odst. 2a druhým pododstavcem uvedené směrnice.</w:t>
      </w:r>
    </w:p>
    <w:p w:rsidR="00E522C4" w:rsidRPr="005456C3" w:rsidRDefault="00E522C4" w:rsidP="00184085">
      <w:pPr>
        <w:pStyle w:val="Titrearticle"/>
        <w:rPr>
          <w:noProof/>
        </w:rPr>
      </w:pPr>
      <w:r w:rsidRPr="005456C3">
        <w:rPr>
          <w:noProof/>
        </w:rPr>
        <w:t>Článek 5</w:t>
      </w:r>
    </w:p>
    <w:p w:rsidR="00E522C4" w:rsidRPr="005456C3" w:rsidRDefault="00E522C4" w:rsidP="00184085">
      <w:pPr>
        <w:pStyle w:val="Titrearticle"/>
        <w:spacing w:before="0"/>
        <w:rPr>
          <w:b/>
          <w:bCs/>
          <w:i w:val="0"/>
          <w:iCs/>
          <w:noProof/>
        </w:rPr>
      </w:pPr>
      <w:r w:rsidRPr="005456C3">
        <w:rPr>
          <w:b/>
          <w:i w:val="0"/>
          <w:noProof/>
        </w:rPr>
        <w:t>Úpravy vykazování v souvislosti s řešením krize na úrovni skupiny</w:t>
      </w:r>
    </w:p>
    <w:p w:rsidR="00E522C4" w:rsidRPr="005456C3" w:rsidRDefault="00E5346F" w:rsidP="00E5346F">
      <w:pPr>
        <w:pStyle w:val="ManualNumPar1"/>
        <w:rPr>
          <w:noProof/>
        </w:rPr>
      </w:pPr>
      <w:r w:rsidRPr="00E5346F">
        <w:rPr>
          <w:noProof/>
        </w:rPr>
        <w:t>1.</w:t>
      </w:r>
      <w:r w:rsidRPr="00E5346F">
        <w:rPr>
          <w:noProof/>
        </w:rPr>
        <w:tab/>
      </w:r>
      <w:r w:rsidR="00E522C4" w:rsidRPr="005456C3">
        <w:rPr>
          <w:noProof/>
        </w:rPr>
        <w:t>V případě skupiny, jejíž mateřský podnik v Unii je subjektem v likvidaci a která zahrnuje subjekty řešící krizi, předloží mateřský podnik v Unii:</w:t>
      </w:r>
    </w:p>
    <w:p w:rsidR="00E522C4" w:rsidRPr="005456C3" w:rsidRDefault="00E05F0D" w:rsidP="00E05F0D">
      <w:pPr>
        <w:pStyle w:val="Point1"/>
        <w:rPr>
          <w:noProof/>
        </w:rPr>
      </w:pPr>
      <w:r>
        <w:rPr>
          <w:noProof/>
        </w:rPr>
        <w:t>a)</w:t>
      </w:r>
      <w:r>
        <w:rPr>
          <w:noProof/>
        </w:rPr>
        <w:tab/>
      </w:r>
      <w:r w:rsidR="000C210A" w:rsidRPr="005456C3">
        <w:rPr>
          <w:noProof/>
        </w:rPr>
        <w:t>v případě subjektů skupiny patřících do skupin řešících krizi informace uvedené v článku 3;</w:t>
      </w:r>
    </w:p>
    <w:p w:rsidR="00E522C4" w:rsidRPr="005456C3" w:rsidRDefault="00E05F0D" w:rsidP="00E05F0D">
      <w:pPr>
        <w:pStyle w:val="Point1"/>
        <w:rPr>
          <w:noProof/>
        </w:rPr>
      </w:pPr>
      <w:r>
        <w:rPr>
          <w:noProof/>
        </w:rPr>
        <w:t>b)</w:t>
      </w:r>
      <w:r>
        <w:rPr>
          <w:noProof/>
        </w:rPr>
        <w:tab/>
      </w:r>
      <w:r w:rsidR="000C210A" w:rsidRPr="005456C3">
        <w:rPr>
          <w:noProof/>
        </w:rPr>
        <w:t>v případě subjektů v likvidaci, které nepodléhají zjednodušeným povinnostem a nejsou součástí žádné skupiny řešící krizi, informace uvedené v článku 4.</w:t>
      </w:r>
    </w:p>
    <w:p w:rsidR="00E522C4" w:rsidRPr="005456C3" w:rsidRDefault="00E5346F" w:rsidP="00E5346F">
      <w:pPr>
        <w:pStyle w:val="ManualNumPar1"/>
        <w:rPr>
          <w:noProof/>
        </w:rPr>
      </w:pPr>
      <w:r w:rsidRPr="00E5346F">
        <w:rPr>
          <w:noProof/>
        </w:rPr>
        <w:t>2.</w:t>
      </w:r>
      <w:r w:rsidRPr="00E5346F">
        <w:rPr>
          <w:noProof/>
        </w:rPr>
        <w:tab/>
      </w:r>
      <w:r w:rsidR="00E522C4" w:rsidRPr="005456C3">
        <w:rPr>
          <w:noProof/>
        </w:rPr>
        <w:t>V případě skupiny řešící krizi uvedené v čl. 2 odst. 1 bodě 83b písm. b) směrnice 2014/59/EU předloží informace uvedené v článku 3 tohoto nařízení alespoň jeden ze subjektů skupiny řešících krizi. Tyto informace účinně pokrývají všechny úvěrové instituce trvale přidružené k ústřednímu subjektu dané skupiny řešící krizi, samotný ústřední subjekt a jejich příslušné dceřiné podniky na individuálním, subkonsolidovaném nebo konsolidovaném základě.</w:t>
      </w:r>
    </w:p>
    <w:p w:rsidR="00E522C4" w:rsidRPr="005456C3" w:rsidRDefault="00E522C4" w:rsidP="00184085">
      <w:pPr>
        <w:pStyle w:val="Titrearticle"/>
        <w:rPr>
          <w:noProof/>
        </w:rPr>
      </w:pPr>
      <w:r w:rsidRPr="005456C3">
        <w:rPr>
          <w:noProof/>
        </w:rPr>
        <w:t>Článek 6</w:t>
      </w:r>
    </w:p>
    <w:p w:rsidR="00E522C4" w:rsidRPr="005456C3" w:rsidRDefault="00E522C4" w:rsidP="00184085">
      <w:pPr>
        <w:pStyle w:val="Titrearticle"/>
        <w:spacing w:before="0"/>
        <w:rPr>
          <w:b/>
          <w:bCs/>
          <w:i w:val="0"/>
          <w:iCs/>
          <w:noProof/>
        </w:rPr>
      </w:pPr>
      <w:r w:rsidRPr="005456C3">
        <w:rPr>
          <w:b/>
          <w:i w:val="0"/>
          <w:noProof/>
        </w:rPr>
        <w:t>Četnost, referenční data a lhůty pro předkládání informací</w:t>
      </w:r>
    </w:p>
    <w:p w:rsidR="00E522C4" w:rsidRPr="005456C3" w:rsidRDefault="00E5346F" w:rsidP="00E5346F">
      <w:pPr>
        <w:pStyle w:val="ManualNumPar1"/>
        <w:rPr>
          <w:noProof/>
        </w:rPr>
      </w:pPr>
      <w:r w:rsidRPr="00E5346F">
        <w:rPr>
          <w:noProof/>
        </w:rPr>
        <w:t>1.</w:t>
      </w:r>
      <w:r w:rsidRPr="00E5346F">
        <w:rPr>
          <w:noProof/>
        </w:rPr>
        <w:tab/>
      </w:r>
      <w:r w:rsidR="00E522C4" w:rsidRPr="005456C3">
        <w:rPr>
          <w:noProof/>
        </w:rPr>
        <w:t>Instituce nebo – v případě skupin – mateřské podniky v Unii předkládají informace uvedené v článcích 2 až 5 takto:</w:t>
      </w:r>
    </w:p>
    <w:p w:rsidR="00E522C4" w:rsidRPr="005456C3" w:rsidRDefault="00E05F0D" w:rsidP="00E05F0D">
      <w:pPr>
        <w:pStyle w:val="Point1"/>
        <w:rPr>
          <w:noProof/>
        </w:rPr>
      </w:pPr>
      <w:r>
        <w:rPr>
          <w:noProof/>
        </w:rPr>
        <w:t>a)</w:t>
      </w:r>
      <w:r>
        <w:rPr>
          <w:noProof/>
        </w:rPr>
        <w:tab/>
      </w:r>
      <w:r w:rsidR="00A071C3" w:rsidRPr="005456C3">
        <w:rPr>
          <w:noProof/>
        </w:rPr>
        <w:t xml:space="preserve">v případě vzorů </w:t>
      </w:r>
      <w:bookmarkStart w:id="2" w:name="_Hlk188952542"/>
      <w:r w:rsidR="00A071C3" w:rsidRPr="005456C3">
        <w:rPr>
          <w:noProof/>
        </w:rPr>
        <w:t>Z 01.01, Z 01.02, Z 02.00, Z 03.01, Z 03.02, Z 04.00, Z 05.01, Z 05.02, Z 06.00 a Z 11.00 až Z 17.00</w:t>
      </w:r>
      <w:bookmarkEnd w:id="2"/>
      <w:r w:rsidR="00A071C3" w:rsidRPr="005456C3">
        <w:rPr>
          <w:noProof/>
        </w:rPr>
        <w:t xml:space="preserve"> nejpozději do 31. března každého roku za poslední den předchozího kalendářního roku;</w:t>
      </w:r>
    </w:p>
    <w:p w:rsidR="00E522C4" w:rsidRPr="005456C3" w:rsidRDefault="00E05F0D" w:rsidP="00E05F0D">
      <w:pPr>
        <w:pStyle w:val="Point1"/>
        <w:rPr>
          <w:noProof/>
        </w:rPr>
      </w:pPr>
      <w:r>
        <w:rPr>
          <w:noProof/>
        </w:rPr>
        <w:t>b)</w:t>
      </w:r>
      <w:r>
        <w:rPr>
          <w:noProof/>
        </w:rPr>
        <w:tab/>
      </w:r>
      <w:r w:rsidR="003F636B" w:rsidRPr="005456C3">
        <w:rPr>
          <w:noProof/>
        </w:rPr>
        <w:t xml:space="preserve">v případě vzorů Z 07.01.1 až Z 07.04, Z 08.01 až Z 08.05 a Z 09.01 až Z 09.04 nejpozději do 30. dubna každého roku za poslední den předchozího kalendářního roku. </w:t>
      </w:r>
    </w:p>
    <w:p w:rsidR="003F636B" w:rsidRPr="005456C3" w:rsidRDefault="003F636B" w:rsidP="00184085">
      <w:pPr>
        <w:pStyle w:val="Text1"/>
        <w:rPr>
          <w:noProof/>
        </w:rPr>
      </w:pPr>
      <w:r w:rsidRPr="005456C3">
        <w:rPr>
          <w:noProof/>
        </w:rPr>
        <w:t>Pro účely písmena a) se informace předloží následující pracovní den, jestliže 31. březen není pracovním dnem.</w:t>
      </w:r>
    </w:p>
    <w:p w:rsidR="003F636B" w:rsidRPr="005456C3" w:rsidRDefault="003F636B" w:rsidP="00184085">
      <w:pPr>
        <w:pStyle w:val="Text1"/>
        <w:rPr>
          <w:noProof/>
        </w:rPr>
      </w:pPr>
      <w:r w:rsidRPr="005456C3">
        <w:rPr>
          <w:noProof/>
        </w:rPr>
        <w:t>Pro účely písmena b) se informace předloží následující pracovní den, jestliže 30. duben není pracovním dnem.</w:t>
      </w:r>
    </w:p>
    <w:p w:rsidR="00E522C4" w:rsidRPr="005456C3" w:rsidRDefault="00E5346F" w:rsidP="00E5346F">
      <w:pPr>
        <w:pStyle w:val="ManualNumPar1"/>
        <w:rPr>
          <w:noProof/>
        </w:rPr>
      </w:pPr>
      <w:r w:rsidRPr="00E5346F">
        <w:rPr>
          <w:noProof/>
        </w:rPr>
        <w:t>2.</w:t>
      </w:r>
      <w:r w:rsidRPr="00E5346F">
        <w:rPr>
          <w:noProof/>
        </w:rPr>
        <w:tab/>
      </w:r>
      <w:r w:rsidR="00E522C4" w:rsidRPr="005456C3">
        <w:rPr>
          <w:noProof/>
        </w:rPr>
        <w:t>Orgány příslušné k řešení krize upřesní, zda mají být informace předloženy přímo orgánu příslušnému k řešení krize, nebo zda mají být případně namísto toho předloženy příslušnému orgánu.</w:t>
      </w:r>
    </w:p>
    <w:p w:rsidR="00E522C4" w:rsidRPr="005456C3" w:rsidRDefault="00E5346F" w:rsidP="00E5346F">
      <w:pPr>
        <w:pStyle w:val="ManualNumPar1"/>
        <w:rPr>
          <w:noProof/>
        </w:rPr>
      </w:pPr>
      <w:r w:rsidRPr="00E5346F">
        <w:rPr>
          <w:noProof/>
        </w:rPr>
        <w:t>3.</w:t>
      </w:r>
      <w:r w:rsidRPr="00E5346F">
        <w:rPr>
          <w:noProof/>
        </w:rPr>
        <w:tab/>
      </w:r>
      <w:r w:rsidR="00E522C4" w:rsidRPr="005456C3">
        <w:rPr>
          <w:noProof/>
        </w:rPr>
        <w:t xml:space="preserve">Instituce nebo – v případě skupin – mateřské podniky v Unii mohou předložit neauditované údaje. Pokud se auditované údaje liší od předložených neauditovaných údajů, musí být bez zbytečného prodlení předloženy revidované, auditované údaje. </w:t>
      </w:r>
    </w:p>
    <w:p w:rsidR="00E522C4" w:rsidRPr="005456C3" w:rsidRDefault="00E5346F" w:rsidP="00E5346F">
      <w:pPr>
        <w:pStyle w:val="ManualNumPar1"/>
        <w:rPr>
          <w:noProof/>
        </w:rPr>
      </w:pPr>
      <w:r w:rsidRPr="00E5346F">
        <w:rPr>
          <w:noProof/>
        </w:rPr>
        <w:t>4.</w:t>
      </w:r>
      <w:r w:rsidRPr="00E5346F">
        <w:rPr>
          <w:noProof/>
        </w:rPr>
        <w:tab/>
      </w:r>
      <w:r w:rsidR="00E522C4" w:rsidRPr="005456C3">
        <w:rPr>
          <w:noProof/>
        </w:rPr>
        <w:t xml:space="preserve">Pro účely odstavce 3 se neauditovanými údaji rozumí údaje, k nimž nebyl vydán výrok externího auditora, zatímco auditovanými údaji jsou údaje auditované externím auditorem, který k nim vydal výrok auditora. </w:t>
      </w:r>
    </w:p>
    <w:p w:rsidR="00E522C4" w:rsidRPr="005456C3" w:rsidRDefault="00E5346F" w:rsidP="00E5346F">
      <w:pPr>
        <w:pStyle w:val="ManualNumPar1"/>
        <w:rPr>
          <w:noProof/>
        </w:rPr>
      </w:pPr>
      <w:r w:rsidRPr="00E5346F">
        <w:rPr>
          <w:noProof/>
        </w:rPr>
        <w:t>5.</w:t>
      </w:r>
      <w:r w:rsidRPr="00E5346F">
        <w:rPr>
          <w:noProof/>
        </w:rPr>
        <w:tab/>
      </w:r>
      <w:r w:rsidR="00E522C4" w:rsidRPr="005456C3">
        <w:rPr>
          <w:noProof/>
        </w:rPr>
        <w:t>Opravy předložených zpráv musí být předloženy bez zbytečného prodlení.</w:t>
      </w:r>
    </w:p>
    <w:p w:rsidR="00E522C4" w:rsidRPr="005456C3" w:rsidRDefault="00E522C4" w:rsidP="00184085">
      <w:pPr>
        <w:pStyle w:val="Titrearticle"/>
        <w:rPr>
          <w:noProof/>
        </w:rPr>
      </w:pPr>
      <w:r w:rsidRPr="005456C3">
        <w:rPr>
          <w:noProof/>
        </w:rPr>
        <w:t>Článek 7</w:t>
      </w:r>
    </w:p>
    <w:p w:rsidR="00E522C4" w:rsidRPr="005456C3" w:rsidRDefault="00E522C4" w:rsidP="00184085">
      <w:pPr>
        <w:pStyle w:val="Titrearticle"/>
        <w:spacing w:before="0"/>
        <w:rPr>
          <w:b/>
          <w:bCs/>
          <w:i w:val="0"/>
          <w:iCs/>
          <w:noProof/>
        </w:rPr>
      </w:pPr>
      <w:r w:rsidRPr="005456C3">
        <w:rPr>
          <w:b/>
          <w:i w:val="0"/>
          <w:noProof/>
        </w:rPr>
        <w:t>Formáty pro výměnu údajů a informace připojované k podání</w:t>
      </w:r>
    </w:p>
    <w:p w:rsidR="00E522C4" w:rsidRPr="005456C3" w:rsidRDefault="00E5346F" w:rsidP="00E5346F">
      <w:pPr>
        <w:pStyle w:val="ManualNumPar1"/>
        <w:rPr>
          <w:noProof/>
        </w:rPr>
      </w:pPr>
      <w:r w:rsidRPr="00E5346F">
        <w:rPr>
          <w:noProof/>
        </w:rPr>
        <w:t>1.</w:t>
      </w:r>
      <w:r w:rsidRPr="00E5346F">
        <w:rPr>
          <w:noProof/>
        </w:rPr>
        <w:tab/>
      </w:r>
      <w:r w:rsidR="00E522C4" w:rsidRPr="005456C3">
        <w:rPr>
          <w:noProof/>
        </w:rPr>
        <w:t xml:space="preserve">Instituce nebo – v případě skupin – mateřské podniky v Unii předkládají informace uvedené v článcích 2 až 5, jak je uvedeno ve vzorech stanovených v příloze I, ve formátech pro výměnu údajů a ve znázorněních, jež určí orgány příslušné k řešení krize, přičemž se řídí definicemi datových bodů obsaženými v jednotném modelu datových bodů, který je uveden v příloze II, a pravidly pro ověřování, která jsou uvedena v příloze III. </w:t>
      </w:r>
    </w:p>
    <w:p w:rsidR="00E522C4" w:rsidRPr="005456C3" w:rsidRDefault="00E5346F" w:rsidP="00E5346F">
      <w:pPr>
        <w:pStyle w:val="ManualNumPar1"/>
        <w:rPr>
          <w:noProof/>
        </w:rPr>
      </w:pPr>
      <w:r w:rsidRPr="00E5346F">
        <w:rPr>
          <w:noProof/>
        </w:rPr>
        <w:t>2.</w:t>
      </w:r>
      <w:r w:rsidRPr="00E5346F">
        <w:rPr>
          <w:noProof/>
        </w:rPr>
        <w:tab/>
      </w:r>
      <w:r w:rsidR="00E522C4" w:rsidRPr="005456C3">
        <w:rPr>
          <w:noProof/>
        </w:rPr>
        <w:t>Kromě povinnosti uvedené v odstavci 1 instituce nebo – v případě skupin – mateřské podniky v Unii zajistí následující:</w:t>
      </w:r>
    </w:p>
    <w:p w:rsidR="00E522C4" w:rsidRPr="005456C3" w:rsidRDefault="00E05F0D" w:rsidP="00E05F0D">
      <w:pPr>
        <w:pStyle w:val="Point1"/>
        <w:rPr>
          <w:noProof/>
        </w:rPr>
      </w:pPr>
      <w:r>
        <w:rPr>
          <w:noProof/>
        </w:rPr>
        <w:t>a)</w:t>
      </w:r>
      <w:r>
        <w:rPr>
          <w:noProof/>
        </w:rPr>
        <w:tab/>
      </w:r>
      <w:r w:rsidR="00E522C4" w:rsidRPr="005456C3">
        <w:rPr>
          <w:noProof/>
        </w:rPr>
        <w:t>číselné hodnoty se předkládají takto:</w:t>
      </w:r>
    </w:p>
    <w:p w:rsidR="00E522C4" w:rsidRPr="005456C3" w:rsidRDefault="00E522C4" w:rsidP="00184085">
      <w:pPr>
        <w:pStyle w:val="Point2"/>
        <w:rPr>
          <w:noProof/>
        </w:rPr>
      </w:pPr>
      <w:r w:rsidRPr="005456C3">
        <w:rPr>
          <w:noProof/>
        </w:rPr>
        <w:t>i)</w:t>
      </w:r>
      <w:r w:rsidRPr="005456C3">
        <w:rPr>
          <w:noProof/>
        </w:rPr>
        <w:tab/>
        <w:t xml:space="preserve">datové body s údaji typu „peněžní částka“ se vykazují s minimální přesností odpovídající deseti tisícům jednotek; </w:t>
      </w:r>
    </w:p>
    <w:p w:rsidR="00E522C4" w:rsidRPr="005456C3" w:rsidRDefault="00E522C4" w:rsidP="00184085">
      <w:pPr>
        <w:pStyle w:val="Point2"/>
        <w:rPr>
          <w:noProof/>
        </w:rPr>
      </w:pPr>
      <w:r w:rsidRPr="005456C3">
        <w:rPr>
          <w:noProof/>
        </w:rPr>
        <w:t>ii)</w:t>
      </w:r>
      <w:r w:rsidRPr="005456C3">
        <w:rPr>
          <w:noProof/>
        </w:rPr>
        <w:tab/>
        <w:t>datové body s údaji typu „procento“ se pro každou jednotku vyjádřují s minimální přesností odpovídající čtyřem desetinným místům;</w:t>
      </w:r>
    </w:p>
    <w:p w:rsidR="00E522C4" w:rsidRPr="005456C3" w:rsidRDefault="00E522C4" w:rsidP="00184085">
      <w:pPr>
        <w:pStyle w:val="Point2"/>
        <w:rPr>
          <w:noProof/>
        </w:rPr>
      </w:pPr>
      <w:r w:rsidRPr="005456C3">
        <w:rPr>
          <w:noProof/>
        </w:rPr>
        <w:t>iii)</w:t>
      </w:r>
      <w:r w:rsidRPr="005456C3">
        <w:rPr>
          <w:noProof/>
        </w:rPr>
        <w:tab/>
        <w:t>datové body s údaji typu „celé číslo“ se vykazují s přesností odpovídající jednotkám bez desetinných míst;</w:t>
      </w:r>
    </w:p>
    <w:p w:rsidR="00E522C4" w:rsidRPr="005456C3" w:rsidRDefault="00E05F0D" w:rsidP="00E05F0D">
      <w:pPr>
        <w:pStyle w:val="Point1"/>
        <w:rPr>
          <w:noProof/>
        </w:rPr>
      </w:pPr>
      <w:r>
        <w:rPr>
          <w:noProof/>
        </w:rPr>
        <w:t>b)</w:t>
      </w:r>
      <w:r>
        <w:rPr>
          <w:noProof/>
        </w:rPr>
        <w:tab/>
      </w:r>
      <w:r w:rsidR="00E522C4" w:rsidRPr="005456C3">
        <w:rPr>
          <w:noProof/>
        </w:rPr>
        <w:t>instituce a pojišťovny se označují výhradně identifikačním kódem právnické osoby;</w:t>
      </w:r>
    </w:p>
    <w:p w:rsidR="00E522C4" w:rsidRPr="005456C3" w:rsidRDefault="00E05F0D" w:rsidP="00E05F0D">
      <w:pPr>
        <w:pStyle w:val="Point1"/>
        <w:rPr>
          <w:noProof/>
        </w:rPr>
      </w:pPr>
      <w:r>
        <w:rPr>
          <w:noProof/>
        </w:rPr>
        <w:t>c)</w:t>
      </w:r>
      <w:r>
        <w:rPr>
          <w:noProof/>
        </w:rPr>
        <w:tab/>
      </w:r>
      <w:r w:rsidR="00E522C4" w:rsidRPr="005456C3">
        <w:rPr>
          <w:noProof/>
        </w:rPr>
        <w:t>právní subjekty a protistrany jiné než instituce a pojišťovny se označují identifikačním kódem právnické osoby, pokud je k dispozici;</w:t>
      </w:r>
    </w:p>
    <w:p w:rsidR="0046629F" w:rsidRPr="005456C3" w:rsidRDefault="00E05F0D" w:rsidP="00E05F0D">
      <w:pPr>
        <w:pStyle w:val="Point1"/>
        <w:rPr>
          <w:noProof/>
        </w:rPr>
      </w:pPr>
      <w:r>
        <w:rPr>
          <w:noProof/>
        </w:rPr>
        <w:t>d)</w:t>
      </w:r>
      <w:r>
        <w:rPr>
          <w:noProof/>
        </w:rPr>
        <w:tab/>
      </w:r>
      <w:r w:rsidR="0046629F" w:rsidRPr="005456C3">
        <w:rPr>
          <w:noProof/>
        </w:rPr>
        <w:t>součástí předkládaných údajů nejsou informace, které nejsou vyžadovány nebo jsou v daném případě bezpředmětné.</w:t>
      </w:r>
    </w:p>
    <w:p w:rsidR="00E522C4" w:rsidRPr="005456C3" w:rsidRDefault="00E5346F" w:rsidP="00E5346F">
      <w:pPr>
        <w:pStyle w:val="ManualNumPar1"/>
        <w:rPr>
          <w:noProof/>
        </w:rPr>
      </w:pPr>
      <w:r w:rsidRPr="00E5346F">
        <w:rPr>
          <w:noProof/>
        </w:rPr>
        <w:t>3.</w:t>
      </w:r>
      <w:r w:rsidRPr="00E5346F">
        <w:rPr>
          <w:noProof/>
        </w:rPr>
        <w:tab/>
      </w:r>
      <w:r w:rsidR="004B472A" w:rsidRPr="005456C3">
        <w:rPr>
          <w:noProof/>
        </w:rPr>
        <w:t>K předkládaným údajům připojují instituce – nebo v případě skupin – mateřské podniky v Unii následující informace:</w:t>
      </w:r>
    </w:p>
    <w:p w:rsidR="004B472A" w:rsidRPr="005456C3" w:rsidRDefault="00E05F0D" w:rsidP="00E05F0D">
      <w:pPr>
        <w:pStyle w:val="Point1"/>
        <w:rPr>
          <w:noProof/>
        </w:rPr>
      </w:pPr>
      <w:r>
        <w:rPr>
          <w:noProof/>
        </w:rPr>
        <w:t>a)</w:t>
      </w:r>
      <w:r>
        <w:rPr>
          <w:noProof/>
        </w:rPr>
        <w:tab/>
      </w:r>
      <w:r w:rsidR="004B472A" w:rsidRPr="005456C3">
        <w:rPr>
          <w:noProof/>
        </w:rPr>
        <w:t>referenční datum;</w:t>
      </w:r>
    </w:p>
    <w:p w:rsidR="004B472A" w:rsidRPr="005456C3" w:rsidRDefault="00E05F0D" w:rsidP="00E05F0D">
      <w:pPr>
        <w:pStyle w:val="Point1"/>
        <w:rPr>
          <w:noProof/>
        </w:rPr>
      </w:pPr>
      <w:r>
        <w:rPr>
          <w:noProof/>
        </w:rPr>
        <w:t>b)</w:t>
      </w:r>
      <w:r>
        <w:rPr>
          <w:noProof/>
        </w:rPr>
        <w:tab/>
      </w:r>
      <w:r w:rsidR="004B472A" w:rsidRPr="005456C3">
        <w:rPr>
          <w:noProof/>
        </w:rPr>
        <w:t>měnu vykazování;</w:t>
      </w:r>
    </w:p>
    <w:p w:rsidR="004B472A" w:rsidRPr="005456C3" w:rsidRDefault="00E05F0D" w:rsidP="00E05F0D">
      <w:pPr>
        <w:pStyle w:val="Point1"/>
        <w:rPr>
          <w:noProof/>
        </w:rPr>
      </w:pPr>
      <w:r>
        <w:rPr>
          <w:noProof/>
        </w:rPr>
        <w:t>c)</w:t>
      </w:r>
      <w:r>
        <w:rPr>
          <w:noProof/>
        </w:rPr>
        <w:tab/>
      </w:r>
      <w:r w:rsidR="004B472A" w:rsidRPr="005456C3">
        <w:rPr>
          <w:noProof/>
        </w:rPr>
        <w:t>účetní standard;</w:t>
      </w:r>
    </w:p>
    <w:p w:rsidR="004B472A" w:rsidRPr="005456C3" w:rsidRDefault="00E05F0D" w:rsidP="00E05F0D">
      <w:pPr>
        <w:pStyle w:val="Point1"/>
        <w:rPr>
          <w:noProof/>
        </w:rPr>
      </w:pPr>
      <w:r>
        <w:rPr>
          <w:noProof/>
        </w:rPr>
        <w:t>d)</w:t>
      </w:r>
      <w:r>
        <w:rPr>
          <w:noProof/>
        </w:rPr>
        <w:tab/>
      </w:r>
      <w:r w:rsidR="004B472A" w:rsidRPr="005456C3">
        <w:rPr>
          <w:noProof/>
        </w:rPr>
        <w:t>identifikační kód právnické osoby vykazujícího subjektu;</w:t>
      </w:r>
    </w:p>
    <w:p w:rsidR="004B472A" w:rsidRPr="005456C3" w:rsidRDefault="00E05F0D" w:rsidP="00E05F0D">
      <w:pPr>
        <w:pStyle w:val="Point1"/>
        <w:rPr>
          <w:noProof/>
        </w:rPr>
      </w:pPr>
      <w:r>
        <w:rPr>
          <w:noProof/>
        </w:rPr>
        <w:t>e)</w:t>
      </w:r>
      <w:r>
        <w:rPr>
          <w:noProof/>
        </w:rPr>
        <w:tab/>
      </w:r>
      <w:r w:rsidR="004B472A" w:rsidRPr="005456C3">
        <w:rPr>
          <w:noProof/>
        </w:rPr>
        <w:t>úroveň uplatňování podle článků 2, 3 a 4.</w:t>
      </w:r>
    </w:p>
    <w:p w:rsidR="004B472A" w:rsidRPr="005456C3" w:rsidRDefault="004B472A" w:rsidP="00184085">
      <w:pPr>
        <w:pStyle w:val="Titrearticle"/>
        <w:rPr>
          <w:noProof/>
        </w:rPr>
      </w:pPr>
      <w:bookmarkStart w:id="3" w:name="_Hlk169616472"/>
      <w:r w:rsidRPr="005456C3">
        <w:rPr>
          <w:noProof/>
        </w:rPr>
        <w:t>Článek 8</w:t>
      </w:r>
    </w:p>
    <w:p w:rsidR="004B472A" w:rsidRPr="005456C3" w:rsidRDefault="004B472A" w:rsidP="00184085">
      <w:pPr>
        <w:pStyle w:val="Titrearticle"/>
        <w:spacing w:before="0"/>
        <w:rPr>
          <w:b/>
          <w:bCs/>
          <w:i w:val="0"/>
          <w:iCs/>
          <w:noProof/>
        </w:rPr>
      </w:pPr>
      <w:r w:rsidRPr="005456C3">
        <w:rPr>
          <w:b/>
          <w:i w:val="0"/>
          <w:noProof/>
        </w:rPr>
        <w:t xml:space="preserve">Poskytování doplňujících informací v případě individuálních nebo skupinových plánů řešení krize </w:t>
      </w:r>
    </w:p>
    <w:bookmarkEnd w:id="3"/>
    <w:p w:rsidR="00FA69C1" w:rsidRPr="005456C3" w:rsidRDefault="00E5346F" w:rsidP="00E5346F">
      <w:pPr>
        <w:pStyle w:val="ManualNumPar1"/>
        <w:rPr>
          <w:noProof/>
        </w:rPr>
      </w:pPr>
      <w:r w:rsidRPr="00E5346F">
        <w:rPr>
          <w:noProof/>
        </w:rPr>
        <w:t>1.</w:t>
      </w:r>
      <w:r w:rsidRPr="00E5346F">
        <w:rPr>
          <w:noProof/>
        </w:rPr>
        <w:tab/>
      </w:r>
      <w:r w:rsidR="00C747E3" w:rsidRPr="005456C3">
        <w:rPr>
          <w:noProof/>
        </w:rPr>
        <w:t>Orgán příslušný k řešení krize nebo orgán příslušný k řešení krize na úrovni skupiny si od příslušné instituce nebo mateřského podniku v Unii vyžádá doplňující informace nebo informace v novém formátu, pokud platí některá z těchto situací:</w:t>
      </w:r>
    </w:p>
    <w:p w:rsidR="00FA69C1" w:rsidRPr="005456C3" w:rsidRDefault="00E05F0D" w:rsidP="00E05F0D">
      <w:pPr>
        <w:pStyle w:val="Point1"/>
        <w:rPr>
          <w:noProof/>
        </w:rPr>
      </w:pPr>
      <w:r>
        <w:rPr>
          <w:noProof/>
        </w:rPr>
        <w:t>a)</w:t>
      </w:r>
      <w:r>
        <w:rPr>
          <w:noProof/>
        </w:rPr>
        <w:tab/>
      </w:r>
      <w:r w:rsidR="00FA69C1" w:rsidRPr="005456C3">
        <w:rPr>
          <w:noProof/>
        </w:rPr>
        <w:t>orgán příslušný k řešení krize nebo orgán příslušný k řešení krize na úrovni skupiny se domnívá, že se na tyto informace nevztahuje žádný vzor stanovený v příloze I a že jsou nezbytné k vypracování a provádění plánů řešení krize;</w:t>
      </w:r>
    </w:p>
    <w:p w:rsidR="00FA69C1" w:rsidRPr="005456C3" w:rsidRDefault="00E05F0D" w:rsidP="00E05F0D">
      <w:pPr>
        <w:pStyle w:val="Point1"/>
        <w:rPr>
          <w:noProof/>
        </w:rPr>
      </w:pPr>
      <w:r>
        <w:rPr>
          <w:noProof/>
        </w:rPr>
        <w:t>b)</w:t>
      </w:r>
      <w:r>
        <w:rPr>
          <w:noProof/>
        </w:rPr>
        <w:tab/>
      </w:r>
      <w:r w:rsidR="00FA69C1" w:rsidRPr="005456C3">
        <w:rPr>
          <w:noProof/>
        </w:rPr>
        <w:t>orgán příslušný k řešení krize nebo orgán příslušný k řešení krize na úrovni skupiny se domnívá, že získání těchto informací od subjektů, které podléhají zjednodušeným povinnostem, je nezbytné k vypracování a provádění plánů řešení krize;</w:t>
      </w:r>
    </w:p>
    <w:p w:rsidR="00FA69C1" w:rsidRPr="005456C3" w:rsidRDefault="00E05F0D" w:rsidP="00E05F0D">
      <w:pPr>
        <w:pStyle w:val="Point1"/>
        <w:rPr>
          <w:noProof/>
        </w:rPr>
      </w:pPr>
      <w:r>
        <w:rPr>
          <w:noProof/>
        </w:rPr>
        <w:t>c)</w:t>
      </w:r>
      <w:r>
        <w:rPr>
          <w:noProof/>
        </w:rPr>
        <w:tab/>
      </w:r>
      <w:r w:rsidR="00FA69C1" w:rsidRPr="005456C3">
        <w:rPr>
          <w:noProof/>
        </w:rPr>
        <w:t>formát, v němž příslušný orgán poskytuje informace podle čl. 9 odst. 2, není vhodný k vypracování nebo provádění plánů řešení krize.</w:t>
      </w:r>
    </w:p>
    <w:p w:rsidR="004B472A" w:rsidRPr="005456C3" w:rsidRDefault="00E5346F" w:rsidP="00E5346F">
      <w:pPr>
        <w:pStyle w:val="ManualNumPar1"/>
        <w:rPr>
          <w:noProof/>
        </w:rPr>
      </w:pPr>
      <w:r w:rsidRPr="00E5346F">
        <w:rPr>
          <w:noProof/>
        </w:rPr>
        <w:t>2.</w:t>
      </w:r>
      <w:r w:rsidRPr="00E5346F">
        <w:rPr>
          <w:noProof/>
        </w:rPr>
        <w:tab/>
      </w:r>
      <w:r w:rsidR="004B472A" w:rsidRPr="005456C3">
        <w:rPr>
          <w:noProof/>
        </w:rPr>
        <w:t>Pro účely požadavku podle odstavce 1 orgán příslušný k řešení krize:</w:t>
      </w:r>
    </w:p>
    <w:p w:rsidR="004B472A" w:rsidRPr="005456C3" w:rsidRDefault="00E05F0D" w:rsidP="00E05F0D">
      <w:pPr>
        <w:pStyle w:val="Point1"/>
        <w:rPr>
          <w:noProof/>
        </w:rPr>
      </w:pPr>
      <w:r>
        <w:rPr>
          <w:noProof/>
        </w:rPr>
        <w:t>a)</w:t>
      </w:r>
      <w:r>
        <w:rPr>
          <w:noProof/>
        </w:rPr>
        <w:tab/>
      </w:r>
      <w:r w:rsidR="004B472A" w:rsidRPr="005456C3">
        <w:rPr>
          <w:noProof/>
        </w:rPr>
        <w:t>určí, které doplňující informace mají být poskytnuty;</w:t>
      </w:r>
    </w:p>
    <w:p w:rsidR="004B472A" w:rsidRPr="005456C3" w:rsidRDefault="00E05F0D" w:rsidP="00E05F0D">
      <w:pPr>
        <w:pStyle w:val="Point1"/>
        <w:rPr>
          <w:noProof/>
        </w:rPr>
      </w:pPr>
      <w:r>
        <w:rPr>
          <w:noProof/>
        </w:rPr>
        <w:t>b)</w:t>
      </w:r>
      <w:r>
        <w:rPr>
          <w:noProof/>
        </w:rPr>
        <w:tab/>
      </w:r>
      <w:r w:rsidR="004B472A" w:rsidRPr="005456C3">
        <w:rPr>
          <w:noProof/>
        </w:rPr>
        <w:t>stanoví s ohledem na objem a složitost požadovaných informací vhodnou lhůtu, v níž instituce nebo – v případě skupin – mateřský podnik v Unii poskytne informace orgánu příslušnému k řešení krize;</w:t>
      </w:r>
    </w:p>
    <w:p w:rsidR="004B472A" w:rsidRPr="005456C3" w:rsidRDefault="00E05F0D" w:rsidP="00E05F0D">
      <w:pPr>
        <w:pStyle w:val="Point1"/>
        <w:rPr>
          <w:noProof/>
        </w:rPr>
      </w:pPr>
      <w:r>
        <w:rPr>
          <w:noProof/>
        </w:rPr>
        <w:t>c)</w:t>
      </w:r>
      <w:r>
        <w:rPr>
          <w:noProof/>
        </w:rPr>
        <w:tab/>
      </w:r>
      <w:r w:rsidR="004B472A" w:rsidRPr="005456C3">
        <w:rPr>
          <w:noProof/>
        </w:rPr>
        <w:t>určí formát, který mají instituce – nebo v případě skupin – mateřské podniky v Unii použít při předkládání informací orgánu příslušnému k řešení krize;</w:t>
      </w:r>
    </w:p>
    <w:p w:rsidR="004B472A" w:rsidRPr="005456C3" w:rsidRDefault="00E05F0D" w:rsidP="00E05F0D">
      <w:pPr>
        <w:pStyle w:val="Point1"/>
        <w:rPr>
          <w:noProof/>
        </w:rPr>
      </w:pPr>
      <w:r>
        <w:rPr>
          <w:noProof/>
        </w:rPr>
        <w:t>d)</w:t>
      </w:r>
      <w:r>
        <w:rPr>
          <w:noProof/>
        </w:rPr>
        <w:tab/>
      </w:r>
      <w:r w:rsidR="004B472A" w:rsidRPr="005456C3">
        <w:rPr>
          <w:noProof/>
        </w:rPr>
        <w:t>určí, zda mají být informace poskytnuty na individuálním, subkonsolidovaném nebo konsolidovaném základě a zda má být jejich rozsah lokální, za celou Unii nebo globální;</w:t>
      </w:r>
    </w:p>
    <w:p w:rsidR="004B472A" w:rsidRPr="005456C3" w:rsidRDefault="00E05F0D" w:rsidP="00E05F0D">
      <w:pPr>
        <w:pStyle w:val="Point1"/>
        <w:rPr>
          <w:noProof/>
        </w:rPr>
      </w:pPr>
      <w:r>
        <w:rPr>
          <w:noProof/>
        </w:rPr>
        <w:t>e)</w:t>
      </w:r>
      <w:r>
        <w:rPr>
          <w:noProof/>
        </w:rPr>
        <w:tab/>
      </w:r>
      <w:r w:rsidR="004B472A" w:rsidRPr="005456C3">
        <w:rPr>
          <w:noProof/>
        </w:rPr>
        <w:t>stanoví přesného příjemce, formáty pro výměnu údajů a informace, které mají být připojeny k podání v případě, že mají být poskytnuty doplňující informace.</w:t>
      </w:r>
    </w:p>
    <w:p w:rsidR="004B472A" w:rsidRPr="005456C3" w:rsidRDefault="004B472A" w:rsidP="00184085">
      <w:pPr>
        <w:pStyle w:val="Titrearticle"/>
        <w:rPr>
          <w:noProof/>
        </w:rPr>
      </w:pPr>
      <w:r w:rsidRPr="005456C3">
        <w:rPr>
          <w:noProof/>
        </w:rPr>
        <w:t>Článek 9</w:t>
      </w:r>
    </w:p>
    <w:p w:rsidR="004B472A" w:rsidRPr="005456C3" w:rsidRDefault="004B472A" w:rsidP="00184085">
      <w:pPr>
        <w:pStyle w:val="Titrearticle"/>
        <w:spacing w:before="0"/>
        <w:rPr>
          <w:b/>
          <w:bCs/>
          <w:i w:val="0"/>
          <w:iCs/>
          <w:noProof/>
        </w:rPr>
      </w:pPr>
      <w:r w:rsidRPr="005456C3">
        <w:rPr>
          <w:b/>
          <w:i w:val="0"/>
          <w:noProof/>
        </w:rPr>
        <w:t>Spolupráce mezi příslušnými orgány a orgány příslušnými k řešení krize</w:t>
      </w:r>
    </w:p>
    <w:p w:rsidR="004B472A" w:rsidRPr="005456C3" w:rsidRDefault="00E5346F" w:rsidP="00E5346F">
      <w:pPr>
        <w:pStyle w:val="ManualNumPar1"/>
        <w:rPr>
          <w:noProof/>
        </w:rPr>
      </w:pPr>
      <w:r w:rsidRPr="00E5346F">
        <w:rPr>
          <w:noProof/>
        </w:rPr>
        <w:t>1.</w:t>
      </w:r>
      <w:r w:rsidRPr="00E5346F">
        <w:rPr>
          <w:noProof/>
        </w:rPr>
        <w:tab/>
      </w:r>
      <w:r w:rsidR="004B472A" w:rsidRPr="005456C3">
        <w:rPr>
          <w:noProof/>
        </w:rPr>
        <w:t>Příslušné orgány a orgány příslušné k řešení krize společně ověří, zda veškeré informace, jež mají být předloženy orgánu příslušnému k řešení krize podle článků 2 až 5 a článků 7 a 8, nebo jejich část už nemá k dispozici příslušný orgán.</w:t>
      </w:r>
    </w:p>
    <w:p w:rsidR="004B472A" w:rsidRPr="005456C3" w:rsidRDefault="00E5346F" w:rsidP="00E5346F">
      <w:pPr>
        <w:pStyle w:val="ManualNumPar1"/>
        <w:rPr>
          <w:noProof/>
        </w:rPr>
      </w:pPr>
      <w:r w:rsidRPr="00E5346F">
        <w:rPr>
          <w:noProof/>
        </w:rPr>
        <w:t>2.</w:t>
      </w:r>
      <w:r w:rsidRPr="00E5346F">
        <w:rPr>
          <w:noProof/>
        </w:rPr>
        <w:tab/>
      </w:r>
      <w:r w:rsidR="004B472A" w:rsidRPr="005456C3">
        <w:rPr>
          <w:noProof/>
        </w:rPr>
        <w:t xml:space="preserve">Pokud příslušný orgán již tyto veškeré informace nebo jejich část k dispozici má, včas je předá orgánu příslušnému k řešení krize. </w:t>
      </w:r>
    </w:p>
    <w:p w:rsidR="004B472A" w:rsidRPr="005456C3" w:rsidRDefault="00E5346F" w:rsidP="00E5346F">
      <w:pPr>
        <w:pStyle w:val="ManualNumPar1"/>
        <w:rPr>
          <w:noProof/>
        </w:rPr>
      </w:pPr>
      <w:r w:rsidRPr="00E5346F">
        <w:rPr>
          <w:noProof/>
        </w:rPr>
        <w:t>3.</w:t>
      </w:r>
      <w:r w:rsidRPr="00E5346F">
        <w:rPr>
          <w:noProof/>
        </w:rPr>
        <w:tab/>
      </w:r>
      <w:r w:rsidR="00914032" w:rsidRPr="005456C3">
        <w:rPr>
          <w:noProof/>
        </w:rPr>
        <w:t>Pro účely odstavce 2 orgány příslušné k řešení krize informují instituce nebo – v případě skupin – mateřské podniky v Unii o tom, jaké informace mají být zahrnuty do předkládání informací podle tohoto nařízení. Orgány příslušné k řešení krize určí tyto informace odkazem na vzory stanovené v příloze I.</w:t>
      </w:r>
    </w:p>
    <w:p w:rsidR="004B472A" w:rsidRPr="005456C3" w:rsidRDefault="004B472A" w:rsidP="00184085">
      <w:pPr>
        <w:pStyle w:val="Titrearticle"/>
        <w:rPr>
          <w:noProof/>
        </w:rPr>
      </w:pPr>
      <w:r w:rsidRPr="005456C3">
        <w:rPr>
          <w:noProof/>
        </w:rPr>
        <w:t>Článek 10</w:t>
      </w:r>
    </w:p>
    <w:p w:rsidR="004B472A" w:rsidRPr="005456C3" w:rsidRDefault="004B472A" w:rsidP="00184085">
      <w:pPr>
        <w:pStyle w:val="Titrearticle"/>
        <w:spacing w:before="0"/>
        <w:rPr>
          <w:b/>
          <w:bCs/>
          <w:i w:val="0"/>
          <w:iCs/>
          <w:noProof/>
        </w:rPr>
      </w:pPr>
      <w:r w:rsidRPr="005456C3">
        <w:rPr>
          <w:b/>
          <w:i w:val="0"/>
          <w:noProof/>
        </w:rPr>
        <w:t>Zrušení</w:t>
      </w:r>
    </w:p>
    <w:p w:rsidR="004B472A" w:rsidRPr="005456C3" w:rsidRDefault="004B472A" w:rsidP="00184085">
      <w:pPr>
        <w:rPr>
          <w:noProof/>
        </w:rPr>
      </w:pPr>
      <w:r w:rsidRPr="005456C3">
        <w:rPr>
          <w:noProof/>
        </w:rPr>
        <w:t>Prováděcí nařízení (EU) 2018/1624 se zrušuje.</w:t>
      </w:r>
    </w:p>
    <w:p w:rsidR="004B472A" w:rsidRPr="005456C3" w:rsidRDefault="004B472A" w:rsidP="00184085">
      <w:pPr>
        <w:rPr>
          <w:noProof/>
        </w:rPr>
      </w:pPr>
      <w:r w:rsidRPr="005456C3">
        <w:rPr>
          <w:noProof/>
        </w:rPr>
        <w:t>Odkazy na zrušené prováděcí nařízení se považují za odkazy na toto nařízení.</w:t>
      </w:r>
    </w:p>
    <w:p w:rsidR="00860655" w:rsidRPr="005456C3" w:rsidRDefault="00860655" w:rsidP="00184085">
      <w:pPr>
        <w:pStyle w:val="Titrearticle"/>
        <w:rPr>
          <w:noProof/>
        </w:rPr>
      </w:pPr>
      <w:r w:rsidRPr="005456C3">
        <w:rPr>
          <w:noProof/>
        </w:rPr>
        <w:t>Článek 11</w:t>
      </w:r>
    </w:p>
    <w:p w:rsidR="004B472A" w:rsidRPr="005456C3" w:rsidRDefault="004B472A" w:rsidP="00184085">
      <w:pPr>
        <w:pStyle w:val="Titrearticle"/>
        <w:spacing w:before="0"/>
        <w:rPr>
          <w:b/>
          <w:bCs/>
          <w:i w:val="0"/>
          <w:iCs/>
          <w:noProof/>
        </w:rPr>
      </w:pPr>
      <w:r w:rsidRPr="005456C3">
        <w:rPr>
          <w:b/>
          <w:i w:val="0"/>
          <w:noProof/>
        </w:rPr>
        <w:t>Vstup v platnost</w:t>
      </w:r>
    </w:p>
    <w:p w:rsidR="00860655" w:rsidRPr="005456C3" w:rsidRDefault="00860655" w:rsidP="00184085">
      <w:pPr>
        <w:rPr>
          <w:noProof/>
        </w:rPr>
      </w:pPr>
      <w:r w:rsidRPr="005456C3">
        <w:rPr>
          <w:noProof/>
        </w:rPr>
        <w:t xml:space="preserve">Toto nařízení vstupuje v platnost dvacátým dnem po vyhlášení v </w:t>
      </w:r>
      <w:r w:rsidRPr="005456C3">
        <w:rPr>
          <w:i/>
          <w:iCs/>
          <w:noProof/>
        </w:rPr>
        <w:t>Úředním věstníku Evropské unie</w:t>
      </w:r>
      <w:r w:rsidRPr="005456C3">
        <w:rPr>
          <w:noProof/>
        </w:rPr>
        <w:t>.</w:t>
      </w:r>
    </w:p>
    <w:p w:rsidR="00860655" w:rsidRPr="005456C3" w:rsidRDefault="00860655" w:rsidP="00C7224D">
      <w:pPr>
        <w:pStyle w:val="Applicationdirecte"/>
        <w:keepNext/>
        <w:keepLines/>
        <w:rPr>
          <w:noProof/>
        </w:rPr>
      </w:pPr>
      <w:r w:rsidRPr="005456C3">
        <w:rPr>
          <w:noProof/>
        </w:rPr>
        <w:t>Toto nařízení je závazné v celém rozsahu a přímo použitelné ve všech členských státech.</w:t>
      </w:r>
    </w:p>
    <w:p w:rsidR="00860655" w:rsidRPr="005456C3" w:rsidRDefault="00D40375" w:rsidP="00C7224D">
      <w:pPr>
        <w:pStyle w:val="Fait"/>
        <w:rPr>
          <w:noProof/>
        </w:rPr>
      </w:pPr>
      <w:r>
        <w:rPr>
          <w:noProof/>
        </w:rPr>
        <w:t>V Bruselu dne 14.11.2025</w:t>
      </w:r>
    </w:p>
    <w:p w:rsidR="00860655" w:rsidRPr="005456C3" w:rsidRDefault="00860655" w:rsidP="00C7224D">
      <w:pPr>
        <w:pStyle w:val="Institutionquisigne"/>
        <w:rPr>
          <w:noProof/>
        </w:rPr>
      </w:pPr>
      <w:r w:rsidRPr="005456C3">
        <w:rPr>
          <w:noProof/>
        </w:rPr>
        <w:tab/>
        <w:t>Za Komisi</w:t>
      </w:r>
    </w:p>
    <w:p w:rsidR="00860655" w:rsidRPr="005456C3" w:rsidRDefault="007A2039" w:rsidP="00184085">
      <w:pPr>
        <w:pStyle w:val="Personnequisigne"/>
        <w:rPr>
          <w:noProof/>
        </w:rPr>
      </w:pPr>
      <w:r>
        <w:rPr>
          <w:noProof/>
        </w:rPr>
        <w:tab/>
        <w:t>předsedkyně</w:t>
      </w:r>
      <w:r>
        <w:rPr>
          <w:noProof/>
        </w:rPr>
        <w:br/>
      </w:r>
      <w:r>
        <w:rPr>
          <w:noProof/>
        </w:rPr>
        <w:tab/>
        <w:t>Ursula VON DER LEYEN</w:t>
      </w:r>
    </w:p>
    <w:sectPr w:rsidR="00860655" w:rsidRPr="005456C3" w:rsidSect="009A2595">
      <w:headerReference w:type="even" r:id="rId13"/>
      <w:footerReference w:type="even" r:id="rId14"/>
      <w:footerReference w:type="default" r:id="rId15"/>
      <w:headerReference w:type="first" r:id="rId16"/>
      <w:footerReference w:type="first" r:id="rId17"/>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41FA" w:rsidRDefault="004D41FA" w:rsidP="00860655">
      <w:pPr>
        <w:spacing w:before="0" w:after="0"/>
      </w:pPr>
      <w:r>
        <w:separator/>
      </w:r>
    </w:p>
  </w:endnote>
  <w:endnote w:type="continuationSeparator" w:id="0">
    <w:p w:rsidR="004D41FA" w:rsidRDefault="004D41FA" w:rsidP="00860655">
      <w:pPr>
        <w:spacing w:before="0" w:after="0"/>
      </w:pPr>
      <w:r>
        <w:continuationSeparator/>
      </w:r>
    </w:p>
  </w:endnote>
  <w:endnote w:type="continuationNotice" w:id="1">
    <w:p w:rsidR="004D41FA" w:rsidRDefault="004D41FA">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95" w:rsidRPr="009A2595" w:rsidRDefault="009A2595" w:rsidP="009A2595">
    <w:pPr>
      <w:pStyle w:val="Footer"/>
      <w:rPr>
        <w:rFonts w:ascii="Arial" w:hAnsi="Arial" w:cs="Arial"/>
        <w:b/>
        <w:sz w:val="48"/>
      </w:rPr>
    </w:pPr>
    <w:r w:rsidRPr="009A2595">
      <w:rPr>
        <w:rFonts w:ascii="Arial" w:hAnsi="Arial" w:cs="Arial"/>
        <w:b/>
        <w:sz w:val="48"/>
      </w:rPr>
      <w:t>CS</w:t>
    </w:r>
    <w:r w:rsidRPr="009A2595">
      <w:rPr>
        <w:rFonts w:ascii="Arial" w:hAnsi="Arial" w:cs="Arial"/>
        <w:b/>
        <w:sz w:val="48"/>
      </w:rPr>
      <w:tab/>
    </w:r>
    <w:r w:rsidRPr="009A2595">
      <w:rPr>
        <w:rFonts w:ascii="Arial" w:hAnsi="Arial" w:cs="Arial"/>
        <w:b/>
        <w:sz w:val="48"/>
      </w:rPr>
      <w:tab/>
    </w:r>
    <w:r w:rsidRPr="009A2595">
      <w:tab/>
    </w:r>
    <w:r w:rsidRPr="009A2595">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95" w:rsidRPr="009A2595" w:rsidRDefault="009A2595" w:rsidP="009A2595">
    <w:pPr>
      <w:pStyle w:val="Footer"/>
      <w:rPr>
        <w:rFonts w:ascii="Arial" w:hAnsi="Arial" w:cs="Arial"/>
        <w:b/>
        <w:sz w:val="48"/>
      </w:rPr>
    </w:pPr>
    <w:r w:rsidRPr="009A2595">
      <w:rPr>
        <w:rFonts w:ascii="Arial" w:hAnsi="Arial" w:cs="Arial"/>
        <w:b/>
        <w:sz w:val="48"/>
      </w:rPr>
      <w:t>CS</w:t>
    </w:r>
    <w:r w:rsidRPr="009A2595">
      <w:rPr>
        <w:rFonts w:ascii="Arial" w:hAnsi="Arial" w:cs="Arial"/>
        <w:b/>
        <w:sz w:val="48"/>
      </w:rPr>
      <w:tab/>
    </w:r>
    <w:r w:rsidRPr="009A2595">
      <w:rPr>
        <w:rFonts w:ascii="Arial" w:hAnsi="Arial" w:cs="Arial"/>
        <w:b/>
        <w:sz w:val="48"/>
      </w:rPr>
      <w:tab/>
    </w:r>
    <w:r w:rsidRPr="009A2595">
      <w:tab/>
    </w:r>
    <w:r w:rsidRPr="009A2595">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95" w:rsidRDefault="009A259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95" w:rsidRPr="009A2595" w:rsidRDefault="009A2595" w:rsidP="009A2595">
    <w:pPr>
      <w:pStyle w:val="Footer"/>
      <w:rPr>
        <w:rFonts w:ascii="Arial" w:hAnsi="Arial" w:cs="Arial"/>
        <w:b/>
        <w:sz w:val="48"/>
      </w:rPr>
    </w:pPr>
    <w:r w:rsidRPr="009A2595">
      <w:rPr>
        <w:rFonts w:ascii="Arial" w:hAnsi="Arial" w:cs="Arial"/>
        <w:b/>
        <w:sz w:val="48"/>
      </w:rPr>
      <w:t>CS</w:t>
    </w:r>
    <w:r w:rsidRPr="009A2595">
      <w:rPr>
        <w:rFonts w:ascii="Arial" w:hAnsi="Arial" w:cs="Arial"/>
        <w:b/>
        <w:sz w:val="48"/>
      </w:rPr>
      <w:tab/>
    </w:r>
    <w:r>
      <w:fldChar w:fldCharType="begin"/>
    </w:r>
    <w:r>
      <w:instrText xml:space="preserve"> PAGE  \* MERGEFORMAT </w:instrText>
    </w:r>
    <w:r>
      <w:fldChar w:fldCharType="separate"/>
    </w:r>
    <w:r w:rsidR="00C7224D">
      <w:rPr>
        <w:noProof/>
      </w:rPr>
      <w:t>10</w:t>
    </w:r>
    <w:r>
      <w:fldChar w:fldCharType="end"/>
    </w:r>
    <w:r>
      <w:tab/>
    </w:r>
    <w:r w:rsidRPr="009A2595">
      <w:tab/>
    </w:r>
    <w:r w:rsidRPr="009A2595">
      <w:rPr>
        <w:rFonts w:ascii="Arial" w:hAnsi="Arial" w:cs="Arial"/>
        <w:b/>
        <w:sz w:val="48"/>
      </w:rPr>
      <w:t>CS</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95" w:rsidRDefault="009A2595" w:rsidP="009A2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41FA" w:rsidRDefault="004D41FA" w:rsidP="00860655">
      <w:pPr>
        <w:spacing w:before="0" w:after="0"/>
      </w:pPr>
      <w:r>
        <w:separator/>
      </w:r>
    </w:p>
  </w:footnote>
  <w:footnote w:type="continuationSeparator" w:id="0">
    <w:p w:rsidR="004D41FA" w:rsidRDefault="004D41FA" w:rsidP="00860655">
      <w:pPr>
        <w:spacing w:before="0" w:after="0"/>
      </w:pPr>
      <w:r>
        <w:continuationSeparator/>
      </w:r>
    </w:p>
  </w:footnote>
  <w:footnote w:type="continuationNotice" w:id="1">
    <w:p w:rsidR="004D41FA" w:rsidRDefault="004D41FA">
      <w:pPr>
        <w:spacing w:before="0" w:after="0"/>
      </w:pPr>
    </w:p>
  </w:footnote>
  <w:footnote w:id="2">
    <w:p w:rsidR="00860655" w:rsidRPr="0032641B" w:rsidRDefault="00860655" w:rsidP="00730DBE">
      <w:pPr>
        <w:pStyle w:val="FootnoteText"/>
      </w:pPr>
      <w:r>
        <w:rPr>
          <w:rStyle w:val="FootnoteReference"/>
        </w:rPr>
        <w:footnoteRef/>
      </w:r>
      <w:r>
        <w:tab/>
        <w:t>Úř. věst. L 173, 12.6.2014, s. 190, ELI: http://data.europa.eu/eli/dir/2014/59/oj.</w:t>
      </w:r>
    </w:p>
  </w:footnote>
  <w:footnote w:id="3">
    <w:p w:rsidR="00736C47" w:rsidRPr="005456C3" w:rsidRDefault="00736C47">
      <w:pPr>
        <w:pStyle w:val="FootnoteText"/>
        <w:rPr>
          <w:lang w:val="de-DE"/>
        </w:rPr>
      </w:pPr>
      <w:r>
        <w:rPr>
          <w:rStyle w:val="FootnoteReference"/>
        </w:rPr>
        <w:footnoteRef/>
      </w:r>
      <w:r>
        <w:tab/>
        <w:t xml:space="preserve">Prováděcí nařízení Komise (EU) 2018/1624 ze dne 23. října 2018, kterým se podle směrnice Evropského parlamentu a Rady 2014/59/EU stanoví prováděcí technické normy, pokud jde o postupy, standardní formuláře a vzory k poskytování informací pro účely plánů řešení krize úvěrových institucí a investičních podniků, a zrušuje prováděcí nařízení Komise (EU) 2016/1066 (Úř. věst. </w:t>
      </w:r>
      <w:r w:rsidRPr="005456C3">
        <w:rPr>
          <w:lang w:val="de-DE"/>
        </w:rPr>
        <w:t>L 277, 7.11.2018, s. 1, ELI: http://data.europa.eu/eli/reg_impl/2018/1624/oj).</w:t>
      </w:r>
    </w:p>
  </w:footnote>
  <w:footnote w:id="4">
    <w:p w:rsidR="00736C47" w:rsidRPr="005456C3" w:rsidRDefault="00736C47">
      <w:pPr>
        <w:pStyle w:val="FootnoteText"/>
        <w:rPr>
          <w:lang w:val="de-DE"/>
        </w:rPr>
      </w:pPr>
      <w:r>
        <w:rPr>
          <w:rStyle w:val="FootnoteReference"/>
        </w:rPr>
        <w:footnoteRef/>
      </w:r>
      <w:r w:rsidRPr="005456C3">
        <w:rPr>
          <w:lang w:val="de-DE"/>
        </w:rPr>
        <w:tab/>
        <w:t>Směrnice Evropského parlamentu a Rady (EU) 2024/1174 ze dne 11. dubna 2024, kterou se mění směrnice 2014/59/EU a nařízení (EU) č. 806/2014, pokud jde o některé aspekty minimálního požadavku na kapitál a způsobilé závazky (Úř. věst. L, 2024/1174, 22.4.2024, s. 1, ELI: http://data.europa.eu/eli/dir/2024/1174/oj).</w:t>
      </w:r>
    </w:p>
  </w:footnote>
  <w:footnote w:id="5">
    <w:p w:rsidR="00736C47" w:rsidRPr="005456C3" w:rsidRDefault="00736C47">
      <w:pPr>
        <w:pStyle w:val="FootnoteText"/>
        <w:rPr>
          <w:lang w:val="de-DE"/>
        </w:rPr>
      </w:pPr>
      <w:r>
        <w:rPr>
          <w:rStyle w:val="FootnoteReference"/>
        </w:rPr>
        <w:footnoteRef/>
      </w:r>
      <w:r w:rsidRPr="005456C3">
        <w:rPr>
          <w:lang w:val="de-DE"/>
        </w:rPr>
        <w:tab/>
        <w:t>Nařízení Evropského parlamentu a Rady (EU) č. 1093/2010 ze dne 24. listopadu 2010 o zřízení Evropského orgánu dohledu (Evropského orgánu pro bankovnictví), o změně rozhodnutí č. 716/2009/ES a o zrušení rozhodnutí Komise 2009/78/ES (Úř. věst. L 331, 15.12.2010, s. 12, ELI: http://data.europa.eu/eli/reg/2010/1093/oj).</w:t>
      </w:r>
    </w:p>
  </w:footnote>
  <w:footnote w:id="6">
    <w:p w:rsidR="00736C47" w:rsidRPr="005456C3" w:rsidRDefault="00736C47">
      <w:pPr>
        <w:pStyle w:val="FootnoteText"/>
        <w:rPr>
          <w:lang w:val="de-DE"/>
        </w:rPr>
      </w:pPr>
      <w:r>
        <w:rPr>
          <w:rStyle w:val="FootnoteReference"/>
        </w:rPr>
        <w:footnoteRef/>
      </w:r>
      <w:r w:rsidRPr="005456C3">
        <w:rPr>
          <w:lang w:val="de-DE"/>
        </w:rPr>
        <w:tab/>
        <w:t>Nařízení Evropského parlamentu a Rady (EU) č. 575/2013 ze dne 26. června 2013 o obezřetnostních požadavcích na úvěrové instituce a o změně nařízení (EU) č. 648/2012 (Úř. věst. L 176, 27.6.2013, s. 1, ELI: http://data.europa.eu/eli/reg/2013/575/oj).</w:t>
      </w:r>
    </w:p>
  </w:footnote>
  <w:footnote w:id="7">
    <w:p w:rsidR="00736C47" w:rsidRPr="005456C3" w:rsidRDefault="00736C47">
      <w:pPr>
        <w:pStyle w:val="FootnoteText"/>
        <w:rPr>
          <w:lang w:val="de-DE"/>
        </w:rPr>
      </w:pPr>
      <w:r>
        <w:rPr>
          <w:rStyle w:val="FootnoteReference"/>
        </w:rPr>
        <w:footnoteRef/>
      </w:r>
      <w:r w:rsidRPr="005456C3">
        <w:rPr>
          <w:lang w:val="de-DE"/>
        </w:rPr>
        <w:tab/>
        <w:t>Směrnice Evropského parlamentu a Rady 2013/36/EU ze dne 26. června 2013 o přístupu k činnosti úvěrových institucí a o obezřetnostním dohledu nad úvěrovými institucemi a o změně směrnice 2002/87/ES a zrušení směrnic 2006/48/ES a 2006/49/ES (Úř. věst. L 176, 27.6.2013, s. 338, ELI: http://data.europa.eu/eli/dir/2013/36/oj).</w:t>
      </w:r>
    </w:p>
  </w:footnote>
  <w:footnote w:id="8">
    <w:p w:rsidR="00736C47" w:rsidRPr="005456C3" w:rsidRDefault="00736C47">
      <w:pPr>
        <w:pStyle w:val="FootnoteText"/>
        <w:rPr>
          <w:lang w:val="de-DE"/>
        </w:rPr>
      </w:pPr>
      <w:r>
        <w:rPr>
          <w:rStyle w:val="FootnoteReference"/>
        </w:rPr>
        <w:footnoteRef/>
      </w:r>
      <w:r w:rsidRPr="005456C3">
        <w:rPr>
          <w:lang w:val="de-DE"/>
        </w:rPr>
        <w:tab/>
        <w:t>Nařízení Evropského parlamentu a Rady (EU) 2019/2033 ze dne 27. listopadu 2019 o obezřetnostních požadavcích na investiční podniky a o změně nařízení (EU) č. 1093/2010, (EU) č. 575/2013, (EU) č. 600/2014 a (EU) č. 806/2014 (Úř. věst. L 314, 5.12.2019, s. 1, ELI: http://data.europa.eu/eli/reg/2019/2033/oj).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95" w:rsidRDefault="009A25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595" w:rsidRDefault="009A25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8E3654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DBDAEC8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159EC9EA"/>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5EF43476"/>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A3E0704A"/>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BDE0D40"/>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209086BA"/>
    <w:lvl w:ilvl="0">
      <w:start w:val="1"/>
      <w:numFmt w:val="decimal"/>
      <w:pStyle w:val="ListNumber"/>
      <w:lvlText w:val="%1."/>
      <w:lvlJc w:val="left"/>
      <w:pPr>
        <w:tabs>
          <w:tab w:val="num" w:pos="360"/>
        </w:tabs>
        <w:ind w:left="360" w:hanging="360"/>
      </w:pPr>
    </w:lvl>
  </w:abstractNum>
  <w:abstractNum w:abstractNumId="7" w15:restartNumberingAfterBreak="0">
    <w:nsid w:val="FFFFFF89"/>
    <w:multiLevelType w:val="singleLevel"/>
    <w:tmpl w:val="7B7A921E"/>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7"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8"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0"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2" w15:restartNumberingAfterBreak="0">
    <w:nsid w:val="6BCD57BB"/>
    <w:multiLevelType w:val="multilevel"/>
    <w:tmpl w:val="5AD2A3CC"/>
    <w:lvl w:ilvl="0">
      <w:start w:val="1"/>
      <w:numFmt w:val="decimal"/>
      <w:pStyle w:val="Numberedtilelevel1"/>
      <w:lvlText w:val="%1."/>
      <w:lvlJc w:val="left"/>
      <w:pPr>
        <w:ind w:left="0" w:firstLine="0"/>
      </w:pPr>
      <w:rPr>
        <w:rFonts w:hint="default"/>
      </w:rPr>
    </w:lvl>
    <w:lvl w:ilvl="1">
      <w:start w:val="1"/>
      <w:numFmt w:val="decimal"/>
      <w:pStyle w:val="Numberedtitlelevel2"/>
      <w:lvlText w:val="%1.%2"/>
      <w:lvlJc w:val="left"/>
      <w:pPr>
        <w:ind w:left="0" w:firstLine="0"/>
      </w:pPr>
      <w:rPr>
        <w:rFonts w:hint="default"/>
      </w:rPr>
    </w:lvl>
    <w:lvl w:ilvl="2">
      <w:start w:val="1"/>
      <w:numFmt w:val="decimal"/>
      <w:pStyle w:val="Numberedtitlelevel3"/>
      <w:lvlText w:val="%1.%2.%3"/>
      <w:lvlJc w:val="left"/>
      <w:pPr>
        <w:ind w:left="999"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23"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23"/>
    <w:lvlOverride w:ilvl="0">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6"/>
  </w:num>
  <w:num w:numId="15">
    <w:abstractNumId w:val="2"/>
  </w:num>
  <w:num w:numId="16">
    <w:abstractNumId w:val="1"/>
  </w:num>
  <w:num w:numId="17">
    <w:abstractNumId w:val="0"/>
  </w:num>
  <w:num w:numId="18">
    <w:abstractNumId w:val="19"/>
  </w:num>
  <w:num w:numId="19">
    <w:abstractNumId w:val="12"/>
  </w:num>
  <w:num w:numId="20">
    <w:abstractNumId w:val="21"/>
  </w:num>
  <w:num w:numId="21">
    <w:abstractNumId w:val="11"/>
  </w:num>
  <w:num w:numId="22">
    <w:abstractNumId w:val="13"/>
  </w:num>
  <w:num w:numId="23">
    <w:abstractNumId w:val="14"/>
  </w:num>
  <w:num w:numId="24">
    <w:abstractNumId w:val="9"/>
  </w:num>
  <w:num w:numId="25">
    <w:abstractNumId w:val="20"/>
  </w:num>
  <w:num w:numId="26">
    <w:abstractNumId w:val="8"/>
  </w:num>
  <w:num w:numId="27">
    <w:abstractNumId w:val="15"/>
  </w:num>
  <w:num w:numId="28">
    <w:abstractNumId w:val="17"/>
  </w:num>
  <w:num w:numId="29">
    <w:abstractNumId w:val="18"/>
  </w:num>
  <w:num w:numId="30">
    <w:abstractNumId w:val="10"/>
  </w:num>
  <w:num w:numId="31">
    <w:abstractNumId w:val="16"/>
  </w:num>
  <w:num w:numId="32">
    <w:abstractNumId w:val="23"/>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11-07 10:06:5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3D8F5268-F52F-43A4-8B1B-54395A6A8EAC"/>
    <w:docVar w:name="LW_COVERPAGE_TYPE" w:val="1"/>
    <w:docVar w:name="LW_CreatedUtc" w:val="2025-04-09T13:24:10.7425134Z"/>
    <w:docVar w:name="LW_CROSSREFERENCE" w:val="&lt;UNUSED&gt;"/>
    <w:docVar w:name="LW_DATE.ADOPT.CP" w:val="ze dne 14.11.2025,"/>
    <w:docVar w:name="LW_DATE.ADOPT.CP_DATEFORMAT" w:val="ze dne %DATE%,"/>
    <w:docVar w:name="LW_DATE.ADOPT.CP_ISODATE" w:val="2025-11-14"/>
    <w:docVar w:name="LW_DocType" w:val="COM"/>
    <w:docVar w:name="LW_EMISSION" w:val="14.11.2025"/>
    <w:docVar w:name="LW_EMISSION_ISODATE" w:val="2025-11-14"/>
    <w:docVar w:name="LW_EMISSION_LOCATION" w:val="BRX"/>
    <w:docVar w:name="LW_EMISSION_PREFIX" w:val="V Bruselu dne "/>
    <w:docVar w:name="LW_EMISSION_SUFFIX" w:val=" "/>
    <w:docVar w:name="LW_ID_DOCMODEL" w:val="SJ-004"/>
    <w:docVar w:name="LW_ID_DOCSIGNATURE" w:val="SJ-004"/>
    <w:docVar w:name="LW_ID_DOCSTRUCTURE" w:val="COM/AA"/>
    <w:docVar w:name="LW_ID_DOCTYPE" w:val="SJ-004"/>
    <w:docVar w:name="LW_INTERETEEE.CP" w:val="(Text s významem pro EHP)"/>
    <w:docVar w:name="LW_LANGUE" w:val="CS"/>
    <w:docVar w:name="LW_LANGUESFAISANTFOI.CP" w:val="&lt;UNUSED&gt;"/>
    <w:docVar w:name="LW_LEVEL_OF_SENSITIVITY" w:val="Standard treatment"/>
    <w:docVar w:name="LW_NOM.INST" w:val="EVROPSKÁ KOMISE"/>
    <w:docVar w:name="LW_NOM.INST_JOINTDOC" w:val="&lt;EMPTY&gt;"/>
    <w:docVar w:name="LW_PART_NBR" w:val="1"/>
    <w:docVar w:name="LW_PART_NBR_TOTAL" w:val="1"/>
    <w:docVar w:name="LW_REF.INST.NEW" w:val="C"/>
    <w:docVar w:name="LW_REF.INST.NEW_ADOPTED" w:val="final"/>
    <w:docVar w:name="LW_REF.INST.NEW_TEXT" w:val="(2025) 7604"/>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terým se stanoví provád\u283?cí technické normy, pokud jde o postupy, standardní formulá\u345?e a vzory k poskytování informací pro ú\u269?ely plán\u367? \u345?e\u353?ení krize úv\u283?rových institucí a investi\u269?ních podnik\u367? podle sm\u283?rnice Evropského parlamentu a Rady 2014/59/EU, a zru\u353?uje provád\u283?cí na\u345?ízení Komise (EU) 2018/1624"/>
    <w:docVar w:name="LW_TYPE.DOC.CP" w:val="PROVÁD\u282?CÍ NA\u344?ÍZENÍ KOMISE (EU) \u8230?/..."/>
    <w:docVar w:name="LwApiVersions" w:val="LW4CoDe 1.24.5.0; LW 9.0, Build 20240221"/>
  </w:docVars>
  <w:rsids>
    <w:rsidRoot w:val="00860655"/>
    <w:rsid w:val="00003E9B"/>
    <w:rsid w:val="00010444"/>
    <w:rsid w:val="00011152"/>
    <w:rsid w:val="00011674"/>
    <w:rsid w:val="00012E4C"/>
    <w:rsid w:val="00014FF9"/>
    <w:rsid w:val="00015E5A"/>
    <w:rsid w:val="00016E59"/>
    <w:rsid w:val="00022F96"/>
    <w:rsid w:val="0002348F"/>
    <w:rsid w:val="00027EC1"/>
    <w:rsid w:val="0003106A"/>
    <w:rsid w:val="0003600A"/>
    <w:rsid w:val="0003664D"/>
    <w:rsid w:val="000378CA"/>
    <w:rsid w:val="000401A4"/>
    <w:rsid w:val="0004065D"/>
    <w:rsid w:val="00045BE7"/>
    <w:rsid w:val="00047494"/>
    <w:rsid w:val="00047CCB"/>
    <w:rsid w:val="00047CE8"/>
    <w:rsid w:val="00051A55"/>
    <w:rsid w:val="000532DF"/>
    <w:rsid w:val="000575BB"/>
    <w:rsid w:val="0006043D"/>
    <w:rsid w:val="00061265"/>
    <w:rsid w:val="0006320D"/>
    <w:rsid w:val="000638D2"/>
    <w:rsid w:val="00063900"/>
    <w:rsid w:val="0006413C"/>
    <w:rsid w:val="000669F1"/>
    <w:rsid w:val="0007008A"/>
    <w:rsid w:val="0007047E"/>
    <w:rsid w:val="000707FA"/>
    <w:rsid w:val="000727CE"/>
    <w:rsid w:val="0007402A"/>
    <w:rsid w:val="000754EB"/>
    <w:rsid w:val="000767F8"/>
    <w:rsid w:val="0008385B"/>
    <w:rsid w:val="00087FE9"/>
    <w:rsid w:val="00090F63"/>
    <w:rsid w:val="00093169"/>
    <w:rsid w:val="000957E1"/>
    <w:rsid w:val="000A49B6"/>
    <w:rsid w:val="000A656F"/>
    <w:rsid w:val="000B1A72"/>
    <w:rsid w:val="000B2421"/>
    <w:rsid w:val="000B6438"/>
    <w:rsid w:val="000B6760"/>
    <w:rsid w:val="000B7A7D"/>
    <w:rsid w:val="000C1802"/>
    <w:rsid w:val="000C210A"/>
    <w:rsid w:val="000C36F8"/>
    <w:rsid w:val="000C3748"/>
    <w:rsid w:val="000C4922"/>
    <w:rsid w:val="000D227C"/>
    <w:rsid w:val="000D6FC6"/>
    <w:rsid w:val="000E0DA5"/>
    <w:rsid w:val="000E2702"/>
    <w:rsid w:val="000E311F"/>
    <w:rsid w:val="000E5382"/>
    <w:rsid w:val="000E5409"/>
    <w:rsid w:val="000E58A4"/>
    <w:rsid w:val="000F1205"/>
    <w:rsid w:val="000F26F3"/>
    <w:rsid w:val="000F3FEE"/>
    <w:rsid w:val="000F4965"/>
    <w:rsid w:val="000F5A92"/>
    <w:rsid w:val="000F5B02"/>
    <w:rsid w:val="000F6B3D"/>
    <w:rsid w:val="000F74CC"/>
    <w:rsid w:val="00100587"/>
    <w:rsid w:val="00101DF1"/>
    <w:rsid w:val="001054EB"/>
    <w:rsid w:val="001065F5"/>
    <w:rsid w:val="0010670B"/>
    <w:rsid w:val="00107070"/>
    <w:rsid w:val="001075F2"/>
    <w:rsid w:val="00111B75"/>
    <w:rsid w:val="001133CE"/>
    <w:rsid w:val="00114B18"/>
    <w:rsid w:val="00116FC0"/>
    <w:rsid w:val="0011724D"/>
    <w:rsid w:val="001222B2"/>
    <w:rsid w:val="001238EF"/>
    <w:rsid w:val="001243B1"/>
    <w:rsid w:val="00125C95"/>
    <w:rsid w:val="00125EEF"/>
    <w:rsid w:val="001261F3"/>
    <w:rsid w:val="00127DAF"/>
    <w:rsid w:val="001307BE"/>
    <w:rsid w:val="001309C3"/>
    <w:rsid w:val="001330E3"/>
    <w:rsid w:val="00134F11"/>
    <w:rsid w:val="00135713"/>
    <w:rsid w:val="00142E17"/>
    <w:rsid w:val="00146F44"/>
    <w:rsid w:val="00147D59"/>
    <w:rsid w:val="00152894"/>
    <w:rsid w:val="00157915"/>
    <w:rsid w:val="00160DD9"/>
    <w:rsid w:val="0016114F"/>
    <w:rsid w:val="00163996"/>
    <w:rsid w:val="0016454F"/>
    <w:rsid w:val="00164FCD"/>
    <w:rsid w:val="00165B97"/>
    <w:rsid w:val="001660D8"/>
    <w:rsid w:val="00170C08"/>
    <w:rsid w:val="00170FDC"/>
    <w:rsid w:val="0017169C"/>
    <w:rsid w:val="0017348A"/>
    <w:rsid w:val="00174186"/>
    <w:rsid w:val="001741A5"/>
    <w:rsid w:val="001744A5"/>
    <w:rsid w:val="00174A0B"/>
    <w:rsid w:val="0017545D"/>
    <w:rsid w:val="0017578A"/>
    <w:rsid w:val="00175995"/>
    <w:rsid w:val="0018113A"/>
    <w:rsid w:val="00182EAB"/>
    <w:rsid w:val="00184085"/>
    <w:rsid w:val="0018536E"/>
    <w:rsid w:val="00185E5C"/>
    <w:rsid w:val="00193875"/>
    <w:rsid w:val="00194D17"/>
    <w:rsid w:val="001956D7"/>
    <w:rsid w:val="00197613"/>
    <w:rsid w:val="001977E5"/>
    <w:rsid w:val="00197AB1"/>
    <w:rsid w:val="001A0934"/>
    <w:rsid w:val="001A2326"/>
    <w:rsid w:val="001A2CF0"/>
    <w:rsid w:val="001A2E1C"/>
    <w:rsid w:val="001A314A"/>
    <w:rsid w:val="001A4085"/>
    <w:rsid w:val="001A76CF"/>
    <w:rsid w:val="001B3DDB"/>
    <w:rsid w:val="001B60B8"/>
    <w:rsid w:val="001C1FAD"/>
    <w:rsid w:val="001C24BA"/>
    <w:rsid w:val="001C2BE2"/>
    <w:rsid w:val="001C3FC1"/>
    <w:rsid w:val="001C3FC4"/>
    <w:rsid w:val="001C588B"/>
    <w:rsid w:val="001C5EFB"/>
    <w:rsid w:val="001D26CC"/>
    <w:rsid w:val="001D6510"/>
    <w:rsid w:val="001E10FC"/>
    <w:rsid w:val="001E417F"/>
    <w:rsid w:val="001E4F6A"/>
    <w:rsid w:val="001E53F0"/>
    <w:rsid w:val="001E5F26"/>
    <w:rsid w:val="001E696C"/>
    <w:rsid w:val="001F036B"/>
    <w:rsid w:val="001F081A"/>
    <w:rsid w:val="001F1E46"/>
    <w:rsid w:val="001F2330"/>
    <w:rsid w:val="001F3FAE"/>
    <w:rsid w:val="001F6F1E"/>
    <w:rsid w:val="002009EC"/>
    <w:rsid w:val="002010F4"/>
    <w:rsid w:val="00207635"/>
    <w:rsid w:val="00207905"/>
    <w:rsid w:val="00211B17"/>
    <w:rsid w:val="002121AE"/>
    <w:rsid w:val="002125D6"/>
    <w:rsid w:val="0021607A"/>
    <w:rsid w:val="00216E5B"/>
    <w:rsid w:val="00221CFA"/>
    <w:rsid w:val="00222556"/>
    <w:rsid w:val="002240FE"/>
    <w:rsid w:val="002254AE"/>
    <w:rsid w:val="00225EC6"/>
    <w:rsid w:val="00226CAF"/>
    <w:rsid w:val="00227B0D"/>
    <w:rsid w:val="00227EDB"/>
    <w:rsid w:val="00230726"/>
    <w:rsid w:val="00232973"/>
    <w:rsid w:val="00233DC7"/>
    <w:rsid w:val="002371E2"/>
    <w:rsid w:val="002429BB"/>
    <w:rsid w:val="00242A02"/>
    <w:rsid w:val="00244B76"/>
    <w:rsid w:val="0024500E"/>
    <w:rsid w:val="0024597B"/>
    <w:rsid w:val="00247779"/>
    <w:rsid w:val="00255B8B"/>
    <w:rsid w:val="00257211"/>
    <w:rsid w:val="0026031F"/>
    <w:rsid w:val="002609E9"/>
    <w:rsid w:val="00260BAA"/>
    <w:rsid w:val="00267557"/>
    <w:rsid w:val="00281C1A"/>
    <w:rsid w:val="002838DB"/>
    <w:rsid w:val="00283ECB"/>
    <w:rsid w:val="00284A64"/>
    <w:rsid w:val="0028500D"/>
    <w:rsid w:val="00285BEE"/>
    <w:rsid w:val="00287A4D"/>
    <w:rsid w:val="00291F30"/>
    <w:rsid w:val="0029286F"/>
    <w:rsid w:val="0029533F"/>
    <w:rsid w:val="00295FC1"/>
    <w:rsid w:val="002969BF"/>
    <w:rsid w:val="002A0037"/>
    <w:rsid w:val="002A0D94"/>
    <w:rsid w:val="002A17CC"/>
    <w:rsid w:val="002A2539"/>
    <w:rsid w:val="002A3B2B"/>
    <w:rsid w:val="002A4E8C"/>
    <w:rsid w:val="002A514B"/>
    <w:rsid w:val="002A633D"/>
    <w:rsid w:val="002B06EF"/>
    <w:rsid w:val="002B16CD"/>
    <w:rsid w:val="002B30AF"/>
    <w:rsid w:val="002B30EC"/>
    <w:rsid w:val="002B4D08"/>
    <w:rsid w:val="002B6BAC"/>
    <w:rsid w:val="002C046C"/>
    <w:rsid w:val="002C15BF"/>
    <w:rsid w:val="002C1B09"/>
    <w:rsid w:val="002C2F9E"/>
    <w:rsid w:val="002D19F0"/>
    <w:rsid w:val="002D7FAC"/>
    <w:rsid w:val="002E3C5D"/>
    <w:rsid w:val="002E5C8D"/>
    <w:rsid w:val="002E6811"/>
    <w:rsid w:val="002E68E1"/>
    <w:rsid w:val="002E74B0"/>
    <w:rsid w:val="002F1560"/>
    <w:rsid w:val="002F1851"/>
    <w:rsid w:val="002F1900"/>
    <w:rsid w:val="002F25EA"/>
    <w:rsid w:val="002F38E7"/>
    <w:rsid w:val="002F656E"/>
    <w:rsid w:val="002F78D9"/>
    <w:rsid w:val="002F7929"/>
    <w:rsid w:val="00302C98"/>
    <w:rsid w:val="00303126"/>
    <w:rsid w:val="00311F1E"/>
    <w:rsid w:val="003136DC"/>
    <w:rsid w:val="00315946"/>
    <w:rsid w:val="00316773"/>
    <w:rsid w:val="00322949"/>
    <w:rsid w:val="00325642"/>
    <w:rsid w:val="0032641B"/>
    <w:rsid w:val="00327C58"/>
    <w:rsid w:val="003318F5"/>
    <w:rsid w:val="00332846"/>
    <w:rsid w:val="0033344A"/>
    <w:rsid w:val="00333A23"/>
    <w:rsid w:val="00334ACB"/>
    <w:rsid w:val="003366E7"/>
    <w:rsid w:val="003367BD"/>
    <w:rsid w:val="00337B02"/>
    <w:rsid w:val="00340970"/>
    <w:rsid w:val="0034357E"/>
    <w:rsid w:val="0034482E"/>
    <w:rsid w:val="003517FA"/>
    <w:rsid w:val="00351908"/>
    <w:rsid w:val="00353124"/>
    <w:rsid w:val="003543C5"/>
    <w:rsid w:val="0035525E"/>
    <w:rsid w:val="00360D17"/>
    <w:rsid w:val="003630A7"/>
    <w:rsid w:val="00364C82"/>
    <w:rsid w:val="0036625D"/>
    <w:rsid w:val="0037118A"/>
    <w:rsid w:val="0037271C"/>
    <w:rsid w:val="00372D57"/>
    <w:rsid w:val="00372E85"/>
    <w:rsid w:val="00375E3B"/>
    <w:rsid w:val="0037668C"/>
    <w:rsid w:val="00377FDC"/>
    <w:rsid w:val="00381AB6"/>
    <w:rsid w:val="003821D3"/>
    <w:rsid w:val="00382A02"/>
    <w:rsid w:val="00382C60"/>
    <w:rsid w:val="003951BA"/>
    <w:rsid w:val="00396ACD"/>
    <w:rsid w:val="00397DC3"/>
    <w:rsid w:val="003A03FB"/>
    <w:rsid w:val="003A0FE5"/>
    <w:rsid w:val="003A1568"/>
    <w:rsid w:val="003A27E0"/>
    <w:rsid w:val="003A2C1C"/>
    <w:rsid w:val="003A2C6C"/>
    <w:rsid w:val="003A6205"/>
    <w:rsid w:val="003B015F"/>
    <w:rsid w:val="003B19D8"/>
    <w:rsid w:val="003B410C"/>
    <w:rsid w:val="003B431D"/>
    <w:rsid w:val="003B540C"/>
    <w:rsid w:val="003C0F2A"/>
    <w:rsid w:val="003C49C9"/>
    <w:rsid w:val="003D01A4"/>
    <w:rsid w:val="003D2B57"/>
    <w:rsid w:val="003D312F"/>
    <w:rsid w:val="003D35DF"/>
    <w:rsid w:val="003D5260"/>
    <w:rsid w:val="003D64E1"/>
    <w:rsid w:val="003E0314"/>
    <w:rsid w:val="003E03DA"/>
    <w:rsid w:val="003E0597"/>
    <w:rsid w:val="003E082C"/>
    <w:rsid w:val="003E5A74"/>
    <w:rsid w:val="003F3234"/>
    <w:rsid w:val="003F3CA1"/>
    <w:rsid w:val="003F636B"/>
    <w:rsid w:val="003F6672"/>
    <w:rsid w:val="003F682B"/>
    <w:rsid w:val="003F74FD"/>
    <w:rsid w:val="003F77D6"/>
    <w:rsid w:val="003F7FA9"/>
    <w:rsid w:val="00401ABC"/>
    <w:rsid w:val="00402772"/>
    <w:rsid w:val="004027F9"/>
    <w:rsid w:val="0040392D"/>
    <w:rsid w:val="004109EB"/>
    <w:rsid w:val="00411E35"/>
    <w:rsid w:val="00411E98"/>
    <w:rsid w:val="004127A9"/>
    <w:rsid w:val="004244F0"/>
    <w:rsid w:val="00424FBE"/>
    <w:rsid w:val="0042648E"/>
    <w:rsid w:val="00427E69"/>
    <w:rsid w:val="0043050E"/>
    <w:rsid w:val="004308A2"/>
    <w:rsid w:val="00430F7C"/>
    <w:rsid w:val="00433059"/>
    <w:rsid w:val="00434D8E"/>
    <w:rsid w:val="004357BF"/>
    <w:rsid w:val="00436F80"/>
    <w:rsid w:val="0043768A"/>
    <w:rsid w:val="00437AA5"/>
    <w:rsid w:val="00441165"/>
    <w:rsid w:val="00444367"/>
    <w:rsid w:val="00445CFD"/>
    <w:rsid w:val="00445EAA"/>
    <w:rsid w:val="00450698"/>
    <w:rsid w:val="004516A4"/>
    <w:rsid w:val="0045172D"/>
    <w:rsid w:val="004559FF"/>
    <w:rsid w:val="00457EC8"/>
    <w:rsid w:val="00460DA8"/>
    <w:rsid w:val="00463740"/>
    <w:rsid w:val="00465C20"/>
    <w:rsid w:val="0046629F"/>
    <w:rsid w:val="004677E5"/>
    <w:rsid w:val="00471591"/>
    <w:rsid w:val="00476319"/>
    <w:rsid w:val="00476C9F"/>
    <w:rsid w:val="0048249C"/>
    <w:rsid w:val="004831FC"/>
    <w:rsid w:val="004855B4"/>
    <w:rsid w:val="0048663F"/>
    <w:rsid w:val="004908DD"/>
    <w:rsid w:val="00492396"/>
    <w:rsid w:val="004936D2"/>
    <w:rsid w:val="00494F92"/>
    <w:rsid w:val="00496AFE"/>
    <w:rsid w:val="004A0EFB"/>
    <w:rsid w:val="004A3094"/>
    <w:rsid w:val="004A395B"/>
    <w:rsid w:val="004A58B9"/>
    <w:rsid w:val="004A724F"/>
    <w:rsid w:val="004B1BB8"/>
    <w:rsid w:val="004B1BD1"/>
    <w:rsid w:val="004B3815"/>
    <w:rsid w:val="004B472A"/>
    <w:rsid w:val="004B5970"/>
    <w:rsid w:val="004B5BEB"/>
    <w:rsid w:val="004B5E55"/>
    <w:rsid w:val="004B653C"/>
    <w:rsid w:val="004C01DE"/>
    <w:rsid w:val="004C2E0D"/>
    <w:rsid w:val="004C4FAD"/>
    <w:rsid w:val="004C5962"/>
    <w:rsid w:val="004D2212"/>
    <w:rsid w:val="004D2C96"/>
    <w:rsid w:val="004D30CD"/>
    <w:rsid w:val="004D41FA"/>
    <w:rsid w:val="004D5188"/>
    <w:rsid w:val="004E0F34"/>
    <w:rsid w:val="004E1446"/>
    <w:rsid w:val="004E19F9"/>
    <w:rsid w:val="004E60F0"/>
    <w:rsid w:val="004E6E7D"/>
    <w:rsid w:val="004F1BA7"/>
    <w:rsid w:val="004F5E51"/>
    <w:rsid w:val="004F6CC0"/>
    <w:rsid w:val="004F7343"/>
    <w:rsid w:val="005013B7"/>
    <w:rsid w:val="00501438"/>
    <w:rsid w:val="00505E65"/>
    <w:rsid w:val="00511622"/>
    <w:rsid w:val="00511BE0"/>
    <w:rsid w:val="005142EC"/>
    <w:rsid w:val="00515A9F"/>
    <w:rsid w:val="00515AF8"/>
    <w:rsid w:val="0051644A"/>
    <w:rsid w:val="00516889"/>
    <w:rsid w:val="005171F0"/>
    <w:rsid w:val="00517205"/>
    <w:rsid w:val="00517B7F"/>
    <w:rsid w:val="00517C21"/>
    <w:rsid w:val="00517FDD"/>
    <w:rsid w:val="005200D0"/>
    <w:rsid w:val="00522300"/>
    <w:rsid w:val="005227CE"/>
    <w:rsid w:val="00526CDD"/>
    <w:rsid w:val="005275F2"/>
    <w:rsid w:val="00527E56"/>
    <w:rsid w:val="00531413"/>
    <w:rsid w:val="00531C91"/>
    <w:rsid w:val="00533A4A"/>
    <w:rsid w:val="00533A76"/>
    <w:rsid w:val="00535752"/>
    <w:rsid w:val="00535B8B"/>
    <w:rsid w:val="005411D3"/>
    <w:rsid w:val="00542487"/>
    <w:rsid w:val="00542650"/>
    <w:rsid w:val="00543F23"/>
    <w:rsid w:val="005442C8"/>
    <w:rsid w:val="00544A07"/>
    <w:rsid w:val="00544A68"/>
    <w:rsid w:val="005456C3"/>
    <w:rsid w:val="005464D5"/>
    <w:rsid w:val="00551FD8"/>
    <w:rsid w:val="00552022"/>
    <w:rsid w:val="00552EEC"/>
    <w:rsid w:val="00554079"/>
    <w:rsid w:val="00554891"/>
    <w:rsid w:val="005655BA"/>
    <w:rsid w:val="00573EF6"/>
    <w:rsid w:val="00577772"/>
    <w:rsid w:val="0058118B"/>
    <w:rsid w:val="00582810"/>
    <w:rsid w:val="00582ED2"/>
    <w:rsid w:val="00583D8A"/>
    <w:rsid w:val="00587D94"/>
    <w:rsid w:val="005932CB"/>
    <w:rsid w:val="005939D3"/>
    <w:rsid w:val="0059444D"/>
    <w:rsid w:val="00595317"/>
    <w:rsid w:val="0059536D"/>
    <w:rsid w:val="00595540"/>
    <w:rsid w:val="005963DC"/>
    <w:rsid w:val="005969BD"/>
    <w:rsid w:val="00597A17"/>
    <w:rsid w:val="005A1DB5"/>
    <w:rsid w:val="005A2450"/>
    <w:rsid w:val="005A33A7"/>
    <w:rsid w:val="005A3C62"/>
    <w:rsid w:val="005B03EE"/>
    <w:rsid w:val="005B1EB6"/>
    <w:rsid w:val="005B24B0"/>
    <w:rsid w:val="005B29F7"/>
    <w:rsid w:val="005B5FA6"/>
    <w:rsid w:val="005C038B"/>
    <w:rsid w:val="005C14DD"/>
    <w:rsid w:val="005C16A5"/>
    <w:rsid w:val="005C1C2E"/>
    <w:rsid w:val="005C2DAE"/>
    <w:rsid w:val="005C546E"/>
    <w:rsid w:val="005C57C9"/>
    <w:rsid w:val="005C5E2A"/>
    <w:rsid w:val="005C6D63"/>
    <w:rsid w:val="005C7FDA"/>
    <w:rsid w:val="005D4485"/>
    <w:rsid w:val="005D4968"/>
    <w:rsid w:val="005D5D1A"/>
    <w:rsid w:val="005D6216"/>
    <w:rsid w:val="005D7506"/>
    <w:rsid w:val="005E2C79"/>
    <w:rsid w:val="005E349B"/>
    <w:rsid w:val="005E4C22"/>
    <w:rsid w:val="005E4DBA"/>
    <w:rsid w:val="005E6BF0"/>
    <w:rsid w:val="005E71F0"/>
    <w:rsid w:val="005F2AF0"/>
    <w:rsid w:val="005F3B98"/>
    <w:rsid w:val="005F4567"/>
    <w:rsid w:val="005F6877"/>
    <w:rsid w:val="005F6C9E"/>
    <w:rsid w:val="006026E0"/>
    <w:rsid w:val="00602A82"/>
    <w:rsid w:val="00602AB8"/>
    <w:rsid w:val="00610E8E"/>
    <w:rsid w:val="00611E70"/>
    <w:rsid w:val="00611F25"/>
    <w:rsid w:val="00612BC5"/>
    <w:rsid w:val="00624324"/>
    <w:rsid w:val="006265C3"/>
    <w:rsid w:val="00626A19"/>
    <w:rsid w:val="00626D86"/>
    <w:rsid w:val="0063050B"/>
    <w:rsid w:val="00635146"/>
    <w:rsid w:val="0063555C"/>
    <w:rsid w:val="00635D32"/>
    <w:rsid w:val="00637F45"/>
    <w:rsid w:val="006417C5"/>
    <w:rsid w:val="0064594E"/>
    <w:rsid w:val="00645C60"/>
    <w:rsid w:val="00650618"/>
    <w:rsid w:val="006556D2"/>
    <w:rsid w:val="00655AF0"/>
    <w:rsid w:val="00657690"/>
    <w:rsid w:val="00661BF1"/>
    <w:rsid w:val="006654AB"/>
    <w:rsid w:val="00666983"/>
    <w:rsid w:val="006670AB"/>
    <w:rsid w:val="00671510"/>
    <w:rsid w:val="006718D1"/>
    <w:rsid w:val="00673012"/>
    <w:rsid w:val="006770DE"/>
    <w:rsid w:val="00680176"/>
    <w:rsid w:val="006812BE"/>
    <w:rsid w:val="00683718"/>
    <w:rsid w:val="00684176"/>
    <w:rsid w:val="00685E97"/>
    <w:rsid w:val="00686CE0"/>
    <w:rsid w:val="00687191"/>
    <w:rsid w:val="00690DBD"/>
    <w:rsid w:val="00691861"/>
    <w:rsid w:val="006920CD"/>
    <w:rsid w:val="00694AFE"/>
    <w:rsid w:val="00694F0B"/>
    <w:rsid w:val="00696893"/>
    <w:rsid w:val="00697E0E"/>
    <w:rsid w:val="006A0137"/>
    <w:rsid w:val="006A0F10"/>
    <w:rsid w:val="006A269B"/>
    <w:rsid w:val="006A5DD5"/>
    <w:rsid w:val="006A7D58"/>
    <w:rsid w:val="006B6FB1"/>
    <w:rsid w:val="006C0B4F"/>
    <w:rsid w:val="006C12BE"/>
    <w:rsid w:val="006C55AC"/>
    <w:rsid w:val="006C67E3"/>
    <w:rsid w:val="006D097A"/>
    <w:rsid w:val="006D0ED5"/>
    <w:rsid w:val="006D3E83"/>
    <w:rsid w:val="006D4871"/>
    <w:rsid w:val="006D4C78"/>
    <w:rsid w:val="006D6AE4"/>
    <w:rsid w:val="006D7284"/>
    <w:rsid w:val="006E2580"/>
    <w:rsid w:val="006E6F85"/>
    <w:rsid w:val="006E7726"/>
    <w:rsid w:val="006F39DF"/>
    <w:rsid w:val="006F3D54"/>
    <w:rsid w:val="006F482D"/>
    <w:rsid w:val="006F4AE4"/>
    <w:rsid w:val="006F7916"/>
    <w:rsid w:val="006F7EFE"/>
    <w:rsid w:val="006F7FF7"/>
    <w:rsid w:val="007007C8"/>
    <w:rsid w:val="00700BEA"/>
    <w:rsid w:val="00702314"/>
    <w:rsid w:val="00703F52"/>
    <w:rsid w:val="00704D08"/>
    <w:rsid w:val="00704E89"/>
    <w:rsid w:val="007056A5"/>
    <w:rsid w:val="00713D82"/>
    <w:rsid w:val="00714D44"/>
    <w:rsid w:val="0071622B"/>
    <w:rsid w:val="0072136A"/>
    <w:rsid w:val="00721B67"/>
    <w:rsid w:val="007259E8"/>
    <w:rsid w:val="00725EDF"/>
    <w:rsid w:val="007272F5"/>
    <w:rsid w:val="00730DBE"/>
    <w:rsid w:val="0073182A"/>
    <w:rsid w:val="0073253B"/>
    <w:rsid w:val="0073651C"/>
    <w:rsid w:val="00736C47"/>
    <w:rsid w:val="00740FC2"/>
    <w:rsid w:val="00741D29"/>
    <w:rsid w:val="00751097"/>
    <w:rsid w:val="00752D2C"/>
    <w:rsid w:val="00755C82"/>
    <w:rsid w:val="00756093"/>
    <w:rsid w:val="007561DB"/>
    <w:rsid w:val="00757A66"/>
    <w:rsid w:val="007609C1"/>
    <w:rsid w:val="00761DB6"/>
    <w:rsid w:val="00765EED"/>
    <w:rsid w:val="0077255A"/>
    <w:rsid w:val="00773331"/>
    <w:rsid w:val="00774809"/>
    <w:rsid w:val="0077575B"/>
    <w:rsid w:val="007757D4"/>
    <w:rsid w:val="00776EF4"/>
    <w:rsid w:val="00777D73"/>
    <w:rsid w:val="00780B67"/>
    <w:rsid w:val="00781CC8"/>
    <w:rsid w:val="00782CA4"/>
    <w:rsid w:val="0078349B"/>
    <w:rsid w:val="00783A46"/>
    <w:rsid w:val="007876EA"/>
    <w:rsid w:val="00791412"/>
    <w:rsid w:val="007929CD"/>
    <w:rsid w:val="007932EF"/>
    <w:rsid w:val="00793E16"/>
    <w:rsid w:val="007945A5"/>
    <w:rsid w:val="00794C86"/>
    <w:rsid w:val="007A2039"/>
    <w:rsid w:val="007A42DC"/>
    <w:rsid w:val="007A4E37"/>
    <w:rsid w:val="007A7A4D"/>
    <w:rsid w:val="007C52FD"/>
    <w:rsid w:val="007D0861"/>
    <w:rsid w:val="007D1F30"/>
    <w:rsid w:val="007D237E"/>
    <w:rsid w:val="007D4B20"/>
    <w:rsid w:val="007D5D9D"/>
    <w:rsid w:val="007D68D4"/>
    <w:rsid w:val="007D74F6"/>
    <w:rsid w:val="007E010B"/>
    <w:rsid w:val="007E05B0"/>
    <w:rsid w:val="007E0B64"/>
    <w:rsid w:val="007E2B7C"/>
    <w:rsid w:val="007E3E70"/>
    <w:rsid w:val="007E7B55"/>
    <w:rsid w:val="007F3A84"/>
    <w:rsid w:val="007F54D1"/>
    <w:rsid w:val="007F5EAD"/>
    <w:rsid w:val="007F78AC"/>
    <w:rsid w:val="00801402"/>
    <w:rsid w:val="008014C7"/>
    <w:rsid w:val="008021E0"/>
    <w:rsid w:val="00802BD0"/>
    <w:rsid w:val="00802FC2"/>
    <w:rsid w:val="008035E3"/>
    <w:rsid w:val="00803C58"/>
    <w:rsid w:val="00807C30"/>
    <w:rsid w:val="008120E0"/>
    <w:rsid w:val="00817C80"/>
    <w:rsid w:val="008200A7"/>
    <w:rsid w:val="00820151"/>
    <w:rsid w:val="008210DC"/>
    <w:rsid w:val="00822CB9"/>
    <w:rsid w:val="00822FA7"/>
    <w:rsid w:val="0082357B"/>
    <w:rsid w:val="00823C51"/>
    <w:rsid w:val="0082653E"/>
    <w:rsid w:val="00827D60"/>
    <w:rsid w:val="008314C4"/>
    <w:rsid w:val="00832313"/>
    <w:rsid w:val="0083246E"/>
    <w:rsid w:val="008334D6"/>
    <w:rsid w:val="00833EED"/>
    <w:rsid w:val="00837585"/>
    <w:rsid w:val="0084434C"/>
    <w:rsid w:val="0084563F"/>
    <w:rsid w:val="00845B61"/>
    <w:rsid w:val="00850662"/>
    <w:rsid w:val="00853291"/>
    <w:rsid w:val="00855FA7"/>
    <w:rsid w:val="0085681D"/>
    <w:rsid w:val="00857ECC"/>
    <w:rsid w:val="00860655"/>
    <w:rsid w:val="00860D4A"/>
    <w:rsid w:val="00863FA9"/>
    <w:rsid w:val="008648FF"/>
    <w:rsid w:val="00865D66"/>
    <w:rsid w:val="0087185D"/>
    <w:rsid w:val="008730C8"/>
    <w:rsid w:val="00873C72"/>
    <w:rsid w:val="00874D22"/>
    <w:rsid w:val="00880A72"/>
    <w:rsid w:val="008810F3"/>
    <w:rsid w:val="008822AD"/>
    <w:rsid w:val="00882989"/>
    <w:rsid w:val="0088567A"/>
    <w:rsid w:val="008859BC"/>
    <w:rsid w:val="00886327"/>
    <w:rsid w:val="00887600"/>
    <w:rsid w:val="00891F7D"/>
    <w:rsid w:val="008A1127"/>
    <w:rsid w:val="008A1461"/>
    <w:rsid w:val="008A2914"/>
    <w:rsid w:val="008A2E4E"/>
    <w:rsid w:val="008B64CB"/>
    <w:rsid w:val="008B7352"/>
    <w:rsid w:val="008C00D9"/>
    <w:rsid w:val="008C1416"/>
    <w:rsid w:val="008C22D5"/>
    <w:rsid w:val="008C515F"/>
    <w:rsid w:val="008D2ECA"/>
    <w:rsid w:val="008D4B10"/>
    <w:rsid w:val="008D4CC2"/>
    <w:rsid w:val="008D6F98"/>
    <w:rsid w:val="008E0371"/>
    <w:rsid w:val="008E2694"/>
    <w:rsid w:val="008E44BD"/>
    <w:rsid w:val="008E4D8E"/>
    <w:rsid w:val="008E6B32"/>
    <w:rsid w:val="008E7391"/>
    <w:rsid w:val="008F1E98"/>
    <w:rsid w:val="008F2AC7"/>
    <w:rsid w:val="008F3DDE"/>
    <w:rsid w:val="008F55B8"/>
    <w:rsid w:val="008F7FFC"/>
    <w:rsid w:val="00904250"/>
    <w:rsid w:val="00906BE1"/>
    <w:rsid w:val="00907438"/>
    <w:rsid w:val="00914032"/>
    <w:rsid w:val="009158AA"/>
    <w:rsid w:val="0091642E"/>
    <w:rsid w:val="00921603"/>
    <w:rsid w:val="00922B06"/>
    <w:rsid w:val="0092614A"/>
    <w:rsid w:val="00931554"/>
    <w:rsid w:val="00931EE5"/>
    <w:rsid w:val="00940731"/>
    <w:rsid w:val="00942E9A"/>
    <w:rsid w:val="00943E65"/>
    <w:rsid w:val="00944BDE"/>
    <w:rsid w:val="0095207F"/>
    <w:rsid w:val="00955FFB"/>
    <w:rsid w:val="00956038"/>
    <w:rsid w:val="0095607E"/>
    <w:rsid w:val="00956400"/>
    <w:rsid w:val="00956FF4"/>
    <w:rsid w:val="00957286"/>
    <w:rsid w:val="00957B98"/>
    <w:rsid w:val="009605D8"/>
    <w:rsid w:val="009606D7"/>
    <w:rsid w:val="00961622"/>
    <w:rsid w:val="00964B82"/>
    <w:rsid w:val="00965AE2"/>
    <w:rsid w:val="00966041"/>
    <w:rsid w:val="0096720F"/>
    <w:rsid w:val="009706CB"/>
    <w:rsid w:val="00971375"/>
    <w:rsid w:val="00971D00"/>
    <w:rsid w:val="00971D68"/>
    <w:rsid w:val="00980E18"/>
    <w:rsid w:val="00993E09"/>
    <w:rsid w:val="009957C5"/>
    <w:rsid w:val="00996AEF"/>
    <w:rsid w:val="009A2595"/>
    <w:rsid w:val="009A301B"/>
    <w:rsid w:val="009A3072"/>
    <w:rsid w:val="009A4DBF"/>
    <w:rsid w:val="009A5579"/>
    <w:rsid w:val="009A7A5A"/>
    <w:rsid w:val="009B3320"/>
    <w:rsid w:val="009B4623"/>
    <w:rsid w:val="009B5048"/>
    <w:rsid w:val="009B5878"/>
    <w:rsid w:val="009B6887"/>
    <w:rsid w:val="009B7683"/>
    <w:rsid w:val="009B7970"/>
    <w:rsid w:val="009C0B15"/>
    <w:rsid w:val="009C3882"/>
    <w:rsid w:val="009C3C55"/>
    <w:rsid w:val="009C4AA1"/>
    <w:rsid w:val="009D050A"/>
    <w:rsid w:val="009D0D09"/>
    <w:rsid w:val="009D2BE4"/>
    <w:rsid w:val="009E3C0D"/>
    <w:rsid w:val="009E3E39"/>
    <w:rsid w:val="009F034F"/>
    <w:rsid w:val="009F0766"/>
    <w:rsid w:val="009F0864"/>
    <w:rsid w:val="009F0D40"/>
    <w:rsid w:val="009F41D3"/>
    <w:rsid w:val="009F59D3"/>
    <w:rsid w:val="009F6C7C"/>
    <w:rsid w:val="00A00058"/>
    <w:rsid w:val="00A03896"/>
    <w:rsid w:val="00A071C3"/>
    <w:rsid w:val="00A200E0"/>
    <w:rsid w:val="00A20C60"/>
    <w:rsid w:val="00A22E8B"/>
    <w:rsid w:val="00A250B4"/>
    <w:rsid w:val="00A27572"/>
    <w:rsid w:val="00A30A77"/>
    <w:rsid w:val="00A312DC"/>
    <w:rsid w:val="00A313A9"/>
    <w:rsid w:val="00A32434"/>
    <w:rsid w:val="00A33B70"/>
    <w:rsid w:val="00A33E48"/>
    <w:rsid w:val="00A33EB7"/>
    <w:rsid w:val="00A3503F"/>
    <w:rsid w:val="00A369AB"/>
    <w:rsid w:val="00A36CB9"/>
    <w:rsid w:val="00A3777B"/>
    <w:rsid w:val="00A40116"/>
    <w:rsid w:val="00A42598"/>
    <w:rsid w:val="00A43B15"/>
    <w:rsid w:val="00A4581A"/>
    <w:rsid w:val="00A46DE3"/>
    <w:rsid w:val="00A546BE"/>
    <w:rsid w:val="00A5534F"/>
    <w:rsid w:val="00A565C7"/>
    <w:rsid w:val="00A57C03"/>
    <w:rsid w:val="00A61F97"/>
    <w:rsid w:val="00A62D23"/>
    <w:rsid w:val="00A634A0"/>
    <w:rsid w:val="00A642FA"/>
    <w:rsid w:val="00A664E1"/>
    <w:rsid w:val="00A72F83"/>
    <w:rsid w:val="00A748FA"/>
    <w:rsid w:val="00A803C4"/>
    <w:rsid w:val="00A82F1C"/>
    <w:rsid w:val="00A830D8"/>
    <w:rsid w:val="00A85B65"/>
    <w:rsid w:val="00A93F8D"/>
    <w:rsid w:val="00A95E76"/>
    <w:rsid w:val="00AA112B"/>
    <w:rsid w:val="00AA1EA4"/>
    <w:rsid w:val="00AC295E"/>
    <w:rsid w:val="00AC3770"/>
    <w:rsid w:val="00AC74CC"/>
    <w:rsid w:val="00AC7E59"/>
    <w:rsid w:val="00AD7F1F"/>
    <w:rsid w:val="00AE0728"/>
    <w:rsid w:val="00AE192E"/>
    <w:rsid w:val="00AE3F9E"/>
    <w:rsid w:val="00AE4E1E"/>
    <w:rsid w:val="00AE4FE2"/>
    <w:rsid w:val="00AE58D0"/>
    <w:rsid w:val="00AE6F4F"/>
    <w:rsid w:val="00AE7C0B"/>
    <w:rsid w:val="00AF08F2"/>
    <w:rsid w:val="00AF4187"/>
    <w:rsid w:val="00AF4794"/>
    <w:rsid w:val="00AF6912"/>
    <w:rsid w:val="00B0280F"/>
    <w:rsid w:val="00B0565A"/>
    <w:rsid w:val="00B063A1"/>
    <w:rsid w:val="00B06703"/>
    <w:rsid w:val="00B07446"/>
    <w:rsid w:val="00B103F0"/>
    <w:rsid w:val="00B13271"/>
    <w:rsid w:val="00B134F9"/>
    <w:rsid w:val="00B14C7C"/>
    <w:rsid w:val="00B15539"/>
    <w:rsid w:val="00B20561"/>
    <w:rsid w:val="00B20D78"/>
    <w:rsid w:val="00B230BB"/>
    <w:rsid w:val="00B25D37"/>
    <w:rsid w:val="00B32476"/>
    <w:rsid w:val="00B3365B"/>
    <w:rsid w:val="00B35881"/>
    <w:rsid w:val="00B37B81"/>
    <w:rsid w:val="00B4034A"/>
    <w:rsid w:val="00B40A97"/>
    <w:rsid w:val="00B425DE"/>
    <w:rsid w:val="00B434C7"/>
    <w:rsid w:val="00B625B1"/>
    <w:rsid w:val="00B705D2"/>
    <w:rsid w:val="00B71AFC"/>
    <w:rsid w:val="00B75D0E"/>
    <w:rsid w:val="00B76A0B"/>
    <w:rsid w:val="00B775A0"/>
    <w:rsid w:val="00B7788B"/>
    <w:rsid w:val="00B8216E"/>
    <w:rsid w:val="00B842C6"/>
    <w:rsid w:val="00B8470E"/>
    <w:rsid w:val="00B906AB"/>
    <w:rsid w:val="00B90E7B"/>
    <w:rsid w:val="00B937A3"/>
    <w:rsid w:val="00B9488F"/>
    <w:rsid w:val="00B965E7"/>
    <w:rsid w:val="00BA109B"/>
    <w:rsid w:val="00BA23BB"/>
    <w:rsid w:val="00BA244D"/>
    <w:rsid w:val="00BA4815"/>
    <w:rsid w:val="00BA5BCF"/>
    <w:rsid w:val="00BA75BA"/>
    <w:rsid w:val="00BB0393"/>
    <w:rsid w:val="00BB1D5A"/>
    <w:rsid w:val="00BB26BC"/>
    <w:rsid w:val="00BB4934"/>
    <w:rsid w:val="00BB54B0"/>
    <w:rsid w:val="00BB66D8"/>
    <w:rsid w:val="00BC0686"/>
    <w:rsid w:val="00BC13FD"/>
    <w:rsid w:val="00BC176E"/>
    <w:rsid w:val="00BC3610"/>
    <w:rsid w:val="00BC4FE7"/>
    <w:rsid w:val="00BC52C4"/>
    <w:rsid w:val="00BD3695"/>
    <w:rsid w:val="00BD5399"/>
    <w:rsid w:val="00BD585C"/>
    <w:rsid w:val="00BE0FD8"/>
    <w:rsid w:val="00BE32DE"/>
    <w:rsid w:val="00BE5138"/>
    <w:rsid w:val="00BE567B"/>
    <w:rsid w:val="00C00E5E"/>
    <w:rsid w:val="00C017D9"/>
    <w:rsid w:val="00C04F31"/>
    <w:rsid w:val="00C056A1"/>
    <w:rsid w:val="00C104B8"/>
    <w:rsid w:val="00C10C9F"/>
    <w:rsid w:val="00C12301"/>
    <w:rsid w:val="00C145F0"/>
    <w:rsid w:val="00C146F7"/>
    <w:rsid w:val="00C14710"/>
    <w:rsid w:val="00C14D5C"/>
    <w:rsid w:val="00C2013D"/>
    <w:rsid w:val="00C2185D"/>
    <w:rsid w:val="00C266AB"/>
    <w:rsid w:val="00C26C17"/>
    <w:rsid w:val="00C34622"/>
    <w:rsid w:val="00C3622F"/>
    <w:rsid w:val="00C3685D"/>
    <w:rsid w:val="00C3731F"/>
    <w:rsid w:val="00C37740"/>
    <w:rsid w:val="00C40C01"/>
    <w:rsid w:val="00C4386D"/>
    <w:rsid w:val="00C4438B"/>
    <w:rsid w:val="00C50C85"/>
    <w:rsid w:val="00C524CE"/>
    <w:rsid w:val="00C56DE0"/>
    <w:rsid w:val="00C57A2B"/>
    <w:rsid w:val="00C61B72"/>
    <w:rsid w:val="00C629EF"/>
    <w:rsid w:val="00C6528B"/>
    <w:rsid w:val="00C6534E"/>
    <w:rsid w:val="00C66416"/>
    <w:rsid w:val="00C667DB"/>
    <w:rsid w:val="00C67956"/>
    <w:rsid w:val="00C70837"/>
    <w:rsid w:val="00C7167E"/>
    <w:rsid w:val="00C7224D"/>
    <w:rsid w:val="00C72608"/>
    <w:rsid w:val="00C72C4C"/>
    <w:rsid w:val="00C73C08"/>
    <w:rsid w:val="00C747E3"/>
    <w:rsid w:val="00C758BE"/>
    <w:rsid w:val="00C75D7C"/>
    <w:rsid w:val="00C76E7E"/>
    <w:rsid w:val="00C801EA"/>
    <w:rsid w:val="00C80B12"/>
    <w:rsid w:val="00C813C9"/>
    <w:rsid w:val="00C818BC"/>
    <w:rsid w:val="00C84885"/>
    <w:rsid w:val="00C85100"/>
    <w:rsid w:val="00C85F3F"/>
    <w:rsid w:val="00C87119"/>
    <w:rsid w:val="00C9169A"/>
    <w:rsid w:val="00C95D8D"/>
    <w:rsid w:val="00CA0959"/>
    <w:rsid w:val="00CA1AFA"/>
    <w:rsid w:val="00CA423A"/>
    <w:rsid w:val="00CA7B35"/>
    <w:rsid w:val="00CB04DB"/>
    <w:rsid w:val="00CB0A3E"/>
    <w:rsid w:val="00CB20CB"/>
    <w:rsid w:val="00CB3AB8"/>
    <w:rsid w:val="00CB3E1F"/>
    <w:rsid w:val="00CB5A3A"/>
    <w:rsid w:val="00CB616E"/>
    <w:rsid w:val="00CB61DD"/>
    <w:rsid w:val="00CC0984"/>
    <w:rsid w:val="00CC3008"/>
    <w:rsid w:val="00CC392D"/>
    <w:rsid w:val="00CC3C41"/>
    <w:rsid w:val="00CD0397"/>
    <w:rsid w:val="00CD1AF7"/>
    <w:rsid w:val="00CD68E8"/>
    <w:rsid w:val="00CD768C"/>
    <w:rsid w:val="00CE1299"/>
    <w:rsid w:val="00CE6508"/>
    <w:rsid w:val="00CE76FF"/>
    <w:rsid w:val="00CE7755"/>
    <w:rsid w:val="00CF011D"/>
    <w:rsid w:val="00CF1374"/>
    <w:rsid w:val="00CF35BA"/>
    <w:rsid w:val="00CF57F8"/>
    <w:rsid w:val="00CF5F99"/>
    <w:rsid w:val="00CF7376"/>
    <w:rsid w:val="00D045DD"/>
    <w:rsid w:val="00D12BB5"/>
    <w:rsid w:val="00D12D0A"/>
    <w:rsid w:val="00D1794A"/>
    <w:rsid w:val="00D20381"/>
    <w:rsid w:val="00D26558"/>
    <w:rsid w:val="00D32D86"/>
    <w:rsid w:val="00D34A7B"/>
    <w:rsid w:val="00D34BED"/>
    <w:rsid w:val="00D3579D"/>
    <w:rsid w:val="00D40375"/>
    <w:rsid w:val="00D419A7"/>
    <w:rsid w:val="00D42D5B"/>
    <w:rsid w:val="00D52489"/>
    <w:rsid w:val="00D54EB6"/>
    <w:rsid w:val="00D56975"/>
    <w:rsid w:val="00D56C39"/>
    <w:rsid w:val="00D61120"/>
    <w:rsid w:val="00D62F33"/>
    <w:rsid w:val="00D6446E"/>
    <w:rsid w:val="00D64E86"/>
    <w:rsid w:val="00D65CFB"/>
    <w:rsid w:val="00D708EA"/>
    <w:rsid w:val="00D763CC"/>
    <w:rsid w:val="00D77F5A"/>
    <w:rsid w:val="00D80DDB"/>
    <w:rsid w:val="00D816C1"/>
    <w:rsid w:val="00D837D8"/>
    <w:rsid w:val="00D8563D"/>
    <w:rsid w:val="00D86024"/>
    <w:rsid w:val="00D87E74"/>
    <w:rsid w:val="00D9060D"/>
    <w:rsid w:val="00D96C01"/>
    <w:rsid w:val="00D96D85"/>
    <w:rsid w:val="00D975AA"/>
    <w:rsid w:val="00DA2214"/>
    <w:rsid w:val="00DA3B8F"/>
    <w:rsid w:val="00DA744D"/>
    <w:rsid w:val="00DB2642"/>
    <w:rsid w:val="00DB4867"/>
    <w:rsid w:val="00DB4B20"/>
    <w:rsid w:val="00DB5830"/>
    <w:rsid w:val="00DC1A68"/>
    <w:rsid w:val="00DC2B49"/>
    <w:rsid w:val="00DC2FF2"/>
    <w:rsid w:val="00DC7883"/>
    <w:rsid w:val="00DC7E05"/>
    <w:rsid w:val="00DD0B0B"/>
    <w:rsid w:val="00DD40EE"/>
    <w:rsid w:val="00DE0714"/>
    <w:rsid w:val="00DE153E"/>
    <w:rsid w:val="00DE3927"/>
    <w:rsid w:val="00DE4159"/>
    <w:rsid w:val="00DE5D5D"/>
    <w:rsid w:val="00DE678C"/>
    <w:rsid w:val="00DE6EEA"/>
    <w:rsid w:val="00DF23C3"/>
    <w:rsid w:val="00DF4A20"/>
    <w:rsid w:val="00DF589B"/>
    <w:rsid w:val="00DF6014"/>
    <w:rsid w:val="00E0068D"/>
    <w:rsid w:val="00E01F26"/>
    <w:rsid w:val="00E03986"/>
    <w:rsid w:val="00E05F0D"/>
    <w:rsid w:val="00E07235"/>
    <w:rsid w:val="00E11317"/>
    <w:rsid w:val="00E22DC4"/>
    <w:rsid w:val="00E2669D"/>
    <w:rsid w:val="00E26AB7"/>
    <w:rsid w:val="00E273C1"/>
    <w:rsid w:val="00E277D4"/>
    <w:rsid w:val="00E332EC"/>
    <w:rsid w:val="00E33C9F"/>
    <w:rsid w:val="00E353E4"/>
    <w:rsid w:val="00E35D44"/>
    <w:rsid w:val="00E40170"/>
    <w:rsid w:val="00E50D53"/>
    <w:rsid w:val="00E522C4"/>
    <w:rsid w:val="00E52827"/>
    <w:rsid w:val="00E5346F"/>
    <w:rsid w:val="00E53824"/>
    <w:rsid w:val="00E57CE8"/>
    <w:rsid w:val="00E6243B"/>
    <w:rsid w:val="00E66FE8"/>
    <w:rsid w:val="00E71A13"/>
    <w:rsid w:val="00E71AF7"/>
    <w:rsid w:val="00E71E73"/>
    <w:rsid w:val="00E7294A"/>
    <w:rsid w:val="00E739A6"/>
    <w:rsid w:val="00E74D46"/>
    <w:rsid w:val="00E75396"/>
    <w:rsid w:val="00E76EB2"/>
    <w:rsid w:val="00E817DD"/>
    <w:rsid w:val="00E845C4"/>
    <w:rsid w:val="00E855D4"/>
    <w:rsid w:val="00E919F3"/>
    <w:rsid w:val="00E937F2"/>
    <w:rsid w:val="00E963B0"/>
    <w:rsid w:val="00E96BE2"/>
    <w:rsid w:val="00E979AB"/>
    <w:rsid w:val="00EA0E5C"/>
    <w:rsid w:val="00EA18F1"/>
    <w:rsid w:val="00EA2BFD"/>
    <w:rsid w:val="00EA4DA9"/>
    <w:rsid w:val="00EA56E6"/>
    <w:rsid w:val="00EA77E2"/>
    <w:rsid w:val="00EB0D8A"/>
    <w:rsid w:val="00EB1ECD"/>
    <w:rsid w:val="00EB281F"/>
    <w:rsid w:val="00EB5A7D"/>
    <w:rsid w:val="00EB6734"/>
    <w:rsid w:val="00EB6BDF"/>
    <w:rsid w:val="00EC2288"/>
    <w:rsid w:val="00EC39BC"/>
    <w:rsid w:val="00ED1286"/>
    <w:rsid w:val="00ED4AE9"/>
    <w:rsid w:val="00ED4B07"/>
    <w:rsid w:val="00ED634A"/>
    <w:rsid w:val="00ED6776"/>
    <w:rsid w:val="00EE140B"/>
    <w:rsid w:val="00EE337B"/>
    <w:rsid w:val="00EE3CF1"/>
    <w:rsid w:val="00EE6862"/>
    <w:rsid w:val="00EE6DDE"/>
    <w:rsid w:val="00EE783A"/>
    <w:rsid w:val="00EF2AAB"/>
    <w:rsid w:val="00EF4A18"/>
    <w:rsid w:val="00EF6BDE"/>
    <w:rsid w:val="00EF6EBE"/>
    <w:rsid w:val="00EF7ACA"/>
    <w:rsid w:val="00EF7EB8"/>
    <w:rsid w:val="00F01FF2"/>
    <w:rsid w:val="00F02072"/>
    <w:rsid w:val="00F028A8"/>
    <w:rsid w:val="00F03222"/>
    <w:rsid w:val="00F03A6A"/>
    <w:rsid w:val="00F0433C"/>
    <w:rsid w:val="00F04902"/>
    <w:rsid w:val="00F06959"/>
    <w:rsid w:val="00F139C8"/>
    <w:rsid w:val="00F147B8"/>
    <w:rsid w:val="00F20D08"/>
    <w:rsid w:val="00F260A6"/>
    <w:rsid w:val="00F336AC"/>
    <w:rsid w:val="00F411AA"/>
    <w:rsid w:val="00F4455F"/>
    <w:rsid w:val="00F50966"/>
    <w:rsid w:val="00F603E8"/>
    <w:rsid w:val="00F6057B"/>
    <w:rsid w:val="00F62F9E"/>
    <w:rsid w:val="00F62FF5"/>
    <w:rsid w:val="00F658FB"/>
    <w:rsid w:val="00F66A8D"/>
    <w:rsid w:val="00F674E6"/>
    <w:rsid w:val="00F715B9"/>
    <w:rsid w:val="00F71D65"/>
    <w:rsid w:val="00F7500C"/>
    <w:rsid w:val="00F9003C"/>
    <w:rsid w:val="00F9226F"/>
    <w:rsid w:val="00F93703"/>
    <w:rsid w:val="00F95432"/>
    <w:rsid w:val="00F95CA6"/>
    <w:rsid w:val="00F965A8"/>
    <w:rsid w:val="00F96AC1"/>
    <w:rsid w:val="00F96DCD"/>
    <w:rsid w:val="00FA3315"/>
    <w:rsid w:val="00FA6763"/>
    <w:rsid w:val="00FA69C1"/>
    <w:rsid w:val="00FA6C60"/>
    <w:rsid w:val="00FB02FF"/>
    <w:rsid w:val="00FB0890"/>
    <w:rsid w:val="00FB0D3C"/>
    <w:rsid w:val="00FB3971"/>
    <w:rsid w:val="00FB7A78"/>
    <w:rsid w:val="00FC2396"/>
    <w:rsid w:val="00FC38F8"/>
    <w:rsid w:val="00FC4635"/>
    <w:rsid w:val="00FD0241"/>
    <w:rsid w:val="00FD1163"/>
    <w:rsid w:val="00FD1E41"/>
    <w:rsid w:val="00FD6440"/>
    <w:rsid w:val="00FE5C95"/>
    <w:rsid w:val="00FF13F1"/>
    <w:rsid w:val="00FF21F4"/>
    <w:rsid w:val="00FF245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AA72CB4F-BBE9-4F18-9F5E-196B2CF8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2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5"/>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5"/>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5"/>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5"/>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qFormat/>
    <w:rsid w:val="00860655"/>
    <w:pPr>
      <w:numPr>
        <w:numId w:val="1"/>
      </w:numPr>
    </w:pPr>
    <w:rPr>
      <w:rFonts w:eastAsia="Times New Roman"/>
      <w:lang w:eastAsia="en-GB"/>
    </w:rPr>
  </w:style>
  <w:style w:type="paragraph" w:styleId="ListBullet2">
    <w:name w:val="List Bullet 2"/>
    <w:basedOn w:val="Normal"/>
    <w:uiPriority w:val="99"/>
    <w:semiHidden/>
    <w:unhideWhenUsed/>
    <w:rsid w:val="003B410C"/>
    <w:pPr>
      <w:numPr>
        <w:numId w:val="2"/>
      </w:numPr>
      <w:contextualSpacing/>
    </w:pPr>
  </w:style>
  <w:style w:type="paragraph" w:styleId="ListBullet3">
    <w:name w:val="List Bullet 3"/>
    <w:basedOn w:val="Normal"/>
    <w:uiPriority w:val="99"/>
    <w:semiHidden/>
    <w:unhideWhenUsed/>
    <w:rsid w:val="003B410C"/>
    <w:pPr>
      <w:numPr>
        <w:numId w:val="3"/>
      </w:numPr>
      <w:contextualSpacing/>
    </w:pPr>
  </w:style>
  <w:style w:type="paragraph" w:styleId="ListBullet4">
    <w:name w:val="List Bullet 4"/>
    <w:basedOn w:val="Normal"/>
    <w:uiPriority w:val="99"/>
    <w:semiHidden/>
    <w:unhideWhenUsed/>
    <w:rsid w:val="003B410C"/>
    <w:pPr>
      <w:numPr>
        <w:numId w:val="4"/>
      </w:numPr>
      <w:contextualSpacing/>
    </w:pPr>
  </w:style>
  <w:style w:type="character" w:styleId="CommentReference">
    <w:name w:val="annotation reference"/>
    <w:basedOn w:val="DefaultParagraphFont"/>
    <w:uiPriority w:val="99"/>
    <w:semiHidden/>
    <w:unhideWhenUsed/>
    <w:rsid w:val="00E522C4"/>
    <w:rPr>
      <w:sz w:val="16"/>
      <w:szCs w:val="16"/>
    </w:rPr>
  </w:style>
  <w:style w:type="paragraph" w:styleId="CommentText">
    <w:name w:val="annotation text"/>
    <w:basedOn w:val="Normal"/>
    <w:link w:val="CommentTextChar"/>
    <w:uiPriority w:val="99"/>
    <w:unhideWhenUsed/>
    <w:rsid w:val="00E522C4"/>
    <w:rPr>
      <w:sz w:val="20"/>
      <w:szCs w:val="20"/>
    </w:rPr>
  </w:style>
  <w:style w:type="character" w:customStyle="1" w:styleId="CommentTextChar">
    <w:name w:val="Comment Text Char"/>
    <w:basedOn w:val="DefaultParagraphFont"/>
    <w:link w:val="CommentText"/>
    <w:uiPriority w:val="99"/>
    <w:rsid w:val="00E522C4"/>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sid w:val="00E522C4"/>
    <w:rPr>
      <w:b/>
      <w:bCs/>
    </w:rPr>
  </w:style>
  <w:style w:type="character" w:customStyle="1" w:styleId="CommentSubjectChar">
    <w:name w:val="Comment Subject Char"/>
    <w:basedOn w:val="CommentTextChar"/>
    <w:link w:val="CommentSubject"/>
    <w:uiPriority w:val="99"/>
    <w:semiHidden/>
    <w:rsid w:val="00E522C4"/>
    <w:rPr>
      <w:rFonts w:ascii="Times New Roman" w:hAnsi="Times New Roman" w:cs="Times New Roman"/>
      <w:b/>
      <w:bCs/>
      <w:sz w:val="20"/>
      <w:szCs w:val="20"/>
      <w:lang w:val="cs-CZ"/>
    </w:rPr>
  </w:style>
  <w:style w:type="character" w:styleId="Hyperlink">
    <w:name w:val="Hyperlink"/>
    <w:basedOn w:val="DefaultParagraphFont"/>
    <w:uiPriority w:val="99"/>
    <w:unhideWhenUsed/>
    <w:rsid w:val="00F66A8D"/>
    <w:rPr>
      <w:color w:val="0000FF" w:themeColor="hyperlink"/>
      <w:u w:val="single"/>
    </w:rPr>
  </w:style>
  <w:style w:type="character" w:customStyle="1" w:styleId="UnresolvedMention">
    <w:name w:val="Unresolved Mention"/>
    <w:basedOn w:val="DefaultParagraphFont"/>
    <w:uiPriority w:val="99"/>
    <w:unhideWhenUsed/>
    <w:rsid w:val="00E522C4"/>
    <w:rPr>
      <w:color w:val="605E5C"/>
      <w:shd w:val="clear" w:color="auto" w:fill="E1DFDD"/>
    </w:rPr>
  </w:style>
  <w:style w:type="paragraph" w:styleId="Revision">
    <w:name w:val="Revision"/>
    <w:hidden/>
    <w:uiPriority w:val="99"/>
    <w:semiHidden/>
    <w:rsid w:val="00016E59"/>
    <w:pPr>
      <w:spacing w:after="0" w:line="240" w:lineRule="auto"/>
    </w:pPr>
    <w:rPr>
      <w:rFonts w:ascii="Times New Roman" w:hAnsi="Times New Roman" w:cs="Times New Roman"/>
      <w:sz w:val="24"/>
    </w:rPr>
  </w:style>
  <w:style w:type="character" w:styleId="Emphasis">
    <w:name w:val="Emphasis"/>
    <w:basedOn w:val="DefaultParagraphFont"/>
    <w:uiPriority w:val="20"/>
    <w:qFormat/>
    <w:rsid w:val="00F66A8D"/>
    <w:rPr>
      <w:i/>
      <w:iCs/>
    </w:rPr>
  </w:style>
  <w:style w:type="paragraph" w:styleId="ListParagraph">
    <w:name w:val="List Paragraph"/>
    <w:aliases w:val="Paragraphe EI,Paragraphe de liste1,EC"/>
    <w:basedOn w:val="Normal"/>
    <w:link w:val="ListParagraphChar"/>
    <w:uiPriority w:val="34"/>
    <w:qFormat/>
    <w:rsid w:val="00F66A8D"/>
    <w:pPr>
      <w:spacing w:before="0" w:after="0"/>
      <w:ind w:left="720"/>
      <w:jc w:val="left"/>
    </w:pPr>
    <w:rPr>
      <w:rFonts w:ascii="Calibri" w:eastAsia="Calibri" w:hAnsi="Calibri"/>
      <w:sz w:val="22"/>
    </w:rPr>
  </w:style>
  <w:style w:type="character" w:customStyle="1" w:styleId="ListParagraphChar">
    <w:name w:val="List Paragraph Char"/>
    <w:aliases w:val="Paragraphe EI Char,Paragraphe de liste1 Char,EC Char"/>
    <w:link w:val="ListParagraph"/>
    <w:uiPriority w:val="34"/>
    <w:rsid w:val="00F66A8D"/>
    <w:rPr>
      <w:rFonts w:ascii="Calibri" w:eastAsia="Calibri" w:hAnsi="Calibri" w:cs="Times New Roman"/>
      <w:lang w:val="cs-CZ"/>
    </w:rPr>
  </w:style>
  <w:style w:type="paragraph" w:customStyle="1" w:styleId="Numberedtilelevel1">
    <w:name w:val="Numbered tile level 1"/>
    <w:basedOn w:val="Normal"/>
    <w:qFormat/>
    <w:rsid w:val="00F66A8D"/>
    <w:pPr>
      <w:numPr>
        <w:numId w:val="13"/>
      </w:numPr>
      <w:pBdr>
        <w:bottom w:val="single" w:sz="8" w:space="1" w:color="1F497D" w:themeColor="text2"/>
      </w:pBdr>
      <w:spacing w:before="360" w:after="600" w:line="560" w:lineRule="exact"/>
      <w:jc w:val="left"/>
    </w:pPr>
    <w:rPr>
      <w:rFonts w:asciiTheme="majorHAnsi" w:eastAsiaTheme="majorEastAsia" w:hAnsiTheme="majorHAnsi" w:cstheme="majorBidi"/>
      <w:color w:val="1F497D" w:themeColor="text2"/>
      <w:spacing w:val="5"/>
      <w:kern w:val="28"/>
      <w:sz w:val="52"/>
      <w:szCs w:val="52"/>
    </w:rPr>
  </w:style>
  <w:style w:type="paragraph" w:customStyle="1" w:styleId="Numberedtitlelevel2">
    <w:name w:val="Numbered title level 2"/>
    <w:basedOn w:val="Normal"/>
    <w:next w:val="Normal"/>
    <w:qFormat/>
    <w:rsid w:val="00F66A8D"/>
    <w:pPr>
      <w:numPr>
        <w:ilvl w:val="1"/>
        <w:numId w:val="13"/>
      </w:numPr>
      <w:spacing w:before="240" w:after="240"/>
      <w:jc w:val="left"/>
    </w:pPr>
    <w:rPr>
      <w:rFonts w:asciiTheme="majorHAnsi" w:eastAsiaTheme="majorEastAsia" w:hAnsiTheme="majorHAnsi" w:cstheme="majorBidi"/>
      <w:bCs/>
      <w:color w:val="1F497D" w:themeColor="text2"/>
      <w:sz w:val="32"/>
      <w:szCs w:val="24"/>
    </w:rPr>
  </w:style>
  <w:style w:type="paragraph" w:customStyle="1" w:styleId="Numberedtitlelevel3">
    <w:name w:val="Numbered title level 3"/>
    <w:basedOn w:val="Normal"/>
    <w:next w:val="Normal"/>
    <w:qFormat/>
    <w:rsid w:val="00F66A8D"/>
    <w:pPr>
      <w:numPr>
        <w:ilvl w:val="2"/>
        <w:numId w:val="13"/>
      </w:numPr>
      <w:spacing w:before="240" w:after="240"/>
      <w:jc w:val="left"/>
    </w:pPr>
    <w:rPr>
      <w:rFonts w:asciiTheme="minorHAnsi" w:eastAsiaTheme="minorEastAsia" w:hAnsiTheme="minorHAnsi" w:cstheme="minorBidi"/>
      <w:b/>
      <w:color w:val="1F497D" w:themeColor="text2"/>
      <w:szCs w:val="24"/>
    </w:rPr>
  </w:style>
  <w:style w:type="paragraph" w:styleId="Caption">
    <w:name w:val="caption"/>
    <w:basedOn w:val="Normal"/>
    <w:next w:val="Normal"/>
    <w:uiPriority w:val="35"/>
    <w:semiHidden/>
    <w:unhideWhenUsed/>
    <w:qFormat/>
    <w:rsid w:val="00F66A8D"/>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F66A8D"/>
    <w:pPr>
      <w:spacing w:after="0"/>
    </w:pPr>
  </w:style>
  <w:style w:type="paragraph" w:styleId="ListNumber">
    <w:name w:val="List Number"/>
    <w:basedOn w:val="Normal"/>
    <w:uiPriority w:val="99"/>
    <w:semiHidden/>
    <w:unhideWhenUsed/>
    <w:rsid w:val="00F66A8D"/>
    <w:pPr>
      <w:numPr>
        <w:numId w:val="14"/>
      </w:numPr>
      <w:contextualSpacing/>
    </w:pPr>
  </w:style>
  <w:style w:type="paragraph" w:styleId="ListNumber2">
    <w:name w:val="List Number 2"/>
    <w:basedOn w:val="Normal"/>
    <w:uiPriority w:val="99"/>
    <w:semiHidden/>
    <w:unhideWhenUsed/>
    <w:rsid w:val="00F66A8D"/>
    <w:pPr>
      <w:numPr>
        <w:numId w:val="15"/>
      </w:numPr>
      <w:contextualSpacing/>
    </w:pPr>
  </w:style>
  <w:style w:type="paragraph" w:styleId="ListNumber3">
    <w:name w:val="List Number 3"/>
    <w:basedOn w:val="Normal"/>
    <w:uiPriority w:val="99"/>
    <w:semiHidden/>
    <w:unhideWhenUsed/>
    <w:rsid w:val="00F66A8D"/>
    <w:pPr>
      <w:numPr>
        <w:numId w:val="16"/>
      </w:numPr>
      <w:contextualSpacing/>
    </w:pPr>
  </w:style>
  <w:style w:type="paragraph" w:styleId="ListNumber4">
    <w:name w:val="List Number 4"/>
    <w:basedOn w:val="Normal"/>
    <w:uiPriority w:val="99"/>
    <w:semiHidden/>
    <w:unhideWhenUsed/>
    <w:rsid w:val="00F66A8D"/>
    <w:pPr>
      <w:numPr>
        <w:numId w:val="17"/>
      </w:numPr>
      <w:tabs>
        <w:tab w:val="clear" w:pos="1209"/>
        <w:tab w:val="num" w:pos="360"/>
      </w:tabs>
      <w:ind w:left="0" w:firstLine="0"/>
      <w:contextualSpacing/>
    </w:pPr>
  </w:style>
  <w:style w:type="character" w:customStyle="1" w:styleId="Mention">
    <w:name w:val="Mention"/>
    <w:basedOn w:val="DefaultParagraphFont"/>
    <w:uiPriority w:val="99"/>
    <w:unhideWhenUsed/>
    <w:rsid w:val="00BB66D8"/>
    <w:rPr>
      <w:color w:val="2B579A"/>
      <w:shd w:val="clear" w:color="auto" w:fill="E1DFDD"/>
    </w:rPr>
  </w:style>
  <w:style w:type="character" w:customStyle="1" w:styleId="HeaderChar">
    <w:name w:val="Header Char"/>
    <w:basedOn w:val="DefaultParagraphFont"/>
    <w:link w:val="Header"/>
    <w:uiPriority w:val="99"/>
    <w:rsid w:val="009A2595"/>
    <w:rPr>
      <w:rFonts w:ascii="Times New Roman" w:hAnsi="Times New Roman" w:cs="Times New Roman"/>
      <w:sz w:val="24"/>
      <w:lang w:val="cs-CZ"/>
    </w:rPr>
  </w:style>
  <w:style w:type="character" w:customStyle="1" w:styleId="FooterChar">
    <w:name w:val="Footer Char"/>
    <w:basedOn w:val="DefaultParagraphFont"/>
    <w:link w:val="Footer"/>
    <w:uiPriority w:val="99"/>
    <w:rsid w:val="009A2595"/>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cs-CZ"/>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cs-CZ"/>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cs-CZ"/>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cs-CZ"/>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cs-CZ"/>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cs-CZ"/>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cs-CZ"/>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9A2595"/>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9A2595"/>
    <w:pPr>
      <w:spacing w:before="0"/>
      <w:jc w:val="right"/>
    </w:pPr>
    <w:rPr>
      <w:sz w:val="28"/>
    </w:rPr>
  </w:style>
  <w:style w:type="paragraph" w:customStyle="1" w:styleId="FooterSensitivity">
    <w:name w:val="Footer Sensitivity"/>
    <w:basedOn w:val="Normal"/>
    <w:rsid w:val="009A2595"/>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Tiret5">
    <w:name w:val="Tiret 5"/>
    <w:basedOn w:val="Point5"/>
    <w:pPr>
      <w:numPr>
        <w:numId w:val="2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4"/>
      </w:numPr>
    </w:pPr>
  </w:style>
  <w:style w:type="paragraph" w:customStyle="1" w:styleId="NumPar2">
    <w:name w:val="NumPar 2"/>
    <w:basedOn w:val="Normal"/>
    <w:next w:val="Text1"/>
    <w:pPr>
      <w:numPr>
        <w:ilvl w:val="1"/>
        <w:numId w:val="24"/>
      </w:numPr>
    </w:pPr>
  </w:style>
  <w:style w:type="paragraph" w:customStyle="1" w:styleId="NumPar3">
    <w:name w:val="NumPar 3"/>
    <w:basedOn w:val="Normal"/>
    <w:next w:val="Text1"/>
    <w:pPr>
      <w:numPr>
        <w:ilvl w:val="2"/>
        <w:numId w:val="24"/>
      </w:numPr>
    </w:pPr>
  </w:style>
  <w:style w:type="paragraph" w:customStyle="1" w:styleId="NumPar4">
    <w:name w:val="NumPar 4"/>
    <w:basedOn w:val="Normal"/>
    <w:next w:val="Text1"/>
    <w:pPr>
      <w:numPr>
        <w:ilvl w:val="3"/>
        <w:numId w:val="24"/>
      </w:numPr>
    </w:pPr>
  </w:style>
  <w:style w:type="paragraph" w:customStyle="1" w:styleId="NumPar5">
    <w:name w:val="NumPar 5"/>
    <w:basedOn w:val="Normal"/>
    <w:next w:val="Text2"/>
    <w:pPr>
      <w:numPr>
        <w:ilvl w:val="4"/>
        <w:numId w:val="24"/>
      </w:numPr>
    </w:pPr>
  </w:style>
  <w:style w:type="paragraph" w:customStyle="1" w:styleId="NumPar6">
    <w:name w:val="NumPar 6"/>
    <w:basedOn w:val="Normal"/>
    <w:next w:val="Text2"/>
    <w:pPr>
      <w:numPr>
        <w:ilvl w:val="5"/>
        <w:numId w:val="24"/>
      </w:numPr>
    </w:pPr>
  </w:style>
  <w:style w:type="paragraph" w:customStyle="1" w:styleId="NumPar7">
    <w:name w:val="NumPar 7"/>
    <w:basedOn w:val="Normal"/>
    <w:next w:val="Text2"/>
    <w:pPr>
      <w:numPr>
        <w:ilvl w:val="6"/>
        <w:numId w:val="2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6"/>
      </w:numPr>
    </w:pPr>
  </w:style>
  <w:style w:type="paragraph" w:customStyle="1" w:styleId="Point1number">
    <w:name w:val="Point 1 (number)"/>
    <w:basedOn w:val="Normal"/>
    <w:pPr>
      <w:numPr>
        <w:ilvl w:val="2"/>
        <w:numId w:val="26"/>
      </w:numPr>
    </w:pPr>
  </w:style>
  <w:style w:type="paragraph" w:customStyle="1" w:styleId="Point2number">
    <w:name w:val="Point 2 (number)"/>
    <w:basedOn w:val="Normal"/>
    <w:pPr>
      <w:numPr>
        <w:ilvl w:val="4"/>
        <w:numId w:val="26"/>
      </w:numPr>
    </w:pPr>
  </w:style>
  <w:style w:type="paragraph" w:customStyle="1" w:styleId="Point3number">
    <w:name w:val="Point 3 (number)"/>
    <w:basedOn w:val="Normal"/>
    <w:pPr>
      <w:numPr>
        <w:ilvl w:val="6"/>
        <w:numId w:val="26"/>
      </w:numPr>
    </w:pPr>
  </w:style>
  <w:style w:type="paragraph" w:customStyle="1" w:styleId="Point0letter">
    <w:name w:val="Point 0 (letter)"/>
    <w:basedOn w:val="Normal"/>
    <w:pPr>
      <w:numPr>
        <w:ilvl w:val="1"/>
        <w:numId w:val="26"/>
      </w:numPr>
    </w:pPr>
  </w:style>
  <w:style w:type="paragraph" w:customStyle="1" w:styleId="Point1letter">
    <w:name w:val="Point 1 (letter)"/>
    <w:basedOn w:val="Normal"/>
    <w:pPr>
      <w:numPr>
        <w:ilvl w:val="3"/>
        <w:numId w:val="26"/>
      </w:numPr>
    </w:pPr>
  </w:style>
  <w:style w:type="paragraph" w:customStyle="1" w:styleId="Point2letter">
    <w:name w:val="Point 2 (letter)"/>
    <w:basedOn w:val="Normal"/>
    <w:pPr>
      <w:numPr>
        <w:ilvl w:val="5"/>
        <w:numId w:val="26"/>
      </w:numPr>
    </w:pPr>
  </w:style>
  <w:style w:type="paragraph" w:customStyle="1" w:styleId="Point3letter">
    <w:name w:val="Point 3 (letter)"/>
    <w:basedOn w:val="Normal"/>
    <w:pPr>
      <w:numPr>
        <w:ilvl w:val="7"/>
        <w:numId w:val="26"/>
      </w:numPr>
    </w:pPr>
  </w:style>
  <w:style w:type="paragraph" w:customStyle="1" w:styleId="Point4letter">
    <w:name w:val="Point 4 (letter)"/>
    <w:basedOn w:val="Normal"/>
    <w:pPr>
      <w:numPr>
        <w:ilvl w:val="8"/>
        <w:numId w:val="26"/>
      </w:numPr>
    </w:pPr>
  </w:style>
  <w:style w:type="paragraph" w:customStyle="1" w:styleId="Bullet0">
    <w:name w:val="Bullet 0"/>
    <w:basedOn w:val="Normal"/>
    <w:pPr>
      <w:numPr>
        <w:numId w:val="27"/>
      </w:numPr>
    </w:pPr>
  </w:style>
  <w:style w:type="paragraph" w:customStyle="1" w:styleId="Bullet1">
    <w:name w:val="Bullet 1"/>
    <w:basedOn w:val="Normal"/>
    <w:pPr>
      <w:numPr>
        <w:numId w:val="28"/>
      </w:numPr>
    </w:pPr>
  </w:style>
  <w:style w:type="paragraph" w:customStyle="1" w:styleId="Bullet2">
    <w:name w:val="Bullet 2"/>
    <w:basedOn w:val="Normal"/>
    <w:pPr>
      <w:numPr>
        <w:numId w:val="29"/>
      </w:numPr>
    </w:pPr>
  </w:style>
  <w:style w:type="paragraph" w:customStyle="1" w:styleId="Bullet3">
    <w:name w:val="Bullet 3"/>
    <w:basedOn w:val="Normal"/>
    <w:pPr>
      <w:numPr>
        <w:numId w:val="30"/>
      </w:numPr>
    </w:pPr>
  </w:style>
  <w:style w:type="paragraph" w:customStyle="1" w:styleId="Bullet4">
    <w:name w:val="Bullet 4"/>
    <w:basedOn w:val="Normal"/>
    <w:pPr>
      <w:numPr>
        <w:numId w:val="3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9A2595"/>
    <w:pPr>
      <w:tabs>
        <w:tab w:val="center" w:pos="4535"/>
        <w:tab w:val="right" w:pos="9071"/>
      </w:tabs>
      <w:spacing w:before="0"/>
    </w:pPr>
  </w:style>
  <w:style w:type="paragraph" w:customStyle="1" w:styleId="HeaderLandscape">
    <w:name w:val="HeaderLandscape"/>
    <w:basedOn w:val="Normal"/>
    <w:rsid w:val="009A2595"/>
    <w:pPr>
      <w:tabs>
        <w:tab w:val="center" w:pos="7285"/>
        <w:tab w:val="right" w:pos="14003"/>
      </w:tabs>
      <w:spacing w:before="0"/>
    </w:pPr>
  </w:style>
  <w:style w:type="paragraph" w:styleId="Footer">
    <w:name w:val="footer"/>
    <w:basedOn w:val="Normal"/>
    <w:link w:val="FooterChar"/>
    <w:uiPriority w:val="99"/>
    <w:unhideWhenUsed/>
    <w:rsid w:val="009A2595"/>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9A2595"/>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BAD999D84E12C74482EA5120F5227F6F00217DECAAC21D6B43958DFE68658C192E" ma:contentTypeVersion="27" ma:contentTypeDescription="Create a new document in this library." ma:contentTypeScope="" ma:versionID="e7e27166b6ddd379314dbc4ffb647a9d">
  <xsd:schema xmlns:xsd="http://www.w3.org/2001/XMLSchema" xmlns:xs="http://www.w3.org/2001/XMLSchema" xmlns:p="http://schemas.microsoft.com/office/2006/metadata/properties" xmlns:ns2="http://schemas.microsoft.com/sharepoint/v3/fields" xmlns:ns3="144c03d0-0f03-451f-9d46-5279004462a4" xmlns:ns4="f7bb8512-91eb-4bfd-be42-d6f021407e9a" targetNamespace="http://schemas.microsoft.com/office/2006/metadata/properties" ma:root="true" ma:fieldsID="6ba0d890b3d934a84d947fa41105d8de" ns2:_="" ns3:_="" ns4:_="">
    <xsd:import namespace="http://schemas.microsoft.com/sharepoint/v3/fields"/>
    <xsd:import namespace="144c03d0-0f03-451f-9d46-5279004462a4"/>
    <xsd:import namespace="f7bb8512-91eb-4bfd-be42-d6f021407e9a"/>
    <xsd:element name="properties">
      <xsd:complexType>
        <xsd:sequence>
          <xsd:element name="documentManagement">
            <xsd:complexType>
              <xsd:all>
                <xsd:element ref="ns3:EC_Collab_Reference" minOccurs="0"/>
                <xsd:element ref="ns2:_Status" minOccurs="0"/>
                <xsd:element ref="ns3:EC_Collab_DocumentLanguage"/>
                <xsd:element ref="ns3:SharedWithUsers" minOccurs="0"/>
                <xsd:element ref="ns3:SharedWithDetails" minOccurs="0"/>
                <xsd:element ref="ns3:EC_Collab_Statu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ma:readOnly="false">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44c03d0-0f03-451f-9d46-5279004462a4"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ma:readOnly="false">
      <xsd:simpleType>
        <xsd:restriction base="dms:Text"/>
      </xsd:simpleType>
    </xsd:element>
    <xsd:element name="EC_Collab_DocumentLanguage" ma:index="14" ma:displayName="Language" ma:default="EN" ma:format="Dropdown" ma:internalName="EC_Collab_DocumentLanguage" ma:readOnly="fals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EC_Collab_Status" ma:index="17" nillable="true" ma:displayName="EC Status" ma:default="Not Started" ma:format="Dropdown" ma:internalName="EC_Collab_Status" ma:readOnly="false">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element name="TaxCatchAll" ma:index="21" nillable="true" ma:displayName="Taxonomy Catch All Column" ma:hidden="true" ma:list="{51513471-611d-4aba-ae12-e8d0e877eea6}" ma:internalName="TaxCatchAll" ma:showField="CatchAllData" ma:web="144c03d0-0f03-451f-9d46-5279004462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7bb8512-91eb-4bfd-be42-d6f021407e9a" elementFormDefault="qualified">
    <xsd:import namespace="http://schemas.microsoft.com/office/2006/documentManagement/types"/>
    <xsd:import namespace="http://schemas.microsoft.com/office/infopath/2007/PartnerControls"/>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C_Collab_Reference xmlns="144c03d0-0f03-451f-9d46-5279004462a4" xsi:nil="true"/>
    <EC_Collab_Status xmlns="144c03d0-0f03-451f-9d46-5279004462a4">Not Started</EC_Collab_Status>
    <_Status xmlns="http://schemas.microsoft.com/sharepoint/v3/fields">Not Started</_Status>
    <EC_Collab_DocumentLanguage xmlns="144c03d0-0f03-451f-9d46-5279004462a4">EN</EC_Collab_DocumentLanguage>
    <lcf76f155ced4ddcb4097134ff3c332f xmlns="f7bb8512-91eb-4bfd-be42-d6f021407e9a">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144c03d0-0f03-451f-9d46-5279004462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D94FA-59A2-43DC-8AAF-B6910649B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144c03d0-0f03-451f-9d46-5279004462a4"/>
    <ds:schemaRef ds:uri="f7bb8512-91eb-4bfd-be42-d6f021407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D7331-5779-4BDE-AC01-802533C7CBF4}">
  <ds:schemaRefs>
    <ds:schemaRef ds:uri="http://schemas.microsoft.com/office/2006/metadata/properties"/>
    <ds:schemaRef ds:uri="http://schemas.microsoft.com/office/infopath/2007/PartnerControls"/>
    <ds:schemaRef ds:uri="144c03d0-0f03-451f-9d46-5279004462a4"/>
    <ds:schemaRef ds:uri="http://schemas.microsoft.com/sharepoint/v3/fields"/>
    <ds:schemaRef ds:uri="f7bb8512-91eb-4bfd-be42-d6f021407e9a"/>
  </ds:schemaRefs>
</ds:datastoreItem>
</file>

<file path=customXml/itemProps3.xml><?xml version="1.0" encoding="utf-8"?>
<ds:datastoreItem xmlns:ds="http://schemas.openxmlformats.org/officeDocument/2006/customXml" ds:itemID="{F2460BCE-8EB3-4832-AFC2-329D9AD324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COM.dotm</Template>
  <TotalTime>24</TotalTime>
  <Pages>10</Pages>
  <Words>3532</Words>
  <Characters>20134</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EC CoDe</cp:lastModifiedBy>
  <cp:revision>69</cp:revision>
  <dcterms:created xsi:type="dcterms:W3CDTF">2025-08-04T13:17:00Z</dcterms:created>
  <dcterms:modified xsi:type="dcterms:W3CDTF">2025-11-07T09:06:00Z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8.0.25.0</vt:lpwstr>
  </property>
  <property fmtid="{D5CDD505-2E9C-101B-9397-08002B2CF9AE}" pid="4" name="Last edited using">
    <vt:lpwstr>LW 9.1, Build 20240808</vt:lpwstr>
  </property>
  <property fmtid="{D5CDD505-2E9C-101B-9397-08002B2CF9AE}" pid="5" name="Created using">
    <vt:lpwstr>LW 9.1, Build 20240808</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SJ-004</vt:lpwstr>
  </property>
  <property fmtid="{D5CDD505-2E9C-101B-9397-08002B2CF9AE}" pid="10" name="MSIP_Label_6bd9ddd1-4d20-43f6-abfa-fc3c07406f94_Enabled">
    <vt:lpwstr>true</vt:lpwstr>
  </property>
  <property fmtid="{D5CDD505-2E9C-101B-9397-08002B2CF9AE}" pid="11" name="MSIP_Label_6bd9ddd1-4d20-43f6-abfa-fc3c07406f94_SetDate">
    <vt:lpwstr>2025-04-09T13:33:20Z</vt:lpwstr>
  </property>
  <property fmtid="{D5CDD505-2E9C-101B-9397-08002B2CF9AE}" pid="12" name="MSIP_Label_6bd9ddd1-4d20-43f6-abfa-fc3c07406f94_Method">
    <vt:lpwstr>Standard</vt:lpwstr>
  </property>
  <property fmtid="{D5CDD505-2E9C-101B-9397-08002B2CF9AE}" pid="13" name="MSIP_Label_6bd9ddd1-4d20-43f6-abfa-fc3c07406f94_Name">
    <vt:lpwstr>Commission Use</vt:lpwstr>
  </property>
  <property fmtid="{D5CDD505-2E9C-101B-9397-08002B2CF9AE}" pid="14" name="MSIP_Label_6bd9ddd1-4d20-43f6-abfa-fc3c07406f94_SiteId">
    <vt:lpwstr>b24c8b06-522c-46fe-9080-70926f8dddb1</vt:lpwstr>
  </property>
  <property fmtid="{D5CDD505-2E9C-101B-9397-08002B2CF9AE}" pid="15" name="MSIP_Label_6bd9ddd1-4d20-43f6-abfa-fc3c07406f94_ActionId">
    <vt:lpwstr>d56551eb-b4da-4789-8514-b565db36f190</vt:lpwstr>
  </property>
  <property fmtid="{D5CDD505-2E9C-101B-9397-08002B2CF9AE}" pid="16" name="MSIP_Label_6bd9ddd1-4d20-43f6-abfa-fc3c07406f94_ContentBits">
    <vt:lpwstr>0</vt:lpwstr>
  </property>
  <property fmtid="{D5CDD505-2E9C-101B-9397-08002B2CF9AE}" pid="17" name="ClassificationContentMarkingHeaderShapeIds">
    <vt:lpwstr>659c3784,3ef802b7,174a3d84,7b208335,5070ca0e,2b70785b</vt:lpwstr>
  </property>
  <property fmtid="{D5CDD505-2E9C-101B-9397-08002B2CF9AE}" pid="18" name="ClassificationContentMarkingHeaderFontProps">
    <vt:lpwstr>#000000,12,Aptos</vt:lpwstr>
  </property>
  <property fmtid="{D5CDD505-2E9C-101B-9397-08002B2CF9AE}" pid="19" name="ClassificationContentMarkingHeaderText">
    <vt:lpwstr>EBA Regular Use</vt:lpwstr>
  </property>
  <property fmtid="{D5CDD505-2E9C-101B-9397-08002B2CF9AE}" pid="20" name="DocStatus">
    <vt:lpwstr>Red</vt:lpwstr>
  </property>
  <property fmtid="{D5CDD505-2E9C-101B-9397-08002B2CF9AE}" pid="21" name="ContentTypeId">
    <vt:lpwstr>0x010100BAD999D84E12C74482EA5120F5227F6F00217DECAAC21D6B43958DFE68658C192E</vt:lpwstr>
  </property>
  <property fmtid="{D5CDD505-2E9C-101B-9397-08002B2CF9AE}" pid="22" name="MediaServiceImageTags">
    <vt:lpwstr/>
  </property>
  <property fmtid="{D5CDD505-2E9C-101B-9397-08002B2CF9AE}" pid="23" name="DQCStatus">
    <vt:lpwstr>Green (DQC version 03)</vt:lpwstr>
  </property>
</Properties>
</file>