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A53ABF" w:rsidRDefault="00676354" w:rsidP="0099485B">
      <w:pPr>
        <w:jc w:val="center"/>
        <w:rPr>
          <w:rFonts w:ascii="Times New Roman" w:hAnsi="Times New Roman"/>
          <w:b/>
          <w:sz w:val="24"/>
          <w:u w:val="single"/>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sidRPr="00A53ABF">
        <w:rPr>
          <w:rFonts w:ascii="Times New Roman" w:hAnsi="Times New Roman"/>
          <w:b/>
          <w:sz w:val="24"/>
          <w:u w:val="single"/>
        </w:rPr>
        <w:t>RO</w:t>
      </w:r>
    </w:p>
    <w:p w14:paraId="39DA4C9C" w14:textId="5F2E6493" w:rsidR="00385DE1" w:rsidRPr="00A53ABF" w:rsidRDefault="00385DE1" w:rsidP="0099485B">
      <w:pPr>
        <w:jc w:val="center"/>
        <w:rPr>
          <w:rFonts w:ascii="Times New Roman" w:hAnsi="Times New Roman"/>
          <w:b/>
          <w:sz w:val="24"/>
          <w:u w:val="single"/>
        </w:rPr>
      </w:pPr>
      <w:r w:rsidRPr="00A53ABF">
        <w:rPr>
          <w:rFonts w:ascii="Times New Roman" w:hAnsi="Times New Roman"/>
          <w:b/>
          <w:sz w:val="24"/>
          <w:u w:val="single"/>
        </w:rPr>
        <w:t>ANEXA IV</w:t>
      </w:r>
    </w:p>
    <w:p w14:paraId="66B07866" w14:textId="77777777" w:rsidR="00385DE1" w:rsidRPr="00A53ABF" w:rsidRDefault="00385DE1" w:rsidP="0099485B">
      <w:pPr>
        <w:jc w:val="center"/>
        <w:rPr>
          <w:rFonts w:ascii="Times New Roman" w:hAnsi="Times New Roman"/>
          <w:b/>
          <w:sz w:val="24"/>
        </w:rPr>
      </w:pPr>
    </w:p>
    <w:p w14:paraId="1D3B5C40" w14:textId="50B78FAF" w:rsidR="0001617D" w:rsidRPr="00A53ABF" w:rsidRDefault="0001617D" w:rsidP="0001617D">
      <w:pPr>
        <w:spacing w:before="120" w:after="120" w:line="240" w:lineRule="auto"/>
        <w:jc w:val="center"/>
        <w:rPr>
          <w:rFonts w:ascii="Times New Roman" w:eastAsia="Times New Roman" w:hAnsi="Times New Roman" w:cs="Times New Roman"/>
          <w:b/>
          <w:sz w:val="24"/>
          <w:szCs w:val="24"/>
        </w:rPr>
      </w:pPr>
      <w:r w:rsidRPr="00A53ABF">
        <w:rPr>
          <w:rFonts w:ascii="Times New Roman" w:hAnsi="Times New Roman"/>
          <w:b/>
          <w:sz w:val="24"/>
        </w:rPr>
        <w:t>PUBLICAREA DE INFORMAȚII CU PRIVIRE LA CERINȚA MINIMĂ DE FONDURI PROPRII ȘI DATORII ELIGIBILE – INSTRCȚIUNI</w:t>
      </w:r>
    </w:p>
    <w:p w14:paraId="7E4782B7" w14:textId="77777777" w:rsidR="00940030" w:rsidRPr="00A53ABF" w:rsidRDefault="00940030" w:rsidP="00940030"/>
    <w:p w14:paraId="6E12AAF5" w14:textId="3E457CEA" w:rsidR="00940030" w:rsidRPr="00A53ABF"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r w:rsidRPr="00A53ABF">
        <w:rPr>
          <w:rFonts w:ascii="Times New Roman" w:hAnsi="Times New Roman"/>
          <w:color w:val="auto"/>
          <w:sz w:val="24"/>
        </w:rPr>
        <w:t>1.</w:t>
      </w:r>
      <w:r w:rsidRPr="00A53ABF">
        <w:rPr>
          <w:rFonts w:ascii="Times New Roman" w:hAnsi="Times New Roman"/>
          <w:color w:val="auto"/>
          <w:sz w:val="24"/>
        </w:rPr>
        <w:tab/>
        <w:t>Instrucțiuni generale: structură și convenții</w:t>
      </w:r>
    </w:p>
    <w:p w14:paraId="6CFEBC53" w14:textId="59A6818A" w:rsidR="0065594A" w:rsidRPr="00A53ABF" w:rsidRDefault="0065594A"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0" w:name="_Toc360188319"/>
      <w:bookmarkStart w:id="11" w:name="_Toc473560867"/>
      <w:bookmarkStart w:id="12" w:name="_Toc15294522"/>
      <w:bookmarkStart w:id="13" w:name="_Toc264038399"/>
      <w:bookmarkStart w:id="14" w:name="_Toc294018834"/>
      <w:r w:rsidRPr="00A53ABF">
        <w:rPr>
          <w:rFonts w:ascii="Times New Roman" w:hAnsi="Times New Roman"/>
          <w:color w:val="auto"/>
          <w:sz w:val="24"/>
        </w:rPr>
        <w:t>1.1</w:t>
      </w:r>
      <w:r w:rsidRPr="00A53ABF">
        <w:rPr>
          <w:rFonts w:ascii="Times New Roman" w:hAnsi="Times New Roman"/>
          <w:color w:val="auto"/>
          <w:sz w:val="24"/>
        </w:rPr>
        <w:tab/>
        <w:t>Structură</w:t>
      </w:r>
      <w:bookmarkEnd w:id="10"/>
      <w:bookmarkEnd w:id="11"/>
      <w:bookmarkEnd w:id="12"/>
    </w:p>
    <w:p w14:paraId="038BA668" w14:textId="1D5FE25B" w:rsidR="0065594A" w:rsidRPr="00A53ABF" w:rsidRDefault="0065594A" w:rsidP="00B62DC9">
      <w:pPr>
        <w:pStyle w:val="InstructionsText2"/>
        <w:numPr>
          <w:ilvl w:val="0"/>
          <w:numId w:val="12"/>
        </w:numPr>
      </w:pPr>
      <w:r w:rsidRPr="00A53ABF">
        <w:t>Prezentul cadru de publicare a informațiilor privind MREL și TLAC constă în trei grupuri de modele:</w:t>
      </w:r>
    </w:p>
    <w:p w14:paraId="160EDC16" w14:textId="77777777" w:rsidR="00AB77FD" w:rsidRPr="00A53ABF" w:rsidRDefault="00AB77FD" w:rsidP="00B62DC9">
      <w:pPr>
        <w:pStyle w:val="InstructionsText2"/>
        <w:numPr>
          <w:ilvl w:val="1"/>
          <w:numId w:val="15"/>
        </w:numPr>
      </w:pPr>
      <w:r w:rsidRPr="00A53ABF">
        <w:t>MREL și TLAC ale grupurilor de rezoluție și ale entităților de rezoluție;</w:t>
      </w:r>
    </w:p>
    <w:p w14:paraId="531DF249" w14:textId="0719D053" w:rsidR="00AB77FD" w:rsidRPr="00A53ABF" w:rsidRDefault="00AB77FD" w:rsidP="00B62DC9">
      <w:pPr>
        <w:pStyle w:val="InstructionsText2"/>
        <w:numPr>
          <w:ilvl w:val="1"/>
          <w:numId w:val="15"/>
        </w:numPr>
      </w:pPr>
      <w:r w:rsidRPr="00A53ABF">
        <w:t>MREL și TLAC ale entităților care nu sunt entități de rezoluție și ale filialelor semnificative ale instituțiilor de importanță sistemică globală din afara UE [</w:t>
      </w:r>
      <w:r w:rsidRPr="00A53ABF">
        <w:rPr>
          <w:i/>
        </w:rPr>
        <w:t>global systemically important institutions</w:t>
      </w:r>
      <w:r w:rsidRPr="00A53ABF">
        <w:t xml:space="preserve"> (G-SII)];</w:t>
      </w:r>
    </w:p>
    <w:p w14:paraId="3EE4CEDD" w14:textId="5B2484DA" w:rsidR="00AB77FD" w:rsidRPr="00A53ABF" w:rsidRDefault="00AB77FD" w:rsidP="00B62DC9">
      <w:pPr>
        <w:pStyle w:val="InstructionsText2"/>
        <w:numPr>
          <w:ilvl w:val="1"/>
          <w:numId w:val="15"/>
        </w:numPr>
      </w:pPr>
      <w:r w:rsidRPr="00A53ABF">
        <w:t>ordinea de prioritate a creditorilor pentru entitățile emitente;</w:t>
      </w:r>
    </w:p>
    <w:p w14:paraId="1ED5F5C4" w14:textId="551A7AA0" w:rsidR="0065594A" w:rsidRPr="00A53ABF" w:rsidRDefault="0065594A" w:rsidP="00B62DC9">
      <w:pPr>
        <w:pStyle w:val="InstructionsText2"/>
        <w:numPr>
          <w:ilvl w:val="0"/>
          <w:numId w:val="12"/>
        </w:numPr>
      </w:pPr>
      <w:r w:rsidRPr="00A53ABF">
        <w:t>Pentru fiecare model se prevăd referințe juridice. În această anexă sunt incluse informații detaliate suplimentare privind unele aspecte mai generale ale raportării fiecărui set de modele și instrucțiuni referitoare la unele poziții specifice.</w:t>
      </w:r>
    </w:p>
    <w:p w14:paraId="13B7702A" w14:textId="70815289" w:rsidR="0065594A" w:rsidRPr="00A53ABF" w:rsidRDefault="002A5117"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5" w:name="_Toc360188320"/>
      <w:bookmarkStart w:id="16" w:name="_Toc473560868"/>
      <w:bookmarkStart w:id="17" w:name="_Toc15294523"/>
      <w:r w:rsidRPr="00A53ABF">
        <w:rPr>
          <w:rFonts w:ascii="Times New Roman" w:hAnsi="Times New Roman"/>
          <w:color w:val="auto"/>
          <w:sz w:val="24"/>
        </w:rPr>
        <w:t>1.</w:t>
      </w:r>
      <w:bookmarkStart w:id="18" w:name="_Toc15294525"/>
      <w:bookmarkEnd w:id="13"/>
      <w:bookmarkEnd w:id="14"/>
      <w:bookmarkEnd w:id="15"/>
      <w:bookmarkEnd w:id="16"/>
      <w:bookmarkEnd w:id="17"/>
      <w:r w:rsidRPr="00A53ABF">
        <w:rPr>
          <w:rFonts w:ascii="Times New Roman" w:hAnsi="Times New Roman"/>
          <w:color w:val="auto"/>
          <w:sz w:val="24"/>
        </w:rPr>
        <w:t>2</w:t>
      </w:r>
      <w:r w:rsidRPr="00A53ABF">
        <w:rPr>
          <w:rFonts w:ascii="Times New Roman" w:hAnsi="Times New Roman"/>
          <w:color w:val="auto"/>
          <w:sz w:val="24"/>
        </w:rPr>
        <w:tab/>
        <w:t>Abrevieri</w:t>
      </w:r>
      <w:bookmarkEnd w:id="18"/>
    </w:p>
    <w:p w14:paraId="7F56C9B4" w14:textId="1EA8178A" w:rsidR="0065594A" w:rsidRPr="00A53ABF" w:rsidRDefault="0065594A" w:rsidP="00B62DC9">
      <w:pPr>
        <w:pStyle w:val="InstructionsText2"/>
        <w:numPr>
          <w:ilvl w:val="0"/>
          <w:numId w:val="12"/>
        </w:numPr>
      </w:pPr>
      <w:r w:rsidRPr="00A53ABF">
        <w:t>În sensul anexelor la prezentul regulament, se aplică următoarele abrevieri:</w:t>
      </w:r>
    </w:p>
    <w:p w14:paraId="7AA24AF3" w14:textId="4E2F4B2C" w:rsidR="0065594A" w:rsidRPr="00A53ABF" w:rsidRDefault="00B96861" w:rsidP="00B62DC9">
      <w:pPr>
        <w:pStyle w:val="InstructionsText2"/>
        <w:numPr>
          <w:ilvl w:val="0"/>
          <w:numId w:val="31"/>
        </w:numPr>
      </w:pPr>
      <w:r w:rsidRPr="00A53ABF">
        <w:t xml:space="preserve"> „MREL” înseamnă cerința minimă de fonduri proprii și datorii eligibile, astfel cum este definită la articolul 45 din Directiva 2014/59/UE;</w:t>
      </w:r>
    </w:p>
    <w:p w14:paraId="3F223F84" w14:textId="14E43992" w:rsidR="0065594A" w:rsidRPr="00A53ABF" w:rsidRDefault="0065594A" w:rsidP="00B62DC9">
      <w:pPr>
        <w:pStyle w:val="InstructionsText2"/>
        <w:numPr>
          <w:ilvl w:val="0"/>
          <w:numId w:val="31"/>
        </w:numPr>
      </w:pPr>
      <w:r w:rsidRPr="00A53ABF">
        <w:t>„TLAC” se referă la cerința privind fondurile proprii și datoriile eligibile pentru G-SII în temeiul articolului 92a din Regulamentul (UE) nr. 575/2013;</w:t>
      </w:r>
    </w:p>
    <w:p w14:paraId="1FEB92E2" w14:textId="1715F9BB" w:rsidR="0065594A" w:rsidRPr="00A53ABF" w:rsidRDefault="0065594A" w:rsidP="00B62DC9">
      <w:pPr>
        <w:pStyle w:val="InstructionsText2"/>
        <w:numPr>
          <w:ilvl w:val="0"/>
          <w:numId w:val="31"/>
        </w:numPr>
      </w:pPr>
      <w:r w:rsidRPr="00A53ABF">
        <w:t>„TLAC internă” se referă la cerința privind fondurile proprii și datoriile eligibile pentru G-SII din afara UE în temeiul articolului 92b din Regulamentul (UE) nr. 575/2013;</w:t>
      </w:r>
    </w:p>
    <w:p w14:paraId="41F598D3" w14:textId="411A41F7" w:rsidR="0097126E" w:rsidRPr="00A53ABF" w:rsidRDefault="0097126E" w:rsidP="0073688E">
      <w:pPr>
        <w:pStyle w:val="ListParagraph"/>
        <w:numPr>
          <w:ilvl w:val="0"/>
          <w:numId w:val="31"/>
        </w:numPr>
      </w:pPr>
      <w:r w:rsidRPr="00A53ABF">
        <w:rPr>
          <w:rFonts w:ascii="Times New Roman" w:hAnsi="Times New Roman"/>
          <w:sz w:val="24"/>
        </w:rPr>
        <w:t xml:space="preserve">„MREL internă” se referă la MREL aplicată entităților care nu sunt ele însele entități de rezoluție în temeiul articolului 45f din Directiva 2014/59/UE. </w:t>
      </w:r>
    </w:p>
    <w:p w14:paraId="0BC0B9FF" w14:textId="6844CE8C" w:rsidR="00B43E07" w:rsidRPr="00A53ABF"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9" w:name="_Toc264033192"/>
      <w:bookmarkEnd w:id="19"/>
      <w:r w:rsidRPr="00A53ABF">
        <w:rPr>
          <w:rFonts w:ascii="Times New Roman" w:hAnsi="Times New Roman"/>
          <w:color w:val="auto"/>
          <w:sz w:val="24"/>
        </w:rPr>
        <w:lastRenderedPageBreak/>
        <w:t>2.</w:t>
      </w:r>
      <w:r w:rsidRPr="00A53ABF">
        <w:rPr>
          <w:rFonts w:ascii="Times New Roman" w:hAnsi="Times New Roman"/>
          <w:color w:val="auto"/>
          <w:sz w:val="24"/>
        </w:rPr>
        <w:tab/>
      </w:r>
      <w:bookmarkStart w:id="20" w:name="_Toc45266923"/>
      <w:bookmarkStart w:id="21" w:name="_Toc45266924"/>
      <w:bookmarkStart w:id="22" w:name="_Toc45266925"/>
      <w:bookmarkStart w:id="23" w:name="_Toc14770635"/>
      <w:bookmarkStart w:id="24" w:name="_Toc45266926"/>
      <w:bookmarkEnd w:id="20"/>
      <w:bookmarkEnd w:id="21"/>
      <w:bookmarkEnd w:id="22"/>
      <w:r w:rsidRPr="00A53ABF">
        <w:rPr>
          <w:rFonts w:ascii="Times New Roman" w:hAnsi="Times New Roman"/>
          <w:color w:val="auto"/>
          <w:sz w:val="24"/>
        </w:rPr>
        <w:t>EU KM2: Indicatori-cheie – MREL și, după caz, cerința privind fondurile proprii și datoriile eligibile pentru G-SII</w:t>
      </w:r>
      <w:bookmarkEnd w:id="23"/>
      <w:bookmarkEnd w:id="24"/>
    </w:p>
    <w:p w14:paraId="7C25FB3D" w14:textId="5B7ACB83" w:rsidR="001D5361" w:rsidRPr="00A53ABF" w:rsidRDefault="00CB1021" w:rsidP="00B62DC9">
      <w:pPr>
        <w:pStyle w:val="InstructionsText2"/>
        <w:numPr>
          <w:ilvl w:val="0"/>
          <w:numId w:val="12"/>
        </w:numPr>
      </w:pPr>
      <w:r w:rsidRPr="00A53ABF">
        <w:t>Entitățile trebuie să explice, în comentariul explicativ care însoțește modelul, orice diferență semnificativă dintre cuantumurile fondurilor proprii publicate și cuantumul „fully loaded” conform IFRS 9 la nivelul grupului de rezoluție. Acestea trebuie să explice, de asemenea, orice diferență semnificativă dintre cuantumul „fully loaded” conform IFRS 9 la nivelul grupului de rezoluție și cuantumul „fully loaded” conform IFRS 9 la nivelul grupului prudențial.</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A53ABF" w14:paraId="534A9C03" w14:textId="77777777" w:rsidTr="00915305">
        <w:trPr>
          <w:trHeight w:val="238"/>
        </w:trPr>
        <w:tc>
          <w:tcPr>
            <w:tcW w:w="1384" w:type="dxa"/>
            <w:shd w:val="clear" w:color="auto" w:fill="D9D9D9" w:themeFill="background1" w:themeFillShade="D9"/>
          </w:tcPr>
          <w:p w14:paraId="44B24714" w14:textId="77777777" w:rsidR="006D4640" w:rsidRPr="00A53ABF" w:rsidRDefault="006D4640" w:rsidP="00915305">
            <w:pPr>
              <w:autoSpaceDE w:val="0"/>
              <w:autoSpaceDN w:val="0"/>
              <w:adjustRightInd w:val="0"/>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Coloane</w:t>
            </w:r>
          </w:p>
        </w:tc>
        <w:tc>
          <w:tcPr>
            <w:tcW w:w="7655" w:type="dxa"/>
            <w:shd w:val="clear" w:color="auto" w:fill="D9D9D9" w:themeFill="background1" w:themeFillShade="D9"/>
          </w:tcPr>
          <w:p w14:paraId="065DB08C" w14:textId="663D1380" w:rsidR="006D4640" w:rsidRPr="00A53ABF" w:rsidRDefault="00E46262" w:rsidP="00915305">
            <w:pPr>
              <w:autoSpaceDE w:val="0"/>
              <w:autoSpaceDN w:val="0"/>
              <w:adjustRightInd w:val="0"/>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Referințe juridice și instrucțiuni</w:t>
            </w:r>
          </w:p>
        </w:tc>
      </w:tr>
      <w:tr w:rsidR="00BB516B" w:rsidRPr="00A53ABF" w14:paraId="5E930C2C" w14:textId="77777777" w:rsidTr="00807127">
        <w:trPr>
          <w:trHeight w:val="637"/>
        </w:trPr>
        <w:tc>
          <w:tcPr>
            <w:tcW w:w="1384" w:type="dxa"/>
          </w:tcPr>
          <w:p w14:paraId="3149647C" w14:textId="54230E4A" w:rsidR="00BB516B" w:rsidRPr="00A53ABF" w:rsidDel="00DE6BC1" w:rsidRDefault="00BB516B" w:rsidP="003F5FDC">
            <w:pPr>
              <w:pStyle w:val="Applicationdirecte"/>
              <w:spacing w:before="120"/>
              <w:rPr>
                <w:color w:val="000000" w:themeColor="text1"/>
                <w:szCs w:val="24"/>
              </w:rPr>
            </w:pPr>
            <w:r w:rsidRPr="00A53ABF">
              <w:rPr>
                <w:color w:val="000000" w:themeColor="text1"/>
              </w:rPr>
              <w:t>a</w:t>
            </w:r>
          </w:p>
        </w:tc>
        <w:tc>
          <w:tcPr>
            <w:tcW w:w="7655" w:type="dxa"/>
          </w:tcPr>
          <w:p w14:paraId="67A0C6A1" w14:textId="614E3ECA" w:rsidR="00BB516B" w:rsidRPr="00A53ABF" w:rsidRDefault="008C2E99" w:rsidP="00807127">
            <w:pPr>
              <w:autoSpaceDE w:val="0"/>
              <w:autoSpaceDN w:val="0"/>
              <w:adjustRightInd w:val="0"/>
              <w:spacing w:before="120" w:after="120"/>
              <w:rPr>
                <w:rFonts w:ascii="Times New Roman" w:hAnsi="Times New Roman" w:cs="Times New Roman"/>
                <w:color w:val="000000" w:themeColor="text1"/>
                <w:sz w:val="24"/>
                <w:szCs w:val="24"/>
              </w:rPr>
            </w:pPr>
            <w:r w:rsidRPr="00A53ABF">
              <w:rPr>
                <w:rFonts w:ascii="Times New Roman" w:hAnsi="Times New Roman"/>
                <w:color w:val="000000" w:themeColor="text1"/>
                <w:sz w:val="24"/>
              </w:rPr>
              <w:t>Entitățile publică în această coloană informațiile relevante referitoare la MREL în conformitate cu articolele 45 și 45e din Directiva 2014/59/UE.</w:t>
            </w:r>
          </w:p>
          <w:p w14:paraId="430CD6A3" w14:textId="4273F292" w:rsidR="00BB516B" w:rsidRPr="00A53ABF" w:rsidRDefault="008C2E99" w:rsidP="008C2E99">
            <w:pPr>
              <w:autoSpaceDE w:val="0"/>
              <w:autoSpaceDN w:val="0"/>
              <w:adjustRightInd w:val="0"/>
              <w:spacing w:before="120" w:after="120"/>
              <w:rPr>
                <w:rFonts w:ascii="Times New Roman" w:hAnsi="Times New Roman" w:cs="Times New Roman"/>
                <w:color w:val="000000" w:themeColor="text1"/>
                <w:sz w:val="24"/>
                <w:szCs w:val="24"/>
              </w:rPr>
            </w:pPr>
            <w:r w:rsidRPr="00A53ABF">
              <w:rPr>
                <w:rFonts w:ascii="Times New Roman" w:hAnsi="Times New Roman"/>
                <w:color w:val="000000" w:themeColor="text1"/>
                <w:sz w:val="24"/>
              </w:rPr>
              <w:t>Entitățile trebuie să publice valoarea de la sfârșitul perioadei de publicare.</w:t>
            </w:r>
          </w:p>
        </w:tc>
      </w:tr>
      <w:tr w:rsidR="00DE6BC1" w:rsidRPr="00A53ABF" w14:paraId="7B5301DE" w14:textId="77777777" w:rsidTr="00915305">
        <w:trPr>
          <w:trHeight w:val="637"/>
        </w:trPr>
        <w:tc>
          <w:tcPr>
            <w:tcW w:w="1384" w:type="dxa"/>
          </w:tcPr>
          <w:p w14:paraId="6F6942E8" w14:textId="11CBC8E4" w:rsidR="00DE6BC1" w:rsidRPr="00A53ABF" w:rsidDel="00DE6BC1" w:rsidRDefault="00B96861" w:rsidP="00BB516B">
            <w:pPr>
              <w:pStyle w:val="Applicationdirecte"/>
              <w:spacing w:before="120"/>
              <w:rPr>
                <w:color w:val="000000" w:themeColor="text1"/>
                <w:szCs w:val="24"/>
              </w:rPr>
            </w:pPr>
            <w:r w:rsidRPr="00A53ABF">
              <w:rPr>
                <w:color w:val="000000" w:themeColor="text1"/>
              </w:rPr>
              <w:t>b-f</w:t>
            </w:r>
          </w:p>
        </w:tc>
        <w:tc>
          <w:tcPr>
            <w:tcW w:w="7655" w:type="dxa"/>
          </w:tcPr>
          <w:p w14:paraId="330BD29E" w14:textId="441C1E3B" w:rsidR="00DE6BC1" w:rsidRPr="00A53ABF" w:rsidRDefault="008C2E99" w:rsidP="00DE6BC1">
            <w:pPr>
              <w:autoSpaceDE w:val="0"/>
              <w:autoSpaceDN w:val="0"/>
              <w:adjustRightInd w:val="0"/>
              <w:spacing w:before="120" w:after="120"/>
              <w:rPr>
                <w:rFonts w:ascii="Times New Roman" w:hAnsi="Times New Roman" w:cs="Times New Roman"/>
                <w:color w:val="000000" w:themeColor="text1"/>
                <w:sz w:val="24"/>
                <w:szCs w:val="24"/>
              </w:rPr>
            </w:pPr>
            <w:r w:rsidRPr="00A53ABF">
              <w:rPr>
                <w:rFonts w:ascii="Times New Roman" w:hAnsi="Times New Roman"/>
                <w:color w:val="000000" w:themeColor="text1"/>
                <w:sz w:val="24"/>
              </w:rPr>
              <w:t xml:space="preserve">Entitățile care sunt G-SII cărora li se aplică cerința privind TLAC în temeiul articolului 92a din Regulamentul (UE) nr. 575/2013 publică în aceste coloane informațiile relevante cu privire la cerința menționată. </w:t>
            </w:r>
          </w:p>
          <w:p w14:paraId="34389FB0" w14:textId="7C26C455" w:rsidR="00DE6BC1" w:rsidRPr="00A53ABF" w:rsidRDefault="00DE6BC1" w:rsidP="00401EDD">
            <w:pPr>
              <w:autoSpaceDE w:val="0"/>
              <w:autoSpaceDN w:val="0"/>
              <w:adjustRightInd w:val="0"/>
              <w:spacing w:before="120" w:after="120"/>
              <w:rPr>
                <w:rFonts w:ascii="Times New Roman" w:hAnsi="Times New Roman" w:cs="Times New Roman"/>
                <w:b/>
                <w:color w:val="000000" w:themeColor="text1"/>
                <w:sz w:val="24"/>
                <w:szCs w:val="24"/>
              </w:rPr>
            </w:pPr>
            <w:r w:rsidRPr="00A53ABF">
              <w:rPr>
                <w:rFonts w:ascii="Times New Roman" w:hAnsi="Times New Roman"/>
                <w:sz w:val="24"/>
              </w:rPr>
              <w:t>Perioadele de publicare T, T-1, T-2, T-3 și T-4 sunt trimestriale. Entitățile fac publice datele corespunzătoare perioadelor de publicare a informațiilor. Entitățile care publică aceste informații trimestrial furnizează date referitoare la perioadele T, T-1, T-2, T-3 și T-4; entitățile care publică aceste informații semestrial furnizează date referitoare la perioadele T, T-2 și T-4, iar entitățile care publică aceste informații anual furnizează date referitoare la perioadele T și T-4.</w:t>
            </w:r>
          </w:p>
        </w:tc>
      </w:tr>
    </w:tbl>
    <w:p w14:paraId="33309394" w14:textId="77777777" w:rsidR="009C13C2" w:rsidRPr="00A53ABF" w:rsidRDefault="009C13C2" w:rsidP="006D4640">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A53ABF" w14:paraId="65A77E60" w14:textId="77777777" w:rsidTr="00915305">
        <w:trPr>
          <w:trHeight w:val="238"/>
        </w:trPr>
        <w:tc>
          <w:tcPr>
            <w:tcW w:w="1384" w:type="dxa"/>
            <w:shd w:val="clear" w:color="auto" w:fill="D9D9D9" w:themeFill="background1" w:themeFillShade="D9"/>
          </w:tcPr>
          <w:p w14:paraId="2C46BBB5" w14:textId="77777777" w:rsidR="006D4640" w:rsidRPr="00A53ABF" w:rsidRDefault="006D4640" w:rsidP="00915305">
            <w:pPr>
              <w:autoSpaceDE w:val="0"/>
              <w:autoSpaceDN w:val="0"/>
              <w:adjustRightInd w:val="0"/>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Rânduri</w:t>
            </w:r>
          </w:p>
        </w:tc>
        <w:tc>
          <w:tcPr>
            <w:tcW w:w="7655" w:type="dxa"/>
            <w:shd w:val="clear" w:color="auto" w:fill="D9D9D9" w:themeFill="background1" w:themeFillShade="D9"/>
          </w:tcPr>
          <w:p w14:paraId="309BD783" w14:textId="35573839" w:rsidR="006D4640" w:rsidRPr="00A53ABF" w:rsidRDefault="00E46262" w:rsidP="00915305">
            <w:pPr>
              <w:autoSpaceDE w:val="0"/>
              <w:autoSpaceDN w:val="0"/>
              <w:adjustRightInd w:val="0"/>
              <w:rPr>
                <w:rFonts w:ascii="Times New Roman" w:hAnsi="Times New Roman" w:cs="Times New Roman"/>
                <w:color w:val="000000" w:themeColor="text1"/>
                <w:sz w:val="24"/>
                <w:szCs w:val="24"/>
              </w:rPr>
            </w:pPr>
            <w:r w:rsidRPr="00A53ABF">
              <w:rPr>
                <w:rFonts w:ascii="Times New Roman" w:hAnsi="Times New Roman"/>
                <w:b/>
                <w:color w:val="000000" w:themeColor="text1"/>
                <w:sz w:val="24"/>
              </w:rPr>
              <w:t>Referințe juridice și instrucțiuni</w:t>
            </w:r>
          </w:p>
        </w:tc>
      </w:tr>
      <w:tr w:rsidR="00DF735F" w:rsidRPr="00A53ABF" w14:paraId="3E6E8E5C" w14:textId="77777777" w:rsidTr="005D18F8">
        <w:trPr>
          <w:trHeight w:val="1014"/>
        </w:trPr>
        <w:tc>
          <w:tcPr>
            <w:tcW w:w="1384" w:type="dxa"/>
          </w:tcPr>
          <w:p w14:paraId="2671D250" w14:textId="2BE97FB7" w:rsidR="00DF735F" w:rsidRPr="00A53ABF" w:rsidRDefault="00150101" w:rsidP="005D18F8">
            <w:pPr>
              <w:pStyle w:val="Applicationdirecte"/>
              <w:spacing w:before="120"/>
              <w:rPr>
                <w:color w:val="000000" w:themeColor="text1"/>
                <w:szCs w:val="24"/>
              </w:rPr>
            </w:pPr>
            <w:r w:rsidRPr="00A53ABF">
              <w:rPr>
                <w:color w:val="000000" w:themeColor="text1"/>
              </w:rPr>
              <w:t>1</w:t>
            </w:r>
          </w:p>
        </w:tc>
        <w:tc>
          <w:tcPr>
            <w:tcW w:w="7655" w:type="dxa"/>
          </w:tcPr>
          <w:p w14:paraId="779E1D4D" w14:textId="3D6D105C" w:rsidR="00DF735F" w:rsidRPr="00A53ABF" w:rsidRDefault="00DF735F" w:rsidP="005D18F8">
            <w:pPr>
              <w:pStyle w:val="Applicationdirecte"/>
              <w:spacing w:before="120"/>
              <w:rPr>
                <w:b/>
                <w:color w:val="000000" w:themeColor="text1"/>
                <w:szCs w:val="24"/>
              </w:rPr>
            </w:pPr>
            <w:r w:rsidRPr="00A53ABF">
              <w:rPr>
                <w:b/>
                <w:color w:val="000000" w:themeColor="text1"/>
              </w:rPr>
              <w:t>Fonduri proprii și datorii eligibile</w:t>
            </w:r>
          </w:p>
          <w:p w14:paraId="0A140E20" w14:textId="2DF06A7B" w:rsidR="00DF735F" w:rsidRPr="00A53ABF" w:rsidRDefault="00DF735F" w:rsidP="00812B3B">
            <w:pPr>
              <w:spacing w:before="120" w:after="120" w:line="240" w:lineRule="auto"/>
              <w:jc w:val="both"/>
              <w:rPr>
                <w:rFonts w:ascii="Times New Roman" w:hAnsi="Times New Roman" w:cs="Times New Roman"/>
                <w:bCs/>
                <w:sz w:val="24"/>
              </w:rPr>
            </w:pPr>
            <w:r w:rsidRPr="00A53ABF">
              <w:rPr>
                <w:rFonts w:ascii="Times New Roman" w:hAnsi="Times New Roman"/>
                <w:color w:val="000000" w:themeColor="text1"/>
                <w:sz w:val="24"/>
              </w:rPr>
              <w:t>Egale cu valorile publicate în modelul EU TLAC1 rândul 22.</w:t>
            </w:r>
          </w:p>
        </w:tc>
      </w:tr>
      <w:tr w:rsidR="00962389" w:rsidRPr="00A53ABF" w14:paraId="3461B86E" w14:textId="77777777" w:rsidTr="00915305">
        <w:trPr>
          <w:trHeight w:val="1014"/>
        </w:trPr>
        <w:tc>
          <w:tcPr>
            <w:tcW w:w="1384" w:type="dxa"/>
          </w:tcPr>
          <w:p w14:paraId="47F71FA9" w14:textId="52988882" w:rsidR="00962389" w:rsidRPr="00A53ABF" w:rsidDel="00150101" w:rsidRDefault="00962389" w:rsidP="005B765F">
            <w:pPr>
              <w:pStyle w:val="Applicationdirecte"/>
              <w:spacing w:before="120"/>
              <w:rPr>
                <w:color w:val="000000" w:themeColor="text1"/>
                <w:szCs w:val="24"/>
              </w:rPr>
            </w:pPr>
            <w:r w:rsidRPr="00A53ABF">
              <w:rPr>
                <w:color w:val="000000" w:themeColor="text1"/>
              </w:rPr>
              <w:t>EU-1a</w:t>
            </w:r>
          </w:p>
        </w:tc>
        <w:tc>
          <w:tcPr>
            <w:tcW w:w="7655" w:type="dxa"/>
          </w:tcPr>
          <w:p w14:paraId="3D396CEE" w14:textId="278C4C7F" w:rsidR="00962389" w:rsidRPr="00A53ABF" w:rsidRDefault="00962389" w:rsidP="00962389">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Fonduri proprii și datorii eligibile – din care fonduri proprii și datorii subordonate</w:t>
            </w:r>
          </w:p>
          <w:p w14:paraId="729B564A" w14:textId="00537292" w:rsidR="00AF2AB2" w:rsidRPr="00A53ABF" w:rsidRDefault="00AF2AB2" w:rsidP="00962389">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Egale cu valoarea publicată în modelul de publicare a informațiilor EU TLAC1 pe rândul EU-22a.</w:t>
            </w:r>
          </w:p>
          <w:p w14:paraId="6E8661C5" w14:textId="06556E77" w:rsidR="00AF2AB2" w:rsidRPr="00A53ABF" w:rsidRDefault="00AF2AB2" w:rsidP="00B96861">
            <w:pPr>
              <w:rPr>
                <w:rFonts w:ascii="Times New Roman" w:hAnsi="Times New Roman" w:cs="Times New Roman"/>
                <w:b/>
                <w:color w:val="000000" w:themeColor="text1"/>
                <w:sz w:val="24"/>
                <w:szCs w:val="24"/>
              </w:rPr>
            </w:pPr>
            <w:r w:rsidRPr="00A53ABF">
              <w:rPr>
                <w:rFonts w:ascii="Times New Roman" w:hAnsi="Times New Roman"/>
                <w:color w:val="000000" w:themeColor="text1"/>
                <w:sz w:val="24"/>
              </w:rPr>
              <w:t xml:space="preserve">Fondurile proprii, datoriile eligibile </w:t>
            </w:r>
            <w:r w:rsidRPr="00A53ABF">
              <w:rPr>
                <w:rStyle w:val="InstructionsTabelleberschrift"/>
                <w:rFonts w:ascii="Times New Roman" w:hAnsi="Times New Roman"/>
                <w:b w:val="0"/>
                <w:sz w:val="24"/>
                <w:u w:val="none"/>
              </w:rPr>
              <w:t>incluse în</w:t>
            </w:r>
            <w:r w:rsidRPr="00A53ABF">
              <w:rPr>
                <w:rFonts w:ascii="Times New Roman" w:hAnsi="Times New Roman"/>
                <w:sz w:val="24"/>
              </w:rPr>
              <w:t xml:space="preserve"> </w:t>
            </w:r>
            <w:r w:rsidRPr="00A53ABF">
              <w:rPr>
                <w:rStyle w:val="FormatvorlageInstructionsTabelleText"/>
                <w:rFonts w:ascii="Times New Roman" w:hAnsi="Times New Roman"/>
                <w:sz w:val="24"/>
              </w:rPr>
              <w:t>cuantumul fondurilor proprii și al datoriilor eligibile în temeiul articolului 45b din Directiva 2014/59/UE care sunt instrumente eligibile subordonate, astfel cum sunt definite la articolul 2 alineatul (1) punctul 71b din directiva menționată și</w:t>
            </w:r>
            <w:r w:rsidRPr="00A53ABF">
              <w:rPr>
                <w:rFonts w:ascii="Times New Roman" w:hAnsi="Times New Roman"/>
                <w:sz w:val="24"/>
              </w:rPr>
              <w:t xml:space="preserve"> </w:t>
            </w:r>
            <w:r w:rsidRPr="00A53ABF">
              <w:rPr>
                <w:rStyle w:val="InstructionsTabelleberschrift"/>
                <w:rFonts w:ascii="Times New Roman" w:hAnsi="Times New Roman"/>
                <w:b w:val="0"/>
                <w:sz w:val="24"/>
                <w:u w:val="none"/>
              </w:rPr>
              <w:t>datoriile</w:t>
            </w:r>
            <w:r w:rsidRPr="00A53ABF">
              <w:rPr>
                <w:rFonts w:ascii="Times New Roman" w:hAnsi="Times New Roman"/>
                <w:sz w:val="24"/>
              </w:rPr>
              <w:t xml:space="preserve"> </w:t>
            </w:r>
            <w:r w:rsidRPr="00A53ABF">
              <w:rPr>
                <w:rStyle w:val="FormatvorlageInstructionsTabelleText"/>
                <w:rFonts w:ascii="Times New Roman" w:hAnsi="Times New Roman"/>
                <w:sz w:val="24"/>
              </w:rPr>
              <w:t xml:space="preserve">incluse în cuantumul fondurilor proprii și al datoriilor eligibile în conformitate cu articolul 45b alineatul (3) din Directiva 2014/59/UE. În cazul instrumentelor reglementate de legislația unei țări terțe, instrumentul </w:t>
            </w:r>
            <w:r w:rsidRPr="00A53ABF">
              <w:rPr>
                <w:rStyle w:val="FormatvorlageInstructionsTabelleText"/>
                <w:rFonts w:ascii="Times New Roman" w:hAnsi="Times New Roman"/>
                <w:sz w:val="24"/>
              </w:rPr>
              <w:lastRenderedPageBreak/>
              <w:t>este inclus pe acest rând numai dacă îndeplinește cerințele prevăzute la articolul 55 din Directiva 2014/59/UE.</w:t>
            </w:r>
          </w:p>
        </w:tc>
      </w:tr>
      <w:tr w:rsidR="00026FC1" w:rsidRPr="00A53ABF" w14:paraId="7087FBBE" w14:textId="77777777" w:rsidTr="00915305">
        <w:trPr>
          <w:trHeight w:val="1014"/>
        </w:trPr>
        <w:tc>
          <w:tcPr>
            <w:tcW w:w="1384" w:type="dxa"/>
          </w:tcPr>
          <w:p w14:paraId="65A81525" w14:textId="01438D1E" w:rsidR="006D4640" w:rsidRPr="00A53ABF" w:rsidRDefault="00150101" w:rsidP="00915305">
            <w:pPr>
              <w:pStyle w:val="Applicationdirecte"/>
              <w:spacing w:before="120"/>
              <w:rPr>
                <w:color w:val="000000" w:themeColor="text1"/>
                <w:szCs w:val="24"/>
              </w:rPr>
            </w:pPr>
            <w:r w:rsidRPr="00A53ABF">
              <w:rPr>
                <w:color w:val="000000" w:themeColor="text1"/>
              </w:rPr>
              <w:lastRenderedPageBreak/>
              <w:t>2</w:t>
            </w:r>
          </w:p>
        </w:tc>
        <w:tc>
          <w:tcPr>
            <w:tcW w:w="7655" w:type="dxa"/>
          </w:tcPr>
          <w:p w14:paraId="7C401856" w14:textId="7B8EEDE3" w:rsidR="006D4640" w:rsidRPr="00A53ABF" w:rsidRDefault="006D4640" w:rsidP="00915305">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 xml:space="preserve">Cuantumul total al expunerii la risc (TREA) al grupului de rezoluție </w:t>
            </w:r>
          </w:p>
          <w:p w14:paraId="147C8558" w14:textId="2D445D5F" w:rsidR="006D4640" w:rsidRPr="00A53ABF" w:rsidRDefault="006D4640" w:rsidP="00936956">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Egal cu valoarea publicată în modelul de publicare a informațiilor EU TLAC1 pe rândul 23.</w:t>
            </w:r>
          </w:p>
          <w:p w14:paraId="10BE5322" w14:textId="167B6DDA" w:rsidR="00705FB0" w:rsidRPr="00A53ABF" w:rsidRDefault="003D0BF6" w:rsidP="00FB021F">
            <w:pPr>
              <w:autoSpaceDE w:val="0"/>
              <w:autoSpaceDN w:val="0"/>
              <w:adjustRightInd w:val="0"/>
              <w:spacing w:before="120" w:after="120"/>
              <w:jc w:val="both"/>
              <w:rPr>
                <w:rFonts w:ascii="Times New Roman" w:hAnsi="Times New Roman" w:cs="Times New Roman"/>
                <w:bCs/>
                <w:sz w:val="24"/>
              </w:rPr>
            </w:pPr>
            <w:r w:rsidRPr="00A53ABF">
              <w:rPr>
                <w:rStyle w:val="FormatvorlageInstructionsTabelleText"/>
                <w:rFonts w:ascii="Times New Roman" w:hAnsi="Times New Roman"/>
                <w:sz w:val="24"/>
              </w:rPr>
              <w:t>Articolul 45 alineatul (2) litera (a) din Directiva 2014/59/UE, articolul 92 alineatul (3) din Regulamentul (UE) nr. 575/2013.</w:t>
            </w:r>
          </w:p>
        </w:tc>
      </w:tr>
      <w:tr w:rsidR="00DF735F" w:rsidRPr="00A53ABF" w14:paraId="36D02255" w14:textId="77777777" w:rsidTr="005D18F8">
        <w:trPr>
          <w:trHeight w:val="316"/>
        </w:trPr>
        <w:tc>
          <w:tcPr>
            <w:tcW w:w="1384" w:type="dxa"/>
          </w:tcPr>
          <w:p w14:paraId="24FC7113" w14:textId="5D3DECAC" w:rsidR="00DF735F" w:rsidRPr="00A53ABF" w:rsidRDefault="00150101" w:rsidP="005D18F8">
            <w:pPr>
              <w:autoSpaceDE w:val="0"/>
              <w:autoSpaceDN w:val="0"/>
              <w:adjustRightInd w:val="0"/>
              <w:rPr>
                <w:rFonts w:ascii="Times New Roman" w:eastAsia="Times New Roman" w:hAnsi="Times New Roman" w:cs="Times New Roman"/>
                <w:color w:val="000000" w:themeColor="text1"/>
                <w:sz w:val="24"/>
                <w:szCs w:val="24"/>
              </w:rPr>
            </w:pPr>
            <w:r w:rsidRPr="00A53ABF">
              <w:rPr>
                <w:rFonts w:ascii="Times New Roman" w:hAnsi="Times New Roman"/>
                <w:color w:val="000000" w:themeColor="text1"/>
                <w:sz w:val="24"/>
              </w:rPr>
              <w:t>3</w:t>
            </w:r>
          </w:p>
        </w:tc>
        <w:tc>
          <w:tcPr>
            <w:tcW w:w="7655" w:type="dxa"/>
          </w:tcPr>
          <w:p w14:paraId="038AB6D4" w14:textId="14BCE5D0" w:rsidR="00DF735F" w:rsidRPr="00A53ABF" w:rsidRDefault="00DF735F" w:rsidP="005D18F8">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Fondurile proprii și datoriile eligibile ca procent din TREA</w:t>
            </w:r>
          </w:p>
          <w:p w14:paraId="7B949D15" w14:textId="2BA6D31F" w:rsidR="00DF735F" w:rsidRPr="00A53ABF" w:rsidRDefault="00DF735F" w:rsidP="005D18F8">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 xml:space="preserve">Egale cu valorile publicate în modelul de publicare a informațiilor EU TLAC1 pe rândul 25. </w:t>
            </w:r>
          </w:p>
          <w:p w14:paraId="0F5B2611" w14:textId="00BEB708" w:rsidR="00DF735F" w:rsidRPr="00A53ABF" w:rsidRDefault="00705FB0" w:rsidP="00DE7C85">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În sensul acestui rând, cuantumul fondurilor proprii și al datoriilor eligibile care este publicat pe rândul 1 se exprimă ca procent din cuantumul total al expunerii la risc calculat în conformitate cu articolul 92 alineatul (3) din Regulamentul (UE) nr. 575/2013.</w:t>
            </w:r>
          </w:p>
        </w:tc>
      </w:tr>
      <w:tr w:rsidR="00000DE2" w:rsidRPr="00A53ABF" w14:paraId="57CCD1AB" w14:textId="77777777" w:rsidTr="00915305">
        <w:trPr>
          <w:trHeight w:val="1014"/>
        </w:trPr>
        <w:tc>
          <w:tcPr>
            <w:tcW w:w="1384" w:type="dxa"/>
          </w:tcPr>
          <w:p w14:paraId="3F2D9068" w14:textId="39D72622" w:rsidR="00000DE2" w:rsidRPr="00A53ABF" w:rsidDel="00150101" w:rsidRDefault="00000DE2" w:rsidP="00DB779A">
            <w:pPr>
              <w:pStyle w:val="Applicationdirecte"/>
              <w:spacing w:before="120"/>
              <w:rPr>
                <w:color w:val="000000" w:themeColor="text1"/>
                <w:szCs w:val="24"/>
              </w:rPr>
            </w:pPr>
            <w:r w:rsidRPr="00A53ABF">
              <w:rPr>
                <w:color w:val="000000" w:themeColor="text1"/>
              </w:rPr>
              <w:t>EU-3a</w:t>
            </w:r>
          </w:p>
        </w:tc>
        <w:tc>
          <w:tcPr>
            <w:tcW w:w="7655" w:type="dxa"/>
          </w:tcPr>
          <w:p w14:paraId="44E29BD6" w14:textId="2EF98522" w:rsidR="00000DE2" w:rsidRPr="00A53ABF" w:rsidRDefault="00000DE2" w:rsidP="00000DE2">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Fondurile proprii și datoriile eligibile ca procent din TREA – din care: fonduri proprii și datorii subordonate</w:t>
            </w:r>
          </w:p>
          <w:p w14:paraId="6CBFF6B4" w14:textId="23321C0B" w:rsidR="00000DE2" w:rsidRPr="00A53ABF" w:rsidRDefault="00000DE2" w:rsidP="00000DE2">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Egale cu valoarea publicată în modelul de publicare a informațiilor EU TLAC1 pe rândul EU-25 a.</w:t>
            </w:r>
          </w:p>
          <w:p w14:paraId="5209AA08" w14:textId="5CE53966" w:rsidR="00000DE2" w:rsidRPr="00A53ABF" w:rsidRDefault="00705FB0" w:rsidP="00AA4A01">
            <w:pPr>
              <w:pStyle w:val="Institutionquisigne"/>
              <w:spacing w:before="100" w:beforeAutospacing="1"/>
              <w:rPr>
                <w:b/>
                <w:i w:val="0"/>
                <w:color w:val="000000" w:themeColor="text1"/>
                <w:szCs w:val="24"/>
              </w:rPr>
            </w:pPr>
            <w:r w:rsidRPr="00A53ABF">
              <w:rPr>
                <w:i w:val="0"/>
                <w:color w:val="000000" w:themeColor="text1"/>
              </w:rPr>
              <w:t>În sensul acestui rând, cuantumul fondurilor proprii și al datoriilor eligibile subordonate care este prezentat pe rândul EU-1a se exprimă ca procent din cuantumul total al expunerii la risc calculat în conformitate cu articolul 92 alineatul (3) din Regulamentul (UE) nr. 575/2013.</w:t>
            </w:r>
          </w:p>
        </w:tc>
      </w:tr>
      <w:tr w:rsidR="00026FC1" w:rsidRPr="00A53ABF" w14:paraId="598F6093" w14:textId="77777777" w:rsidTr="00915305">
        <w:trPr>
          <w:trHeight w:val="1014"/>
        </w:trPr>
        <w:tc>
          <w:tcPr>
            <w:tcW w:w="1384" w:type="dxa"/>
          </w:tcPr>
          <w:p w14:paraId="2BD1914D" w14:textId="668E84BB" w:rsidR="00150101" w:rsidRPr="00A53ABF" w:rsidRDefault="00150101" w:rsidP="00150101">
            <w:pPr>
              <w:pStyle w:val="Applicationdirecte"/>
              <w:spacing w:before="120"/>
              <w:rPr>
                <w:color w:val="000000" w:themeColor="text1"/>
                <w:szCs w:val="24"/>
              </w:rPr>
            </w:pPr>
            <w:r w:rsidRPr="00A53ABF">
              <w:rPr>
                <w:color w:val="000000" w:themeColor="text1"/>
              </w:rPr>
              <w:t>4</w:t>
            </w:r>
          </w:p>
        </w:tc>
        <w:tc>
          <w:tcPr>
            <w:tcW w:w="7655" w:type="dxa"/>
          </w:tcPr>
          <w:p w14:paraId="21BFF265" w14:textId="5070F7DC" w:rsidR="006D4640" w:rsidRPr="00A53ABF" w:rsidRDefault="00B409EF" w:rsidP="00915305">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Indicatorul de măsurare a expunerii totale (TEM) al grupului de rezoluție</w:t>
            </w:r>
          </w:p>
          <w:p w14:paraId="252377B7" w14:textId="103F2793" w:rsidR="006D4640" w:rsidRPr="00A53ABF" w:rsidRDefault="006D4640" w:rsidP="00936956">
            <w:pPr>
              <w:pStyle w:val="Applicationdirecte"/>
              <w:spacing w:before="120"/>
              <w:rPr>
                <w:color w:val="000000" w:themeColor="text1"/>
                <w:szCs w:val="24"/>
              </w:rPr>
            </w:pPr>
            <w:r w:rsidRPr="00A53ABF">
              <w:rPr>
                <w:color w:val="000000" w:themeColor="text1"/>
              </w:rPr>
              <w:t>Egal cu valoarea publicată în modelul de publicare a informațiilor EU TLAC1 pe rândul 24.</w:t>
            </w:r>
          </w:p>
          <w:p w14:paraId="5BC2C1BD" w14:textId="4F7E9896" w:rsidR="00705FB0" w:rsidRPr="00A53ABF" w:rsidRDefault="003D0BF6" w:rsidP="00FB021F">
            <w:pPr>
              <w:pStyle w:val="Fait"/>
            </w:pPr>
            <w:r w:rsidRPr="00A53ABF">
              <w:t xml:space="preserve">Articolul 45 alineatul (2) litera (b) din Directiva 2014/59/UE, articolul 429 alineatul (4) și </w:t>
            </w:r>
            <w:r w:rsidRPr="00A53ABF">
              <w:rPr>
                <w:color w:val="000000" w:themeColor="text1"/>
              </w:rPr>
              <w:t>articolul</w:t>
            </w:r>
            <w:r w:rsidRPr="00A53ABF">
              <w:t xml:space="preserve"> 429a din Regulamentul (UE) nr. 575/2013.</w:t>
            </w:r>
          </w:p>
        </w:tc>
      </w:tr>
      <w:tr w:rsidR="00150101" w:rsidRPr="00A53ABF" w14:paraId="338EAA8B" w14:textId="77777777" w:rsidTr="005D18F8">
        <w:trPr>
          <w:trHeight w:val="316"/>
        </w:trPr>
        <w:tc>
          <w:tcPr>
            <w:tcW w:w="1384" w:type="dxa"/>
          </w:tcPr>
          <w:p w14:paraId="22D80E63" w14:textId="3B307FF1" w:rsidR="00150101" w:rsidRPr="00A53ABF" w:rsidRDefault="00150101" w:rsidP="005D18F8">
            <w:pPr>
              <w:autoSpaceDE w:val="0"/>
              <w:autoSpaceDN w:val="0"/>
              <w:adjustRightInd w:val="0"/>
              <w:rPr>
                <w:rFonts w:ascii="Times New Roman" w:eastAsia="Times New Roman" w:hAnsi="Times New Roman" w:cs="Times New Roman"/>
                <w:color w:val="000000" w:themeColor="text1"/>
                <w:sz w:val="24"/>
                <w:szCs w:val="24"/>
              </w:rPr>
            </w:pPr>
            <w:r w:rsidRPr="00A53ABF">
              <w:rPr>
                <w:rFonts w:ascii="Times New Roman" w:hAnsi="Times New Roman"/>
                <w:color w:val="000000" w:themeColor="text1"/>
                <w:sz w:val="24"/>
              </w:rPr>
              <w:t>5</w:t>
            </w:r>
          </w:p>
        </w:tc>
        <w:tc>
          <w:tcPr>
            <w:tcW w:w="7655" w:type="dxa"/>
          </w:tcPr>
          <w:p w14:paraId="55ACA309" w14:textId="5203CF48" w:rsidR="00150101" w:rsidRPr="00A53ABF"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Fondurile proprii și datoriile eligibile ca procent din TEM</w:t>
            </w:r>
          </w:p>
          <w:p w14:paraId="5AF77D83" w14:textId="1205FA3D" w:rsidR="00150101" w:rsidRPr="00A53ABF"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color w:val="000000" w:themeColor="text1"/>
                <w:sz w:val="24"/>
              </w:rPr>
              <w:t>Egale cu valoarea publicată în modelul de publicare a informațiilor EU TLAC1 pe rândul 26.</w:t>
            </w:r>
          </w:p>
          <w:p w14:paraId="63970459" w14:textId="46B09F83" w:rsidR="00150101" w:rsidRPr="00A53ABF" w:rsidRDefault="00705FB0" w:rsidP="00FB021F">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În sensul acestui rând, cuantumul fondurilor proprii și al datoriilor eligibile care este prezentat pe rândul 1 se exprimă ca procent din indicatorul de măsurare a expunerii totale calculat în conformitate cu articolul 429 alineatul (4) și cu articolul 429a din Regulamentul (UE) nr. 575/2013.</w:t>
            </w:r>
          </w:p>
        </w:tc>
      </w:tr>
      <w:tr w:rsidR="0037295D" w:rsidRPr="00A53ABF" w14:paraId="0D9B4EED" w14:textId="77777777" w:rsidTr="00807127">
        <w:trPr>
          <w:trHeight w:val="1014"/>
        </w:trPr>
        <w:tc>
          <w:tcPr>
            <w:tcW w:w="1384" w:type="dxa"/>
          </w:tcPr>
          <w:p w14:paraId="59748E19" w14:textId="219DA8E1" w:rsidR="0037295D" w:rsidRPr="00A53ABF" w:rsidDel="00150101" w:rsidRDefault="00A3785C" w:rsidP="00807127">
            <w:pPr>
              <w:pStyle w:val="Applicationdirecte"/>
              <w:spacing w:before="120"/>
              <w:rPr>
                <w:color w:val="000000" w:themeColor="text1"/>
                <w:szCs w:val="24"/>
              </w:rPr>
            </w:pPr>
            <w:r w:rsidRPr="00A53ABF">
              <w:rPr>
                <w:color w:val="000000" w:themeColor="text1"/>
              </w:rPr>
              <w:lastRenderedPageBreak/>
              <w:t>EU-5a</w:t>
            </w:r>
          </w:p>
        </w:tc>
        <w:tc>
          <w:tcPr>
            <w:tcW w:w="7655" w:type="dxa"/>
          </w:tcPr>
          <w:p w14:paraId="677C4852" w14:textId="7733E767" w:rsidR="0037295D" w:rsidRPr="00A53ABF" w:rsidRDefault="00A3785C" w:rsidP="00A3785C">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Fondurile proprii și datoriile eligibile ca procent din TEM – din care: fonduri proprii și datorii subordonate</w:t>
            </w:r>
          </w:p>
          <w:p w14:paraId="25EF5991" w14:textId="1725162F" w:rsidR="0037295D" w:rsidRPr="00A53ABF" w:rsidRDefault="0037295D" w:rsidP="00807127">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Egale cu valoarea publicată în modelul de publicare a informațiilor EU TLAC1 pe rândul EU-26a.</w:t>
            </w:r>
          </w:p>
          <w:p w14:paraId="4E14C375" w14:textId="17204913" w:rsidR="0037295D" w:rsidRPr="00A53ABF" w:rsidRDefault="00705FB0" w:rsidP="00FB021F">
            <w:pPr>
              <w:pStyle w:val="Fait"/>
              <w:spacing w:before="0"/>
              <w:rPr>
                <w:b/>
                <w:color w:val="000000" w:themeColor="text1"/>
                <w:szCs w:val="24"/>
              </w:rPr>
            </w:pPr>
            <w:r w:rsidRPr="00A53ABF">
              <w:rPr>
                <w:color w:val="000000" w:themeColor="text1"/>
              </w:rPr>
              <w:t>În sensul acestui rând, cuantumul fondurilor proprii și al datoriilor eligibile subordonate care este raportat pe rândul EU-1a se exprimă ca procent din indicatorul de măsurare a expunerii totale calculat în conformitate cu articolul 429 alineatul (4) și cu articolul 429a din Regulamentul (UE) nr. 575/2013.</w:t>
            </w:r>
          </w:p>
        </w:tc>
      </w:tr>
      <w:tr w:rsidR="0064224B" w:rsidRPr="00A53ABF" w14:paraId="4586DD47" w14:textId="77777777" w:rsidTr="00BB35EA">
        <w:trPr>
          <w:trHeight w:val="316"/>
        </w:trPr>
        <w:tc>
          <w:tcPr>
            <w:tcW w:w="1384" w:type="dxa"/>
          </w:tcPr>
          <w:p w14:paraId="641FAF10" w14:textId="4E1D75A0" w:rsidR="0064224B" w:rsidRPr="00A53ABF" w:rsidRDefault="0064224B" w:rsidP="00BB35EA">
            <w:pPr>
              <w:autoSpaceDE w:val="0"/>
              <w:autoSpaceDN w:val="0"/>
              <w:adjustRightInd w:val="0"/>
              <w:rPr>
                <w:rFonts w:ascii="Times New Roman" w:eastAsia="Times New Roman" w:hAnsi="Times New Roman" w:cs="Times New Roman"/>
                <w:color w:val="000000" w:themeColor="text1"/>
                <w:sz w:val="24"/>
                <w:szCs w:val="24"/>
              </w:rPr>
            </w:pPr>
            <w:r w:rsidRPr="00A53ABF">
              <w:rPr>
                <w:rFonts w:ascii="Times New Roman" w:hAnsi="Times New Roman"/>
                <w:sz w:val="24"/>
              </w:rPr>
              <w:t>6a</w:t>
            </w:r>
          </w:p>
        </w:tc>
        <w:tc>
          <w:tcPr>
            <w:tcW w:w="7655" w:type="dxa"/>
          </w:tcPr>
          <w:p w14:paraId="2E8BDE31" w14:textId="16D0165F" w:rsidR="0064224B" w:rsidRPr="00A53ABF" w:rsidRDefault="0064224B" w:rsidP="00BB35EA">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Se aplică derogarea privind subordonarea prevăzută la articolul 72b alineatul (4) din Regulamentul (UE) nr. 575/2013? (Derogarea de 5 %)</w:t>
            </w:r>
          </w:p>
          <w:p w14:paraId="46D7CE6C" w14:textId="47F6F9D3" w:rsidR="0064224B" w:rsidRPr="00A53ABF"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Acest rând trebuie publicat numai de entitățile care fac obiectul cerinței privind fondurile proprii și datoriile eligibile pentru G-SII.</w:t>
            </w:r>
          </w:p>
          <w:p w14:paraId="6016F028" w14:textId="34A18C3F" w:rsidR="0064224B" w:rsidRPr="00A53ABF"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Dacă autoritatea de rezoluție permite ca datoriile să se califice drept instrumente de datorii eligibile în conformitate cu articolul 72b alineatul (4) din Regulamentul (UE) nr. 575/2013, entitatea raportoare indică „da”.</w:t>
            </w:r>
          </w:p>
          <w:p w14:paraId="6B081016" w14:textId="4812518D" w:rsidR="0064224B" w:rsidRPr="00A53ABF"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Dacă autoritatea de rezoluție nu permite ca datoriile să se califice drept instrumente de datorii eligibile în conformitate cu articolul 72b alineatul (4) din Regulamentul (UE) nr. 575/2013, grupul sau entitatea de rezoluție indică „nu”.</w:t>
            </w:r>
          </w:p>
          <w:p w14:paraId="2F5E08DD" w14:textId="726ED396" w:rsidR="0064224B" w:rsidRPr="00A53ABF" w:rsidRDefault="0064224B" w:rsidP="00A70777">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Întrucât derogările de la articolul 72b alineatele (3) și (4) din Regulamentul (UE) nr. 575/2013 se exclud reciproc, acest rând se lasă necompletat dacă entitatea raportoare a completat rândul 6b.</w:t>
            </w:r>
          </w:p>
        </w:tc>
      </w:tr>
      <w:tr w:rsidR="008B1AF1" w:rsidRPr="00A53ABF" w14:paraId="03F999DF" w14:textId="77777777" w:rsidTr="00915305">
        <w:trPr>
          <w:trHeight w:val="316"/>
        </w:trPr>
        <w:tc>
          <w:tcPr>
            <w:tcW w:w="1384" w:type="dxa"/>
          </w:tcPr>
          <w:p w14:paraId="4B73F7B3" w14:textId="3C82303C" w:rsidR="008B1AF1" w:rsidRPr="00A53ABF" w:rsidRDefault="00FF2A56" w:rsidP="008B1AF1">
            <w:pPr>
              <w:autoSpaceDE w:val="0"/>
              <w:autoSpaceDN w:val="0"/>
              <w:adjustRightInd w:val="0"/>
              <w:rPr>
                <w:rFonts w:ascii="Times New Roman" w:eastAsia="Times New Roman" w:hAnsi="Times New Roman" w:cs="Times New Roman"/>
                <w:color w:val="000000" w:themeColor="text1"/>
                <w:sz w:val="24"/>
                <w:szCs w:val="24"/>
              </w:rPr>
            </w:pPr>
            <w:r w:rsidRPr="00A53ABF">
              <w:rPr>
                <w:rFonts w:ascii="Times New Roman" w:hAnsi="Times New Roman"/>
                <w:sz w:val="24"/>
              </w:rPr>
              <w:t>6b</w:t>
            </w:r>
          </w:p>
        </w:tc>
        <w:tc>
          <w:tcPr>
            <w:tcW w:w="7655" w:type="dxa"/>
          </w:tcPr>
          <w:p w14:paraId="41C2E586" w14:textId="6CC03437" w:rsidR="00BB35EA" w:rsidRPr="00A53ABF" w:rsidRDefault="00650183" w:rsidP="00705FB0">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Cuantumul agregat al instrumentelor de datorii eligibile nesubordonate permise dacă se aplică opțiunea de subordonare prevăzută la articolul 72b alineatul (3) din Regulamentul (UE) nr. 575/2013 (derogare de maximum 3,5 %)</w:t>
            </w:r>
          </w:p>
          <w:p w14:paraId="564101D0" w14:textId="5C7DA717" w:rsidR="00705FB0" w:rsidRPr="00A53ABF" w:rsidRDefault="00705FB0" w:rsidP="00705FB0">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Acest rând trebuie publicat numai de entitățile care fac obiectul cerinței privind fondurile proprii și datoriile eligibile pentru G-SII.</w:t>
            </w:r>
          </w:p>
          <w:p w14:paraId="00AD85CC" w14:textId="318F6AC9" w:rsidR="002A5279" w:rsidRPr="00A53ABF" w:rsidRDefault="002A5279" w:rsidP="002A5279">
            <w:pPr>
              <w:rPr>
                <w:rStyle w:val="FormatvorlageInstructionsTabelleText"/>
                <w:rFonts w:ascii="Times New Roman" w:hAnsi="Times New Roman"/>
                <w:sz w:val="24"/>
              </w:rPr>
            </w:pPr>
            <w:r w:rsidRPr="00A53ABF">
              <w:rPr>
                <w:rStyle w:val="FormatvorlageInstructionsTabelleText"/>
                <w:rFonts w:ascii="Times New Roman" w:hAnsi="Times New Roman"/>
                <w:sz w:val="24"/>
              </w:rPr>
              <w:t>Cuantumul agregat al instrumentelor de datorii eligibile nesubordonate care au putut fi calificate, cu permisiunea autorității de rezoluție, drept instrumente de datorii eligibile în sensul cerinței TLAC în conformitate cu articolul 72b alineatul (3) din Regulamentul (UE) nr. 575/2013.</w:t>
            </w:r>
          </w:p>
          <w:p w14:paraId="24CA67B7" w14:textId="04F0B6BC" w:rsidR="008B1AF1" w:rsidRPr="00A53ABF" w:rsidRDefault="00705FB0" w:rsidP="00D45878">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Întrucât derogările de la articolul 72b alineatele (3) și (4) din Regulamentul (UE) nr. 575/2013 se exclud reciproc, acest rând se lasă necompletat dacă entitatea a indicat „da” pe rândul 6a.</w:t>
            </w:r>
          </w:p>
        </w:tc>
      </w:tr>
      <w:tr w:rsidR="008B1AF1" w:rsidRPr="00A53ABF" w14:paraId="2D64923D" w14:textId="77777777" w:rsidTr="00915305">
        <w:trPr>
          <w:trHeight w:val="316"/>
        </w:trPr>
        <w:tc>
          <w:tcPr>
            <w:tcW w:w="1384" w:type="dxa"/>
          </w:tcPr>
          <w:p w14:paraId="6C3622AD" w14:textId="140E60D3" w:rsidR="008B1AF1" w:rsidRPr="00A53ABF" w:rsidRDefault="00FF2A56" w:rsidP="008B1AF1">
            <w:pPr>
              <w:autoSpaceDE w:val="0"/>
              <w:autoSpaceDN w:val="0"/>
              <w:adjustRightInd w:val="0"/>
              <w:rPr>
                <w:rFonts w:ascii="Times New Roman" w:eastAsia="Times New Roman" w:hAnsi="Times New Roman" w:cs="Times New Roman"/>
                <w:color w:val="000000" w:themeColor="text1"/>
                <w:sz w:val="24"/>
                <w:szCs w:val="24"/>
              </w:rPr>
            </w:pPr>
            <w:r w:rsidRPr="00A53ABF">
              <w:rPr>
                <w:rFonts w:ascii="Times New Roman" w:hAnsi="Times New Roman"/>
                <w:sz w:val="24"/>
              </w:rPr>
              <w:t>6c</w:t>
            </w:r>
          </w:p>
        </w:tc>
        <w:tc>
          <w:tcPr>
            <w:tcW w:w="7655" w:type="dxa"/>
          </w:tcPr>
          <w:p w14:paraId="73DD47A6" w14:textId="24A022DC" w:rsidR="008B1AF1" w:rsidRPr="00A53ABF"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 xml:space="preserve">Dacă se aplică derogarea plafonată privind subordonarea prevăzută la articolul 72b alineatul (3) din Regulamentul (UE) nr. 575/2013, cuantumul finanțării emise care este de rang egal cu datoriile excluse și </w:t>
            </w:r>
            <w:r w:rsidRPr="00A53ABF">
              <w:rPr>
                <w:rFonts w:ascii="Times New Roman" w:hAnsi="Times New Roman"/>
                <w:b/>
                <w:color w:val="000000" w:themeColor="text1"/>
                <w:sz w:val="24"/>
              </w:rPr>
              <w:lastRenderedPageBreak/>
              <w:t>care este recunoscut pe rândul 1, împărțit la finanțarea emisă care este de rang egal cu datoriile excluse și care ar fi recunoscută pe rândul 1 dacă nu s-ar aplica niciun plafon (%)</w:t>
            </w:r>
          </w:p>
          <w:p w14:paraId="02910CB6" w14:textId="36BCF0A1" w:rsidR="00CF21D0" w:rsidRPr="00A53ABF" w:rsidRDefault="00CF21D0" w:rsidP="00B654C4">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Style w:val="InstructionsTabelleberschrift"/>
                <w:rFonts w:ascii="Times New Roman" w:hAnsi="Times New Roman"/>
                <w:b w:val="0"/>
                <w:sz w:val="24"/>
                <w:u w:val="none"/>
              </w:rPr>
              <w:t>Acest rând trebuie publicat numai de entitățile care fac obiectul cerinței privind fondurile proprii și datoriile eligibile pentru G-SII.</w:t>
            </w:r>
          </w:p>
          <w:p w14:paraId="27823EE1" w14:textId="65D1AB03" w:rsidR="008B1AF1" w:rsidRPr="00A53ABF" w:rsidRDefault="008B1AF1" w:rsidP="00B654C4">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Acest rând îi informează pe deținătorii de datorii cu rang prioritar emise de entitatea de rezoluție cu privire la procentul datoriilor cu rang prioritar neexcluse care au fost considerate eligibile, astfel încât, după caz, aceștia să poată aplica regimul de deduceri prevăzut la articolul 72e din Regulamentul (UE) nr. 575/2013.</w:t>
            </w:r>
          </w:p>
          <w:p w14:paraId="69CB0A17" w14:textId="58CD2CDA" w:rsidR="00CF21D0" w:rsidRPr="00A53ABF" w:rsidRDefault="00F66078" w:rsidP="00B62DC9">
            <w:pPr>
              <w:pStyle w:val="InstructionsText"/>
              <w:rPr>
                <w:rStyle w:val="InstructionsTabelleberschrift"/>
                <w:rFonts w:ascii="Times New Roman" w:hAnsi="Times New Roman"/>
                <w:b w:val="0"/>
                <w:sz w:val="24"/>
                <w:u w:val="none"/>
              </w:rPr>
            </w:pPr>
            <w:r w:rsidRPr="00A53ABF">
              <w:rPr>
                <w:rStyle w:val="InstructionsTabelleberschrift"/>
                <w:rFonts w:ascii="Times New Roman" w:hAnsi="Times New Roman"/>
                <w:b w:val="0"/>
                <w:sz w:val="24"/>
                <w:u w:val="none"/>
              </w:rPr>
              <w:t>În cazul în care se aplică o derogare plafonată privind subordonarea în temeiul articolului 72b alineatul (3) din Regulamentul (UE) nr. 575/2013, entitățile raportează:</w:t>
            </w:r>
          </w:p>
          <w:p w14:paraId="2D4EFCF5" w14:textId="65361186" w:rsidR="00CF21D0" w:rsidRPr="00A53ABF" w:rsidRDefault="00F66078" w:rsidP="0073688E">
            <w:pPr>
              <w:spacing w:before="120" w:after="120" w:line="240" w:lineRule="auto"/>
              <w:jc w:val="both"/>
              <w:rPr>
                <w:rStyle w:val="InstructionsTabelleberschrift"/>
                <w:rFonts w:ascii="Times New Roman" w:hAnsi="Times New Roman"/>
                <w:b w:val="0"/>
                <w:sz w:val="24"/>
                <w:szCs w:val="24"/>
                <w:u w:val="none"/>
              </w:rPr>
            </w:pPr>
            <w:r w:rsidRPr="00A53ABF">
              <w:rPr>
                <w:rStyle w:val="InstructionsTabelleberschrift"/>
                <w:rFonts w:ascii="Times New Roman" w:hAnsi="Times New Roman"/>
                <w:b w:val="0"/>
                <w:sz w:val="24"/>
                <w:u w:val="none"/>
              </w:rPr>
              <w:t>(a) cuantumul finanțării emise care este de rang egal cu datoriile excluse, astfel cum sunt menționate la articolul 72a alineatul (2) din Regulamentul (UE) nr.</w:t>
            </w:r>
            <w:r w:rsidR="00A53ABF" w:rsidRPr="00A53ABF">
              <w:rPr>
                <w:rStyle w:val="InstructionsTabelleberschrift"/>
                <w:rFonts w:ascii="Times New Roman" w:hAnsi="Times New Roman"/>
                <w:b w:val="0"/>
                <w:sz w:val="24"/>
                <w:u w:val="none"/>
              </w:rPr>
              <w:t> </w:t>
            </w:r>
            <w:r w:rsidRPr="00A53ABF">
              <w:rPr>
                <w:rStyle w:val="InstructionsTabelleberschrift"/>
                <w:rFonts w:ascii="Times New Roman" w:hAnsi="Times New Roman"/>
                <w:b w:val="0"/>
                <w:sz w:val="24"/>
                <w:u w:val="none"/>
              </w:rPr>
              <w:t>575/2013, și care este inclusă în cuantumul prezentat pe rândul 1;</w:t>
            </w:r>
          </w:p>
          <w:p w14:paraId="61EF1E26" w14:textId="12BB5640" w:rsidR="00CF21D0" w:rsidRPr="00A53ABF" w:rsidRDefault="00F66078" w:rsidP="0073688E">
            <w:pPr>
              <w:spacing w:before="120" w:after="120" w:line="240" w:lineRule="auto"/>
              <w:jc w:val="both"/>
              <w:rPr>
                <w:rFonts w:ascii="Times New Roman" w:hAnsi="Times New Roman" w:cs="Times New Roman"/>
                <w:color w:val="000000" w:themeColor="text1"/>
                <w:sz w:val="24"/>
                <w:szCs w:val="24"/>
              </w:rPr>
            </w:pPr>
            <w:r w:rsidRPr="00A53ABF">
              <w:rPr>
                <w:rStyle w:val="InstructionsTabelleberschrift"/>
                <w:rFonts w:ascii="Times New Roman" w:hAnsi="Times New Roman"/>
                <w:b w:val="0"/>
                <w:sz w:val="24"/>
                <w:u w:val="none"/>
              </w:rPr>
              <w:t>(b) împărțit la cuantumul finanțării emise care este de rang egal cu datoriile excluse, astfel cum sunt menționate la articolul 72a alineatul (2) din Regulamentul (UE) nr. 575/2013, și care ar fi recunoscute pe rândul 1 dacă nu s-ar aplica niciun plafon.</w:t>
            </w:r>
          </w:p>
        </w:tc>
      </w:tr>
      <w:tr w:rsidR="008B1AF1" w:rsidRPr="00A53ABF" w14:paraId="3397A407" w14:textId="77777777" w:rsidTr="00915305">
        <w:trPr>
          <w:trHeight w:val="316"/>
        </w:trPr>
        <w:tc>
          <w:tcPr>
            <w:tcW w:w="1384" w:type="dxa"/>
          </w:tcPr>
          <w:p w14:paraId="064B005C" w14:textId="65B49825" w:rsidR="008B1AF1" w:rsidRPr="00A53ABF" w:rsidDel="00CD7CA4" w:rsidRDefault="008B1AF1" w:rsidP="008B1AF1">
            <w:pPr>
              <w:autoSpaceDE w:val="0"/>
              <w:autoSpaceDN w:val="0"/>
              <w:adjustRightInd w:val="0"/>
              <w:rPr>
                <w:rFonts w:ascii="Times New Roman" w:hAnsi="Times New Roman" w:cs="Times New Roman"/>
                <w:color w:val="000000" w:themeColor="text1"/>
                <w:sz w:val="24"/>
                <w:szCs w:val="24"/>
              </w:rPr>
            </w:pPr>
          </w:p>
        </w:tc>
        <w:tc>
          <w:tcPr>
            <w:tcW w:w="7655" w:type="dxa"/>
          </w:tcPr>
          <w:p w14:paraId="065986DE" w14:textId="77777777" w:rsidR="008B1AF1" w:rsidRPr="00A53ABF"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Cerința minimă de fonduri proprii și datorii eligibile (MREL)</w:t>
            </w:r>
          </w:p>
        </w:tc>
      </w:tr>
      <w:tr w:rsidR="008B1AF1" w:rsidRPr="00A53ABF" w14:paraId="1D50EF40" w14:textId="77777777" w:rsidTr="00915305">
        <w:trPr>
          <w:trHeight w:val="316"/>
        </w:trPr>
        <w:tc>
          <w:tcPr>
            <w:tcW w:w="1384" w:type="dxa"/>
          </w:tcPr>
          <w:p w14:paraId="5B7C6EEB" w14:textId="0DDF46DE" w:rsidR="008B1AF1" w:rsidRPr="00A53ABF" w:rsidRDefault="00FF2A56" w:rsidP="008B1AF1">
            <w:pPr>
              <w:autoSpaceDE w:val="0"/>
              <w:autoSpaceDN w:val="0"/>
              <w:adjustRightInd w:val="0"/>
              <w:rPr>
                <w:rFonts w:ascii="Times New Roman" w:hAnsi="Times New Roman" w:cs="Times New Roman"/>
                <w:color w:val="000000" w:themeColor="text1"/>
                <w:sz w:val="24"/>
                <w:szCs w:val="24"/>
              </w:rPr>
            </w:pPr>
            <w:r w:rsidRPr="00A53ABF">
              <w:rPr>
                <w:rFonts w:ascii="Times New Roman" w:hAnsi="Times New Roman"/>
                <w:sz w:val="24"/>
              </w:rPr>
              <w:t>EU-7</w:t>
            </w:r>
          </w:p>
        </w:tc>
        <w:tc>
          <w:tcPr>
            <w:tcW w:w="7655" w:type="dxa"/>
          </w:tcPr>
          <w:p w14:paraId="4FB8070F" w14:textId="2E661595" w:rsidR="008B1AF1" w:rsidRPr="00A53ABF" w:rsidRDefault="008B1AF1" w:rsidP="008B1AF1">
            <w:pPr>
              <w:pStyle w:val="Applicationdirecte"/>
              <w:spacing w:before="120"/>
              <w:rPr>
                <w:b/>
                <w:color w:val="000000" w:themeColor="text1"/>
                <w:szCs w:val="24"/>
              </w:rPr>
            </w:pPr>
            <w:r w:rsidRPr="00A53ABF">
              <w:rPr>
                <w:b/>
                <w:color w:val="000000" w:themeColor="text1"/>
              </w:rPr>
              <w:t>MREL exprimată ca procent din TREA</w:t>
            </w:r>
          </w:p>
          <w:p w14:paraId="5D62407D" w14:textId="1D56CFCB" w:rsidR="006453C4" w:rsidRPr="00A53ABF" w:rsidRDefault="006453C4" w:rsidP="00D33D65">
            <w:pPr>
              <w:pStyle w:val="Fait"/>
            </w:pPr>
            <w:r w:rsidRPr="00A53ABF">
              <w:rPr>
                <w:color w:val="000000" w:themeColor="text1"/>
              </w:rPr>
              <w:t>Cerința minimă de fonduri proprii și datorii eligibile a entității, stabilită de autoritatea de rezoluție în conformitate cu articolul 45e din Directiva 2014/59/UE, exprimată ca procent din cuantumul total al expunerii la risc calculat în conformitate cu articolul 92 alineatul (3) din Regulamentul (UE) nr. 575/2013.</w:t>
            </w:r>
          </w:p>
        </w:tc>
      </w:tr>
      <w:tr w:rsidR="008B1AF1" w:rsidRPr="00A53ABF" w14:paraId="1415A72E" w14:textId="77777777" w:rsidTr="00915305">
        <w:trPr>
          <w:trHeight w:val="316"/>
        </w:trPr>
        <w:tc>
          <w:tcPr>
            <w:tcW w:w="1384" w:type="dxa"/>
          </w:tcPr>
          <w:p w14:paraId="519FCFF9" w14:textId="293BA3A8" w:rsidR="008B1AF1" w:rsidRPr="00A53ABF" w:rsidRDefault="00FF2A56" w:rsidP="008B1AF1">
            <w:pPr>
              <w:autoSpaceDE w:val="0"/>
              <w:autoSpaceDN w:val="0"/>
              <w:adjustRightInd w:val="0"/>
              <w:rPr>
                <w:rFonts w:ascii="Times New Roman" w:hAnsi="Times New Roman" w:cs="Times New Roman"/>
                <w:color w:val="000000" w:themeColor="text1"/>
                <w:sz w:val="24"/>
                <w:szCs w:val="24"/>
              </w:rPr>
            </w:pPr>
            <w:r w:rsidRPr="00A53ABF">
              <w:rPr>
                <w:rFonts w:ascii="Times New Roman" w:hAnsi="Times New Roman"/>
                <w:sz w:val="24"/>
              </w:rPr>
              <w:t>EU-8</w:t>
            </w:r>
          </w:p>
        </w:tc>
        <w:tc>
          <w:tcPr>
            <w:tcW w:w="7655" w:type="dxa"/>
          </w:tcPr>
          <w:p w14:paraId="7AFA5D84" w14:textId="75D8B263" w:rsidR="008B1AF1" w:rsidRPr="00A53ABF" w:rsidRDefault="00B80F7C" w:rsidP="008B1AF1">
            <w:pPr>
              <w:pStyle w:val="Applicationdirecte"/>
              <w:spacing w:before="0" w:after="0"/>
              <w:rPr>
                <w:b/>
                <w:color w:val="000000" w:themeColor="text1"/>
                <w:szCs w:val="24"/>
              </w:rPr>
            </w:pPr>
            <w:r w:rsidRPr="00A53ABF">
              <w:rPr>
                <w:b/>
                <w:color w:val="000000" w:themeColor="text1"/>
              </w:rPr>
              <w:t>MREL exprimată ca procent din TREA – din care: de atins cu fonduri proprii sau datorii subordonate</w:t>
            </w:r>
          </w:p>
          <w:p w14:paraId="33EFDD9D" w14:textId="6FBE11AF" w:rsidR="008B1AF1" w:rsidRPr="00A53ABF" w:rsidRDefault="00D819D9" w:rsidP="00D33D65">
            <w:pPr>
              <w:rPr>
                <w:color w:val="000000" w:themeColor="text1"/>
                <w:szCs w:val="24"/>
              </w:rPr>
            </w:pPr>
            <w:r w:rsidRPr="00A53ABF">
              <w:rPr>
                <w:rStyle w:val="FormatvorlageInstructionsTabelleText"/>
                <w:rFonts w:ascii="Times New Roman" w:hAnsi="Times New Roman"/>
                <w:sz w:val="24"/>
              </w:rPr>
              <w:t>Dacă este cazul, partea din MREL a cărei îndeplinire, în temeiul articolului 45b alineatele (4)-(8) din Directiva 2014/59/UE, a fost impusă de autoritatea de rezoluție folosind fonduri proprii, instrumente eligibile subordonate sau datorii astfel cum sunt menționate la alineatul (3) de la articolul respectiv,</w:t>
            </w:r>
            <w:r w:rsidRPr="00A53ABF">
              <w:rPr>
                <w:rFonts w:ascii="Times New Roman" w:hAnsi="Times New Roman"/>
                <w:sz w:val="24"/>
              </w:rPr>
              <w:t xml:space="preserve"> exprimată ca procent din cuantumul total al expunerii la risc calculat în conformitate cu articolul 92 alineatul (3) din Regulamentul (UE) nr.</w:t>
            </w:r>
            <w:r w:rsidR="00A53ABF" w:rsidRPr="00A53ABF">
              <w:rPr>
                <w:rFonts w:ascii="Times New Roman" w:hAnsi="Times New Roman"/>
                <w:sz w:val="24"/>
              </w:rPr>
              <w:t> </w:t>
            </w:r>
            <w:r w:rsidRPr="00A53ABF">
              <w:rPr>
                <w:rFonts w:ascii="Times New Roman" w:hAnsi="Times New Roman"/>
                <w:sz w:val="24"/>
              </w:rPr>
              <w:t>575/2013</w:t>
            </w:r>
            <w:r w:rsidRPr="00A53ABF">
              <w:rPr>
                <w:rStyle w:val="FormatvorlageInstructionsTabelleText"/>
                <w:rFonts w:ascii="Times New Roman" w:hAnsi="Times New Roman"/>
                <w:sz w:val="24"/>
              </w:rPr>
              <w:t>.</w:t>
            </w:r>
          </w:p>
        </w:tc>
      </w:tr>
      <w:tr w:rsidR="008B1AF1" w:rsidRPr="00A53ABF" w14:paraId="060950C0" w14:textId="77777777" w:rsidTr="00915305">
        <w:trPr>
          <w:trHeight w:val="316"/>
        </w:trPr>
        <w:tc>
          <w:tcPr>
            <w:tcW w:w="1384" w:type="dxa"/>
          </w:tcPr>
          <w:p w14:paraId="1DBB4CB4" w14:textId="31361788" w:rsidR="008B1AF1" w:rsidRPr="00A53ABF" w:rsidRDefault="00FF2A56" w:rsidP="008B1AF1">
            <w:pPr>
              <w:autoSpaceDE w:val="0"/>
              <w:autoSpaceDN w:val="0"/>
              <w:adjustRightInd w:val="0"/>
              <w:rPr>
                <w:rFonts w:ascii="Times New Roman" w:hAnsi="Times New Roman" w:cs="Times New Roman"/>
                <w:color w:val="000000" w:themeColor="text1"/>
                <w:sz w:val="24"/>
                <w:szCs w:val="24"/>
              </w:rPr>
            </w:pPr>
            <w:r w:rsidRPr="00A53ABF">
              <w:rPr>
                <w:rFonts w:ascii="Times New Roman" w:hAnsi="Times New Roman"/>
                <w:sz w:val="24"/>
              </w:rPr>
              <w:t>EU-9</w:t>
            </w:r>
          </w:p>
        </w:tc>
        <w:tc>
          <w:tcPr>
            <w:tcW w:w="7655" w:type="dxa"/>
          </w:tcPr>
          <w:p w14:paraId="357A69B0" w14:textId="07AF7072" w:rsidR="008B1AF1" w:rsidRPr="00A53ABF" w:rsidRDefault="008B1AF1" w:rsidP="008B1AF1">
            <w:pPr>
              <w:pStyle w:val="Applicationdirecte"/>
              <w:spacing w:before="120"/>
              <w:rPr>
                <w:b/>
                <w:color w:val="000000" w:themeColor="text1"/>
                <w:szCs w:val="24"/>
              </w:rPr>
            </w:pPr>
            <w:r w:rsidRPr="00A53ABF">
              <w:rPr>
                <w:b/>
                <w:color w:val="000000" w:themeColor="text1"/>
              </w:rPr>
              <w:t>MREL exprimată ca procent din TEM</w:t>
            </w:r>
          </w:p>
          <w:p w14:paraId="7ABED549" w14:textId="5EF36813" w:rsidR="006453C4" w:rsidRPr="00A53ABF" w:rsidRDefault="006453C4" w:rsidP="00717DB0">
            <w:pPr>
              <w:pStyle w:val="Fait"/>
            </w:pPr>
            <w:r w:rsidRPr="00A53ABF">
              <w:t xml:space="preserve">Cerința minimă de fonduri proprii și datorii eligibile a entității raportoare, stabilită de autoritatea de rezoluție în conformitate cu articolul 45e din </w:t>
            </w:r>
            <w:r w:rsidRPr="00A53ABF">
              <w:lastRenderedPageBreak/>
              <w:t>Directiva 2014/59/UE, exprimată ca procent din indicatorul de măsurare a expunerii totale calculat în conformitate cu articolul 429 alineatul (4) și cu articolul 429a din Regulamentul (UE) nr. 575/2013.</w:t>
            </w:r>
          </w:p>
        </w:tc>
      </w:tr>
      <w:tr w:rsidR="008B1AF1" w:rsidRPr="00A53ABF" w14:paraId="5A4A9503" w14:textId="77777777" w:rsidTr="00915305">
        <w:trPr>
          <w:trHeight w:val="316"/>
        </w:trPr>
        <w:tc>
          <w:tcPr>
            <w:tcW w:w="1384" w:type="dxa"/>
          </w:tcPr>
          <w:p w14:paraId="4E5C6AFC" w14:textId="2C522F9C" w:rsidR="008B1AF1" w:rsidRPr="00A53ABF" w:rsidRDefault="00FF2A56" w:rsidP="008B1AF1">
            <w:pPr>
              <w:autoSpaceDE w:val="0"/>
              <w:autoSpaceDN w:val="0"/>
              <w:adjustRightInd w:val="0"/>
              <w:rPr>
                <w:rFonts w:ascii="Times New Roman" w:hAnsi="Times New Roman" w:cs="Times New Roman"/>
                <w:color w:val="000000" w:themeColor="text1"/>
                <w:sz w:val="24"/>
                <w:szCs w:val="24"/>
              </w:rPr>
            </w:pPr>
            <w:r w:rsidRPr="00A53ABF">
              <w:rPr>
                <w:rFonts w:ascii="Times New Roman" w:hAnsi="Times New Roman"/>
                <w:sz w:val="24"/>
              </w:rPr>
              <w:lastRenderedPageBreak/>
              <w:t>EU-10</w:t>
            </w:r>
          </w:p>
        </w:tc>
        <w:tc>
          <w:tcPr>
            <w:tcW w:w="7655" w:type="dxa"/>
          </w:tcPr>
          <w:p w14:paraId="4A8117E5" w14:textId="70796A0D" w:rsidR="008B1AF1" w:rsidRPr="00A53ABF" w:rsidRDefault="00B80F7C" w:rsidP="008B1AF1">
            <w:pPr>
              <w:pStyle w:val="Applicationdirecte"/>
              <w:spacing w:before="0" w:after="0"/>
              <w:rPr>
                <w:b/>
                <w:color w:val="000000" w:themeColor="text1"/>
                <w:szCs w:val="24"/>
              </w:rPr>
            </w:pPr>
            <w:r w:rsidRPr="00A53ABF">
              <w:rPr>
                <w:b/>
                <w:color w:val="000000" w:themeColor="text1"/>
              </w:rPr>
              <w:t>MREL exprimată ca procent din TEM – din care: de atins cu fonduri proprii sau datorii subordonate</w:t>
            </w:r>
          </w:p>
          <w:p w14:paraId="366BA2A0" w14:textId="50E2609F" w:rsidR="008B1AF1" w:rsidRPr="00A53ABF" w:rsidRDefault="00D819D9" w:rsidP="00E1386E">
            <w:pPr>
              <w:rPr>
                <w:color w:val="000000" w:themeColor="text1"/>
                <w:szCs w:val="24"/>
              </w:rPr>
            </w:pPr>
            <w:r w:rsidRPr="00A53ABF">
              <w:rPr>
                <w:rStyle w:val="FormatvorlageInstructionsTabelleText"/>
                <w:rFonts w:ascii="Times New Roman" w:hAnsi="Times New Roman"/>
                <w:sz w:val="24"/>
              </w:rPr>
              <w:t>Dacă este cazul, partea din MREL a cărei îndeplinire, în temeiul articolului 45b alineatele (4)-(8) din Directiva 2014/59/UE, a fost impusă de autoritatea de rezoluție folosind fonduri proprii, instrumente eligibile subordonate sau datorii astfel cum sunt menționate la alineatul (3) de la articolul respectiv,</w:t>
            </w:r>
            <w:r w:rsidRPr="00A53ABF">
              <w:rPr>
                <w:rFonts w:ascii="Times New Roman" w:hAnsi="Times New Roman"/>
                <w:sz w:val="24"/>
              </w:rPr>
              <w:t xml:space="preserve"> exprimată ca procent din indicatorul de măsurare a expunerii totale calculat în conformitate cu articolul 429 alineatul (4) și cu articolul 429a din Regulamentul (UE) nr. 575/2013</w:t>
            </w:r>
            <w:r w:rsidRPr="00A53ABF">
              <w:rPr>
                <w:rStyle w:val="FormatvorlageInstructionsTabelleText"/>
                <w:rFonts w:ascii="Times New Roman" w:hAnsi="Times New Roman"/>
                <w:sz w:val="24"/>
              </w:rPr>
              <w:t>.</w:t>
            </w:r>
          </w:p>
        </w:tc>
      </w:tr>
    </w:tbl>
    <w:p w14:paraId="38CEC33F" w14:textId="77777777" w:rsidR="005673AC" w:rsidRPr="00A53ABF" w:rsidRDefault="005673AC" w:rsidP="00E258D8">
      <w:pPr>
        <w:rPr>
          <w:rFonts w:ascii="Times New Roman" w:hAnsi="Times New Roman" w:cs="Times New Roman"/>
          <w:noProof/>
          <w:color w:val="000000" w:themeColor="text1"/>
          <w:sz w:val="24"/>
          <w:szCs w:val="24"/>
        </w:rPr>
      </w:pPr>
    </w:p>
    <w:p w14:paraId="62DE89D5" w14:textId="0B5C7ED4" w:rsidR="003956D6" w:rsidRPr="00A53ABF"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A53ABF">
        <w:rPr>
          <w:rFonts w:ascii="Times New Roman" w:hAnsi="Times New Roman"/>
          <w:color w:val="auto"/>
          <w:sz w:val="24"/>
        </w:rPr>
        <w:t>3.</w:t>
      </w:r>
      <w:r w:rsidRPr="00A53ABF">
        <w:rPr>
          <w:rFonts w:ascii="Times New Roman" w:hAnsi="Times New Roman"/>
          <w:color w:val="auto"/>
          <w:sz w:val="24"/>
        </w:rPr>
        <w:tab/>
      </w:r>
      <w:bookmarkStart w:id="186" w:name="_Toc14770783"/>
      <w:bookmarkStart w:id="187" w:name="_Toc45266927"/>
      <w:r w:rsidRPr="00A53ABF">
        <w:rPr>
          <w:rFonts w:ascii="Times New Roman" w:hAnsi="Times New Roman"/>
          <w:color w:val="auto"/>
          <w:sz w:val="24"/>
        </w:rPr>
        <w:t>EU TLAC 1: Componență – MREL și, după caz, cerința privind fondurile proprii și datoriile eligibile pentru G-SII</w:t>
      </w:r>
      <w:bookmarkEnd w:id="186"/>
      <w:bookmarkEnd w:id="187"/>
    </w:p>
    <w:p w14:paraId="5FDEB8AD" w14:textId="17A1952C" w:rsidR="00021E4F" w:rsidRPr="00A53ABF" w:rsidRDefault="00021E4F" w:rsidP="00B62DC9">
      <w:pPr>
        <w:pStyle w:val="InstructionsText2"/>
        <w:numPr>
          <w:ilvl w:val="0"/>
          <w:numId w:val="12"/>
        </w:numPr>
      </w:pPr>
      <w:r w:rsidRPr="00A53ABF">
        <w:t>Poziția fondurilor proprii și a datoriilor eligibile legate de grupul de rezoluție include numai instrumentele de capital și datoriile eligibile emise de entitatea de rezoluție și, în cazul în care acestea sunt conforme cu articolul 45b alineatul (3) din Directiva 2014/59/UE sau cu articolul 88a din Regulamentul (UE) nr. 575/2013, după caz, de filiale ale entității de rezoluție, cu excepția entităților din afara grupului de rezoluție. În mod similar, poziția fondurilor proprii și a datoriilor eligibile se bazează pe cuantumul total al expunerii la risc [ajustat astfel cum se permite la articolul 45h alineatul (2) din Directiva 2014/59/UE] și pe indicatorul de măsurare a expunerii totale calculat la nivelul grupului de rezoluție.</w:t>
      </w:r>
    </w:p>
    <w:p w14:paraId="31AA4E2B" w14:textId="5FF6ED9D" w:rsidR="00B00CC4" w:rsidRPr="00A53ABF" w:rsidRDefault="00021E4F" w:rsidP="00B62DC9">
      <w:pPr>
        <w:pStyle w:val="InstructionsText2"/>
        <w:numPr>
          <w:ilvl w:val="0"/>
          <w:numId w:val="12"/>
        </w:numPr>
      </w:pPr>
      <w:r w:rsidRPr="00A53ABF">
        <w:t>În ceea ce privește ajustările de reglementare, entitățile trebuie să publice deducerile din fondurile proprii și din datoriile eligibile ca numere negative, iar adăugările la fondurile proprii și la datoriile eligibile ca numere pozitive.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A53ABF" w14:paraId="326F196A" w14:textId="77777777" w:rsidTr="00807127">
        <w:trPr>
          <w:trHeight w:val="238"/>
        </w:trPr>
        <w:tc>
          <w:tcPr>
            <w:tcW w:w="1384" w:type="dxa"/>
            <w:shd w:val="clear" w:color="auto" w:fill="D9D9D9" w:themeFill="background1" w:themeFillShade="D9"/>
          </w:tcPr>
          <w:p w14:paraId="0D11A621" w14:textId="7182C6B7" w:rsidR="00807127" w:rsidRPr="00A53ABF" w:rsidRDefault="00807127" w:rsidP="00807127">
            <w:pPr>
              <w:autoSpaceDE w:val="0"/>
              <w:autoSpaceDN w:val="0"/>
              <w:adjustRightInd w:val="0"/>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Coloane</w:t>
            </w:r>
          </w:p>
        </w:tc>
        <w:tc>
          <w:tcPr>
            <w:tcW w:w="7655" w:type="dxa"/>
            <w:shd w:val="clear" w:color="auto" w:fill="D9D9D9" w:themeFill="background1" w:themeFillShade="D9"/>
          </w:tcPr>
          <w:p w14:paraId="791EECCB" w14:textId="195647A1" w:rsidR="00807127" w:rsidRPr="00A53ABF" w:rsidRDefault="00E46262" w:rsidP="00807127">
            <w:pPr>
              <w:autoSpaceDE w:val="0"/>
              <w:autoSpaceDN w:val="0"/>
              <w:adjustRightInd w:val="0"/>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Referințe juridice și instrucțiuni</w:t>
            </w:r>
          </w:p>
        </w:tc>
      </w:tr>
      <w:tr w:rsidR="00807127" w:rsidRPr="00A53ABF" w14:paraId="32E9685C" w14:textId="77777777" w:rsidTr="00807127">
        <w:trPr>
          <w:trHeight w:val="637"/>
        </w:trPr>
        <w:tc>
          <w:tcPr>
            <w:tcW w:w="1384" w:type="dxa"/>
          </w:tcPr>
          <w:p w14:paraId="6B2EC01C" w14:textId="6A4D6558" w:rsidR="00807127" w:rsidRPr="00A53ABF" w:rsidDel="00DE6BC1" w:rsidRDefault="00807127" w:rsidP="00EF47A4">
            <w:pPr>
              <w:pStyle w:val="Applicationdirecte"/>
              <w:spacing w:before="120"/>
              <w:jc w:val="center"/>
              <w:rPr>
                <w:color w:val="000000" w:themeColor="text1"/>
                <w:szCs w:val="24"/>
              </w:rPr>
            </w:pPr>
            <w:r w:rsidRPr="00A53ABF">
              <w:rPr>
                <w:color w:val="000000" w:themeColor="text1"/>
              </w:rPr>
              <w:t>a</w:t>
            </w:r>
          </w:p>
        </w:tc>
        <w:tc>
          <w:tcPr>
            <w:tcW w:w="7655" w:type="dxa"/>
          </w:tcPr>
          <w:p w14:paraId="436FCBC7" w14:textId="60418D16" w:rsidR="00807127" w:rsidRPr="00A53ABF" w:rsidRDefault="008C2E99" w:rsidP="003C10CA">
            <w:pPr>
              <w:autoSpaceDE w:val="0"/>
              <w:autoSpaceDN w:val="0"/>
              <w:adjustRightInd w:val="0"/>
              <w:spacing w:before="120" w:after="120"/>
              <w:rPr>
                <w:rFonts w:ascii="Times New Roman" w:hAnsi="Times New Roman" w:cs="Times New Roman"/>
                <w:color w:val="000000" w:themeColor="text1"/>
                <w:sz w:val="24"/>
                <w:szCs w:val="24"/>
              </w:rPr>
            </w:pPr>
            <w:r w:rsidRPr="00A53ABF">
              <w:rPr>
                <w:rFonts w:ascii="Times New Roman" w:hAnsi="Times New Roman"/>
                <w:color w:val="000000" w:themeColor="text1"/>
                <w:sz w:val="24"/>
              </w:rPr>
              <w:t>Entitățile publică în această coloană informațiile relevante referitoare la MREL în conformitate cu articolele 45 și 45e din Directiva 2014/59/UE.</w:t>
            </w:r>
          </w:p>
        </w:tc>
      </w:tr>
      <w:tr w:rsidR="00807127" w:rsidRPr="00A53ABF" w14:paraId="462C6C09" w14:textId="77777777" w:rsidTr="00807127">
        <w:trPr>
          <w:trHeight w:val="637"/>
        </w:trPr>
        <w:tc>
          <w:tcPr>
            <w:tcW w:w="1384" w:type="dxa"/>
          </w:tcPr>
          <w:p w14:paraId="560866CC" w14:textId="77777777" w:rsidR="00807127" w:rsidRPr="00A53ABF" w:rsidDel="00DE6BC1" w:rsidRDefault="00807127" w:rsidP="00807127">
            <w:pPr>
              <w:pStyle w:val="Applicationdirecte"/>
              <w:spacing w:before="120"/>
              <w:jc w:val="center"/>
              <w:rPr>
                <w:color w:val="000000" w:themeColor="text1"/>
                <w:szCs w:val="24"/>
              </w:rPr>
            </w:pPr>
            <w:r w:rsidRPr="00A53ABF">
              <w:rPr>
                <w:color w:val="000000" w:themeColor="text1"/>
              </w:rPr>
              <w:t>b</w:t>
            </w:r>
          </w:p>
        </w:tc>
        <w:tc>
          <w:tcPr>
            <w:tcW w:w="7655" w:type="dxa"/>
          </w:tcPr>
          <w:p w14:paraId="1B5C7CCC" w14:textId="65BA9065" w:rsidR="00807127" w:rsidRPr="00A53ABF" w:rsidRDefault="008C2E99" w:rsidP="00F60ACD">
            <w:pPr>
              <w:autoSpaceDE w:val="0"/>
              <w:autoSpaceDN w:val="0"/>
              <w:adjustRightInd w:val="0"/>
              <w:spacing w:before="120" w:after="120"/>
              <w:rPr>
                <w:rFonts w:ascii="Times New Roman" w:hAnsi="Times New Roman" w:cs="Times New Roman"/>
                <w:b/>
                <w:color w:val="000000" w:themeColor="text1"/>
                <w:sz w:val="24"/>
                <w:szCs w:val="24"/>
              </w:rPr>
            </w:pPr>
            <w:r w:rsidRPr="00A53ABF">
              <w:rPr>
                <w:rFonts w:ascii="Times New Roman" w:hAnsi="Times New Roman"/>
                <w:color w:val="000000" w:themeColor="text1"/>
                <w:sz w:val="24"/>
              </w:rPr>
              <w:t xml:space="preserve">Entitățile care sunt G-SII cărora li se aplică o cerință privind TLAC în temeiul articolului 92a din Regulamentul (UE) nr. 575/2013 publică în această coloană informațiile relevante cu privire la cerința menționată. </w:t>
            </w:r>
          </w:p>
        </w:tc>
      </w:tr>
      <w:tr w:rsidR="00807127" w:rsidRPr="00A53ABF" w14:paraId="4B0052CD" w14:textId="77777777" w:rsidTr="00807127">
        <w:trPr>
          <w:trHeight w:val="637"/>
        </w:trPr>
        <w:tc>
          <w:tcPr>
            <w:tcW w:w="1384" w:type="dxa"/>
          </w:tcPr>
          <w:p w14:paraId="3F556DCF" w14:textId="09520620" w:rsidR="00807127" w:rsidRPr="00A53ABF" w:rsidDel="00DE6BC1" w:rsidRDefault="00807127" w:rsidP="00EF47A4">
            <w:pPr>
              <w:pStyle w:val="Applicationdirecte"/>
              <w:spacing w:before="120"/>
              <w:jc w:val="center"/>
              <w:rPr>
                <w:color w:val="000000" w:themeColor="text1"/>
                <w:szCs w:val="24"/>
              </w:rPr>
            </w:pPr>
            <w:r w:rsidRPr="00A53ABF">
              <w:rPr>
                <w:color w:val="000000" w:themeColor="text1"/>
              </w:rPr>
              <w:t>c</w:t>
            </w:r>
          </w:p>
        </w:tc>
        <w:tc>
          <w:tcPr>
            <w:tcW w:w="7655" w:type="dxa"/>
          </w:tcPr>
          <w:p w14:paraId="77906683" w14:textId="414268DB" w:rsidR="00807127" w:rsidRPr="00A53ABF" w:rsidRDefault="00807127" w:rsidP="00B62DC9">
            <w:pPr>
              <w:pStyle w:val="InstructionsText"/>
            </w:pPr>
            <w:r w:rsidRPr="00A53ABF">
              <w:rPr>
                <w:rStyle w:val="FormatvorlageInstructionsTabelleText"/>
                <w:rFonts w:ascii="Times New Roman" w:hAnsi="Times New Roman"/>
                <w:sz w:val="24"/>
              </w:rPr>
              <w:t>Această coloană trebuie completată numai de entitățile care fac obiectul cerinței privind TLAC.</w:t>
            </w:r>
            <w:r w:rsidRPr="00A53ABF">
              <w:t xml:space="preserve"> </w:t>
            </w:r>
          </w:p>
          <w:p w14:paraId="1B6D4BC4" w14:textId="410E4195" w:rsidR="00807127" w:rsidRPr="00A53ABF" w:rsidRDefault="00807127" w:rsidP="00B62DC9">
            <w:pPr>
              <w:pStyle w:val="InstructionsText"/>
            </w:pPr>
            <w:r w:rsidRPr="00A53ABF">
              <w:t xml:space="preserve">Această coloană trebuie să reflecte diferența dintre cuantumurile aplicabile în contextul cerinței prevăzute la articolul 45 din Directiva 2014/59/UE și </w:t>
            </w:r>
            <w:r w:rsidRPr="00A53ABF">
              <w:lastRenderedPageBreak/>
              <w:t>cuantumurile aplicabile în contextul cerinței de la articolul 92a din Regulamentul (UE) nr. 575/2013.</w:t>
            </w:r>
          </w:p>
        </w:tc>
      </w:tr>
    </w:tbl>
    <w:p w14:paraId="3AC1888A" w14:textId="77777777" w:rsidR="00807127" w:rsidRPr="00A53ABF" w:rsidRDefault="00807127" w:rsidP="00807127">
      <w:pPr>
        <w:jc w:val="both"/>
        <w:rPr>
          <w:rFonts w:ascii="Times New Roman" w:hAnsi="Times New Roman" w:cs="Times New Roman"/>
          <w:i/>
          <w:noProof/>
          <w:color w:val="000000" w:themeColor="text1"/>
          <w:sz w:val="24"/>
          <w:szCs w:val="24"/>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A53ABF"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A53ABF" w:rsidRDefault="00021E4F" w:rsidP="00915305">
            <w:pPr>
              <w:rPr>
                <w:rFonts w:ascii="Times New Roman" w:hAnsi="Times New Roman" w:cs="Times New Roman"/>
                <w:noProof/>
                <w:color w:val="000000" w:themeColor="text1"/>
                <w:sz w:val="24"/>
                <w:szCs w:val="24"/>
                <w:lang w:val="ro-RO"/>
              </w:rPr>
            </w:pPr>
            <w:r w:rsidRPr="00A53ABF">
              <w:rPr>
                <w:rFonts w:ascii="Times New Roman" w:hAnsi="Times New Roman"/>
                <w:b/>
                <w:color w:val="000000" w:themeColor="text1"/>
                <w:sz w:val="24"/>
                <w:lang w:val="ro-RO"/>
              </w:rPr>
              <w:t xml:space="preserve">Rând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A53ABF" w:rsidRDefault="00E46262" w:rsidP="00915305">
            <w:pPr>
              <w:rPr>
                <w:rFonts w:ascii="Times New Roman" w:hAnsi="Times New Roman" w:cs="Times New Roman"/>
                <w:noProof/>
                <w:color w:val="000000" w:themeColor="text1"/>
                <w:sz w:val="24"/>
                <w:szCs w:val="24"/>
                <w:lang w:val="ro-RO"/>
              </w:rPr>
            </w:pPr>
            <w:r w:rsidRPr="00A53ABF">
              <w:rPr>
                <w:rFonts w:ascii="Times New Roman" w:hAnsi="Times New Roman"/>
                <w:b/>
                <w:color w:val="000000" w:themeColor="text1"/>
                <w:sz w:val="24"/>
                <w:lang w:val="ro-RO"/>
              </w:rPr>
              <w:t>Referințe juridice și instrucțiuni</w:t>
            </w:r>
          </w:p>
        </w:tc>
      </w:tr>
      <w:tr w:rsidR="00026FC1" w:rsidRPr="00A53ABF" w14:paraId="614F9517" w14:textId="77777777" w:rsidTr="00E46262">
        <w:tc>
          <w:tcPr>
            <w:tcW w:w="1030" w:type="dxa"/>
          </w:tcPr>
          <w:p w14:paraId="7EE06B6D" w14:textId="77777777" w:rsidR="00021E4F" w:rsidRPr="00A53ABF" w:rsidRDefault="00021E4F" w:rsidP="00915305">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1</w:t>
            </w:r>
          </w:p>
        </w:tc>
        <w:tc>
          <w:tcPr>
            <w:tcW w:w="7736" w:type="dxa"/>
          </w:tcPr>
          <w:p w14:paraId="709BFA1D" w14:textId="0A17EB42" w:rsidR="00021E4F" w:rsidRPr="00A53ABF" w:rsidRDefault="00021E4F" w:rsidP="00915305">
            <w:pPr>
              <w:rPr>
                <w:rFonts w:ascii="Times New Roman" w:hAnsi="Times New Roman" w:cs="Times New Roman"/>
                <w:noProof/>
                <w:color w:val="000000" w:themeColor="text1"/>
                <w:sz w:val="24"/>
                <w:szCs w:val="24"/>
                <w:lang w:val="ro-RO"/>
              </w:rPr>
            </w:pPr>
            <w:r w:rsidRPr="00A53ABF">
              <w:rPr>
                <w:rFonts w:ascii="Times New Roman" w:hAnsi="Times New Roman"/>
                <w:b/>
                <w:color w:val="000000" w:themeColor="text1"/>
                <w:sz w:val="24"/>
                <w:lang w:val="ro-RO"/>
              </w:rPr>
              <w:t>Fonduri proprii de nivel 1 de bază</w:t>
            </w:r>
          </w:p>
          <w:p w14:paraId="0C38277D" w14:textId="1D578338" w:rsidR="00021E4F" w:rsidRPr="00A53ABF" w:rsidRDefault="00021E4F" w:rsidP="0097126E">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Fondurile proprii de nivel 1 de bază ale grupului de rezoluție, calculate în conformitate cu articolul 50 din Regulamentul (UE) nr. 575/2013.</w:t>
            </w:r>
          </w:p>
        </w:tc>
      </w:tr>
      <w:tr w:rsidR="00026FC1" w:rsidRPr="00A53ABF" w14:paraId="0AC96626" w14:textId="77777777" w:rsidTr="00E46262">
        <w:tc>
          <w:tcPr>
            <w:tcW w:w="1030" w:type="dxa"/>
          </w:tcPr>
          <w:p w14:paraId="4517736A" w14:textId="77777777" w:rsidR="00021E4F" w:rsidRPr="00A53ABF" w:rsidRDefault="00021E4F" w:rsidP="00915305">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2</w:t>
            </w:r>
          </w:p>
        </w:tc>
        <w:tc>
          <w:tcPr>
            <w:tcW w:w="7736" w:type="dxa"/>
          </w:tcPr>
          <w:p w14:paraId="2FB37E1A" w14:textId="007BDD23" w:rsidR="00021E4F" w:rsidRPr="00A53ABF" w:rsidRDefault="00021E4F" w:rsidP="00915305">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 xml:space="preserve">Fonduri proprii de nivel 1 suplimentar </w:t>
            </w:r>
          </w:p>
          <w:p w14:paraId="05B0D3DA" w14:textId="4151C42D" w:rsidR="00E94218" w:rsidRPr="00A53ABF" w:rsidRDefault="00021E4F">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Fondurile proprii de nivel 1 suplimentar ale grupului de rezoluție, calculate în conformitate cu articolul 61 din Regulamentul (UE) nr. 575/2013.</w:t>
            </w:r>
          </w:p>
          <w:p w14:paraId="66E56E67" w14:textId="5AF6C892" w:rsidR="00021E4F" w:rsidRPr="00A53ABF" w:rsidRDefault="00E94218" w:rsidP="00E94218">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În cazul MREL, instrumentele reglementate de legislația unei țări terțe sunt incluse pe acest rând numai dacă îndeplinesc cerințele prevăzute la articolul 55 din Directiva 2014/59/UE.</w:t>
            </w:r>
          </w:p>
        </w:tc>
      </w:tr>
      <w:tr w:rsidR="00026FC1" w:rsidRPr="00A53ABF" w14:paraId="2781CFBF" w14:textId="77777777" w:rsidTr="00E46262">
        <w:tc>
          <w:tcPr>
            <w:tcW w:w="1030" w:type="dxa"/>
          </w:tcPr>
          <w:p w14:paraId="6B607587" w14:textId="58DB8643" w:rsidR="00021E4F" w:rsidRPr="00A53ABF" w:rsidRDefault="00D571F6" w:rsidP="00915305">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6</w:t>
            </w:r>
          </w:p>
        </w:tc>
        <w:tc>
          <w:tcPr>
            <w:tcW w:w="7736" w:type="dxa"/>
          </w:tcPr>
          <w:p w14:paraId="30A3A120" w14:textId="05F7C1CC" w:rsidR="00021E4F" w:rsidRPr="00A53ABF" w:rsidRDefault="00021E4F" w:rsidP="00915305">
            <w:pPr>
              <w:rPr>
                <w:rFonts w:ascii="Times New Roman" w:hAnsi="Times New Roman" w:cs="Times New Roman"/>
                <w:noProof/>
                <w:color w:val="000000" w:themeColor="text1"/>
                <w:sz w:val="24"/>
                <w:szCs w:val="24"/>
                <w:lang w:val="ro-RO"/>
              </w:rPr>
            </w:pPr>
            <w:r w:rsidRPr="00A53ABF">
              <w:rPr>
                <w:rFonts w:ascii="Times New Roman" w:hAnsi="Times New Roman"/>
                <w:b/>
                <w:color w:val="000000" w:themeColor="text1"/>
                <w:sz w:val="24"/>
                <w:lang w:val="ro-RO"/>
              </w:rPr>
              <w:t>Fonduri proprii de nivel 2</w:t>
            </w:r>
          </w:p>
          <w:p w14:paraId="6F849BF3" w14:textId="3A19BC99" w:rsidR="00021E4F" w:rsidRPr="00A53ABF" w:rsidRDefault="00021E4F" w:rsidP="001F75A3">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Fondurile proprii de nivel 2 ale grupului de rezoluție, calculate în conformitate cu articolul 71 din Regulamentul (UE) nr. 575/2013.</w:t>
            </w:r>
          </w:p>
          <w:p w14:paraId="2C50816C" w14:textId="487961E7" w:rsidR="00E94218" w:rsidRPr="00A53ABF" w:rsidRDefault="00E94218" w:rsidP="001F75A3">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În cazul MREL, instrumentele reglementate de legislația unei țări terțe sunt incluse pe acest rând numai dacă îndeplinesc cerințele prevăzute la articolul 55 din Directiva 2014/59/UE.</w:t>
            </w:r>
          </w:p>
        </w:tc>
      </w:tr>
      <w:tr w:rsidR="00026FC1" w:rsidRPr="00A53ABF" w14:paraId="77060B4B" w14:textId="77777777" w:rsidTr="00E46262">
        <w:tc>
          <w:tcPr>
            <w:tcW w:w="1030" w:type="dxa"/>
          </w:tcPr>
          <w:p w14:paraId="62D73831" w14:textId="2A91E8D9" w:rsidR="00021E4F" w:rsidRPr="00A53ABF" w:rsidRDefault="00D571F6" w:rsidP="00915305">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11</w:t>
            </w:r>
          </w:p>
        </w:tc>
        <w:tc>
          <w:tcPr>
            <w:tcW w:w="7736" w:type="dxa"/>
          </w:tcPr>
          <w:p w14:paraId="3A0853BF" w14:textId="73ADC517" w:rsidR="00021E4F" w:rsidRPr="00A53ABF" w:rsidRDefault="00021E4F" w:rsidP="00915305">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 xml:space="preserve">Fonduri proprii în sensul articolului 92a din Regulamentul (UE) nr. 575/2013 și al articolului 45 din Directiva 2014/59/UE </w:t>
            </w:r>
          </w:p>
          <w:p w14:paraId="61FB0BF1" w14:textId="6C6EEBF4" w:rsidR="00021E4F" w:rsidRPr="00A53ABF" w:rsidRDefault="00021E4F" w:rsidP="00503590">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Fondurile proprii în sensul articolului 92a din Regulamentul (UE) nr. 575/2013 și al articolului 45 din Directiva 2014/59/UE, care trebuie calculate ca suma rândurilor 1, 2 și 6.</w:t>
            </w:r>
          </w:p>
        </w:tc>
      </w:tr>
      <w:tr w:rsidR="00026FC1" w:rsidRPr="00A53ABF" w14:paraId="5B3A8911" w14:textId="77777777" w:rsidTr="00E46262">
        <w:tc>
          <w:tcPr>
            <w:tcW w:w="1030" w:type="dxa"/>
          </w:tcPr>
          <w:p w14:paraId="3865D42E" w14:textId="14C5B714" w:rsidR="00021E4F" w:rsidRPr="00A53ABF" w:rsidRDefault="00D571F6" w:rsidP="00915305">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12</w:t>
            </w:r>
          </w:p>
        </w:tc>
        <w:tc>
          <w:tcPr>
            <w:tcW w:w="7736" w:type="dxa"/>
          </w:tcPr>
          <w:p w14:paraId="5BC74910" w14:textId="5B101009" w:rsidR="00BD6570" w:rsidRPr="00A53ABF" w:rsidRDefault="00021E4F" w:rsidP="00BD6570">
            <w:pPr>
              <w:rPr>
                <w:rFonts w:ascii="Times New Roman" w:hAnsi="Times New Roman" w:cs="Times New Roman"/>
                <w:noProof/>
                <w:color w:val="000000" w:themeColor="text1"/>
                <w:sz w:val="24"/>
                <w:szCs w:val="24"/>
                <w:lang w:val="ro-RO"/>
              </w:rPr>
            </w:pPr>
            <w:r w:rsidRPr="00A53ABF">
              <w:rPr>
                <w:rFonts w:ascii="Times New Roman" w:hAnsi="Times New Roman"/>
                <w:b/>
                <w:color w:val="000000" w:themeColor="text1"/>
                <w:sz w:val="24"/>
                <w:lang w:val="ro-RO"/>
              </w:rPr>
              <w:t>Instrumente de datorii eligibile emise direct de entitatea de rezoluție care sunt subordonate datoriilor excluse (care nu își păstrează drepturile obținute)</w:t>
            </w:r>
          </w:p>
          <w:p w14:paraId="074ADC7C" w14:textId="77777777" w:rsidR="00BD6570" w:rsidRPr="00A53ABF" w:rsidRDefault="00BD6570" w:rsidP="00B62DC9">
            <w:pPr>
              <w:pStyle w:val="InstructionsText"/>
              <w:rPr>
                <w:rStyle w:val="FormatvorlageInstructionsTabelleText"/>
                <w:rFonts w:ascii="Times New Roman" w:hAnsi="Times New Roman"/>
                <w:sz w:val="24"/>
                <w:lang w:val="ro-RO"/>
              </w:rPr>
            </w:pPr>
            <w:r w:rsidRPr="00A53ABF">
              <w:rPr>
                <w:rStyle w:val="FormatvorlageInstructionsTabelleText"/>
                <w:rFonts w:ascii="Times New Roman" w:hAnsi="Times New Roman"/>
                <w:i/>
                <w:sz w:val="24"/>
                <w:lang w:val="ro-RO"/>
              </w:rPr>
              <w:t>MREL</w:t>
            </w:r>
          </w:p>
          <w:p w14:paraId="5DF92336" w14:textId="19C2740E" w:rsidR="00BD6570" w:rsidRPr="00A53ABF" w:rsidRDefault="00BD6570" w:rsidP="00B62DC9">
            <w:pPr>
              <w:pStyle w:val="InstructionsText"/>
              <w:rPr>
                <w:rStyle w:val="FormatvorlageInstructionsTabelleText"/>
                <w:rFonts w:ascii="Times New Roman" w:hAnsi="Times New Roman"/>
                <w:sz w:val="24"/>
                <w:lang w:val="ro-RO"/>
              </w:rPr>
            </w:pPr>
            <w:r w:rsidRPr="00A53ABF">
              <w:rPr>
                <w:rStyle w:val="InstructionsTabelleberschrift"/>
                <w:rFonts w:ascii="Times New Roman" w:hAnsi="Times New Roman"/>
                <w:b w:val="0"/>
                <w:sz w:val="24"/>
                <w:u w:val="none"/>
                <w:lang w:val="ro-RO"/>
              </w:rPr>
              <w:t>Datoriile eligibile incluse în</w:t>
            </w:r>
            <w:r w:rsidR="00A53ABF">
              <w:rPr>
                <w:rStyle w:val="InstructionsTabelleberschrift"/>
                <w:rFonts w:ascii="Times New Roman" w:hAnsi="Times New Roman"/>
                <w:b w:val="0"/>
                <w:sz w:val="24"/>
                <w:u w:val="none"/>
                <w:lang w:val="ro-RO"/>
              </w:rPr>
              <w:t xml:space="preserve"> </w:t>
            </w:r>
            <w:r w:rsidRPr="00A53ABF">
              <w:rPr>
                <w:rStyle w:val="FormatvorlageInstructionsTabelleText"/>
                <w:rFonts w:ascii="Times New Roman" w:hAnsi="Times New Roman"/>
                <w:sz w:val="24"/>
                <w:lang w:val="ro-RO"/>
              </w:rPr>
              <w:t>cuantumul fondurilor proprii și al datoriilor eligibile în temeiul articolului 45b din Directiva 2014/59/UE care sunt instrumente eligibile subordonate, astfel cum sunt definite la articolul 2 alineatul (1) punctul 71b din Directiva 2014/59/UE, și care sunt emise direct de entitatea de rezoluție.</w:t>
            </w:r>
          </w:p>
          <w:p w14:paraId="26CA1F30" w14:textId="30AB9FAB" w:rsidR="00A97842" w:rsidRPr="00A53ABF" w:rsidRDefault="00A97842" w:rsidP="00B62DC9">
            <w:pPr>
              <w:pStyle w:val="InstructionsText"/>
              <w:rPr>
                <w:rStyle w:val="FormatvorlageInstructionsTabelleText"/>
                <w:rFonts w:ascii="Times New Roman" w:hAnsi="Times New Roman"/>
                <w:i/>
                <w:sz w:val="24"/>
                <w:lang w:val="ro-RO"/>
              </w:rPr>
            </w:pPr>
            <w:r w:rsidRPr="00A53ABF">
              <w:rPr>
                <w:rStyle w:val="FormatvorlageInstructionsTabelleText"/>
                <w:rFonts w:ascii="Times New Roman" w:hAnsi="Times New Roman"/>
                <w:sz w:val="24"/>
                <w:lang w:val="ro-RO"/>
              </w:rPr>
              <w:t>În cazul instrumentelor reglementate de legislația unei țări terțe, instrumentul este inclus pe acest rând numai dacă îndeplinește cerințele prevăzute la articolul 55 din Directiva 2014/59/UE.</w:t>
            </w:r>
          </w:p>
          <w:p w14:paraId="39C8C83A" w14:textId="77777777" w:rsidR="00BD6570" w:rsidRPr="00A53ABF" w:rsidRDefault="00BD6570" w:rsidP="00B62DC9">
            <w:pPr>
              <w:pStyle w:val="InstructionsText"/>
              <w:rPr>
                <w:rStyle w:val="FormatvorlageInstructionsTabelleText"/>
                <w:rFonts w:ascii="Times New Roman" w:hAnsi="Times New Roman"/>
                <w:b/>
                <w:sz w:val="24"/>
                <w:lang w:val="ro-RO"/>
              </w:rPr>
            </w:pPr>
            <w:r w:rsidRPr="00A53ABF">
              <w:rPr>
                <w:rStyle w:val="FormatvorlageInstructionsTabelleText"/>
                <w:rFonts w:ascii="Times New Roman" w:hAnsi="Times New Roman"/>
                <w:i/>
                <w:sz w:val="24"/>
                <w:lang w:val="ro-RO"/>
              </w:rPr>
              <w:lastRenderedPageBreak/>
              <w:t>TLAC</w:t>
            </w:r>
          </w:p>
          <w:p w14:paraId="66B62B57" w14:textId="0743E841" w:rsidR="00BD6570" w:rsidRPr="00A53ABF" w:rsidRDefault="00BD6570" w:rsidP="00B62DC9">
            <w:pPr>
              <w:pStyle w:val="InstructionsText"/>
              <w:rPr>
                <w:rStyle w:val="FormatvorlageInstructionsTabelleText"/>
                <w:rFonts w:ascii="Times New Roman" w:hAnsi="Times New Roman"/>
                <w:b/>
                <w:sz w:val="24"/>
                <w:lang w:val="ro-RO"/>
              </w:rPr>
            </w:pPr>
            <w:r w:rsidRPr="00A53ABF">
              <w:rPr>
                <w:rStyle w:val="FormatvorlageInstructionsTabelleText"/>
                <w:rFonts w:ascii="Times New Roman" w:hAnsi="Times New Roman"/>
                <w:sz w:val="24"/>
                <w:lang w:val="ro-RO"/>
              </w:rPr>
              <w:t xml:space="preserve">Datoriile eligibile care îndeplinesc toate cerințele prevăzute la articolele 72a-72d din Regulamentul (UE) nr. 575/2013 – cu excepția datoriilor care au permisiunea să se califice drept instrumente de datorii eligibile în temeiul articolului 72b alineatul (3) sau (4) din regulamentul menționat </w:t>
            </w:r>
            <w:r w:rsidRPr="00A53ABF">
              <w:rPr>
                <w:rStyle w:val="FormatvorlageInstructionsTabelleText"/>
                <w:rFonts w:ascii="Times New Roman" w:hAnsi="Times New Roman"/>
                <w:b/>
                <w:sz w:val="24"/>
                <w:lang w:val="ro-RO"/>
              </w:rPr>
              <w:t>–</w:t>
            </w:r>
            <w:r w:rsidRPr="00A53ABF">
              <w:rPr>
                <w:rStyle w:val="FormatvorlageInstructionsTabelleText"/>
                <w:rFonts w:ascii="Times New Roman" w:hAnsi="Times New Roman"/>
                <w:sz w:val="24"/>
                <w:lang w:val="ro-RO"/>
              </w:rPr>
              <w:t xml:space="preserve"> și care sunt emise direct de entitatea de rezoluție</w:t>
            </w:r>
            <w:r w:rsidRPr="00A53ABF">
              <w:rPr>
                <w:rStyle w:val="FormatvorlageInstructionsTabelleText"/>
                <w:rFonts w:ascii="Times New Roman" w:hAnsi="Times New Roman"/>
                <w:b/>
                <w:sz w:val="24"/>
                <w:lang w:val="ro-RO"/>
              </w:rPr>
              <w:t>.</w:t>
            </w:r>
          </w:p>
          <w:p w14:paraId="1DC64B11" w14:textId="43193578" w:rsidR="00021E4F" w:rsidRPr="00A53ABF" w:rsidRDefault="00BD6570" w:rsidP="002A1CB5">
            <w:pPr>
              <w:rPr>
                <w:rFonts w:ascii="Times New Roman" w:hAnsi="Times New Roman" w:cs="Times New Roman"/>
                <w:noProof/>
                <w:color w:val="000000" w:themeColor="text1"/>
                <w:sz w:val="24"/>
                <w:szCs w:val="24"/>
                <w:lang w:val="ro-RO"/>
              </w:rPr>
            </w:pPr>
            <w:r w:rsidRPr="00A53ABF">
              <w:rPr>
                <w:rStyle w:val="FormatvorlageInstructionsTabelleText"/>
                <w:rFonts w:ascii="Times New Roman" w:hAnsi="Times New Roman"/>
                <w:sz w:val="24"/>
                <w:lang w:val="ro-RO"/>
              </w:rPr>
              <w:t>Acest rând nu include nici partea amortizată a instrumentelor de fonduri proprii de nivel 2 în cazul cărora scadența reziduală este mai mare de un an [articolul 72a alineatul (1) litera (b) din Regulamentul (UE) nr. 575/2013], nici datoriile eligibile care își păstrează drepturile obținute în temeiul articolului 494b din Regulamentul (UE) nr. 575/2013.</w:t>
            </w:r>
          </w:p>
        </w:tc>
      </w:tr>
      <w:tr w:rsidR="00026FC1" w:rsidRPr="00A53ABF" w14:paraId="138E2D9C" w14:textId="77777777" w:rsidTr="00E46262">
        <w:tc>
          <w:tcPr>
            <w:tcW w:w="1030" w:type="dxa"/>
          </w:tcPr>
          <w:p w14:paraId="6FA92C5C" w14:textId="69DE2A40" w:rsidR="00021E4F" w:rsidRPr="00A53ABF" w:rsidRDefault="00D571F6" w:rsidP="00644B02">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lastRenderedPageBreak/>
              <w:t>EU-12a</w:t>
            </w:r>
          </w:p>
        </w:tc>
        <w:tc>
          <w:tcPr>
            <w:tcW w:w="7736" w:type="dxa"/>
          </w:tcPr>
          <w:p w14:paraId="5358B90C" w14:textId="357A9C41" w:rsidR="00021E4F" w:rsidRPr="00A53ABF" w:rsidRDefault="00021E4F" w:rsidP="00915305">
            <w:pPr>
              <w:rPr>
                <w:rFonts w:ascii="Times New Roman" w:hAnsi="Times New Roman" w:cs="Times New Roman"/>
                <w:noProof/>
                <w:color w:val="000000" w:themeColor="text1"/>
                <w:sz w:val="24"/>
                <w:szCs w:val="24"/>
                <w:lang w:val="ro-RO"/>
              </w:rPr>
            </w:pPr>
            <w:r w:rsidRPr="00A53ABF">
              <w:rPr>
                <w:rFonts w:ascii="Times New Roman" w:hAnsi="Times New Roman"/>
                <w:b/>
                <w:color w:val="000000" w:themeColor="text1"/>
                <w:sz w:val="24"/>
                <w:lang w:val="ro-RO"/>
              </w:rPr>
              <w:t>Instrumente de datorii eligibile emise de alte entități din cadrul grupului de rezoluție care sunt subordonate datoriilor excluse (care nu își păstrează drepturile obținute)</w:t>
            </w:r>
          </w:p>
          <w:p w14:paraId="57A6D73A" w14:textId="77777777" w:rsidR="00BD6570" w:rsidRPr="00A53ABF" w:rsidRDefault="00BD6570" w:rsidP="00B62DC9">
            <w:pPr>
              <w:pStyle w:val="InstructionsText"/>
              <w:rPr>
                <w:rStyle w:val="FormatvorlageInstructionsTabelleText"/>
                <w:rFonts w:ascii="Times New Roman" w:hAnsi="Times New Roman"/>
                <w:i/>
                <w:sz w:val="24"/>
                <w:lang w:val="ro-RO"/>
              </w:rPr>
            </w:pPr>
            <w:r w:rsidRPr="00A53ABF">
              <w:rPr>
                <w:rStyle w:val="FormatvorlageInstructionsTabelleText"/>
                <w:rFonts w:ascii="Times New Roman" w:hAnsi="Times New Roman"/>
                <w:i/>
                <w:sz w:val="24"/>
                <w:lang w:val="ro-RO"/>
              </w:rPr>
              <w:t>MREL</w:t>
            </w:r>
          </w:p>
          <w:p w14:paraId="369BA2B0" w14:textId="05CA7721" w:rsidR="00BD6570" w:rsidRPr="00A53ABF" w:rsidRDefault="00BD6570" w:rsidP="00B62DC9">
            <w:pPr>
              <w:pStyle w:val="InstructionsText"/>
              <w:rPr>
                <w:rStyle w:val="FormatvorlageInstructionsTabelleText"/>
                <w:rFonts w:ascii="Times New Roman" w:hAnsi="Times New Roman"/>
                <w:sz w:val="24"/>
                <w:lang w:val="ro-RO"/>
              </w:rPr>
            </w:pPr>
            <w:r w:rsidRPr="00A53ABF">
              <w:rPr>
                <w:rStyle w:val="FormatvorlageInstructionsTabelleText"/>
                <w:rFonts w:ascii="Times New Roman" w:hAnsi="Times New Roman"/>
                <w:sz w:val="24"/>
                <w:lang w:val="ro-RO"/>
              </w:rPr>
              <w:t>Datoriile eligibile incluse în cuantumul fondurilor proprii și al datoriilor eligibile în temeiul articolului 45b din Directiva 2014/59/UE care sunt emise de filiale și incluse în MREL în conformitate cu articolul 45b alineatul (3) din directiva menționată.</w:t>
            </w:r>
          </w:p>
          <w:p w14:paraId="02BD22DB" w14:textId="392507F9" w:rsidR="003E4404" w:rsidRPr="00A53ABF" w:rsidRDefault="003E4404" w:rsidP="00B62DC9">
            <w:pPr>
              <w:pStyle w:val="InstructionsText"/>
              <w:rPr>
                <w:rStyle w:val="FormatvorlageInstructionsTabelleText"/>
                <w:rFonts w:ascii="Times New Roman" w:hAnsi="Times New Roman"/>
                <w:i/>
                <w:sz w:val="24"/>
                <w:lang w:val="ro-RO"/>
              </w:rPr>
            </w:pPr>
            <w:r w:rsidRPr="00A53ABF">
              <w:rPr>
                <w:rStyle w:val="FormatvorlageInstructionsTabelleText"/>
                <w:rFonts w:ascii="Times New Roman" w:hAnsi="Times New Roman"/>
                <w:sz w:val="24"/>
                <w:lang w:val="ro-RO"/>
              </w:rPr>
              <w:t>În cazul instrumentelor reglementate de legislația unei țări terțe, instrumentul este inclus pe acest rând numai dacă îndeplinește cerințele prevăzute la articolul 55 din Directiva 2014/59/UE.</w:t>
            </w:r>
          </w:p>
          <w:p w14:paraId="0BBD12E2" w14:textId="7EA7B44E" w:rsidR="00BD6570" w:rsidRPr="00A53ABF" w:rsidRDefault="00BD6570" w:rsidP="00B62DC9">
            <w:pPr>
              <w:pStyle w:val="InstructionsText"/>
              <w:rPr>
                <w:rStyle w:val="FormatvorlageInstructionsTabelleText"/>
                <w:rFonts w:ascii="Times New Roman" w:hAnsi="Times New Roman"/>
                <w:sz w:val="24"/>
                <w:lang w:val="ro-RO"/>
              </w:rPr>
            </w:pPr>
            <w:r w:rsidRPr="00A53ABF">
              <w:rPr>
                <w:rStyle w:val="FormatvorlageInstructionsTabelleText"/>
                <w:rFonts w:ascii="Times New Roman" w:hAnsi="Times New Roman"/>
                <w:i/>
                <w:sz w:val="24"/>
                <w:lang w:val="ro-RO"/>
              </w:rPr>
              <w:t>TLAC</w:t>
            </w:r>
          </w:p>
          <w:p w14:paraId="6F8A0C84" w14:textId="0CA61C04" w:rsidR="00BD6570" w:rsidRPr="00A53ABF" w:rsidRDefault="00BD6570" w:rsidP="00B62DC9">
            <w:pPr>
              <w:pStyle w:val="InstructionsText"/>
              <w:rPr>
                <w:rStyle w:val="FormatvorlageInstructionsTabelleText"/>
                <w:rFonts w:ascii="Times New Roman" w:hAnsi="Times New Roman"/>
                <w:b/>
                <w:sz w:val="24"/>
                <w:lang w:val="ro-RO"/>
              </w:rPr>
            </w:pPr>
            <w:r w:rsidRPr="00A53ABF">
              <w:rPr>
                <w:rStyle w:val="FormatvorlageInstructionsTabelleText"/>
                <w:rFonts w:ascii="Times New Roman" w:hAnsi="Times New Roman"/>
                <w:sz w:val="24"/>
                <w:lang w:val="ro-RO"/>
              </w:rPr>
              <w:t>Datoriile eligibile care îndeplinesc toate cerințele prevăzute la articolele 72a-72d din Regulamentul (UE) nr. 575/2013, cu excepția datoriilor care au permisiunea să se califice drept instrumente de datorii eligibile în temeiul articolului 72b alineatul (3) sau (4) din regulamentul menționat, care sunt emise de filiale și se califică pentru a fi incluse în instrumentele de datorii eligibile consolidate ale unei entități în temeiul articolului 88a din Regulamentul (UE) nr. 575/2013.</w:t>
            </w:r>
          </w:p>
          <w:p w14:paraId="0DBFD655" w14:textId="5A3E4820" w:rsidR="00021E4F" w:rsidRPr="00A53ABF" w:rsidRDefault="00BD6570" w:rsidP="002A1CB5">
            <w:pPr>
              <w:rPr>
                <w:rFonts w:ascii="Times New Roman" w:hAnsi="Times New Roman" w:cs="Times New Roman"/>
                <w:noProof/>
                <w:color w:val="000000" w:themeColor="text1"/>
                <w:sz w:val="24"/>
                <w:szCs w:val="24"/>
                <w:lang w:val="ro-RO"/>
              </w:rPr>
            </w:pPr>
            <w:r w:rsidRPr="00A53ABF">
              <w:rPr>
                <w:rStyle w:val="FormatvorlageInstructionsTabelleText"/>
                <w:rFonts w:ascii="Times New Roman" w:hAnsi="Times New Roman"/>
                <w:sz w:val="24"/>
                <w:lang w:val="ro-RO"/>
              </w:rPr>
              <w:t>Acest rând nu include nici partea amortizată a instrumentelor de fonduri proprii de nivel 2 în cazul cărora scadența reziduală este mai mare de un an [articolul 72a alineatul (1) litera (b) din Regulamentul (UE) nr. 575/2013], nici datoriile eligibile care își păstrează drepturile obținute în temeiul articolului 494b din Regulamentul (UE) nr. 575/2013.</w:t>
            </w:r>
          </w:p>
        </w:tc>
      </w:tr>
      <w:tr w:rsidR="00922937" w:rsidRPr="00A53ABF" w14:paraId="128E215B" w14:textId="77777777" w:rsidTr="00E46262">
        <w:tc>
          <w:tcPr>
            <w:tcW w:w="1030" w:type="dxa"/>
          </w:tcPr>
          <w:p w14:paraId="59505232" w14:textId="6BA871E1" w:rsidR="00922937" w:rsidRPr="00A53ABF" w:rsidRDefault="00922937" w:rsidP="00915305">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EU-12b</w:t>
            </w:r>
          </w:p>
        </w:tc>
        <w:tc>
          <w:tcPr>
            <w:tcW w:w="7736" w:type="dxa"/>
          </w:tcPr>
          <w:p w14:paraId="120C20CA" w14:textId="0D51C3A9" w:rsidR="00922937" w:rsidRPr="00A53ABF" w:rsidRDefault="00922937" w:rsidP="00915305">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Instrumente de datorii eligibile subordonate datoriilor excluse emise înainte de 27 iunie 2019 (subordonate, care își păstrează drepturile obținute)</w:t>
            </w:r>
          </w:p>
          <w:p w14:paraId="31DC06A4" w14:textId="77777777" w:rsidR="00BD6570" w:rsidRPr="00A53ABF" w:rsidRDefault="00BD6570" w:rsidP="00B62DC9">
            <w:pPr>
              <w:pStyle w:val="InstructionsText"/>
              <w:rPr>
                <w:rStyle w:val="FormatvorlageInstructionsTabelleText"/>
                <w:rFonts w:ascii="Times New Roman" w:hAnsi="Times New Roman"/>
                <w:i/>
                <w:sz w:val="24"/>
                <w:lang w:val="ro-RO"/>
              </w:rPr>
            </w:pPr>
            <w:r w:rsidRPr="00A53ABF">
              <w:rPr>
                <w:rStyle w:val="FormatvorlageInstructionsTabelleText"/>
                <w:rFonts w:ascii="Times New Roman" w:hAnsi="Times New Roman"/>
                <w:i/>
                <w:sz w:val="24"/>
                <w:lang w:val="ro-RO"/>
              </w:rPr>
              <w:t>MREL</w:t>
            </w:r>
          </w:p>
          <w:p w14:paraId="60F78D8E" w14:textId="77777777" w:rsidR="00BD6570" w:rsidRPr="00A53ABF" w:rsidRDefault="00BD6570" w:rsidP="00B62DC9">
            <w:pPr>
              <w:pStyle w:val="InstructionsText"/>
              <w:rPr>
                <w:rStyle w:val="InstructionsTabelleberschrift"/>
                <w:rFonts w:ascii="Times New Roman" w:hAnsi="Times New Roman"/>
                <w:b w:val="0"/>
                <w:sz w:val="24"/>
                <w:u w:val="none"/>
                <w:lang w:val="ro-RO"/>
              </w:rPr>
            </w:pPr>
            <w:r w:rsidRPr="00A53ABF">
              <w:rPr>
                <w:rStyle w:val="InstructionsTabelleberschrift"/>
                <w:rFonts w:ascii="Times New Roman" w:hAnsi="Times New Roman"/>
                <w:b w:val="0"/>
                <w:sz w:val="24"/>
                <w:u w:val="none"/>
                <w:lang w:val="ro-RO"/>
              </w:rPr>
              <w:t>Datoriile eligibile care îndeplinesc următoarele condiții:</w:t>
            </w:r>
          </w:p>
          <w:p w14:paraId="13FE6179" w14:textId="7E1CDD80" w:rsidR="00BD6570" w:rsidRPr="00A53ABF" w:rsidRDefault="00BD6570" w:rsidP="00B62DC9">
            <w:pPr>
              <w:pStyle w:val="InstructionsText"/>
              <w:numPr>
                <w:ilvl w:val="0"/>
                <w:numId w:val="16"/>
              </w:numPr>
              <w:rPr>
                <w:rStyle w:val="InstructionsTabelleberschrift"/>
                <w:rFonts w:ascii="Times New Roman" w:hAnsi="Times New Roman"/>
                <w:b w:val="0"/>
                <w:sz w:val="24"/>
                <w:u w:val="none"/>
                <w:lang w:val="ro-RO"/>
              </w:rPr>
            </w:pPr>
            <w:r w:rsidRPr="00A53ABF">
              <w:rPr>
                <w:rStyle w:val="InstructionsTabelleberschrift"/>
                <w:rFonts w:ascii="Times New Roman" w:hAnsi="Times New Roman"/>
                <w:b w:val="0"/>
                <w:sz w:val="24"/>
                <w:u w:val="none"/>
                <w:lang w:val="ro-RO"/>
              </w:rPr>
              <w:lastRenderedPageBreak/>
              <w:t>au fost emise înainte de 27 iunie 2019;</w:t>
            </w:r>
          </w:p>
          <w:p w14:paraId="20EE0D1D" w14:textId="2261ECA3" w:rsidR="00BD6570" w:rsidRPr="00A53ABF" w:rsidRDefault="00BD6570" w:rsidP="00B62DC9">
            <w:pPr>
              <w:pStyle w:val="InstructionsText"/>
              <w:numPr>
                <w:ilvl w:val="0"/>
                <w:numId w:val="16"/>
              </w:numPr>
              <w:rPr>
                <w:rStyle w:val="FormatvorlageInstructionsTabelleText"/>
                <w:rFonts w:ascii="Times New Roman" w:hAnsi="Times New Roman"/>
                <w:sz w:val="24"/>
                <w:lang w:val="ro-RO"/>
              </w:rPr>
            </w:pPr>
            <w:r w:rsidRPr="00A53ABF">
              <w:rPr>
                <w:rStyle w:val="InstructionsTabelleberschrift"/>
                <w:rFonts w:ascii="Times New Roman" w:hAnsi="Times New Roman"/>
                <w:b w:val="0"/>
                <w:sz w:val="24"/>
                <w:u w:val="none"/>
                <w:lang w:val="ro-RO"/>
              </w:rPr>
              <w:t xml:space="preserve">sunt </w:t>
            </w:r>
            <w:r w:rsidRPr="00A53ABF">
              <w:rPr>
                <w:rStyle w:val="FormatvorlageInstructionsTabelleText"/>
                <w:rFonts w:ascii="Times New Roman" w:hAnsi="Times New Roman"/>
                <w:sz w:val="24"/>
                <w:lang w:val="ro-RO"/>
              </w:rPr>
              <w:t xml:space="preserve">instrumente eligibile subordonate, astfel cum sunt definite la articolul 2 alineatul (1) punctul 71b din Directiva 2014/59/UE; </w:t>
            </w:r>
          </w:p>
          <w:p w14:paraId="6779E72D" w14:textId="44987C71" w:rsidR="00BD6570" w:rsidRPr="00A53ABF" w:rsidRDefault="00BD6570" w:rsidP="00B62DC9">
            <w:pPr>
              <w:pStyle w:val="InstructionsText"/>
              <w:numPr>
                <w:ilvl w:val="0"/>
                <w:numId w:val="16"/>
              </w:numPr>
              <w:rPr>
                <w:rStyle w:val="FormatvorlageInstructionsTabelleText"/>
                <w:rFonts w:ascii="Times New Roman" w:hAnsi="Times New Roman"/>
                <w:sz w:val="24"/>
                <w:lang w:val="ro-RO"/>
              </w:rPr>
            </w:pPr>
            <w:r w:rsidRPr="00A53ABF">
              <w:rPr>
                <w:rStyle w:val="FormatvorlageInstructionsTabelleText"/>
                <w:rFonts w:ascii="Times New Roman" w:hAnsi="Times New Roman"/>
                <w:sz w:val="24"/>
                <w:lang w:val="ro-RO"/>
              </w:rPr>
              <w:t>sunt</w:t>
            </w:r>
            <w:r w:rsidRPr="00A53ABF">
              <w:rPr>
                <w:rStyle w:val="InstructionsTabelleberschrift"/>
                <w:rFonts w:ascii="Times New Roman" w:hAnsi="Times New Roman"/>
                <w:b w:val="0"/>
                <w:sz w:val="24"/>
                <w:u w:val="none"/>
                <w:lang w:val="ro-RO"/>
              </w:rPr>
              <w:t xml:space="preserve"> incluse</w:t>
            </w:r>
            <w:r w:rsidRPr="00A53ABF">
              <w:rPr>
                <w:rStyle w:val="FormatvorlageInstructionsTabelleText"/>
                <w:rFonts w:ascii="Times New Roman" w:hAnsi="Times New Roman"/>
                <w:sz w:val="24"/>
                <w:lang w:val="ro-RO"/>
              </w:rPr>
              <w:t xml:space="preserve"> în fondurile proprii și în datoriile eligibile ca urmare a articolului 494b alineatul (3) din Regulamentul (UE) nr. 575/2013.</w:t>
            </w:r>
          </w:p>
          <w:p w14:paraId="3997A101" w14:textId="21BFEA1B" w:rsidR="003E4404" w:rsidRPr="00A53ABF" w:rsidRDefault="003E4404" w:rsidP="00B62DC9">
            <w:pPr>
              <w:pStyle w:val="InstructionsText"/>
              <w:rPr>
                <w:rStyle w:val="FormatvorlageInstructionsTabelleText"/>
                <w:rFonts w:ascii="Times New Roman" w:hAnsi="Times New Roman"/>
                <w:sz w:val="24"/>
                <w:lang w:val="ro-RO"/>
              </w:rPr>
            </w:pPr>
            <w:r w:rsidRPr="00A53ABF">
              <w:rPr>
                <w:rStyle w:val="FormatvorlageInstructionsTabelleText"/>
                <w:rFonts w:ascii="Times New Roman" w:hAnsi="Times New Roman"/>
                <w:sz w:val="24"/>
                <w:lang w:val="ro-RO"/>
              </w:rPr>
              <w:t>În cazul instrumentelor reglementate de legislația unei țări terțe, instrumentul este inclus pe acest rând numai dacă îndeplinește cerințele prevăzute la articolul 55 din Directiva 2014/59/UE.</w:t>
            </w:r>
          </w:p>
          <w:p w14:paraId="4AA69ACA" w14:textId="77777777" w:rsidR="00BD6570" w:rsidRPr="00A53ABF" w:rsidRDefault="00BD6570" w:rsidP="00B62DC9">
            <w:pPr>
              <w:pStyle w:val="InstructionsText"/>
              <w:rPr>
                <w:rStyle w:val="FormatvorlageInstructionsTabelleText"/>
                <w:rFonts w:ascii="Times New Roman" w:hAnsi="Times New Roman"/>
                <w:i/>
                <w:sz w:val="24"/>
                <w:lang w:val="ro-RO"/>
              </w:rPr>
            </w:pPr>
            <w:r w:rsidRPr="00A53ABF">
              <w:rPr>
                <w:rStyle w:val="FormatvorlageInstructionsTabelleText"/>
                <w:rFonts w:ascii="Times New Roman" w:hAnsi="Times New Roman"/>
                <w:i/>
                <w:sz w:val="24"/>
                <w:lang w:val="ro-RO"/>
              </w:rPr>
              <w:t>TLAC</w:t>
            </w:r>
          </w:p>
          <w:p w14:paraId="748D115E" w14:textId="77777777" w:rsidR="00BD6570" w:rsidRPr="00A53ABF" w:rsidRDefault="00BD6570" w:rsidP="00B62DC9">
            <w:pPr>
              <w:pStyle w:val="InstructionsText"/>
              <w:rPr>
                <w:rStyle w:val="FormatvorlageInstructionsTabelleText"/>
                <w:rFonts w:ascii="Times New Roman" w:hAnsi="Times New Roman"/>
                <w:sz w:val="24"/>
                <w:lang w:val="ro-RO"/>
              </w:rPr>
            </w:pPr>
            <w:r w:rsidRPr="00A53ABF">
              <w:rPr>
                <w:rStyle w:val="FormatvorlageInstructionsTabelleText"/>
                <w:rFonts w:ascii="Times New Roman" w:hAnsi="Times New Roman"/>
                <w:sz w:val="24"/>
                <w:lang w:val="ro-RO"/>
              </w:rPr>
              <w:t>Datoriile care îndeplinesc următoarele condiții:</w:t>
            </w:r>
          </w:p>
          <w:p w14:paraId="62E0491E" w14:textId="7B8C3AD6" w:rsidR="00BD6570" w:rsidRPr="00A53ABF" w:rsidRDefault="00BD6570" w:rsidP="00B62DC9">
            <w:pPr>
              <w:pStyle w:val="InstructionsText"/>
              <w:numPr>
                <w:ilvl w:val="0"/>
                <w:numId w:val="16"/>
              </w:numPr>
              <w:rPr>
                <w:rStyle w:val="FormatvorlageInstructionsTabelleText"/>
                <w:rFonts w:ascii="Times New Roman" w:hAnsi="Times New Roman"/>
                <w:b/>
                <w:sz w:val="24"/>
                <w:lang w:val="ro-RO"/>
              </w:rPr>
            </w:pPr>
            <w:r w:rsidRPr="00A53ABF">
              <w:rPr>
                <w:rStyle w:val="FormatvorlageInstructionsTabelleText"/>
                <w:rFonts w:ascii="Times New Roman" w:hAnsi="Times New Roman"/>
                <w:sz w:val="24"/>
                <w:lang w:val="ro-RO"/>
              </w:rPr>
              <w:t>au fost emise înainte de 27 iunie 2019;</w:t>
            </w:r>
          </w:p>
          <w:p w14:paraId="5161FB69" w14:textId="33B28B47" w:rsidR="00BD6570" w:rsidRPr="00A53ABF" w:rsidRDefault="00BD6570" w:rsidP="00B62DC9">
            <w:pPr>
              <w:pStyle w:val="InstructionsText"/>
              <w:numPr>
                <w:ilvl w:val="0"/>
                <w:numId w:val="16"/>
              </w:numPr>
              <w:rPr>
                <w:rStyle w:val="FormatvorlageInstructionsTabelleText"/>
                <w:rFonts w:ascii="Times New Roman" w:hAnsi="Times New Roman"/>
                <w:b/>
                <w:sz w:val="24"/>
                <w:lang w:val="ro-RO"/>
              </w:rPr>
            </w:pPr>
            <w:r w:rsidRPr="00A53ABF">
              <w:rPr>
                <w:rStyle w:val="FormatvorlageInstructionsTabelleText"/>
                <w:rFonts w:ascii="Times New Roman" w:hAnsi="Times New Roman"/>
                <w:sz w:val="24"/>
                <w:lang w:val="ro-RO"/>
              </w:rPr>
              <w:t>sunt conforme cu articolul 72b alineatul (2) litera (d) din Regulamentul (UE) nr. 575/2013;</w:t>
            </w:r>
          </w:p>
          <w:p w14:paraId="796E2BAA" w14:textId="102908EC" w:rsidR="00922937" w:rsidRPr="00A53ABF" w:rsidRDefault="00BD6570" w:rsidP="00C4776A">
            <w:pPr>
              <w:pStyle w:val="ListParagraph"/>
              <w:numPr>
                <w:ilvl w:val="0"/>
                <w:numId w:val="16"/>
              </w:numPr>
              <w:rPr>
                <w:rFonts w:ascii="Times New Roman" w:hAnsi="Times New Roman" w:cs="Times New Roman"/>
                <w:b/>
                <w:noProof/>
                <w:color w:val="000000" w:themeColor="text1"/>
                <w:sz w:val="24"/>
                <w:szCs w:val="24"/>
                <w:lang w:val="ro-RO"/>
              </w:rPr>
            </w:pPr>
            <w:r w:rsidRPr="00A53ABF">
              <w:rPr>
                <w:rStyle w:val="FormatvorlageInstructionsTabelleText"/>
                <w:rFonts w:ascii="Times New Roman" w:hAnsi="Times New Roman"/>
                <w:sz w:val="24"/>
                <w:lang w:val="ro-RO"/>
              </w:rPr>
              <w:t>se califică drept datorii eligibile ca rezultat al păstrării drepturilor obținute prevăzute la articolul 494b alineatul (3) din Regulamentul (UE) nr. 575/2013.</w:t>
            </w:r>
          </w:p>
        </w:tc>
      </w:tr>
      <w:tr w:rsidR="00BA315F" w:rsidRPr="00A53ABF" w14:paraId="5089A67B" w14:textId="77777777" w:rsidTr="00E46262">
        <w:tc>
          <w:tcPr>
            <w:tcW w:w="1030" w:type="dxa"/>
          </w:tcPr>
          <w:p w14:paraId="4A7EDDF2" w14:textId="7325896B" w:rsidR="00BA315F" w:rsidRPr="00A53ABF" w:rsidRDefault="00BA315F" w:rsidP="00915305">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lastRenderedPageBreak/>
              <w:t>EU-12c</w:t>
            </w:r>
          </w:p>
        </w:tc>
        <w:tc>
          <w:tcPr>
            <w:tcW w:w="7736" w:type="dxa"/>
          </w:tcPr>
          <w:p w14:paraId="278B1172" w14:textId="77777777" w:rsidR="00BA315F" w:rsidRPr="00A53ABF" w:rsidRDefault="00BA315F" w:rsidP="00915305">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Instrumente de fonduri proprii de nivel 2 cu o scadență reziduală de cel puțin un an, în măsura în care nu se califică drept elemente de fonduri proprii de nivel 2</w:t>
            </w:r>
          </w:p>
          <w:p w14:paraId="6F3FB28E" w14:textId="6395E75A" w:rsidR="00334BA5" w:rsidRPr="00A53ABF" w:rsidRDefault="00334BA5" w:rsidP="00915305">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Partea amortizată a instrumentelor de fonduri proprii de nivel 2 în cazul cărora scadența reziduală este mai mare de un an [articolul 72a alineatul (1)</w:t>
            </w:r>
            <w:r w:rsidRPr="00A53ABF">
              <w:rPr>
                <w:color w:val="000000" w:themeColor="text1"/>
                <w:lang w:val="ro-RO"/>
              </w:rPr>
              <w:t xml:space="preserve"> </w:t>
            </w:r>
            <w:r w:rsidRPr="00A53ABF">
              <w:rPr>
                <w:rFonts w:ascii="Times New Roman" w:hAnsi="Times New Roman"/>
                <w:color w:val="000000" w:themeColor="text1"/>
                <w:sz w:val="24"/>
                <w:lang w:val="ro-RO"/>
              </w:rPr>
              <w:t>litera (b) din Regulamentul (UE) nr. 575/2013].</w:t>
            </w:r>
          </w:p>
          <w:p w14:paraId="4FD8D86D" w14:textId="2C5E3644" w:rsidR="00BA315F" w:rsidRPr="00A53ABF" w:rsidRDefault="00BA315F" w:rsidP="006501CC">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Pe acest rând se raportează numai cuantumul care nu este recunoscut în fondurile proprii, dar care îndeplinește toate criteriile de eligibilitate prevăzute la articolul 72b din Regulamentul (UE) nr. 575/2013.</w:t>
            </w:r>
          </w:p>
          <w:p w14:paraId="001569D4" w14:textId="08D94941" w:rsidR="003E4404" w:rsidRPr="00A53ABF" w:rsidRDefault="003E4404" w:rsidP="003E4404">
            <w:pPr>
              <w:rPr>
                <w:rFonts w:ascii="Times New Roman" w:hAnsi="Times New Roman" w:cs="Times New Roman"/>
                <w:b/>
                <w:noProof/>
                <w:color w:val="000000" w:themeColor="text1"/>
                <w:sz w:val="24"/>
                <w:szCs w:val="24"/>
                <w:lang w:val="ro-RO"/>
              </w:rPr>
            </w:pPr>
            <w:r w:rsidRPr="00A53ABF">
              <w:rPr>
                <w:rStyle w:val="FormatvorlageInstructionsTabelleText"/>
                <w:rFonts w:ascii="Times New Roman" w:hAnsi="Times New Roman"/>
                <w:sz w:val="24"/>
                <w:lang w:val="ro-RO"/>
              </w:rPr>
              <w:t>În cazul MREL, instrumentele reglementate de legislația unei țări terțe sunt incluse pe acest rând numai dacă îndeplinesc cerințele prevăzute la articolul 55 din Directiva 2014/59/UE.</w:t>
            </w:r>
          </w:p>
        </w:tc>
      </w:tr>
      <w:tr w:rsidR="00026FC1" w:rsidRPr="00A53ABF" w14:paraId="64D6FD96" w14:textId="77777777" w:rsidTr="00E46262">
        <w:tc>
          <w:tcPr>
            <w:tcW w:w="1030" w:type="dxa"/>
          </w:tcPr>
          <w:p w14:paraId="50786C06" w14:textId="52DA5E60" w:rsidR="00021E4F" w:rsidRPr="00A53ABF" w:rsidRDefault="00D571F6" w:rsidP="00915305">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13</w:t>
            </w:r>
          </w:p>
        </w:tc>
        <w:tc>
          <w:tcPr>
            <w:tcW w:w="7736" w:type="dxa"/>
          </w:tcPr>
          <w:p w14:paraId="5D613CA9" w14:textId="2F1AE58A" w:rsidR="009B2422" w:rsidRPr="00A53ABF" w:rsidRDefault="009B2422" w:rsidP="00E96304">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Datorii eligibile nesubordonate datoriilor excluse (care nu își păstrează drepturile obținute, înainte de plafonare)</w:t>
            </w:r>
          </w:p>
          <w:p w14:paraId="7660F6FC" w14:textId="77777777" w:rsidR="009B2422" w:rsidRPr="00A53ABF" w:rsidRDefault="009B2422" w:rsidP="00B62DC9">
            <w:pPr>
              <w:pStyle w:val="InstructionsText"/>
              <w:rPr>
                <w:rStyle w:val="FormatvorlageInstructionsTabelleText"/>
                <w:rFonts w:ascii="Times New Roman" w:hAnsi="Times New Roman"/>
                <w:i/>
                <w:sz w:val="24"/>
                <w:lang w:val="ro-RO"/>
              </w:rPr>
            </w:pPr>
            <w:r w:rsidRPr="00A53ABF">
              <w:rPr>
                <w:rStyle w:val="FormatvorlageInstructionsTabelleText"/>
                <w:rFonts w:ascii="Times New Roman" w:hAnsi="Times New Roman"/>
                <w:i/>
                <w:sz w:val="24"/>
                <w:lang w:val="ro-RO"/>
              </w:rPr>
              <w:t>MREL</w:t>
            </w:r>
          </w:p>
          <w:p w14:paraId="00F0085A" w14:textId="242F8AE9" w:rsidR="009B2422" w:rsidRPr="00A53ABF" w:rsidRDefault="009B2422" w:rsidP="00B62DC9">
            <w:pPr>
              <w:pStyle w:val="InstructionsText"/>
              <w:rPr>
                <w:rStyle w:val="FormatvorlageInstructionsTabelleText"/>
                <w:rFonts w:ascii="Times New Roman" w:hAnsi="Times New Roman"/>
                <w:sz w:val="24"/>
                <w:lang w:val="ro-RO"/>
              </w:rPr>
            </w:pPr>
            <w:r w:rsidRPr="00A53ABF">
              <w:rPr>
                <w:rStyle w:val="FormatvorlageInstructionsTabelleText"/>
                <w:rFonts w:ascii="Times New Roman" w:hAnsi="Times New Roman"/>
                <w:sz w:val="24"/>
                <w:lang w:val="ro-RO"/>
              </w:rPr>
              <w:t>Datoriile care îndeplinesc condițiile prevăzute la articolul 45b din Directiva 2014/59/UE și care nu sunt în întregime subordonate creanțelor care decurg din datoriile excluse menționate la articolul 72a alineatul (2) din Regulamentul (UE) nr. 575/2013.</w:t>
            </w:r>
          </w:p>
          <w:p w14:paraId="2C657BAC" w14:textId="12DC0920" w:rsidR="003E4404" w:rsidRPr="00A53ABF" w:rsidRDefault="003E4404" w:rsidP="00B62DC9">
            <w:pPr>
              <w:pStyle w:val="InstructionsText"/>
              <w:rPr>
                <w:rStyle w:val="FormatvorlageInstructionsTabelleText"/>
                <w:rFonts w:ascii="Times New Roman" w:hAnsi="Times New Roman"/>
                <w:sz w:val="24"/>
                <w:lang w:val="ro-RO"/>
              </w:rPr>
            </w:pPr>
            <w:r w:rsidRPr="00A53ABF">
              <w:rPr>
                <w:rStyle w:val="FormatvorlageInstructionsTabelleText"/>
                <w:rFonts w:ascii="Times New Roman" w:hAnsi="Times New Roman"/>
                <w:sz w:val="24"/>
                <w:lang w:val="ro-RO"/>
              </w:rPr>
              <w:t>În cazul instrumentelor reglementate de legislația unei țări terțe, instrumentul este inclus pe acest rând numai dacă îndeplinește cerințele prevăzute la articolul 55 din Directiva 2014/59/UE.</w:t>
            </w:r>
          </w:p>
          <w:p w14:paraId="137D2044" w14:textId="77777777" w:rsidR="009B2422" w:rsidRPr="00A53ABF" w:rsidRDefault="009B2422" w:rsidP="00B62DC9">
            <w:pPr>
              <w:pStyle w:val="InstructionsText"/>
              <w:rPr>
                <w:rStyle w:val="FormatvorlageInstructionsTabelleText"/>
                <w:rFonts w:ascii="Times New Roman" w:hAnsi="Times New Roman"/>
                <w:i/>
                <w:sz w:val="24"/>
                <w:lang w:val="ro-RO"/>
              </w:rPr>
            </w:pPr>
            <w:r w:rsidRPr="00A53ABF">
              <w:rPr>
                <w:rStyle w:val="FormatvorlageInstructionsTabelleText"/>
                <w:rFonts w:ascii="Times New Roman" w:hAnsi="Times New Roman"/>
                <w:i/>
                <w:sz w:val="24"/>
                <w:lang w:val="ro-RO"/>
              </w:rPr>
              <w:lastRenderedPageBreak/>
              <w:t>TLAC</w:t>
            </w:r>
          </w:p>
          <w:p w14:paraId="424B93B1" w14:textId="013DD02A" w:rsidR="009B2422" w:rsidRPr="00A53ABF" w:rsidRDefault="009B2422" w:rsidP="00B62DC9">
            <w:pPr>
              <w:pStyle w:val="InstructionsText"/>
              <w:rPr>
                <w:rStyle w:val="FormatvorlageInstructionsTabelleText"/>
                <w:rFonts w:ascii="Times New Roman" w:hAnsi="Times New Roman"/>
                <w:sz w:val="24"/>
                <w:lang w:val="ro-RO"/>
              </w:rPr>
            </w:pPr>
            <w:r w:rsidRPr="00A53ABF">
              <w:rPr>
                <w:rStyle w:val="FormatvorlageInstructionsTabelleText"/>
                <w:rFonts w:ascii="Times New Roman" w:hAnsi="Times New Roman"/>
                <w:sz w:val="24"/>
                <w:lang w:val="ro-RO"/>
              </w:rPr>
              <w:t>Datoriile eligibile care îndeplinesc cerințele prevăzute la articolele 72a-72d</w:t>
            </w:r>
            <w:r w:rsidRPr="00A53ABF">
              <w:rPr>
                <w:lang w:val="ro-RO"/>
              </w:rPr>
              <w:t xml:space="preserve"> </w:t>
            </w:r>
            <w:r w:rsidRPr="00A53ABF">
              <w:rPr>
                <w:color w:val="000000" w:themeColor="text1"/>
                <w:lang w:val="ro-RO"/>
              </w:rPr>
              <w:t>din Regulamentul (UE) nr. 575/2013</w:t>
            </w:r>
            <w:r w:rsidRPr="00A53ABF">
              <w:rPr>
                <w:rStyle w:val="FormatvorlageInstructionsTabelleText"/>
                <w:rFonts w:ascii="Times New Roman" w:hAnsi="Times New Roman"/>
                <w:sz w:val="24"/>
                <w:lang w:val="ro-RO"/>
              </w:rPr>
              <w:t>, cu excepția articolului 72b alineatul (2) litera (d) din regulamentul menționat, și care ar putea avea permisiunea de a se califica drept instrumente de datorii eligibile în temeiul articolului 72b alineatul (3) din regulamentul menționat sau au permisiunea de a se califica drept instrumente de datorii eligibile în temeiul articolului 72b alineatul (4) din același regulament.</w:t>
            </w:r>
          </w:p>
          <w:p w14:paraId="686DBB1D" w14:textId="3C40B2C0" w:rsidR="009B2422" w:rsidRPr="00A53ABF" w:rsidRDefault="004B3067" w:rsidP="00B62DC9">
            <w:pPr>
              <w:pStyle w:val="InstructionsText"/>
              <w:rPr>
                <w:rStyle w:val="FormatvorlageInstructionsTabelleText"/>
                <w:rFonts w:ascii="Times New Roman" w:hAnsi="Times New Roman"/>
                <w:sz w:val="24"/>
                <w:lang w:val="ro-RO"/>
              </w:rPr>
            </w:pPr>
            <w:r w:rsidRPr="00A53ABF">
              <w:rPr>
                <w:rStyle w:val="FormatvorlageInstructionsTabelleText"/>
                <w:rFonts w:ascii="Times New Roman" w:hAnsi="Times New Roman"/>
                <w:sz w:val="24"/>
                <w:lang w:val="ro-RO"/>
              </w:rPr>
              <w:t>În cazul în care se aplică articolul 72b alineatul (3) din Regulamentul (UE) nr. 575/2013 sau articolul 494 alineatul (2) din Regulamentul (UE) nr. 575/2013, pe acest rând se publică cuantumul total fără aplicarea plafoanelor de 3,5 %, respectiv de 2,5 %.</w:t>
            </w:r>
          </w:p>
          <w:p w14:paraId="2AE31630" w14:textId="5BBA380B" w:rsidR="009B2422" w:rsidRPr="00A53ABF" w:rsidRDefault="009B2422" w:rsidP="009B2422">
            <w:pPr>
              <w:rPr>
                <w:rFonts w:ascii="Times New Roman" w:hAnsi="Times New Roman" w:cs="Times New Roman"/>
                <w:noProof/>
                <w:color w:val="000000" w:themeColor="text1"/>
                <w:sz w:val="24"/>
                <w:szCs w:val="24"/>
                <w:lang w:val="ro-RO"/>
              </w:rPr>
            </w:pPr>
            <w:r w:rsidRPr="00A53ABF">
              <w:rPr>
                <w:rStyle w:val="FormatvorlageInstructionsTabelleText"/>
                <w:rFonts w:ascii="Times New Roman" w:hAnsi="Times New Roman"/>
                <w:sz w:val="24"/>
                <w:lang w:val="ro-RO"/>
              </w:rPr>
              <w:t>Acest rând nu include niciun cuantum care poate fi recunoscut pe bază tranzitorie în conformitate cu articolul 494b alineatul (3) din Regulamentul (UE) nr. 575/2013.</w:t>
            </w:r>
          </w:p>
        </w:tc>
      </w:tr>
      <w:tr w:rsidR="00922937" w:rsidRPr="00A53ABF" w14:paraId="54947575" w14:textId="77777777" w:rsidTr="00E46262">
        <w:tc>
          <w:tcPr>
            <w:tcW w:w="1030" w:type="dxa"/>
          </w:tcPr>
          <w:p w14:paraId="034E19A1" w14:textId="2AE4D60C" w:rsidR="00922937" w:rsidRPr="00A53ABF" w:rsidRDefault="00922937" w:rsidP="00915305">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lastRenderedPageBreak/>
              <w:t>EU-13a</w:t>
            </w:r>
          </w:p>
        </w:tc>
        <w:tc>
          <w:tcPr>
            <w:tcW w:w="7736" w:type="dxa"/>
          </w:tcPr>
          <w:p w14:paraId="69BC0D22" w14:textId="09102D63" w:rsidR="00922937" w:rsidRPr="00A53ABF" w:rsidRDefault="00922937" w:rsidP="00915305">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Datorii eligibile nesubordonate datoriilor excluse emise înainte de 27</w:t>
            </w:r>
            <w:r w:rsidR="00A53ABF" w:rsidRPr="00A53ABF">
              <w:rPr>
                <w:rFonts w:ascii="Times New Roman" w:hAnsi="Times New Roman"/>
                <w:b/>
                <w:color w:val="000000" w:themeColor="text1"/>
                <w:sz w:val="24"/>
                <w:lang w:val="ro-RO"/>
              </w:rPr>
              <w:t> </w:t>
            </w:r>
            <w:r w:rsidRPr="00A53ABF">
              <w:rPr>
                <w:rFonts w:ascii="Times New Roman" w:hAnsi="Times New Roman"/>
                <w:b/>
                <w:color w:val="000000" w:themeColor="text1"/>
                <w:sz w:val="24"/>
                <w:lang w:val="ro-RO"/>
              </w:rPr>
              <w:t>iunie 2019 (înainte de plafonare)</w:t>
            </w:r>
          </w:p>
          <w:p w14:paraId="56BE4571" w14:textId="77777777" w:rsidR="009B2422" w:rsidRPr="00A53ABF" w:rsidRDefault="009B2422" w:rsidP="009B2422">
            <w:pPr>
              <w:rPr>
                <w:rFonts w:ascii="Times New Roman" w:hAnsi="Times New Roman" w:cs="Times New Roman"/>
                <w:i/>
                <w:noProof/>
                <w:color w:val="000000" w:themeColor="text1"/>
                <w:sz w:val="24"/>
                <w:szCs w:val="24"/>
                <w:lang w:val="ro-RO"/>
              </w:rPr>
            </w:pPr>
            <w:r w:rsidRPr="00A53ABF">
              <w:rPr>
                <w:rFonts w:ascii="Times New Roman" w:hAnsi="Times New Roman"/>
                <w:i/>
                <w:color w:val="000000" w:themeColor="text1"/>
                <w:sz w:val="24"/>
                <w:lang w:val="ro-RO"/>
              </w:rPr>
              <w:t>MREL</w:t>
            </w:r>
          </w:p>
          <w:p w14:paraId="5C7AEC52" w14:textId="77777777" w:rsidR="009B2422" w:rsidRPr="00A53ABF" w:rsidRDefault="009B2422" w:rsidP="009B2422">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Datoriile eligibile care îndeplinesc următoarele condiții:</w:t>
            </w:r>
          </w:p>
          <w:p w14:paraId="72C8F1AF" w14:textId="72479061" w:rsidR="009B2422" w:rsidRPr="00A53ABF" w:rsidRDefault="009B2422" w:rsidP="00C4776A">
            <w:pPr>
              <w:pStyle w:val="ListParagraph"/>
              <w:numPr>
                <w:ilvl w:val="0"/>
                <w:numId w:val="16"/>
              </w:num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au fost emise înainte de 27 iunie 2019;</w:t>
            </w:r>
          </w:p>
          <w:p w14:paraId="21ECB5FF" w14:textId="573F7AE6" w:rsidR="009B2422" w:rsidRPr="00A53ABF" w:rsidRDefault="009B2422" w:rsidP="00C4776A">
            <w:pPr>
              <w:pStyle w:val="ListParagraph"/>
              <w:numPr>
                <w:ilvl w:val="0"/>
                <w:numId w:val="16"/>
              </w:num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îndeplinesc condițiile prevăzute la articolul 45b din Directiva 2014/59/UE și nu sunt în întregime subordonate creanțelor care decurg din datoriile excluse menționate la articolul 72a alineatul (2) din Regulamentul (UE) nr. 575/2013;</w:t>
            </w:r>
          </w:p>
          <w:p w14:paraId="110EAF03" w14:textId="67157606" w:rsidR="009B2422" w:rsidRPr="00A53ABF" w:rsidRDefault="009B2422" w:rsidP="00C4776A">
            <w:pPr>
              <w:pStyle w:val="ListParagraph"/>
              <w:numPr>
                <w:ilvl w:val="0"/>
                <w:numId w:val="16"/>
              </w:num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se califică drept datorii eligibile ca rezultat al păstrării drepturilor obținute prevăzute la articolul 494b alineatul (3) din Regulamentul (UE) nr. 575/2013.</w:t>
            </w:r>
          </w:p>
          <w:p w14:paraId="0E373313" w14:textId="3B67958D" w:rsidR="003E4404" w:rsidRPr="00A53ABF" w:rsidRDefault="003E4404" w:rsidP="005F391D">
            <w:pPr>
              <w:rPr>
                <w:rFonts w:ascii="Times New Roman" w:hAnsi="Times New Roman" w:cs="Times New Roman"/>
                <w:noProof/>
                <w:color w:val="000000" w:themeColor="text1"/>
                <w:sz w:val="24"/>
                <w:szCs w:val="24"/>
                <w:lang w:val="ro-RO"/>
              </w:rPr>
            </w:pPr>
            <w:r w:rsidRPr="00A53ABF">
              <w:rPr>
                <w:rStyle w:val="FormatvorlageInstructionsTabelleText"/>
                <w:rFonts w:ascii="Times New Roman" w:hAnsi="Times New Roman"/>
                <w:sz w:val="24"/>
                <w:lang w:val="ro-RO"/>
              </w:rPr>
              <w:t>În cazul instrumentelor reglementate de legislația unei țări terțe, instrumentul este inclus pe acest rând numai dacă îndeplinește cerințele prevăzute la articolul 55 din Directiva 2014/59/UE.</w:t>
            </w:r>
          </w:p>
          <w:p w14:paraId="7B5CC27B" w14:textId="77777777" w:rsidR="009B2422" w:rsidRPr="00A53ABF" w:rsidRDefault="009B2422" w:rsidP="009B2422">
            <w:pPr>
              <w:rPr>
                <w:rFonts w:ascii="Times New Roman" w:hAnsi="Times New Roman" w:cs="Times New Roman"/>
                <w:i/>
                <w:noProof/>
                <w:color w:val="000000" w:themeColor="text1"/>
                <w:sz w:val="24"/>
                <w:szCs w:val="24"/>
                <w:lang w:val="ro-RO"/>
              </w:rPr>
            </w:pPr>
            <w:r w:rsidRPr="00A53ABF">
              <w:rPr>
                <w:rFonts w:ascii="Times New Roman" w:hAnsi="Times New Roman"/>
                <w:i/>
                <w:color w:val="000000" w:themeColor="text1"/>
                <w:sz w:val="24"/>
                <w:lang w:val="ro-RO"/>
              </w:rPr>
              <w:t>TLAC</w:t>
            </w:r>
          </w:p>
          <w:p w14:paraId="309DD1F6" w14:textId="730AFC17" w:rsidR="009B2422" w:rsidRPr="00A53ABF" w:rsidRDefault="008E71C3" w:rsidP="009B2422">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Datoriile eligibile care îndeplinesc următoarele condiții:</w:t>
            </w:r>
          </w:p>
          <w:p w14:paraId="318C85C9" w14:textId="7DED1DBB" w:rsidR="009B2422" w:rsidRPr="00A53ABF" w:rsidRDefault="009B2422" w:rsidP="00C4776A">
            <w:pPr>
              <w:pStyle w:val="ListParagraph"/>
              <w:numPr>
                <w:ilvl w:val="0"/>
                <w:numId w:val="16"/>
              </w:num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au fost emise înainte de 27 iunie 2019;</w:t>
            </w:r>
          </w:p>
          <w:p w14:paraId="76F54B6E" w14:textId="0FE12834" w:rsidR="009B2422" w:rsidRPr="00A53ABF" w:rsidRDefault="009B2422" w:rsidP="00C4776A">
            <w:pPr>
              <w:pStyle w:val="ListParagraph"/>
              <w:numPr>
                <w:ilvl w:val="0"/>
                <w:numId w:val="16"/>
              </w:num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 xml:space="preserve">îndeplinesc cerințele prevăzute la articolele 72a-72d din Regulamentul (UE) nr. 575/2013, cu excepția articolului 72b alineatul (2) litera (d) din regulamentul menționat, și </w:t>
            </w:r>
            <w:r w:rsidRPr="00A53ABF">
              <w:rPr>
                <w:rStyle w:val="FormatvorlageInstructionsTabelleText"/>
                <w:rFonts w:ascii="Times New Roman" w:hAnsi="Times New Roman"/>
                <w:sz w:val="24"/>
                <w:lang w:val="ro-RO"/>
              </w:rPr>
              <w:t>ar putea avea permisiunea de a se califica drept instrumente de datorii eligibile în temeiul articolului 72b alineatul (3) din regulamentul menționat sau au permisiunea de a se califica drept instrumente de datorii eligibile în temeiul articolului 72b alineatul (4) din Regulamentul (UE) nr. 575/2013;</w:t>
            </w:r>
          </w:p>
          <w:p w14:paraId="2DB1E71A" w14:textId="66F98C46" w:rsidR="003312F4" w:rsidRPr="00A53ABF" w:rsidRDefault="009B2422" w:rsidP="00C4776A">
            <w:pPr>
              <w:pStyle w:val="ListParagraph"/>
              <w:numPr>
                <w:ilvl w:val="0"/>
                <w:numId w:val="16"/>
              </w:num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lastRenderedPageBreak/>
              <w:t>se califică drept datorii eligibile ca rezultat al păstrării drepturilor obținute prevăzute la articolul 494b alineatul (3) din Regulamentul (UE) nr. 575/2013.</w:t>
            </w:r>
          </w:p>
          <w:p w14:paraId="6639DB06" w14:textId="22A4459E" w:rsidR="009B2422" w:rsidRPr="00A53ABF" w:rsidRDefault="00A150DD" w:rsidP="00A150DD">
            <w:pPr>
              <w:rPr>
                <w:rFonts w:ascii="Times New Roman" w:hAnsi="Times New Roman" w:cs="Times New Roman"/>
                <w:b/>
                <w:noProof/>
                <w:color w:val="000000" w:themeColor="text1"/>
                <w:sz w:val="24"/>
                <w:szCs w:val="24"/>
                <w:lang w:val="ro-RO"/>
              </w:rPr>
            </w:pPr>
            <w:r w:rsidRPr="00A53ABF">
              <w:rPr>
                <w:rStyle w:val="FormatvorlageInstructionsTabelleText"/>
                <w:rFonts w:ascii="Times New Roman" w:hAnsi="Times New Roman"/>
                <w:sz w:val="24"/>
                <w:lang w:val="ro-RO"/>
              </w:rPr>
              <w:t>În cazul în care se aplică articolul 72b alineatul (3) din Regulamentul (UE) nr. 575/2013 sau articolul 494 alineatul (2) din Regulamentul (UE) nr. 575/2013, pe acest rând se raportează cuantumul total fără aplicarea plafoanelor de 3,5 %, respectiv de 2,5 %.</w:t>
            </w:r>
          </w:p>
        </w:tc>
      </w:tr>
      <w:tr w:rsidR="00026FC1" w:rsidRPr="00A53ABF" w14:paraId="219A8816" w14:textId="77777777" w:rsidTr="00E46262">
        <w:tc>
          <w:tcPr>
            <w:tcW w:w="1030" w:type="dxa"/>
          </w:tcPr>
          <w:p w14:paraId="26CB4EA4" w14:textId="1E635F7F" w:rsidR="00021E4F" w:rsidRPr="00A53ABF" w:rsidRDefault="00702377" w:rsidP="00915305">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lastRenderedPageBreak/>
              <w:t>14</w:t>
            </w:r>
          </w:p>
        </w:tc>
        <w:tc>
          <w:tcPr>
            <w:tcW w:w="7736" w:type="dxa"/>
          </w:tcPr>
          <w:p w14:paraId="6094B9AD" w14:textId="53C6E214" w:rsidR="00021E4F" w:rsidRPr="00A53ABF" w:rsidRDefault="00922937" w:rsidP="00915305">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Cuantumul instrumentelor de datorii eligibile nesubordonate, dacă este cazul după aplicarea articolului 72b alineatul (3) din Regulamentul (UE) nr. 575/2013</w:t>
            </w:r>
          </w:p>
          <w:p w14:paraId="78F7998F" w14:textId="77777777" w:rsidR="000C6F8C" w:rsidRPr="00A53ABF" w:rsidRDefault="000C6F8C" w:rsidP="008E71C3">
            <w:pPr>
              <w:rPr>
                <w:rFonts w:ascii="Times New Roman" w:hAnsi="Times New Roman" w:cs="Times New Roman"/>
                <w:i/>
                <w:noProof/>
                <w:color w:val="000000" w:themeColor="text1"/>
                <w:sz w:val="24"/>
                <w:szCs w:val="24"/>
                <w:lang w:val="ro-RO"/>
              </w:rPr>
            </w:pPr>
            <w:r w:rsidRPr="00A53ABF">
              <w:rPr>
                <w:rFonts w:ascii="Times New Roman" w:hAnsi="Times New Roman"/>
                <w:i/>
                <w:color w:val="000000" w:themeColor="text1"/>
                <w:sz w:val="24"/>
                <w:lang w:val="ro-RO"/>
              </w:rPr>
              <w:t>MREL</w:t>
            </w:r>
          </w:p>
          <w:p w14:paraId="02BBE4C9" w14:textId="6CA91799" w:rsidR="000C6F8C" w:rsidRPr="00A53ABF" w:rsidRDefault="000C6F8C" w:rsidP="008E71C3">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Acest rând este egal cu suma rândurilor 13 și EU-13a.</w:t>
            </w:r>
          </w:p>
          <w:p w14:paraId="03898B83" w14:textId="77777777" w:rsidR="000C6F8C" w:rsidRPr="00A53ABF" w:rsidRDefault="000C6F8C" w:rsidP="008E71C3">
            <w:pPr>
              <w:rPr>
                <w:rFonts w:ascii="Times New Roman" w:hAnsi="Times New Roman" w:cs="Times New Roman"/>
                <w:i/>
                <w:noProof/>
                <w:color w:val="000000" w:themeColor="text1"/>
                <w:sz w:val="24"/>
                <w:szCs w:val="24"/>
                <w:lang w:val="ro-RO"/>
              </w:rPr>
            </w:pPr>
            <w:r w:rsidRPr="00A53ABF">
              <w:rPr>
                <w:rFonts w:ascii="Times New Roman" w:hAnsi="Times New Roman"/>
                <w:i/>
                <w:color w:val="000000" w:themeColor="text1"/>
                <w:sz w:val="24"/>
                <w:lang w:val="ro-RO"/>
              </w:rPr>
              <w:t>TLAC</w:t>
            </w:r>
          </w:p>
          <w:p w14:paraId="34E50C43" w14:textId="098233F1" w:rsidR="000C6F8C" w:rsidRPr="00A53ABF" w:rsidRDefault="003E4404" w:rsidP="008E71C3">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 xml:space="preserve">În cazul în care se aplică articolul 72b alineatul (3) din Regulamentul (UE) nr. 575/2013, acest rând indică suma cuantumurilor publicate pe rândurile 13 și 13a de mai sus după aplicarea articolului 72b alineatul (3) și, respectiv, a articolului 494 alineatul (2) din regulamentul menționat. </w:t>
            </w:r>
          </w:p>
          <w:p w14:paraId="5A30EA54" w14:textId="5EC0D4FB" w:rsidR="00021E4F" w:rsidRPr="00A53ABF" w:rsidRDefault="000C6F8C" w:rsidP="00503590">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În cazul în care nu se aplică articolul 72b alineatul (3) din Regulamentul (UE) nr. 575/2013, dar entitatea beneficiază de aplicarea articolului 72b alineatul (4) din Regulamentul (UE) nr. 575/2013, acest rând este egal cu suma rândurilor 13 și EU-13a.</w:t>
            </w:r>
          </w:p>
        </w:tc>
      </w:tr>
      <w:tr w:rsidR="00026FC1" w:rsidRPr="00A53ABF" w14:paraId="329EB7E3" w14:textId="77777777" w:rsidTr="00E46262">
        <w:tc>
          <w:tcPr>
            <w:tcW w:w="1030" w:type="dxa"/>
          </w:tcPr>
          <w:p w14:paraId="0D278793" w14:textId="45736042" w:rsidR="00021E4F" w:rsidRPr="00A53ABF" w:rsidRDefault="00702377" w:rsidP="00915305">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17</w:t>
            </w:r>
          </w:p>
        </w:tc>
        <w:tc>
          <w:tcPr>
            <w:tcW w:w="7736" w:type="dxa"/>
          </w:tcPr>
          <w:p w14:paraId="4088C906" w14:textId="78FD4FAE" w:rsidR="00021E4F" w:rsidRPr="00A53ABF" w:rsidRDefault="00021E4F" w:rsidP="00915305">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Elemente de datorii eligibile înainte de ajustări</w:t>
            </w:r>
          </w:p>
          <w:p w14:paraId="22690983" w14:textId="2BAD1B47" w:rsidR="00021E4F" w:rsidRPr="00A53ABF" w:rsidRDefault="00021E4F" w:rsidP="00503590">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Elemente de datorii eligibile înainte de ajustări. Se calculează ca suma rândurilor 12, EU-12a, EU-12b, EU-12c și 14.</w:t>
            </w:r>
          </w:p>
        </w:tc>
      </w:tr>
      <w:tr w:rsidR="00633625" w:rsidRPr="00A53ABF" w14:paraId="2D0BC40A" w14:textId="77777777" w:rsidTr="00E46262">
        <w:tc>
          <w:tcPr>
            <w:tcW w:w="1030" w:type="dxa"/>
          </w:tcPr>
          <w:p w14:paraId="2FC5E554" w14:textId="764C5877" w:rsidR="00633625" w:rsidRPr="00A53ABF" w:rsidRDefault="00633625" w:rsidP="00915305">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EU-17a</w:t>
            </w:r>
          </w:p>
        </w:tc>
        <w:tc>
          <w:tcPr>
            <w:tcW w:w="7736" w:type="dxa"/>
          </w:tcPr>
          <w:p w14:paraId="1A128FD1" w14:textId="1FF7039A" w:rsidR="00633625" w:rsidRPr="00A53ABF" w:rsidRDefault="00B80F7C" w:rsidP="00915305">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Elemente de datorii eligibile înainte de ajustări – din care: elemente de datorii subordonate</w:t>
            </w:r>
          </w:p>
          <w:p w14:paraId="4B5B9304" w14:textId="77777777" w:rsidR="002432DE" w:rsidRPr="00A53ABF" w:rsidRDefault="002432DE" w:rsidP="00915305">
            <w:pPr>
              <w:rPr>
                <w:rStyle w:val="InstructionsTabelleberschrift"/>
                <w:rFonts w:ascii="Times New Roman" w:hAnsi="Times New Roman"/>
                <w:b w:val="0"/>
                <w:i/>
                <w:sz w:val="24"/>
                <w:szCs w:val="24"/>
                <w:u w:val="none"/>
                <w:lang w:val="ro-RO"/>
              </w:rPr>
            </w:pPr>
            <w:r w:rsidRPr="00A53ABF">
              <w:rPr>
                <w:rStyle w:val="InstructionsTabelleberschrift"/>
                <w:rFonts w:ascii="Times New Roman" w:hAnsi="Times New Roman"/>
                <w:b w:val="0"/>
                <w:i/>
                <w:sz w:val="24"/>
                <w:u w:val="none"/>
                <w:lang w:val="ro-RO"/>
              </w:rPr>
              <w:t>MREL</w:t>
            </w:r>
          </w:p>
          <w:p w14:paraId="2089EA6F" w14:textId="630F5208" w:rsidR="00DB779A" w:rsidRPr="00A53ABF" w:rsidRDefault="00DB779A" w:rsidP="00915305">
            <w:pPr>
              <w:rPr>
                <w:rStyle w:val="FormatvorlageInstructionsTabelleText"/>
                <w:rFonts w:ascii="Times New Roman" w:hAnsi="Times New Roman"/>
                <w:sz w:val="24"/>
                <w:szCs w:val="24"/>
                <w:lang w:val="ro-RO"/>
              </w:rPr>
            </w:pPr>
            <w:r w:rsidRPr="00A53ABF">
              <w:rPr>
                <w:rStyle w:val="InstructionsTabelleberschrift"/>
                <w:rFonts w:ascii="Times New Roman" w:hAnsi="Times New Roman"/>
                <w:b w:val="0"/>
                <w:sz w:val="24"/>
                <w:u w:val="none"/>
                <w:lang w:val="ro-RO"/>
              </w:rPr>
              <w:t>Datoriile eligibile incluse în</w:t>
            </w:r>
            <w:r w:rsidRPr="00A53ABF">
              <w:rPr>
                <w:rFonts w:ascii="Times New Roman" w:hAnsi="Times New Roman"/>
                <w:sz w:val="24"/>
                <w:lang w:val="ro-RO"/>
              </w:rPr>
              <w:t xml:space="preserve"> </w:t>
            </w:r>
            <w:r w:rsidRPr="00A53ABF">
              <w:rPr>
                <w:rStyle w:val="FormatvorlageInstructionsTabelleText"/>
                <w:rFonts w:ascii="Times New Roman" w:hAnsi="Times New Roman"/>
                <w:sz w:val="24"/>
                <w:lang w:val="ro-RO"/>
              </w:rPr>
              <w:t>cuantumul fondurilor proprii și al datoriilor eligibile în temeiul articolului 45b din Directiva 2014/59/UE care sunt instrumente eligibile subordonate, astfel cum sunt definite la articolul 2 alineatul (1) punctul 71b din directiva menționată, și datoriile emise de filiale și incluse în MREL în conformitate cu articolul 45b alineatul (3) din directiva menționată.</w:t>
            </w:r>
          </w:p>
          <w:p w14:paraId="69D83FC1" w14:textId="5DCAE08F" w:rsidR="003E4404" w:rsidRPr="00A53ABF" w:rsidRDefault="003E4404" w:rsidP="00915305">
            <w:pPr>
              <w:rPr>
                <w:rStyle w:val="FormatvorlageInstructionsTabelleText"/>
                <w:rFonts w:ascii="Times New Roman" w:hAnsi="Times New Roman"/>
                <w:sz w:val="24"/>
                <w:szCs w:val="24"/>
                <w:lang w:val="ro-RO"/>
              </w:rPr>
            </w:pPr>
            <w:r w:rsidRPr="00A53ABF">
              <w:rPr>
                <w:rStyle w:val="FormatvorlageInstructionsTabelleText"/>
                <w:rFonts w:ascii="Times New Roman" w:hAnsi="Times New Roman"/>
                <w:sz w:val="24"/>
                <w:lang w:val="ro-RO"/>
              </w:rPr>
              <w:t>În cazul instrumentelor reglementate de legislația unei țări terțe, instrumentul este inclus pe acest rând numai dacă îndeplinește cerințele prevăzute la articolul 55 din Directiva 2014/59/UE.</w:t>
            </w:r>
          </w:p>
          <w:p w14:paraId="740C1237" w14:textId="77777777" w:rsidR="002432DE" w:rsidRPr="00A53ABF" w:rsidRDefault="002432DE" w:rsidP="00915305">
            <w:pPr>
              <w:rPr>
                <w:rStyle w:val="InstructionsTabelleberschrift"/>
                <w:rFonts w:ascii="Times New Roman" w:hAnsi="Times New Roman"/>
                <w:b w:val="0"/>
                <w:i/>
                <w:sz w:val="24"/>
                <w:szCs w:val="24"/>
                <w:u w:val="none"/>
                <w:lang w:val="ro-RO"/>
              </w:rPr>
            </w:pPr>
            <w:r w:rsidRPr="00A53ABF">
              <w:rPr>
                <w:rStyle w:val="InstructionsTabelleberschrift"/>
                <w:rFonts w:ascii="Times New Roman" w:hAnsi="Times New Roman"/>
                <w:b w:val="0"/>
                <w:i/>
                <w:sz w:val="24"/>
                <w:u w:val="none"/>
                <w:lang w:val="ro-RO"/>
              </w:rPr>
              <w:lastRenderedPageBreak/>
              <w:t>TLAC</w:t>
            </w:r>
          </w:p>
          <w:p w14:paraId="04429143" w14:textId="6BD51A61" w:rsidR="002432DE" w:rsidRPr="00A53ABF" w:rsidRDefault="002432DE" w:rsidP="00B62DC9">
            <w:pPr>
              <w:pStyle w:val="InstructionsText"/>
              <w:rPr>
                <w:rStyle w:val="FormatvorlageInstructionsTabelleText"/>
                <w:rFonts w:ascii="Times New Roman" w:hAnsi="Times New Roman"/>
                <w:sz w:val="24"/>
                <w:lang w:val="ro-RO"/>
              </w:rPr>
            </w:pPr>
            <w:r w:rsidRPr="00A53ABF">
              <w:rPr>
                <w:rStyle w:val="FormatvorlageInstructionsTabelleText"/>
                <w:rFonts w:ascii="Times New Roman" w:hAnsi="Times New Roman"/>
                <w:sz w:val="24"/>
                <w:lang w:val="ro-RO"/>
              </w:rPr>
              <w:t>Datoriile eligibile care îndeplinesc toate cerințele prevăzute la articolele 72a-72d din Regulamentul (UE) nr. 575/2013, cu excepția datoriilor care au permisiunea să se califice drept instrumente de datorii eligibile în temeiul articolului 72b alineatul (3) sau (4) din regulamentul menționat.</w:t>
            </w:r>
          </w:p>
          <w:p w14:paraId="2EEECCE3" w14:textId="4B15BE1E" w:rsidR="002432DE" w:rsidRPr="00A53ABF" w:rsidRDefault="002432DE" w:rsidP="00B62DC9">
            <w:pPr>
              <w:pStyle w:val="InstructionsText"/>
              <w:rPr>
                <w:rStyle w:val="FormatvorlageInstructionsTabelleText"/>
                <w:rFonts w:ascii="Times New Roman" w:hAnsi="Times New Roman"/>
                <w:sz w:val="24"/>
                <w:lang w:val="ro-RO"/>
              </w:rPr>
            </w:pPr>
            <w:r w:rsidRPr="00A53ABF">
              <w:rPr>
                <w:rStyle w:val="FormatvorlageInstructionsTabelleText"/>
                <w:rFonts w:ascii="Times New Roman" w:hAnsi="Times New Roman"/>
                <w:sz w:val="24"/>
                <w:lang w:val="ro-RO"/>
              </w:rPr>
              <w:t>Acest rând include datoriile subordonate care sunt eligibile ca urmare a păstrării drepturilor obținute în conformitate cu articolul 494b din Regulamentul (UE) nr. 575/2013 și partea amortizată a instrumentelor de fonduri proprii de nivel 2 în cazul cărora scadența reziduală este mai mare de un an [articolul 72a alineatul (1) litera (b) din Regulamentul (UE) nr. 575/2013].</w:t>
            </w:r>
          </w:p>
          <w:p w14:paraId="55FB8435" w14:textId="63FEC689" w:rsidR="002432DE" w:rsidRPr="00A53ABF" w:rsidRDefault="002432DE" w:rsidP="00B62DC9">
            <w:pPr>
              <w:pStyle w:val="InstructionsText"/>
              <w:rPr>
                <w:lang w:val="ro-RO"/>
              </w:rPr>
            </w:pPr>
            <w:r w:rsidRPr="00A53ABF">
              <w:rPr>
                <w:rStyle w:val="FormatvorlageInstructionsTabelleText"/>
                <w:rFonts w:ascii="Times New Roman" w:hAnsi="Times New Roman"/>
                <w:sz w:val="24"/>
                <w:lang w:val="ro-RO"/>
              </w:rPr>
              <w:t>Se calculează ca suma rândurilor 12, EU-12a, EU-12b și EU-12c.</w:t>
            </w:r>
          </w:p>
        </w:tc>
      </w:tr>
      <w:tr w:rsidR="00026FC1" w:rsidRPr="00A53ABF" w14:paraId="45424BEE" w14:textId="77777777" w:rsidTr="00E46262">
        <w:tc>
          <w:tcPr>
            <w:tcW w:w="1030" w:type="dxa"/>
          </w:tcPr>
          <w:p w14:paraId="747BC26F" w14:textId="022289A3" w:rsidR="00702377" w:rsidRPr="00A53ABF" w:rsidRDefault="00702377" w:rsidP="00702377">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lastRenderedPageBreak/>
              <w:t>18</w:t>
            </w:r>
          </w:p>
        </w:tc>
        <w:tc>
          <w:tcPr>
            <w:tcW w:w="7736" w:type="dxa"/>
          </w:tcPr>
          <w:p w14:paraId="4ADF1782" w14:textId="77777777" w:rsidR="00702377" w:rsidRPr="00A53ABF" w:rsidRDefault="00702377" w:rsidP="00702377">
            <w:pPr>
              <w:rPr>
                <w:rFonts w:ascii="Times New Roman" w:hAnsi="Times New Roman" w:cs="Times New Roman"/>
                <w:b/>
                <w:color w:val="000000" w:themeColor="text1"/>
                <w:sz w:val="24"/>
                <w:szCs w:val="24"/>
                <w:lang w:val="ro-RO"/>
              </w:rPr>
            </w:pPr>
            <w:r w:rsidRPr="00A53ABF">
              <w:rPr>
                <w:rFonts w:ascii="Times New Roman" w:hAnsi="Times New Roman"/>
                <w:b/>
                <w:color w:val="000000" w:themeColor="text1"/>
                <w:sz w:val="24"/>
                <w:lang w:val="ro-RO"/>
              </w:rPr>
              <w:t>Fonduri proprii și elemente de datorii eligibile înainte de ajustări</w:t>
            </w:r>
          </w:p>
          <w:p w14:paraId="151E44CE" w14:textId="2369C944" w:rsidR="00702377" w:rsidRPr="00A53ABF" w:rsidRDefault="00702377" w:rsidP="00503590">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Fonduri proprii și elemente de datorii eligibile înainte de ajustări. Se calculează ca suma rândurilor 11 și 17.</w:t>
            </w:r>
          </w:p>
        </w:tc>
      </w:tr>
      <w:tr w:rsidR="00026FC1" w:rsidRPr="00A53ABF" w14:paraId="74F69B7A" w14:textId="77777777" w:rsidTr="00E46262">
        <w:tc>
          <w:tcPr>
            <w:tcW w:w="1030" w:type="dxa"/>
          </w:tcPr>
          <w:p w14:paraId="1B67D30A" w14:textId="6055FAE6" w:rsidR="00702377" w:rsidRPr="00A53ABF" w:rsidRDefault="00702377" w:rsidP="00702377">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19</w:t>
            </w:r>
          </w:p>
        </w:tc>
        <w:tc>
          <w:tcPr>
            <w:tcW w:w="7736" w:type="dxa"/>
          </w:tcPr>
          <w:p w14:paraId="7917D77C" w14:textId="37BD1628" w:rsidR="00702377" w:rsidRPr="00A53ABF" w:rsidRDefault="00D413AD" w:rsidP="00702377">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(Deducerea expunerilor între grupurile de rezoluție cu mai multe puncte de intrare)</w:t>
            </w:r>
          </w:p>
          <w:p w14:paraId="36A58FE6" w14:textId="45D80DF4" w:rsidR="00A9426B" w:rsidRPr="00A53ABF" w:rsidRDefault="00A9426B" w:rsidP="00702377">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Cuantum negativ</w:t>
            </w:r>
          </w:p>
          <w:p w14:paraId="0D579B89" w14:textId="657876CE" w:rsidR="00702377" w:rsidRPr="00A53ABF" w:rsidRDefault="00702377" w:rsidP="00480FBC">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Deducerile expunerilor între grupurile de rezoluție cu mai multe puncte de intrare din categoria G-SII care corespund deținerilor directe, indirecte sau sintetice de instrumente de fonduri proprii sau de instrumente de datorii eligibile ale uneia sau mai multor filiale care nu aparțin aceluiași grup de rezoluție ca și entitatea de rezoluție, în conformitate cu articolul 72e alineatul (4) din Regulamentul (UE) nr. 575/2013.</w:t>
            </w:r>
          </w:p>
        </w:tc>
      </w:tr>
      <w:tr w:rsidR="00026FC1" w:rsidRPr="00A53ABF" w14:paraId="34D251D0" w14:textId="77777777" w:rsidTr="00E46262">
        <w:tc>
          <w:tcPr>
            <w:tcW w:w="1030" w:type="dxa"/>
          </w:tcPr>
          <w:p w14:paraId="33B786D1" w14:textId="62F68C2B" w:rsidR="00702377" w:rsidRPr="00A53ABF" w:rsidRDefault="00D571F6" w:rsidP="00702377">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20</w:t>
            </w:r>
          </w:p>
        </w:tc>
        <w:tc>
          <w:tcPr>
            <w:tcW w:w="7736" w:type="dxa"/>
          </w:tcPr>
          <w:p w14:paraId="22BBBE31" w14:textId="44D9E160" w:rsidR="00702377" w:rsidRPr="00A53ABF" w:rsidRDefault="00D413AD" w:rsidP="00702377">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(Deducerea investițiilor în alte instrumente de datorii eligibile)</w:t>
            </w:r>
          </w:p>
          <w:p w14:paraId="36E83D5C" w14:textId="77777777" w:rsidR="00A9426B" w:rsidRPr="00A53ABF" w:rsidRDefault="00A9426B" w:rsidP="00A9426B">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Cuantum negativ</w:t>
            </w:r>
          </w:p>
          <w:p w14:paraId="5109AFDE" w14:textId="3A888804" w:rsidR="00D36DC6" w:rsidRPr="00A53ABF" w:rsidRDefault="00D36DC6" w:rsidP="00B24DB1">
            <w:pPr>
              <w:rPr>
                <w:rFonts w:ascii="Times New Roman" w:hAnsi="Times New Roman" w:cs="Times New Roman"/>
                <w:i/>
                <w:iCs/>
                <w:noProof/>
                <w:color w:val="000000" w:themeColor="text1"/>
                <w:sz w:val="24"/>
                <w:szCs w:val="24"/>
                <w:lang w:val="ro-RO"/>
              </w:rPr>
            </w:pPr>
            <w:r w:rsidRPr="00A53ABF">
              <w:rPr>
                <w:rFonts w:ascii="Times New Roman" w:hAnsi="Times New Roman"/>
                <w:i/>
                <w:color w:val="000000" w:themeColor="text1"/>
                <w:sz w:val="24"/>
                <w:lang w:val="ro-RO"/>
              </w:rPr>
              <w:t>TLAC</w:t>
            </w:r>
          </w:p>
          <w:p w14:paraId="160C4AD3" w14:textId="5E7F7684" w:rsidR="00702377" w:rsidRPr="00A53ABF" w:rsidRDefault="00702377" w:rsidP="00B24DB1">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Deduceri ale investițiilor în alte instrumente de datorii eligibile în conformitate cu articolul 72e alineatele (1), (2) și (3) și articolele 72f-72j din Regulamentul (UE) nr. 575/2013. Sumă care trebuie dedusă din elementele de datorii eligibile în conformitate cu partea a doua titlul I capitolul 5a secțiunea 2 din Regulamentul (UE) nr. 575/2013.</w:t>
            </w:r>
          </w:p>
          <w:p w14:paraId="58A38F14" w14:textId="027B8532" w:rsidR="00D36DC6" w:rsidRPr="00A53ABF" w:rsidRDefault="00D36DC6" w:rsidP="00B24DB1">
            <w:pPr>
              <w:rPr>
                <w:rFonts w:ascii="Times New Roman" w:hAnsi="Times New Roman" w:cs="Times New Roman"/>
                <w:i/>
                <w:iCs/>
                <w:noProof/>
                <w:color w:val="000000" w:themeColor="text1"/>
                <w:sz w:val="24"/>
                <w:szCs w:val="24"/>
                <w:lang w:val="ro-RO"/>
              </w:rPr>
            </w:pPr>
            <w:r w:rsidRPr="00A53ABF">
              <w:rPr>
                <w:rFonts w:ascii="Times New Roman" w:hAnsi="Times New Roman"/>
                <w:i/>
                <w:color w:val="000000" w:themeColor="text1"/>
                <w:sz w:val="24"/>
                <w:lang w:val="ro-RO"/>
              </w:rPr>
              <w:t>MREL și TLAC</w:t>
            </w:r>
          </w:p>
          <w:p w14:paraId="131C0401" w14:textId="2E1E66AE" w:rsidR="00BF16DB" w:rsidRPr="00A53ABF" w:rsidRDefault="00BF16DB" w:rsidP="00B24DB1">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Acest rând include, de asemenea, cuantumurile acoperite de aprobarea de a exercita opțiunea call, de a răscumpăra sau de a rambursa instrumente de datorii eligibile în conformitate cu articolul 78a din Regulamentul (UE) nr.</w:t>
            </w:r>
            <w:r w:rsidR="00A53ABF" w:rsidRPr="00A53ABF">
              <w:rPr>
                <w:rFonts w:ascii="Times New Roman" w:hAnsi="Times New Roman"/>
                <w:color w:val="000000" w:themeColor="text1"/>
                <w:sz w:val="24"/>
                <w:lang w:val="ro-RO"/>
              </w:rPr>
              <w:t> </w:t>
            </w:r>
            <w:r w:rsidRPr="00A53ABF">
              <w:rPr>
                <w:rFonts w:ascii="Times New Roman" w:hAnsi="Times New Roman"/>
                <w:color w:val="000000" w:themeColor="text1"/>
                <w:sz w:val="24"/>
                <w:lang w:val="ro-RO"/>
              </w:rPr>
              <w:t xml:space="preserve">575/2013, în măsura în care entitatea care publică informațiile nu a utilizat </w:t>
            </w:r>
            <w:r w:rsidRPr="00A53ABF">
              <w:rPr>
                <w:rFonts w:ascii="Times New Roman" w:hAnsi="Times New Roman"/>
                <w:color w:val="000000" w:themeColor="text1"/>
                <w:sz w:val="24"/>
                <w:lang w:val="ro-RO"/>
              </w:rPr>
              <w:lastRenderedPageBreak/>
              <w:t>încă suma respectivă pentru a exercita opțiunea call, a răscumpăra sau a rambursa instrumente.</w:t>
            </w:r>
          </w:p>
        </w:tc>
      </w:tr>
      <w:tr w:rsidR="00026FC1" w:rsidRPr="00A53ABF" w14:paraId="739A1A6D" w14:textId="77777777" w:rsidTr="00E46262">
        <w:tc>
          <w:tcPr>
            <w:tcW w:w="1030" w:type="dxa"/>
          </w:tcPr>
          <w:p w14:paraId="03995BED" w14:textId="59572D69" w:rsidR="00702377" w:rsidRPr="00A53ABF" w:rsidRDefault="00D571F6" w:rsidP="00702377">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lastRenderedPageBreak/>
              <w:t>22</w:t>
            </w:r>
          </w:p>
        </w:tc>
        <w:tc>
          <w:tcPr>
            <w:tcW w:w="7736" w:type="dxa"/>
          </w:tcPr>
          <w:p w14:paraId="2D6851E4" w14:textId="5FE3EEF7" w:rsidR="00702377" w:rsidRPr="00A53ABF" w:rsidRDefault="000B4D72" w:rsidP="00702377">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Fonduri proprii și datorii eligibile după ajustări</w:t>
            </w:r>
          </w:p>
          <w:p w14:paraId="69BED263" w14:textId="4E69A591" w:rsidR="00702377" w:rsidRPr="00A53ABF" w:rsidRDefault="00702377" w:rsidP="00A9426B">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Fondurile proprii și datoriile eligibile, astfel cum sunt definite la articolul 72l din Regulamentul (UE) nr. 575/2013. Se calculează ca suma rândurilor 18, 19 și 20.</w:t>
            </w:r>
          </w:p>
          <w:p w14:paraId="5794043B" w14:textId="1C4A8682" w:rsidR="003E4404" w:rsidRPr="00A53ABF" w:rsidRDefault="003E4404" w:rsidP="00A9426B">
            <w:pPr>
              <w:rPr>
                <w:rFonts w:ascii="Times New Roman" w:hAnsi="Times New Roman" w:cs="Times New Roman"/>
                <w:i/>
                <w:noProof/>
                <w:color w:val="000000" w:themeColor="text1"/>
                <w:sz w:val="24"/>
                <w:szCs w:val="24"/>
                <w:lang w:val="ro-RO"/>
              </w:rPr>
            </w:pPr>
            <w:r w:rsidRPr="00A53ABF">
              <w:rPr>
                <w:rFonts w:ascii="Times New Roman" w:hAnsi="Times New Roman"/>
                <w:i/>
                <w:color w:val="000000" w:themeColor="text1"/>
                <w:sz w:val="24"/>
                <w:lang w:val="ro-RO"/>
              </w:rPr>
              <w:t>MREL</w:t>
            </w:r>
          </w:p>
          <w:p w14:paraId="0DCEFD91" w14:textId="77777777" w:rsidR="005B765F" w:rsidRPr="00A53ABF" w:rsidRDefault="005B765F" w:rsidP="005B765F">
            <w:pPr>
              <w:rPr>
                <w:rStyle w:val="FormatvorlageInstructionsTabelleText"/>
                <w:rFonts w:ascii="Times New Roman" w:hAnsi="Times New Roman"/>
                <w:sz w:val="24"/>
                <w:lang w:val="ro-RO"/>
              </w:rPr>
            </w:pPr>
            <w:r w:rsidRPr="00A53ABF">
              <w:rPr>
                <w:rStyle w:val="FormatvorlageInstructionsTabelleText"/>
                <w:rFonts w:ascii="Times New Roman" w:hAnsi="Times New Roman"/>
                <w:sz w:val="24"/>
                <w:lang w:val="ro-RO"/>
              </w:rPr>
              <w:t>Cuantumul fondurilor proprii și al datoriilor eligibile care intră în calculul MREL se fac publice ca fiind suma dintre:</w:t>
            </w:r>
          </w:p>
          <w:p w14:paraId="58E25068" w14:textId="71FF99F0" w:rsidR="005B765F" w:rsidRPr="00A53ABF"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lang w:val="ro-RO"/>
              </w:rPr>
            </w:pPr>
            <w:r w:rsidRPr="00A53ABF">
              <w:rPr>
                <w:rStyle w:val="FormatvorlageInstructionsTabelleText"/>
                <w:rFonts w:ascii="Times New Roman" w:hAnsi="Times New Roman"/>
                <w:sz w:val="24"/>
                <w:lang w:val="ro-RO"/>
              </w:rPr>
              <w:t xml:space="preserve">fondurile proprii prevăzute la articolul 4 alineatul (1) punctul 118 și la articolul 72 din Regulamentul (UE) nr. 575/2013; </w:t>
            </w:r>
          </w:p>
          <w:p w14:paraId="7D33907A" w14:textId="75C17250" w:rsidR="005B765F" w:rsidRPr="00A53ABF"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lang w:val="ro-RO"/>
              </w:rPr>
            </w:pPr>
            <w:r w:rsidRPr="00A53ABF">
              <w:rPr>
                <w:rStyle w:val="FormatvorlageInstructionsTabelleText"/>
                <w:rFonts w:ascii="Times New Roman" w:hAnsi="Times New Roman"/>
                <w:sz w:val="24"/>
                <w:lang w:val="ro-RO"/>
              </w:rPr>
              <w:t>datoriile eligibile, astfel cum sunt definite la articolul 2 alineatul (1) punctul 71a din Directiva 2014/59/UE.</w:t>
            </w:r>
          </w:p>
          <w:p w14:paraId="38858668" w14:textId="194B5715" w:rsidR="003E4404" w:rsidRPr="00A53ABF" w:rsidRDefault="003E4404" w:rsidP="005F391D">
            <w:pPr>
              <w:spacing w:before="120" w:after="120" w:line="240" w:lineRule="auto"/>
              <w:jc w:val="both"/>
              <w:rPr>
                <w:rStyle w:val="FormatvorlageInstructionsTabelleText"/>
                <w:rFonts w:ascii="Times New Roman" w:hAnsi="Times New Roman"/>
                <w:sz w:val="24"/>
                <w:lang w:val="ro-RO"/>
              </w:rPr>
            </w:pPr>
            <w:r w:rsidRPr="00A53ABF">
              <w:rPr>
                <w:rStyle w:val="FormatvorlageInstructionsTabelleText"/>
                <w:rFonts w:ascii="Times New Roman" w:hAnsi="Times New Roman"/>
                <w:sz w:val="24"/>
                <w:lang w:val="ro-RO"/>
              </w:rPr>
              <w:t>În cazul instrumentelor reglementate de legislația unei țări terțe, instrumentul este inclus pe acest rând numai dacă îndeplinește cerințele prevăzute la articolul 55 din Directiva 2014/59/UE.</w:t>
            </w:r>
          </w:p>
          <w:p w14:paraId="7E3B34F5" w14:textId="546FE87E" w:rsidR="003E4404" w:rsidRPr="00A53ABF" w:rsidRDefault="003E4404" w:rsidP="005F391D">
            <w:pPr>
              <w:spacing w:before="120" w:after="120" w:line="240" w:lineRule="auto"/>
              <w:jc w:val="both"/>
              <w:rPr>
                <w:rStyle w:val="FormatvorlageInstructionsTabelleText"/>
                <w:rFonts w:ascii="Times New Roman" w:hAnsi="Times New Roman"/>
                <w:i/>
                <w:sz w:val="24"/>
                <w:lang w:val="ro-RO"/>
              </w:rPr>
            </w:pPr>
            <w:r w:rsidRPr="00A53ABF">
              <w:rPr>
                <w:rStyle w:val="FormatvorlageInstructionsTabelleText"/>
                <w:rFonts w:ascii="Times New Roman" w:hAnsi="Times New Roman"/>
                <w:i/>
                <w:sz w:val="24"/>
                <w:lang w:val="ro-RO"/>
              </w:rPr>
              <w:t>TLAC</w:t>
            </w:r>
          </w:p>
          <w:p w14:paraId="3E3A8B56" w14:textId="3FF85A2A" w:rsidR="005B765F" w:rsidRPr="00A53ABF" w:rsidRDefault="005B765F" w:rsidP="005B765F">
            <w:pPr>
              <w:rPr>
                <w:rStyle w:val="FormatvorlageInstructionsTabelleText"/>
                <w:rFonts w:ascii="Times New Roman" w:hAnsi="Times New Roman"/>
                <w:sz w:val="24"/>
                <w:lang w:val="ro-RO"/>
              </w:rPr>
            </w:pPr>
            <w:r w:rsidRPr="00A53ABF">
              <w:rPr>
                <w:rStyle w:val="FormatvorlageInstructionsTabelleText"/>
                <w:rFonts w:ascii="Times New Roman" w:hAnsi="Times New Roman"/>
                <w:sz w:val="24"/>
                <w:lang w:val="ro-RO"/>
              </w:rPr>
              <w:t>Cuantumul fondurilor proprii și al datoriilor eligibile care sunt luate în considerare în vederea îndeplinirii TLAC este cuantumul menționat la articolul 72l din Regulamentul (UE) nr. 575/2013, care constă în:</w:t>
            </w:r>
          </w:p>
          <w:p w14:paraId="1CDBC2DF" w14:textId="319B5CC1" w:rsidR="00DB779A" w:rsidRPr="00A53ABF" w:rsidRDefault="005B765F" w:rsidP="003D0BF6">
            <w:pPr>
              <w:pStyle w:val="ListParagraph"/>
              <w:numPr>
                <w:ilvl w:val="0"/>
                <w:numId w:val="22"/>
              </w:numPr>
              <w:spacing w:before="120" w:after="120" w:line="240" w:lineRule="auto"/>
              <w:contextualSpacing w:val="0"/>
              <w:jc w:val="both"/>
              <w:rPr>
                <w:rStyle w:val="FormatvorlageInstructionsTabelleText"/>
                <w:rFonts w:ascii="Times New Roman" w:hAnsi="Times New Roman"/>
                <w:sz w:val="24"/>
                <w:lang w:val="ro-RO"/>
              </w:rPr>
            </w:pPr>
            <w:r w:rsidRPr="00A53ABF">
              <w:rPr>
                <w:rStyle w:val="FormatvorlageInstructionsTabelleText"/>
                <w:rFonts w:ascii="Times New Roman" w:hAnsi="Times New Roman"/>
                <w:sz w:val="24"/>
                <w:lang w:val="ro-RO"/>
              </w:rPr>
              <w:t>fondurile proprii prevăzute la articolul 4 alineatul (1) punctul 118 și la articolul 72 din Regulamentul (UE) nr. 575/2013;</w:t>
            </w:r>
          </w:p>
          <w:p w14:paraId="3185C317" w14:textId="14AD01AB" w:rsidR="005B765F" w:rsidRPr="00A53ABF" w:rsidRDefault="005B765F" w:rsidP="005B627B">
            <w:pPr>
              <w:pStyle w:val="ListParagraph"/>
              <w:numPr>
                <w:ilvl w:val="0"/>
                <w:numId w:val="22"/>
              </w:numPr>
              <w:spacing w:before="120" w:after="120" w:line="240" w:lineRule="auto"/>
              <w:contextualSpacing w:val="0"/>
              <w:jc w:val="both"/>
              <w:rPr>
                <w:rFonts w:ascii="Times New Roman" w:hAnsi="Times New Roman" w:cs="Times New Roman"/>
                <w:noProof/>
                <w:color w:val="000000" w:themeColor="text1"/>
                <w:sz w:val="24"/>
                <w:szCs w:val="24"/>
                <w:lang w:val="ro-RO"/>
              </w:rPr>
            </w:pPr>
            <w:r w:rsidRPr="00A53ABF">
              <w:rPr>
                <w:rStyle w:val="FormatvorlageInstructionsTabelleText"/>
                <w:rFonts w:ascii="Times New Roman" w:hAnsi="Times New Roman"/>
                <w:sz w:val="24"/>
                <w:lang w:val="ro-RO"/>
              </w:rPr>
              <w:t>datoriile eligibile menționate la articolul 72k din Regulamentul (UE) nr. 575/2013.</w:t>
            </w:r>
          </w:p>
        </w:tc>
      </w:tr>
      <w:tr w:rsidR="00633625" w:rsidRPr="00A53ABF" w14:paraId="3C365839" w14:textId="77777777" w:rsidTr="00E46262">
        <w:tc>
          <w:tcPr>
            <w:tcW w:w="1030" w:type="dxa"/>
          </w:tcPr>
          <w:p w14:paraId="13AA7EE3" w14:textId="302E8B20" w:rsidR="00633625" w:rsidRPr="00A53ABF" w:rsidRDefault="00633625" w:rsidP="00702377">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EU-22a</w:t>
            </w:r>
          </w:p>
        </w:tc>
        <w:tc>
          <w:tcPr>
            <w:tcW w:w="7736" w:type="dxa"/>
          </w:tcPr>
          <w:p w14:paraId="05DA41C9" w14:textId="77777777" w:rsidR="00633625" w:rsidRPr="00A53ABF" w:rsidRDefault="00633625" w:rsidP="00702377">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Din care: fonduri proprii și datorii subordonate</w:t>
            </w:r>
          </w:p>
          <w:p w14:paraId="0ED27DF2" w14:textId="30421E2C" w:rsidR="00DB779A" w:rsidRPr="00A53ABF" w:rsidRDefault="00DB779A" w:rsidP="00E06D47">
            <w:pPr>
              <w:rPr>
                <w:rFonts w:ascii="Times New Roman" w:hAnsi="Times New Roman" w:cs="Times New Roman"/>
                <w:b/>
                <w:noProof/>
                <w:color w:val="000000" w:themeColor="text1"/>
                <w:sz w:val="24"/>
                <w:szCs w:val="24"/>
                <w:lang w:val="ro-RO"/>
              </w:rPr>
            </w:pPr>
            <w:r w:rsidRPr="00A53ABF">
              <w:rPr>
                <w:rFonts w:ascii="Times New Roman" w:hAnsi="Times New Roman"/>
                <w:color w:val="000000" w:themeColor="text1"/>
                <w:sz w:val="24"/>
                <w:lang w:val="ro-RO"/>
              </w:rPr>
              <w:t xml:space="preserve">Fondurile proprii și datoriile eligibile </w:t>
            </w:r>
            <w:r w:rsidRPr="00A53ABF">
              <w:rPr>
                <w:rStyle w:val="InstructionsTabelleberschrift"/>
                <w:rFonts w:ascii="Times New Roman" w:hAnsi="Times New Roman"/>
                <w:b w:val="0"/>
                <w:sz w:val="24"/>
                <w:u w:val="none"/>
                <w:lang w:val="ro-RO"/>
              </w:rPr>
              <w:t>incluse în</w:t>
            </w:r>
            <w:r w:rsidRPr="00A53ABF">
              <w:rPr>
                <w:rFonts w:ascii="Times New Roman" w:hAnsi="Times New Roman"/>
                <w:sz w:val="24"/>
                <w:lang w:val="ro-RO"/>
              </w:rPr>
              <w:t xml:space="preserve"> </w:t>
            </w:r>
            <w:r w:rsidRPr="00A53ABF">
              <w:rPr>
                <w:rStyle w:val="FormatvorlageInstructionsTabelleText"/>
                <w:rFonts w:ascii="Times New Roman" w:hAnsi="Times New Roman"/>
                <w:sz w:val="24"/>
                <w:lang w:val="ro-RO"/>
              </w:rPr>
              <w:t>cuantumul fondurilor proprii și al datoriilor eligibile în temeiul articolului 45b din Directiva 2014/59/UE care sunt instrumente eligibile subordonate, astfel cum sunt definite la articolul 2 alineatul (1) punctul 71b din directiva menționată și datoriile incluse în cuantumul fondurilor proprii și al datoriilor eligibile în conformitate cu articolul 45b alineatul (3) din Directiva 2014/59/UE.</w:t>
            </w:r>
          </w:p>
        </w:tc>
      </w:tr>
      <w:tr w:rsidR="00026FC1" w:rsidRPr="00A53ABF" w14:paraId="129D2D8D" w14:textId="77777777" w:rsidTr="00E46262">
        <w:tc>
          <w:tcPr>
            <w:tcW w:w="1030" w:type="dxa"/>
          </w:tcPr>
          <w:p w14:paraId="1B5B041C" w14:textId="4E1F9AEC" w:rsidR="00702377" w:rsidRPr="00A53ABF" w:rsidRDefault="00D571F6" w:rsidP="00CE0D4E">
            <w:pPr>
              <w:keepNext/>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lastRenderedPageBreak/>
              <w:t>23</w:t>
            </w:r>
          </w:p>
        </w:tc>
        <w:tc>
          <w:tcPr>
            <w:tcW w:w="7736" w:type="dxa"/>
          </w:tcPr>
          <w:p w14:paraId="0DB96856" w14:textId="3D3296F4" w:rsidR="00702377" w:rsidRPr="00A53ABF" w:rsidRDefault="00702377" w:rsidP="00702377">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Cuantumul total al expunerii la risc (TREA)</w:t>
            </w:r>
          </w:p>
          <w:p w14:paraId="58889E7E" w14:textId="691DB651" w:rsidR="008149F0" w:rsidRPr="00A53ABF" w:rsidRDefault="00702377" w:rsidP="007E12BA">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Cuantumul total al expunerii la risc al grupului de rezoluție în conformitate cu articolul 18 alineatul (1) al doilea paragraf din Regulamentul (UE) nr. 575/2013.</w:t>
            </w:r>
          </w:p>
          <w:p w14:paraId="1B151396" w14:textId="33E81FE9" w:rsidR="00702377" w:rsidRPr="00A53ABF" w:rsidRDefault="008149F0" w:rsidP="00E54D7F">
            <w:pPr>
              <w:rPr>
                <w:rFonts w:ascii="Times New Roman" w:hAnsi="Times New Roman" w:cs="Times New Roman"/>
                <w:noProof/>
                <w:color w:val="000000" w:themeColor="text1"/>
                <w:sz w:val="24"/>
                <w:szCs w:val="24"/>
                <w:lang w:val="ro-RO"/>
              </w:rPr>
            </w:pPr>
            <w:r w:rsidRPr="00A53ABF">
              <w:rPr>
                <w:rStyle w:val="FormatvorlageInstructionsTabelleText"/>
                <w:rFonts w:ascii="Times New Roman" w:hAnsi="Times New Roman"/>
                <w:sz w:val="24"/>
                <w:lang w:val="ro-RO"/>
              </w:rPr>
              <w:t>Cuantumul total al expunerii la risc publicat pe acest rând este cuantumul total al expunerii la risc care stă la baza respectării cerințelor prevăzute la articolul 45 din Directiva 2014/59/UE sau la articolul 92a din Regulamentul (UE) nr. 575/2013, după caz.</w:t>
            </w:r>
          </w:p>
        </w:tc>
      </w:tr>
      <w:tr w:rsidR="00026FC1" w:rsidRPr="00A53ABF" w14:paraId="28440368" w14:textId="77777777" w:rsidTr="00E46262">
        <w:tc>
          <w:tcPr>
            <w:tcW w:w="1030" w:type="dxa"/>
          </w:tcPr>
          <w:p w14:paraId="32E92C5A" w14:textId="7CF5EC98" w:rsidR="00702377" w:rsidRPr="00A53ABF" w:rsidRDefault="00D571F6" w:rsidP="00702377">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24</w:t>
            </w:r>
          </w:p>
        </w:tc>
        <w:tc>
          <w:tcPr>
            <w:tcW w:w="7736" w:type="dxa"/>
          </w:tcPr>
          <w:p w14:paraId="36574007" w14:textId="1B8A459D" w:rsidR="00702377" w:rsidRPr="00A53ABF" w:rsidRDefault="00516561" w:rsidP="00702377">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Indicatorul de măsurare a expunerii totale (TEM)</w:t>
            </w:r>
          </w:p>
          <w:p w14:paraId="778066F0" w14:textId="53FCCE7C" w:rsidR="00702377" w:rsidRPr="00A53ABF" w:rsidRDefault="00DB779A" w:rsidP="003D0BF6">
            <w:pPr>
              <w:rPr>
                <w:rFonts w:ascii="Times New Roman" w:hAnsi="Times New Roman" w:cs="Times New Roman"/>
                <w:sz w:val="24"/>
                <w:szCs w:val="24"/>
                <w:lang w:val="ro-RO"/>
              </w:rPr>
            </w:pPr>
            <w:r w:rsidRPr="00A53ABF">
              <w:rPr>
                <w:rFonts w:ascii="Times New Roman" w:hAnsi="Times New Roman"/>
                <w:sz w:val="24"/>
                <w:lang w:val="ro-RO"/>
              </w:rPr>
              <w:t>În conformitate cu articolul 45 alineatul (2)</w:t>
            </w:r>
            <w:r w:rsidRPr="00A53ABF">
              <w:rPr>
                <w:lang w:val="ro-RO"/>
              </w:rPr>
              <w:t xml:space="preserve"> </w:t>
            </w:r>
            <w:r w:rsidRPr="00A53ABF">
              <w:rPr>
                <w:rFonts w:ascii="Times New Roman" w:hAnsi="Times New Roman"/>
                <w:sz w:val="24"/>
                <w:lang w:val="ro-RO"/>
              </w:rPr>
              <w:t>litera (b) din Directiva 2014/59/UE, indicatorul de măsurare a expunerii totale calculat în conformitate cu articolul 429 alineatul (4) și cu articolul 429a din Regulamentul (UE) nr. 575/2013.</w:t>
            </w:r>
          </w:p>
          <w:p w14:paraId="62A67E31" w14:textId="3AEA2863" w:rsidR="008149F0" w:rsidRPr="00A53ABF" w:rsidRDefault="008149F0" w:rsidP="00E54D7F">
            <w:pPr>
              <w:rPr>
                <w:rFonts w:ascii="Times New Roman" w:hAnsi="Times New Roman" w:cs="Times New Roman"/>
                <w:noProof/>
                <w:color w:val="000000" w:themeColor="text1"/>
                <w:sz w:val="24"/>
                <w:szCs w:val="24"/>
                <w:lang w:val="ro-RO"/>
              </w:rPr>
            </w:pPr>
            <w:r w:rsidRPr="00A53ABF">
              <w:rPr>
                <w:rStyle w:val="FormatvorlageInstructionsTabelleText"/>
                <w:rFonts w:ascii="Times New Roman" w:hAnsi="Times New Roman"/>
                <w:sz w:val="24"/>
                <w:lang w:val="ro-RO"/>
              </w:rPr>
              <w:t>Indicatorul de măsurare a expunerii totale raportat pe acest rând este indicatorul de măsurare a expunerii totale care stă la baza respectării cerințelor de la articolul 45 din Directiva 2014/59/UE sau de la articolul 92a din Regulamentul (UE) nr. 575/2013, după caz.</w:t>
            </w:r>
          </w:p>
        </w:tc>
      </w:tr>
      <w:tr w:rsidR="00D571F6" w:rsidRPr="00A53ABF" w14:paraId="13300665" w14:textId="77777777" w:rsidTr="00E46262">
        <w:tc>
          <w:tcPr>
            <w:tcW w:w="1030" w:type="dxa"/>
            <w:vAlign w:val="top"/>
          </w:tcPr>
          <w:p w14:paraId="0F988C86" w14:textId="06ED1881" w:rsidR="00D571F6" w:rsidRPr="00A53ABF" w:rsidRDefault="00D571F6" w:rsidP="00D571F6">
            <w:pPr>
              <w:rPr>
                <w:rFonts w:ascii="Times New Roman" w:hAnsi="Times New Roman" w:cs="Times New Roman"/>
                <w:noProof/>
                <w:color w:val="000000" w:themeColor="text1"/>
                <w:sz w:val="24"/>
                <w:szCs w:val="24"/>
                <w:lang w:val="ro-RO"/>
              </w:rPr>
            </w:pPr>
            <w:r w:rsidRPr="00A53ABF">
              <w:rPr>
                <w:rFonts w:ascii="Times New Roman" w:hAnsi="Times New Roman"/>
                <w:sz w:val="24"/>
                <w:lang w:val="ro-RO"/>
              </w:rPr>
              <w:t>25</w:t>
            </w:r>
          </w:p>
        </w:tc>
        <w:tc>
          <w:tcPr>
            <w:tcW w:w="7736" w:type="dxa"/>
          </w:tcPr>
          <w:p w14:paraId="2C833139" w14:textId="0A4AF6D0" w:rsidR="00D77E54" w:rsidRPr="00A53ABF" w:rsidRDefault="00D571F6" w:rsidP="00DB779A">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Fondurile proprii și datoriile eligibile ca procent din TREA</w:t>
            </w:r>
          </w:p>
          <w:p w14:paraId="7AB95F7A" w14:textId="6941F5F6" w:rsidR="00DB779A" w:rsidRPr="00A53ABF" w:rsidRDefault="00DB779A" w:rsidP="00DB779A">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În sensul acestui rând, în conformitate cu articolul 45 alineatul (2)</w:t>
            </w:r>
            <w:r w:rsidRPr="00A53ABF">
              <w:rPr>
                <w:color w:val="000000" w:themeColor="text1"/>
                <w:lang w:val="ro-RO"/>
              </w:rPr>
              <w:t xml:space="preserve"> </w:t>
            </w:r>
            <w:r w:rsidRPr="00A53ABF">
              <w:rPr>
                <w:rFonts w:ascii="Times New Roman" w:hAnsi="Times New Roman"/>
                <w:color w:val="000000" w:themeColor="text1"/>
                <w:sz w:val="24"/>
                <w:lang w:val="ro-RO"/>
              </w:rPr>
              <w:t>litera (a) din Directiva 2014/59/UE și cu articolul 92a din Regulamentul (UE) nr. 575/2013, cuantumul fondurilor proprii și al datoriilor eligibile care intră în calculul MREL sau TLAC, după caz, se exprimă ca procent din cuantumul total al expunerii la risc calculat în conformitate cu articolul 92 alineatul (3) din Regulamentul (UE) nr. 575/2013.</w:t>
            </w:r>
          </w:p>
          <w:p w14:paraId="7EB8D0D2" w14:textId="458D8C7A" w:rsidR="00D571F6" w:rsidRPr="00A53ABF" w:rsidRDefault="00E06D47" w:rsidP="00E06D47">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Se calculează împărțind rândul 22 la rândul 23.</w:t>
            </w:r>
          </w:p>
        </w:tc>
      </w:tr>
      <w:tr w:rsidR="00DD64EE" w:rsidRPr="00A53ABF" w14:paraId="344FACA7" w14:textId="77777777" w:rsidTr="00E46262">
        <w:tc>
          <w:tcPr>
            <w:tcW w:w="1030" w:type="dxa"/>
            <w:vAlign w:val="top"/>
          </w:tcPr>
          <w:p w14:paraId="79C19FE6" w14:textId="5B9A3D69" w:rsidR="00DD64EE" w:rsidRPr="00A53ABF" w:rsidRDefault="00DD64EE" w:rsidP="00DD64EE">
            <w:pPr>
              <w:rPr>
                <w:rFonts w:ascii="Times New Roman" w:hAnsi="Times New Roman" w:cs="Times New Roman"/>
                <w:sz w:val="24"/>
                <w:szCs w:val="24"/>
                <w:lang w:val="ro-RO"/>
              </w:rPr>
            </w:pPr>
            <w:r w:rsidRPr="00A53ABF">
              <w:rPr>
                <w:rFonts w:ascii="Times New Roman" w:hAnsi="Times New Roman"/>
                <w:sz w:val="24"/>
                <w:lang w:val="ro-RO"/>
              </w:rPr>
              <w:t>EU-25a</w:t>
            </w:r>
          </w:p>
        </w:tc>
        <w:tc>
          <w:tcPr>
            <w:tcW w:w="7736" w:type="dxa"/>
            <w:vAlign w:val="top"/>
          </w:tcPr>
          <w:p w14:paraId="29460D13" w14:textId="6252FCF5" w:rsidR="00DD64EE" w:rsidRPr="00A53ABF" w:rsidRDefault="00DD64EE" w:rsidP="00DD64EE">
            <w:pPr>
              <w:rPr>
                <w:rFonts w:ascii="Times New Roman" w:hAnsi="Times New Roman" w:cs="Times New Roman"/>
                <w:b/>
                <w:sz w:val="24"/>
                <w:szCs w:val="24"/>
                <w:lang w:val="ro-RO"/>
              </w:rPr>
            </w:pPr>
            <w:r w:rsidRPr="00A53ABF">
              <w:rPr>
                <w:rFonts w:ascii="Times New Roman" w:hAnsi="Times New Roman"/>
                <w:b/>
                <w:sz w:val="24"/>
                <w:lang w:val="ro-RO"/>
              </w:rPr>
              <w:t xml:space="preserve">Din care: fonduri proprii și </w:t>
            </w:r>
            <w:r w:rsidRPr="00A53ABF">
              <w:rPr>
                <w:rFonts w:ascii="Times New Roman" w:hAnsi="Times New Roman"/>
                <w:b/>
                <w:color w:val="000000" w:themeColor="text1"/>
                <w:sz w:val="24"/>
                <w:lang w:val="ro-RO"/>
              </w:rPr>
              <w:t>datorii</w:t>
            </w:r>
            <w:r w:rsidRPr="00A53ABF">
              <w:rPr>
                <w:rFonts w:ascii="Times New Roman" w:hAnsi="Times New Roman"/>
                <w:b/>
                <w:sz w:val="24"/>
                <w:lang w:val="ro-RO"/>
              </w:rPr>
              <w:t xml:space="preserve"> subordonate</w:t>
            </w:r>
          </w:p>
          <w:p w14:paraId="3177CD5E" w14:textId="4C559037" w:rsidR="00282ED2" w:rsidRPr="00A53ABF" w:rsidRDefault="00DD64EE" w:rsidP="00DD64EE">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În sensul acestui rând, cuantumul fondurilor proprii și al datoriilor eligibile subordonate care intră în calculul MREL se exprimă ca procent din cuantumul total al expunerii la risc calculat în conformitate cu articolul 92 alineatul (3) din Regulamentul (UE) nr. 575/2013.</w:t>
            </w:r>
          </w:p>
          <w:p w14:paraId="1420404E" w14:textId="486A4F7A" w:rsidR="00DD64EE" w:rsidRPr="00A53ABF" w:rsidRDefault="00633625" w:rsidP="00DD64EE">
            <w:pPr>
              <w:rPr>
                <w:rFonts w:ascii="Times New Roman" w:hAnsi="Times New Roman" w:cs="Times New Roman"/>
                <w:b/>
                <w:sz w:val="24"/>
                <w:szCs w:val="24"/>
                <w:lang w:val="ro-RO"/>
              </w:rPr>
            </w:pPr>
            <w:r w:rsidRPr="00A53ABF">
              <w:rPr>
                <w:rFonts w:ascii="Times New Roman" w:hAnsi="Times New Roman"/>
                <w:color w:val="000000" w:themeColor="text1"/>
                <w:sz w:val="24"/>
                <w:lang w:val="ro-RO"/>
              </w:rPr>
              <w:t>Se calculează împărțind rândul 22a la rândul 23.</w:t>
            </w:r>
          </w:p>
        </w:tc>
      </w:tr>
      <w:tr w:rsidR="00D571F6" w:rsidRPr="00A53ABF" w14:paraId="36017B22" w14:textId="77777777" w:rsidTr="00E46262">
        <w:tc>
          <w:tcPr>
            <w:tcW w:w="1030" w:type="dxa"/>
            <w:vAlign w:val="top"/>
          </w:tcPr>
          <w:p w14:paraId="34721F24" w14:textId="1ACC2AE8" w:rsidR="00D571F6" w:rsidRPr="00A53ABF" w:rsidRDefault="00D571F6" w:rsidP="00D571F6">
            <w:pPr>
              <w:rPr>
                <w:rFonts w:ascii="Times New Roman" w:hAnsi="Times New Roman" w:cs="Times New Roman"/>
                <w:noProof/>
                <w:color w:val="000000" w:themeColor="text1"/>
                <w:sz w:val="24"/>
                <w:szCs w:val="24"/>
                <w:lang w:val="ro-RO"/>
              </w:rPr>
            </w:pPr>
            <w:r w:rsidRPr="00A53ABF">
              <w:rPr>
                <w:rFonts w:ascii="Times New Roman" w:hAnsi="Times New Roman"/>
                <w:sz w:val="24"/>
                <w:lang w:val="ro-RO"/>
              </w:rPr>
              <w:t>26</w:t>
            </w:r>
          </w:p>
        </w:tc>
        <w:tc>
          <w:tcPr>
            <w:tcW w:w="7736" w:type="dxa"/>
          </w:tcPr>
          <w:p w14:paraId="36877A46" w14:textId="7121B65E" w:rsidR="00D571F6" w:rsidRPr="00A53ABF" w:rsidRDefault="00D571F6" w:rsidP="00D571F6">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Fondurile proprii și datoriile eligibile ca procent din TEM</w:t>
            </w:r>
          </w:p>
          <w:p w14:paraId="00EB744D" w14:textId="4F8F3490" w:rsidR="00F31CFB" w:rsidRPr="00A53ABF" w:rsidRDefault="00F31CFB" w:rsidP="00D571F6">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 xml:space="preserve">În sensul acestui rând, în conformitate cu articolul 45 alineatul (2) litera (b) din Directiva 2014/59/UE și cu articolul 92a din Regulamentul (UE) nr. 575/2013, cuantumul fondurilor proprii și al datoriilor eligibile care intră în calculul MREL sau TLAC, după caz, se exprimă ca procent din indicatorul </w:t>
            </w:r>
            <w:r w:rsidRPr="00A53ABF">
              <w:rPr>
                <w:rFonts w:ascii="Times New Roman" w:hAnsi="Times New Roman"/>
                <w:color w:val="000000" w:themeColor="text1"/>
                <w:sz w:val="24"/>
                <w:lang w:val="ro-RO"/>
              </w:rPr>
              <w:lastRenderedPageBreak/>
              <w:t>de măsurare a expunerii totale calculat în conformitate cu articolul 429 alineatul (4) și cu articolul 429a din Regulamentul (UE) nr. 575/2013.</w:t>
            </w:r>
          </w:p>
          <w:p w14:paraId="4625DFA4" w14:textId="11EAD745" w:rsidR="00D571F6" w:rsidRPr="00A53ABF" w:rsidRDefault="00F31CFB" w:rsidP="00F31CFB">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Se calculează împărțind rândul 22 la rândul 24.</w:t>
            </w:r>
          </w:p>
        </w:tc>
      </w:tr>
      <w:tr w:rsidR="00DD64EE" w:rsidRPr="00A53ABF" w14:paraId="6226AC49" w14:textId="77777777" w:rsidTr="00E46262">
        <w:tc>
          <w:tcPr>
            <w:tcW w:w="1030" w:type="dxa"/>
          </w:tcPr>
          <w:p w14:paraId="0551FE26" w14:textId="5A7C8577" w:rsidR="00DD64EE" w:rsidRPr="00A53ABF" w:rsidRDefault="00DD64EE" w:rsidP="00DD64EE">
            <w:pPr>
              <w:rPr>
                <w:rFonts w:ascii="Times New Roman" w:hAnsi="Times New Roman" w:cs="Times New Roman"/>
                <w:sz w:val="24"/>
                <w:szCs w:val="24"/>
                <w:lang w:val="ro-RO"/>
              </w:rPr>
            </w:pPr>
            <w:r w:rsidRPr="00A53ABF">
              <w:rPr>
                <w:rFonts w:ascii="Times New Roman" w:hAnsi="Times New Roman"/>
                <w:sz w:val="24"/>
                <w:lang w:val="ro-RO"/>
              </w:rPr>
              <w:lastRenderedPageBreak/>
              <w:t>EU-26a</w:t>
            </w:r>
          </w:p>
        </w:tc>
        <w:tc>
          <w:tcPr>
            <w:tcW w:w="7736" w:type="dxa"/>
          </w:tcPr>
          <w:p w14:paraId="20A52E81" w14:textId="3A7027C7" w:rsidR="00DD64EE" w:rsidRPr="00A53ABF" w:rsidRDefault="00DD64EE" w:rsidP="00DD64EE">
            <w:pPr>
              <w:rPr>
                <w:rFonts w:ascii="Times New Roman" w:hAnsi="Times New Roman" w:cs="Times New Roman"/>
                <w:b/>
                <w:sz w:val="24"/>
                <w:szCs w:val="24"/>
                <w:lang w:val="ro-RO"/>
              </w:rPr>
            </w:pPr>
            <w:r w:rsidRPr="00A53ABF">
              <w:rPr>
                <w:rFonts w:ascii="Times New Roman" w:hAnsi="Times New Roman"/>
                <w:b/>
                <w:sz w:val="24"/>
                <w:lang w:val="ro-RO"/>
              </w:rPr>
              <w:t xml:space="preserve">Din care: fonduri proprii și </w:t>
            </w:r>
            <w:r w:rsidRPr="00A53ABF">
              <w:rPr>
                <w:rFonts w:ascii="Times New Roman" w:hAnsi="Times New Roman"/>
                <w:b/>
                <w:color w:val="000000" w:themeColor="text1"/>
                <w:sz w:val="24"/>
                <w:lang w:val="ro-RO"/>
              </w:rPr>
              <w:t>datorii</w:t>
            </w:r>
            <w:r w:rsidRPr="00A53ABF">
              <w:rPr>
                <w:rFonts w:ascii="Times New Roman" w:hAnsi="Times New Roman"/>
                <w:b/>
                <w:sz w:val="24"/>
                <w:lang w:val="ro-RO"/>
              </w:rPr>
              <w:t xml:space="preserve"> subordonate</w:t>
            </w:r>
          </w:p>
          <w:p w14:paraId="45B16E43" w14:textId="10BF2834" w:rsidR="00CF449E" w:rsidRPr="00A53ABF" w:rsidRDefault="00CF449E" w:rsidP="001B5DB5">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În sensul acestui rând, cuantumul fondurilor proprii și al datoriilor eligibile subordonate care intră în calculul MREL se exprimă ca procent din indicatorul de măsurare a expunerii totale calculat în conformitate cu articolul 429 alineatul (4) și cu articolul 429a din Regulamentul (UE) nr. 575/2013.</w:t>
            </w:r>
          </w:p>
          <w:p w14:paraId="358FA12B" w14:textId="445A7C3B" w:rsidR="00633625" w:rsidRPr="00A53ABF" w:rsidRDefault="00633625" w:rsidP="001B5DB5">
            <w:pPr>
              <w:rPr>
                <w:rFonts w:ascii="Times New Roman" w:hAnsi="Times New Roman" w:cs="Times New Roman"/>
                <w:b/>
                <w:sz w:val="24"/>
                <w:szCs w:val="24"/>
                <w:lang w:val="ro-RO"/>
              </w:rPr>
            </w:pPr>
            <w:r w:rsidRPr="00A53ABF">
              <w:rPr>
                <w:rFonts w:ascii="Times New Roman" w:hAnsi="Times New Roman"/>
                <w:color w:val="000000" w:themeColor="text1"/>
                <w:sz w:val="24"/>
                <w:lang w:val="ro-RO"/>
              </w:rPr>
              <w:t>Se calculează împărțind rândul 22a la rândul 24.</w:t>
            </w:r>
          </w:p>
        </w:tc>
      </w:tr>
      <w:tr w:rsidR="00D571F6" w:rsidRPr="00A53ABF" w14:paraId="097C48C9" w14:textId="77777777" w:rsidTr="00E46262">
        <w:tc>
          <w:tcPr>
            <w:tcW w:w="1030" w:type="dxa"/>
            <w:vAlign w:val="top"/>
          </w:tcPr>
          <w:p w14:paraId="71DD980C" w14:textId="7575C305" w:rsidR="00D571F6" w:rsidRPr="00A53ABF" w:rsidRDefault="00D571F6" w:rsidP="00D571F6">
            <w:pPr>
              <w:rPr>
                <w:rFonts w:ascii="Times New Roman" w:hAnsi="Times New Roman" w:cs="Times New Roman"/>
                <w:noProof/>
                <w:color w:val="000000" w:themeColor="text1"/>
                <w:sz w:val="24"/>
                <w:szCs w:val="24"/>
                <w:lang w:val="ro-RO"/>
              </w:rPr>
            </w:pPr>
            <w:r w:rsidRPr="00A53ABF">
              <w:rPr>
                <w:rFonts w:ascii="Times New Roman" w:hAnsi="Times New Roman"/>
                <w:sz w:val="24"/>
                <w:lang w:val="ro-RO"/>
              </w:rPr>
              <w:t>27</w:t>
            </w:r>
          </w:p>
        </w:tc>
        <w:tc>
          <w:tcPr>
            <w:tcW w:w="7736" w:type="dxa"/>
          </w:tcPr>
          <w:p w14:paraId="5D1EF640" w14:textId="01C37C4A" w:rsidR="00D571F6" w:rsidRPr="00A53ABF" w:rsidRDefault="00D571F6" w:rsidP="00D571F6">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Fonduri proprii de nivel 1 de bază (ca procent din TREA) disponibile după îndeplinirea cerințelor grupului de rezoluție</w:t>
            </w:r>
          </w:p>
          <w:p w14:paraId="0227909F" w14:textId="1CB6809D" w:rsidR="00A47BCD" w:rsidRPr="00A53ABF" w:rsidRDefault="00A47BCD" w:rsidP="00B62DC9">
            <w:pPr>
              <w:pStyle w:val="InstructionsText"/>
              <w:rPr>
                <w:rFonts w:eastAsiaTheme="minorEastAsia"/>
                <w:lang w:val="ro-RO"/>
              </w:rPr>
            </w:pPr>
            <w:r w:rsidRPr="00A53ABF">
              <w:rPr>
                <w:lang w:val="ro-RO"/>
              </w:rPr>
              <w:t>Cuantumul fondurilor proprii de nivel 1 de bază, ca procent din cuantumul total al expunerii la risc, egal cu zero sau pozitiv, disponibil după îndeplinirea fiecăreia dintre cerințele menționate la articolul 141a literele (a), (b) și (c) din Directiva 2013/36/UE și cea mai mare valoare dintre:</w:t>
            </w:r>
          </w:p>
          <w:p w14:paraId="42E3D4EA" w14:textId="2070C8C0" w:rsidR="00A47BCD" w:rsidRPr="00A53ABF" w:rsidRDefault="00A47BCD" w:rsidP="00B62DC9">
            <w:pPr>
              <w:pStyle w:val="InstructionsText"/>
              <w:rPr>
                <w:rFonts w:eastAsiaTheme="minorEastAsia"/>
                <w:lang w:val="ro-RO"/>
              </w:rPr>
            </w:pPr>
            <w:r w:rsidRPr="00A53ABF">
              <w:rPr>
                <w:lang w:val="ro-RO"/>
              </w:rPr>
              <w:t xml:space="preserve">(a) dacă este cazul, cerința privind fondurile proprii și datoriile eligibile pentru G-SII prevăzută la articolul 92a din Regulamentul (UE) nr. 575/2013, atunci când este calculată în conformitate cu alineatul (1) litera (a) de la articolul menționat, și </w:t>
            </w:r>
          </w:p>
          <w:p w14:paraId="396BF4D8" w14:textId="21D22CB1" w:rsidR="00A47BCD" w:rsidRPr="00A53ABF" w:rsidRDefault="00A47BCD" w:rsidP="00B62DC9">
            <w:pPr>
              <w:pStyle w:val="InstructionsText"/>
              <w:rPr>
                <w:rFonts w:eastAsiaTheme="minorEastAsia"/>
                <w:lang w:val="ro-RO"/>
              </w:rPr>
            </w:pPr>
            <w:r w:rsidRPr="00A53ABF">
              <w:rPr>
                <w:lang w:val="ro-RO"/>
              </w:rPr>
              <w:t>(b) cerința minimă de fonduri proprii și datorii eligibile stabilită la articolul 45 din Directiva 2014/59/UE, atunci când este calculată în conformitate cu alineatul (2) litera (a) de la articolul menționat.</w:t>
            </w:r>
          </w:p>
          <w:p w14:paraId="7D9CD928" w14:textId="77777777" w:rsidR="00A47BCD" w:rsidRPr="00A53ABF" w:rsidRDefault="00A47BCD" w:rsidP="00B62DC9">
            <w:pPr>
              <w:pStyle w:val="InstructionsText"/>
              <w:rPr>
                <w:rFonts w:eastAsiaTheme="minorEastAsia"/>
                <w:lang w:val="ro-RO"/>
              </w:rPr>
            </w:pPr>
          </w:p>
          <w:p w14:paraId="0543D9CF" w14:textId="084E2193" w:rsidR="00A47BCD" w:rsidRPr="00A53ABF" w:rsidRDefault="00A47BCD" w:rsidP="00B62DC9">
            <w:pPr>
              <w:pStyle w:val="InstructionsText"/>
              <w:rPr>
                <w:rFonts w:eastAsiaTheme="minorEastAsia"/>
                <w:lang w:val="ro-RO"/>
              </w:rPr>
            </w:pPr>
            <w:r w:rsidRPr="00A53ABF">
              <w:rPr>
                <w:lang w:val="ro-RO"/>
              </w:rPr>
              <w:t>Cifra publicată trebuie să fie identică atât în coloana referitoare la MREL, cât și în coloana referitoare la TLAC.</w:t>
            </w:r>
          </w:p>
          <w:p w14:paraId="7018FBAF" w14:textId="3CA720C2" w:rsidR="00D571F6" w:rsidRPr="00A53ABF" w:rsidRDefault="00A47BCD" w:rsidP="00940D58">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Aceasta trebuie să ia în considerare efectul dispozițiilor tranzitorii asupra fondurilor proprii și a datoriilor eligibile, cuantumul total al expunerii la risc și cerințele propriu-zise. Nu se iau în considerare nici orientările privind fondurile proprii suplimentare, astfel cum sunt menționate la articolul 104b din Directiva 2013/36/UE, nici cerința amortizorului combinat prevăzută la articolul 128 primul paragraf punctul 6 din directiva menționată.</w:t>
            </w:r>
          </w:p>
        </w:tc>
      </w:tr>
      <w:tr w:rsidR="00D571F6" w:rsidRPr="00A53ABF" w14:paraId="015114DE" w14:textId="77777777" w:rsidTr="00E46262">
        <w:tc>
          <w:tcPr>
            <w:tcW w:w="1030" w:type="dxa"/>
            <w:vAlign w:val="top"/>
          </w:tcPr>
          <w:p w14:paraId="67C0B6E2" w14:textId="23ADC5ED" w:rsidR="00D571F6" w:rsidRPr="00A53ABF" w:rsidRDefault="00D571F6" w:rsidP="00D571F6">
            <w:pPr>
              <w:rPr>
                <w:rFonts w:ascii="Times New Roman" w:hAnsi="Times New Roman" w:cs="Times New Roman"/>
                <w:noProof/>
                <w:color w:val="000000" w:themeColor="text1"/>
                <w:sz w:val="24"/>
                <w:szCs w:val="24"/>
                <w:lang w:val="ro-RO"/>
              </w:rPr>
            </w:pPr>
            <w:r w:rsidRPr="00A53ABF">
              <w:rPr>
                <w:rFonts w:ascii="Times New Roman" w:hAnsi="Times New Roman"/>
                <w:sz w:val="24"/>
                <w:lang w:val="ro-RO"/>
              </w:rPr>
              <w:t>28</w:t>
            </w:r>
          </w:p>
        </w:tc>
        <w:tc>
          <w:tcPr>
            <w:tcW w:w="7736" w:type="dxa"/>
          </w:tcPr>
          <w:p w14:paraId="725380F6" w14:textId="27172D98" w:rsidR="00D571F6" w:rsidRPr="00A53ABF" w:rsidRDefault="00D571F6" w:rsidP="00D571F6">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 xml:space="preserve">Cerința amortizorului combinat specific instituției </w:t>
            </w:r>
          </w:p>
          <w:p w14:paraId="4829A94F" w14:textId="10305ADD" w:rsidR="00D571F6" w:rsidRPr="00A53ABF" w:rsidRDefault="00D571F6" w:rsidP="00940D58">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Cerința amortizorului combinat specific instituției, definită la articolul 128 primul paragraf punctul 6 din Directiva 2013/36/UE, exprimată ca procent din cuantumul total al expunerii la risc, aplicabilă grupului de rezoluție în conformitate cu primul paragraf punctul 6 de la articolul menționat.</w:t>
            </w:r>
          </w:p>
        </w:tc>
      </w:tr>
      <w:tr w:rsidR="00D571F6" w:rsidRPr="00A53ABF" w14:paraId="0D814418" w14:textId="77777777" w:rsidTr="00E46262">
        <w:tc>
          <w:tcPr>
            <w:tcW w:w="1030" w:type="dxa"/>
            <w:vAlign w:val="top"/>
          </w:tcPr>
          <w:p w14:paraId="2D747295" w14:textId="712C6D78" w:rsidR="00D571F6" w:rsidRPr="00A53ABF" w:rsidRDefault="00D571F6" w:rsidP="00D571F6">
            <w:pPr>
              <w:rPr>
                <w:rFonts w:ascii="Times New Roman" w:hAnsi="Times New Roman" w:cs="Times New Roman"/>
                <w:noProof/>
                <w:color w:val="000000" w:themeColor="text1"/>
                <w:sz w:val="24"/>
                <w:szCs w:val="24"/>
                <w:lang w:val="ro-RO"/>
              </w:rPr>
            </w:pPr>
            <w:r w:rsidRPr="00A53ABF">
              <w:rPr>
                <w:rFonts w:ascii="Times New Roman" w:hAnsi="Times New Roman"/>
                <w:sz w:val="24"/>
                <w:lang w:val="ro-RO"/>
              </w:rPr>
              <w:t>29</w:t>
            </w:r>
          </w:p>
        </w:tc>
        <w:tc>
          <w:tcPr>
            <w:tcW w:w="7736" w:type="dxa"/>
            <w:vAlign w:val="top"/>
          </w:tcPr>
          <w:p w14:paraId="793F80F0" w14:textId="2D85B0CB" w:rsidR="00D571F6" w:rsidRPr="00A53ABF" w:rsidRDefault="00B80F7C" w:rsidP="00D571F6">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 xml:space="preserve">Cerința amortizorului combinat specific instituției – din care: cerința amortizorului de conservare a capitalului </w:t>
            </w:r>
          </w:p>
          <w:p w14:paraId="5C784879" w14:textId="40A880B0" w:rsidR="00D571F6" w:rsidRPr="00A53ABF" w:rsidRDefault="00D571F6" w:rsidP="009B2422">
            <w:pPr>
              <w:rPr>
                <w:rFonts w:ascii="Times New Roman" w:hAnsi="Times New Roman" w:cs="Times New Roman"/>
                <w:noProof/>
                <w:color w:val="000000" w:themeColor="text1"/>
                <w:sz w:val="24"/>
                <w:szCs w:val="24"/>
                <w:lang w:val="ro-RO"/>
              </w:rPr>
            </w:pPr>
            <w:r w:rsidRPr="00A53ABF">
              <w:rPr>
                <w:rFonts w:ascii="Times New Roman" w:hAnsi="Times New Roman"/>
                <w:sz w:val="24"/>
                <w:lang w:val="ro-RO"/>
              </w:rPr>
              <w:lastRenderedPageBreak/>
              <w:t>Cuantumul amortizorului combinat specific instituției (exprimat ca procent din cuantumul total al expunerii la risc) aferent cerinței amortizorului de conservare a capitalului.</w:t>
            </w:r>
          </w:p>
        </w:tc>
      </w:tr>
      <w:tr w:rsidR="00D571F6" w:rsidRPr="00A53ABF" w14:paraId="63B8627F" w14:textId="77777777" w:rsidTr="00E46262">
        <w:tc>
          <w:tcPr>
            <w:tcW w:w="1030" w:type="dxa"/>
            <w:vAlign w:val="top"/>
          </w:tcPr>
          <w:p w14:paraId="68373BD4" w14:textId="0AC3FF61" w:rsidR="00D571F6" w:rsidRPr="00A53ABF" w:rsidRDefault="00D571F6" w:rsidP="00D571F6">
            <w:pPr>
              <w:rPr>
                <w:rFonts w:ascii="Times New Roman" w:hAnsi="Times New Roman" w:cs="Times New Roman"/>
                <w:noProof/>
                <w:color w:val="000000" w:themeColor="text1"/>
                <w:sz w:val="24"/>
                <w:szCs w:val="24"/>
                <w:lang w:val="ro-RO"/>
              </w:rPr>
            </w:pPr>
            <w:r w:rsidRPr="00A53ABF">
              <w:rPr>
                <w:rFonts w:ascii="Times New Roman" w:hAnsi="Times New Roman"/>
                <w:sz w:val="24"/>
                <w:lang w:val="ro-RO"/>
              </w:rPr>
              <w:lastRenderedPageBreak/>
              <w:t>30</w:t>
            </w:r>
          </w:p>
        </w:tc>
        <w:tc>
          <w:tcPr>
            <w:tcW w:w="7736" w:type="dxa"/>
            <w:vAlign w:val="top"/>
          </w:tcPr>
          <w:p w14:paraId="369B9330" w14:textId="25965D76" w:rsidR="00D571F6" w:rsidRPr="00A53ABF" w:rsidRDefault="00B80F7C" w:rsidP="00D571F6">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 xml:space="preserve">Cerința amortizorului combinat specific instituției – din care: cerința amortizorului anticiclic </w:t>
            </w:r>
          </w:p>
          <w:p w14:paraId="6E30DDC3" w14:textId="72487262" w:rsidR="00D571F6" w:rsidRPr="00A53ABF" w:rsidRDefault="00D571F6" w:rsidP="00D571F6">
            <w:pPr>
              <w:rPr>
                <w:rFonts w:ascii="Times New Roman" w:hAnsi="Times New Roman" w:cs="Times New Roman"/>
                <w:noProof/>
                <w:color w:val="000000" w:themeColor="text1"/>
                <w:sz w:val="24"/>
                <w:szCs w:val="24"/>
                <w:lang w:val="ro-RO"/>
              </w:rPr>
            </w:pPr>
            <w:r w:rsidRPr="00A53ABF">
              <w:rPr>
                <w:rFonts w:ascii="Times New Roman" w:hAnsi="Times New Roman"/>
                <w:sz w:val="24"/>
                <w:lang w:val="ro-RO"/>
              </w:rPr>
              <w:t>Cuantumul amortizorului combinat specific instituției (exprimat ca procent din cuantumul total al expunerii la risc) aferent cerinței amortizorului anticiclic.</w:t>
            </w:r>
          </w:p>
        </w:tc>
      </w:tr>
      <w:tr w:rsidR="00D571F6" w:rsidRPr="00A53ABF" w14:paraId="780D8179" w14:textId="77777777" w:rsidTr="00E46262">
        <w:tc>
          <w:tcPr>
            <w:tcW w:w="1030" w:type="dxa"/>
            <w:vAlign w:val="top"/>
          </w:tcPr>
          <w:p w14:paraId="4011938A" w14:textId="6723E0C3" w:rsidR="00D571F6" w:rsidRPr="00A53ABF" w:rsidRDefault="00D571F6" w:rsidP="00D571F6">
            <w:pPr>
              <w:rPr>
                <w:rFonts w:ascii="Times New Roman" w:hAnsi="Times New Roman" w:cs="Times New Roman"/>
                <w:noProof/>
                <w:color w:val="000000" w:themeColor="text1"/>
                <w:sz w:val="24"/>
                <w:szCs w:val="24"/>
                <w:lang w:val="ro-RO"/>
              </w:rPr>
            </w:pPr>
            <w:r w:rsidRPr="00A53ABF">
              <w:rPr>
                <w:rFonts w:ascii="Times New Roman" w:hAnsi="Times New Roman"/>
                <w:sz w:val="24"/>
                <w:lang w:val="ro-RO"/>
              </w:rPr>
              <w:t>31</w:t>
            </w:r>
          </w:p>
        </w:tc>
        <w:tc>
          <w:tcPr>
            <w:tcW w:w="7736" w:type="dxa"/>
            <w:vAlign w:val="top"/>
          </w:tcPr>
          <w:p w14:paraId="40BC9FBF" w14:textId="6369FDFB" w:rsidR="00D571F6" w:rsidRPr="00A53ABF" w:rsidRDefault="00B80F7C" w:rsidP="00D571F6">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 xml:space="preserve">Cerința amortizorului combinat specific instituției – din care: cerința amortizorului de risc sistemic </w:t>
            </w:r>
          </w:p>
          <w:p w14:paraId="2538331C" w14:textId="1E3B6906" w:rsidR="00D571F6" w:rsidRPr="00A53ABF" w:rsidRDefault="00D571F6" w:rsidP="009B2422">
            <w:pPr>
              <w:rPr>
                <w:rFonts w:ascii="Times New Roman" w:hAnsi="Times New Roman" w:cs="Times New Roman"/>
                <w:sz w:val="24"/>
                <w:szCs w:val="24"/>
                <w:lang w:val="ro-RO"/>
              </w:rPr>
            </w:pPr>
            <w:r w:rsidRPr="00A53ABF">
              <w:rPr>
                <w:rFonts w:ascii="Times New Roman" w:hAnsi="Times New Roman"/>
                <w:sz w:val="24"/>
                <w:lang w:val="ro-RO"/>
              </w:rPr>
              <w:t>Cuantumul amortizorului combinat specific instituției (exprimat ca procent din cuantumul total al expunerii la risc) aferent cerinței amortizorului de risc sistemic.</w:t>
            </w:r>
          </w:p>
        </w:tc>
      </w:tr>
      <w:tr w:rsidR="00D571F6" w:rsidRPr="00A53ABF" w14:paraId="2321A559" w14:textId="77777777" w:rsidTr="00E46262">
        <w:tc>
          <w:tcPr>
            <w:tcW w:w="1030" w:type="dxa"/>
            <w:vAlign w:val="top"/>
          </w:tcPr>
          <w:p w14:paraId="5B6DF329" w14:textId="537A82C8" w:rsidR="00D571F6" w:rsidRPr="00A53ABF" w:rsidRDefault="00D571F6" w:rsidP="00D571F6">
            <w:pPr>
              <w:rPr>
                <w:rFonts w:ascii="Times New Roman" w:hAnsi="Times New Roman" w:cs="Times New Roman"/>
                <w:noProof/>
                <w:color w:val="000000" w:themeColor="text1"/>
                <w:sz w:val="24"/>
                <w:szCs w:val="24"/>
                <w:lang w:val="ro-RO"/>
              </w:rPr>
            </w:pPr>
            <w:r w:rsidRPr="00A53ABF">
              <w:rPr>
                <w:rFonts w:ascii="Times New Roman" w:hAnsi="Times New Roman"/>
                <w:sz w:val="24"/>
                <w:lang w:val="ro-RO"/>
              </w:rPr>
              <w:t>EU-31a</w:t>
            </w:r>
          </w:p>
        </w:tc>
        <w:tc>
          <w:tcPr>
            <w:tcW w:w="7736" w:type="dxa"/>
            <w:vAlign w:val="top"/>
          </w:tcPr>
          <w:p w14:paraId="2ACB2A11" w14:textId="0C32CAAA" w:rsidR="00D571F6" w:rsidRPr="00A53ABF" w:rsidRDefault="00B80F7C" w:rsidP="00D571F6">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Cerința amortizorului combinat specific instituției – din care: amortizor pentru instituții de importanță sistemică globală (G-SII) sau alte instituții de importanță sistemică (O-SII)</w:t>
            </w:r>
          </w:p>
          <w:p w14:paraId="6700C20F" w14:textId="59F7281D" w:rsidR="00D571F6" w:rsidRPr="00A53ABF" w:rsidRDefault="00D571F6" w:rsidP="00563C8D">
            <w:pPr>
              <w:rPr>
                <w:rFonts w:ascii="Times New Roman" w:hAnsi="Times New Roman" w:cs="Times New Roman"/>
                <w:noProof/>
                <w:color w:val="000000" w:themeColor="text1"/>
                <w:sz w:val="24"/>
                <w:szCs w:val="24"/>
                <w:lang w:val="ro-RO"/>
              </w:rPr>
            </w:pPr>
            <w:r w:rsidRPr="00A53ABF">
              <w:rPr>
                <w:rFonts w:ascii="Times New Roman" w:hAnsi="Times New Roman"/>
                <w:sz w:val="24"/>
                <w:lang w:val="ro-RO"/>
              </w:rPr>
              <w:t>Cuantumul amortizorului combinat specific instituției (exprimat ca procent din cuantumul total al expunerii la risc) aferent cerinței amortizorului pentru G-SII sau O-SII.</w:t>
            </w:r>
          </w:p>
        </w:tc>
      </w:tr>
      <w:tr w:rsidR="0023278E" w:rsidRPr="00A53ABF" w14:paraId="08100425" w14:textId="77777777" w:rsidTr="00E46262">
        <w:tc>
          <w:tcPr>
            <w:tcW w:w="1030" w:type="dxa"/>
            <w:vAlign w:val="top"/>
          </w:tcPr>
          <w:p w14:paraId="6C04F598" w14:textId="5E33E643" w:rsidR="0023278E" w:rsidRPr="00A53ABF" w:rsidRDefault="0023278E" w:rsidP="0023278E">
            <w:pPr>
              <w:rPr>
                <w:rFonts w:ascii="Times New Roman" w:hAnsi="Times New Roman" w:cs="Times New Roman"/>
                <w:sz w:val="24"/>
                <w:szCs w:val="24"/>
                <w:lang w:val="ro-RO"/>
              </w:rPr>
            </w:pPr>
            <w:r w:rsidRPr="00A53ABF">
              <w:rPr>
                <w:rFonts w:ascii="Times New Roman" w:hAnsi="Times New Roman"/>
                <w:sz w:val="24"/>
                <w:lang w:val="ro-RO"/>
              </w:rPr>
              <w:t>EU-32</w:t>
            </w:r>
          </w:p>
        </w:tc>
        <w:tc>
          <w:tcPr>
            <w:tcW w:w="7736" w:type="dxa"/>
            <w:vAlign w:val="top"/>
          </w:tcPr>
          <w:p w14:paraId="154EB8B0" w14:textId="1395906F" w:rsidR="0023278E" w:rsidRPr="00A53ABF" w:rsidRDefault="0023278E" w:rsidP="0023278E">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Cuantumul total al datoriilor excluse prevăzute la articolul 72a alineatul (2) din Regulamentul (UE) nr. 575/2013</w:t>
            </w:r>
          </w:p>
        </w:tc>
      </w:tr>
    </w:tbl>
    <w:p w14:paraId="79FEC8BB" w14:textId="2A1A82F0" w:rsidR="005C7641" w:rsidRPr="00A53ABF"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A53ABF">
        <w:rPr>
          <w:rFonts w:ascii="Times New Roman" w:hAnsi="Times New Roman"/>
          <w:color w:val="auto"/>
          <w:sz w:val="24"/>
        </w:rPr>
        <w:t>4.</w:t>
      </w:r>
      <w:r w:rsidRPr="00A53ABF">
        <w:rPr>
          <w:rFonts w:ascii="Times New Roman" w:hAnsi="Times New Roman"/>
          <w:color w:val="auto"/>
          <w:sz w:val="24"/>
        </w:rPr>
        <w:tab/>
        <w:t>EU ILAC: Capacitatea internă de absorbție a pierderilor: MREL internă și, după caz, cerința privind fondurile proprii și datoriile eligibile pentru G-SII din afara UE</w:t>
      </w:r>
      <w:bookmarkStart w:id="208" w:name="_Toc14770785"/>
      <w:bookmarkEnd w:id="206"/>
      <w:bookmarkEnd w:id="208"/>
      <w:r w:rsidRPr="00A53ABF">
        <w:rPr>
          <w:rFonts w:ascii="Times New Roman" w:hAnsi="Times New Roman"/>
          <w:color w:val="auto"/>
          <w:sz w:val="24"/>
        </w:rPr>
        <w:t xml:space="preserve"> (TLAC internă)</w:t>
      </w:r>
      <w:bookmarkEnd w:id="207"/>
    </w:p>
    <w:p w14:paraId="4B755467" w14:textId="5E1539C5" w:rsidR="00413CCD" w:rsidRPr="00A53ABF" w:rsidRDefault="00413CCD" w:rsidP="00B62DC9">
      <w:pPr>
        <w:pStyle w:val="InstructionsText2"/>
        <w:numPr>
          <w:ilvl w:val="0"/>
          <w:numId w:val="12"/>
        </w:numPr>
      </w:pPr>
      <w:r w:rsidRPr="00A53ABF">
        <w:t>Acest model este destinat publicării fondurilor proprii și datoriilor eligibile ale entităților care nu sunt ele însele entități de rezoluție în sensul cerinței privind fondurile proprii și datoriile eligibile prevăzută la articolul 45f din Directiva 2014/59/UE (MREL internă), precum și în sensul cerinței privind fondurile proprii și datoriile eligibile pentru G-SII din afara UE care este aplicabilă filialelor semnificative ale G-SII din țări terțe, prevăzută la articolul 92b din Regulamentul (UE) nr. 575/2013 (TLAC internă).</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A53ABF" w14:paraId="4BB456DC" w14:textId="77777777" w:rsidTr="00F42DCD">
        <w:trPr>
          <w:trHeight w:val="238"/>
        </w:trPr>
        <w:tc>
          <w:tcPr>
            <w:tcW w:w="1384" w:type="dxa"/>
            <w:shd w:val="clear" w:color="auto" w:fill="D9D9D9" w:themeFill="background1" w:themeFillShade="D9"/>
          </w:tcPr>
          <w:p w14:paraId="0BD997C3" w14:textId="77777777" w:rsidR="00FF6326" w:rsidRPr="00A53ABF" w:rsidRDefault="00FF6326" w:rsidP="00F42DCD">
            <w:pPr>
              <w:autoSpaceDE w:val="0"/>
              <w:autoSpaceDN w:val="0"/>
              <w:adjustRightInd w:val="0"/>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Coloane</w:t>
            </w:r>
          </w:p>
        </w:tc>
        <w:tc>
          <w:tcPr>
            <w:tcW w:w="7655" w:type="dxa"/>
            <w:shd w:val="clear" w:color="auto" w:fill="D9D9D9" w:themeFill="background1" w:themeFillShade="D9"/>
          </w:tcPr>
          <w:p w14:paraId="359FBA21" w14:textId="5D467A7A" w:rsidR="00FF6326" w:rsidRPr="00A53ABF" w:rsidRDefault="00E46262" w:rsidP="00F42DCD">
            <w:pPr>
              <w:autoSpaceDE w:val="0"/>
              <w:autoSpaceDN w:val="0"/>
              <w:adjustRightInd w:val="0"/>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Referințe juridice și instrucțiuni</w:t>
            </w:r>
          </w:p>
        </w:tc>
      </w:tr>
      <w:tr w:rsidR="00FF6326" w:rsidRPr="00A53ABF" w14:paraId="4D038DE2" w14:textId="77777777" w:rsidTr="00F42DCD">
        <w:trPr>
          <w:trHeight w:val="637"/>
        </w:trPr>
        <w:tc>
          <w:tcPr>
            <w:tcW w:w="1384" w:type="dxa"/>
          </w:tcPr>
          <w:p w14:paraId="60750BB7" w14:textId="77777777" w:rsidR="00FF6326" w:rsidRPr="00A53ABF" w:rsidDel="00DE6BC1" w:rsidRDefault="00FF6326" w:rsidP="00F42DCD">
            <w:pPr>
              <w:pStyle w:val="Applicationdirecte"/>
              <w:spacing w:before="120"/>
              <w:jc w:val="center"/>
              <w:rPr>
                <w:color w:val="000000" w:themeColor="text1"/>
                <w:szCs w:val="24"/>
              </w:rPr>
            </w:pPr>
            <w:r w:rsidRPr="00A53ABF">
              <w:rPr>
                <w:color w:val="000000" w:themeColor="text1"/>
              </w:rPr>
              <w:t>a</w:t>
            </w:r>
          </w:p>
        </w:tc>
        <w:tc>
          <w:tcPr>
            <w:tcW w:w="7655" w:type="dxa"/>
          </w:tcPr>
          <w:p w14:paraId="054F4480" w14:textId="09D63B79" w:rsidR="00FF6326" w:rsidRPr="00A53ABF" w:rsidRDefault="00CB1021" w:rsidP="00F90B2E">
            <w:pPr>
              <w:autoSpaceDE w:val="0"/>
              <w:autoSpaceDN w:val="0"/>
              <w:adjustRightInd w:val="0"/>
              <w:spacing w:before="120" w:after="120"/>
              <w:rPr>
                <w:rFonts w:ascii="Times New Roman" w:hAnsi="Times New Roman" w:cs="Times New Roman"/>
                <w:color w:val="000000" w:themeColor="text1"/>
                <w:sz w:val="24"/>
                <w:szCs w:val="24"/>
              </w:rPr>
            </w:pPr>
            <w:r w:rsidRPr="00A53ABF">
              <w:rPr>
                <w:rFonts w:ascii="Times New Roman" w:hAnsi="Times New Roman"/>
                <w:color w:val="000000" w:themeColor="text1"/>
                <w:sz w:val="24"/>
              </w:rPr>
              <w:t>Entitățile publică în această coloană informațiile relevante referitoare la MREL internă în conformitate cu articolele 45 și 45f din Directiva 2014/59/UE.</w:t>
            </w:r>
          </w:p>
        </w:tc>
      </w:tr>
      <w:tr w:rsidR="00FF6326" w:rsidRPr="00A53ABF" w14:paraId="1546A396" w14:textId="77777777" w:rsidTr="00F42DCD">
        <w:trPr>
          <w:trHeight w:val="637"/>
        </w:trPr>
        <w:tc>
          <w:tcPr>
            <w:tcW w:w="1384" w:type="dxa"/>
          </w:tcPr>
          <w:p w14:paraId="1C66F776" w14:textId="7AB435E5" w:rsidR="00FF6326" w:rsidRPr="00A53ABF" w:rsidDel="00DE6BC1" w:rsidRDefault="00F90B2E" w:rsidP="00F90B2E">
            <w:pPr>
              <w:pStyle w:val="Applicationdirecte"/>
              <w:spacing w:before="120"/>
              <w:jc w:val="center"/>
              <w:rPr>
                <w:color w:val="000000" w:themeColor="text1"/>
                <w:szCs w:val="24"/>
              </w:rPr>
            </w:pPr>
            <w:r w:rsidRPr="00A53ABF">
              <w:rPr>
                <w:color w:val="000000" w:themeColor="text1"/>
              </w:rPr>
              <w:lastRenderedPageBreak/>
              <w:t>b</w:t>
            </w:r>
          </w:p>
        </w:tc>
        <w:tc>
          <w:tcPr>
            <w:tcW w:w="7655" w:type="dxa"/>
          </w:tcPr>
          <w:p w14:paraId="353033F9" w14:textId="2CD18282" w:rsidR="00FF6326" w:rsidRPr="00A53ABF" w:rsidRDefault="00CB1021" w:rsidP="00F90B2E">
            <w:pPr>
              <w:autoSpaceDE w:val="0"/>
              <w:autoSpaceDN w:val="0"/>
              <w:adjustRightInd w:val="0"/>
              <w:spacing w:before="120" w:after="120"/>
              <w:rPr>
                <w:rFonts w:ascii="Times New Roman" w:hAnsi="Times New Roman" w:cs="Times New Roman"/>
                <w:b/>
                <w:color w:val="000000" w:themeColor="text1"/>
                <w:sz w:val="24"/>
                <w:szCs w:val="24"/>
              </w:rPr>
            </w:pPr>
            <w:r w:rsidRPr="00A53ABF">
              <w:rPr>
                <w:rFonts w:ascii="Times New Roman" w:hAnsi="Times New Roman"/>
                <w:color w:val="000000" w:themeColor="text1"/>
                <w:sz w:val="24"/>
              </w:rPr>
              <w:t xml:space="preserve">Entitățile care sunt filiale semnificative ale G-SII din afara UE în temeiul articolului 92b din Regulamentul (UE) nr. 575/2013 publică în această coloană informațiile relevante privind TLAC internă în conformitate cu articolul 92b din Regulamentul (UE) nr. 575/2013. </w:t>
            </w:r>
          </w:p>
        </w:tc>
      </w:tr>
      <w:tr w:rsidR="00FF6326" w:rsidRPr="00A53ABF" w14:paraId="22E6AD38" w14:textId="77777777" w:rsidTr="00F42DCD">
        <w:trPr>
          <w:trHeight w:val="637"/>
        </w:trPr>
        <w:tc>
          <w:tcPr>
            <w:tcW w:w="1384" w:type="dxa"/>
          </w:tcPr>
          <w:p w14:paraId="51FE79F2" w14:textId="77777777" w:rsidR="00FF6326" w:rsidRPr="00A53ABF" w:rsidDel="00DE6BC1" w:rsidRDefault="00FF6326" w:rsidP="00F42DCD">
            <w:pPr>
              <w:pStyle w:val="Applicationdirecte"/>
              <w:spacing w:before="120"/>
              <w:jc w:val="center"/>
              <w:rPr>
                <w:color w:val="000000" w:themeColor="text1"/>
                <w:szCs w:val="24"/>
              </w:rPr>
            </w:pPr>
            <w:r w:rsidRPr="00A53ABF">
              <w:rPr>
                <w:color w:val="000000" w:themeColor="text1"/>
              </w:rPr>
              <w:t>c</w:t>
            </w:r>
          </w:p>
        </w:tc>
        <w:tc>
          <w:tcPr>
            <w:tcW w:w="7655" w:type="dxa"/>
          </w:tcPr>
          <w:p w14:paraId="5128BCFA" w14:textId="7C8880AD" w:rsidR="00FF6326" w:rsidRPr="00A53ABF" w:rsidRDefault="00560736" w:rsidP="00BF6482">
            <w:pPr>
              <w:autoSpaceDE w:val="0"/>
              <w:autoSpaceDN w:val="0"/>
              <w:adjustRightInd w:val="0"/>
              <w:spacing w:before="120" w:after="120"/>
              <w:rPr>
                <w:noProof/>
                <w:sz w:val="24"/>
                <w:szCs w:val="24"/>
              </w:rPr>
            </w:pPr>
            <w:r w:rsidRPr="00A53ABF">
              <w:rPr>
                <w:rFonts w:ascii="Times New Roman" w:hAnsi="Times New Roman"/>
                <w:color w:val="000000" w:themeColor="text1"/>
                <w:sz w:val="24"/>
              </w:rPr>
              <w:t>Informații calitative referitoare la cerința aplicabilă și la nivelul de aplicare.</w:t>
            </w:r>
          </w:p>
        </w:tc>
      </w:tr>
    </w:tbl>
    <w:p w14:paraId="11222185" w14:textId="77777777" w:rsidR="00FF6326" w:rsidRPr="00A53ABF" w:rsidRDefault="00FF6326" w:rsidP="00FF6326">
      <w:pPr>
        <w:jc w:val="both"/>
        <w:rPr>
          <w:rFonts w:ascii="Times New Roman" w:hAnsi="Times New Roman" w:cs="Times New Roman"/>
          <w:bCs/>
          <w:noProof/>
          <w:color w:val="000000" w:themeColor="text1"/>
          <w:sz w:val="24"/>
          <w:szCs w:val="24"/>
        </w:rPr>
      </w:pPr>
    </w:p>
    <w:p w14:paraId="607A36F9" w14:textId="7120601E" w:rsidR="0082003D" w:rsidRPr="00A53ABF" w:rsidRDefault="0082003D" w:rsidP="005C7641">
      <w:pPr>
        <w:jc w:val="both"/>
        <w:rPr>
          <w:rFonts w:ascii="Times New Roman" w:hAnsi="Times New Roman" w:cs="Times New Roman"/>
          <w:bCs/>
          <w:i/>
          <w:noProof/>
          <w:color w:val="000000" w:themeColor="text1"/>
          <w:sz w:val="24"/>
          <w:szCs w:val="24"/>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A53ABF"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A53ABF" w:rsidRDefault="0067351E" w:rsidP="00EF47A4">
            <w:pPr>
              <w:autoSpaceDE w:val="0"/>
              <w:autoSpaceDN w:val="0"/>
              <w:adjustRightInd w:val="0"/>
              <w:rPr>
                <w:rFonts w:ascii="Times New Roman" w:hAnsi="Times New Roman" w:cs="Times New Roman"/>
                <w:b/>
                <w:color w:val="000000" w:themeColor="text1"/>
                <w:sz w:val="24"/>
                <w:szCs w:val="24"/>
                <w:lang w:val="ro-RO"/>
              </w:rPr>
            </w:pPr>
            <w:r w:rsidRPr="00A53ABF">
              <w:rPr>
                <w:rFonts w:ascii="Times New Roman" w:hAnsi="Times New Roman"/>
                <w:b/>
                <w:color w:val="000000" w:themeColor="text1"/>
                <w:sz w:val="24"/>
                <w:lang w:val="ro-RO"/>
              </w:rPr>
              <w:t xml:space="preserve">Rând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A53ABF" w:rsidRDefault="00E46262" w:rsidP="00EF47A4">
            <w:pPr>
              <w:autoSpaceDE w:val="0"/>
              <w:autoSpaceDN w:val="0"/>
              <w:adjustRightInd w:val="0"/>
              <w:rPr>
                <w:rFonts w:ascii="Times New Roman" w:hAnsi="Times New Roman" w:cs="Times New Roman"/>
                <w:b/>
                <w:color w:val="000000" w:themeColor="text1"/>
                <w:sz w:val="24"/>
                <w:szCs w:val="24"/>
                <w:lang w:val="ro-RO"/>
              </w:rPr>
            </w:pPr>
            <w:r w:rsidRPr="00A53ABF">
              <w:rPr>
                <w:rFonts w:ascii="Times New Roman" w:hAnsi="Times New Roman"/>
                <w:b/>
                <w:color w:val="000000" w:themeColor="text1"/>
                <w:sz w:val="24"/>
                <w:lang w:val="ro-RO"/>
              </w:rPr>
              <w:t>Referințe juridice și instrucțiuni</w:t>
            </w:r>
          </w:p>
        </w:tc>
      </w:tr>
      <w:tr w:rsidR="005D18F8" w:rsidRPr="00A53ABF" w14:paraId="4273A8E3" w14:textId="77777777" w:rsidTr="002A065A">
        <w:tc>
          <w:tcPr>
            <w:tcW w:w="1109" w:type="dxa"/>
            <w:vAlign w:val="top"/>
          </w:tcPr>
          <w:p w14:paraId="6FB9A622" w14:textId="17181A2D" w:rsidR="005D18F8" w:rsidRPr="00A53ABF" w:rsidRDefault="005D18F8" w:rsidP="00644B02">
            <w:pPr>
              <w:rPr>
                <w:rFonts w:ascii="Times New Roman" w:hAnsi="Times New Roman" w:cs="Times New Roman"/>
                <w:noProof/>
                <w:color w:val="000000" w:themeColor="text1"/>
                <w:sz w:val="24"/>
                <w:szCs w:val="24"/>
                <w:lang w:val="ro-RO"/>
              </w:rPr>
            </w:pPr>
            <w:r w:rsidRPr="00A53ABF">
              <w:rPr>
                <w:rFonts w:ascii="Times New Roman" w:hAnsi="Times New Roman"/>
                <w:sz w:val="24"/>
                <w:lang w:val="ro-RO"/>
              </w:rPr>
              <w:t>EU-1</w:t>
            </w:r>
          </w:p>
        </w:tc>
        <w:tc>
          <w:tcPr>
            <w:tcW w:w="7642" w:type="dxa"/>
          </w:tcPr>
          <w:p w14:paraId="33FA642D" w14:textId="4C8C035D" w:rsidR="005D18F8" w:rsidRPr="00A53ABF" w:rsidRDefault="005D18F8" w:rsidP="005D18F8">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Entitatea face obiectul unei cerințe privind fondurile proprii și datoriile eligibile pentru G-SII din afara UE? (Da/Nu)</w:t>
            </w:r>
          </w:p>
          <w:p w14:paraId="402765A8" w14:textId="58B96136" w:rsidR="005D18F8" w:rsidRPr="00A53ABF" w:rsidRDefault="005D18F8" w:rsidP="00F90B2E">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A se preciza dacă entitatea face obiectul unei cerințe privind TLAC internă în temeiul articolului 92b din Regulamentul (UE) nr. 575/2013.</w:t>
            </w:r>
          </w:p>
        </w:tc>
      </w:tr>
      <w:tr w:rsidR="005D18F8" w:rsidRPr="00A53ABF" w14:paraId="753D9E0C" w14:textId="77777777" w:rsidTr="002A065A">
        <w:tc>
          <w:tcPr>
            <w:tcW w:w="1109" w:type="dxa"/>
            <w:vAlign w:val="top"/>
          </w:tcPr>
          <w:p w14:paraId="4D6276FA" w14:textId="29D2C84A" w:rsidR="005D18F8" w:rsidRPr="00A53ABF" w:rsidRDefault="005D18F8" w:rsidP="00644B02">
            <w:pPr>
              <w:rPr>
                <w:rFonts w:ascii="Times New Roman" w:hAnsi="Times New Roman" w:cs="Times New Roman"/>
                <w:noProof/>
                <w:color w:val="000000" w:themeColor="text1"/>
                <w:sz w:val="24"/>
                <w:szCs w:val="24"/>
                <w:lang w:val="ro-RO"/>
              </w:rPr>
            </w:pPr>
            <w:r w:rsidRPr="00A53ABF">
              <w:rPr>
                <w:rFonts w:ascii="Times New Roman" w:hAnsi="Times New Roman"/>
                <w:sz w:val="24"/>
                <w:lang w:val="ro-RO"/>
              </w:rPr>
              <w:t>EU-2</w:t>
            </w:r>
          </w:p>
        </w:tc>
        <w:tc>
          <w:tcPr>
            <w:tcW w:w="7642" w:type="dxa"/>
          </w:tcPr>
          <w:p w14:paraId="5580A119" w14:textId="4279FE54" w:rsidR="005D18F8" w:rsidRPr="00A53ABF" w:rsidRDefault="005D18F8" w:rsidP="005D18F8">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Dacă s-a răspuns „da” la UE-1, cerința se aplică pe bază consolidată sau individuală? (C/I)</w:t>
            </w:r>
          </w:p>
          <w:p w14:paraId="16349591" w14:textId="439F9DE2" w:rsidR="005D18F8" w:rsidRPr="00A53ABF" w:rsidRDefault="005D18F8" w:rsidP="005D18F8">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A se preciza dacă entitatea face obiectul unei cerințe privind TLAC internă pe bază consolidată sau individuală, în temeiul articolului 18 din Regulamentul (UE) nr. 575/2013.</w:t>
            </w:r>
          </w:p>
          <w:p w14:paraId="557B461D" w14:textId="0A55FA2A" w:rsidR="005D18F8" w:rsidRPr="00A53ABF" w:rsidRDefault="005D18F8" w:rsidP="00282ED2">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În cazul în care cerința este aplicabilă pe bază consolidată, întregul model se completează pe bază consolidată. În toate celelalte cazuri, acest model se completează pe bază individuală.</w:t>
            </w:r>
          </w:p>
        </w:tc>
      </w:tr>
      <w:tr w:rsidR="005C4469" w:rsidRPr="00A53ABF" w14:paraId="3EFBB389" w14:textId="77777777" w:rsidTr="002A065A">
        <w:tc>
          <w:tcPr>
            <w:tcW w:w="1109" w:type="dxa"/>
            <w:vAlign w:val="top"/>
          </w:tcPr>
          <w:p w14:paraId="5EB99A90" w14:textId="2812B763" w:rsidR="005C4469" w:rsidRPr="00A53ABF" w:rsidRDefault="005C4469" w:rsidP="00644B02">
            <w:pPr>
              <w:rPr>
                <w:rFonts w:ascii="Times New Roman" w:hAnsi="Times New Roman" w:cs="Times New Roman"/>
                <w:noProof/>
                <w:color w:val="000000" w:themeColor="text1"/>
                <w:sz w:val="24"/>
                <w:szCs w:val="24"/>
                <w:lang w:val="ro-RO"/>
              </w:rPr>
            </w:pPr>
            <w:r w:rsidRPr="00A53ABF">
              <w:rPr>
                <w:rFonts w:ascii="Times New Roman" w:hAnsi="Times New Roman"/>
                <w:sz w:val="24"/>
                <w:lang w:val="ro-RO"/>
              </w:rPr>
              <w:t>EU-2a</w:t>
            </w:r>
          </w:p>
        </w:tc>
        <w:tc>
          <w:tcPr>
            <w:tcW w:w="7642" w:type="dxa"/>
          </w:tcPr>
          <w:p w14:paraId="116B6FE4" w14:textId="5D78B194" w:rsidR="005C4469" w:rsidRPr="00A53ABF" w:rsidRDefault="005C4469" w:rsidP="0067299C">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Entitatea face obiectul unei MREL interne? (Da/Nu)</w:t>
            </w:r>
          </w:p>
          <w:p w14:paraId="61B02EAE" w14:textId="61E31496" w:rsidR="005C4469" w:rsidRPr="00A53ABF" w:rsidRDefault="005C4469" w:rsidP="00B24DB1">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A se preciza dacă entitatea face obiectul unei MREL în temeiul articolelor 45 și 45f din Directiva 2014/59/UE.</w:t>
            </w:r>
          </w:p>
        </w:tc>
      </w:tr>
      <w:tr w:rsidR="005C4469" w:rsidRPr="00A53ABF" w14:paraId="1E79865E" w14:textId="77777777" w:rsidTr="002A065A">
        <w:tc>
          <w:tcPr>
            <w:tcW w:w="1109" w:type="dxa"/>
            <w:vAlign w:val="top"/>
          </w:tcPr>
          <w:p w14:paraId="59235EF1" w14:textId="1C47DD13" w:rsidR="005C4469" w:rsidRPr="00A53ABF" w:rsidRDefault="005C4469" w:rsidP="00644B02">
            <w:pPr>
              <w:rPr>
                <w:rFonts w:ascii="Times New Roman" w:hAnsi="Times New Roman" w:cs="Times New Roman"/>
                <w:noProof/>
                <w:color w:val="000000" w:themeColor="text1"/>
                <w:sz w:val="24"/>
                <w:szCs w:val="24"/>
                <w:lang w:val="ro-RO"/>
              </w:rPr>
            </w:pPr>
            <w:r w:rsidRPr="00A53ABF">
              <w:rPr>
                <w:rFonts w:ascii="Times New Roman" w:hAnsi="Times New Roman"/>
                <w:sz w:val="24"/>
                <w:lang w:val="ro-RO"/>
              </w:rPr>
              <w:t>EU-2b</w:t>
            </w:r>
          </w:p>
        </w:tc>
        <w:tc>
          <w:tcPr>
            <w:tcW w:w="7642" w:type="dxa"/>
          </w:tcPr>
          <w:p w14:paraId="3CFE2B07" w14:textId="0BF8D801" w:rsidR="005C4469" w:rsidRPr="00A53ABF" w:rsidRDefault="005C4469" w:rsidP="0067299C">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Dacă s-a răspuns „da” la EU-2a, cerința se aplică pe bază consolidată sau individuală? (C/I)</w:t>
            </w:r>
          </w:p>
          <w:p w14:paraId="7DC57F76" w14:textId="22478F28" w:rsidR="005C4469" w:rsidRPr="00A53ABF" w:rsidRDefault="005C4469" w:rsidP="0067299C">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A se preciza dacă entitatea face obiectul unei MREL interne pe bază consolidată sau individuală.</w:t>
            </w:r>
          </w:p>
          <w:p w14:paraId="4FC6F388" w14:textId="244D10B7" w:rsidR="005C4469" w:rsidRPr="00A53ABF" w:rsidRDefault="005C4469" w:rsidP="0067299C">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În cazul în care cerința este aplicabilă pe bază consolidată, întregul model se completează pe bază consolidată. În toate celelalte cazuri, acest model se completează pe bază individuală.</w:t>
            </w:r>
          </w:p>
        </w:tc>
      </w:tr>
      <w:tr w:rsidR="005D18F8" w:rsidRPr="00A53ABF" w14:paraId="4F5D32F0" w14:textId="77777777" w:rsidTr="002A065A">
        <w:tc>
          <w:tcPr>
            <w:tcW w:w="1109" w:type="dxa"/>
            <w:vAlign w:val="top"/>
          </w:tcPr>
          <w:p w14:paraId="6EF5BD76" w14:textId="64835762" w:rsidR="005D18F8" w:rsidRPr="00A53ABF" w:rsidRDefault="005D18F8" w:rsidP="00644B02">
            <w:pPr>
              <w:rPr>
                <w:rFonts w:ascii="Times New Roman" w:hAnsi="Times New Roman" w:cs="Times New Roman"/>
                <w:noProof/>
                <w:color w:val="000000" w:themeColor="text1"/>
                <w:sz w:val="24"/>
                <w:szCs w:val="24"/>
                <w:lang w:val="ro-RO"/>
              </w:rPr>
            </w:pPr>
            <w:r w:rsidRPr="00A53ABF">
              <w:rPr>
                <w:rFonts w:ascii="Times New Roman" w:hAnsi="Times New Roman"/>
                <w:sz w:val="24"/>
                <w:lang w:val="ro-RO"/>
              </w:rPr>
              <w:t>EU-3</w:t>
            </w:r>
          </w:p>
        </w:tc>
        <w:tc>
          <w:tcPr>
            <w:tcW w:w="7642" w:type="dxa"/>
          </w:tcPr>
          <w:p w14:paraId="6472530C" w14:textId="5849D3C6" w:rsidR="005D18F8" w:rsidRPr="00A53ABF" w:rsidRDefault="005D18F8" w:rsidP="005D18F8">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Fonduri proprii de nivel 1 de bază</w:t>
            </w:r>
          </w:p>
          <w:p w14:paraId="071B676A" w14:textId="2ECC0EBE" w:rsidR="005D18F8" w:rsidRPr="00A53ABF" w:rsidRDefault="003D0BF6" w:rsidP="005D18F8">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Articolul 50 din Regulamentul (UE) nr. 575/2013</w:t>
            </w:r>
          </w:p>
          <w:p w14:paraId="224515AC" w14:textId="760620BD" w:rsidR="005D18F8" w:rsidRPr="00A53ABF" w:rsidRDefault="005D18F8" w:rsidP="00FF6326">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lastRenderedPageBreak/>
              <w:t>Fondurile proprii de nivel 1 de bază, pe bază individuală sau consolidată, după caz, în conformitate cu articolul 50 din Regulamentul (UE) nr. 575/2013.</w:t>
            </w:r>
          </w:p>
        </w:tc>
      </w:tr>
      <w:tr w:rsidR="005D18F8" w:rsidRPr="00A53ABF" w14:paraId="65D6A57F" w14:textId="77777777" w:rsidTr="002A065A">
        <w:tc>
          <w:tcPr>
            <w:tcW w:w="1109" w:type="dxa"/>
            <w:vAlign w:val="top"/>
          </w:tcPr>
          <w:p w14:paraId="77011BCF" w14:textId="1DBC2D36" w:rsidR="005D18F8" w:rsidRPr="00A53ABF" w:rsidRDefault="005D18F8" w:rsidP="006A52ED">
            <w:pPr>
              <w:rPr>
                <w:rFonts w:ascii="Times New Roman" w:hAnsi="Times New Roman" w:cs="Times New Roman"/>
                <w:noProof/>
                <w:color w:val="000000" w:themeColor="text1"/>
                <w:sz w:val="24"/>
                <w:szCs w:val="24"/>
                <w:lang w:val="ro-RO"/>
              </w:rPr>
            </w:pPr>
            <w:r w:rsidRPr="00A53ABF">
              <w:rPr>
                <w:rFonts w:ascii="Times New Roman" w:hAnsi="Times New Roman"/>
                <w:sz w:val="24"/>
                <w:lang w:val="ro-RO"/>
              </w:rPr>
              <w:lastRenderedPageBreak/>
              <w:t>EU-4</w:t>
            </w:r>
          </w:p>
        </w:tc>
        <w:tc>
          <w:tcPr>
            <w:tcW w:w="7642" w:type="dxa"/>
          </w:tcPr>
          <w:p w14:paraId="38EE0035" w14:textId="22F8D01E" w:rsidR="005D18F8" w:rsidRPr="00A53ABF" w:rsidRDefault="008A0AF3" w:rsidP="005D18F8">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 xml:space="preserve">Fonduri proprii de nivel 1 suplimentar eligibile </w:t>
            </w:r>
          </w:p>
          <w:p w14:paraId="0249C867" w14:textId="75BBE4E4" w:rsidR="00563C8D" w:rsidRPr="00A53ABF" w:rsidRDefault="003D0BF6" w:rsidP="00510C0E">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Articolul 61 din Regulamentul (UE) nr. 575/2013</w:t>
            </w:r>
          </w:p>
          <w:p w14:paraId="5A71C48F" w14:textId="08A61645" w:rsidR="005D18F8" w:rsidRPr="00A53ABF" w:rsidRDefault="00FF6326" w:rsidP="00282ED2">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Instrumentele de fonduri proprii de nivel 1 suplimentar</w:t>
            </w:r>
            <w:r w:rsidR="00A53ABF">
              <w:rPr>
                <w:rFonts w:ascii="Times New Roman" w:hAnsi="Times New Roman"/>
                <w:color w:val="000000" w:themeColor="text1"/>
                <w:sz w:val="24"/>
                <w:lang w:val="ro-RO"/>
              </w:rPr>
              <w:t xml:space="preserve"> </w:t>
            </w:r>
            <w:r w:rsidRPr="00A53ABF">
              <w:rPr>
                <w:rStyle w:val="FormatvorlageInstructionsTabelleText"/>
                <w:rFonts w:ascii="Times New Roman" w:hAnsi="Times New Roman"/>
                <w:sz w:val="24"/>
                <w:lang w:val="ro-RO"/>
              </w:rPr>
              <w:t>se iau în considerare numai în cazul în care îndeplinesc criteriile</w:t>
            </w:r>
            <w:r w:rsidR="00A53ABF">
              <w:rPr>
                <w:rStyle w:val="FormatvorlageInstructionsTabelleText"/>
                <w:rFonts w:ascii="Times New Roman" w:hAnsi="Times New Roman"/>
                <w:sz w:val="24"/>
                <w:lang w:val="ro-RO"/>
              </w:rPr>
              <w:t xml:space="preserve"> </w:t>
            </w:r>
            <w:r w:rsidRPr="00A53ABF">
              <w:rPr>
                <w:rFonts w:ascii="Times New Roman" w:hAnsi="Times New Roman"/>
                <w:color w:val="000000" w:themeColor="text1"/>
                <w:sz w:val="24"/>
                <w:lang w:val="ro-RO"/>
              </w:rPr>
              <w:t>prevăzute la articolul 92b din Regulamentul (UE) nr. 575/2013 și la articolul 45f alineatul (2) litera (b) punctul (ii) din Directiva 2014/59/UE.</w:t>
            </w:r>
          </w:p>
          <w:p w14:paraId="0094C1AC" w14:textId="45113FD1" w:rsidR="007600E9" w:rsidRPr="00A53ABF" w:rsidRDefault="007600E9" w:rsidP="00D950BA">
            <w:pPr>
              <w:rPr>
                <w:rFonts w:ascii="Times New Roman" w:hAnsi="Times New Roman" w:cs="Times New Roman"/>
                <w:b/>
                <w:noProof/>
                <w:color w:val="000000" w:themeColor="text1"/>
                <w:sz w:val="24"/>
                <w:szCs w:val="24"/>
                <w:lang w:val="ro-RO"/>
              </w:rPr>
            </w:pPr>
            <w:r w:rsidRPr="00A53ABF">
              <w:rPr>
                <w:rStyle w:val="FormatvorlageInstructionsTabelleText"/>
                <w:rFonts w:ascii="Times New Roman" w:hAnsi="Times New Roman"/>
                <w:sz w:val="24"/>
                <w:lang w:val="ro-RO"/>
              </w:rPr>
              <w:t>În cazul MREL interne, instrumentele menționate la articolul 89 alineatul (2)</w:t>
            </w:r>
            <w:r w:rsidRPr="00A53ABF">
              <w:rPr>
                <w:rStyle w:val="FormatvorlageInstructionsTabelleText"/>
                <w:lang w:val="ro-RO"/>
              </w:rPr>
              <w:t xml:space="preserve"> </w:t>
            </w:r>
            <w:r w:rsidRPr="00A53ABF">
              <w:rPr>
                <w:rStyle w:val="FormatvorlageInstructionsTabelleText"/>
                <w:rFonts w:ascii="Times New Roman" w:hAnsi="Times New Roman"/>
                <w:sz w:val="24"/>
                <w:lang w:val="ro-RO"/>
              </w:rPr>
              <w:t>al patrulea paragraf din Directiva 2014/59/UE se includ în cazul în care se aplică alineatul respectiv. Instrumentele reglementate de legislația unei țări terțe se includ numai dacă îndeplinesc cerințele prevăzute la articolul 55 din Directiva 2014/59/UE.</w:t>
            </w:r>
          </w:p>
        </w:tc>
      </w:tr>
      <w:tr w:rsidR="005D18F8" w:rsidRPr="00A53ABF" w14:paraId="26CF63CA" w14:textId="77777777" w:rsidTr="002A065A">
        <w:tc>
          <w:tcPr>
            <w:tcW w:w="1109" w:type="dxa"/>
          </w:tcPr>
          <w:p w14:paraId="7590CA0F" w14:textId="3E55E188" w:rsidR="005D18F8" w:rsidRPr="00A53ABF" w:rsidRDefault="006A52ED" w:rsidP="005D18F8">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EU-5</w:t>
            </w:r>
          </w:p>
        </w:tc>
        <w:tc>
          <w:tcPr>
            <w:tcW w:w="7642" w:type="dxa"/>
          </w:tcPr>
          <w:p w14:paraId="1D3C1105" w14:textId="5B6AF4D8" w:rsidR="005D18F8" w:rsidRPr="00A53ABF" w:rsidRDefault="008A0AF3" w:rsidP="005D18F8">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Fonduri proprii de nivel 2 eligibile</w:t>
            </w:r>
          </w:p>
          <w:p w14:paraId="7C05E6B8" w14:textId="2FF703C8" w:rsidR="00282ED2" w:rsidRPr="00A53ABF" w:rsidRDefault="003D0BF6" w:rsidP="00282ED2">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 xml:space="preserve">Articolul 71 din Regulamentul (UE) nr. 575/2013 </w:t>
            </w:r>
          </w:p>
          <w:p w14:paraId="3807E78A" w14:textId="77767A46" w:rsidR="005D18F8" w:rsidRPr="00A53ABF" w:rsidRDefault="002924A2" w:rsidP="00282ED2">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Instrumentele de fonduri proprii de nivel 2</w:t>
            </w:r>
            <w:r w:rsidR="00A53ABF">
              <w:rPr>
                <w:rFonts w:ascii="Times New Roman" w:hAnsi="Times New Roman"/>
                <w:sz w:val="24"/>
                <w:lang w:val="ro-RO"/>
              </w:rPr>
              <w:t xml:space="preserve"> </w:t>
            </w:r>
            <w:r w:rsidRPr="00A53ABF">
              <w:rPr>
                <w:rStyle w:val="FormatvorlageInstructionsTabelleText"/>
                <w:rFonts w:ascii="Times New Roman" w:hAnsi="Times New Roman"/>
                <w:sz w:val="24"/>
                <w:lang w:val="ro-RO"/>
              </w:rPr>
              <w:t>se iau în considerare numai în cazul în care îndeplinesc criteriile</w:t>
            </w:r>
            <w:r w:rsidR="00A53ABF">
              <w:rPr>
                <w:rFonts w:ascii="Times New Roman" w:hAnsi="Times New Roman"/>
                <w:sz w:val="24"/>
                <w:lang w:val="ro-RO"/>
              </w:rPr>
              <w:t xml:space="preserve"> </w:t>
            </w:r>
            <w:r w:rsidRPr="00A53ABF">
              <w:rPr>
                <w:rFonts w:ascii="Times New Roman" w:hAnsi="Times New Roman"/>
                <w:color w:val="000000" w:themeColor="text1"/>
                <w:sz w:val="24"/>
                <w:lang w:val="ro-RO"/>
              </w:rPr>
              <w:t>prevăzute la articolul 92b din Regulamentul (UE) nr. 575/2013 și la articolul 45f alineatul (2)</w:t>
            </w:r>
            <w:r w:rsidRPr="00A53ABF">
              <w:rPr>
                <w:lang w:val="ro-RO"/>
              </w:rPr>
              <w:t xml:space="preserve"> </w:t>
            </w:r>
            <w:r w:rsidRPr="00A53ABF">
              <w:rPr>
                <w:rFonts w:ascii="Times New Roman" w:hAnsi="Times New Roman"/>
                <w:color w:val="000000" w:themeColor="text1"/>
                <w:sz w:val="24"/>
                <w:lang w:val="ro-RO"/>
              </w:rPr>
              <w:t>litera (b) punctul (ii) din Directiva 2014/59/UE.</w:t>
            </w:r>
          </w:p>
          <w:p w14:paraId="6CBCECA5" w14:textId="0194AD8C" w:rsidR="007600E9" w:rsidRPr="00A53ABF" w:rsidRDefault="007600E9" w:rsidP="00282ED2">
            <w:pPr>
              <w:rPr>
                <w:rFonts w:ascii="Times New Roman" w:hAnsi="Times New Roman" w:cs="Times New Roman"/>
                <w:noProof/>
                <w:color w:val="000000" w:themeColor="text1"/>
                <w:sz w:val="24"/>
                <w:szCs w:val="24"/>
                <w:lang w:val="ro-RO"/>
              </w:rPr>
            </w:pPr>
            <w:r w:rsidRPr="00A53ABF">
              <w:rPr>
                <w:rStyle w:val="FormatvorlageInstructionsTabelleText"/>
                <w:rFonts w:ascii="Times New Roman" w:hAnsi="Times New Roman"/>
                <w:sz w:val="24"/>
                <w:lang w:val="ro-RO"/>
              </w:rPr>
              <w:t>În cazul MREL interne, instrumentele menționate la articolul 89 alineatul (2)</w:t>
            </w:r>
            <w:r w:rsidRPr="00A53ABF">
              <w:rPr>
                <w:rStyle w:val="FormatvorlageInstructionsTabelleText"/>
                <w:lang w:val="ro-RO"/>
              </w:rPr>
              <w:t xml:space="preserve"> </w:t>
            </w:r>
            <w:r w:rsidRPr="00A53ABF">
              <w:rPr>
                <w:rStyle w:val="FormatvorlageInstructionsTabelleText"/>
                <w:rFonts w:ascii="Times New Roman" w:hAnsi="Times New Roman"/>
                <w:sz w:val="24"/>
                <w:lang w:val="ro-RO"/>
              </w:rPr>
              <w:t>al patrulea paragraf din Directiva 2014/59/UE se includ în cazul în care se aplică alineatul respectiv. Instrumentele reglementate de legislația unei țări terțe se includ numai dacă îndeplinesc cerințele prevăzute la articolul 55 din Directiva 2014/59/UE.</w:t>
            </w:r>
          </w:p>
        </w:tc>
      </w:tr>
      <w:tr w:rsidR="00026FC1" w:rsidRPr="00A53ABF" w14:paraId="2919AE1B" w14:textId="77777777" w:rsidTr="002A065A">
        <w:tc>
          <w:tcPr>
            <w:tcW w:w="1109" w:type="dxa"/>
          </w:tcPr>
          <w:p w14:paraId="251A5712" w14:textId="4B2177BA" w:rsidR="00B907A2" w:rsidRPr="00A53ABF" w:rsidRDefault="006A52ED" w:rsidP="00B907A2">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EU-6</w:t>
            </w:r>
          </w:p>
        </w:tc>
        <w:tc>
          <w:tcPr>
            <w:tcW w:w="7642" w:type="dxa"/>
          </w:tcPr>
          <w:p w14:paraId="37F48E22" w14:textId="01DDD07A" w:rsidR="00B907A2" w:rsidRPr="00A53ABF" w:rsidRDefault="00310603">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Fonduri proprii eligibile</w:t>
            </w:r>
          </w:p>
          <w:p w14:paraId="02484207" w14:textId="3BBDA43F" w:rsidR="00B907A2" w:rsidRPr="00A53ABF" w:rsidRDefault="00F42DCD" w:rsidP="00AB7C15">
            <w:pPr>
              <w:rPr>
                <w:rFonts w:ascii="Times New Roman" w:hAnsi="Times New Roman" w:cs="Times New Roman"/>
                <w:noProof/>
                <w:color w:val="000000" w:themeColor="text1"/>
                <w:sz w:val="24"/>
                <w:szCs w:val="24"/>
                <w:lang w:val="ro-RO"/>
              </w:rPr>
            </w:pPr>
            <w:r w:rsidRPr="00A53ABF">
              <w:rPr>
                <w:rStyle w:val="FormatvorlageInstructionsTabelleText"/>
                <w:rFonts w:ascii="Times New Roman" w:hAnsi="Times New Roman"/>
                <w:sz w:val="24"/>
                <w:lang w:val="ro-RO"/>
              </w:rPr>
              <w:t>Suma fondurilor proprii de nivel 1 de bază, a fondurilor proprii de nivel 1 suplimentar eligibile și a fondurilor proprii de nivel 2 eligibile.</w:t>
            </w:r>
          </w:p>
        </w:tc>
      </w:tr>
      <w:tr w:rsidR="00026FC1" w:rsidRPr="00A53ABF" w14:paraId="30D7B21F" w14:textId="77777777" w:rsidTr="002A065A">
        <w:tc>
          <w:tcPr>
            <w:tcW w:w="1109" w:type="dxa"/>
          </w:tcPr>
          <w:p w14:paraId="5D54FF19" w14:textId="5DFAFBC0" w:rsidR="006A383B" w:rsidRPr="00A53ABF" w:rsidRDefault="00F42DCD" w:rsidP="006A383B">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EU-7</w:t>
            </w:r>
          </w:p>
        </w:tc>
        <w:tc>
          <w:tcPr>
            <w:tcW w:w="7642" w:type="dxa"/>
          </w:tcPr>
          <w:p w14:paraId="3BF153BB" w14:textId="618EB7D0" w:rsidR="006A383B" w:rsidRPr="00A53ABF" w:rsidRDefault="006A383B" w:rsidP="006A383B">
            <w:pPr>
              <w:rPr>
                <w:rFonts w:ascii="Times New Roman" w:hAnsi="Times New Roman" w:cs="Times New Roman"/>
                <w:b/>
                <w:color w:val="000000" w:themeColor="text1"/>
                <w:sz w:val="24"/>
                <w:szCs w:val="24"/>
                <w:lang w:val="ro-RO"/>
              </w:rPr>
            </w:pPr>
            <w:r w:rsidRPr="00A53ABF">
              <w:rPr>
                <w:rFonts w:ascii="Times New Roman" w:hAnsi="Times New Roman"/>
                <w:b/>
                <w:color w:val="000000" w:themeColor="text1"/>
                <w:sz w:val="24"/>
                <w:lang w:val="ro-RO"/>
              </w:rPr>
              <w:t xml:space="preserve">Datorii eligibile </w:t>
            </w:r>
          </w:p>
          <w:p w14:paraId="63CA9295" w14:textId="50FD70BB" w:rsidR="00547B2E" w:rsidRPr="00A53ABF" w:rsidRDefault="00547B2E" w:rsidP="00F42DCD">
            <w:pPr>
              <w:rPr>
                <w:rFonts w:ascii="Times New Roman" w:hAnsi="Times New Roman" w:cs="Times New Roman"/>
                <w:i/>
                <w:noProof/>
                <w:color w:val="000000" w:themeColor="text1"/>
                <w:sz w:val="24"/>
                <w:szCs w:val="24"/>
                <w:lang w:val="ro-RO"/>
              </w:rPr>
            </w:pPr>
            <w:r w:rsidRPr="00A53ABF">
              <w:rPr>
                <w:rFonts w:ascii="Times New Roman" w:hAnsi="Times New Roman"/>
                <w:i/>
                <w:color w:val="000000" w:themeColor="text1"/>
                <w:sz w:val="24"/>
                <w:lang w:val="ro-RO"/>
              </w:rPr>
              <w:t>MREL internă</w:t>
            </w:r>
          </w:p>
          <w:p w14:paraId="17E7EEB4" w14:textId="3FD297AB" w:rsidR="00F42DCD" w:rsidRPr="00A53ABF" w:rsidRDefault="00CC7310" w:rsidP="00F42DCD">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Datoriile eligibile care îndeplinesc condițiile prevăzute la articolul 45f alineatul (2) din Directiva 2014/59/UE,</w:t>
            </w:r>
            <w:r w:rsidRPr="00A53ABF">
              <w:rPr>
                <w:rFonts w:ascii="Times New Roman" w:hAnsi="Times New Roman"/>
                <w:sz w:val="24"/>
                <w:lang w:val="ro-RO"/>
              </w:rPr>
              <w:t xml:space="preserve"> </w:t>
            </w:r>
            <w:r w:rsidRPr="00A53ABF">
              <w:rPr>
                <w:rStyle w:val="InstructionsTabelleberschrift"/>
                <w:rFonts w:ascii="Times New Roman" w:hAnsi="Times New Roman"/>
                <w:b w:val="0"/>
                <w:sz w:val="24"/>
                <w:u w:val="none"/>
                <w:lang w:val="ro-RO"/>
              </w:rPr>
              <w:t>avându-se în vedere, de asemenea, dacă este cazul</w:t>
            </w:r>
            <w:r w:rsidRPr="00A53ABF">
              <w:rPr>
                <w:rStyle w:val="FormatvorlageInstructionsTabelleText"/>
                <w:rFonts w:ascii="Times New Roman" w:hAnsi="Times New Roman"/>
                <w:sz w:val="24"/>
                <w:lang w:val="ro-RO"/>
              </w:rPr>
              <w:t>,</w:t>
            </w:r>
            <w:r w:rsidRPr="00A53ABF">
              <w:rPr>
                <w:lang w:val="ro-RO"/>
              </w:rPr>
              <w:t xml:space="preserve"> </w:t>
            </w:r>
            <w:r w:rsidRPr="00A53ABF">
              <w:rPr>
                <w:rStyle w:val="FormatvorlageInstructionsTabelleText"/>
                <w:rFonts w:ascii="Times New Roman" w:hAnsi="Times New Roman"/>
                <w:sz w:val="24"/>
                <w:lang w:val="ro-RO"/>
              </w:rPr>
              <w:t>articolul 89</w:t>
            </w:r>
            <w:r w:rsidRPr="00A53ABF">
              <w:rPr>
                <w:lang w:val="ro-RO"/>
              </w:rPr>
              <w:t xml:space="preserve"> </w:t>
            </w:r>
            <w:r w:rsidRPr="00A53ABF">
              <w:rPr>
                <w:rStyle w:val="InstructionsTabelleberschrift"/>
                <w:rFonts w:ascii="Times New Roman" w:hAnsi="Times New Roman"/>
                <w:b w:val="0"/>
                <w:sz w:val="24"/>
                <w:u w:val="none"/>
                <w:lang w:val="ro-RO"/>
              </w:rPr>
              <w:t>alineatul (2) al patrulea paragraf din directiva menționată</w:t>
            </w:r>
            <w:r w:rsidRPr="00A53ABF">
              <w:rPr>
                <w:rFonts w:ascii="Times New Roman" w:hAnsi="Times New Roman"/>
                <w:sz w:val="24"/>
                <w:lang w:val="ro-RO"/>
              </w:rPr>
              <w:t>.</w:t>
            </w:r>
          </w:p>
          <w:p w14:paraId="63956C24" w14:textId="6F2B8506" w:rsidR="00547B2E" w:rsidRPr="00A53ABF" w:rsidRDefault="00547B2E" w:rsidP="00F42DCD">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lastRenderedPageBreak/>
              <w:t>În cazul instrumentelor reglementate de legislația unei țări terțe, instrumentul este inclus pe acest rând numai dacă îndeplinește cerințele prevăzute la articolul 55 din Directiva 2014/59/UE.</w:t>
            </w:r>
          </w:p>
          <w:p w14:paraId="5C695D4E" w14:textId="739B28B1" w:rsidR="00547B2E" w:rsidRPr="00A53ABF" w:rsidRDefault="00CC7310" w:rsidP="00F42DCD">
            <w:pPr>
              <w:rPr>
                <w:rFonts w:ascii="Times New Roman" w:hAnsi="Times New Roman" w:cs="Times New Roman"/>
                <w:i/>
                <w:noProof/>
                <w:color w:val="000000" w:themeColor="text1"/>
                <w:sz w:val="24"/>
                <w:szCs w:val="24"/>
                <w:lang w:val="ro-RO"/>
              </w:rPr>
            </w:pPr>
            <w:r w:rsidRPr="00A53ABF">
              <w:rPr>
                <w:rStyle w:val="FormatvorlageInstructionsTabelleText"/>
                <w:rFonts w:ascii="Times New Roman" w:hAnsi="Times New Roman"/>
                <w:sz w:val="24"/>
                <w:lang w:val="ro-RO"/>
              </w:rPr>
              <w:t>În cazul în care autoritatea de rezoluție a filialei permite entității să îndeplinească MREL internă cu garanții, pe acest rând se include și cuantumul garanțiilor care sunt furnizate de entitatea de rezoluție și care îndeplinesc toate condițiile prevăzute la articolul 45f alineatul (5) din Directiva 2014/59/UE.</w:t>
            </w:r>
            <w:r w:rsidRPr="00A53ABF">
              <w:rPr>
                <w:rFonts w:ascii="Times New Roman" w:hAnsi="Times New Roman"/>
                <w:sz w:val="24"/>
                <w:lang w:val="ro-RO"/>
              </w:rPr>
              <w:t xml:space="preserve"> </w:t>
            </w:r>
            <w:r w:rsidRPr="00A53ABF">
              <w:rPr>
                <w:rFonts w:ascii="Times New Roman" w:hAnsi="Times New Roman"/>
                <w:i/>
                <w:color w:val="000000" w:themeColor="text1"/>
                <w:sz w:val="24"/>
                <w:lang w:val="ro-RO"/>
              </w:rPr>
              <w:t>TLAC internă</w:t>
            </w:r>
          </w:p>
          <w:p w14:paraId="20CB430B" w14:textId="47B5B51E" w:rsidR="00766271" w:rsidRPr="00A53ABF" w:rsidRDefault="00CC7310" w:rsidP="00CC7310">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Cuantumul datoriilor eligibile se calculează în conformitate cu articolul 72k din Regulamentul (UE) nr. 575/2013 în cazul în care datoriile respective îndeplinesc condițiile prevăzute la articolul 92b alineatul (2) din regulamentul menționat.</w:t>
            </w:r>
          </w:p>
        </w:tc>
      </w:tr>
      <w:tr w:rsidR="007600E9" w:rsidRPr="00A53ABF" w14:paraId="4E845D10" w14:textId="77777777" w:rsidTr="002A065A">
        <w:tc>
          <w:tcPr>
            <w:tcW w:w="1109" w:type="dxa"/>
          </w:tcPr>
          <w:p w14:paraId="153A7C48" w14:textId="5CC7BD86" w:rsidR="007600E9" w:rsidRPr="00A53ABF" w:rsidRDefault="007600E9" w:rsidP="007600E9">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lastRenderedPageBreak/>
              <w:t>EU-8</w:t>
            </w:r>
          </w:p>
        </w:tc>
        <w:tc>
          <w:tcPr>
            <w:tcW w:w="7642" w:type="dxa"/>
          </w:tcPr>
          <w:p w14:paraId="49C42D32" w14:textId="17A80A6B" w:rsidR="007600E9" w:rsidRPr="00A53ABF" w:rsidRDefault="00FF5E0F" w:rsidP="007600E9">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Datorii eligibile – din care: garanții permise</w:t>
            </w:r>
          </w:p>
          <w:p w14:paraId="7FBE9C6F" w14:textId="39072AA7" w:rsidR="007600E9" w:rsidRPr="00A53ABF" w:rsidRDefault="009C121A" w:rsidP="009C121A">
            <w:pPr>
              <w:rPr>
                <w:rFonts w:ascii="Times New Roman" w:hAnsi="Times New Roman" w:cs="Times New Roman"/>
                <w:b/>
                <w:color w:val="000000" w:themeColor="text1"/>
                <w:sz w:val="24"/>
                <w:szCs w:val="24"/>
                <w:lang w:val="ro-RO"/>
              </w:rPr>
            </w:pPr>
            <w:r w:rsidRPr="00A53ABF">
              <w:rPr>
                <w:rStyle w:val="FormatvorlageInstructionsTabelleText"/>
                <w:rFonts w:ascii="Times New Roman" w:hAnsi="Times New Roman"/>
                <w:sz w:val="24"/>
                <w:lang w:val="ro-RO"/>
              </w:rPr>
              <w:t>În cazul în care autoritatea de rezoluție a filialei permite entității să îndeplinească MREL internă cu garanții, cuantumul garanțiilor care sunt furnizate de entitatea de rezoluție și care îndeplinesc toate condițiile prevăzute la articolul 45f alineatul (5) din Directiva 2014/59/UE.</w:t>
            </w:r>
          </w:p>
        </w:tc>
      </w:tr>
      <w:tr w:rsidR="00547B2E" w:rsidRPr="00A53ABF" w14:paraId="352876D4" w14:textId="77777777" w:rsidTr="002A065A">
        <w:tc>
          <w:tcPr>
            <w:tcW w:w="1109" w:type="dxa"/>
          </w:tcPr>
          <w:p w14:paraId="6DCACB84" w14:textId="766ADF9F" w:rsidR="00547B2E" w:rsidRPr="00A53ABF" w:rsidRDefault="00644B02" w:rsidP="007600E9">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EU-9a</w:t>
            </w:r>
          </w:p>
        </w:tc>
        <w:tc>
          <w:tcPr>
            <w:tcW w:w="7642" w:type="dxa"/>
          </w:tcPr>
          <w:p w14:paraId="32608FA7" w14:textId="7D99477C" w:rsidR="00547B2E" w:rsidRPr="00A53ABF" w:rsidRDefault="00547B2E" w:rsidP="007600E9">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(Ajustări)</w:t>
            </w:r>
          </w:p>
          <w:p w14:paraId="716CE6EE" w14:textId="77777777" w:rsidR="00547B2E" w:rsidRPr="00A53ABF" w:rsidRDefault="00547B2E" w:rsidP="007600E9">
            <w:pPr>
              <w:rPr>
                <w:rStyle w:val="FormatvorlageInstructionsTabelleText"/>
                <w:rFonts w:ascii="Times New Roman" w:hAnsi="Times New Roman"/>
                <w:sz w:val="24"/>
                <w:lang w:val="ro-RO"/>
              </w:rPr>
            </w:pPr>
            <w:r w:rsidRPr="00A53ABF">
              <w:rPr>
                <w:rStyle w:val="FormatvorlageInstructionsTabelleText"/>
                <w:rFonts w:ascii="Times New Roman" w:hAnsi="Times New Roman"/>
                <w:sz w:val="24"/>
                <w:lang w:val="ro-RO"/>
              </w:rPr>
              <w:t>Cuantum negativ</w:t>
            </w:r>
          </w:p>
          <w:p w14:paraId="53DD0B4C" w14:textId="77777777" w:rsidR="00CB3841" w:rsidRPr="00A53ABF" w:rsidRDefault="00CB3841" w:rsidP="00CB3841">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Pe acest rând se publică următoarele ajustări:</w:t>
            </w:r>
          </w:p>
          <w:p w14:paraId="61271E0C" w14:textId="02F82C25" w:rsidR="00766271" w:rsidRPr="00A53ABF" w:rsidRDefault="00766271" w:rsidP="00766271">
            <w:pPr>
              <w:pStyle w:val="ListParagraph"/>
              <w:numPr>
                <w:ilvl w:val="0"/>
                <w:numId w:val="16"/>
              </w:numPr>
              <w:rPr>
                <w:rFonts w:ascii="Times New Roman" w:hAnsi="Times New Roman" w:cs="Times New Roman"/>
                <w:b/>
                <w:noProof/>
                <w:color w:val="000000" w:themeColor="text1"/>
                <w:sz w:val="24"/>
                <w:szCs w:val="24"/>
                <w:lang w:val="ro-RO"/>
              </w:rPr>
            </w:pPr>
            <w:r w:rsidRPr="00A53ABF">
              <w:rPr>
                <w:rFonts w:ascii="Times New Roman" w:hAnsi="Times New Roman"/>
                <w:color w:val="000000" w:themeColor="text1"/>
                <w:sz w:val="24"/>
                <w:lang w:val="ro-RO"/>
              </w:rPr>
              <w:t xml:space="preserve">deținerile de instrumente de fonduri proprii și de instrumente de datorii eligibile care trebuie deduse în conformitate cu articolul 72e alineatul (5) din Regulamentul (UE) nr. 575/2013 </w:t>
            </w:r>
            <w:r w:rsidRPr="00A53ABF">
              <w:rPr>
                <w:rFonts w:ascii="Times New Roman" w:hAnsi="Times New Roman"/>
                <w:sz w:val="24"/>
                <w:lang w:val="ro-RO"/>
              </w:rPr>
              <w:t>sau cu articolul 45c alineatul (2a) al cincilea paragraf din Directiva 2014/59/UE;</w:t>
            </w:r>
          </w:p>
          <w:p w14:paraId="17EE89C8" w14:textId="699CDE18" w:rsidR="00547B2E" w:rsidRPr="00A53ABF" w:rsidRDefault="00766271" w:rsidP="00CB3841">
            <w:pPr>
              <w:pStyle w:val="ListParagraph"/>
              <w:numPr>
                <w:ilvl w:val="0"/>
                <w:numId w:val="16"/>
              </w:numPr>
              <w:rPr>
                <w:rFonts w:ascii="Times New Roman" w:hAnsi="Times New Roman" w:cs="Times New Roman"/>
                <w:b/>
                <w:noProof/>
                <w:color w:val="000000" w:themeColor="text1"/>
                <w:sz w:val="24"/>
                <w:szCs w:val="24"/>
                <w:lang w:val="ro-RO"/>
              </w:rPr>
            </w:pPr>
            <w:r w:rsidRPr="00A53ABF">
              <w:rPr>
                <w:rFonts w:ascii="Times New Roman" w:hAnsi="Times New Roman"/>
                <w:color w:val="000000" w:themeColor="text1"/>
                <w:sz w:val="24"/>
                <w:lang w:val="ro-RO"/>
              </w:rPr>
              <w:t>cuantumurile acoperite de aprobarea de a exercita opțiunea call, de a răscumpăra sau de a rambursa instrumente de datorii eligibile în conformitate cu articolul 78a din Regulamentul (UE) nr. 575/2013, în măsura în care entitatea raportoare nu a utilizat încă suma respectivă pentru a exercita opțiunea call, a răscumpăra sau a rambursa instrumente („cuantumuri ale aprobărilor prealabile neutilizate”).</w:t>
            </w:r>
          </w:p>
        </w:tc>
      </w:tr>
      <w:tr w:rsidR="00026FC1" w:rsidRPr="00A53ABF"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A53ABF" w:rsidRDefault="00F42DCD" w:rsidP="008C1523">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EU-9b</w:t>
            </w:r>
          </w:p>
        </w:tc>
        <w:tc>
          <w:tcPr>
            <w:tcW w:w="7642" w:type="dxa"/>
            <w:tcBorders>
              <w:top w:val="single" w:sz="4" w:space="0" w:color="auto"/>
              <w:left w:val="single" w:sz="4" w:space="0" w:color="auto"/>
              <w:right w:val="single" w:sz="4" w:space="0" w:color="auto"/>
            </w:tcBorders>
          </w:tcPr>
          <w:p w14:paraId="4188FCBD" w14:textId="4ADDE5EB" w:rsidR="006475ED" w:rsidRPr="00A53ABF" w:rsidRDefault="00A9215E" w:rsidP="006475ED">
            <w:pPr>
              <w:rPr>
                <w:rFonts w:ascii="Times New Roman" w:hAnsi="Times New Roman" w:cs="Times New Roman"/>
                <w:noProof/>
                <w:color w:val="000000" w:themeColor="text1"/>
                <w:sz w:val="24"/>
                <w:szCs w:val="24"/>
                <w:lang w:val="ro-RO"/>
              </w:rPr>
            </w:pPr>
            <w:r w:rsidRPr="00A53ABF">
              <w:rPr>
                <w:rFonts w:ascii="Times New Roman" w:hAnsi="Times New Roman"/>
                <w:b/>
                <w:color w:val="000000" w:themeColor="text1"/>
                <w:sz w:val="24"/>
                <w:lang w:val="ro-RO"/>
              </w:rPr>
              <w:t>Fonduri proprii și elemente de datorii eligibile după ajustări</w:t>
            </w:r>
          </w:p>
          <w:p w14:paraId="6DB0E5C7" w14:textId="7B912E87" w:rsidR="00547B2E" w:rsidRPr="00A53ABF" w:rsidRDefault="00547B2E" w:rsidP="00F42DCD">
            <w:pPr>
              <w:rPr>
                <w:rStyle w:val="FormatvorlageInstructionsTabelleText"/>
                <w:rFonts w:ascii="Times New Roman" w:hAnsi="Times New Roman"/>
                <w:i/>
                <w:sz w:val="24"/>
                <w:lang w:val="ro-RO"/>
              </w:rPr>
            </w:pPr>
            <w:r w:rsidRPr="00A53ABF">
              <w:rPr>
                <w:rStyle w:val="FormatvorlageInstructionsTabelleText"/>
                <w:rFonts w:ascii="Times New Roman" w:hAnsi="Times New Roman"/>
                <w:i/>
                <w:sz w:val="24"/>
                <w:lang w:val="ro-RO"/>
              </w:rPr>
              <w:t>MREL internă</w:t>
            </w:r>
          </w:p>
          <w:p w14:paraId="4FED8305" w14:textId="534AF772" w:rsidR="00547B2E" w:rsidRPr="00A53ABF" w:rsidRDefault="00F42DCD" w:rsidP="00F42DCD">
            <w:pPr>
              <w:rPr>
                <w:rStyle w:val="InstructionsTabelleberschrift"/>
                <w:rFonts w:ascii="Times New Roman" w:hAnsi="Times New Roman"/>
                <w:b w:val="0"/>
                <w:sz w:val="24"/>
                <w:u w:val="none"/>
                <w:lang w:val="ro-RO"/>
              </w:rPr>
            </w:pPr>
            <w:r w:rsidRPr="00A53ABF">
              <w:rPr>
                <w:rStyle w:val="FormatvorlageInstructionsTabelleText"/>
                <w:rFonts w:ascii="Times New Roman" w:hAnsi="Times New Roman"/>
                <w:sz w:val="24"/>
                <w:lang w:val="ro-RO"/>
              </w:rPr>
              <w:t>Cuantumurile fondurilor proprii eligibile și ale datoriilor eligibile ale entității, fără ajustări, luate în considerare pentru MREL internă astfel cum se prevede la articolul 45f alineatul (2) din Directiva 2014/59/UE,</w:t>
            </w:r>
            <w:r w:rsidRPr="00A53ABF">
              <w:rPr>
                <w:rFonts w:ascii="Times New Roman" w:hAnsi="Times New Roman"/>
                <w:sz w:val="24"/>
                <w:lang w:val="ro-RO"/>
              </w:rPr>
              <w:t xml:space="preserve"> </w:t>
            </w:r>
            <w:r w:rsidRPr="00A53ABF">
              <w:rPr>
                <w:rStyle w:val="InstructionsTabelleberschrift"/>
                <w:rFonts w:ascii="Times New Roman" w:hAnsi="Times New Roman"/>
                <w:b w:val="0"/>
                <w:sz w:val="24"/>
                <w:u w:val="none"/>
                <w:lang w:val="ro-RO"/>
              </w:rPr>
              <w:t>avându-se, de asemenea, în vedere, dacă este cazul, articolul 89 alineatul (2)</w:t>
            </w:r>
            <w:r w:rsidRPr="00A53ABF">
              <w:rPr>
                <w:lang w:val="ro-RO"/>
              </w:rPr>
              <w:t xml:space="preserve"> </w:t>
            </w:r>
            <w:r w:rsidRPr="00A53ABF">
              <w:rPr>
                <w:rStyle w:val="InstructionsTabelleberschrift"/>
                <w:rFonts w:ascii="Times New Roman" w:hAnsi="Times New Roman"/>
                <w:b w:val="0"/>
                <w:sz w:val="24"/>
                <w:u w:val="none"/>
                <w:lang w:val="ro-RO"/>
              </w:rPr>
              <w:t xml:space="preserve">al patrulea paragraf din directiva menționată. În cazul instrumentelor reglementate de </w:t>
            </w:r>
            <w:r w:rsidRPr="00A53ABF">
              <w:rPr>
                <w:rStyle w:val="InstructionsTabelleberschrift"/>
                <w:rFonts w:ascii="Times New Roman" w:hAnsi="Times New Roman"/>
                <w:b w:val="0"/>
                <w:sz w:val="24"/>
                <w:u w:val="none"/>
                <w:lang w:val="ro-RO"/>
              </w:rPr>
              <w:lastRenderedPageBreak/>
              <w:t>legislația unei țări terțe, instrumentul este inclus pe acest rând numai dacă îndeplinește cerințele prevăzute la articolul 55 din Directiva 2014/59/UE.</w:t>
            </w:r>
          </w:p>
          <w:p w14:paraId="2C1B0641" w14:textId="08263093" w:rsidR="00547B2E" w:rsidRPr="00A53ABF" w:rsidRDefault="00547B2E" w:rsidP="00F42DCD">
            <w:pPr>
              <w:rPr>
                <w:rStyle w:val="InstructionsTabelleberschrift"/>
                <w:rFonts w:ascii="Times New Roman" w:hAnsi="Times New Roman"/>
                <w:b w:val="0"/>
                <w:sz w:val="24"/>
                <w:u w:val="none"/>
                <w:lang w:val="ro-RO"/>
              </w:rPr>
            </w:pPr>
            <w:r w:rsidRPr="00A53ABF">
              <w:rPr>
                <w:rFonts w:ascii="Times New Roman" w:hAnsi="Times New Roman"/>
                <w:color w:val="000000" w:themeColor="text1"/>
                <w:sz w:val="24"/>
                <w:lang w:val="ro-RO"/>
              </w:rPr>
              <w:t>Se calculează ca suma rândurilor EU-6, EU-7 și EU-9a.</w:t>
            </w:r>
          </w:p>
          <w:p w14:paraId="2538ACE7" w14:textId="7B547E87" w:rsidR="00547B2E" w:rsidRPr="00A53ABF" w:rsidRDefault="00547B2E" w:rsidP="00F42DCD">
            <w:pPr>
              <w:rPr>
                <w:rStyle w:val="FormatvorlageInstructionsTabelleText"/>
                <w:rFonts w:ascii="Times New Roman" w:hAnsi="Times New Roman"/>
                <w:i/>
                <w:sz w:val="24"/>
                <w:lang w:val="ro-RO"/>
              </w:rPr>
            </w:pPr>
            <w:r w:rsidRPr="00A53ABF">
              <w:rPr>
                <w:rStyle w:val="FormatvorlageInstructionsTabelleText"/>
                <w:rFonts w:ascii="Times New Roman" w:hAnsi="Times New Roman"/>
                <w:i/>
                <w:sz w:val="24"/>
                <w:lang w:val="ro-RO"/>
              </w:rPr>
              <w:t>TLAC internă</w:t>
            </w:r>
          </w:p>
          <w:p w14:paraId="56CFB916" w14:textId="3A925D52" w:rsidR="006475ED" w:rsidRPr="00A53ABF" w:rsidRDefault="00547B2E" w:rsidP="00503590">
            <w:pPr>
              <w:rPr>
                <w:rFonts w:ascii="Times New Roman" w:hAnsi="Times New Roman" w:cs="Times New Roman"/>
                <w:b/>
                <w:noProof/>
                <w:color w:val="000000" w:themeColor="text1"/>
                <w:sz w:val="24"/>
                <w:szCs w:val="24"/>
                <w:lang w:val="ro-RO"/>
              </w:rPr>
            </w:pPr>
            <w:r w:rsidRPr="00A53ABF">
              <w:rPr>
                <w:rStyle w:val="FormatvorlageInstructionsTabelleText"/>
                <w:rFonts w:ascii="Times New Roman" w:hAnsi="Times New Roman"/>
                <w:sz w:val="24"/>
                <w:lang w:val="ro-RO"/>
              </w:rPr>
              <w:t>Fondurile proprii eligibile și datoriile eligibile luate în considerare pentru cerința privind fondurile proprii și datoriile eligibile pentru G-SII din afara UE stabilită la articolul 92b alineatul (2) din Regulamentul (UE) nr. 575/2013</w:t>
            </w:r>
            <w:r w:rsidRPr="00A53ABF">
              <w:rPr>
                <w:rFonts w:ascii="Times New Roman" w:hAnsi="Times New Roman"/>
                <w:color w:val="000000" w:themeColor="text1"/>
                <w:sz w:val="24"/>
                <w:lang w:val="ro-RO"/>
              </w:rPr>
              <w:t>. Se calculează ca suma rândurilor</w:t>
            </w:r>
            <w:r w:rsidR="00A53ABF">
              <w:rPr>
                <w:rFonts w:ascii="Times New Roman" w:hAnsi="Times New Roman"/>
                <w:color w:val="000000" w:themeColor="text1"/>
                <w:sz w:val="24"/>
                <w:lang w:val="ro-RO"/>
              </w:rPr>
              <w:t xml:space="preserve"> </w:t>
            </w:r>
            <w:r w:rsidRPr="00A53ABF">
              <w:rPr>
                <w:rFonts w:ascii="Times New Roman" w:hAnsi="Times New Roman"/>
                <w:color w:val="000000" w:themeColor="text1"/>
                <w:sz w:val="24"/>
                <w:lang w:val="ro-RO"/>
              </w:rPr>
              <w:t>EU-6 și EU-7.</w:t>
            </w:r>
          </w:p>
        </w:tc>
      </w:tr>
      <w:tr w:rsidR="00026FC1" w:rsidRPr="00A53ABF" w14:paraId="2CEBF3B0" w14:textId="77777777" w:rsidTr="002A065A">
        <w:tc>
          <w:tcPr>
            <w:tcW w:w="1109" w:type="dxa"/>
          </w:tcPr>
          <w:p w14:paraId="43BF2529" w14:textId="36FBE66E" w:rsidR="000C5255" w:rsidRPr="00A53ABF" w:rsidDel="00FF3133" w:rsidRDefault="007F6136" w:rsidP="00F42177">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lastRenderedPageBreak/>
              <w:t>EU-10</w:t>
            </w:r>
          </w:p>
        </w:tc>
        <w:tc>
          <w:tcPr>
            <w:tcW w:w="7642" w:type="dxa"/>
          </w:tcPr>
          <w:p w14:paraId="09DCE834" w14:textId="5F82E219" w:rsidR="007F6136" w:rsidRPr="00A53ABF" w:rsidRDefault="007F6136" w:rsidP="00C07CCC">
            <w:pPr>
              <w:rPr>
                <w:rFonts w:ascii="Times New Roman" w:hAnsi="Times New Roman" w:cs="Times New Roman"/>
                <w:noProof/>
                <w:color w:val="000000" w:themeColor="text1"/>
                <w:sz w:val="24"/>
                <w:szCs w:val="24"/>
                <w:lang w:val="ro-RO"/>
              </w:rPr>
            </w:pPr>
            <w:r w:rsidRPr="00A53ABF">
              <w:rPr>
                <w:rFonts w:ascii="Times New Roman" w:hAnsi="Times New Roman"/>
                <w:b/>
                <w:color w:val="000000" w:themeColor="text1"/>
                <w:sz w:val="24"/>
                <w:lang w:val="ro-RO"/>
              </w:rPr>
              <w:t>Cuantumul total al expunerii la risc (TREA)</w:t>
            </w:r>
          </w:p>
          <w:p w14:paraId="5B78340F" w14:textId="6D0E9C20" w:rsidR="000C5255" w:rsidRPr="00A53ABF" w:rsidRDefault="000C5255">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Cuantumul total al expunerii la risc al entității individuale sau al grupului consolidat la nivelul căruia au fost stabilite cerințele, după caz, în conformitate cu articolul 18 alineatul (1) al doilea paragraf din Regulamentul (UE) nr. 575/2013.</w:t>
            </w:r>
          </w:p>
          <w:p w14:paraId="17016E2A" w14:textId="75D89C0B" w:rsidR="008149F0" w:rsidRPr="00A53ABF" w:rsidRDefault="008149F0" w:rsidP="00B7091D">
            <w:pPr>
              <w:rPr>
                <w:rFonts w:ascii="Times New Roman" w:hAnsi="Times New Roman" w:cs="Times New Roman"/>
                <w:b/>
                <w:noProof/>
                <w:color w:val="000000" w:themeColor="text1"/>
                <w:sz w:val="24"/>
                <w:szCs w:val="24"/>
                <w:lang w:val="ro-RO"/>
              </w:rPr>
            </w:pPr>
            <w:r w:rsidRPr="00A53ABF">
              <w:rPr>
                <w:rStyle w:val="FormatvorlageInstructionsTabelleText"/>
                <w:rFonts w:ascii="Times New Roman" w:hAnsi="Times New Roman"/>
                <w:sz w:val="24"/>
                <w:lang w:val="ro-RO"/>
              </w:rPr>
              <w:t>Cuantumul total al expunerii la risc raportat pe acest rând este cuantumul total al expunerii la risc care stă la baza respectării cerințelor de la articolul 45 din Directiva 2014/59/UE sau de la articolul 92b din Regulamentul (UE) nr. 575/2013, după caz.</w:t>
            </w:r>
          </w:p>
        </w:tc>
      </w:tr>
      <w:tr w:rsidR="00026FC1" w:rsidRPr="00A53ABF" w14:paraId="09EE5A03" w14:textId="77777777" w:rsidTr="002A065A">
        <w:tc>
          <w:tcPr>
            <w:tcW w:w="1109" w:type="dxa"/>
          </w:tcPr>
          <w:p w14:paraId="5D0897E5" w14:textId="78C3CD2B" w:rsidR="000C5255" w:rsidRPr="00A53ABF" w:rsidDel="00FF3133" w:rsidRDefault="007F6136" w:rsidP="00644B02">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EU-11</w:t>
            </w:r>
          </w:p>
        </w:tc>
        <w:tc>
          <w:tcPr>
            <w:tcW w:w="7642" w:type="dxa"/>
          </w:tcPr>
          <w:p w14:paraId="3D1B444A" w14:textId="48056C18" w:rsidR="000C5255" w:rsidRPr="00A53ABF" w:rsidRDefault="00D156A3" w:rsidP="000C5255">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Indicatorul de măsurare a expunerii totale (TEM)</w:t>
            </w:r>
          </w:p>
          <w:p w14:paraId="53B11114" w14:textId="7FEC6446" w:rsidR="000C5255" w:rsidRPr="00A53ABF" w:rsidRDefault="006501CC" w:rsidP="00282ED2">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Indicatorul de măsurare a expunerii totale (numitorul indicatorului efectului de levier) al entității individuale sau al grupului consolidat la nivelul căruia au fost stabilite cerințele, după caz, în conformitate cu articolul 429 alineatul (4) și articolul 429a din Regulamentul (UE) nr. 575/2013.</w:t>
            </w:r>
          </w:p>
          <w:p w14:paraId="2DB81445" w14:textId="64886997" w:rsidR="008149F0" w:rsidRPr="00A53ABF" w:rsidRDefault="008149F0" w:rsidP="00B7091D">
            <w:pPr>
              <w:rPr>
                <w:rFonts w:ascii="Times New Roman" w:hAnsi="Times New Roman" w:cs="Times New Roman"/>
                <w:b/>
                <w:noProof/>
                <w:color w:val="000000" w:themeColor="text1"/>
                <w:sz w:val="24"/>
                <w:szCs w:val="24"/>
                <w:lang w:val="ro-RO"/>
              </w:rPr>
            </w:pPr>
            <w:r w:rsidRPr="00A53ABF">
              <w:rPr>
                <w:rStyle w:val="FormatvorlageInstructionsTabelleText"/>
                <w:rFonts w:ascii="Times New Roman" w:hAnsi="Times New Roman"/>
                <w:sz w:val="24"/>
                <w:lang w:val="ro-RO"/>
              </w:rPr>
              <w:t>Indicatorul de măsurare a expunerii totale raportat pe acest rând este indicatorul de măsurare a expunerii totale care stă la baza respectării cerințelor</w:t>
            </w:r>
            <w:r w:rsidRPr="00A53ABF">
              <w:rPr>
                <w:rStyle w:val="FormatvorlageInstructionsTabelleText"/>
                <w:lang w:val="ro-RO"/>
              </w:rPr>
              <w:t xml:space="preserve"> </w:t>
            </w:r>
            <w:r w:rsidRPr="00A53ABF">
              <w:rPr>
                <w:rStyle w:val="FormatvorlageInstructionsTabelleText"/>
                <w:rFonts w:ascii="Times New Roman" w:hAnsi="Times New Roman"/>
                <w:sz w:val="24"/>
                <w:lang w:val="ro-RO"/>
              </w:rPr>
              <w:t>prevăzute la articolul 45 din Directiva 2014/59/UE sau la articolul 92b din Regulamentul (UE) nr. 575/2013, după caz.</w:t>
            </w:r>
          </w:p>
        </w:tc>
      </w:tr>
      <w:tr w:rsidR="00026FC1" w:rsidRPr="00A53ABF" w14:paraId="3F7E48D5" w14:textId="77777777" w:rsidTr="002A065A">
        <w:tc>
          <w:tcPr>
            <w:tcW w:w="1109" w:type="dxa"/>
          </w:tcPr>
          <w:p w14:paraId="068C68E0" w14:textId="4F4AB2A0" w:rsidR="000C5255" w:rsidRPr="00A53ABF" w:rsidRDefault="007F6136" w:rsidP="00644B02">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EU-12</w:t>
            </w:r>
          </w:p>
        </w:tc>
        <w:tc>
          <w:tcPr>
            <w:tcW w:w="7642" w:type="dxa"/>
          </w:tcPr>
          <w:p w14:paraId="4D8D9DC8" w14:textId="2ACFCB31" w:rsidR="000C5255" w:rsidRPr="00A53ABF" w:rsidRDefault="000C5255" w:rsidP="000C5255">
            <w:pPr>
              <w:rPr>
                <w:rFonts w:ascii="Times New Roman" w:hAnsi="Times New Roman" w:cs="Times New Roman"/>
                <w:noProof/>
                <w:color w:val="000000" w:themeColor="text1"/>
                <w:sz w:val="24"/>
                <w:szCs w:val="24"/>
                <w:lang w:val="ro-RO"/>
              </w:rPr>
            </w:pPr>
            <w:r w:rsidRPr="00A53ABF">
              <w:rPr>
                <w:rFonts w:ascii="Times New Roman" w:hAnsi="Times New Roman"/>
                <w:b/>
                <w:color w:val="000000" w:themeColor="text1"/>
                <w:sz w:val="24"/>
                <w:lang w:val="ro-RO"/>
              </w:rPr>
              <w:t>Fondurile proprii și datoriile eligibile ca procent din TREA</w:t>
            </w:r>
          </w:p>
          <w:p w14:paraId="745451FA" w14:textId="77777777" w:rsidR="000C5255" w:rsidRPr="00A53ABF" w:rsidRDefault="000C5255" w:rsidP="007F6136">
            <w:pPr>
              <w:rPr>
                <w:rFonts w:ascii="Times New Roman" w:hAnsi="Times New Roman" w:cs="Times New Roman"/>
                <w:bCs/>
                <w:noProof/>
                <w:color w:val="000000" w:themeColor="text1"/>
                <w:sz w:val="24"/>
                <w:szCs w:val="24"/>
                <w:lang w:val="ro-RO"/>
              </w:rPr>
            </w:pPr>
            <w:r w:rsidRPr="00A53ABF">
              <w:rPr>
                <w:rFonts w:ascii="Times New Roman" w:hAnsi="Times New Roman"/>
                <w:color w:val="000000" w:themeColor="text1"/>
                <w:sz w:val="24"/>
                <w:lang w:val="ro-RO"/>
              </w:rPr>
              <w:t>Rata fondurilor proprii și a datoriilor eligibile, ca procent din cuantumul total al expunerii la risc.</w:t>
            </w:r>
          </w:p>
          <w:p w14:paraId="53A01624" w14:textId="53B31A41" w:rsidR="00DB779A" w:rsidRPr="00A53ABF" w:rsidRDefault="00DB779A" w:rsidP="00AB7A3C">
            <w:pPr>
              <w:rPr>
                <w:rFonts w:ascii="Times New Roman" w:hAnsi="Times New Roman" w:cs="Times New Roman"/>
                <w:b/>
                <w:noProof/>
                <w:color w:val="000000" w:themeColor="text1"/>
                <w:sz w:val="24"/>
                <w:szCs w:val="24"/>
                <w:lang w:val="ro-RO"/>
              </w:rPr>
            </w:pPr>
            <w:r w:rsidRPr="00A53ABF">
              <w:rPr>
                <w:rFonts w:ascii="Times New Roman" w:hAnsi="Times New Roman"/>
                <w:color w:val="000000" w:themeColor="text1"/>
                <w:sz w:val="24"/>
                <w:lang w:val="ro-RO"/>
              </w:rPr>
              <w:t>Se calculează împărțind rândul EU-9b la rândul EU-10.</w:t>
            </w:r>
          </w:p>
        </w:tc>
      </w:tr>
      <w:tr w:rsidR="000F5992" w:rsidRPr="00A53ABF" w14:paraId="05A06C82" w14:textId="77777777" w:rsidTr="002A065A">
        <w:tc>
          <w:tcPr>
            <w:tcW w:w="1109" w:type="dxa"/>
          </w:tcPr>
          <w:p w14:paraId="3717A45E" w14:textId="2311289F" w:rsidR="000F5992" w:rsidRPr="00A53ABF" w:rsidDel="00F42177" w:rsidRDefault="000F5992" w:rsidP="00644B02">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EU-13</w:t>
            </w:r>
          </w:p>
        </w:tc>
        <w:tc>
          <w:tcPr>
            <w:tcW w:w="7642" w:type="dxa"/>
          </w:tcPr>
          <w:p w14:paraId="4B61594C" w14:textId="66FE0C57" w:rsidR="000F5992" w:rsidRPr="00A53ABF" w:rsidRDefault="00FF5E0F" w:rsidP="000C5255">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Fondurile proprii și datoriile eligibile ca procent din TREA – din care: garanții permise</w:t>
            </w:r>
          </w:p>
          <w:p w14:paraId="3E66E9D6" w14:textId="43B7D24C" w:rsidR="000F5992" w:rsidRPr="00A53ABF" w:rsidRDefault="00B24DB1" w:rsidP="00A96376">
            <w:pPr>
              <w:rPr>
                <w:rFonts w:ascii="Times New Roman" w:hAnsi="Times New Roman" w:cs="Times New Roman"/>
                <w:noProof/>
                <w:color w:val="000000" w:themeColor="text1"/>
                <w:sz w:val="24"/>
                <w:szCs w:val="24"/>
                <w:lang w:val="ro-RO"/>
              </w:rPr>
            </w:pPr>
            <w:r w:rsidRPr="00A53ABF">
              <w:rPr>
                <w:rStyle w:val="FormatvorlageInstructionsTabelleText"/>
                <w:rFonts w:ascii="Times New Roman" w:hAnsi="Times New Roman"/>
                <w:sz w:val="24"/>
                <w:lang w:val="ro-RO"/>
              </w:rPr>
              <w:t>În cazul în care autoritatea de rezoluție a filialei permite entității să îndeplinească MREL internă cu garanții, cuantumul</w:t>
            </w:r>
            <w:r w:rsidRPr="00A53ABF">
              <w:rPr>
                <w:rFonts w:ascii="Times New Roman" w:hAnsi="Times New Roman"/>
                <w:color w:val="000000" w:themeColor="text1"/>
                <w:sz w:val="24"/>
                <w:lang w:val="ro-RO"/>
              </w:rPr>
              <w:t xml:space="preserve"> garanțiilor care sunt furnizate de entitatea de rezoluție și care îndeplinesc condițiile stabilite la </w:t>
            </w:r>
            <w:r w:rsidRPr="00A53ABF">
              <w:rPr>
                <w:rFonts w:ascii="Times New Roman" w:hAnsi="Times New Roman"/>
                <w:color w:val="000000" w:themeColor="text1"/>
                <w:sz w:val="24"/>
                <w:lang w:val="ro-RO"/>
              </w:rPr>
              <w:lastRenderedPageBreak/>
              <w:t>articolul 45f alineatul (5) din Directiva 2014/59/UE, ca procent din cuantumul total al expunerii la risc.</w:t>
            </w:r>
          </w:p>
          <w:p w14:paraId="21098783" w14:textId="24721D46" w:rsidR="00B24DB1" w:rsidRPr="00A53ABF" w:rsidRDefault="00B07EB6" w:rsidP="00AA0676">
            <w:pPr>
              <w:rPr>
                <w:rFonts w:ascii="Times New Roman" w:hAnsi="Times New Roman" w:cs="Times New Roman"/>
                <w:b/>
                <w:noProof/>
                <w:color w:val="000000" w:themeColor="text1"/>
                <w:sz w:val="24"/>
                <w:szCs w:val="24"/>
                <w:lang w:val="ro-RO"/>
              </w:rPr>
            </w:pPr>
            <w:r w:rsidRPr="00A53ABF">
              <w:rPr>
                <w:rFonts w:ascii="Times New Roman" w:hAnsi="Times New Roman"/>
                <w:color w:val="000000" w:themeColor="text1"/>
                <w:sz w:val="24"/>
                <w:lang w:val="ro-RO"/>
              </w:rPr>
              <w:t>Se calculează împărțind rândul EU-8 la rândul EU-10.</w:t>
            </w:r>
          </w:p>
        </w:tc>
      </w:tr>
      <w:tr w:rsidR="00026FC1" w:rsidRPr="00A53ABF" w14:paraId="1BE5C236" w14:textId="77777777" w:rsidTr="002A065A">
        <w:tc>
          <w:tcPr>
            <w:tcW w:w="1109" w:type="dxa"/>
          </w:tcPr>
          <w:p w14:paraId="6389E44B" w14:textId="64502185" w:rsidR="000C5255" w:rsidRPr="00A53ABF" w:rsidRDefault="007F6136" w:rsidP="00644B02">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lastRenderedPageBreak/>
              <w:t>EU-14</w:t>
            </w:r>
          </w:p>
        </w:tc>
        <w:tc>
          <w:tcPr>
            <w:tcW w:w="7642" w:type="dxa"/>
          </w:tcPr>
          <w:p w14:paraId="747FEBA4" w14:textId="71CE299B" w:rsidR="000C5255" w:rsidRPr="00A53ABF" w:rsidRDefault="000C5255" w:rsidP="000C5255">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Fondurile proprii și datoriile eligibile ca procent din TEM</w:t>
            </w:r>
          </w:p>
          <w:p w14:paraId="10E78AE1" w14:textId="0BBF5E97" w:rsidR="000C5255" w:rsidRPr="00A53ABF" w:rsidRDefault="000C5255">
            <w:pPr>
              <w:rPr>
                <w:rFonts w:ascii="Times New Roman" w:hAnsi="Times New Roman" w:cs="Times New Roman"/>
                <w:bCs/>
                <w:noProof/>
                <w:color w:val="000000" w:themeColor="text1"/>
                <w:sz w:val="24"/>
                <w:szCs w:val="24"/>
                <w:lang w:val="ro-RO"/>
              </w:rPr>
            </w:pPr>
            <w:r w:rsidRPr="00A53ABF">
              <w:rPr>
                <w:rFonts w:ascii="Times New Roman" w:hAnsi="Times New Roman"/>
                <w:color w:val="000000" w:themeColor="text1"/>
                <w:sz w:val="24"/>
                <w:lang w:val="ro-RO"/>
              </w:rPr>
              <w:t>Rata fondurilor proprii și a datoriilor eligibile, ca procent din indicatorul de măsurare a expunerii totale.</w:t>
            </w:r>
          </w:p>
          <w:p w14:paraId="3C080CF4" w14:textId="28CCBF72" w:rsidR="003946D4" w:rsidRPr="00A53ABF" w:rsidRDefault="003946D4" w:rsidP="00AB7A3C">
            <w:pPr>
              <w:rPr>
                <w:rFonts w:ascii="Times New Roman" w:hAnsi="Times New Roman" w:cs="Times New Roman"/>
                <w:b/>
                <w:noProof/>
                <w:color w:val="000000" w:themeColor="text1"/>
                <w:sz w:val="24"/>
                <w:szCs w:val="24"/>
                <w:lang w:val="ro-RO"/>
              </w:rPr>
            </w:pPr>
            <w:r w:rsidRPr="00A53ABF">
              <w:rPr>
                <w:rFonts w:ascii="Times New Roman" w:hAnsi="Times New Roman"/>
                <w:color w:val="000000" w:themeColor="text1"/>
                <w:sz w:val="24"/>
                <w:lang w:val="ro-RO"/>
              </w:rPr>
              <w:t>Se calculează împărțind rândul EU-9b la rândul EU-11.</w:t>
            </w:r>
          </w:p>
        </w:tc>
      </w:tr>
      <w:tr w:rsidR="000F5992" w:rsidRPr="00A53ABF" w14:paraId="06EE9DB1" w14:textId="77777777" w:rsidTr="002A065A">
        <w:tc>
          <w:tcPr>
            <w:tcW w:w="1109" w:type="dxa"/>
          </w:tcPr>
          <w:p w14:paraId="38BE120A" w14:textId="5E907A17" w:rsidR="000F5992" w:rsidRPr="00A53ABF" w:rsidDel="00F42177" w:rsidRDefault="000F5992" w:rsidP="00644B02">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EU-15</w:t>
            </w:r>
          </w:p>
        </w:tc>
        <w:tc>
          <w:tcPr>
            <w:tcW w:w="7642" w:type="dxa"/>
          </w:tcPr>
          <w:p w14:paraId="6EC6E664" w14:textId="0D1F1FF7" w:rsidR="000F5992" w:rsidRPr="00A53ABF" w:rsidRDefault="00FF5E0F" w:rsidP="003F5FDC">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Fondurile proprii și datoriile eligibile ca procent din TEM – din care: garanții permise</w:t>
            </w:r>
          </w:p>
          <w:p w14:paraId="49C52AE4" w14:textId="4E11ED80" w:rsidR="00B07EB6" w:rsidRPr="00A53ABF" w:rsidRDefault="00AA0676" w:rsidP="00A96376">
            <w:pPr>
              <w:rPr>
                <w:rFonts w:ascii="Times New Roman" w:hAnsi="Times New Roman" w:cs="Times New Roman"/>
                <w:noProof/>
                <w:color w:val="000000" w:themeColor="text1"/>
                <w:sz w:val="24"/>
                <w:szCs w:val="24"/>
                <w:lang w:val="ro-RO"/>
              </w:rPr>
            </w:pPr>
            <w:r w:rsidRPr="00A53ABF">
              <w:rPr>
                <w:rStyle w:val="FormatvorlageInstructionsTabelleText"/>
                <w:rFonts w:ascii="Times New Roman" w:hAnsi="Times New Roman"/>
                <w:sz w:val="24"/>
                <w:lang w:val="ro-RO"/>
              </w:rPr>
              <w:t>În cazul în care autoritatea de rezoluție a filialei permite entității să îndeplinească MREL internă cu garanții, cuantumul</w:t>
            </w:r>
            <w:r w:rsidRPr="00A53ABF">
              <w:rPr>
                <w:rFonts w:ascii="Times New Roman" w:hAnsi="Times New Roman"/>
                <w:color w:val="000000" w:themeColor="text1"/>
                <w:sz w:val="24"/>
                <w:lang w:val="ro-RO"/>
              </w:rPr>
              <w:t xml:space="preserve"> garanțiilor care sunt furnizate de entitatea de rezoluție și care îndeplinesc condițiile stabilite la articolul 45f alineatul (5) din Directiva 2014/59/UE, ca procent din indicatorul de măsurare a expunerii totale.</w:t>
            </w:r>
          </w:p>
          <w:p w14:paraId="5F818595" w14:textId="4B7CE3AB" w:rsidR="000F5992" w:rsidRPr="00A53ABF" w:rsidRDefault="00B07EB6" w:rsidP="00B07EB6">
            <w:pPr>
              <w:rPr>
                <w:rFonts w:ascii="Times New Roman" w:hAnsi="Times New Roman" w:cs="Times New Roman"/>
                <w:b/>
                <w:noProof/>
                <w:color w:val="000000" w:themeColor="text1"/>
                <w:sz w:val="24"/>
                <w:szCs w:val="24"/>
                <w:lang w:val="ro-RO"/>
              </w:rPr>
            </w:pPr>
            <w:r w:rsidRPr="00A53ABF">
              <w:rPr>
                <w:rFonts w:ascii="Times New Roman" w:hAnsi="Times New Roman"/>
                <w:color w:val="000000" w:themeColor="text1"/>
                <w:sz w:val="24"/>
                <w:lang w:val="ro-RO"/>
              </w:rPr>
              <w:t>Se calculează împărțind rândul EU-8 la rândul EU-11.</w:t>
            </w:r>
          </w:p>
        </w:tc>
      </w:tr>
      <w:tr w:rsidR="00026FC1" w:rsidRPr="00A53ABF" w14:paraId="72C7F5C5" w14:textId="77777777" w:rsidTr="002A065A">
        <w:tc>
          <w:tcPr>
            <w:tcW w:w="1109" w:type="dxa"/>
          </w:tcPr>
          <w:p w14:paraId="480E6DB5" w14:textId="4B427067" w:rsidR="000C5255" w:rsidRPr="00A53ABF" w:rsidRDefault="00F42177" w:rsidP="00644B02">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EU-16</w:t>
            </w:r>
          </w:p>
        </w:tc>
        <w:tc>
          <w:tcPr>
            <w:tcW w:w="7642" w:type="dxa"/>
          </w:tcPr>
          <w:p w14:paraId="77339BFA" w14:textId="07707C45" w:rsidR="000C5255" w:rsidRPr="00A53ABF" w:rsidRDefault="000C5255" w:rsidP="000C5255">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Fonduri proprii de nivel 1 de bază (ca procent din TREA) disponibile după îndeplinirea cerințelor entității</w:t>
            </w:r>
          </w:p>
          <w:p w14:paraId="10969C39" w14:textId="385E6EF9" w:rsidR="00A47BCD" w:rsidRPr="00A53ABF" w:rsidRDefault="00A47BCD" w:rsidP="00AA0676">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Cuantumul fondurilor proprii de nivel 1 de bază, egal cu zero sau pozitiv, disponibil după îndeplinirea fiecăreia dintre cerințele menționate la articolul 141a literele (a), (b) și (c) din Directiva 2013/36/UE și cea mai mare valoare dintre:</w:t>
            </w:r>
          </w:p>
          <w:p w14:paraId="58E9B9E9" w14:textId="7860E6DE" w:rsidR="00A47BCD" w:rsidRPr="00A53ABF" w:rsidRDefault="00A47BCD" w:rsidP="00AA0676">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 xml:space="preserve">(a) dacă este cazul, cerința privind fondurile proprii și datoriile eligibile pentru G-SII din afara UE în temeiul articolului 92b din Regulamentul (UE) nr. 575/2013, atunci când este calculată – în conformitate cu articolul 92b alineatul (1) din Regulamentul (UE) nr. 575/2013 – ca fiind 90 % din cerința de la articolul 92a alineatul (1) litera (a) din regulamentul respectiv, și </w:t>
            </w:r>
          </w:p>
          <w:p w14:paraId="198DF7D6" w14:textId="3885C36B" w:rsidR="00A47BCD" w:rsidRPr="00A53ABF" w:rsidRDefault="00A47BCD" w:rsidP="00AA0676">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(b) cerința minimă de fonduri proprii și datorii eligibile în temeiul articolului 45f din Directiva 2014/59/UE, atunci când este calculată în conformitate cu articolul 45 alineatul (2) litera (a) din directiva menționată.</w:t>
            </w:r>
          </w:p>
          <w:p w14:paraId="4CF4E1A3" w14:textId="6E11E15F" w:rsidR="00A47BCD" w:rsidRPr="00A53ABF" w:rsidRDefault="00A47BCD" w:rsidP="00AA0676">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Cifra publicată trebuie să fie identică atât în coloana referitoare la MREL, cât și în coloana referitoare la TLAC.</w:t>
            </w:r>
          </w:p>
          <w:p w14:paraId="6C9387A7" w14:textId="461089FB" w:rsidR="000C5255" w:rsidRPr="00A53ABF" w:rsidRDefault="00A47BCD" w:rsidP="00AA0676">
            <w:pPr>
              <w:rPr>
                <w:b/>
                <w:noProof/>
                <w:lang w:val="ro-RO"/>
              </w:rPr>
            </w:pPr>
            <w:r w:rsidRPr="00A53ABF">
              <w:rPr>
                <w:rFonts w:ascii="Times New Roman" w:hAnsi="Times New Roman"/>
                <w:color w:val="000000" w:themeColor="text1"/>
                <w:sz w:val="24"/>
                <w:lang w:val="ro-RO"/>
              </w:rPr>
              <w:t>Aceasta trebuie să ia în considerare efectul dispozițiilor tranzitorii asupra fondurilor proprii și a datoriilor eligibile, cuantumul total al expunerii la risc și cerințele propriu-zise. Nu se iau în considerare nici orientările privind fondurile proprii suplimentare, astfel cum sunt menționate la articolul 104b din Directiva 2013/36/UE, nici cerința amortizorului combinat prevăzută la articolul 128 primul paragraf punctul 6 din directiva menționată.</w:t>
            </w:r>
          </w:p>
        </w:tc>
      </w:tr>
      <w:tr w:rsidR="00026FC1" w:rsidRPr="00A53ABF" w14:paraId="27986DD8" w14:textId="77777777" w:rsidTr="002A065A">
        <w:tc>
          <w:tcPr>
            <w:tcW w:w="1109" w:type="dxa"/>
          </w:tcPr>
          <w:p w14:paraId="72398D99" w14:textId="0534A19F" w:rsidR="000C5255" w:rsidRPr="00A53ABF" w:rsidRDefault="000F5992" w:rsidP="00644B02">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lastRenderedPageBreak/>
              <w:t>EU-17</w:t>
            </w:r>
          </w:p>
        </w:tc>
        <w:tc>
          <w:tcPr>
            <w:tcW w:w="7642" w:type="dxa"/>
          </w:tcPr>
          <w:p w14:paraId="76F0E68B" w14:textId="21794D3D" w:rsidR="000C5255" w:rsidRPr="00A53ABF" w:rsidRDefault="000C5255" w:rsidP="000C5255">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 xml:space="preserve">Cerința amortizorului combinat specific instituției </w:t>
            </w:r>
          </w:p>
          <w:p w14:paraId="24FA0B83" w14:textId="4835122C" w:rsidR="000C5255" w:rsidRPr="00A53ABF" w:rsidRDefault="000C5255" w:rsidP="00CB08B2">
            <w:pPr>
              <w:rPr>
                <w:rFonts w:ascii="Times New Roman" w:hAnsi="Times New Roman" w:cs="Times New Roman"/>
                <w:b/>
                <w:noProof/>
                <w:color w:val="000000" w:themeColor="text1"/>
                <w:sz w:val="24"/>
                <w:szCs w:val="24"/>
                <w:lang w:val="ro-RO"/>
              </w:rPr>
            </w:pPr>
            <w:r w:rsidRPr="00A53ABF">
              <w:rPr>
                <w:rFonts w:ascii="Times New Roman" w:hAnsi="Times New Roman"/>
                <w:color w:val="000000" w:themeColor="text1"/>
                <w:sz w:val="24"/>
                <w:lang w:val="ro-RO"/>
              </w:rPr>
              <w:t>Cerința amortizorului combinat specific instituției, definită la articolul 128 primul paragraf punctul 6 din Directiva 2013/36/UE, exprimată ca procent din cuantumul total al expunerii la risc, aplicabilă entității în conformitate cu articolul 128 primul paragraf punctul 6 din Directiva 2013/36/UE.</w:t>
            </w:r>
          </w:p>
        </w:tc>
      </w:tr>
      <w:tr w:rsidR="00026FC1" w:rsidRPr="00A53ABF" w14:paraId="7F2F0D59" w14:textId="77777777" w:rsidTr="002A065A">
        <w:trPr>
          <w:trHeight w:val="58"/>
        </w:trPr>
        <w:tc>
          <w:tcPr>
            <w:tcW w:w="1109" w:type="dxa"/>
          </w:tcPr>
          <w:p w14:paraId="5F6F778C" w14:textId="5F16CF0E" w:rsidR="000F5992" w:rsidRPr="00A53ABF" w:rsidRDefault="00F42177" w:rsidP="00644B02">
            <w:pPr>
              <w:rPr>
                <w:rFonts w:ascii="Times New Roman" w:hAnsi="Times New Roman" w:cs="Times New Roman"/>
                <w:bCs/>
                <w:iCs/>
                <w:color w:val="000000" w:themeColor="text1"/>
                <w:sz w:val="24"/>
                <w:szCs w:val="24"/>
                <w:lang w:val="ro-RO"/>
              </w:rPr>
            </w:pPr>
            <w:r w:rsidRPr="00A53ABF">
              <w:rPr>
                <w:rFonts w:ascii="Times New Roman" w:hAnsi="Times New Roman"/>
                <w:color w:val="000000" w:themeColor="text1"/>
                <w:sz w:val="24"/>
                <w:lang w:val="ro-RO"/>
              </w:rPr>
              <w:t>EU-18</w:t>
            </w:r>
          </w:p>
        </w:tc>
        <w:tc>
          <w:tcPr>
            <w:tcW w:w="7642" w:type="dxa"/>
          </w:tcPr>
          <w:p w14:paraId="44696FD9" w14:textId="2B694FE0" w:rsidR="008834C5" w:rsidRPr="00A53ABF" w:rsidRDefault="00F51FA3" w:rsidP="008834C5">
            <w:pPr>
              <w:rPr>
                <w:rFonts w:ascii="Times New Roman" w:hAnsi="Times New Roman" w:cs="Times New Roman"/>
                <w:b/>
                <w:bCs/>
                <w:color w:val="000000" w:themeColor="text1"/>
                <w:sz w:val="24"/>
                <w:szCs w:val="24"/>
                <w:lang w:val="ro-RO"/>
              </w:rPr>
            </w:pPr>
            <w:r w:rsidRPr="00A53ABF">
              <w:rPr>
                <w:rFonts w:ascii="Times New Roman" w:hAnsi="Times New Roman"/>
                <w:b/>
                <w:color w:val="000000" w:themeColor="text1"/>
                <w:sz w:val="24"/>
                <w:lang w:val="ro-RO"/>
              </w:rPr>
              <w:t>Cerința exprimată ca procent din TREA</w:t>
            </w:r>
          </w:p>
          <w:p w14:paraId="4059E3AD" w14:textId="09123D9B" w:rsidR="00B07EB6" w:rsidRPr="00A53ABF" w:rsidRDefault="00B07EB6" w:rsidP="0092457E">
            <w:pPr>
              <w:rPr>
                <w:rFonts w:ascii="Times New Roman" w:hAnsi="Times New Roman" w:cs="Times New Roman"/>
                <w:i/>
                <w:noProof/>
                <w:sz w:val="24"/>
                <w:szCs w:val="24"/>
                <w:lang w:val="ro-RO"/>
              </w:rPr>
            </w:pPr>
            <w:r w:rsidRPr="00A53ABF">
              <w:rPr>
                <w:rFonts w:ascii="Times New Roman" w:hAnsi="Times New Roman"/>
                <w:i/>
                <w:sz w:val="24"/>
                <w:lang w:val="ro-RO"/>
              </w:rPr>
              <w:t>MREL internă</w:t>
            </w:r>
          </w:p>
          <w:p w14:paraId="7A3B8EB3" w14:textId="022A0950" w:rsidR="00036DB1" w:rsidRPr="00A53ABF" w:rsidRDefault="00B07EB6" w:rsidP="0092457E">
            <w:pPr>
              <w:rPr>
                <w:rFonts w:ascii="Times New Roman" w:hAnsi="Times New Roman" w:cs="Times New Roman"/>
                <w:bCs/>
                <w:noProof/>
                <w:sz w:val="24"/>
                <w:szCs w:val="24"/>
                <w:lang w:val="ro-RO"/>
              </w:rPr>
            </w:pPr>
            <w:r w:rsidRPr="00A53ABF">
              <w:rPr>
                <w:rFonts w:ascii="Times New Roman" w:hAnsi="Times New Roman"/>
                <w:sz w:val="24"/>
                <w:lang w:val="ro-RO"/>
              </w:rPr>
              <w:t>Cerința privind fondurile proprii și datoriile eligibile aplicabilă entității în conformitate cu articolul 45f din Directiva 2014/59/UE, exprimată ca procent din cuantumul total al expunerii la risc (la nivel individual sau consolidat, după caz).</w:t>
            </w:r>
          </w:p>
          <w:p w14:paraId="36F1A57F" w14:textId="701178C9" w:rsidR="00B07EB6" w:rsidRPr="00A53ABF" w:rsidRDefault="00B07EB6" w:rsidP="00B07EB6">
            <w:pPr>
              <w:rPr>
                <w:rFonts w:ascii="Times New Roman" w:hAnsi="Times New Roman" w:cs="Times New Roman"/>
                <w:bCs/>
                <w:i/>
                <w:noProof/>
                <w:sz w:val="24"/>
                <w:szCs w:val="24"/>
                <w:lang w:val="ro-RO"/>
              </w:rPr>
            </w:pPr>
            <w:r w:rsidRPr="00A53ABF">
              <w:rPr>
                <w:rFonts w:ascii="Times New Roman" w:hAnsi="Times New Roman"/>
                <w:i/>
                <w:sz w:val="24"/>
                <w:lang w:val="ro-RO"/>
              </w:rPr>
              <w:t>TLAC internă</w:t>
            </w:r>
          </w:p>
          <w:p w14:paraId="524A15B1" w14:textId="10807991" w:rsidR="00D156A3" w:rsidRPr="00A53ABF" w:rsidRDefault="00B07EB6" w:rsidP="00CB08B2">
            <w:pPr>
              <w:rPr>
                <w:rFonts w:ascii="Times New Roman" w:hAnsi="Times New Roman" w:cs="Times New Roman"/>
                <w:bCs/>
                <w:noProof/>
                <w:sz w:val="24"/>
                <w:szCs w:val="24"/>
                <w:lang w:val="ro-RO"/>
              </w:rPr>
            </w:pPr>
            <w:r w:rsidRPr="00A53ABF">
              <w:rPr>
                <w:rFonts w:ascii="Times New Roman" w:hAnsi="Times New Roman"/>
                <w:sz w:val="24"/>
                <w:lang w:val="ro-RO"/>
              </w:rPr>
              <w:t>Cerința prevăzută la articolul 92b din Regulamentul (UE) nr. 575/2013, exprimată ca procent din cuantumul total al expunerii la risc (la nivel individual sau consolidat, după caz).</w:t>
            </w:r>
          </w:p>
        </w:tc>
      </w:tr>
      <w:tr w:rsidR="00026FC1" w:rsidRPr="00A53ABF" w14:paraId="33DA72AB" w14:textId="77777777" w:rsidTr="002A065A">
        <w:tc>
          <w:tcPr>
            <w:tcW w:w="1109" w:type="dxa"/>
          </w:tcPr>
          <w:p w14:paraId="784E2295" w14:textId="4500A04A" w:rsidR="008834C5" w:rsidRPr="00A53ABF" w:rsidRDefault="00F42177" w:rsidP="00CE0D4E">
            <w:pPr>
              <w:keepNext/>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EU-19</w:t>
            </w:r>
          </w:p>
        </w:tc>
        <w:tc>
          <w:tcPr>
            <w:tcW w:w="7642" w:type="dxa"/>
          </w:tcPr>
          <w:p w14:paraId="168B9372" w14:textId="2BC4791B" w:rsidR="008834C5" w:rsidRPr="00A53ABF" w:rsidRDefault="00FF5E0F" w:rsidP="008834C5">
            <w:pPr>
              <w:rPr>
                <w:rFonts w:ascii="Times New Roman" w:hAnsi="Times New Roman" w:cs="Times New Roman"/>
                <w:b/>
                <w:bCs/>
                <w:color w:val="000000" w:themeColor="text1"/>
                <w:sz w:val="24"/>
                <w:szCs w:val="24"/>
                <w:lang w:val="ro-RO"/>
              </w:rPr>
            </w:pPr>
            <w:r w:rsidRPr="00A53ABF">
              <w:rPr>
                <w:rFonts w:ascii="Times New Roman" w:hAnsi="Times New Roman"/>
                <w:b/>
                <w:color w:val="000000" w:themeColor="text1"/>
                <w:sz w:val="24"/>
                <w:lang w:val="ro-RO"/>
              </w:rPr>
              <w:t>Cerința exprimată ca procent din TREA – din care: parte a cerinței care poate fi îndeplinită printr-o garanție</w:t>
            </w:r>
          </w:p>
          <w:p w14:paraId="689193A8" w14:textId="2B66DAF3" w:rsidR="00036DB1" w:rsidRPr="00A53ABF" w:rsidRDefault="00036DB1" w:rsidP="00102896">
            <w:pPr>
              <w:rPr>
                <w:rFonts w:ascii="Times New Roman" w:hAnsi="Times New Roman" w:cs="Times New Roman"/>
                <w:b/>
                <w:noProof/>
                <w:color w:val="000000" w:themeColor="text1"/>
                <w:sz w:val="24"/>
                <w:szCs w:val="24"/>
                <w:lang w:val="ro-RO"/>
              </w:rPr>
            </w:pPr>
            <w:r w:rsidRPr="00A53ABF">
              <w:rPr>
                <w:rFonts w:ascii="Times New Roman" w:hAnsi="Times New Roman"/>
                <w:sz w:val="24"/>
                <w:lang w:val="ro-RO"/>
              </w:rPr>
              <w:t>Dacă este cazul, partea din cerința privind fondurile proprii și datoriile eligibile exprimată ca procent din cuantumul total al expunerii la risc care poate fi îndeplinită printr-o garanție furnizată de entitatea de rezoluție în conformitate cu articolul 45f alineatul (5) din Directiva 2014/59/UE.</w:t>
            </w:r>
          </w:p>
        </w:tc>
      </w:tr>
      <w:tr w:rsidR="00026FC1" w:rsidRPr="00A53ABF" w14:paraId="7DB5B45D" w14:textId="77777777" w:rsidTr="002A065A">
        <w:tc>
          <w:tcPr>
            <w:tcW w:w="1109" w:type="dxa"/>
          </w:tcPr>
          <w:p w14:paraId="291F5089" w14:textId="5540E6DA" w:rsidR="008834C5" w:rsidRPr="00A53ABF" w:rsidRDefault="00BB093D" w:rsidP="00644B02">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EU-20</w:t>
            </w:r>
          </w:p>
        </w:tc>
        <w:tc>
          <w:tcPr>
            <w:tcW w:w="7642" w:type="dxa"/>
          </w:tcPr>
          <w:p w14:paraId="517C1D7E" w14:textId="160471A8" w:rsidR="008834C5" w:rsidRPr="00A53ABF" w:rsidRDefault="00A96376" w:rsidP="008834C5">
            <w:pPr>
              <w:rPr>
                <w:rFonts w:ascii="Times New Roman" w:hAnsi="Times New Roman" w:cs="Times New Roman"/>
                <w:b/>
                <w:bCs/>
                <w:color w:val="000000" w:themeColor="text1"/>
                <w:sz w:val="24"/>
                <w:szCs w:val="24"/>
                <w:lang w:val="ro-RO"/>
              </w:rPr>
            </w:pPr>
            <w:r w:rsidRPr="00A53ABF">
              <w:rPr>
                <w:rFonts w:ascii="Times New Roman" w:hAnsi="Times New Roman"/>
                <w:b/>
                <w:color w:val="000000" w:themeColor="text1"/>
                <w:sz w:val="24"/>
                <w:lang w:val="ro-RO"/>
              </w:rPr>
              <w:t>Cerința exprimată ca procent din TEM</w:t>
            </w:r>
          </w:p>
          <w:p w14:paraId="390682C6" w14:textId="2F127DB6" w:rsidR="00B07EB6" w:rsidRPr="00A53ABF" w:rsidRDefault="00B07EB6">
            <w:pPr>
              <w:rPr>
                <w:rFonts w:ascii="Times New Roman" w:hAnsi="Times New Roman" w:cs="Times New Roman"/>
                <w:i/>
                <w:noProof/>
                <w:sz w:val="24"/>
                <w:szCs w:val="24"/>
                <w:lang w:val="ro-RO"/>
              </w:rPr>
            </w:pPr>
            <w:r w:rsidRPr="00A53ABF">
              <w:rPr>
                <w:rFonts w:ascii="Times New Roman" w:hAnsi="Times New Roman"/>
                <w:i/>
                <w:sz w:val="24"/>
                <w:lang w:val="ro-RO"/>
              </w:rPr>
              <w:t>MREL internă</w:t>
            </w:r>
          </w:p>
          <w:p w14:paraId="15AB0F32" w14:textId="4388F7B3" w:rsidR="00036DB1" w:rsidRPr="00A53ABF" w:rsidRDefault="00B07EB6">
            <w:pPr>
              <w:rPr>
                <w:rFonts w:ascii="Times New Roman" w:hAnsi="Times New Roman" w:cs="Times New Roman"/>
                <w:bCs/>
                <w:noProof/>
                <w:sz w:val="24"/>
                <w:szCs w:val="24"/>
                <w:lang w:val="ro-RO"/>
              </w:rPr>
            </w:pPr>
            <w:r w:rsidRPr="00A53ABF">
              <w:rPr>
                <w:rFonts w:ascii="Times New Roman" w:hAnsi="Times New Roman"/>
                <w:sz w:val="24"/>
                <w:lang w:val="ro-RO"/>
              </w:rPr>
              <w:t>Cerința privind fondurile proprii și datoriile eligibile aplicabilă entității în conformitate cu articolul 45f din Directiva 2014/59/UE, exprimată ca procent din indicatorul de măsurare a expunerii totale (la nivel individual sau la nivelul consolidat al întreprinderii-mamă din UE, după caz).</w:t>
            </w:r>
          </w:p>
          <w:p w14:paraId="28AE2B52" w14:textId="40D45C6B" w:rsidR="00B07EB6" w:rsidRPr="00A53ABF" w:rsidRDefault="00B07EB6" w:rsidP="006501CC">
            <w:pPr>
              <w:rPr>
                <w:rFonts w:ascii="Times New Roman" w:hAnsi="Times New Roman" w:cs="Times New Roman"/>
                <w:bCs/>
                <w:i/>
                <w:noProof/>
                <w:sz w:val="24"/>
                <w:szCs w:val="24"/>
                <w:lang w:val="ro-RO"/>
              </w:rPr>
            </w:pPr>
            <w:r w:rsidRPr="00A53ABF">
              <w:rPr>
                <w:rFonts w:ascii="Times New Roman" w:hAnsi="Times New Roman"/>
                <w:i/>
                <w:sz w:val="24"/>
                <w:lang w:val="ro-RO"/>
              </w:rPr>
              <w:t xml:space="preserve">TLAC internă </w:t>
            </w:r>
          </w:p>
          <w:p w14:paraId="316152E4" w14:textId="47164313" w:rsidR="00D156A3" w:rsidRPr="00A53ABF" w:rsidRDefault="00B07EB6" w:rsidP="00CB08B2">
            <w:pPr>
              <w:rPr>
                <w:rFonts w:ascii="Times New Roman" w:hAnsi="Times New Roman" w:cs="Times New Roman"/>
                <w:bCs/>
                <w:noProof/>
                <w:sz w:val="24"/>
                <w:szCs w:val="24"/>
                <w:lang w:val="ro-RO"/>
              </w:rPr>
            </w:pPr>
            <w:r w:rsidRPr="00A53ABF">
              <w:rPr>
                <w:rFonts w:ascii="Times New Roman" w:hAnsi="Times New Roman"/>
                <w:sz w:val="24"/>
                <w:lang w:val="ro-RO"/>
              </w:rPr>
              <w:t>Cerința prevăzută la articolul 92b din Regulamentul (UE) nr. 575/2013, exprimată ca procent din indicatorul de măsurare a expunerii totale (la nivel individual sau consolidat, după caz).</w:t>
            </w:r>
          </w:p>
        </w:tc>
      </w:tr>
      <w:tr w:rsidR="00026FC1" w:rsidRPr="00A53ABF" w14:paraId="665B02CC" w14:textId="77777777" w:rsidTr="002A065A">
        <w:tc>
          <w:tcPr>
            <w:tcW w:w="1109" w:type="dxa"/>
          </w:tcPr>
          <w:p w14:paraId="4CC8B518" w14:textId="34221154" w:rsidR="008834C5" w:rsidRPr="00A53ABF" w:rsidRDefault="0092457E" w:rsidP="00644B02">
            <w:pPr>
              <w:rPr>
                <w:rFonts w:ascii="Times New Roman" w:hAnsi="Times New Roman" w:cs="Times New Roman"/>
                <w:noProof/>
                <w:color w:val="000000" w:themeColor="text1"/>
                <w:sz w:val="24"/>
                <w:szCs w:val="24"/>
                <w:lang w:val="ro-RO"/>
              </w:rPr>
            </w:pPr>
            <w:r w:rsidRPr="00A53ABF">
              <w:rPr>
                <w:rFonts w:ascii="Times New Roman" w:hAnsi="Times New Roman"/>
                <w:color w:val="000000" w:themeColor="text1"/>
                <w:sz w:val="24"/>
                <w:lang w:val="ro-RO"/>
              </w:rPr>
              <w:t>EU-21</w:t>
            </w:r>
          </w:p>
        </w:tc>
        <w:tc>
          <w:tcPr>
            <w:tcW w:w="7642" w:type="dxa"/>
          </w:tcPr>
          <w:p w14:paraId="5E678549" w14:textId="3C180ACA" w:rsidR="008834C5" w:rsidRPr="00A53ABF" w:rsidRDefault="00FF5E0F" w:rsidP="008834C5">
            <w:pPr>
              <w:rPr>
                <w:rFonts w:ascii="Times New Roman" w:hAnsi="Times New Roman" w:cs="Times New Roman"/>
                <w:b/>
                <w:bCs/>
                <w:color w:val="000000" w:themeColor="text1"/>
                <w:sz w:val="24"/>
                <w:szCs w:val="24"/>
                <w:lang w:val="ro-RO"/>
              </w:rPr>
            </w:pPr>
            <w:r w:rsidRPr="00A53ABF">
              <w:rPr>
                <w:rFonts w:ascii="Times New Roman" w:hAnsi="Times New Roman"/>
                <w:b/>
                <w:color w:val="000000" w:themeColor="text1"/>
                <w:sz w:val="24"/>
                <w:lang w:val="ro-RO"/>
              </w:rPr>
              <w:t>Cerința exprimată ca procent din TEM – din care: parte a cerinței care poate fi îndeplinită printr-o garanție</w:t>
            </w:r>
          </w:p>
          <w:p w14:paraId="4AD84850" w14:textId="46814386" w:rsidR="00036DB1" w:rsidRPr="00A53ABF" w:rsidRDefault="00036DB1" w:rsidP="00CB08B2">
            <w:pPr>
              <w:rPr>
                <w:rFonts w:ascii="Times New Roman" w:hAnsi="Times New Roman" w:cs="Times New Roman"/>
                <w:b/>
                <w:noProof/>
                <w:color w:val="000000" w:themeColor="text1"/>
                <w:sz w:val="24"/>
                <w:szCs w:val="24"/>
                <w:lang w:val="ro-RO"/>
              </w:rPr>
            </w:pPr>
            <w:r w:rsidRPr="00A53ABF">
              <w:rPr>
                <w:rFonts w:ascii="Times New Roman" w:hAnsi="Times New Roman"/>
                <w:sz w:val="24"/>
                <w:lang w:val="ro-RO"/>
              </w:rPr>
              <w:t xml:space="preserve">Dacă este cazul, partea din cerința privind fondurile proprii și datoriile eligibile exprimată ca procent din indicatorul de măsurare a expunerii totale </w:t>
            </w:r>
            <w:r w:rsidRPr="00A53ABF">
              <w:rPr>
                <w:rFonts w:ascii="Times New Roman" w:hAnsi="Times New Roman"/>
                <w:sz w:val="24"/>
                <w:lang w:val="ro-RO"/>
              </w:rPr>
              <w:lastRenderedPageBreak/>
              <w:t>care poate fi îndeplinită printr-o garanție furnizată de entitatea de rezoluție în conformitate cu articolul 45f alineatul (5) din Directiva 2014/59/UE.</w:t>
            </w:r>
          </w:p>
        </w:tc>
      </w:tr>
      <w:tr w:rsidR="000B47A2" w:rsidRPr="00A53ABF" w14:paraId="2ACBD5CA" w14:textId="77777777" w:rsidTr="002A065A">
        <w:tc>
          <w:tcPr>
            <w:tcW w:w="1119" w:type="dxa"/>
            <w:vAlign w:val="top"/>
          </w:tcPr>
          <w:p w14:paraId="41CF7AC6" w14:textId="519C4DAD" w:rsidR="000B47A2" w:rsidRPr="00A53ABF" w:rsidRDefault="000B47A2" w:rsidP="003312F4">
            <w:pPr>
              <w:rPr>
                <w:rFonts w:ascii="Times New Roman" w:hAnsi="Times New Roman" w:cs="Times New Roman"/>
                <w:sz w:val="24"/>
                <w:szCs w:val="24"/>
                <w:lang w:val="ro-RO"/>
              </w:rPr>
            </w:pPr>
            <w:r w:rsidRPr="00A53ABF">
              <w:rPr>
                <w:rFonts w:ascii="Times New Roman" w:hAnsi="Times New Roman"/>
                <w:sz w:val="24"/>
                <w:lang w:val="ro-RO"/>
              </w:rPr>
              <w:lastRenderedPageBreak/>
              <w:t>EU-22</w:t>
            </w:r>
          </w:p>
        </w:tc>
        <w:tc>
          <w:tcPr>
            <w:tcW w:w="7642" w:type="dxa"/>
            <w:vAlign w:val="top"/>
          </w:tcPr>
          <w:p w14:paraId="4FA5E841" w14:textId="053232BD" w:rsidR="000B47A2" w:rsidRPr="00A53ABF" w:rsidRDefault="000B47A2" w:rsidP="003312F4">
            <w:pPr>
              <w:rPr>
                <w:rFonts w:ascii="Times New Roman" w:hAnsi="Times New Roman" w:cs="Times New Roman"/>
                <w:b/>
                <w:noProof/>
                <w:color w:val="000000" w:themeColor="text1"/>
                <w:sz w:val="24"/>
                <w:szCs w:val="24"/>
                <w:lang w:val="ro-RO"/>
              </w:rPr>
            </w:pPr>
            <w:r w:rsidRPr="00A53ABF">
              <w:rPr>
                <w:rFonts w:ascii="Times New Roman" w:hAnsi="Times New Roman"/>
                <w:b/>
                <w:color w:val="000000" w:themeColor="text1"/>
                <w:sz w:val="24"/>
                <w:lang w:val="ro-RO"/>
              </w:rPr>
              <w:t>Cuantumul total al datoriilor excluse prevăzute la articolul 72a alineatul (2) din Regulamentul (UE) nr. 575/2013</w:t>
            </w:r>
          </w:p>
        </w:tc>
      </w:tr>
    </w:tbl>
    <w:p w14:paraId="0C6C28B8" w14:textId="738A3B7A" w:rsidR="003956D6" w:rsidRPr="00A53ABF" w:rsidRDefault="003956D6" w:rsidP="003956D6">
      <w:pPr>
        <w:rPr>
          <w:rFonts w:ascii="Times New Roman" w:hAnsi="Times New Roman" w:cs="Times New Roman"/>
          <w:b/>
          <w:color w:val="000000" w:themeColor="text1"/>
          <w:sz w:val="24"/>
          <w:szCs w:val="24"/>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A53ABF"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sidRPr="00A53ABF">
        <w:rPr>
          <w:rFonts w:ascii="Times New Roman" w:hAnsi="Times New Roman"/>
          <w:color w:val="auto"/>
          <w:sz w:val="24"/>
        </w:rPr>
        <w:t>5.</w:t>
      </w:r>
      <w:r w:rsidRPr="00A53ABF">
        <w:rPr>
          <w:rFonts w:ascii="Times New Roman" w:hAnsi="Times New Roman"/>
          <w:color w:val="auto"/>
          <w:sz w:val="24"/>
        </w:rPr>
        <w:tab/>
        <w:t>EU TLAC2: Ordinea de prioritate a creditorilor – Entitățile care nu sunt ele însele enti</w:t>
      </w:r>
      <w:bookmarkEnd w:id="230"/>
      <w:r w:rsidRPr="00A53ABF">
        <w:rPr>
          <w:rFonts w:ascii="Times New Roman" w:hAnsi="Times New Roman"/>
          <w:color w:val="auto"/>
          <w:sz w:val="24"/>
        </w:rPr>
        <w:t>tăți de rezoluție</w:t>
      </w:r>
      <w:bookmarkEnd w:id="231"/>
      <w:bookmarkEnd w:id="232"/>
    </w:p>
    <w:p w14:paraId="7A03C7D5" w14:textId="52B10ED1" w:rsidR="00EE122D" w:rsidRPr="00A53ABF" w:rsidRDefault="00EE122D" w:rsidP="00B62DC9">
      <w:pPr>
        <w:pStyle w:val="InstructionsText2"/>
        <w:numPr>
          <w:ilvl w:val="0"/>
          <w:numId w:val="12"/>
        </w:numPr>
      </w:pPr>
      <w:r w:rsidRPr="00A53ABF">
        <w:t>Informațiile incluse în modelul EU TLAC2 se publică la nivelul entității individuale.</w:t>
      </w:r>
    </w:p>
    <w:p w14:paraId="37B5040A" w14:textId="241394B6" w:rsidR="00D76A01" w:rsidRPr="00A53ABF" w:rsidRDefault="00D76A01" w:rsidP="00B62DC9">
      <w:pPr>
        <w:pStyle w:val="InstructionsText2"/>
        <w:numPr>
          <w:ilvl w:val="0"/>
          <w:numId w:val="12"/>
        </w:numPr>
      </w:pPr>
      <w:r w:rsidRPr="00A53ABF">
        <w:t>Modelul EU TLAC2 există în două versiuni: EU TLAC2a și EU TLAC2b. TLAC2a cuprinde toate finanțările care sunt de rang egal sau inferior față de instrumentele eligibile pentru MREL, inclusiv fondurile proprii și alte instrumente de capital. EU TLAC2b cuprinde numai fondurile proprii și datoriile eligibile în scopul îndeplinirii cerinței prevăzute la articolul 45 din Directiva 2014/59/UE în conformitate cu articolul 45f din directiva menționată.</w:t>
      </w:r>
    </w:p>
    <w:p w14:paraId="51E3EFB7" w14:textId="5F05BD0B" w:rsidR="00410769" w:rsidRPr="00A53ABF" w:rsidRDefault="00410769" w:rsidP="00B62DC9">
      <w:pPr>
        <w:pStyle w:val="InstructionsText2"/>
        <w:numPr>
          <w:ilvl w:val="0"/>
          <w:numId w:val="12"/>
        </w:numPr>
      </w:pPr>
      <w:r w:rsidRPr="00A53ABF">
        <w:t>În conformitate cu articolul 13 alineatul (2) din prezentul regulament, entitățile care nu sunt supuse obligației de a respecta cerința de la articolul 92b din Regulamentul (UE) nr. 575/2013, dar care sunt supuse obligației de a respecta cerința prevăzută la articolul 45 din Directiva 2014/59/UE în conformitate cu articolul 45f din directiva respectivă pot alege să folosească EU TLAC2a sau EU TLAC2b pentru a îndeplini cerința de publicare a informațiilor prevăzută la articolul 45i alineatul (3) litera (b) din Directiva 2014/59/UE.</w:t>
      </w:r>
    </w:p>
    <w:p w14:paraId="0E950EC5" w14:textId="2D041687" w:rsidR="00510C0E" w:rsidRPr="00A53ABF" w:rsidRDefault="0071460A" w:rsidP="00B62DC9">
      <w:pPr>
        <w:pStyle w:val="InstructionsText2"/>
        <w:numPr>
          <w:ilvl w:val="0"/>
          <w:numId w:val="12"/>
        </w:numPr>
      </w:pPr>
      <w:r w:rsidRPr="00A53ABF">
        <w:t>De la data aplicării articolului 45i alineatul (3) din Directiva 2014/59/UE, entitățile emitente publică în modelul TLAC2a datoriile care ar putea fi eligibile pentru îndeplinirea cerințelor privind MREL internă și TLAC internă. Înainte de această dată, entitățile emitente publică datoriile care ar putea fi eligibile pentru îndeplinirea cerinței privind TLAC internă.</w:t>
      </w:r>
    </w:p>
    <w:p w14:paraId="6CD2E5E7" w14:textId="10E10F4A" w:rsidR="00134FA4" w:rsidRPr="00A53ABF" w:rsidRDefault="00134FA4" w:rsidP="00B62DC9">
      <w:pPr>
        <w:pStyle w:val="InstructionsText2"/>
        <w:numPr>
          <w:ilvl w:val="0"/>
          <w:numId w:val="12"/>
        </w:numPr>
      </w:pPr>
      <w:r w:rsidRPr="00A53ABF">
        <w:t>Sumele restante menționate pe rânduri trebuie să fie defalcate pe ranguri de prioritate din cadrul procedurii de insolvență în conformitate cu legislația în materie de insolvență aplicabilă entității emitente, indiferent de legislația care reglementează instrumentul.</w:t>
      </w:r>
    </w:p>
    <w:p w14:paraId="0B0B9A5D" w14:textId="25143FFC" w:rsidR="00134FA4" w:rsidRPr="00A53ABF" w:rsidRDefault="00522875" w:rsidP="00B62DC9">
      <w:pPr>
        <w:pStyle w:val="InstructionsText2"/>
        <w:numPr>
          <w:ilvl w:val="0"/>
          <w:numId w:val="12"/>
        </w:numPr>
      </w:pPr>
      <w:r w:rsidRPr="00A53ABF">
        <w:t>Ordinea de prioritate în cadrul procedurii de insolvență este cea comunicată de autoritatea de rezoluție competentă în conformitate cu prezentarea standardizată prevăzută la articolul 8 din prezentul regulament.</w:t>
      </w:r>
    </w:p>
    <w:p w14:paraId="572D872C" w14:textId="35C5457F" w:rsidR="00134FA4" w:rsidRPr="00A53ABF" w:rsidRDefault="00134FA4" w:rsidP="00B62DC9">
      <w:pPr>
        <w:pStyle w:val="InstructionsText2"/>
        <w:numPr>
          <w:ilvl w:val="0"/>
          <w:numId w:val="12"/>
        </w:numPr>
      </w:pPr>
      <w:r w:rsidRPr="00A53ABF">
        <w:t xml:space="preserve">Rangurile de prioritate se prezintă de la cel mai mic până la cel mai mare. Coloanele referitoare la rangul de prioritate din cadrul procedurii de insolvență trebuie adăugate până la publicarea instrumentelor potențial eligibile aflate pe rangurile de prioritate cele mai mari. </w:t>
      </w:r>
    </w:p>
    <w:p w14:paraId="451EEEC0" w14:textId="6C07DCB8" w:rsidR="00134FA4" w:rsidRPr="00A53ABF" w:rsidRDefault="00134FA4" w:rsidP="00B62DC9">
      <w:pPr>
        <w:pStyle w:val="InstructionsText2"/>
        <w:numPr>
          <w:ilvl w:val="0"/>
          <w:numId w:val="12"/>
        </w:numPr>
      </w:pPr>
      <w:r w:rsidRPr="00A53ABF">
        <w:lastRenderedPageBreak/>
        <w:t>Cuantumul atribuibil fiecărui rang de prioritate este defalcat la rândul său în cuantumuri deținute de entitatea de rezoluție, inclusiv cuantumurile deținute direct sau indirect de entitatea de rezoluție prin intermediul entităților din lanțul de proprietate, dacă este cazul, și alte cuantumuri care nu sunt deținute de entitatea de rezoluție, după caz. Cuantumul total de la fiecare rând se completează în ultima coloană a fiecărui rând.</w:t>
      </w:r>
    </w:p>
    <w:p w14:paraId="4EBA1B5C" w14:textId="77777777" w:rsidR="00134FA4" w:rsidRPr="00A53ABF" w:rsidRDefault="00134FA4" w:rsidP="00134FA4">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A53ABF" w14:paraId="31E0F598" w14:textId="77777777" w:rsidTr="006E5727">
        <w:trPr>
          <w:trHeight w:val="238"/>
        </w:trPr>
        <w:tc>
          <w:tcPr>
            <w:tcW w:w="1384" w:type="dxa"/>
            <w:shd w:val="clear" w:color="auto" w:fill="D9D9D9" w:themeFill="background1" w:themeFillShade="D9"/>
          </w:tcPr>
          <w:p w14:paraId="1E16BF2A" w14:textId="77777777" w:rsidR="00134FA4" w:rsidRPr="00A53ABF" w:rsidRDefault="00134FA4" w:rsidP="006E5727">
            <w:pPr>
              <w:autoSpaceDE w:val="0"/>
              <w:autoSpaceDN w:val="0"/>
              <w:adjustRightInd w:val="0"/>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Rânduri</w:t>
            </w:r>
          </w:p>
        </w:tc>
        <w:tc>
          <w:tcPr>
            <w:tcW w:w="7655" w:type="dxa"/>
            <w:shd w:val="clear" w:color="auto" w:fill="D9D9D9" w:themeFill="background1" w:themeFillShade="D9"/>
          </w:tcPr>
          <w:p w14:paraId="69B07763" w14:textId="240E225B" w:rsidR="00134FA4" w:rsidRPr="00A53ABF" w:rsidRDefault="00E46262" w:rsidP="006E5727">
            <w:pPr>
              <w:autoSpaceDE w:val="0"/>
              <w:autoSpaceDN w:val="0"/>
              <w:adjustRightInd w:val="0"/>
              <w:rPr>
                <w:rFonts w:ascii="Times New Roman" w:hAnsi="Times New Roman" w:cs="Times New Roman"/>
                <w:color w:val="000000" w:themeColor="text1"/>
                <w:sz w:val="24"/>
                <w:szCs w:val="24"/>
              </w:rPr>
            </w:pPr>
            <w:r w:rsidRPr="00A53ABF">
              <w:rPr>
                <w:rFonts w:ascii="Times New Roman" w:hAnsi="Times New Roman"/>
                <w:b/>
                <w:color w:val="000000" w:themeColor="text1"/>
                <w:sz w:val="24"/>
              </w:rPr>
              <w:t>Referințe juridice și instrucțiuni</w:t>
            </w:r>
          </w:p>
        </w:tc>
      </w:tr>
      <w:tr w:rsidR="008871C6" w:rsidRPr="00A53ABF" w14:paraId="209D319D" w14:textId="77777777" w:rsidTr="00AA4A01">
        <w:trPr>
          <w:trHeight w:val="70"/>
        </w:trPr>
        <w:tc>
          <w:tcPr>
            <w:tcW w:w="1384" w:type="dxa"/>
          </w:tcPr>
          <w:p w14:paraId="6E58CC27" w14:textId="0752B747" w:rsidR="008871C6" w:rsidRPr="00A53ABF" w:rsidRDefault="008871C6" w:rsidP="000C3B9F">
            <w:pPr>
              <w:pStyle w:val="Applicationdirecte"/>
              <w:spacing w:before="120"/>
              <w:rPr>
                <w:szCs w:val="24"/>
              </w:rPr>
            </w:pPr>
            <w:r w:rsidRPr="00A53ABF">
              <w:t>1</w:t>
            </w:r>
          </w:p>
        </w:tc>
        <w:tc>
          <w:tcPr>
            <w:tcW w:w="7655" w:type="dxa"/>
          </w:tcPr>
          <w:p w14:paraId="5F9CE229" w14:textId="006CF2E0" w:rsidR="008871C6" w:rsidRPr="00A53ABF" w:rsidRDefault="008871C6"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Câmp vid în contextul UE</w:t>
            </w:r>
          </w:p>
        </w:tc>
      </w:tr>
      <w:tr w:rsidR="000C3B9F" w:rsidRPr="00A53ABF" w14:paraId="568E403E" w14:textId="77777777" w:rsidTr="006E5727">
        <w:trPr>
          <w:trHeight w:val="1014"/>
        </w:trPr>
        <w:tc>
          <w:tcPr>
            <w:tcW w:w="1384" w:type="dxa"/>
          </w:tcPr>
          <w:p w14:paraId="1E3A9FE3" w14:textId="763A11D8" w:rsidR="000C3B9F" w:rsidRPr="00A53ABF" w:rsidRDefault="000C3B9F" w:rsidP="000C3B9F">
            <w:pPr>
              <w:pStyle w:val="Applicationdirecte"/>
              <w:spacing w:before="120"/>
              <w:rPr>
                <w:color w:val="000000" w:themeColor="text1"/>
                <w:szCs w:val="24"/>
              </w:rPr>
            </w:pPr>
            <w:r w:rsidRPr="00A53ABF">
              <w:t>2</w:t>
            </w:r>
          </w:p>
        </w:tc>
        <w:tc>
          <w:tcPr>
            <w:tcW w:w="7655" w:type="dxa"/>
          </w:tcPr>
          <w:p w14:paraId="4A148EDF" w14:textId="407C4BEB" w:rsidR="000C3B9F" w:rsidRPr="00A53ABF" w:rsidRDefault="000C3B9F"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Descrierea rangului de prioritate din cadrul procedurii de insolvență (text liber)</w:t>
            </w:r>
          </w:p>
          <w:p w14:paraId="11B9DED3" w14:textId="414A0BB6" w:rsidR="000C3B9F" w:rsidRPr="00A53ABF" w:rsidRDefault="000C3B9F" w:rsidP="000C3B9F">
            <w:pPr>
              <w:pStyle w:val="Applicationdirecte"/>
              <w:spacing w:before="120"/>
              <w:rPr>
                <w:color w:val="000000" w:themeColor="text1"/>
                <w:szCs w:val="24"/>
              </w:rPr>
            </w:pPr>
            <w:r w:rsidRPr="00A53ABF">
              <w:rPr>
                <w:color w:val="000000" w:themeColor="text1"/>
              </w:rPr>
              <w:t xml:space="preserve">Numărul de ranguri de prioritate din cadrul procedurii de insolvență (n) în ordinea de prioritate a creditorilor va depinde de gama de datorii ale entității emitente. Descrierea ar trebui să includă o precizare a tipurilor de creanțe care se încadrează în respectivul rang de prioritate din cadrul procedurii de insolvență (de exemplu, instrumente de fonduri proprii de nivel 1 de bază, instrumente de fonduri proprii de nivel 2). </w:t>
            </w:r>
          </w:p>
          <w:p w14:paraId="22A60804" w14:textId="5BBC2F70" w:rsidR="000C3B9F" w:rsidRPr="00A53ABF" w:rsidRDefault="000C3B9F" w:rsidP="00331959">
            <w:pPr>
              <w:pStyle w:val="Applicationdirecte"/>
              <w:spacing w:before="120"/>
              <w:rPr>
                <w:b/>
                <w:color w:val="000000" w:themeColor="text1"/>
                <w:szCs w:val="24"/>
              </w:rPr>
            </w:pPr>
            <w:r w:rsidRPr="00A53ABF">
              <w:rPr>
                <w:color w:val="000000" w:themeColor="text1"/>
              </w:rPr>
              <w:t>Fiecărui rang de prioritate din cadrul procedurii de insolvență îi corespunde o coloană în cazul în care cuantumul este deținut în întregime de entitatea de rezoluție,</w:t>
            </w:r>
            <w:r w:rsidRPr="00A53ABF">
              <w:t xml:space="preserve"> fiind incluse cuantumurile deținute direct sau indirect de entitatea de rezoluție prin intermediul entităților din lanțul de proprietate, după caz</w:t>
            </w:r>
            <w:r w:rsidRPr="00A53ABF">
              <w:rPr>
                <w:color w:val="000000" w:themeColor="text1"/>
              </w:rPr>
              <w:t xml:space="preserve">, și o a doua coloană în cazul în care o parte din cuantumul per rang de prioritate este deținut și de alți deținători decât entitatea de rezoluție. </w:t>
            </w:r>
          </w:p>
        </w:tc>
      </w:tr>
      <w:tr w:rsidR="000C3B9F" w:rsidRPr="00A53ABF" w14:paraId="4F584FCC" w14:textId="77777777" w:rsidTr="006E5727">
        <w:trPr>
          <w:trHeight w:val="1014"/>
        </w:trPr>
        <w:tc>
          <w:tcPr>
            <w:tcW w:w="1384" w:type="dxa"/>
          </w:tcPr>
          <w:p w14:paraId="2A436C9B" w14:textId="2CCB8C6C" w:rsidR="000C3B9F" w:rsidRPr="00A53ABF" w:rsidRDefault="000C3B9F" w:rsidP="000C3B9F">
            <w:pPr>
              <w:pStyle w:val="Applicationdirecte"/>
              <w:spacing w:before="120"/>
              <w:rPr>
                <w:color w:val="000000" w:themeColor="text1"/>
                <w:szCs w:val="24"/>
              </w:rPr>
            </w:pPr>
            <w:r w:rsidRPr="00A53ABF">
              <w:t>3</w:t>
            </w:r>
          </w:p>
        </w:tc>
        <w:tc>
          <w:tcPr>
            <w:tcW w:w="7655" w:type="dxa"/>
          </w:tcPr>
          <w:p w14:paraId="77AA473A" w14:textId="5D74CC27" w:rsidR="000C3B9F" w:rsidRPr="00A53ABF" w:rsidRDefault="00367DF1"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Datorii și fonduri proprii</w:t>
            </w:r>
          </w:p>
          <w:p w14:paraId="4216384F" w14:textId="0D31DC4A" w:rsidR="000C3B9F" w:rsidRPr="00A53ABF" w:rsidRDefault="00BB21F0" w:rsidP="00AA4A01">
            <w:pPr>
              <w:pStyle w:val="Applicationdirecte"/>
              <w:spacing w:before="120"/>
              <w:rPr>
                <w:color w:val="000000" w:themeColor="text1"/>
              </w:rPr>
            </w:pPr>
            <w:r w:rsidRPr="00A53ABF">
              <w:rPr>
                <w:color w:val="000000" w:themeColor="text1"/>
              </w:rPr>
              <w:t>Cuantumul fondurilor proprii, al datoriilor eligibile și al datoriilor cu rang inferior sau egal față de fondurile proprii sau datoriile eligibile.</w:t>
            </w:r>
          </w:p>
          <w:p w14:paraId="1B0E819E" w14:textId="77777777" w:rsidR="00BB21F0" w:rsidRPr="00A53ABF" w:rsidRDefault="00BB21F0" w:rsidP="00AA4A01">
            <w:pPr>
              <w:pStyle w:val="Applicationdirecte"/>
              <w:spacing w:before="120"/>
              <w:rPr>
                <w:color w:val="000000" w:themeColor="text1"/>
              </w:rPr>
            </w:pPr>
            <w:r w:rsidRPr="00A53ABF">
              <w:rPr>
                <w:color w:val="000000" w:themeColor="text1"/>
              </w:rPr>
              <w:t>Se includ, de asemenea, datoriile excluse de la recapitalizarea internă.</w:t>
            </w:r>
          </w:p>
          <w:p w14:paraId="5A7B82DD" w14:textId="368405A5" w:rsidR="008907A6" w:rsidRPr="00A53ABF" w:rsidRDefault="00410769" w:rsidP="005F391D">
            <w:pPr>
              <w:pStyle w:val="Fait"/>
            </w:pPr>
            <w:r w:rsidRPr="00A53ABF">
              <w:t>Acest rând nu este aplicabil în modelul EU TLAC2b.</w:t>
            </w:r>
          </w:p>
        </w:tc>
      </w:tr>
      <w:tr w:rsidR="000C3B9F" w:rsidRPr="00A53ABF" w14:paraId="27EAD1F9" w14:textId="77777777" w:rsidTr="006E5727">
        <w:trPr>
          <w:trHeight w:val="483"/>
        </w:trPr>
        <w:tc>
          <w:tcPr>
            <w:tcW w:w="1384" w:type="dxa"/>
          </w:tcPr>
          <w:p w14:paraId="09FA1416" w14:textId="27DA35B3" w:rsidR="000C3B9F" w:rsidRPr="00A53ABF" w:rsidRDefault="000C3B9F" w:rsidP="000C3B9F">
            <w:pPr>
              <w:pStyle w:val="Applicationdirecte"/>
              <w:spacing w:before="120"/>
              <w:rPr>
                <w:color w:val="000000" w:themeColor="text1"/>
                <w:szCs w:val="24"/>
              </w:rPr>
            </w:pPr>
            <w:r w:rsidRPr="00A53ABF">
              <w:t>4</w:t>
            </w:r>
          </w:p>
        </w:tc>
        <w:tc>
          <w:tcPr>
            <w:tcW w:w="7655" w:type="dxa"/>
          </w:tcPr>
          <w:p w14:paraId="59E154B3" w14:textId="0A45A9DB" w:rsidR="000C3B9F" w:rsidRPr="00A53ABF" w:rsidRDefault="00A14A6B" w:rsidP="000C3B9F">
            <w:pPr>
              <w:pStyle w:val="Fait"/>
              <w:rPr>
                <w:rFonts w:eastAsiaTheme="minorEastAsia"/>
                <w:b/>
                <w:color w:val="000000" w:themeColor="text1"/>
                <w:szCs w:val="24"/>
              </w:rPr>
            </w:pPr>
            <w:r w:rsidRPr="00A53ABF">
              <w:rPr>
                <w:b/>
                <w:color w:val="000000" w:themeColor="text1"/>
              </w:rPr>
              <w:t>Datorii și fonduri proprii – din care: datorii excluse</w:t>
            </w:r>
          </w:p>
          <w:p w14:paraId="543649CA" w14:textId="35542114" w:rsidR="006C6694" w:rsidRPr="00A53ABF" w:rsidRDefault="000C3B9F" w:rsidP="005F391D">
            <w:pPr>
              <w:pStyle w:val="Applicationdirecte"/>
              <w:spacing w:before="120"/>
              <w:rPr>
                <w:color w:val="000000" w:themeColor="text1"/>
                <w:szCs w:val="24"/>
              </w:rPr>
            </w:pPr>
            <w:r w:rsidRPr="00A53ABF">
              <w:rPr>
                <w:color w:val="000000" w:themeColor="text1"/>
              </w:rPr>
              <w:t>Defalcarea datoriilor excluse în temeiul articolului 72a alineatul (2) din Regulamentul (UE) nr. 575/2013 sau al articolului 44 alineatul (2) din Directiva 2014/59/UE și, după caz, al articolului 44 alineatul (3) din Directiva 2014/59/UE.</w:t>
            </w:r>
          </w:p>
          <w:p w14:paraId="182D9647" w14:textId="5AEB0362" w:rsidR="008907A6" w:rsidRPr="00A53ABF" w:rsidRDefault="00410769" w:rsidP="005F391D">
            <w:pPr>
              <w:pStyle w:val="Applicationdirecte"/>
              <w:spacing w:before="120"/>
            </w:pPr>
            <w:r w:rsidRPr="00A53ABF">
              <w:t>Acest rând nu este aplicabil în modelul EU TLAC2b.</w:t>
            </w:r>
          </w:p>
        </w:tc>
      </w:tr>
      <w:tr w:rsidR="000C3B9F" w:rsidRPr="00A53ABF" w14:paraId="3CFAFBE4" w14:textId="77777777" w:rsidTr="006E5727">
        <w:trPr>
          <w:trHeight w:val="1014"/>
        </w:trPr>
        <w:tc>
          <w:tcPr>
            <w:tcW w:w="1384" w:type="dxa"/>
          </w:tcPr>
          <w:p w14:paraId="76860F6D" w14:textId="42C3686D" w:rsidR="000C3B9F" w:rsidRPr="00A53ABF" w:rsidRDefault="000C3B9F" w:rsidP="000C3B9F">
            <w:pPr>
              <w:pStyle w:val="Applicationdirecte"/>
              <w:spacing w:before="120"/>
              <w:rPr>
                <w:color w:val="000000" w:themeColor="text1"/>
                <w:szCs w:val="24"/>
              </w:rPr>
            </w:pPr>
            <w:r w:rsidRPr="00A53ABF">
              <w:lastRenderedPageBreak/>
              <w:t>5</w:t>
            </w:r>
          </w:p>
        </w:tc>
        <w:tc>
          <w:tcPr>
            <w:tcW w:w="7655" w:type="dxa"/>
          </w:tcPr>
          <w:p w14:paraId="005DF5FF" w14:textId="228C6814" w:rsidR="0016339F" w:rsidRPr="00A53ABF" w:rsidRDefault="00367DF1" w:rsidP="00EF47A4">
            <w:pPr>
              <w:pStyle w:val="Fait"/>
            </w:pPr>
            <w:r w:rsidRPr="00A53ABF">
              <w:rPr>
                <w:b/>
                <w:color w:val="000000" w:themeColor="text1"/>
              </w:rPr>
              <w:t>Datorii și fonduri proprii, mai puțin datoriile excluse</w:t>
            </w:r>
          </w:p>
          <w:p w14:paraId="359D335B" w14:textId="3554B9D3" w:rsidR="008907A6" w:rsidRPr="00A53ABF" w:rsidRDefault="00367DF1" w:rsidP="005F391D">
            <w:pPr>
              <w:pStyle w:val="Fait"/>
            </w:pPr>
            <w:r w:rsidRPr="00A53ABF">
              <w:rPr>
                <w:color w:val="000000" w:themeColor="text1"/>
              </w:rPr>
              <w:t>Datorii și fonduri proprii fără datoriile excluse.</w:t>
            </w:r>
          </w:p>
          <w:p w14:paraId="52590AAA" w14:textId="18E701D2" w:rsidR="000C3B9F" w:rsidRPr="00A53ABF" w:rsidRDefault="00410769" w:rsidP="008907A6">
            <w:pPr>
              <w:pStyle w:val="Applicationdirecte"/>
              <w:spacing w:before="120"/>
              <w:rPr>
                <w:color w:val="000000" w:themeColor="text1"/>
                <w:szCs w:val="24"/>
              </w:rPr>
            </w:pPr>
            <w:r w:rsidRPr="00A53ABF">
              <w:t>Acest rând nu este aplicabil în modelul EU TLAC2b.</w:t>
            </w:r>
          </w:p>
        </w:tc>
      </w:tr>
      <w:tr w:rsidR="000C3B9F" w:rsidRPr="00A53ABF" w14:paraId="2699A3CB" w14:textId="77777777" w:rsidTr="006E5727">
        <w:trPr>
          <w:trHeight w:val="316"/>
        </w:trPr>
        <w:tc>
          <w:tcPr>
            <w:tcW w:w="1384" w:type="dxa"/>
          </w:tcPr>
          <w:p w14:paraId="039E3565" w14:textId="2A27D53A" w:rsidR="000C3B9F" w:rsidRPr="00A53ABF" w:rsidRDefault="000C3B9F" w:rsidP="000C3B9F">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sidRPr="00A53ABF">
              <w:rPr>
                <w:rFonts w:ascii="Times New Roman" w:hAnsi="Times New Roman"/>
                <w:sz w:val="24"/>
              </w:rPr>
              <w:t>6</w:t>
            </w:r>
          </w:p>
        </w:tc>
        <w:tc>
          <w:tcPr>
            <w:tcW w:w="7655" w:type="dxa"/>
          </w:tcPr>
          <w:p w14:paraId="677315D1" w14:textId="45D4D61F" w:rsidR="000C3B9F" w:rsidRPr="00A53ABF" w:rsidRDefault="000C3B9F" w:rsidP="000C3B9F">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sidRPr="00A53ABF">
              <w:rPr>
                <w:rFonts w:ascii="Times New Roman" w:hAnsi="Times New Roman"/>
                <w:b/>
                <w:color w:val="000000" w:themeColor="text1"/>
                <w:sz w:val="24"/>
              </w:rPr>
              <w:t>Subsetul de datorii și fonduri proprii minus datoriile excluse care sunt fonduri proprii și datorii eligibile în sensul MREL interne/TLAC interne</w:t>
            </w:r>
          </w:p>
          <w:p w14:paraId="666E0A9A" w14:textId="0E7111CB" w:rsidR="000C3B9F" w:rsidRPr="00A53ABF" w:rsidRDefault="000C3B9F" w:rsidP="00341FB2">
            <w:pPr>
              <w:rPr>
                <w:rFonts w:ascii="Times New Roman" w:eastAsia="Times New Roman" w:hAnsi="Times New Roman" w:cs="Times New Roman"/>
                <w:color w:val="000000" w:themeColor="text1"/>
                <w:sz w:val="24"/>
                <w:szCs w:val="24"/>
              </w:rPr>
            </w:pPr>
            <w:r w:rsidRPr="00A53ABF">
              <w:rPr>
                <w:rFonts w:ascii="Times New Roman" w:hAnsi="Times New Roman"/>
                <w:color w:val="000000" w:themeColor="text1"/>
                <w:sz w:val="24"/>
              </w:rPr>
              <w:t xml:space="preserve">Defalcarea cuantumului fondurilor proprii și al datoriilor eligibile în sensul MREL interne sau în sensul TLAC interne, după caz, în conformitate cu punctul 11 de mai sus. </w:t>
            </w:r>
          </w:p>
        </w:tc>
      </w:tr>
      <w:tr w:rsidR="000C3B9F" w:rsidRPr="00A53ABF" w14:paraId="0BED3052" w14:textId="77777777" w:rsidTr="006E5727">
        <w:trPr>
          <w:trHeight w:val="316"/>
        </w:trPr>
        <w:tc>
          <w:tcPr>
            <w:tcW w:w="1384" w:type="dxa"/>
          </w:tcPr>
          <w:p w14:paraId="6F2D6129" w14:textId="1A05DE99" w:rsidR="000C3B9F" w:rsidRPr="00A53ABF" w:rsidRDefault="000C3B9F" w:rsidP="000C3B9F">
            <w:pPr>
              <w:autoSpaceDE w:val="0"/>
              <w:autoSpaceDN w:val="0"/>
              <w:adjustRightInd w:val="0"/>
              <w:rPr>
                <w:rFonts w:ascii="Times New Roman" w:eastAsia="Times New Roman" w:hAnsi="Times New Roman" w:cs="Times New Roman"/>
                <w:color w:val="000000" w:themeColor="text1"/>
                <w:sz w:val="24"/>
                <w:szCs w:val="24"/>
              </w:rPr>
            </w:pPr>
            <w:r w:rsidRPr="00A53ABF">
              <w:rPr>
                <w:rFonts w:ascii="Times New Roman" w:hAnsi="Times New Roman"/>
                <w:sz w:val="24"/>
              </w:rPr>
              <w:t>7</w:t>
            </w:r>
          </w:p>
        </w:tc>
        <w:tc>
          <w:tcPr>
            <w:tcW w:w="7655" w:type="dxa"/>
          </w:tcPr>
          <w:p w14:paraId="3AF5477F" w14:textId="1583355E" w:rsidR="000C3B9F" w:rsidRPr="00A53ABF"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 xml:space="preserve">Din care: scadența reziduală ≥ 1 an &lt; 2 ani </w:t>
            </w:r>
          </w:p>
          <w:p w14:paraId="6EC4B8A9" w14:textId="6798BA07" w:rsidR="000C3B9F" w:rsidRPr="00A53ABF" w:rsidRDefault="0016339F" w:rsidP="000C3B9F">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Subsetul rândului 6 cu scadența reziduală relevantă.</w:t>
            </w:r>
          </w:p>
        </w:tc>
      </w:tr>
      <w:tr w:rsidR="000C3B9F" w:rsidRPr="00A53ABF" w14:paraId="094D1657" w14:textId="77777777" w:rsidTr="006E5727">
        <w:trPr>
          <w:trHeight w:val="316"/>
        </w:trPr>
        <w:tc>
          <w:tcPr>
            <w:tcW w:w="1384" w:type="dxa"/>
          </w:tcPr>
          <w:p w14:paraId="25637642" w14:textId="2444ED10" w:rsidR="000C3B9F" w:rsidRPr="00A53ABF" w:rsidRDefault="000C3B9F" w:rsidP="000C3B9F">
            <w:pPr>
              <w:autoSpaceDE w:val="0"/>
              <w:autoSpaceDN w:val="0"/>
              <w:adjustRightInd w:val="0"/>
              <w:rPr>
                <w:rFonts w:ascii="Times New Roman" w:eastAsia="Times New Roman" w:hAnsi="Times New Roman" w:cs="Times New Roman"/>
                <w:color w:val="000000" w:themeColor="text1"/>
                <w:sz w:val="24"/>
                <w:szCs w:val="24"/>
              </w:rPr>
            </w:pPr>
            <w:r w:rsidRPr="00A53ABF">
              <w:rPr>
                <w:rFonts w:ascii="Times New Roman" w:hAnsi="Times New Roman"/>
                <w:sz w:val="24"/>
              </w:rPr>
              <w:t>8</w:t>
            </w:r>
          </w:p>
        </w:tc>
        <w:tc>
          <w:tcPr>
            <w:tcW w:w="7655" w:type="dxa"/>
          </w:tcPr>
          <w:p w14:paraId="73BC8BDA" w14:textId="65A30D65" w:rsidR="000C3B9F" w:rsidRPr="00A53ABF"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Din care: scadența reziduală ≥ 2 ani &lt; 5 ani</w:t>
            </w:r>
          </w:p>
          <w:p w14:paraId="234E2E25" w14:textId="7A58A472" w:rsidR="000C3B9F" w:rsidRPr="00A53ABF" w:rsidRDefault="00F04275" w:rsidP="00F04275">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Subsetul rândului 6 cu scadența reziduală relevantă.</w:t>
            </w:r>
          </w:p>
        </w:tc>
      </w:tr>
      <w:tr w:rsidR="000C3B9F" w:rsidRPr="00A53ABF" w14:paraId="55CCE5FF" w14:textId="77777777" w:rsidTr="006E5727">
        <w:trPr>
          <w:trHeight w:val="316"/>
        </w:trPr>
        <w:tc>
          <w:tcPr>
            <w:tcW w:w="1384" w:type="dxa"/>
          </w:tcPr>
          <w:p w14:paraId="6D5EB35C" w14:textId="61800317" w:rsidR="000C3B9F" w:rsidRPr="00A53ABF" w:rsidRDefault="000C3B9F" w:rsidP="000C3B9F">
            <w:pPr>
              <w:autoSpaceDE w:val="0"/>
              <w:autoSpaceDN w:val="0"/>
              <w:adjustRightInd w:val="0"/>
              <w:rPr>
                <w:rFonts w:ascii="Times New Roman" w:eastAsia="Times New Roman" w:hAnsi="Times New Roman" w:cs="Times New Roman"/>
                <w:color w:val="000000" w:themeColor="text1"/>
                <w:sz w:val="24"/>
                <w:szCs w:val="24"/>
              </w:rPr>
            </w:pPr>
            <w:r w:rsidRPr="00A53ABF">
              <w:rPr>
                <w:rFonts w:ascii="Times New Roman" w:hAnsi="Times New Roman"/>
                <w:sz w:val="24"/>
              </w:rPr>
              <w:t>9</w:t>
            </w:r>
          </w:p>
        </w:tc>
        <w:tc>
          <w:tcPr>
            <w:tcW w:w="7655" w:type="dxa"/>
          </w:tcPr>
          <w:p w14:paraId="6513D39F" w14:textId="3B45C903" w:rsidR="000C3B9F" w:rsidRPr="00A53ABF"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Din care: scadența reziduală ≥ 5 ani &lt; 10 ani</w:t>
            </w:r>
          </w:p>
          <w:p w14:paraId="44AA56B3" w14:textId="34E09E5C" w:rsidR="000C3B9F" w:rsidRPr="00A53ABF" w:rsidRDefault="00F04275" w:rsidP="000C3B9F">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Subsetul rândului 6 cu scadența reziduală relevantă.</w:t>
            </w:r>
          </w:p>
        </w:tc>
      </w:tr>
      <w:tr w:rsidR="000C3B9F" w:rsidRPr="00A53ABF" w14:paraId="0B08B0F5" w14:textId="77777777" w:rsidTr="006E5727">
        <w:trPr>
          <w:trHeight w:val="316"/>
        </w:trPr>
        <w:tc>
          <w:tcPr>
            <w:tcW w:w="1384" w:type="dxa"/>
          </w:tcPr>
          <w:p w14:paraId="30A040BA" w14:textId="2B401877" w:rsidR="000C3B9F" w:rsidRPr="00A53ABF" w:rsidRDefault="000C3B9F" w:rsidP="000C3B9F">
            <w:pPr>
              <w:autoSpaceDE w:val="0"/>
              <w:autoSpaceDN w:val="0"/>
              <w:adjustRightInd w:val="0"/>
              <w:rPr>
                <w:rFonts w:ascii="Times New Roman" w:hAnsi="Times New Roman" w:cs="Times New Roman"/>
                <w:color w:val="000000" w:themeColor="text1"/>
                <w:sz w:val="24"/>
                <w:szCs w:val="24"/>
              </w:rPr>
            </w:pPr>
            <w:r w:rsidRPr="00A53ABF">
              <w:rPr>
                <w:rFonts w:ascii="Times New Roman" w:hAnsi="Times New Roman"/>
                <w:sz w:val="24"/>
              </w:rPr>
              <w:t>10</w:t>
            </w:r>
          </w:p>
        </w:tc>
        <w:tc>
          <w:tcPr>
            <w:tcW w:w="7655" w:type="dxa"/>
          </w:tcPr>
          <w:p w14:paraId="0EDFF84A" w14:textId="7F3D5273" w:rsidR="000C3B9F" w:rsidRPr="00A53ABF"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Din care: scadența reziduală ≥ 10 ani, însă fără titlurile de valoare perpetue</w:t>
            </w:r>
          </w:p>
          <w:p w14:paraId="4144E4C2" w14:textId="6B7049FC" w:rsidR="000C3B9F" w:rsidRPr="00A53ABF" w:rsidRDefault="00F04275"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color w:val="000000" w:themeColor="text1"/>
                <w:sz w:val="24"/>
              </w:rPr>
              <w:t>Subsetul rândului 6 cu scadența reziduală relevantă.</w:t>
            </w:r>
          </w:p>
        </w:tc>
      </w:tr>
      <w:tr w:rsidR="000C3B9F" w:rsidRPr="00A53ABF" w14:paraId="23AD712F" w14:textId="77777777" w:rsidTr="006E5727">
        <w:trPr>
          <w:trHeight w:val="316"/>
        </w:trPr>
        <w:tc>
          <w:tcPr>
            <w:tcW w:w="1384" w:type="dxa"/>
          </w:tcPr>
          <w:p w14:paraId="67796F9B" w14:textId="308AC29C" w:rsidR="000C3B9F" w:rsidRPr="00A53ABF" w:rsidRDefault="000C3B9F" w:rsidP="000C3B9F">
            <w:pPr>
              <w:autoSpaceDE w:val="0"/>
              <w:autoSpaceDN w:val="0"/>
              <w:adjustRightInd w:val="0"/>
              <w:rPr>
                <w:rFonts w:ascii="Times New Roman" w:hAnsi="Times New Roman" w:cs="Times New Roman"/>
                <w:color w:val="000000" w:themeColor="text1"/>
                <w:sz w:val="24"/>
                <w:szCs w:val="24"/>
              </w:rPr>
            </w:pPr>
            <w:r w:rsidRPr="00A53ABF">
              <w:rPr>
                <w:rFonts w:ascii="Times New Roman" w:hAnsi="Times New Roman"/>
                <w:sz w:val="24"/>
              </w:rPr>
              <w:t>11</w:t>
            </w:r>
          </w:p>
        </w:tc>
        <w:tc>
          <w:tcPr>
            <w:tcW w:w="7655" w:type="dxa"/>
          </w:tcPr>
          <w:p w14:paraId="38BB8DE3" w14:textId="6E91083A" w:rsidR="000C3B9F" w:rsidRPr="00A53ABF"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Din care: titluri de valoare perpetue</w:t>
            </w:r>
          </w:p>
          <w:p w14:paraId="0E3F0B9E" w14:textId="5C0A7C24" w:rsidR="000C3B9F" w:rsidRPr="00A53ABF" w:rsidRDefault="00F04275" w:rsidP="00F04275">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color w:val="000000" w:themeColor="text1"/>
                <w:sz w:val="24"/>
              </w:rPr>
              <w:t>Subsetul rândului 6 care corespunde titlurilor de valoare perpetue.</w:t>
            </w:r>
          </w:p>
        </w:tc>
      </w:tr>
    </w:tbl>
    <w:p w14:paraId="4FDBE82C" w14:textId="77777777" w:rsidR="00134FA4" w:rsidRPr="00A53ABF" w:rsidRDefault="00134FA4" w:rsidP="00134FA4">
      <w:pPr>
        <w:jc w:val="both"/>
        <w:rPr>
          <w:rFonts w:ascii="Times New Roman" w:hAnsi="Times New Roman" w:cs="Times New Roman"/>
          <w:bCs/>
          <w:i/>
          <w:noProof/>
          <w:color w:val="000000" w:themeColor="text1"/>
          <w:sz w:val="24"/>
          <w:szCs w:val="24"/>
        </w:rPr>
      </w:pPr>
    </w:p>
    <w:p w14:paraId="4266C07E" w14:textId="3B554313" w:rsidR="00134FA4" w:rsidRPr="00A53ABF"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3" w:name="_Toc529272912"/>
      <w:bookmarkStart w:id="234" w:name="_Toc14770787"/>
      <w:bookmarkStart w:id="235" w:name="_Toc45266930"/>
      <w:r w:rsidRPr="00A53ABF">
        <w:rPr>
          <w:rFonts w:ascii="Times New Roman" w:hAnsi="Times New Roman"/>
          <w:color w:val="auto"/>
          <w:sz w:val="24"/>
        </w:rPr>
        <w:t>6.</w:t>
      </w:r>
      <w:r w:rsidRPr="00A53ABF">
        <w:rPr>
          <w:rFonts w:ascii="Times New Roman" w:hAnsi="Times New Roman"/>
          <w:color w:val="auto"/>
          <w:sz w:val="24"/>
        </w:rPr>
        <w:tab/>
        <w:t xml:space="preserve">EU TLAC3: Ordinea de prioritate a creditorilor – entitate de </w:t>
      </w:r>
      <w:bookmarkEnd w:id="233"/>
      <w:bookmarkEnd w:id="234"/>
      <w:r w:rsidRPr="00A53ABF">
        <w:rPr>
          <w:rFonts w:ascii="Times New Roman" w:hAnsi="Times New Roman"/>
          <w:color w:val="auto"/>
          <w:sz w:val="24"/>
        </w:rPr>
        <w:t>rezoluție</w:t>
      </w:r>
      <w:bookmarkEnd w:id="235"/>
    </w:p>
    <w:p w14:paraId="578097FF" w14:textId="1EA4E7A0" w:rsidR="00EE122D" w:rsidRPr="00A53ABF" w:rsidRDefault="00EE122D" w:rsidP="00B62DC9">
      <w:pPr>
        <w:pStyle w:val="InstructionsText2"/>
        <w:numPr>
          <w:ilvl w:val="0"/>
          <w:numId w:val="12"/>
        </w:numPr>
      </w:pPr>
      <w:r w:rsidRPr="00A53ABF">
        <w:t>Informațiile incluse în modelul EU TLAC3 se publică la nivelul entității individuale.</w:t>
      </w:r>
    </w:p>
    <w:p w14:paraId="0EB7EFE1" w14:textId="7A32417C" w:rsidR="00410769" w:rsidRPr="00A53ABF" w:rsidRDefault="00410769" w:rsidP="00B62DC9">
      <w:pPr>
        <w:pStyle w:val="InstructionsText2"/>
        <w:numPr>
          <w:ilvl w:val="0"/>
          <w:numId w:val="12"/>
        </w:numPr>
      </w:pPr>
      <w:r w:rsidRPr="00A53ABF">
        <w:t>Modelul EU TLAC3 există în două versiuni: EU TLAC3a și EU TLAC3b. EU TLAC3a cuprinde toate finanțările care sunt de rang egal sau inferior față de instrumentele care ar putea fi eligibile pentru MREL, inclusiv fondurile proprii și alte instrumente de capital. Cuantumurile care sunt neeligibile exclusiv ca urmare a cerințelor de subordonare se includ integral pe rândul corespunzător rangului de prioritate relevant din cadrul procedurii de insolvență, și anume fără aplicarea plafoanelor. EU TLAC3b cuprinde numai fondurile proprii și datoriile eligibile în scopul îndeplinirii cerinței prevăzute la articolul 45 din Directiva 2014/59/UE în conformitate cu articolul 45e din directiva menționată.</w:t>
      </w:r>
    </w:p>
    <w:p w14:paraId="417A390B" w14:textId="2D84B100" w:rsidR="00410769" w:rsidRPr="00A53ABF" w:rsidRDefault="00410769" w:rsidP="00B62DC9">
      <w:pPr>
        <w:pStyle w:val="InstructionsText2"/>
        <w:numPr>
          <w:ilvl w:val="0"/>
          <w:numId w:val="12"/>
        </w:numPr>
      </w:pPr>
      <w:r w:rsidRPr="00A53ABF">
        <w:lastRenderedPageBreak/>
        <w:t>În conformitate cu articolul 14 alineatul (2) din prezentul regulament, entitățile care nu sunt supuse obligației de a respecta cerința de la articolul 92a din Regulamentul (UE) nr. 575/2013, dar care sunt supuse obligației de a respecta cerința prevăzută la articolul 45 din Directiva 2014/59/UE în conformitate cu articolul 45e din directiva respectivă pot alege să folosească EU TLAC3a sau EU TLAC3b pentru a îndeplini cerința de publicare a informațiilor prevăzută la articolul 45i alineatul (3) litera (b) din Directiva 2014/59/UE.</w:t>
      </w:r>
    </w:p>
    <w:p w14:paraId="7914D4A7" w14:textId="50C29BF6" w:rsidR="005F391D" w:rsidRPr="00A53ABF" w:rsidRDefault="005F391D" w:rsidP="00B62DC9">
      <w:pPr>
        <w:pStyle w:val="InstructionsText2"/>
        <w:numPr>
          <w:ilvl w:val="0"/>
          <w:numId w:val="12"/>
        </w:numPr>
      </w:pPr>
      <w:r w:rsidRPr="00A53ABF">
        <w:t>De la data aplicării articolului 45i alineatul (3) din Directiva 2014/59/UE, entitățile emitente publică în modelul EU TLAC3a datoriile care ar putea fi eligibile pentru îndeplinirea cerințelor privind MREL și TLAC. Înainte de această dată, entitățile emitente publică datoriile care ar putea fi eligibile pentru îndeplinirea cerinței privind TLAC internă.</w:t>
      </w:r>
    </w:p>
    <w:p w14:paraId="0643F6F9" w14:textId="54E61B56" w:rsidR="005F391D" w:rsidRPr="00A53ABF" w:rsidRDefault="00134FA4" w:rsidP="00B62DC9">
      <w:pPr>
        <w:pStyle w:val="InstructionsText2"/>
        <w:numPr>
          <w:ilvl w:val="0"/>
          <w:numId w:val="12"/>
        </w:numPr>
      </w:pPr>
      <w:r w:rsidRPr="00A53ABF">
        <w:t>Sumele restante menționate pe rândurile 2-10 trebuie să fie defalcate pe ranguri de prioritate din cadrul procedurii de insolvență în conformitate cu legislația în materie de insolvență aplicabilă entității emitente, indiferent de legislația care reglementează instrumentul.</w:t>
      </w:r>
    </w:p>
    <w:p w14:paraId="2ED9C4B9" w14:textId="752032A7" w:rsidR="005F391D" w:rsidRPr="00A53ABF" w:rsidRDefault="00EA31AA" w:rsidP="00B62DC9">
      <w:pPr>
        <w:pStyle w:val="InstructionsText2"/>
        <w:numPr>
          <w:ilvl w:val="0"/>
          <w:numId w:val="12"/>
        </w:numPr>
      </w:pPr>
      <w:r w:rsidRPr="00A53ABF">
        <w:t>Rangurile de prioritate din cadrul procedurii de insolvență sunt cele comunicate de autoritatea de rezoluție competentă în conformitate cu prezentarea standardizată precizată în modelul de raportare relevant.</w:t>
      </w:r>
    </w:p>
    <w:p w14:paraId="098D1362" w14:textId="424912A1" w:rsidR="003D2D85" w:rsidRPr="00A53ABF" w:rsidRDefault="00134FA4" w:rsidP="00B62DC9">
      <w:pPr>
        <w:pStyle w:val="InstructionsText2"/>
        <w:numPr>
          <w:ilvl w:val="0"/>
          <w:numId w:val="12"/>
        </w:numPr>
      </w:pPr>
      <w:r w:rsidRPr="00A53ABF">
        <w:t>Rangurile de prioritate se prezintă de la cel mai mic până la cel mai mare. Coloanele referitoare la rangul de prioritate din cadrul procedurii de insolvență trebuie adăugate până la publicarea instrumentelor potențial eligibile aflate pe rangurile de prioritate cele mai mari.</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A53ABF" w14:paraId="6CE82287" w14:textId="77777777" w:rsidTr="006E5727">
        <w:trPr>
          <w:trHeight w:val="238"/>
        </w:trPr>
        <w:tc>
          <w:tcPr>
            <w:tcW w:w="1384" w:type="dxa"/>
            <w:shd w:val="clear" w:color="auto" w:fill="D9D9D9" w:themeFill="background1" w:themeFillShade="D9"/>
          </w:tcPr>
          <w:p w14:paraId="35ABF31F" w14:textId="77777777" w:rsidR="00134FA4" w:rsidRPr="00A53ABF" w:rsidRDefault="00134FA4" w:rsidP="006E5727">
            <w:pPr>
              <w:autoSpaceDE w:val="0"/>
              <w:autoSpaceDN w:val="0"/>
              <w:adjustRightInd w:val="0"/>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Rânduri</w:t>
            </w:r>
          </w:p>
        </w:tc>
        <w:tc>
          <w:tcPr>
            <w:tcW w:w="7655" w:type="dxa"/>
            <w:shd w:val="clear" w:color="auto" w:fill="D9D9D9" w:themeFill="background1" w:themeFillShade="D9"/>
          </w:tcPr>
          <w:p w14:paraId="209AC79A" w14:textId="70829AEF" w:rsidR="00134FA4" w:rsidRPr="00A53ABF" w:rsidRDefault="00E46262" w:rsidP="006E5727">
            <w:pPr>
              <w:autoSpaceDE w:val="0"/>
              <w:autoSpaceDN w:val="0"/>
              <w:adjustRightInd w:val="0"/>
              <w:rPr>
                <w:rFonts w:ascii="Times New Roman" w:hAnsi="Times New Roman" w:cs="Times New Roman"/>
                <w:color w:val="000000" w:themeColor="text1"/>
                <w:sz w:val="24"/>
                <w:szCs w:val="24"/>
              </w:rPr>
            </w:pPr>
            <w:r w:rsidRPr="00A53ABF">
              <w:rPr>
                <w:rFonts w:ascii="Times New Roman" w:hAnsi="Times New Roman"/>
                <w:b/>
                <w:color w:val="000000" w:themeColor="text1"/>
                <w:sz w:val="24"/>
              </w:rPr>
              <w:t>Referințe juridice și instrucțiuni</w:t>
            </w:r>
          </w:p>
        </w:tc>
      </w:tr>
      <w:tr w:rsidR="001D5616" w:rsidRPr="00A53ABF" w14:paraId="0C101719" w14:textId="77777777" w:rsidTr="006E5727">
        <w:trPr>
          <w:trHeight w:val="1014"/>
        </w:trPr>
        <w:tc>
          <w:tcPr>
            <w:tcW w:w="1384" w:type="dxa"/>
          </w:tcPr>
          <w:p w14:paraId="20818F1A" w14:textId="6C8CC711" w:rsidR="001D5616" w:rsidRPr="00A53ABF" w:rsidRDefault="008871C6" w:rsidP="001D5616">
            <w:pPr>
              <w:pStyle w:val="Applicationdirecte"/>
              <w:spacing w:before="120"/>
              <w:rPr>
                <w:color w:val="000000" w:themeColor="text1"/>
                <w:szCs w:val="24"/>
              </w:rPr>
            </w:pPr>
            <w:r w:rsidRPr="00A53ABF">
              <w:t>1</w:t>
            </w:r>
          </w:p>
        </w:tc>
        <w:tc>
          <w:tcPr>
            <w:tcW w:w="7655" w:type="dxa"/>
          </w:tcPr>
          <w:p w14:paraId="255BAE3D" w14:textId="6FBDCDA3" w:rsidR="001D5616" w:rsidRPr="00A53ABF"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Descrierea rangului de prioritate din cadrul procedurii de insolvență (text liber)</w:t>
            </w:r>
          </w:p>
          <w:p w14:paraId="4938332D" w14:textId="624185AF" w:rsidR="001D5616" w:rsidRPr="00A53ABF" w:rsidRDefault="001D5616" w:rsidP="00EA31AA">
            <w:pPr>
              <w:pStyle w:val="Applicationdirecte"/>
              <w:spacing w:before="120"/>
              <w:rPr>
                <w:color w:val="000000" w:themeColor="text1"/>
                <w:szCs w:val="24"/>
              </w:rPr>
            </w:pPr>
            <w:r w:rsidRPr="00A53ABF">
              <w:rPr>
                <w:color w:val="000000" w:themeColor="text1"/>
              </w:rPr>
              <w:t>Numărul de ranguri de prioritate din cadrul procedurii de insolvență (n) în ordinea de prioritate a creditorilor va depinde de gama de datorii ale entității. Fiecărui rang de prioritate din cadrul procedurii de insolvență îi corespunde o coloană. Descrierea ar trebui să includă o precizare a tipurilor de creanțe care se încadrează în respectivul rang de prioritate din cadrul procedurii de insolvență (de exemplu, instrumente de fonduri proprii de nivel 1 de bază, instrumente de fonduri proprii de nivel 2).</w:t>
            </w:r>
          </w:p>
        </w:tc>
      </w:tr>
      <w:tr w:rsidR="001D5616" w:rsidRPr="00A53ABF" w14:paraId="282F3909" w14:textId="77777777" w:rsidTr="006E5727">
        <w:trPr>
          <w:trHeight w:val="1014"/>
        </w:trPr>
        <w:tc>
          <w:tcPr>
            <w:tcW w:w="1384" w:type="dxa"/>
          </w:tcPr>
          <w:p w14:paraId="6052D413" w14:textId="27A1C7E6" w:rsidR="001D5616" w:rsidRPr="00A53ABF" w:rsidRDefault="008871C6" w:rsidP="001D5616">
            <w:pPr>
              <w:pStyle w:val="Applicationdirecte"/>
              <w:spacing w:before="120"/>
              <w:rPr>
                <w:color w:val="000000" w:themeColor="text1"/>
                <w:szCs w:val="24"/>
              </w:rPr>
            </w:pPr>
            <w:r w:rsidRPr="00A53ABF">
              <w:t>2</w:t>
            </w:r>
          </w:p>
        </w:tc>
        <w:tc>
          <w:tcPr>
            <w:tcW w:w="7655" w:type="dxa"/>
          </w:tcPr>
          <w:p w14:paraId="649ECD5E" w14:textId="0534C38B" w:rsidR="001D5616" w:rsidRPr="00A53ABF" w:rsidRDefault="00367DF1"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Datorii și fonduri proprii</w:t>
            </w:r>
          </w:p>
          <w:p w14:paraId="6CEB4608" w14:textId="77777777" w:rsidR="003D2D85" w:rsidRPr="00A53ABF" w:rsidRDefault="003D2D85" w:rsidP="003D2D85">
            <w:pPr>
              <w:pStyle w:val="Applicationdirecte"/>
              <w:spacing w:before="120"/>
              <w:rPr>
                <w:color w:val="000000" w:themeColor="text1"/>
              </w:rPr>
            </w:pPr>
            <w:r w:rsidRPr="00A53ABF">
              <w:rPr>
                <w:color w:val="000000" w:themeColor="text1"/>
              </w:rPr>
              <w:t>Cuantumul fondurilor proprii, al datoriilor eligibile și al datoriilor cu rang inferior sau egal față de fondurile proprii sau datoriile eligibile.</w:t>
            </w:r>
          </w:p>
          <w:p w14:paraId="7ABCDC8B" w14:textId="193792D4" w:rsidR="00585921" w:rsidRPr="00A53ABF" w:rsidRDefault="003D2D85" w:rsidP="00E13544">
            <w:pPr>
              <w:pStyle w:val="Applicationdirecte"/>
              <w:spacing w:before="120"/>
              <w:rPr>
                <w:color w:val="000000" w:themeColor="text1"/>
              </w:rPr>
            </w:pPr>
            <w:r w:rsidRPr="00A53ABF">
              <w:rPr>
                <w:color w:val="000000" w:themeColor="text1"/>
              </w:rPr>
              <w:t>Se includ, de asemenea, datoriile excluse de la recapitalizarea internă.</w:t>
            </w:r>
            <w:r w:rsidRPr="00A53ABF">
              <w:t xml:space="preserve"> </w:t>
            </w:r>
          </w:p>
          <w:p w14:paraId="3B3981A4" w14:textId="543E66EA" w:rsidR="003D2D85" w:rsidRPr="00A53ABF" w:rsidRDefault="008348B0" w:rsidP="00640F37">
            <w:pPr>
              <w:pStyle w:val="Fait"/>
            </w:pPr>
            <w:r w:rsidRPr="00A53ABF">
              <w:t>Acest rând nu este aplicabil în modelul EU TLAC3b.</w:t>
            </w:r>
          </w:p>
        </w:tc>
      </w:tr>
      <w:tr w:rsidR="001D5616" w:rsidRPr="00A53ABF" w14:paraId="7EFDEF71" w14:textId="77777777" w:rsidTr="006E5727">
        <w:trPr>
          <w:trHeight w:val="483"/>
        </w:trPr>
        <w:tc>
          <w:tcPr>
            <w:tcW w:w="1384" w:type="dxa"/>
          </w:tcPr>
          <w:p w14:paraId="36ABDA8C" w14:textId="78FEFA6B" w:rsidR="001D5616" w:rsidRPr="00A53ABF" w:rsidRDefault="008871C6" w:rsidP="001D5616">
            <w:pPr>
              <w:pStyle w:val="Applicationdirecte"/>
              <w:spacing w:before="120"/>
              <w:rPr>
                <w:color w:val="000000" w:themeColor="text1"/>
                <w:szCs w:val="24"/>
              </w:rPr>
            </w:pPr>
            <w:r w:rsidRPr="00A53ABF">
              <w:lastRenderedPageBreak/>
              <w:t>3</w:t>
            </w:r>
          </w:p>
        </w:tc>
        <w:tc>
          <w:tcPr>
            <w:tcW w:w="7655" w:type="dxa"/>
          </w:tcPr>
          <w:p w14:paraId="79EC0340" w14:textId="06B26FCE" w:rsidR="001D5616" w:rsidRPr="00A53ABF" w:rsidRDefault="00A14A6B" w:rsidP="001D5616">
            <w:pPr>
              <w:pStyle w:val="Fait"/>
              <w:rPr>
                <w:b/>
                <w:color w:val="000000" w:themeColor="text1"/>
                <w:szCs w:val="24"/>
              </w:rPr>
            </w:pPr>
            <w:r w:rsidRPr="00A53ABF">
              <w:rPr>
                <w:b/>
                <w:color w:val="000000" w:themeColor="text1"/>
              </w:rPr>
              <w:t>Datorii și fonduri proprii – din care: datorii excluse</w:t>
            </w:r>
          </w:p>
          <w:p w14:paraId="0FF41010" w14:textId="001ECF54" w:rsidR="003D2D85" w:rsidRPr="00A53ABF" w:rsidRDefault="003D2D85" w:rsidP="003D2D85">
            <w:pPr>
              <w:pStyle w:val="Applicationdirecte"/>
              <w:spacing w:before="120"/>
              <w:rPr>
                <w:color w:val="000000" w:themeColor="text1"/>
                <w:szCs w:val="24"/>
              </w:rPr>
            </w:pPr>
            <w:r w:rsidRPr="00A53ABF">
              <w:rPr>
                <w:color w:val="000000" w:themeColor="text1"/>
              </w:rPr>
              <w:t>Defalcarea datoriilor excluse în temeiul articolului 72a alineatul (2) din Regulamentul (UE) nr. 575/2013 sau al articolului 44 alineatul (2) din Directiva 2014/59/UE și, după caz, al articolului 44 alineatul (3) din directiva menționată.</w:t>
            </w:r>
          </w:p>
          <w:p w14:paraId="6E4598A5" w14:textId="066BD409" w:rsidR="003D2D85" w:rsidRPr="00A53ABF" w:rsidRDefault="008348B0" w:rsidP="001D5616">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Acest rând nu este aplicabil în modelul EU TLAC3b.</w:t>
            </w:r>
          </w:p>
        </w:tc>
      </w:tr>
      <w:tr w:rsidR="001D5616" w:rsidRPr="00A53ABF" w14:paraId="3040763E" w14:textId="77777777" w:rsidTr="006E5727">
        <w:trPr>
          <w:trHeight w:val="1014"/>
        </w:trPr>
        <w:tc>
          <w:tcPr>
            <w:tcW w:w="1384" w:type="dxa"/>
          </w:tcPr>
          <w:p w14:paraId="6ED7CBD7" w14:textId="71B213F7" w:rsidR="001D5616" w:rsidRPr="00A53ABF" w:rsidRDefault="008871C6" w:rsidP="001D5616">
            <w:pPr>
              <w:pStyle w:val="Applicationdirecte"/>
              <w:spacing w:before="120"/>
              <w:rPr>
                <w:color w:val="000000" w:themeColor="text1"/>
                <w:szCs w:val="24"/>
              </w:rPr>
            </w:pPr>
            <w:r w:rsidRPr="00A53ABF">
              <w:t>4</w:t>
            </w:r>
          </w:p>
        </w:tc>
        <w:tc>
          <w:tcPr>
            <w:tcW w:w="7655" w:type="dxa"/>
          </w:tcPr>
          <w:p w14:paraId="67B3F8CE" w14:textId="50557F36" w:rsidR="001D5616" w:rsidRPr="00A53ABF" w:rsidRDefault="00367DF1" w:rsidP="001D5616">
            <w:pPr>
              <w:jc w:val="both"/>
              <w:rPr>
                <w:rFonts w:ascii="Times New Roman" w:eastAsia="Times New Roman" w:hAnsi="Times New Roman" w:cs="Times New Roman"/>
                <w:b/>
                <w:color w:val="000000" w:themeColor="text1"/>
                <w:sz w:val="24"/>
                <w:szCs w:val="24"/>
              </w:rPr>
            </w:pPr>
            <w:r w:rsidRPr="00A53ABF">
              <w:rPr>
                <w:rFonts w:ascii="Times New Roman" w:hAnsi="Times New Roman"/>
                <w:b/>
                <w:color w:val="000000" w:themeColor="text1"/>
                <w:sz w:val="24"/>
              </w:rPr>
              <w:t>Datorii și fonduri proprii, mai puțin datoriile excluse</w:t>
            </w:r>
          </w:p>
          <w:p w14:paraId="09D8C04D" w14:textId="0C90618C" w:rsidR="001D5616" w:rsidRPr="00A53ABF" w:rsidRDefault="00367DF1" w:rsidP="001D5616">
            <w:pPr>
              <w:jc w:val="both"/>
              <w:rPr>
                <w:color w:val="000000" w:themeColor="text1"/>
                <w:szCs w:val="24"/>
              </w:rPr>
            </w:pPr>
            <w:r w:rsidRPr="00A53ABF">
              <w:rPr>
                <w:rFonts w:ascii="Times New Roman" w:hAnsi="Times New Roman"/>
                <w:color w:val="000000" w:themeColor="text1"/>
                <w:sz w:val="24"/>
              </w:rPr>
              <w:t>Datorii și fonduri proprii fără datoriile excluse.</w:t>
            </w:r>
            <w:r w:rsidRPr="00A53ABF">
              <w:rPr>
                <w:color w:val="000000" w:themeColor="text1"/>
              </w:rPr>
              <w:t xml:space="preserve"> </w:t>
            </w:r>
          </w:p>
          <w:p w14:paraId="4C2B3296" w14:textId="5FECF8AC" w:rsidR="003D2D85" w:rsidRPr="00A53ABF" w:rsidRDefault="008348B0" w:rsidP="001D5616">
            <w:pPr>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Acest rând nu este aplicabil în modelul EU TLAC3b.</w:t>
            </w:r>
          </w:p>
        </w:tc>
      </w:tr>
      <w:tr w:rsidR="001D5616" w:rsidRPr="00A53ABF" w14:paraId="3A2C5DDE" w14:textId="77777777" w:rsidTr="006E5727">
        <w:trPr>
          <w:trHeight w:val="316"/>
        </w:trPr>
        <w:tc>
          <w:tcPr>
            <w:tcW w:w="1384" w:type="dxa"/>
          </w:tcPr>
          <w:p w14:paraId="3404E285" w14:textId="021B6A65" w:rsidR="001D5616" w:rsidRPr="00A53ABF" w:rsidRDefault="008871C6" w:rsidP="001D5616">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sidRPr="00A53ABF">
              <w:rPr>
                <w:rFonts w:ascii="Times New Roman" w:hAnsi="Times New Roman"/>
                <w:sz w:val="24"/>
              </w:rPr>
              <w:t>5</w:t>
            </w:r>
          </w:p>
        </w:tc>
        <w:tc>
          <w:tcPr>
            <w:tcW w:w="7655" w:type="dxa"/>
          </w:tcPr>
          <w:p w14:paraId="3A72D26C" w14:textId="33DDDACD" w:rsidR="001D5616" w:rsidRPr="00A53ABF" w:rsidRDefault="001D5616" w:rsidP="001D5616">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sidRPr="00A53ABF">
              <w:rPr>
                <w:rFonts w:ascii="Times New Roman" w:hAnsi="Times New Roman"/>
                <w:b/>
                <w:color w:val="000000" w:themeColor="text1"/>
                <w:sz w:val="24"/>
              </w:rPr>
              <w:t>Subsetul de datorii și fonduri proprii minus datoriile excluse care sunt fonduri proprii și datorii care ar putea fi eligibile pentru îndeplinirea MREL/TLAC</w:t>
            </w:r>
          </w:p>
          <w:p w14:paraId="4D791BCD" w14:textId="72DDE991" w:rsidR="001D5616" w:rsidRPr="00A53ABF" w:rsidRDefault="001D5616" w:rsidP="008B671A">
            <w:pPr>
              <w:rPr>
                <w:rFonts w:ascii="Times New Roman" w:eastAsia="Times New Roman" w:hAnsi="Times New Roman" w:cs="Times New Roman"/>
                <w:color w:val="000000" w:themeColor="text1"/>
                <w:sz w:val="24"/>
                <w:szCs w:val="24"/>
              </w:rPr>
            </w:pPr>
            <w:r w:rsidRPr="00A53ABF">
              <w:rPr>
                <w:rFonts w:ascii="Times New Roman" w:hAnsi="Times New Roman"/>
                <w:color w:val="000000" w:themeColor="text1"/>
                <w:sz w:val="24"/>
              </w:rPr>
              <w:t>Defalcarea cuantumului fondurilor proprii și al datoriilor eligibile în sensul MREL sau în sensul TLAC, după caz, în conformitate cu punctul 19 de mai sus, fără aplicarea plafoanelor pentru recunoașterea datoriilor nesubordonate.</w:t>
            </w:r>
          </w:p>
        </w:tc>
      </w:tr>
      <w:tr w:rsidR="001D5616" w:rsidRPr="00A53ABF" w14:paraId="1AD03E0A" w14:textId="77777777" w:rsidTr="006E5727">
        <w:trPr>
          <w:trHeight w:val="316"/>
        </w:trPr>
        <w:tc>
          <w:tcPr>
            <w:tcW w:w="1384" w:type="dxa"/>
          </w:tcPr>
          <w:p w14:paraId="5319D1AF" w14:textId="74E28EE0" w:rsidR="001D5616" w:rsidRPr="00A53ABF" w:rsidRDefault="008871C6" w:rsidP="001D5616">
            <w:pPr>
              <w:autoSpaceDE w:val="0"/>
              <w:autoSpaceDN w:val="0"/>
              <w:adjustRightInd w:val="0"/>
              <w:rPr>
                <w:rFonts w:ascii="Times New Roman" w:eastAsia="Times New Roman" w:hAnsi="Times New Roman" w:cs="Times New Roman"/>
                <w:color w:val="000000" w:themeColor="text1"/>
                <w:sz w:val="24"/>
                <w:szCs w:val="24"/>
              </w:rPr>
            </w:pPr>
            <w:r w:rsidRPr="00A53ABF">
              <w:rPr>
                <w:rFonts w:ascii="Times New Roman" w:hAnsi="Times New Roman"/>
                <w:sz w:val="24"/>
              </w:rPr>
              <w:t>6</w:t>
            </w:r>
          </w:p>
        </w:tc>
        <w:tc>
          <w:tcPr>
            <w:tcW w:w="7655" w:type="dxa"/>
          </w:tcPr>
          <w:p w14:paraId="208DFDB8" w14:textId="6F2FB385" w:rsidR="001D5616" w:rsidRPr="00A53ABF"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 xml:space="preserve">Din care: scadența reziduală ≥ 1 an &lt; 2 ani </w:t>
            </w:r>
          </w:p>
          <w:p w14:paraId="024B38D7" w14:textId="23586DB1" w:rsidR="001D5616" w:rsidRPr="00A53ABF"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Subsetul rândului 5 cu scadența reziduală relevantă.</w:t>
            </w:r>
          </w:p>
        </w:tc>
      </w:tr>
      <w:tr w:rsidR="001D5616" w:rsidRPr="00A53ABF" w14:paraId="589F2978" w14:textId="77777777" w:rsidTr="006E5727">
        <w:trPr>
          <w:trHeight w:val="316"/>
        </w:trPr>
        <w:tc>
          <w:tcPr>
            <w:tcW w:w="1384" w:type="dxa"/>
          </w:tcPr>
          <w:p w14:paraId="41E8C660" w14:textId="7938235A" w:rsidR="001D5616" w:rsidRPr="00A53ABF" w:rsidRDefault="008871C6" w:rsidP="001D5616">
            <w:pPr>
              <w:autoSpaceDE w:val="0"/>
              <w:autoSpaceDN w:val="0"/>
              <w:adjustRightInd w:val="0"/>
              <w:rPr>
                <w:rFonts w:ascii="Times New Roman" w:eastAsia="Times New Roman" w:hAnsi="Times New Roman" w:cs="Times New Roman"/>
                <w:color w:val="000000" w:themeColor="text1"/>
                <w:sz w:val="24"/>
                <w:szCs w:val="24"/>
              </w:rPr>
            </w:pPr>
            <w:r w:rsidRPr="00A53ABF">
              <w:rPr>
                <w:rFonts w:ascii="Times New Roman" w:hAnsi="Times New Roman"/>
                <w:sz w:val="24"/>
              </w:rPr>
              <w:t>7</w:t>
            </w:r>
          </w:p>
        </w:tc>
        <w:tc>
          <w:tcPr>
            <w:tcW w:w="7655" w:type="dxa"/>
          </w:tcPr>
          <w:p w14:paraId="1A0F18F5" w14:textId="1406EA6F" w:rsidR="001D5616" w:rsidRPr="00A53ABF"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Din care: scadența reziduală ≥ 2 ani &lt; 5 ani</w:t>
            </w:r>
          </w:p>
          <w:p w14:paraId="503D3ECD" w14:textId="3E0914A8" w:rsidR="001D5616" w:rsidRPr="00A53ABF"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Subsetul rândului 5 cu scadența reziduală relevantă.</w:t>
            </w:r>
          </w:p>
        </w:tc>
      </w:tr>
      <w:tr w:rsidR="001D5616" w:rsidRPr="00A53ABF" w14:paraId="1CE5BF41" w14:textId="77777777" w:rsidTr="006E5727">
        <w:trPr>
          <w:trHeight w:val="316"/>
        </w:trPr>
        <w:tc>
          <w:tcPr>
            <w:tcW w:w="1384" w:type="dxa"/>
          </w:tcPr>
          <w:p w14:paraId="6D06C91E" w14:textId="6BE3FA67" w:rsidR="001D5616" w:rsidRPr="00A53ABF" w:rsidRDefault="008871C6" w:rsidP="001D5616">
            <w:pPr>
              <w:autoSpaceDE w:val="0"/>
              <w:autoSpaceDN w:val="0"/>
              <w:adjustRightInd w:val="0"/>
              <w:rPr>
                <w:rFonts w:ascii="Times New Roman" w:eastAsia="Times New Roman" w:hAnsi="Times New Roman" w:cs="Times New Roman"/>
                <w:color w:val="000000" w:themeColor="text1"/>
                <w:sz w:val="24"/>
                <w:szCs w:val="24"/>
              </w:rPr>
            </w:pPr>
            <w:r w:rsidRPr="00A53ABF">
              <w:rPr>
                <w:rFonts w:ascii="Times New Roman" w:hAnsi="Times New Roman"/>
                <w:sz w:val="24"/>
              </w:rPr>
              <w:t>8</w:t>
            </w:r>
          </w:p>
        </w:tc>
        <w:tc>
          <w:tcPr>
            <w:tcW w:w="7655" w:type="dxa"/>
          </w:tcPr>
          <w:p w14:paraId="385E6CA6" w14:textId="685C5434" w:rsidR="001D5616" w:rsidRPr="00A53ABF"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Din care: scadența reziduală ≥ 5 ani &lt; 10 ani</w:t>
            </w:r>
          </w:p>
          <w:p w14:paraId="197AF3C0" w14:textId="56872A6F" w:rsidR="001D5616" w:rsidRPr="00A53ABF"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sidRPr="00A53ABF">
              <w:rPr>
                <w:rFonts w:ascii="Times New Roman" w:hAnsi="Times New Roman"/>
                <w:color w:val="000000" w:themeColor="text1"/>
                <w:sz w:val="24"/>
              </w:rPr>
              <w:t>Subsetul rândului 5 cu scadența reziduală relevantă.</w:t>
            </w:r>
          </w:p>
        </w:tc>
      </w:tr>
      <w:tr w:rsidR="001D5616" w:rsidRPr="00A53ABF" w14:paraId="6652A440" w14:textId="77777777" w:rsidTr="006E5727">
        <w:trPr>
          <w:trHeight w:val="316"/>
        </w:trPr>
        <w:tc>
          <w:tcPr>
            <w:tcW w:w="1384" w:type="dxa"/>
          </w:tcPr>
          <w:p w14:paraId="34E6E46D" w14:textId="5ECCD03F" w:rsidR="001D5616" w:rsidRPr="00A53ABF" w:rsidRDefault="008871C6" w:rsidP="008871C6">
            <w:pPr>
              <w:autoSpaceDE w:val="0"/>
              <w:autoSpaceDN w:val="0"/>
              <w:adjustRightInd w:val="0"/>
              <w:rPr>
                <w:rFonts w:ascii="Times New Roman" w:hAnsi="Times New Roman" w:cs="Times New Roman"/>
                <w:color w:val="000000" w:themeColor="text1"/>
                <w:sz w:val="24"/>
                <w:szCs w:val="24"/>
              </w:rPr>
            </w:pPr>
            <w:r w:rsidRPr="00A53ABF">
              <w:rPr>
                <w:rFonts w:ascii="Times New Roman" w:hAnsi="Times New Roman"/>
                <w:sz w:val="24"/>
              </w:rPr>
              <w:t>9</w:t>
            </w:r>
          </w:p>
        </w:tc>
        <w:tc>
          <w:tcPr>
            <w:tcW w:w="7655" w:type="dxa"/>
          </w:tcPr>
          <w:p w14:paraId="18D5EBD6" w14:textId="39172B5A" w:rsidR="001D5616" w:rsidRPr="00A53ABF"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Din care: scadența reziduală ≥ 10 ani, însă fără titlurile de valoare perpetue</w:t>
            </w:r>
          </w:p>
          <w:p w14:paraId="61C53A18" w14:textId="6ED02288" w:rsidR="001D5616" w:rsidRPr="00A53ABF"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color w:val="000000" w:themeColor="text1"/>
                <w:sz w:val="24"/>
              </w:rPr>
              <w:t xml:space="preserve">Subsetul rândului 5 cu scadența reziduală relevantă. </w:t>
            </w:r>
          </w:p>
        </w:tc>
      </w:tr>
      <w:tr w:rsidR="001D5616" w:rsidRPr="00A53ABF" w14:paraId="122BED89" w14:textId="77777777" w:rsidTr="006E5727">
        <w:trPr>
          <w:trHeight w:val="316"/>
        </w:trPr>
        <w:tc>
          <w:tcPr>
            <w:tcW w:w="1384" w:type="dxa"/>
          </w:tcPr>
          <w:p w14:paraId="0B741CEB" w14:textId="37EB6C3B" w:rsidR="001D5616" w:rsidRPr="00A53ABF" w:rsidRDefault="001D5616" w:rsidP="001D5616">
            <w:pPr>
              <w:autoSpaceDE w:val="0"/>
              <w:autoSpaceDN w:val="0"/>
              <w:adjustRightInd w:val="0"/>
              <w:rPr>
                <w:rFonts w:ascii="Times New Roman" w:hAnsi="Times New Roman" w:cs="Times New Roman"/>
                <w:color w:val="000000" w:themeColor="text1"/>
                <w:sz w:val="24"/>
                <w:szCs w:val="24"/>
              </w:rPr>
            </w:pPr>
            <w:r w:rsidRPr="00A53ABF">
              <w:rPr>
                <w:rFonts w:ascii="Times New Roman" w:hAnsi="Times New Roman"/>
                <w:sz w:val="24"/>
              </w:rPr>
              <w:t>10</w:t>
            </w:r>
          </w:p>
        </w:tc>
        <w:tc>
          <w:tcPr>
            <w:tcW w:w="7655" w:type="dxa"/>
          </w:tcPr>
          <w:p w14:paraId="00862BE8" w14:textId="48E6FB14" w:rsidR="001D5616" w:rsidRPr="00A53ABF"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b/>
                <w:color w:val="000000" w:themeColor="text1"/>
                <w:sz w:val="24"/>
              </w:rPr>
              <w:t>Din care: titluri de valoare perpetue</w:t>
            </w:r>
          </w:p>
          <w:p w14:paraId="364F102A" w14:textId="35E5C977" w:rsidR="001D5616" w:rsidRPr="00A53ABF"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A53ABF">
              <w:rPr>
                <w:rFonts w:ascii="Times New Roman" w:hAnsi="Times New Roman"/>
                <w:color w:val="000000" w:themeColor="text1"/>
                <w:sz w:val="24"/>
              </w:rPr>
              <w:t xml:space="preserve">Subsetul rândului 5 care corespunde titlurilor de valoare perpetue. </w:t>
            </w:r>
          </w:p>
        </w:tc>
      </w:tr>
    </w:tbl>
    <w:p w14:paraId="727A9C45" w14:textId="513EB7A2" w:rsidR="002E3F40" w:rsidRPr="00A53ABF" w:rsidRDefault="00676354" w:rsidP="00AA4A01">
      <w:pPr>
        <w:pStyle w:val="body"/>
      </w:pPr>
      <w:r w:rsidRPr="00A53ABF">
        <w:t>”</w:t>
      </w:r>
    </w:p>
    <w:sectPr w:rsidR="002E3F40" w:rsidRPr="00A53ABF"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t>2</w:t>
        </w:r>
        <w:r w:rsidR="00290A9D">
          <w:t>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sidRPr="00DB5E8F">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w:rPr>
        <w:noProof/>
      </w:rP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Utilizare curentă 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Utilizare curentă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Title:  - Description: Utilizare curentă AB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Utilizare curentă ABE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w:rPr>
        <w:noProof/>
      </w:rP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Utilizare curentă 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Utilizare curentă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Title:  - Description: Utilizare curentă AB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Utilizare curentă ABE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35E62C9C"/>
    <w:lvl w:ilvl="0" w:tplc="C1962A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EEC22C74"/>
    <w:lvl w:ilvl="0" w:tplc="5F56F3B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760C1692"/>
    <w:lvl w:ilvl="0" w:tplc="236EA62C">
      <w:start w:val="1"/>
      <w:numFmt w:val="decimal"/>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proofState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9046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ABF"/>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33F9"/>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0465"/>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val="en-IE"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eastAsia="en-GB"/>
    </w:rPr>
  </w:style>
  <w:style w:type="paragraph" w:customStyle="1" w:styleId="CM1">
    <w:name w:val="CM1"/>
    <w:basedOn w:val="Default"/>
    <w:next w:val="Default"/>
    <w:uiPriority w:val="99"/>
    <w:rsid w:val="00597146"/>
    <w:rPr>
      <w:rFonts w:ascii="EUAlbertina" w:eastAsiaTheme="minorEastAsia" w:hAnsi="EUAlbertina" w:cstheme="minorBidi"/>
      <w:color w:val="auto"/>
    </w:rPr>
  </w:style>
  <w:style w:type="paragraph" w:customStyle="1" w:styleId="CM3">
    <w:name w:val="CM3"/>
    <w:basedOn w:val="Default"/>
    <w:next w:val="Default"/>
    <w:uiPriority w:val="99"/>
    <w:rsid w:val="00597146"/>
    <w:rPr>
      <w:rFonts w:ascii="EUAlbertina" w:eastAsiaTheme="minorEastAsia" w:hAnsi="EUAlbertina" w:cstheme="minorBidi"/>
      <w:color w:val="auto"/>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ro-RO"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8686</Words>
  <Characters>50453</Characters>
  <Application>Microsoft Office Word</Application>
  <DocSecurity>0</DocSecurity>
  <Lines>1071</Lines>
  <Paragraphs>484</Paragraphs>
  <ScaleCrop>false</ScaleCrop>
  <Company/>
  <LinksUpToDate>false</LinksUpToDate>
  <CharactersWithSpaces>58717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2024-04-05T10:29:00Z</dcterms:created>
  <dcterms:modified xsi:type="dcterms:W3CDTF">2024-05-13T07:43:00Z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