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b/>
          <w:sz w:val="24"/>
          <w:u w:val="single"/>
          <w:rFonts w:ascii="Times New Roman" w:hAnsi="Times New Roman"/>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b/>
          <w:sz w:val="24"/>
          <w:u w:val="single"/>
          <w:rFonts w:ascii="Times New Roman" w:hAnsi="Times New Roman"/>
        </w:rPr>
        <w:t xml:space="preserve">NL</w:t>
      </w:r>
    </w:p>
    <w:p w14:paraId="39DA4C9C" w14:textId="5F2E6493" w:rsidR="00385DE1" w:rsidRPr="0001617D" w:rsidRDefault="00385DE1" w:rsidP="0099485B">
      <w:pPr>
        <w:jc w:val="center"/>
        <w:rPr>
          <w:b/>
          <w:sz w:val="24"/>
          <w:u w:val="single"/>
          <w:rFonts w:ascii="Times New Roman" w:hAnsi="Times New Roman"/>
        </w:rPr>
      </w:pPr>
      <w:r>
        <w:rPr>
          <w:b/>
          <w:sz w:val="24"/>
          <w:u w:val="single"/>
          <w:rFonts w:ascii="Times New Roman" w:hAnsi="Times New Roman"/>
        </w:rPr>
        <w:t xml:space="preserve">BIJLAGE IV</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b/>
          <w:sz w:val="24"/>
          <w:szCs w:val="24"/>
          <w:rFonts w:ascii="Times New Roman" w:eastAsia="Times New Roman" w:hAnsi="Times New Roman" w:cs="Times New Roman"/>
        </w:rPr>
      </w:pPr>
      <w:r>
        <w:rPr>
          <w:b/>
          <w:sz w:val="24"/>
          <w:rFonts w:ascii="Times New Roman" w:hAnsi="Times New Roman"/>
        </w:rPr>
        <w:t xml:space="preserve">OPENBAARMAKINGEN OVER HET MINIMUMVEREISTE VOOR EIGEN VERMOGEN EN IN AANMERKING KOMENDE PASSIVA – INSTRUCTIES</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r>
        <w:rPr>
          <w:color w:val="auto"/>
          <w:sz w:val="24"/>
          <w:rFonts w:ascii="Times New Roman" w:hAnsi="Times New Roman"/>
        </w:rPr>
        <w:t xml:space="preserve">1.</w:t>
      </w:r>
      <w:r>
        <w:tab/>
      </w:r>
      <w:r>
        <w:rPr>
          <w:color w:val="auto"/>
          <w:sz w:val="24"/>
          <w:rFonts w:ascii="Times New Roman" w:hAnsi="Times New Roman"/>
        </w:rPr>
        <w:t xml:space="preserve">Algemene instructies:</w:t>
      </w:r>
      <w:r>
        <w:rPr>
          <w:color w:val="auto"/>
          <w:sz w:val="24"/>
          <w:rFonts w:ascii="Times New Roman" w:hAnsi="Times New Roman"/>
        </w:rPr>
        <w:t xml:space="preserve"> </w:t>
      </w:r>
      <w:r>
        <w:rPr>
          <w:color w:val="auto"/>
          <w:sz w:val="24"/>
          <w:rFonts w:ascii="Times New Roman" w:hAnsi="Times New Roman"/>
        </w:rPr>
        <w:t xml:space="preserve">Structuur en conventies</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0" w:name="_Toc360188319"/>
      <w:bookmarkStart w:id="11" w:name="_Toc473560867"/>
      <w:bookmarkStart w:id="12" w:name="_Toc15294522"/>
      <w:bookmarkStart w:id="13" w:name="_Toc264038399"/>
      <w:bookmarkStart w:id="14" w:name="_Toc294018834"/>
      <w:r>
        <w:rPr>
          <w:color w:val="auto"/>
          <w:sz w:val="24"/>
          <w:rFonts w:ascii="Times New Roman" w:hAnsi="Times New Roman"/>
        </w:rPr>
        <w:t xml:space="preserve">1.1</w:t>
      </w:r>
      <w:r>
        <w:tab/>
      </w:r>
      <w:r>
        <w:rPr>
          <w:color w:val="auto"/>
          <w:sz w:val="24"/>
          <w:rFonts w:ascii="Times New Roman" w:hAnsi="Times New Roman"/>
        </w:rPr>
        <w:t xml:space="preserve">Structuur</w:t>
      </w:r>
      <w:bookmarkEnd w:id="10"/>
      <w:bookmarkEnd w:id="11"/>
      <w:bookmarkEnd w:id="12"/>
    </w:p>
    <w:p w14:paraId="038BA668" w14:textId="1D5FE25B" w:rsidR="0065594A" w:rsidRPr="0008623B" w:rsidRDefault="0065594A" w:rsidP="00B62DC9">
      <w:pPr>
        <w:pStyle w:val="InstructionsText2"/>
        <w:numPr>
          <w:ilvl w:val="0"/>
          <w:numId w:val="12"/>
        </w:numPr>
      </w:pPr>
      <w:r>
        <w:t xml:space="preserve">Dit raamwerk voor MREL- en TLAC-openbaarmakingen omvat drie groepen templates:</w:t>
      </w:r>
    </w:p>
    <w:p w14:paraId="160EDC16" w14:textId="77777777" w:rsidR="00AB77FD" w:rsidRPr="0008623B" w:rsidRDefault="00AB77FD" w:rsidP="00B62DC9">
      <w:pPr>
        <w:pStyle w:val="InstructionsText2"/>
        <w:numPr>
          <w:ilvl w:val="1"/>
          <w:numId w:val="15"/>
        </w:numPr>
      </w:pPr>
      <w:r>
        <w:t xml:space="preserve">MREL en TLAC van af te wikkelen groepen en af te wikkelen entiteiten;</w:t>
      </w:r>
    </w:p>
    <w:p w14:paraId="531DF249" w14:textId="0719D053" w:rsidR="00AB77FD" w:rsidRPr="0008623B" w:rsidRDefault="00AB77FD" w:rsidP="00B62DC9">
      <w:pPr>
        <w:pStyle w:val="InstructionsText2"/>
        <w:numPr>
          <w:ilvl w:val="1"/>
          <w:numId w:val="15"/>
        </w:numPr>
      </w:pPr>
      <w:r>
        <w:t xml:space="preserve">MREL en TLAC van niet af te wikkelen entiteiten en van dochterondernemingen van wezenlijk belang van niet-EU mondiaal systeemrelevante instellingen (“MSI’s”);</w:t>
      </w:r>
    </w:p>
    <w:p w14:paraId="3EE4CEDD" w14:textId="5B2484DA" w:rsidR="00AB77FD" w:rsidRPr="0008623B" w:rsidRDefault="00AB77FD" w:rsidP="00B62DC9">
      <w:pPr>
        <w:pStyle w:val="InstructionsText2"/>
        <w:numPr>
          <w:ilvl w:val="1"/>
          <w:numId w:val="15"/>
        </w:numPr>
      </w:pPr>
      <w:r>
        <w:t xml:space="preserve">rangorde van schuldeisers van uitgevende entiteiten.</w:t>
      </w:r>
    </w:p>
    <w:p w14:paraId="1ED5F5C4" w14:textId="551A7AA0" w:rsidR="0065594A" w:rsidRPr="0008623B" w:rsidRDefault="0065594A" w:rsidP="00B62DC9">
      <w:pPr>
        <w:pStyle w:val="InstructionsText2"/>
        <w:numPr>
          <w:ilvl w:val="0"/>
          <w:numId w:val="12"/>
        </w:numPr>
      </w:pPr>
      <w:r>
        <w:t xml:space="preserve">Voor elke template zijn verwijzingen naar wetgeving opgenomen.</w:t>
      </w:r>
      <w:r>
        <w:t xml:space="preserve"> </w:t>
      </w:r>
      <w:r>
        <w:t xml:space="preserve">Nadere informatie over meer algemene aspecten van de rapportage voor elke reeks templates en instructies voor specifieke posities zijn te vinden in deze bijlage.</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5" w:name="_Toc360188320"/>
      <w:bookmarkStart w:id="16" w:name="_Toc473560868"/>
      <w:bookmarkStart w:id="17" w:name="_Toc15294523"/>
      <w:r>
        <w:rPr>
          <w:color w:val="auto"/>
          <w:sz w:val="24"/>
          <w:rFonts w:ascii="Times New Roman" w:hAnsi="Times New Roman"/>
        </w:rPr>
        <w:t xml:space="preserve">1.</w:t>
      </w:r>
      <w:bookmarkStart w:id="18" w:name="_Toc15294525"/>
      <w:bookmarkEnd w:id="13"/>
      <w:bookmarkEnd w:id="14"/>
      <w:bookmarkEnd w:id="15"/>
      <w:bookmarkEnd w:id="16"/>
      <w:bookmarkEnd w:id="17"/>
      <w:r>
        <w:rPr>
          <w:color w:val="auto"/>
          <w:sz w:val="24"/>
          <w:rFonts w:ascii="Times New Roman" w:hAnsi="Times New Roman"/>
        </w:rPr>
        <w:t xml:space="preserve">2</w:t>
      </w:r>
      <w:r>
        <w:tab/>
      </w:r>
      <w:r>
        <w:rPr>
          <w:color w:val="auto"/>
          <w:sz w:val="24"/>
          <w:rFonts w:ascii="Times New Roman" w:hAnsi="Times New Roman"/>
        </w:rPr>
        <w:t xml:space="preserve">Afkortingen</w:t>
      </w:r>
      <w:bookmarkEnd w:id="18"/>
    </w:p>
    <w:p w14:paraId="7F56C9B4" w14:textId="1EA8178A" w:rsidR="0065594A" w:rsidRPr="0008623B" w:rsidRDefault="0065594A" w:rsidP="00B62DC9">
      <w:pPr>
        <w:pStyle w:val="InstructionsText2"/>
        <w:numPr>
          <w:ilvl w:val="0"/>
          <w:numId w:val="12"/>
        </w:numPr>
      </w:pPr>
      <w:r>
        <w:t xml:space="preserve">De volgende afkortingen worden in de bijlagen bij deze verordening gebruikt:</w:t>
      </w:r>
    </w:p>
    <w:p w14:paraId="7AA24AF3" w14:textId="4E2F4B2C" w:rsidR="0065594A" w:rsidRPr="0008623B" w:rsidRDefault="00B96861" w:rsidP="00B62DC9">
      <w:pPr>
        <w:pStyle w:val="InstructionsText2"/>
        <w:numPr>
          <w:ilvl w:val="0"/>
          <w:numId w:val="31"/>
        </w:numPr>
      </w:pPr>
      <w:r>
        <w:t xml:space="preserve"> </w:t>
      </w:r>
      <w:r>
        <w:t xml:space="preserve">“MREL”: het minimumvereiste voor eigen vermogen en in aanmerking komende passiva in de zin van artikel 45 van Richtlijn 2014/59/EU.</w:t>
      </w:r>
    </w:p>
    <w:p w14:paraId="3F223F84" w14:textId="14E43992" w:rsidR="0065594A" w:rsidRPr="0008623B" w:rsidRDefault="0065594A" w:rsidP="00B62DC9">
      <w:pPr>
        <w:pStyle w:val="InstructionsText2"/>
        <w:numPr>
          <w:ilvl w:val="0"/>
          <w:numId w:val="31"/>
        </w:numPr>
      </w:pPr>
      <w:r>
        <w:t xml:space="preserve">“TLAC”: het vereiste voor eigen vermogen en in aanmerking komende passiva voor MSI’s in de zin van artikel 92 bis van Verordening (EU) nr. 575/2013;</w:t>
      </w:r>
    </w:p>
    <w:p w14:paraId="1FEB92E2" w14:textId="1715F9BB" w:rsidR="0065594A" w:rsidRPr="0008623B" w:rsidRDefault="0065594A" w:rsidP="00B62DC9">
      <w:pPr>
        <w:pStyle w:val="InstructionsText2"/>
        <w:numPr>
          <w:ilvl w:val="0"/>
          <w:numId w:val="31"/>
        </w:numPr>
      </w:pPr>
      <w:r>
        <w:t xml:space="preserve">“Intern TLAC”: het vereiste voor eigen vermogen en in aanmerking komende passiva voor niet-EU-MSI’s in de zin van artikel 92 ter van Verordening (EU) nr. 575/2013;</w:t>
      </w:r>
    </w:p>
    <w:p w14:paraId="41F598D3" w14:textId="411A41F7" w:rsidR="0097126E" w:rsidRPr="0008623B" w:rsidRDefault="0097126E" w:rsidP="0073688E">
      <w:pPr>
        <w:pStyle w:val="ListParagraph"/>
        <w:numPr>
          <w:ilvl w:val="0"/>
          <w:numId w:val="31"/>
        </w:numPr>
      </w:pPr>
      <w:r>
        <w:rPr>
          <w:sz w:val="24"/>
          <w:rFonts w:ascii="Times New Roman" w:hAnsi="Times New Roman"/>
        </w:rPr>
        <w:t xml:space="preserve">“Intern MREL”: het MREL voor entiteiten die zelf geen af te wikkelen entiteiten zijn, in de zin van artikel 45 septies van Richtlijn 2014/59/EU.</w:t>
      </w:r>
      <w:r>
        <w:rPr>
          <w:sz w:val="24"/>
          <w:rFonts w:ascii="Times New Roman" w:hAnsi="Times New Roman"/>
        </w:rPr>
        <w:t xml:space="preserv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9" w:name="_Toc264033192"/>
      <w:bookmarkEnd w:id="19"/>
      <w:r>
        <w:rPr>
          <w:color w:val="auto"/>
          <w:sz w:val="24"/>
          <w:rFonts w:ascii="Times New Roman" w:hAnsi="Times New Roman"/>
        </w:rPr>
        <w:t xml:space="preserve">2.</w:t>
      </w:r>
      <w:r>
        <w:tab/>
      </w:r>
      <w:bookmarkStart w:id="20" w:name="_Toc45266923"/>
      <w:bookmarkStart w:id="21" w:name="_Toc45266924"/>
      <w:bookmarkStart w:id="22" w:name="_Toc45266925"/>
      <w:bookmarkStart w:id="23" w:name="_Toc14770635"/>
      <w:bookmarkStart w:id="24" w:name="_Toc45266926"/>
      <w:bookmarkEnd w:id="20"/>
      <w:bookmarkEnd w:id="21"/>
      <w:bookmarkEnd w:id="22"/>
      <w:r>
        <w:rPr>
          <w:color w:val="auto"/>
          <w:sz w:val="24"/>
          <w:rFonts w:ascii="Times New Roman" w:hAnsi="Times New Roman"/>
        </w:rPr>
        <w:t xml:space="preserve">EU KM2:</w:t>
      </w:r>
      <w:r>
        <w:rPr>
          <w:color w:val="auto"/>
          <w:sz w:val="24"/>
          <w:rFonts w:ascii="Times New Roman" w:hAnsi="Times New Roman"/>
        </w:rPr>
        <w:t xml:space="preserve"> </w:t>
      </w:r>
      <w:r>
        <w:rPr>
          <w:color w:val="auto"/>
          <w:sz w:val="24"/>
          <w:rFonts w:ascii="Times New Roman" w:hAnsi="Times New Roman"/>
        </w:rPr>
        <w:t xml:space="preserve">Kernmaatstaven – MREL en, in voorkomend geval, MSI-vereiste voor eigen vermogen en in aanmerking komende passiva</w:t>
      </w:r>
      <w:bookmarkEnd w:id="23"/>
      <w:bookmarkEnd w:id="24"/>
    </w:p>
    <w:p w14:paraId="7C25FB3D" w14:textId="5B7ACB83" w:rsidR="001D5361" w:rsidRPr="0008623B" w:rsidRDefault="00CB1021" w:rsidP="00B62DC9">
      <w:pPr>
        <w:pStyle w:val="InstructionsText2"/>
        <w:numPr>
          <w:ilvl w:val="0"/>
          <w:numId w:val="12"/>
        </w:numPr>
      </w:pPr>
      <w:r>
        <w:t xml:space="preserve">De entiteiten lichten in de kwalitatieve beschrijving bij de template alle materiële verschillen toe tussen de openbaar gemaakte bedragen aan eigen vermogen en het “IFRS 9 fully loaded”-bedrag op het niveau van de af te wikkelen groep.</w:t>
      </w:r>
      <w:r>
        <w:t xml:space="preserve"> </w:t>
      </w:r>
      <w:r>
        <w:t xml:space="preserve">Ook lichten zij alle materiële verschillen toe tussen het “IFRS 9 fully loaded”-bedrag op het niveau van de af te wikkelen groep en het “IFRS9 fully loaded”-bedrag op het niveau van de prudentiële groep.</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Kolommen</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 xml:space="preserve">a</w:t>
            </w:r>
          </w:p>
        </w:tc>
        <w:tc>
          <w:tcPr>
            <w:tcW w:w="7655" w:type="dxa"/>
          </w:tcPr>
          <w:p w14:paraId="67A0C6A1" w14:textId="614E3ECA" w:rsidR="00BB516B" w:rsidRPr="0008623B" w:rsidRDefault="008C2E99" w:rsidP="00807127">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De entiteiten maken in deze kolom de relevante informatie over het MREL openbaar overeenkomstig de artikelen 45 en 45 sexies van Richtlijn 2014/59/EU.</w:t>
            </w:r>
          </w:p>
          <w:p w14:paraId="430CD6A3" w14:textId="4273F292" w:rsidR="00BB516B" w:rsidRPr="0008623B" w:rsidRDefault="008C2E99" w:rsidP="008C2E99">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De entiteiten maken de waarde openbaar per ultimo van de openbaarmakingsperiode.</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 xml:space="preserve">b t/m f</w:t>
            </w:r>
          </w:p>
        </w:tc>
        <w:tc>
          <w:tcPr>
            <w:tcW w:w="7655" w:type="dxa"/>
          </w:tcPr>
          <w:p w14:paraId="330BD29E" w14:textId="441C1E3B" w:rsidR="00DE6BC1" w:rsidRPr="0008623B" w:rsidRDefault="008C2E99" w:rsidP="00DE6BC1">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Entiteiten die MSI’s zijn waarvoor het TLAC-vereiste overeenkomstig artikel 92 bis van Verordening (EU) nr. 575/2013 geldt, maken in deze kolommen de voor dat vereiste relevante informatie openbaar.</w:t>
            </w:r>
            <w:r>
              <w:rPr>
                <w:color w:val="000000" w:themeColor="text1"/>
                <w:sz w:val="24"/>
                <w:rFonts w:ascii="Times New Roman" w:hAnsi="Times New Roman"/>
              </w:rPr>
              <w:t xml:space="preserve"> </w:t>
            </w:r>
          </w:p>
          <w:p w14:paraId="34389FB0" w14:textId="7C26C455" w:rsidR="00DE6BC1" w:rsidRPr="0008623B" w:rsidRDefault="00DE6BC1" w:rsidP="00401EDD">
            <w:pPr>
              <w:autoSpaceDE w:val="0"/>
              <w:autoSpaceDN w:val="0"/>
              <w:adjustRightInd w:val="0"/>
              <w:spacing w:before="120" w:after="120"/>
              <w:rPr>
                <w:b/>
                <w:color w:val="000000" w:themeColor="text1"/>
                <w:sz w:val="24"/>
                <w:szCs w:val="24"/>
                <w:rFonts w:ascii="Times New Roman" w:hAnsi="Times New Roman" w:cs="Times New Roman"/>
              </w:rPr>
            </w:pPr>
            <w:r>
              <w:rPr>
                <w:sz w:val="24"/>
                <w:rFonts w:ascii="Times New Roman" w:hAnsi="Times New Roman"/>
              </w:rPr>
              <w:t xml:space="preserve">Openbaarmakingsperiodes T, T-1, T-2, T-3 en T-4 zijn kwartaalperiodes.</w:t>
            </w:r>
            <w:r>
              <w:rPr>
                <w:sz w:val="24"/>
                <w:rFonts w:ascii="Times New Roman" w:hAnsi="Times New Roman"/>
              </w:rPr>
              <w:t xml:space="preserve"> </w:t>
            </w:r>
            <w:r>
              <w:rPr>
                <w:sz w:val="24"/>
                <w:rFonts w:ascii="Times New Roman" w:hAnsi="Times New Roman"/>
              </w:rPr>
              <w:t xml:space="preserve">De entiteiten maken de met de openbaarmakingsperiodes overeenstemmende data openbaar.</w:t>
            </w:r>
            <w:r>
              <w:rPr>
                <w:sz w:val="24"/>
                <w:rFonts w:ascii="Times New Roman" w:hAnsi="Times New Roman"/>
              </w:rPr>
              <w:t xml:space="preserve"> </w:t>
            </w:r>
            <w:r>
              <w:rPr>
                <w:sz w:val="24"/>
                <w:rFonts w:ascii="Times New Roman" w:hAnsi="Times New Roman"/>
              </w:rPr>
              <w:t xml:space="preserve">De entiteiten die deze informatie op kwartaalbasis openbaar maken, verschaffen data voor de periodes T, T-1, T-2, T-3 en T-4;</w:t>
            </w:r>
            <w:r>
              <w:rPr>
                <w:sz w:val="24"/>
                <w:rFonts w:ascii="Times New Roman" w:hAnsi="Times New Roman"/>
              </w:rPr>
              <w:t xml:space="preserve"> </w:t>
            </w:r>
            <w:r>
              <w:rPr>
                <w:sz w:val="24"/>
                <w:rFonts w:ascii="Times New Roman" w:hAnsi="Times New Roman"/>
              </w:rPr>
              <w:t xml:space="preserve">de entiteiten die deze informatie op halfjaarlijkse basis openbaar maken, verschaffen data voor de periodes T, T-2 en T-4;</w:t>
            </w:r>
            <w:r>
              <w:rPr>
                <w:sz w:val="24"/>
                <w:rFonts w:ascii="Times New Roman" w:hAnsi="Times New Roman"/>
              </w:rPr>
              <w:t xml:space="preserve"> </w:t>
            </w:r>
            <w:r>
              <w:rPr>
                <w:sz w:val="24"/>
                <w:rFonts w:ascii="Times New Roman" w:hAnsi="Times New Roman"/>
              </w:rPr>
              <w:t xml:space="preserve">en de entiteiten die deze informatie op jaarbasis openbaar maken, verschaffen data voor de periodes T en T-4.</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Rijen</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 xml:space="preserve">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 xml:space="preserve">Eigen vermogen en in aanmerking komende passiva</w:t>
            </w:r>
          </w:p>
          <w:p w14:paraId="0A140E20" w14:textId="2DF06A7B" w:rsidR="00DF735F" w:rsidRPr="0008623B" w:rsidRDefault="00DF735F" w:rsidP="00812B3B">
            <w:pPr>
              <w:spacing w:before="120" w:after="120" w:line="240" w:lineRule="auto"/>
              <w:jc w:val="both"/>
              <w:rPr>
                <w:bCs/>
                <w:sz w:val="24"/>
                <w:rFonts w:ascii="Times New Roman" w:hAnsi="Times New Roman" w:cs="Times New Roman"/>
              </w:rPr>
            </w:pPr>
            <w:r>
              <w:rPr>
                <w:color w:val="000000" w:themeColor="text1"/>
                <w:sz w:val="24"/>
                <w:rFonts w:ascii="Times New Roman" w:hAnsi="Times New Roman"/>
              </w:rPr>
              <w:t xml:space="preserve">Gelijk aan de in openbaarmakingstemplate EU TLAC 1, rij 22, openbaar gemaakte waarden.</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 xml:space="preserve">EU-1a</w:t>
            </w:r>
          </w:p>
        </w:tc>
        <w:tc>
          <w:tcPr>
            <w:tcW w:w="7655" w:type="dxa"/>
          </w:tcPr>
          <w:p w14:paraId="3D396CEE" w14:textId="278C4C7F" w:rsidR="00962389" w:rsidRPr="0008623B" w:rsidRDefault="00962389" w:rsidP="00962389">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 Waarvan eigen vermogen en achtergestelde passiva</w:t>
            </w:r>
          </w:p>
          <w:p w14:paraId="729B564A" w14:textId="00537292" w:rsidR="00AF2AB2" w:rsidRPr="0008623B" w:rsidRDefault="00AF2AB2" w:rsidP="00962389">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Gelijk aan de in openbaarmakingstemplate EU TLAC 1, rij EU-22a, openbaar gemaakte waarde.</w:t>
            </w:r>
          </w:p>
          <w:p w14:paraId="6E8661C5" w14:textId="06556E77" w:rsidR="00AF2AB2" w:rsidRPr="0008623B" w:rsidRDefault="00AF2AB2" w:rsidP="00B96861">
            <w:pPr>
              <w:rPr>
                <w:b/>
                <w:color w:val="000000" w:themeColor="text1"/>
                <w:sz w:val="24"/>
                <w:szCs w:val="24"/>
                <w:rFonts w:ascii="Times New Roman" w:hAnsi="Times New Roman" w:cs="Times New Roman"/>
              </w:rPr>
            </w:pPr>
            <w:r>
              <w:rPr>
                <w:sz w:val="24"/>
                <w:rFonts w:ascii="Times New Roman" w:hAnsi="Times New Roman"/>
              </w:rPr>
              <w:t xml:space="preserve">Eigen vermogen, overeenkomstig artikel 45 ter van Richtlijn 2014/59/EU in het bedrag aan eigen vermogen en in aanmerking komende passiva opgenomen in aanmerking komende passiva die achtergestelde in aanmerking komende instrumenten zijn zoals gedefinieerd in artikel 2, lid 1, punt 71 ter), van die richtlijn, en passiva die overeenkomstig artikel 45 ter, lid 3, van Richtlijn 2014/59/EU in het bedrag aan eigen vermogen en in aanmerking komende passiva zijn opgenomen.</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t xml:space="preserve">2</w:t>
            </w:r>
          </w:p>
        </w:tc>
        <w:tc>
          <w:tcPr>
            <w:tcW w:w="7655" w:type="dxa"/>
          </w:tcPr>
          <w:p w14:paraId="7C401856" w14:textId="7B8EEDE3" w:rsidR="006D4640" w:rsidRPr="0008623B" w:rsidRDefault="006D4640"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Totaal risicoposten (TREA) van de af te wikkelen groep</w:t>
            </w:r>
            <w:r>
              <w:rPr>
                <w:b/>
                <w:color w:val="000000" w:themeColor="text1"/>
                <w:sz w:val="24"/>
                <w:rFonts w:ascii="Times New Roman" w:hAnsi="Times New Roman"/>
              </w:rPr>
              <w:t xml:space="preserve"> </w:t>
            </w:r>
          </w:p>
          <w:p w14:paraId="147C8558" w14:textId="2D445D5F" w:rsidR="006D4640" w:rsidRPr="0008623B" w:rsidRDefault="006D4640" w:rsidP="0093695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Gelijk aan de in openbaarmakingstemplate EU TLAC 1, rij 23, openbaar gemaakte waarde.</w:t>
            </w:r>
          </w:p>
          <w:p w14:paraId="10BE5322" w14:textId="167B6DDA" w:rsidR="00705FB0" w:rsidRPr="0008623B" w:rsidRDefault="003D0BF6" w:rsidP="00FB021F">
            <w:pPr>
              <w:autoSpaceDE w:val="0"/>
              <w:autoSpaceDN w:val="0"/>
              <w:adjustRightInd w:val="0"/>
              <w:spacing w:before="120" w:after="120"/>
              <w:jc w:val="both"/>
              <w:rPr>
                <w:bCs/>
                <w:sz w:val="24"/>
                <w:rFonts w:ascii="Times New Roman" w:hAnsi="Times New Roman" w:cs="Times New Roman"/>
              </w:rPr>
            </w:pPr>
            <w:r>
              <w:rPr>
                <w:rStyle w:val="FormatvorlageInstructionsTabelleText"/>
                <w:sz w:val="24"/>
                <w:rFonts w:ascii="Times New Roman" w:hAnsi="Times New Roman"/>
              </w:rPr>
              <w:t xml:space="preserve">Artikel 45, lid 2, punt a), van Richtlijn 2014/59/EU, artikel 92, lid 3, van Verordening (EU) nr.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3</w:t>
            </w:r>
          </w:p>
        </w:tc>
        <w:tc>
          <w:tcPr>
            <w:tcW w:w="7655" w:type="dxa"/>
          </w:tcPr>
          <w:p w14:paraId="038AB6D4" w14:textId="14BCE5D0" w:rsidR="00DF735F" w:rsidRPr="0008623B" w:rsidRDefault="00DF735F"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TREA-percentage</w:t>
            </w:r>
          </w:p>
          <w:p w14:paraId="7B949D15" w14:textId="2BA6D31F" w:rsidR="00DF735F" w:rsidRPr="0008623B" w:rsidRDefault="00DF735F" w:rsidP="005D18F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Gelijk aan de in openbaarmakingstemplate EU TLAC 1, rij 25, openbaar gemaakte waarden.</w:t>
            </w:r>
            <w:r>
              <w:rPr>
                <w:color w:val="000000" w:themeColor="text1"/>
                <w:sz w:val="24"/>
                <w:rFonts w:ascii="Times New Roman" w:hAnsi="Times New Roman"/>
              </w:rPr>
              <w:t xml:space="preserve"> </w:t>
            </w:r>
          </w:p>
          <w:p w14:paraId="0F5B2611" w14:textId="00BEB708" w:rsidR="00DF735F" w:rsidRPr="0008623B" w:rsidRDefault="00705FB0" w:rsidP="00DE7C8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Voor deze rij wordt het bedrag aan eigen vermogen en in aanmerking komende passiva dat in rij 1 wordt openbaar gemaakt, uitgedrukt als percentage van het overeenkomstig artikel 92, lid 3, van Verordening (EU) nr. 575/2013 berekende totaal van de risicoposten.</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 xml:space="preserve">EU-3a</w:t>
            </w:r>
          </w:p>
        </w:tc>
        <w:tc>
          <w:tcPr>
            <w:tcW w:w="7655" w:type="dxa"/>
          </w:tcPr>
          <w:p w14:paraId="44E29BD6" w14:textId="2EF98522" w:rsidR="00000DE2" w:rsidRPr="0008623B" w:rsidRDefault="00000DE2" w:rsidP="00000DE2">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TREA-percentage – Waarvan eigen vermogen en achtergestelde passiva</w:t>
            </w:r>
          </w:p>
          <w:p w14:paraId="6CBFF6B4" w14:textId="23321C0B" w:rsidR="00000DE2" w:rsidRPr="0008623B" w:rsidRDefault="00000DE2" w:rsidP="00000DE2">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Gelijk aan de in openbaarmakingstemplate EU TLAC 1, rij EU-25a, openbaar gemaakte waarde.</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 xml:space="preserve">Voor deze rij wordt het bedrag aan eigen vermogen en achtergestelde in aanmerking komende passiva dat in rij EU-1a wordt gegeven, uitgedrukt als percentage van het overeenkomstig artikel 92, lid 3, van Verordening (EU) nr. 575/2013 berekende totaal van de risicoposten.</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 xml:space="preserve">4</w:t>
            </w:r>
          </w:p>
        </w:tc>
        <w:tc>
          <w:tcPr>
            <w:tcW w:w="7655" w:type="dxa"/>
          </w:tcPr>
          <w:p w14:paraId="21BFF265" w14:textId="5070F7DC" w:rsidR="006D4640" w:rsidRPr="0008623B" w:rsidRDefault="00B409EF"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Totale blootstellingsmaatstaf (TEM) van de af te wikkelen groep</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 xml:space="preserve">Gelijk aan de in openbaarmakingstemplate EU TLAC 1, rij 24, openbaar gemaakte waarde.</w:t>
            </w:r>
          </w:p>
          <w:p w14:paraId="5BC2C1BD" w14:textId="4F7E9896" w:rsidR="00705FB0" w:rsidRPr="0008623B" w:rsidRDefault="003D0BF6" w:rsidP="00FB021F">
            <w:pPr>
              <w:pStyle w:val="Fait"/>
            </w:pPr>
            <w:r>
              <w:t xml:space="preserve">Artikel 45, lid 2, punt b), van Richtlijn 2014/59/EU, artikel 429, lid 4, en artikel 429 bis van Verordening (EU) nr.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5</w:t>
            </w:r>
          </w:p>
        </w:tc>
        <w:tc>
          <w:tcPr>
            <w:tcW w:w="7655" w:type="dxa"/>
          </w:tcPr>
          <w:p w14:paraId="55ACA309" w14:textId="5203CF48"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TEM-percentage</w:t>
            </w:r>
          </w:p>
          <w:p w14:paraId="5AF77D83" w14:textId="1205FA3D"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Gelijk aan de in openbaarmakingstemplate EU TLAC 1, rij 26, openbaar gemaakte waarde.</w:t>
            </w:r>
          </w:p>
          <w:p w14:paraId="63970459" w14:textId="46B09F83" w:rsidR="00150101" w:rsidRPr="0008623B" w:rsidRDefault="00705FB0" w:rsidP="00FB021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Voor deze rij wordt het bedrag aan eigen vermogen en in aanmerking komende passiva dat in rij 1 wordt gegeven, uitgedrukt als percentage van de overeenkomstig artikel 429, lid 4, en artikel 429 bis van Verordening (EU) nr. 575/2013 berekende totale blootstellingsmaatstaf.</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 xml:space="preserve">EU-5a</w:t>
            </w:r>
          </w:p>
        </w:tc>
        <w:tc>
          <w:tcPr>
            <w:tcW w:w="7655" w:type="dxa"/>
          </w:tcPr>
          <w:p w14:paraId="677C4852" w14:textId="7733E767" w:rsidR="0037295D" w:rsidRPr="0008623B" w:rsidRDefault="00A3785C" w:rsidP="00A3785C">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TEM-percentage – Waarvan eigen vermogen en achtergestelde passiva</w:t>
            </w:r>
          </w:p>
          <w:p w14:paraId="25EF5991" w14:textId="1725162F" w:rsidR="0037295D" w:rsidRPr="0008623B" w:rsidRDefault="0037295D" w:rsidP="0080712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Gelijk aan de in openbaarmakingstemplate EU TLAC 1, rij EU-26a, openbaar gemaakte waarde.</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Voor deze rij wordt het bedrag aan eigen vermogen en achtergestelde in aanmerking komende passiva dat in rij EU-1a wordt gegeven, uitgedrukt als percentage van de overeenkomstig artikel 429, lid 4, en artikel 429 bis van Verordening (EU) nr. 575/2013 berekende totale blootstellingsmaatstaf.</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6a</w:t>
            </w:r>
          </w:p>
        </w:tc>
        <w:tc>
          <w:tcPr>
            <w:tcW w:w="7655" w:type="dxa"/>
          </w:tcPr>
          <w:p w14:paraId="2E8BDE31" w14:textId="16D0165F" w:rsidR="0064224B" w:rsidRPr="0008623B" w:rsidRDefault="0064224B" w:rsidP="00BB35EA">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Is de achterstellingsvrijstelling in artikel 72 ter, lid 4, van Verordening (EU) nr. 575/2013 van toepassing?</w:t>
            </w:r>
            <w:r>
              <w:rPr>
                <w:b/>
                <w:color w:val="000000" w:themeColor="text1"/>
                <w:sz w:val="24"/>
                <w:rFonts w:ascii="Times New Roman" w:hAnsi="Times New Roman"/>
              </w:rPr>
              <w:t xml:space="preserve"> </w:t>
            </w:r>
            <w:r>
              <w:rPr>
                <w:b/>
                <w:color w:val="000000" w:themeColor="text1"/>
                <w:sz w:val="24"/>
                <w:rFonts w:ascii="Times New Roman" w:hAnsi="Times New Roman"/>
              </w:rPr>
              <w:t xml:space="preserve">(5 % vrijstelling)</w:t>
            </w:r>
          </w:p>
          <w:p w14:paraId="46D7CE6C" w14:textId="47F6F9D3"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wordt alleen openbaar gemaakt door entiteiten waarvoor het MSI-vereiste voor eigen vermogen en in aanmerking komende passiva geldt.</w:t>
            </w:r>
          </w:p>
          <w:p w14:paraId="6016F028" w14:textId="34A18C3F"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Indien de afwikkelingsautoriteit toestaat dat passiva overeenkomstig artikel 72 ter, lid 4, van Verordening (EU) nr. 575/2013 als in aanmerking komende passiva-instrumenten kwalificeren, zet de rapporterende entiteit “Ja”.</w:t>
            </w:r>
          </w:p>
          <w:p w14:paraId="6B081016" w14:textId="4812518D"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Indien de afwikkelingsautoriteit niet toestaat dat passiva overeenkomstig artikel 72 ter, lid 4, van Verordening (EU) nr. 575/2013 als in aanmerking komende passiva-instrumenten kwalificeren, zet de af te wikkelen groep of af te wikkelen entiteit “Nee”.</w:t>
            </w:r>
          </w:p>
          <w:p w14:paraId="2F5E08DD" w14:textId="726ED396" w:rsidR="0064224B" w:rsidRPr="0008623B" w:rsidRDefault="0064224B" w:rsidP="00A7077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Aangezien de vrijstellingen van artikel 72 ter, leden 3 en 4, van Verordening (EU) nr. 575/2013 elkaar uitsluiten, wordt deze rij niet ingevuld indien de rapporterende entiteit rij 6b heeft ingevuld.</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6b</w:t>
            </w:r>
          </w:p>
        </w:tc>
        <w:tc>
          <w:tcPr>
            <w:tcW w:w="7655" w:type="dxa"/>
          </w:tcPr>
          <w:p w14:paraId="41C2E586" w14:textId="6CC03437" w:rsidR="00BB35EA" w:rsidRPr="0008623B" w:rsidRDefault="00650183" w:rsidP="00705FB0">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Totale bedrag aan toegestane niet-achtergestelde in aanmerking komende passiva-instrumenten indien de achterstellingsdiscretie overeenkomstig artikel 72 ter, lid 3, van Verordening (EU) nr. 575/2013 wordt toegepast (vrijstelling van max. 3,5 %)</w:t>
            </w:r>
          </w:p>
          <w:p w14:paraId="564101D0" w14:textId="5C7DA717" w:rsidR="00705FB0" w:rsidRPr="0008623B" w:rsidRDefault="00705FB0" w:rsidP="00705FB0">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wordt alleen openbaar gemaakt door entiteiten waarvoor het MSI-vereiste voor eigen vermogen en in aanmerking komende passiva geldt.</w:t>
            </w:r>
          </w:p>
          <w:p w14:paraId="00AD85CC" w14:textId="318F6AC9" w:rsidR="002A5279" w:rsidRPr="0008623B" w:rsidRDefault="002A5279" w:rsidP="002A5279">
            <w:pPr>
              <w:rPr>
                <w:rStyle w:val="FormatvorlageInstructionsTabelleText"/>
                <w:sz w:val="24"/>
                <w:rFonts w:ascii="Times New Roman" w:hAnsi="Times New Roman"/>
              </w:rPr>
            </w:pPr>
            <w:r>
              <w:rPr>
                <w:rStyle w:val="FormatvorlageInstructionsTabelleText"/>
                <w:sz w:val="24"/>
                <w:rFonts w:ascii="Times New Roman" w:hAnsi="Times New Roman"/>
              </w:rPr>
              <w:t xml:space="preserve">Het totale bedrag aan niet-achtergestelde in aanmerking komende passiva-instrumenten die van de afwikkelingsautoriteit ten behoeve van het TLAC overeenkomstig artikel 72 ter, lid 3, van Verordening (EU) nr. 575/2013 als in aanmerking komende passiva-instrumenten mogen kwalificeren.</w:t>
            </w:r>
          </w:p>
          <w:p w14:paraId="24CA67B7" w14:textId="04F0B6BC" w:rsidR="008B1AF1" w:rsidRPr="0008623B" w:rsidRDefault="00705FB0" w:rsidP="00D4587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Aangezien de vrijstellingen van artikel 72 ter, leden 3 en 4, van Verordening (EU) nr. 575/2013 elkaar uitsluiten, wordt deze rij niet ingevuld indien de entiteit in rij 6a “Ja” heeft ingevuld.</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6c</w:t>
            </w:r>
          </w:p>
        </w:tc>
        <w:tc>
          <w:tcPr>
            <w:tcW w:w="7655" w:type="dxa"/>
          </w:tcPr>
          <w:p w14:paraId="73DD47A6" w14:textId="24A022DC"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Indien een gemaximeerde achterstellingsvrijstelling overeenkomstig artikel 72 ter, lid 3, van Verordening (EU) nr. 575/2013 van toepassing is: het bedrag aan uitgegeven financiering met dezelfde rang als uitgesloten passiva dat is opgenomen in rij 1, gedeeld door uitgegeven financiering met dezelfde rang als uitgesloten passiva en die in rij 1 zou zijn opgenomen indien geen plafond was toegepast (%)</w:t>
            </w:r>
          </w:p>
          <w:p w14:paraId="02910CB6" w14:textId="36BCF0A1" w:rsidR="00CF21D0" w:rsidRPr="0008623B" w:rsidRDefault="00CF21D0" w:rsidP="00B654C4">
            <w:pPr>
              <w:autoSpaceDE w:val="0"/>
              <w:autoSpaceDN w:val="0"/>
              <w:adjustRightInd w:val="0"/>
              <w:spacing w:before="120" w:after="120"/>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Deze rij wordt alleen openbaar gemaakt door entiteiten waarvoor het MSI-vereiste voor eigen vermogen en in aanmerking komende passiva geldt.</w:t>
            </w:r>
          </w:p>
          <w:p w14:paraId="27823EE1" w14:textId="65D1AB03" w:rsidR="008B1AF1" w:rsidRPr="0008623B" w:rsidRDefault="008B1AF1" w:rsidP="00B654C4">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informeert de houders van niet-achtergestelde schuld die door de af te wikkelen entiteit is uitgegeven, over het percentage niet-uitgesloten, niet-achtergestelde schuld dat als in aanmerking komend is aangemerkt, zodat dezen, in voorkomend geval, de in artikel 72 sexies van Verordening (EU) nr. 575/2013 beschreven aftrekkingsregeling zullen kunnen toepassen.</w:t>
            </w:r>
          </w:p>
          <w:p w14:paraId="69CB0A17" w14:textId="58CD2CDA" w:rsidR="00CF21D0" w:rsidRPr="0008623B" w:rsidRDefault="00F66078"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Indien een gemaximeerde achterstellingsvrijstelling op grond van artikel 72 ter, lid 3, van Verordening (EU) nr. 575/2013 van toepassing is, rapporteren entiteiten:</w:t>
            </w:r>
          </w:p>
          <w:p w14:paraId="2D4EFCF5" w14:textId="674F215C" w:rsidR="00CF21D0" w:rsidRPr="0008623B" w:rsidRDefault="00F66078" w:rsidP="0073688E">
            <w:pPr>
              <w:spacing w:before="120" w:after="120" w:line="240" w:lineRule="auto"/>
              <w:jc w:val="both"/>
              <w:rPr>
                <w:rStyle w:val="InstructionsTabelleberschrift"/>
                <w:b w:val="0"/>
                <w:sz w:val="24"/>
                <w:szCs w:val="24"/>
                <w:u w:val="none"/>
                <w:rFonts w:ascii="Times New Roman" w:hAnsi="Times New Roman"/>
              </w:rPr>
            </w:pPr>
            <w:r>
              <w:rPr>
                <w:rStyle w:val="InstructionsTabelleberschrift"/>
                <w:b w:val="0"/>
                <w:sz w:val="24"/>
                <w:u w:val="none"/>
                <w:rFonts w:ascii="Times New Roman" w:hAnsi="Times New Roman"/>
              </w:rPr>
              <w:t xml:space="preserve">a) het bedrag aan uitgegeven financiering dat dezelfde rang heeft als uitgesloten passiva als bedoeld in artikel 72 bis, lid 2, van Verordening (EU) nr. 575/2013 en dat is opgenomen in het in rij 1 gegeven bedrag;</w:t>
            </w:r>
          </w:p>
          <w:p w14:paraId="61EF1E26" w14:textId="12BB5640" w:rsidR="00CF21D0" w:rsidRPr="0008623B" w:rsidRDefault="00F66078" w:rsidP="0073688E">
            <w:pPr>
              <w:spacing w:before="120" w:after="120" w:line="240" w:lineRule="auto"/>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b) gedeeld door het bedrag aan uitgegeven financiering dat dezelfde rang heeft als uitgesloten passiva als bedoeld in artikel 72 bis, lid 2, van Verordening (EU) nr. 575/2013 en dat in het in rij 1 gegeven bedrag zou zijn opgenomen indien geen plafond was toegepast.</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Minimumvereiste voor eigen middelen en in aanmerking komende passiva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 xml:space="preserve">MREL als TREA-percentage</w:t>
            </w:r>
          </w:p>
          <w:p w14:paraId="5D62407D" w14:textId="1D56CFCB" w:rsidR="006453C4" w:rsidRPr="0008623B" w:rsidRDefault="006453C4" w:rsidP="00D33D65">
            <w:pPr>
              <w:pStyle w:val="Fait"/>
            </w:pPr>
            <w:r>
              <w:rPr>
                <w:color w:val="000000" w:themeColor="text1"/>
              </w:rPr>
              <w:t xml:space="preserve">Het minimumvereiste voor eigen vermogen en in aanmerking komende passiva (MREL) van de entiteit zoals dat door de afwikkelingsautoriteit overeenkomstig artikel 45 sexies van Richtlijn 2014/59/EU is vastgesteld, uitgedrukt als percentage van het totaal van de risicoposten berekend overeenkomstig artikel 92, lid 3, van Verordening (EU) nr.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 xml:space="preserve">MREL als TREA-percentage – Waarvan te voldoen met eigen vermogen of achtergestelde passiva</w:t>
            </w:r>
          </w:p>
          <w:p w14:paraId="33EFDD9D" w14:textId="00E44973" w:rsidR="008B1AF1" w:rsidRPr="0008623B" w:rsidRDefault="00D819D9" w:rsidP="00D33D65">
            <w:pPr>
              <w:rPr>
                <w:color w:val="000000" w:themeColor="text1"/>
                <w:szCs w:val="24"/>
              </w:rPr>
            </w:pPr>
            <w:r>
              <w:rPr>
                <w:sz w:val="24"/>
                <w:rFonts w:ascii="Times New Roman" w:hAnsi="Times New Roman"/>
              </w:rPr>
              <w:t xml:space="preserve">In voorkomend geval, het gedeelte van het MREL waaraan, overeenkomstig artikel 45 ter, leden 4 tot en met 8, van Richtlijn 2014/59/EU, volgens de afwikkelingsautoriteit moet worden voldaan met gebruik van eigen vermogen, achtergestelde in aanmerking komende instrumenten of passiva als bedoeld in lid 3 van dat artikel, uitgedrukt als percentage van het totaal van de risicoposten berekend overeenkomstig artikel 92, lid 3, van Verordening (EU) nr.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 xml:space="preserve">MREL als TEM-percentage</w:t>
            </w:r>
          </w:p>
          <w:p w14:paraId="7ABED549" w14:textId="5EF36813" w:rsidR="006453C4" w:rsidRPr="0008623B" w:rsidRDefault="006453C4" w:rsidP="00717DB0">
            <w:pPr>
              <w:pStyle w:val="Fait"/>
            </w:pPr>
            <w:r>
              <w:t xml:space="preserve">Het minimumvereiste voor eigen vermogen en in aanmerking komende passiva (MREL) van de rapporterende entiteit zoals dat door de afwikkelingsautoriteit overeenkomstig artikel 45 sexies van Richtlijn 2014/59/EU is vastgesteld, uitgedrukt als percentage van de totale blootstellingsmaatstaf berekend overeenkomstig artikel 429, lid 4, en artikel 429 bis van Verordening (EU) nr.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 xml:space="preserve">MREL als TEM-percentage – Waarvan te voldoen met eigen vermogen of achtergestelde passiva</w:t>
            </w:r>
          </w:p>
          <w:p w14:paraId="366BA2A0" w14:textId="50E2609F" w:rsidR="008B1AF1" w:rsidRPr="0008623B" w:rsidRDefault="00D819D9" w:rsidP="00E1386E">
            <w:pPr>
              <w:rPr>
                <w:color w:val="000000" w:themeColor="text1"/>
                <w:szCs w:val="24"/>
              </w:rPr>
            </w:pPr>
            <w:r>
              <w:rPr>
                <w:sz w:val="24"/>
                <w:rFonts w:ascii="Times New Roman" w:hAnsi="Times New Roman"/>
              </w:rPr>
              <w:t xml:space="preserve">In voorkomend geval, het gedeelte van het MREL waaraan, overeenkomstig artikel 45 ter, leden 4 tot en met 8, van Richtlijn 2014/59/EU, volgens de afwikkelingsautoriteit moet worden voldaan met gebruik van eigen vermogen, achtergestelde in aanmerking komende instrumenten of passiva als bedoeld in lid 3 van dat artikel, uitgedrukt als percentage van de totale blootstellingsmaatstaf (TEM) berekend overeenkomstig artikel 429, lid 4, en artikel 429 bis van Verordening (EU) nr. 575/2013.</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color w:val="auto"/>
          <w:sz w:val="24"/>
          <w:rFonts w:ascii="Times New Roman" w:hAnsi="Times New Roman"/>
        </w:rPr>
        <w:t xml:space="preserve">3.</w:t>
      </w:r>
      <w:r>
        <w:tab/>
      </w:r>
      <w:bookmarkStart w:id="186" w:name="_Toc14770783"/>
      <w:bookmarkStart w:id="187" w:name="_Toc45266927"/>
      <w:r>
        <w:rPr>
          <w:color w:val="auto"/>
          <w:sz w:val="24"/>
          <w:rFonts w:ascii="Times New Roman" w:hAnsi="Times New Roman"/>
        </w:rPr>
        <w:t xml:space="preserve">EU TLAC 1:</w:t>
      </w:r>
      <w:r>
        <w:rPr>
          <w:color w:val="auto"/>
          <w:sz w:val="24"/>
          <w:rFonts w:ascii="Times New Roman" w:hAnsi="Times New Roman"/>
        </w:rPr>
        <w:t xml:space="preserve"> </w:t>
      </w:r>
      <w:r>
        <w:rPr>
          <w:color w:val="auto"/>
          <w:sz w:val="24"/>
          <w:rFonts w:ascii="Times New Roman" w:hAnsi="Times New Roman"/>
        </w:rPr>
        <w:t xml:space="preserve">Samenstelling – MREL en, in voorkomend geval, MSI-vereiste voor eigen vermogen en in aanmerking komende passiva</w:t>
      </w:r>
      <w:bookmarkEnd w:id="186"/>
      <w:bookmarkEnd w:id="187"/>
    </w:p>
    <w:p w14:paraId="5FDEB8AD" w14:textId="17A1952C" w:rsidR="00021E4F" w:rsidRPr="0008623B" w:rsidRDefault="00021E4F" w:rsidP="00B62DC9">
      <w:pPr>
        <w:pStyle w:val="InstructionsText2"/>
        <w:numPr>
          <w:ilvl w:val="0"/>
          <w:numId w:val="12"/>
        </w:numPr>
      </w:pPr>
      <w:r>
        <w:t xml:space="preserve">De positie van de af te wikkelen groep inzake eigen vermogen en in aanmerking komende passiva omvat alleen kapitaalinstrumenten en in aanmerking komende passiva die zijn uitgegeven door de af te wikkelen entiteit en, wanneer artikel 45 ter, lid 3, van Richtlijn 2014/59/EU of artikel 88 bis van Verordening (EU) nr. 575/2013, al naargelang, in acht wordt genomen, door dochterondernemingen van de af te wikkelen entiteit, met uitzondering van entiteiten buiten de af te wikkelen groep.</w:t>
      </w:r>
      <w:r>
        <w:t xml:space="preserve"> </w:t>
      </w:r>
      <w:r>
        <w:t xml:space="preserve">Evenzo is de positie inzake eigen vermogen en in aanmerking komende passiva gebaseerd op het totaal van de risicoposten (die zijn aangepast zoals toegestaan op grond van artikel 45 nonies, lid 2, van Richtlijn 2014/59/EU) en de totale blootstellingsmaatstaf berekend op het niveau van de af te wikkelen groep.</w:t>
      </w:r>
    </w:p>
    <w:p w14:paraId="31AA4E2B" w14:textId="5FF6ED9D" w:rsidR="00B00CC4" w:rsidRPr="0008623B" w:rsidRDefault="00021E4F" w:rsidP="00B62DC9">
      <w:pPr>
        <w:pStyle w:val="InstructionsText2"/>
        <w:numPr>
          <w:ilvl w:val="0"/>
          <w:numId w:val="12"/>
        </w:numPr>
      </w:pPr>
      <w:r>
        <w:t xml:space="preserve">Wat betreft de door de regelgeving voorgeschreven aanpassingen, maken entiteiten aftrekkingen van eigen vermogen en in aanmerking komende passiva openbaar als negatieve cijfers, en aanvullingen van eigen vermogen en in aanmerking komende passiva als positieve cijfers.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Kolommen</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a</w:t>
            </w:r>
          </w:p>
        </w:tc>
        <w:tc>
          <w:tcPr>
            <w:tcW w:w="7655" w:type="dxa"/>
          </w:tcPr>
          <w:p w14:paraId="436FCBC7" w14:textId="60418D16" w:rsidR="00807127" w:rsidRPr="0008623B" w:rsidRDefault="008C2E99" w:rsidP="003C10CA">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Entiteiten maken in deze kolom de relevante informatie over het MREL openbaar overeenkomstig de artikelen 45 en 45 sexies van Richtlijn 2014/59/EU.</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 xml:space="preserve">b</w:t>
            </w:r>
          </w:p>
        </w:tc>
        <w:tc>
          <w:tcPr>
            <w:tcW w:w="7655" w:type="dxa"/>
          </w:tcPr>
          <w:p w14:paraId="1B5C7CCC" w14:textId="65BA9065" w:rsidR="00807127" w:rsidRPr="0008623B" w:rsidRDefault="008C2E99" w:rsidP="00F60ACD">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Entiteiten die MSI’s zijn waarvoor een TLAC-vereiste overeenkomstig artikel 92 bis van Verordening (EU) nr. 575/2013 geldt, maken in deze kolom de voor dat vereiste relevante informatie openbaar.</w:t>
            </w:r>
            <w:r>
              <w:rPr>
                <w:color w:val="000000" w:themeColor="text1"/>
                <w:sz w:val="24"/>
                <w:rFonts w:ascii="Times New Roman" w:hAnsi="Times New Roman"/>
              </w:rPr>
              <w:t xml:space="preserve">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c</w:t>
            </w:r>
          </w:p>
        </w:tc>
        <w:tc>
          <w:tcPr>
            <w:tcW w:w="7655" w:type="dxa"/>
          </w:tcPr>
          <w:p w14:paraId="77906683" w14:textId="414268DB" w:rsidR="00807127" w:rsidRPr="0008623B" w:rsidRDefault="00807127" w:rsidP="00B62DC9">
            <w:pPr>
              <w:pStyle w:val="InstructionsText"/>
            </w:pPr>
            <w:r>
              <w:rPr>
                <w:rStyle w:val="FormatvorlageInstructionsTabelleText"/>
                <w:sz w:val="24"/>
                <w:rFonts w:ascii="Times New Roman" w:hAnsi="Times New Roman"/>
              </w:rPr>
              <w:t xml:space="preserve">Deze kolom wordt alleen ingevuld door entiteiten waarvoor het TLAC-vereiste geldt.</w:t>
            </w:r>
            <w:r>
              <w:t xml:space="preserve"> </w:t>
            </w:r>
          </w:p>
          <w:p w14:paraId="1B6D4BC4" w14:textId="410E4195" w:rsidR="00807127" w:rsidRPr="0008623B" w:rsidRDefault="00807127" w:rsidP="00B62DC9">
            <w:pPr>
              <w:pStyle w:val="InstructionsText"/>
            </w:pPr>
            <w:r>
              <w:t xml:space="preserve">Deze kolom geeft het verschil weer tussen bedragen van toepassing in het kader van het vereiste van artikel 45 van Richtlijn 2014/59/EU en bedragen van toepassing in het kader van het vereiste van artikel 92 bis van Verordening (EU) nr. 575/2013.</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Rij</w:t>
            </w:r>
            <w:r>
              <w:rPr>
                <w:b/>
                <w:color w:val="000000" w:themeColor="text1"/>
                <w:sz w:val="24"/>
                <w:rFonts w:ascii="Times New Roman" w:hAnsi="Times New Roman"/>
              </w:rPr>
              <w:t xml:space="preserv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026FC1" w:rsidRPr="0008623B" w14:paraId="614F9517" w14:textId="77777777" w:rsidTr="00E46262">
        <w:tc>
          <w:tcPr>
            <w:tcW w:w="1030" w:type="dxa"/>
          </w:tcPr>
          <w:p w14:paraId="7EE06B6D"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w:t>
            </w:r>
          </w:p>
        </w:tc>
        <w:tc>
          <w:tcPr>
            <w:tcW w:w="7736" w:type="dxa"/>
          </w:tcPr>
          <w:p w14:paraId="709BFA1D" w14:textId="0A17EB42"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Tier 1-kernkapitaal</w:t>
            </w:r>
          </w:p>
          <w:p w14:paraId="0C38277D" w14:textId="1D578338" w:rsidR="00021E4F" w:rsidRPr="0008623B" w:rsidRDefault="00021E4F" w:rsidP="0097126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Tier 1-kernkapitaal van de af te wikkelen groep, berekend overeenkomstig artikel 50 van Verordening (EU) nr. 575/2013.</w:t>
            </w:r>
          </w:p>
        </w:tc>
      </w:tr>
      <w:tr w:rsidR="00026FC1" w:rsidRPr="0008623B" w14:paraId="0AC96626" w14:textId="77777777" w:rsidTr="00E46262">
        <w:tc>
          <w:tcPr>
            <w:tcW w:w="1030" w:type="dxa"/>
          </w:tcPr>
          <w:p w14:paraId="4517736A"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w:t>
            </w:r>
          </w:p>
        </w:tc>
        <w:tc>
          <w:tcPr>
            <w:tcW w:w="7736" w:type="dxa"/>
          </w:tcPr>
          <w:p w14:paraId="2FB37E1A" w14:textId="007BDD23"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Aanvullend-tier 1-kapitaal</w:t>
            </w:r>
            <w:r>
              <w:rPr>
                <w:b/>
                <w:color w:val="000000" w:themeColor="text1"/>
                <w:sz w:val="24"/>
                <w:rFonts w:ascii="Times New Roman" w:hAnsi="Times New Roman"/>
              </w:rPr>
              <w:t xml:space="preserve"> </w:t>
            </w:r>
          </w:p>
          <w:p w14:paraId="05B0D3DA" w14:textId="4151C42D" w:rsidR="00E94218" w:rsidRPr="0008623B" w:rsidRDefault="00021E4F">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Aanvullend-tier 1-kapitaal van de af te wikkelen groep, berekend overeenkomstig artikel 61 van Verordening (EU) nr. 575/2013.</w:t>
            </w:r>
          </w:p>
          <w:p w14:paraId="66E56E67" w14:textId="5AF6C892" w:rsidR="00021E4F" w:rsidRPr="0008623B" w:rsidRDefault="00E94218" w:rsidP="00E9421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het geval van het MREL worden instrumenten die onder het recht van een derde land vallen, alleen in deze rij opgenomen indien zij aan de vereisten van artikel 55 van Richtlijn 2014/59/EU voldoen.</w:t>
            </w:r>
          </w:p>
        </w:tc>
      </w:tr>
      <w:tr w:rsidR="00026FC1" w:rsidRPr="0008623B" w14:paraId="2781CFBF" w14:textId="77777777" w:rsidTr="00E46262">
        <w:tc>
          <w:tcPr>
            <w:tcW w:w="1030" w:type="dxa"/>
          </w:tcPr>
          <w:p w14:paraId="6B607587" w14:textId="58DB8643"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6</w:t>
            </w:r>
          </w:p>
        </w:tc>
        <w:tc>
          <w:tcPr>
            <w:tcW w:w="7736" w:type="dxa"/>
          </w:tcPr>
          <w:p w14:paraId="30A3A120" w14:textId="05F7C1CC"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Tier 2-kapitaal</w:t>
            </w:r>
          </w:p>
          <w:p w14:paraId="6F849BF3" w14:textId="3A19BC99" w:rsidR="00021E4F" w:rsidRPr="0008623B" w:rsidRDefault="00021E4F"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Tier 2-kapitaal van de af te wikkelen groep, berekend overeenkomstig artikel 71 van Verordening (EU) nr. 575/2013.</w:t>
            </w:r>
          </w:p>
          <w:p w14:paraId="2C50816C" w14:textId="487961E7" w:rsidR="00E94218" w:rsidRPr="0008623B" w:rsidRDefault="00E94218"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het geval van het MREL worden instrumenten die onder het recht van een derde land vallen, alleen in deze rij opgenomen indien zij aan de vereisten van artikel 55 van Richtlijn 2014/59/EU voldoen.</w:t>
            </w:r>
          </w:p>
        </w:tc>
      </w:tr>
      <w:tr w:rsidR="00026FC1" w:rsidRPr="0008623B" w14:paraId="77060B4B" w14:textId="77777777" w:rsidTr="00E46262">
        <w:tc>
          <w:tcPr>
            <w:tcW w:w="1030" w:type="dxa"/>
          </w:tcPr>
          <w:p w14:paraId="62D73831" w14:textId="2A91E8D9"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11</w:t>
            </w:r>
          </w:p>
        </w:tc>
        <w:tc>
          <w:tcPr>
            <w:tcW w:w="7736" w:type="dxa"/>
          </w:tcPr>
          <w:p w14:paraId="3A0853BF" w14:textId="73ADC517"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ten behoeve van artikel 92 bis van Verordening (EU) nr. 575/2013 en artikel 45 van Richtlijn 2014/59/EU</w:t>
            </w:r>
            <w:r>
              <w:rPr>
                <w:b/>
                <w:color w:val="000000" w:themeColor="text1"/>
                <w:sz w:val="24"/>
                <w:rFonts w:ascii="Times New Roman" w:hAnsi="Times New Roman"/>
              </w:rPr>
              <w:t xml:space="preserve"> </w:t>
            </w:r>
          </w:p>
          <w:p w14:paraId="61FB0BF1" w14:textId="6C6EEBF4"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Eigen vermogen ten behoeve van artikel 92 bis van Verordening (EU) nr. 575/2013 en artikel 45 van Richtlijn 2014/59/EU, dat wordt berekend als rij 1 + rij 2 + rij 6.</w:t>
            </w:r>
          </w:p>
        </w:tc>
      </w:tr>
      <w:tr w:rsidR="00026FC1" w:rsidRPr="0008623B" w14:paraId="5B3A8911" w14:textId="77777777" w:rsidTr="00E46262">
        <w:tc>
          <w:tcPr>
            <w:tcW w:w="1030" w:type="dxa"/>
          </w:tcPr>
          <w:p w14:paraId="3865D42E" w14:textId="14C5B714"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12</w:t>
            </w:r>
          </w:p>
        </w:tc>
        <w:tc>
          <w:tcPr>
            <w:tcW w:w="7736" w:type="dxa"/>
          </w:tcPr>
          <w:p w14:paraId="5BC74910" w14:textId="5B101009" w:rsidR="00BD6570" w:rsidRPr="0008623B" w:rsidRDefault="00021E4F" w:rsidP="00BD6570">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Rechtstreeks door de af te wikkelen entiteit uitgegeven in aanmerking komende passiva-instrumenten die zijn achtergesteld aan uitgesloten passiva (zonder grandfathering)</w:t>
            </w:r>
          </w:p>
          <w:p w14:paraId="074ADC7C"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5DF92336" w14:textId="765EDF5B" w:rsidR="00BD6570" w:rsidRPr="0008623B" w:rsidRDefault="00BD6570" w:rsidP="00B62DC9">
            <w:pPr>
              <w:pStyle w:val="InstructionsText"/>
              <w:rPr>
                <w:rStyle w:val="FormatvorlageInstructionsTabelleText"/>
                <w:sz w:val="24"/>
                <w:rFonts w:ascii="Times New Roman" w:hAnsi="Times New Roman"/>
              </w:rPr>
            </w:pPr>
            <w:r>
              <w:rPr>
                <w:sz w:val="24"/>
                <w:rFonts w:ascii="Times New Roman" w:hAnsi="Times New Roman"/>
              </w:rPr>
              <w:t xml:space="preserve">In aanmerking komende passiva die overeenkomstig artikel 45 ter van Richtlijn 2014/59/EU in het bedrag aan eigen vermogen en in aanmerking komende passiva zijn opgenomen en die achtergestelde in aanmerking komende instrumenten zijn zoals gedefinieerd in artikel 2, lid 1, punt 71 ter), van Richtlijn 2014/59/EU en die rechtstreeks door de af te wikkelen entiteit zijn uitgegeven.</w:t>
            </w:r>
          </w:p>
          <w:p w14:paraId="26CA1F30" w14:textId="30AB9FAB" w:rsidR="00A97842" w:rsidRPr="0008623B" w:rsidRDefault="00A97842"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39C8C83A" w14:textId="77777777"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66B62B57" w14:textId="0743E841"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In aanmerking komende passiva die aan alle vereisten van de artikelen 72 bis tot en met 72 quinquies van Verordening (EU) nr. 575/2013 voldoen, met uitsluiting van passiva die overeenkomstig artikel 72 ter, lid 3 of lid 4, van die verordening als in aanmerking komende passiva-instrumenten mogen kwalificeren en die rechtstreeks door de af te wikkelen entiteit zijn uitgegeven.</w:t>
            </w:r>
          </w:p>
          <w:p w14:paraId="1DC64B11" w14:textId="43193578"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Deze rij omvat noch het geamortiseerde deel van tier 2-instrumenten indien de resterende looptijd langer is dan één jaar (artikel 72 bis, lid 1, punt b), van Verordening (EU) nr. 575/2013), noch in aanmerking komende passiva waarop grandfathering van toepassing is op grond van artikel 494 ter van Verordening (EU) nr. 575/2013.</w:t>
            </w:r>
          </w:p>
        </w:tc>
      </w:tr>
      <w:tr w:rsidR="00026FC1" w:rsidRPr="0008623B" w14:paraId="138E2D9C" w14:textId="77777777" w:rsidTr="00E46262">
        <w:tc>
          <w:tcPr>
            <w:tcW w:w="1030" w:type="dxa"/>
          </w:tcPr>
          <w:p w14:paraId="6FA92C5C" w14:textId="69DE2A40" w:rsidR="00021E4F" w:rsidRPr="0008623B" w:rsidRDefault="00D571F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EU-12a</w:t>
            </w:r>
          </w:p>
        </w:tc>
        <w:tc>
          <w:tcPr>
            <w:tcW w:w="7736" w:type="dxa"/>
          </w:tcPr>
          <w:p w14:paraId="5358B90C" w14:textId="357A9C41"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Door andere entiteiten binnen de af te wikkelen groep uitgegeven in aanmerking komende passiva-instrumenten die zijn achtergesteld aan uitgesloten passiva (zonder grandfathering)</w:t>
            </w:r>
          </w:p>
          <w:p w14:paraId="57A6D73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69BA2B0" w14:textId="05CA7721"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 aanmerking komende passiva die overeenkomstig artikel 45 ter van Richtlijn 2014/59/EU zijn opgenomen in het bedrag aan eigen vermogen en in aanmerking komende passiva en die door dochterondernemingen zijn uitgegeven en die in overeenstemming met artikel 45 ter, lid 3, van die richtlijn in het MREL worden opgenomen.</w:t>
            </w:r>
          </w:p>
          <w:p w14:paraId="02BD22DB" w14:textId="392507F9" w:rsidR="003E4404" w:rsidRPr="0008623B" w:rsidRDefault="003E4404"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0BBD12E2" w14:textId="7EA7B44E"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F8A0C84" w14:textId="0CA61C04"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In aanmerking komende passiva die aan alle vereisten van de artikelen 72 bis tot en met 72 quinquies van Verordening (EU) nr. 575/2013 voldoen, met uitsluiting van passiva die overeenkomstig artikel 72 ter, lid 3 of 4, van die verordening als in aanmerking komende passiva-instrumenten mogen kwalificeren en die door dochterondernemingen zijn uitgegeven en die, overeenkomstig artikel 88 bis van Verordening (EU) nr. 575/2013, kwalificeren om te worden opgenomen in de geconsolideerde in aanmerking komende passiva-instrumenten van een entiteit.</w:t>
            </w:r>
          </w:p>
          <w:p w14:paraId="0DBFD655" w14:textId="5A3E4820"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Deze rij omvat noch het geamortiseerde deel van tier 2-instrumenten indien de resterende looptijd langer is dan één jaar (artikel 72 bis, lid 1, punt b), van Verordening (EU) nr. 575/2013), noch in aanmerking komende passiva waarop grandfathering van toepassing is op grond van artikel 494 ter van Verordening (EU) nr. 575/2013.</w:t>
            </w:r>
          </w:p>
        </w:tc>
      </w:tr>
      <w:tr w:rsidR="00922937" w:rsidRPr="0008623B" w14:paraId="128E215B" w14:textId="77777777" w:rsidTr="00E46262">
        <w:tc>
          <w:tcPr>
            <w:tcW w:w="1030" w:type="dxa"/>
          </w:tcPr>
          <w:p w14:paraId="59505232" w14:textId="6BA871E1"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EU-12b</w:t>
            </w:r>
          </w:p>
        </w:tc>
        <w:tc>
          <w:tcPr>
            <w:tcW w:w="7736" w:type="dxa"/>
          </w:tcPr>
          <w:p w14:paraId="120C20CA" w14:textId="0D51C3A9"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passiva-instrumenten die achtergesteld zijn aan vóór 27 juni 2019 uitgegeven passiva (achtergesteld met grandfathering)</w:t>
            </w:r>
          </w:p>
          <w:p w14:paraId="31DC06A4"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60F78D8E" w14:textId="77777777" w:rsidR="00BD6570" w:rsidRPr="0008623B" w:rsidRDefault="00BD6570"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In aanmerking komende passiva die aan de volgende voorwaarden voldoen:</w:t>
            </w:r>
          </w:p>
          <w:p w14:paraId="13FE6179" w14:textId="7E1CDD80" w:rsidR="00BD6570" w:rsidRPr="0008623B" w:rsidRDefault="00BD6570" w:rsidP="00B62DC9">
            <w:pPr>
              <w:pStyle w:val="InstructionsText"/>
              <w:numPr>
                <w:ilvl w:val="0"/>
                <w:numId w:val="16"/>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uitgegeven zijn vóór 27 juni 2019;</w:t>
            </w:r>
          </w:p>
          <w:p w14:paraId="20EE0D1D" w14:textId="2261ECA3"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Fonts w:ascii="Times New Roman" w:hAnsi="Times New Roman"/>
              </w:rPr>
              <w:t xml:space="preserve">achtergestelde in aanmerking komende instrumenten zijn zoals gedefinieerd in artikel 2, lid 1, punt 71 ter), van Richtlijn 2014/59/EU;</w:t>
            </w:r>
            <w:r>
              <w:rPr>
                <w:sz w:val="24"/>
                <w:rStyle w:val="FormatvorlageInstructionsTabelleText"/>
                <w:rFonts w:ascii="Times New Roman" w:hAnsi="Times New Roman"/>
              </w:rPr>
              <w:t xml:space="preserve"> </w:t>
            </w:r>
          </w:p>
          <w:p w14:paraId="6779E72D" w14:textId="44987C71"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Fonts w:ascii="Times New Roman" w:hAnsi="Times New Roman"/>
              </w:rPr>
              <w:t xml:space="preserve">overeenkomstig artikel 494 ter, lid 3, van Verordening (EU) nr. 575/2013 opgenomen zijn in eigen vermogen en in aanmerking komende passiva.</w:t>
            </w:r>
          </w:p>
          <w:p w14:paraId="3997A101" w14:textId="21BFEA1B"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4AA69AC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748D115E"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Passiva die aan de volgende voorwaarden voldoen:</w:t>
            </w:r>
          </w:p>
          <w:p w14:paraId="62E0491E" w14:textId="7B8C3AD6"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uitgegeven zijn vóór 27 juni 2019;</w:t>
            </w:r>
          </w:p>
          <w:p w14:paraId="5161FB69" w14:textId="33B28B47"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voldoen aan artikel 72 ter, lid 2, punt d), van Verordening (EU) nr. 575/2013;</w:t>
            </w:r>
          </w:p>
          <w:p w14:paraId="796E2BAA" w14:textId="102908EC" w:rsidR="00922937" w:rsidRPr="0008623B" w:rsidRDefault="00BD6570" w:rsidP="00C4776A">
            <w:pPr>
              <w:pStyle w:val="ListParagraph"/>
              <w:numPr>
                <w:ilvl w:val="0"/>
                <w:numId w:val="16"/>
              </w:num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als in aanmerking komende passiva kwalificeren als gevolg van grandfathering overeenkomstig artikel 494 ter, lid 3, van Verordening (EU) nr. 575/2013.</w:t>
            </w:r>
          </w:p>
        </w:tc>
      </w:tr>
      <w:tr w:rsidR="00BA315F" w:rsidRPr="0008623B" w14:paraId="5089A67B" w14:textId="77777777" w:rsidTr="00E46262">
        <w:tc>
          <w:tcPr>
            <w:tcW w:w="1030" w:type="dxa"/>
          </w:tcPr>
          <w:p w14:paraId="4A7EDDF2" w14:textId="7325896B" w:rsidR="00BA315F" w:rsidRPr="0008623B" w:rsidRDefault="00BA315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EU-12c</w:t>
            </w:r>
          </w:p>
        </w:tc>
        <w:tc>
          <w:tcPr>
            <w:tcW w:w="7736" w:type="dxa"/>
          </w:tcPr>
          <w:p w14:paraId="278B1172" w14:textId="77777777" w:rsidR="00BA315F" w:rsidRPr="0008623B" w:rsidRDefault="00BA315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Tier 2-instrumenten met een resterende looptijd van ten minste één jaar, voor zover deze niet als tier 2-bestanddelen kwalificeren</w:t>
            </w:r>
          </w:p>
          <w:p w14:paraId="6F3FB28E" w14:textId="6395E75A" w:rsidR="00334BA5" w:rsidRPr="0008623B" w:rsidRDefault="00334BA5" w:rsidP="00915305">
            <w:pPr>
              <w:rPr>
                <w:noProof/>
                <w:color w:val="000000" w:themeColor="text1"/>
                <w:sz w:val="24"/>
                <w:szCs w:val="24"/>
                <w:rFonts w:ascii="Times New Roman" w:hAnsi="Times New Roman" w:cs="Times New Roman"/>
              </w:rPr>
            </w:pPr>
            <w:r>
              <w:rPr>
                <w:color w:val="000000" w:themeColor="text1"/>
              </w:rPr>
              <w:t xml:space="preserve">Het geamortiseerde deel van tier 2-instrumenten indien de resterende looptijd langer is dan één jaar (artikel 72 bis, lid 1, punt b), van Verordening (EU) nr. 575/2013).</w:t>
            </w:r>
          </w:p>
          <w:p w14:paraId="4FD8D86D" w14:textId="2C5E3644" w:rsidR="00BA315F" w:rsidRPr="0008623B" w:rsidRDefault="00BA315F" w:rsidP="006501C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deze rij wordt alleen het bedrag gegeven dat niet in het eigen vermogen is opgenomen maar voldoet aan alle criteria van artikel 72 ter van Verordening (EU) nr. 575/2013 om in aanmerking te komen.</w:t>
            </w:r>
          </w:p>
          <w:p w14:paraId="001569D4" w14:textId="08D94941" w:rsidR="003E4404" w:rsidRPr="0008623B" w:rsidRDefault="003E4404" w:rsidP="003E4404">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 het geval van het MREL worden instrumenten die onder het recht van een derde land vallen, alleen in deze rij opgenomen indien zij aan de vereisten van artikel 55 van Richtlijn 2014/59/EU voldoen.</w:t>
            </w:r>
          </w:p>
        </w:tc>
      </w:tr>
      <w:tr w:rsidR="00026FC1" w:rsidRPr="0008623B" w14:paraId="64D6FD96" w14:textId="77777777" w:rsidTr="00E46262">
        <w:tc>
          <w:tcPr>
            <w:tcW w:w="1030" w:type="dxa"/>
          </w:tcPr>
          <w:p w14:paraId="50786C06" w14:textId="52DA5E60"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13</w:t>
            </w:r>
          </w:p>
        </w:tc>
        <w:tc>
          <w:tcPr>
            <w:tcW w:w="7736" w:type="dxa"/>
          </w:tcPr>
          <w:p w14:paraId="5D613CA9" w14:textId="2F1AE58A" w:rsidR="009B2422" w:rsidRPr="0008623B" w:rsidRDefault="009B2422" w:rsidP="00E9630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 die niet achtergesteld zijn aan uitgesloten passiva (zonder grandfathering, vóór plafond)</w:t>
            </w:r>
          </w:p>
          <w:p w14:paraId="7660F6FC"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0F0085A" w14:textId="242F8AE9" w:rsidR="009B2422" w:rsidRPr="0008623B" w:rsidRDefault="009B2422"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Passiva die voldoen aan de voorwaarden van artikel 45 ter van Richtlijn 2014/59/EU en die niet volledig zijn achtergesteld aan vorderingen die uit de in artikel 72 bis, lid 2, van Verordening (EU) nr. 575/2013 bedoelde uitgesloten passiva voortvloeien.</w:t>
            </w:r>
          </w:p>
          <w:p w14:paraId="2C657BAC" w14:textId="12DC0920"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137D2044"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24B93B1" w14:textId="013DD02A" w:rsidR="009B2422" w:rsidRPr="0008623B" w:rsidRDefault="009B2422" w:rsidP="00B62DC9">
            <w:pPr>
              <w:pStyle w:val="InstructionsText"/>
              <w:rPr>
                <w:rStyle w:val="FormatvorlageInstructionsTabelleText"/>
                <w:sz w:val="24"/>
                <w:rFonts w:ascii="Times New Roman" w:hAnsi="Times New Roman"/>
              </w:rPr>
            </w:pPr>
            <w:r>
              <w:t xml:space="preserve">In aanmerking komende passiva die voldoen aan de vereisten van de artikelen 72 bis tot en met 72 quinquies van Verordening (EU) nr. 575/2013, met uitzondering van artikel 72 ter, lid 2, punt d), van die verordening, en die overeenkomstig artikel 72 ter, lid 3, van die verordening als in aanmerking komende passiva-instrumenten zouden mogen kwalificeren of die overeenkomstig artikel 72 ter, lid 4, van die verordening als in aanmerking komende passiva-instrumenten mogen kwalificeren.</w:t>
            </w:r>
          </w:p>
          <w:p w14:paraId="686DBB1D" w14:textId="3C40B2C0" w:rsidR="009B2422" w:rsidRPr="0008623B" w:rsidRDefault="004B3067"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Indien artikel 72 ter, lid 3, van Verordening (EU) nr. 575/2013 of artikel 494, lid 2, van Verordening (EU) nr. 575/2013 van toepassing is, wordt in deze rij het volledige bedrag openbaar gemaakt zonder dat het plafond van, respectievelijk, 3,5 % en 2,5 % wordt toegepast.</w:t>
            </w:r>
          </w:p>
          <w:p w14:paraId="2AE31630" w14:textId="5BBA380B" w:rsidR="009B2422" w:rsidRPr="0008623B" w:rsidRDefault="009B2422" w:rsidP="009B242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Deze rij omvat geen bedragen die overeenkomstig artikel 494 ter, lid 3, van Verordening (EU) nr. 575/2013 op overgangsbasis als in aanmerking komend kunnen worden aangemerkt.</w:t>
            </w:r>
          </w:p>
        </w:tc>
      </w:tr>
      <w:tr w:rsidR="00922937" w:rsidRPr="0008623B" w14:paraId="54947575" w14:textId="77777777" w:rsidTr="00E46262">
        <w:tc>
          <w:tcPr>
            <w:tcW w:w="1030" w:type="dxa"/>
          </w:tcPr>
          <w:p w14:paraId="034E19A1" w14:textId="2AE4D60C"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EU-13a</w:t>
            </w:r>
          </w:p>
        </w:tc>
        <w:tc>
          <w:tcPr>
            <w:tcW w:w="7736" w:type="dxa"/>
          </w:tcPr>
          <w:p w14:paraId="69BC0D22" w14:textId="6A00E4CF"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 die niet achtergesteld zijn aan vóór 27 juni 2019 uitgegeven passiva (vóór plafond)</w:t>
            </w:r>
          </w:p>
          <w:p w14:paraId="56BE4571"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5C7AEC52" w14:textId="77777777" w:rsidR="009B2422" w:rsidRPr="0008623B" w:rsidRDefault="009B2422"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aanmerking komende passiva die aan de volgende voorwaarden voldoen:</w:t>
            </w:r>
          </w:p>
          <w:p w14:paraId="72C8F1AF" w14:textId="72479061"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uitgegeven zijn vóór 27 juni 2019;</w:t>
            </w:r>
          </w:p>
          <w:p w14:paraId="21ECB5FF" w14:textId="573F7AE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voldoen aan de voorwaarden van artikel 45 ter van Richtlijn 2014/59/EU en niet volledig achtergesteld zijn aan vorderingen die uit de in artikel 72 bis, lid 2, van Verordening (EU) nr. 575/2013 bedoelde uitgesloten passiva voortvloeien;</w:t>
            </w:r>
          </w:p>
          <w:p w14:paraId="110EAF03" w14:textId="6715760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als in aanmerking komende passiva kwalificeren als gevolg van grandfathering overeenkomstig artikel 494 ter, lid 3, van Verordening (EU) nr. 575/2013.</w:t>
            </w:r>
          </w:p>
          <w:p w14:paraId="0E373313" w14:textId="3B67958D" w:rsidR="003E4404" w:rsidRPr="0008623B" w:rsidRDefault="003E4404" w:rsidP="005F391D">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7B5CC27B"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09DD1F6" w14:textId="730AFC17" w:rsidR="009B2422" w:rsidRPr="0008623B" w:rsidRDefault="008E71C3"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aanmerking komende passiva die aan de volgende voorwaarden voldoen:</w:t>
            </w:r>
          </w:p>
          <w:p w14:paraId="318C85C9" w14:textId="7DED1DBB"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uitgegeven zijn vóór 27 juni 2019;</w:t>
            </w:r>
          </w:p>
          <w:p w14:paraId="76F54B6E" w14:textId="0FE12834"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voldoen aan de vereisten van de artikelen 72 bis tot en met 72 quinquies van Verordening (EU) nr. 575/2013, met uitzondering van artikel 72 ter, lid 2, punt d), van die verordening en die overeenkomstig artikel 72 ter, lid 3, van die verordening als in aanmerking komende passiva-instrumenten zouden mogen kwalificeren of die overeenkomstig artikel 72 ter, lid 4, van Verordening (EU) nr. 575/2013 als in aanmerking komende passiva-instrumenten mogen kwalificeren;</w:t>
            </w:r>
          </w:p>
          <w:p w14:paraId="2DB1E71A" w14:textId="66F98C46" w:rsidR="003312F4"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als in aanmerking komende passiva kwalificeren als gevolg van grandfathering overeenkomstig artikel 494 ter, lid 3, van Verordening (EU) nr. 575/2013.</w:t>
            </w:r>
          </w:p>
          <w:p w14:paraId="6639DB06" w14:textId="22A4459E" w:rsidR="009B2422" w:rsidRPr="0008623B" w:rsidRDefault="00A150DD" w:rsidP="00A150D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Indien artikel 72 ter, lid 3, van Verordening (EU) nr. 575/2013 of artikel 494, lid 2, van Verordening (EU) nr. 575/2013 van toepassing is, wordt in deze rij het volledige bedrag gerapporteerd, zonder dat het plafond van, respectievelijk, 3,5 % en 2,5 % wordt toegepast.</w:t>
            </w:r>
          </w:p>
        </w:tc>
      </w:tr>
      <w:tr w:rsidR="00026FC1" w:rsidRPr="0008623B" w14:paraId="219A8816" w14:textId="77777777" w:rsidTr="00E46262">
        <w:tc>
          <w:tcPr>
            <w:tcW w:w="1030" w:type="dxa"/>
          </w:tcPr>
          <w:p w14:paraId="26CB4EA4" w14:textId="1E635F7F"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14</w:t>
            </w:r>
          </w:p>
        </w:tc>
        <w:tc>
          <w:tcPr>
            <w:tcW w:w="7736" w:type="dxa"/>
          </w:tcPr>
          <w:p w14:paraId="6094B9AD" w14:textId="53C6E214" w:rsidR="00021E4F"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Bedrag aan niet-achtergestelde in aanmerking komende passiva, in voorkomend geval na de toepassing van artikel 72 ter, lid 3, van Verordening (EU) nr. 575/2013</w:t>
            </w:r>
          </w:p>
          <w:p w14:paraId="78F7998F"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2BBE4C9" w14:textId="6CA91799" w:rsidR="000C6F8C" w:rsidRPr="0008623B" w:rsidRDefault="000C6F8C"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is gelijk aan de som van rij 13 en rij EU-13a.</w:t>
            </w:r>
          </w:p>
          <w:p w14:paraId="03898B83"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4E50C43" w14:textId="098233F1" w:rsidR="000C6F8C" w:rsidRPr="0008623B" w:rsidRDefault="003E4404" w:rsidP="008E71C3">
            <w:pPr>
              <w:rPr>
                <w:noProof/>
                <w:color w:val="000000" w:themeColor="text1"/>
                <w:sz w:val="24"/>
                <w:szCs w:val="24"/>
                <w:rFonts w:ascii="Times New Roman" w:hAnsi="Times New Roman" w:cs="Times New Roman"/>
              </w:rPr>
            </w:pPr>
            <w:r>
              <w:rPr>
                <w:color w:val="000000" w:themeColor="text1"/>
              </w:rPr>
              <w:t xml:space="preserve">Indien artikel 72 ter, lid 3, van Verordening (EU) nr. 575/2013 wordt toegepast, geeft deze rij de som van de in de rijen 13 en 13a openbaar gemaakte bedragen na de toepassing van, respectievelijk, artikel 72 ter, lid 3, en artikel 494, lid 2, van die verordening.</w:t>
            </w:r>
            <w:r>
              <w:rPr>
                <w:color w:val="000000" w:themeColor="text1"/>
                <w:sz w:val="24"/>
                <w:rFonts w:ascii="Times New Roman" w:hAnsi="Times New Roman"/>
              </w:rPr>
              <w:t xml:space="preserve"> </w:t>
            </w:r>
          </w:p>
          <w:p w14:paraId="5A30EA54" w14:textId="5EC0D4FB" w:rsidR="00021E4F" w:rsidRPr="0008623B" w:rsidRDefault="000C6F8C"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Indien artikel 72 ter, lid 3, van Verordening (EU) nr. 575/2013 niet wordt toegepast, maar de entiteit de toepassing van artikel 72 ter, lid 4, van Verordening (EU) nr. 575/2013 geniet, is deze rij de som van de rijen 13 en EU-13a.</w:t>
            </w:r>
          </w:p>
        </w:tc>
      </w:tr>
      <w:tr w:rsidR="00026FC1" w:rsidRPr="0008623B" w14:paraId="329EB7E3" w14:textId="77777777" w:rsidTr="00E46262">
        <w:tc>
          <w:tcPr>
            <w:tcW w:w="1030" w:type="dxa"/>
          </w:tcPr>
          <w:p w14:paraId="0D278793" w14:textId="45736042"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17</w:t>
            </w:r>
          </w:p>
        </w:tc>
        <w:tc>
          <w:tcPr>
            <w:tcW w:w="7736" w:type="dxa"/>
          </w:tcPr>
          <w:p w14:paraId="4088C906" w14:textId="78FD4FAE"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passivabestanddelen vóór aanpassingen</w:t>
            </w:r>
          </w:p>
          <w:p w14:paraId="22690983" w14:textId="2BAD1B47"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aanmerking komende passivabestanddelen vóór aanpassingen.</w:t>
            </w:r>
            <w:r>
              <w:rPr>
                <w:color w:val="000000" w:themeColor="text1"/>
                <w:sz w:val="24"/>
                <w:rFonts w:ascii="Times New Roman" w:hAnsi="Times New Roman"/>
              </w:rPr>
              <w:t xml:space="preserve"> </w:t>
            </w:r>
            <w:r>
              <w:rPr>
                <w:color w:val="000000" w:themeColor="text1"/>
                <w:sz w:val="24"/>
                <w:rFonts w:ascii="Times New Roman" w:hAnsi="Times New Roman"/>
              </w:rPr>
              <w:t xml:space="preserve">Te berekenen als rij 12 + rij EU-12a + rij EU-12b + rij EU-12c + rij 14.</w:t>
            </w:r>
          </w:p>
        </w:tc>
      </w:tr>
      <w:tr w:rsidR="00633625" w:rsidRPr="0008623B" w14:paraId="2D0BC40A" w14:textId="77777777" w:rsidTr="00E46262">
        <w:tc>
          <w:tcPr>
            <w:tcW w:w="1030" w:type="dxa"/>
          </w:tcPr>
          <w:p w14:paraId="2FC5E554" w14:textId="764C5877" w:rsidR="00633625" w:rsidRPr="0008623B" w:rsidRDefault="0063362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EU-17a</w:t>
            </w:r>
          </w:p>
        </w:tc>
        <w:tc>
          <w:tcPr>
            <w:tcW w:w="7736" w:type="dxa"/>
          </w:tcPr>
          <w:p w14:paraId="1A128FD1" w14:textId="1FF7039A" w:rsidR="00633625" w:rsidRPr="0008623B" w:rsidRDefault="00B80F7C"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passivabestanddelen vóór aanpassingen – Waarvan achtergestelde passivabestanddelen</w:t>
            </w:r>
          </w:p>
          <w:p w14:paraId="4B5B9304"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MREL</w:t>
            </w:r>
          </w:p>
          <w:p w14:paraId="2089EA6F" w14:textId="630F5208" w:rsidR="00DB779A" w:rsidRPr="0008623B" w:rsidRDefault="00DB779A" w:rsidP="00915305">
            <w:pPr>
              <w:rPr>
                <w:rStyle w:val="FormatvorlageInstructionsTabelleText"/>
                <w:sz w:val="24"/>
                <w:szCs w:val="24"/>
                <w:rFonts w:ascii="Times New Roman" w:hAnsi="Times New Roman"/>
              </w:rPr>
            </w:pPr>
            <w:r>
              <w:rPr>
                <w:sz w:val="24"/>
                <w:rFonts w:ascii="Times New Roman" w:hAnsi="Times New Roman"/>
              </w:rPr>
              <w:t xml:space="preserve">In aanmerking komende passiva die overeenkomstig artikel 45 ter van Richtlijn 2014/59/EU in het bedrag aan eigen vermogen en in aanmerking komende passiva zijn opgenomen en die achtergestelde in aanmerking komende instrumenten zijn zoals gedefinieerd in artikel 2, lid 1, punt 71 ter), van die richtlijn, en door dochterondernemingen uitgegeven passiva die overeenkomstig artikel 45 ter, lid 3, van die richtlijn in het MREL zijn opgenomen.</w:t>
            </w:r>
          </w:p>
          <w:p w14:paraId="69D83FC1" w14:textId="5DCAE08F" w:rsidR="003E4404" w:rsidRPr="0008623B" w:rsidRDefault="003E4404" w:rsidP="00915305">
            <w:pPr>
              <w:rPr>
                <w:rStyle w:val="FormatvorlageInstructionsTabelleText"/>
                <w:sz w:val="24"/>
                <w:szCs w:val="24"/>
                <w:rFonts w:ascii="Times New Roman" w:hAnsi="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740C1237"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TLAC</w:t>
            </w:r>
          </w:p>
          <w:p w14:paraId="04429143" w14:textId="6BD51A61"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 aanmerking komende passiva die aan alle vereisten van de artikelen 72 bis tot en met 72 quinquies van Verordening (EU) nr. 575/2013 voldoen, met uitsluiting van passiva die overeenkomstig artikel 72 ter, lid 3 of 4, van die verordening als in aanmerking komende passiva-instrumenten mogen kwalificeren.</w:t>
            </w:r>
          </w:p>
          <w:p w14:paraId="2EEECCE3" w14:textId="4B15BE1E"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Deze rij omvat achtergestelde passiva die in aanmerking komen als gevolg van de grandfathering overeenkomstig artikel 494 ter van Verordening (EU) nr. 575/2013, en het geamortiseerde deel van tier 2-instrumenten indien de resterende looptijd langer is dan één jaar (artikel 72 bis, lid 1, punt b), van Verordening (EU) nr. 575/2013).</w:t>
            </w:r>
          </w:p>
          <w:p w14:paraId="55FB8435" w14:textId="63FEC689" w:rsidR="002432DE" w:rsidRPr="0008623B" w:rsidRDefault="002432DE" w:rsidP="00B62DC9">
            <w:pPr>
              <w:pStyle w:val="InstructionsText"/>
            </w:pPr>
            <w:r>
              <w:rPr>
                <w:rStyle w:val="FormatvorlageInstructionsTabelleText"/>
                <w:sz w:val="24"/>
                <w:rFonts w:ascii="Times New Roman" w:hAnsi="Times New Roman"/>
              </w:rPr>
              <w:t xml:space="preserve">Te berekenen als rij 12 + rij EU-12a + rij EU-12b + rij EU-12c.</w:t>
            </w:r>
          </w:p>
        </w:tc>
      </w:tr>
      <w:tr w:rsidR="00026FC1" w:rsidRPr="0008623B" w14:paraId="45424BEE" w14:textId="77777777" w:rsidTr="00E46262">
        <w:tc>
          <w:tcPr>
            <w:tcW w:w="1030" w:type="dxa"/>
          </w:tcPr>
          <w:p w14:paraId="747BC26F" w14:textId="022289A3"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18</w:t>
            </w:r>
          </w:p>
        </w:tc>
        <w:tc>
          <w:tcPr>
            <w:tcW w:w="7736" w:type="dxa"/>
          </w:tcPr>
          <w:p w14:paraId="4ADF1782" w14:textId="77777777" w:rsidR="00702377" w:rsidRPr="0008623B" w:rsidRDefault="00702377" w:rsidP="00702377">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vóór aanpassingen</w:t>
            </w:r>
          </w:p>
          <w:p w14:paraId="151E44CE" w14:textId="2369C944" w:rsidR="00702377" w:rsidRPr="0008623B" w:rsidRDefault="00702377"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Eigen vermogen en in aanmerking komende passivabestanddelen vóór aanpassingen.</w:t>
            </w:r>
            <w:r>
              <w:rPr>
                <w:color w:val="000000" w:themeColor="text1"/>
                <w:sz w:val="24"/>
                <w:rFonts w:ascii="Times New Roman" w:hAnsi="Times New Roman"/>
              </w:rPr>
              <w:t xml:space="preserve"> </w:t>
            </w:r>
            <w:r>
              <w:rPr>
                <w:color w:val="000000" w:themeColor="text1"/>
                <w:sz w:val="24"/>
                <w:rFonts w:ascii="Times New Roman" w:hAnsi="Times New Roman"/>
              </w:rPr>
              <w:t xml:space="preserve">Te berekenen als de som van rij 11 en rij 17.</w:t>
            </w:r>
          </w:p>
        </w:tc>
      </w:tr>
      <w:tr w:rsidR="00026FC1" w:rsidRPr="0008623B" w14:paraId="74F69B7A" w14:textId="77777777" w:rsidTr="00E46262">
        <w:tc>
          <w:tcPr>
            <w:tcW w:w="1030" w:type="dxa"/>
          </w:tcPr>
          <w:p w14:paraId="1B67D30A" w14:textId="6055FAE6"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19</w:t>
            </w:r>
          </w:p>
        </w:tc>
        <w:tc>
          <w:tcPr>
            <w:tcW w:w="7736" w:type="dxa"/>
          </w:tcPr>
          <w:p w14:paraId="7917D77C" w14:textId="37BD1628"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(Aftrekking van blootstellingen tussen “multiple point of entry” (MPE) af te wikkelen groepen)</w:t>
            </w:r>
          </w:p>
          <w:p w14:paraId="36A58FE6" w14:textId="45D80DF4" w:rsidR="00A9426B" w:rsidRPr="0008623B" w:rsidRDefault="00A9426B"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Negatief bedrag</w:t>
            </w:r>
          </w:p>
          <w:p w14:paraId="0D579B89" w14:textId="657876CE" w:rsidR="00702377" w:rsidRPr="0008623B" w:rsidRDefault="00702377" w:rsidP="00480FB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Aftrekkingen van blootstellingen tussen MPE af te wikkelen MSI-groepen die overeenstemmen met direct, indirect of synthetisch bezit aan eigenvermogensinstrumenten of in aanmerking komende passiva-instrumenten van één of meer dochterondernemingen die niet tot dezelfde af te wikkelen groep behoren als de af te wikkelen entiteit, overeenkomstig artikel 72 sexies, lid 4, van Verordening (EU) nr. 575/2013.</w:t>
            </w:r>
          </w:p>
        </w:tc>
      </w:tr>
      <w:tr w:rsidR="00026FC1" w:rsidRPr="0008623B" w14:paraId="34D251D0" w14:textId="77777777" w:rsidTr="00E46262">
        <w:tc>
          <w:tcPr>
            <w:tcW w:w="1030" w:type="dxa"/>
          </w:tcPr>
          <w:p w14:paraId="33B786D1" w14:textId="62F68C2B"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20</w:t>
            </w:r>
          </w:p>
        </w:tc>
        <w:tc>
          <w:tcPr>
            <w:tcW w:w="7736" w:type="dxa"/>
          </w:tcPr>
          <w:p w14:paraId="22BBBE31" w14:textId="44D9E160"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(Aftrekkingen van beleggingen in andere in aanmerking komende passiva-instrumenten)</w:t>
            </w:r>
          </w:p>
          <w:p w14:paraId="36E83D5C" w14:textId="77777777" w:rsidR="00A9426B" w:rsidRPr="0008623B" w:rsidRDefault="00A9426B"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Negatief bedrag</w:t>
            </w:r>
          </w:p>
          <w:p w14:paraId="5109AFDE" w14:textId="3A888804"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160C4AD3" w14:textId="5E7F7684" w:rsidR="00702377" w:rsidRPr="0008623B" w:rsidRDefault="00702377"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Aftrekkingen van beleggingen in andere in aanmerking komende passiva-instrumenten overeenkomstig artikel 72 sexies, leden 1, 2 en 3, en de artikelen 72 septies tot en met 72 undecies van Verordening (EU) nr. 575/2013.</w:t>
            </w:r>
            <w:r>
              <w:rPr>
                <w:color w:val="000000" w:themeColor="text1"/>
                <w:sz w:val="24"/>
                <w:rFonts w:ascii="Times New Roman" w:hAnsi="Times New Roman"/>
              </w:rPr>
              <w:t xml:space="preserve"> </w:t>
            </w:r>
            <w:r>
              <w:rPr>
                <w:color w:val="000000" w:themeColor="text1"/>
                <w:sz w:val="24"/>
                <w:rFonts w:ascii="Times New Roman" w:hAnsi="Times New Roman"/>
              </w:rPr>
              <w:t xml:space="preserve">Overeenkomstig deel 2, titel I, hoofdstuk 5 bis, afdeling 2, van Verordening (EU) nr. 575/2013 van in aanmerking komende passivabestanddelen af te trekken bedrag.</w:t>
            </w:r>
          </w:p>
          <w:p w14:paraId="58A38F14" w14:textId="027B8532"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 en TLAC</w:t>
            </w:r>
          </w:p>
          <w:p w14:paraId="131C0401" w14:textId="7FBC18FB" w:rsidR="00BF16DB" w:rsidRPr="0008623B" w:rsidRDefault="00BF16DB"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omvat ook bedragen waarvoor toestemming is gegeven tot het opvragen, aflossen, terugbetalen of wederinkopen van in aanmerking komende passiva-instrumenten overeenkomstig artikel 78 bis van Verordening (EU) nr. 575/2013, voor zover de openbaarmakende entiteit dat bedrag nog niet heeft benut om instrumenten op te vragen, af te lossen, terug te betalen of weder in te kopen.</w:t>
            </w:r>
          </w:p>
        </w:tc>
      </w:tr>
      <w:tr w:rsidR="00026FC1" w:rsidRPr="0008623B" w14:paraId="739A1A6D" w14:textId="77777777" w:rsidTr="00E46262">
        <w:tc>
          <w:tcPr>
            <w:tcW w:w="1030" w:type="dxa"/>
          </w:tcPr>
          <w:p w14:paraId="03995BED" w14:textId="59572D69"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22</w:t>
            </w:r>
          </w:p>
        </w:tc>
        <w:tc>
          <w:tcPr>
            <w:tcW w:w="7736" w:type="dxa"/>
          </w:tcPr>
          <w:p w14:paraId="2D6851E4" w14:textId="5FE3EEF7" w:rsidR="00702377" w:rsidRPr="0008623B" w:rsidRDefault="000B4D72"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passivabestanddelen na aanpassingen</w:t>
            </w:r>
          </w:p>
          <w:p w14:paraId="69BED263" w14:textId="4E69A591" w:rsidR="00702377" w:rsidRPr="0008623B" w:rsidRDefault="00702377"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Eigen vermogen en in aanmerking komende passiva zoals gedefinieerd in artikel 72 terdecies van Verordening (EU) nr. 575/2013.</w:t>
            </w:r>
            <w:r>
              <w:rPr>
                <w:color w:val="000000" w:themeColor="text1"/>
                <w:sz w:val="24"/>
                <w:rFonts w:ascii="Times New Roman" w:hAnsi="Times New Roman"/>
              </w:rPr>
              <w:t xml:space="preserve"> </w:t>
            </w:r>
            <w:r>
              <w:rPr>
                <w:color w:val="000000" w:themeColor="text1"/>
                <w:sz w:val="24"/>
                <w:rFonts w:ascii="Times New Roman" w:hAnsi="Times New Roman"/>
              </w:rPr>
              <w:t xml:space="preserve">Te berekenen als rij 18 + rij 19 + rij 20.</w:t>
            </w:r>
          </w:p>
          <w:p w14:paraId="5794043B" w14:textId="1C4A8682" w:rsidR="003E4404" w:rsidRPr="0008623B" w:rsidRDefault="003E4404" w:rsidP="00A9426B">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DCEFD91" w14:textId="77777777"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Het bedrag aan eigen vermogen en in aanmerking komende passiva dat meetelt voor het MREL, wordt openbaar gemaakt als de som van:</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eigen vermogen zoals gedefinieerd in artikel 4, lid 1, punt 118), en artikel 72 van Verordening (EU) nr. 575/2013;</w:t>
            </w:r>
            <w:r>
              <w:rPr>
                <w:rStyle w:val="FormatvorlageInstructionsTabelleText"/>
                <w:sz w:val="24"/>
                <w:rFonts w:ascii="Times New Roman" w:hAnsi="Times New Roman"/>
              </w:rPr>
              <w:t xml:space="preserve">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in aanmerking komende passiva zoals gedefinieerd in artikel 2, lid 1, punt 71 bis), van Richtlijn 2014/59/EU.</w:t>
            </w:r>
          </w:p>
          <w:p w14:paraId="38858668" w14:textId="194B5715" w:rsidR="003E4404" w:rsidRPr="0008623B" w:rsidRDefault="003E4404" w:rsidP="005F391D">
            <w:pPr>
              <w:spacing w:before="120" w:after="120" w:line="240" w:lineRule="auto"/>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7E3B34F5" w14:textId="546FE87E" w:rsidR="003E4404" w:rsidRPr="0008623B" w:rsidRDefault="003E4404" w:rsidP="005F391D">
            <w:pPr>
              <w:spacing w:before="120" w:after="120" w:line="240" w:lineRule="auto"/>
              <w:jc w:val="both"/>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3E3A8B56" w14:textId="3FF85A2A"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Het bedrag aan eigen vermogen en in aanmerking komende passiva dat voor het TLAC meetelt, is het in artikel 72 terdecies van Verordening (EU) nr. 575/2013 bedoelde bedrag, dat bestaat uit:</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eigen vermogen zoals gedefinieerd in artikel 4, lid 1, punt 118), en artikel 72 van Verordening (EU) nr.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 aanmerking komende passiva in de zin van artikel 72 duodecies van Verordening (EU) nr. 575/2013.</w:t>
            </w:r>
          </w:p>
        </w:tc>
      </w:tr>
      <w:tr w:rsidR="00633625" w:rsidRPr="0008623B" w14:paraId="3C365839" w14:textId="77777777" w:rsidTr="00E46262">
        <w:tc>
          <w:tcPr>
            <w:tcW w:w="1030" w:type="dxa"/>
          </w:tcPr>
          <w:p w14:paraId="13AA7EE3" w14:textId="302E8B20" w:rsidR="00633625" w:rsidRPr="0008623B" w:rsidRDefault="00633625"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EU-22a</w:t>
            </w:r>
          </w:p>
        </w:tc>
        <w:tc>
          <w:tcPr>
            <w:tcW w:w="7736" w:type="dxa"/>
          </w:tcPr>
          <w:p w14:paraId="05DA41C9" w14:textId="77777777" w:rsidR="00633625" w:rsidRPr="0008623B" w:rsidRDefault="00633625"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eigen vermogen en achtergestelde passiva</w:t>
            </w:r>
          </w:p>
          <w:p w14:paraId="0ED27DF2" w14:textId="30421E2C" w:rsidR="00DB779A" w:rsidRPr="0008623B" w:rsidRDefault="00DB779A" w:rsidP="00E06D47">
            <w:pPr>
              <w:rPr>
                <w:b/>
                <w:noProof/>
                <w:color w:val="000000" w:themeColor="text1"/>
                <w:sz w:val="24"/>
                <w:szCs w:val="24"/>
                <w:rFonts w:ascii="Times New Roman" w:hAnsi="Times New Roman" w:cs="Times New Roman"/>
              </w:rPr>
            </w:pPr>
            <w:r>
              <w:rPr>
                <w:sz w:val="24"/>
                <w:rFonts w:ascii="Times New Roman" w:hAnsi="Times New Roman"/>
              </w:rPr>
              <w:t xml:space="preserve">Eigen vermogen en overeenkomstig artikel 45 ter van Richtlijn 2014/59/EU in het bedrag aan eigen vermogen en in aanmerking komende passiva opgenomen in aanmerking komende passiva die achtergestelde in aanmerking komende instrumenten zijn zoals gedefinieerd in artikel 2, lid 1, punt 71 ter), van die richtlijn, en passiva die overeenkomstig artikel 45 ter, lid 3, van Richtlijn 2014/59/EU in het bedrag aan eigen vermogen en in aanmerking komende passiva zijn opgenomen.</w:t>
            </w:r>
          </w:p>
        </w:tc>
      </w:tr>
      <w:tr w:rsidR="00026FC1" w:rsidRPr="0008623B" w14:paraId="129D2D8D" w14:textId="77777777" w:rsidTr="00E46262">
        <w:tc>
          <w:tcPr>
            <w:tcW w:w="1030" w:type="dxa"/>
          </w:tcPr>
          <w:p w14:paraId="1B5B041C" w14:textId="4E1F9AEC" w:rsidR="00702377" w:rsidRPr="0008623B" w:rsidRDefault="00D571F6"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23</w:t>
            </w:r>
          </w:p>
        </w:tc>
        <w:tc>
          <w:tcPr>
            <w:tcW w:w="7736" w:type="dxa"/>
          </w:tcPr>
          <w:p w14:paraId="0DB96856" w14:textId="3D3296F4" w:rsidR="00702377" w:rsidRPr="0008623B" w:rsidRDefault="00702377"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Totaal van de risicoposten (TREA)</w:t>
            </w:r>
          </w:p>
          <w:p w14:paraId="58889E7E" w14:textId="691DB651" w:rsidR="008149F0" w:rsidRPr="0008623B" w:rsidRDefault="00702377" w:rsidP="007E12B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Totaal van de risicoposten van de af te wikkelen groep overeenkomstig artikel 18, lid 1, tweede alinea, van Verordening (EU) nr. 575/2013.</w:t>
            </w:r>
          </w:p>
          <w:p w14:paraId="1B151396" w14:textId="33E81FE9" w:rsidR="00702377"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Het in deze rij openbaar gemaakte totaal van de risicoposten is het totaal van de risicoposten dat als basis dient voor de inachtneming van de vereisten van artikel 45 van Richtlijn 2014/59/EU of artikel 92 bis van Verordening (EU) nr. 575/2013, al naargelang.</w:t>
            </w:r>
          </w:p>
        </w:tc>
      </w:tr>
      <w:tr w:rsidR="00026FC1" w:rsidRPr="0008623B" w14:paraId="28440368" w14:textId="77777777" w:rsidTr="00E46262">
        <w:tc>
          <w:tcPr>
            <w:tcW w:w="1030" w:type="dxa"/>
          </w:tcPr>
          <w:p w14:paraId="32E92C5A" w14:textId="7CF5EC98"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24</w:t>
            </w:r>
          </w:p>
        </w:tc>
        <w:tc>
          <w:tcPr>
            <w:tcW w:w="7736" w:type="dxa"/>
          </w:tcPr>
          <w:p w14:paraId="36574007" w14:textId="1B8A459D" w:rsidR="00702377" w:rsidRPr="0008623B" w:rsidRDefault="00516561"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Totale blootstellingsmaatstaf (TEM)</w:t>
            </w:r>
          </w:p>
          <w:p w14:paraId="778066F0" w14:textId="53FCCE7C" w:rsidR="00702377" w:rsidRPr="0008623B" w:rsidRDefault="00DB779A" w:rsidP="003D0BF6">
            <w:pPr>
              <w:rPr>
                <w:sz w:val="24"/>
                <w:szCs w:val="24"/>
                <w:rFonts w:ascii="Times New Roman" w:hAnsi="Times New Roman" w:cs="Times New Roman"/>
              </w:rPr>
            </w:pPr>
            <w:r>
              <w:t xml:space="preserve">Overeenkomstig artikel 45, lid 2, punt b), van Richtlijn 2014/59/EU wordt de totale blootstellingsmaatstaf berekend overeenkomstig artikel 429, lid 4, en artikel 429 bis van Verordening (EU) nr. 575/2013.</w:t>
            </w:r>
          </w:p>
          <w:p w14:paraId="62A67E31" w14:textId="3AEA2863" w:rsidR="008149F0"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 in deze rij gerapporteerde totale blootstellingsmaatstaf is de totale blootstellingsmaatstaf die als basis dient voor de inachtneming van de vereisten van artikel 45 van Richtlijn 2014/59/EU of artikel 92 bis van Verordening (EU) nr. 575/2013, al naar gelang.</w:t>
            </w:r>
          </w:p>
        </w:tc>
      </w:tr>
      <w:tr w:rsidR="00D571F6" w:rsidRPr="0008623B" w14:paraId="13300665" w14:textId="77777777" w:rsidTr="00E46262">
        <w:tc>
          <w:tcPr>
            <w:tcW w:w="1030" w:type="dxa"/>
            <w:vAlign w:val="top"/>
          </w:tcPr>
          <w:p w14:paraId="0F988C86" w14:textId="06ED188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25</w:t>
            </w:r>
          </w:p>
        </w:tc>
        <w:tc>
          <w:tcPr>
            <w:tcW w:w="7736" w:type="dxa"/>
          </w:tcPr>
          <w:p w14:paraId="2C833139" w14:textId="0A4AF6D0" w:rsidR="00D77E54" w:rsidRPr="0008623B" w:rsidRDefault="00D571F6" w:rsidP="00DB779A">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TREA-percentage</w:t>
            </w:r>
          </w:p>
          <w:p w14:paraId="7AB95F7A" w14:textId="6941F5F6" w:rsidR="00DB779A" w:rsidRPr="0008623B" w:rsidRDefault="00DB779A" w:rsidP="00DB779A">
            <w:pPr>
              <w:rPr>
                <w:noProof/>
                <w:color w:val="000000" w:themeColor="text1"/>
                <w:sz w:val="24"/>
                <w:szCs w:val="24"/>
                <w:rFonts w:ascii="Times New Roman" w:hAnsi="Times New Roman" w:cs="Times New Roman"/>
              </w:rPr>
            </w:pPr>
            <w:r>
              <w:rPr>
                <w:color w:val="000000" w:themeColor="text1"/>
              </w:rPr>
              <w:t xml:space="preserve">Voor deze rij wordt, overeenkomstig artikel 45, lid 2, punt a), van Richtlijn 2014/59/EU en artikel 92 bis van Verordening (EU) nr. 575/2013, het bedrag aan eigen vermogen en in aanmerking komende passiva dat meetelt voor het MREL of het TLAC, al naar gelang, uitgedrukt als percentage van het overeenkomstig artikel 92, lid 3, van Verordening (EU) nr. 575/2013 berekende totaal van de risicoposten.</w:t>
            </w:r>
          </w:p>
          <w:p w14:paraId="7EB8D0D2" w14:textId="458D8C7A" w:rsidR="00D571F6" w:rsidRPr="0008623B" w:rsidRDefault="00E06D47" w:rsidP="00E06D4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Te berekenen als rij 22 gedeeld door rij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EU-25a</w:t>
            </w:r>
          </w:p>
        </w:tc>
        <w:tc>
          <w:tcPr>
            <w:tcW w:w="7736" w:type="dxa"/>
            <w:vAlign w:val="top"/>
          </w:tcPr>
          <w:p w14:paraId="29460D13" w14:textId="6252FCF5"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Waarvan eigen vermogen en achtergestelde passiva</w:t>
            </w:r>
          </w:p>
          <w:p w14:paraId="3177CD5E" w14:textId="4C559037" w:rsidR="00282ED2" w:rsidRPr="0008623B" w:rsidRDefault="00DD64EE" w:rsidP="00DD64E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Voor deze rij wordt het bedrag aan eigen vermogen en achtergestelde in aanmerking komende passiva dat voor het MREL meetelt, uitgedrukt als percentage van het overeenkomstig artikel 92, lid 3, van Verordening (EU) nr. 575/2013 berekende totaal van de risicoposten.</w:t>
            </w:r>
          </w:p>
          <w:p w14:paraId="1420404E" w14:textId="486A4F7A" w:rsidR="00DD64EE" w:rsidRPr="0008623B" w:rsidRDefault="00633625" w:rsidP="00DD64EE">
            <w:pPr>
              <w:rPr>
                <w:b/>
                <w:sz w:val="24"/>
                <w:szCs w:val="24"/>
                <w:rFonts w:ascii="Times New Roman" w:hAnsi="Times New Roman" w:cs="Times New Roman"/>
              </w:rPr>
            </w:pPr>
            <w:r>
              <w:rPr>
                <w:color w:val="000000" w:themeColor="text1"/>
                <w:sz w:val="24"/>
                <w:rFonts w:ascii="Times New Roman" w:hAnsi="Times New Roman"/>
              </w:rPr>
              <w:t xml:space="preserve">Te berekenen als rij 22a gedeeld door rij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26</w:t>
            </w:r>
          </w:p>
        </w:tc>
        <w:tc>
          <w:tcPr>
            <w:tcW w:w="7736" w:type="dxa"/>
          </w:tcPr>
          <w:p w14:paraId="36877A46" w14:textId="7121B65E"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TEM-percentage</w:t>
            </w:r>
          </w:p>
          <w:p w14:paraId="00EB744D" w14:textId="4F8F3490" w:rsidR="00F31CFB" w:rsidRPr="0008623B" w:rsidRDefault="00F31CFB" w:rsidP="00D571F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Voor deze rij wordt, overeenkomstig artikel 45, lid 2, punt b), van Richtlijn 2014/59/EU en artikel 92 bis van Verordening (EU) nr. 575/2013, het bedrag aan eigen vermogen en in aanmerking komende passiva dat meetelt voor het MREL of het TLAC, al naargelang, uitgedrukt als percentage van het overeenkomstig artikel 429, lid 4, en artikel 429 bis van Verordening (EU) nr. 575/2013 berekende totaal van de risicoposten.</w:t>
            </w:r>
          </w:p>
          <w:p w14:paraId="4625DFA4" w14:textId="11EAD745" w:rsidR="00D571F6" w:rsidRPr="0008623B" w:rsidRDefault="00F31CFB" w:rsidP="00F31CF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Te berekenen als rij 22 gedeeld door rij 24.</w:t>
            </w:r>
          </w:p>
        </w:tc>
      </w:tr>
      <w:tr w:rsidR="00DD64EE" w:rsidRPr="0008623B" w14:paraId="6226AC49" w14:textId="77777777" w:rsidTr="00E46262">
        <w:tc>
          <w:tcPr>
            <w:tcW w:w="1030" w:type="dxa"/>
          </w:tcPr>
          <w:p w14:paraId="0551FE26" w14:textId="5A7C8577"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EU-26a</w:t>
            </w:r>
          </w:p>
        </w:tc>
        <w:tc>
          <w:tcPr>
            <w:tcW w:w="7736" w:type="dxa"/>
          </w:tcPr>
          <w:p w14:paraId="20A52E81" w14:textId="3A7027C7"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Waarvan eigen vermogen en achtergestelde passiva</w:t>
            </w:r>
          </w:p>
          <w:p w14:paraId="45B16E43" w14:textId="10BF2834" w:rsidR="00CF449E" w:rsidRPr="0008623B" w:rsidRDefault="00CF449E" w:rsidP="001B5DB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Voor deze rij wordt het bedrag aan eigen vermogen en achtergestelde in aanmerking komende passiva dat voor het MREL meetelt, uitgedrukt als percentage van de overeenkomstig artikel 429, lid 4, en artikel 429 bis van Verordening (EU) nr. 575/2013 berekende totale blootstellingsmaatstaf.</w:t>
            </w:r>
          </w:p>
          <w:p w14:paraId="358FA12B" w14:textId="445A7C3B" w:rsidR="00633625" w:rsidRPr="0008623B" w:rsidRDefault="00633625" w:rsidP="001B5DB5">
            <w:pPr>
              <w:rPr>
                <w:b/>
                <w:sz w:val="24"/>
                <w:szCs w:val="24"/>
                <w:rFonts w:ascii="Times New Roman" w:hAnsi="Times New Roman" w:cs="Times New Roman"/>
              </w:rPr>
            </w:pPr>
            <w:r>
              <w:rPr>
                <w:color w:val="000000" w:themeColor="text1"/>
                <w:sz w:val="24"/>
                <w:rFonts w:ascii="Times New Roman" w:hAnsi="Times New Roman"/>
              </w:rPr>
              <w:t xml:space="preserve">Te berekenen als rij 22a gedeeld door rij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27</w:t>
            </w:r>
          </w:p>
        </w:tc>
        <w:tc>
          <w:tcPr>
            <w:tcW w:w="7736" w:type="dxa"/>
          </w:tcPr>
          <w:p w14:paraId="5D1EF640" w14:textId="01C37C4A"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Tier 1-kernkapitaal (uitgedrukt als TREA-percentage) beschikbaar nadat aan de vereisten voor de af te wikkelen groep is voldaan</w:t>
            </w:r>
          </w:p>
          <w:p w14:paraId="0227909F" w14:textId="1CB6809D" w:rsidR="00A47BCD" w:rsidRPr="0008623B" w:rsidRDefault="00A47BCD" w:rsidP="00B62DC9">
            <w:pPr>
              <w:pStyle w:val="InstructionsText"/>
              <w:rPr>
                <w:rFonts w:eastAsiaTheme="minorEastAsia"/>
              </w:rPr>
            </w:pPr>
            <w:r>
              <w:t xml:space="preserve">Het bedrag aan tier 1-kernkapitaal, als percentage van het totaal van de risicoposten, gelijk aan nul of positief, dat beschikbaar is nadat aan elk van de vereisten van artikel 141 bis, punten a), b) en c), van Richtlijn 2013/36/EU is voldaan, en het hoogste van:</w:t>
            </w:r>
          </w:p>
          <w:p w14:paraId="42E3D4EA" w14:textId="2070C8C0" w:rsidR="00A47BCD" w:rsidRPr="0008623B" w:rsidRDefault="00A47BCD" w:rsidP="00B62DC9">
            <w:pPr>
              <w:pStyle w:val="InstructionsText"/>
              <w:rPr>
                <w:rFonts w:eastAsiaTheme="minorEastAsia"/>
              </w:rPr>
            </w:pPr>
            <w:r>
              <w:t xml:space="preserve">a) in voorkomend geval het in artikel 92 bis van Verordening (EU) nr. 575/2013 vastgestelde MSI-vereiste voor eigen vermogen en in aanmerking komende passiva indien berekend overeenkomstig lid 1, punt a), van dat artikel; en</w:t>
            </w:r>
            <w:r>
              <w:t xml:space="preserve"> </w:t>
            </w:r>
          </w:p>
          <w:p w14:paraId="396BF4D8" w14:textId="21D22CB1" w:rsidR="00A47BCD" w:rsidRPr="0008623B" w:rsidRDefault="00A47BCD" w:rsidP="00B62DC9">
            <w:pPr>
              <w:pStyle w:val="InstructionsText"/>
              <w:rPr>
                <w:rFonts w:eastAsiaTheme="minorEastAsia"/>
              </w:rPr>
            </w:pPr>
            <w:r>
              <w:t xml:space="preserve">b) het minimumvereiste voor eigen vermogen en in aanmerking komende passiva in de zin van artikel 45 van Richtlijn 2014/59/EU, indien berekend overeenkomstig lid 2, punt a), van dat artikel.</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 xml:space="preserve">Het openbaar gemaakte cijfer is hetzelfde in zowel de MREL-kolom als de TLAC-kolom.</w:t>
            </w:r>
          </w:p>
          <w:p w14:paraId="7018FBAF" w14:textId="3CA720C2" w:rsidR="00D571F6" w:rsidRPr="0008623B" w:rsidRDefault="00A47BCD"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Het houdt rekening met het effect van overgangsbepalingen op eigen vermogen en in aanmerking komende passiva, het totaal van de risicoposten en de vereisten zelf.</w:t>
            </w:r>
            <w:r>
              <w:rPr>
                <w:color w:val="000000" w:themeColor="text1"/>
                <w:sz w:val="24"/>
                <w:rFonts w:ascii="Times New Roman" w:hAnsi="Times New Roman"/>
              </w:rPr>
              <w:t xml:space="preserve"> </w:t>
            </w:r>
            <w:r>
              <w:rPr>
                <w:color w:val="000000" w:themeColor="text1"/>
                <w:sz w:val="24"/>
                <w:rFonts w:ascii="Times New Roman" w:hAnsi="Times New Roman"/>
              </w:rPr>
              <w:t xml:space="preserve">Er wordt geen rekening gehouden met de instructies voor aanvullend eigen vermogen van artikel 104 ter van Richtlijn 2013/36/EU, noch met het gecombineerde buffervereiste van artikel 128, eerste alinea, punt 6), van die richtlijn.</w:t>
            </w:r>
          </w:p>
        </w:tc>
      </w:tr>
      <w:tr w:rsidR="00D571F6" w:rsidRPr="0008623B" w14:paraId="015114DE" w14:textId="77777777" w:rsidTr="00E46262">
        <w:tc>
          <w:tcPr>
            <w:tcW w:w="1030" w:type="dxa"/>
            <w:vAlign w:val="top"/>
          </w:tcPr>
          <w:p w14:paraId="67C0B6E2" w14:textId="23ADC5ED"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28</w:t>
            </w:r>
          </w:p>
        </w:tc>
        <w:tc>
          <w:tcPr>
            <w:tcW w:w="7736" w:type="dxa"/>
          </w:tcPr>
          <w:p w14:paraId="725380F6" w14:textId="27172D98"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Instellingsspecifiek gecombineerd buffervereiste</w:t>
            </w:r>
            <w:r>
              <w:rPr>
                <w:b/>
                <w:color w:val="000000" w:themeColor="text1"/>
                <w:sz w:val="24"/>
                <w:rFonts w:ascii="Times New Roman" w:hAnsi="Times New Roman"/>
              </w:rPr>
              <w:t xml:space="preserve"> </w:t>
            </w:r>
          </w:p>
          <w:p w14:paraId="4829A94F" w14:textId="10305ADD" w:rsidR="00D571F6" w:rsidRPr="0008623B" w:rsidRDefault="00D571F6"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Het instellingsspecifieke gecombineerde buffervereiste zoals gedefinieerd in artikel 128, eerste alinea, punt 6), van Richtlijn 2013/36/EU, uitgedrukt als percentage van het totaal van de risicoposten, dat overeenkomstig de eerste alinea, punt 6), van dat artikel op de af te wikkelen groep van toepassing is.</w:t>
            </w:r>
          </w:p>
        </w:tc>
      </w:tr>
      <w:tr w:rsidR="00D571F6" w:rsidRPr="0008623B" w14:paraId="0D814418" w14:textId="77777777" w:rsidTr="00E46262">
        <w:tc>
          <w:tcPr>
            <w:tcW w:w="1030" w:type="dxa"/>
            <w:vAlign w:val="top"/>
          </w:tcPr>
          <w:p w14:paraId="2D747295" w14:textId="712C6D7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29</w:t>
            </w:r>
          </w:p>
        </w:tc>
        <w:tc>
          <w:tcPr>
            <w:tcW w:w="7736" w:type="dxa"/>
            <w:vAlign w:val="top"/>
          </w:tcPr>
          <w:p w14:paraId="793F80F0" w14:textId="2D85B0C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Instellingsspecifiek gecombineerd buffervereiste – Waarvan vereiste inzake kapitaalconserveringsbuffer</w:t>
            </w:r>
            <w:r>
              <w:rPr>
                <w:b/>
                <w:color w:val="000000" w:themeColor="text1"/>
                <w:sz w:val="24"/>
                <w:rFonts w:ascii="Times New Roman" w:hAnsi="Times New Roman"/>
              </w:rPr>
              <w:t xml:space="preserve"> </w:t>
            </w:r>
          </w:p>
          <w:p w14:paraId="5C784879" w14:textId="40A880B0" w:rsidR="00D571F6" w:rsidRPr="0008623B" w:rsidRDefault="00D571F6" w:rsidP="009B2422">
            <w:pPr>
              <w:rPr>
                <w:noProof/>
                <w:color w:val="000000" w:themeColor="text1"/>
                <w:sz w:val="24"/>
                <w:szCs w:val="24"/>
                <w:rFonts w:ascii="Times New Roman" w:hAnsi="Times New Roman" w:cs="Times New Roman"/>
              </w:rPr>
            </w:pPr>
            <w:r>
              <w:rPr>
                <w:sz w:val="24"/>
                <w:rFonts w:ascii="Times New Roman" w:hAnsi="Times New Roman"/>
              </w:rPr>
              <w:t xml:space="preserve">Het bedrag van het instellingsspecifieke gecombineerde buffervereiste (uitgedrukt als percentage van het totaal van de risicoposten) dat verband houdt met het vereiste inzake kapitaalconserveringsbuffer.</w:t>
            </w:r>
          </w:p>
        </w:tc>
      </w:tr>
      <w:tr w:rsidR="00D571F6" w:rsidRPr="0008623B" w14:paraId="63B8627F" w14:textId="77777777" w:rsidTr="00E46262">
        <w:tc>
          <w:tcPr>
            <w:tcW w:w="1030" w:type="dxa"/>
            <w:vAlign w:val="top"/>
          </w:tcPr>
          <w:p w14:paraId="68373BD4" w14:textId="0AC3FF6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30</w:t>
            </w:r>
          </w:p>
        </w:tc>
        <w:tc>
          <w:tcPr>
            <w:tcW w:w="7736" w:type="dxa"/>
            <w:vAlign w:val="top"/>
          </w:tcPr>
          <w:p w14:paraId="369B9330" w14:textId="25965D76"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Instellingsspecifiek gecombineerd buffervereiste – Waarvan vereiste inzake contracyclische buffer</w:t>
            </w:r>
            <w:r>
              <w:rPr>
                <w:b/>
                <w:color w:val="000000" w:themeColor="text1"/>
                <w:sz w:val="24"/>
                <w:rFonts w:ascii="Times New Roman" w:hAnsi="Times New Roman"/>
              </w:rPr>
              <w:t xml:space="preserve"> </w:t>
            </w:r>
          </w:p>
          <w:p w14:paraId="6E30DDC3" w14:textId="72487262"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Het bedrag van het instellingsspecifieke gecombineerde buffervereiste (uitgedrukt als percentage van het totaal van de risicoposten) dat verband houdt met het vereiste inzake contracyclische buffer.</w:t>
            </w:r>
          </w:p>
        </w:tc>
      </w:tr>
      <w:tr w:rsidR="00D571F6" w:rsidRPr="0008623B" w14:paraId="780D8179" w14:textId="77777777" w:rsidTr="00E46262">
        <w:tc>
          <w:tcPr>
            <w:tcW w:w="1030" w:type="dxa"/>
            <w:vAlign w:val="top"/>
          </w:tcPr>
          <w:p w14:paraId="4011938A" w14:textId="6723E0C3"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31</w:t>
            </w:r>
          </w:p>
        </w:tc>
        <w:tc>
          <w:tcPr>
            <w:tcW w:w="7736" w:type="dxa"/>
            <w:vAlign w:val="top"/>
          </w:tcPr>
          <w:p w14:paraId="40BC9FBF" w14:textId="6369FDF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Instellingsspecifiek gecombineerd buffervereiste – Waarvan vereiste inzake systeemrisicobuffer</w:t>
            </w:r>
            <w:r>
              <w:rPr>
                <w:b/>
                <w:color w:val="000000" w:themeColor="text1"/>
                <w:sz w:val="24"/>
                <w:rFonts w:ascii="Times New Roman" w:hAnsi="Times New Roman"/>
              </w:rPr>
              <w:t xml:space="preserve"> </w:t>
            </w:r>
          </w:p>
          <w:p w14:paraId="2538331C" w14:textId="1E3B6906" w:rsidR="00D571F6" w:rsidRPr="0008623B" w:rsidRDefault="00D571F6" w:rsidP="009B2422">
            <w:pPr>
              <w:rPr>
                <w:sz w:val="24"/>
                <w:szCs w:val="24"/>
                <w:rFonts w:ascii="Times New Roman" w:hAnsi="Times New Roman" w:cs="Times New Roman"/>
              </w:rPr>
            </w:pPr>
            <w:r>
              <w:rPr>
                <w:sz w:val="24"/>
                <w:rFonts w:ascii="Times New Roman" w:hAnsi="Times New Roman"/>
              </w:rPr>
              <w:t xml:space="preserve">Het bedrag van het instellingsspecifieke gecombineerde buffervereiste (uitgedrukt als percentage van het totaal van de risicoposten) dat verband houdt met het vereiste inzake systeemrisicobuffer.</w:t>
            </w:r>
          </w:p>
        </w:tc>
      </w:tr>
      <w:tr w:rsidR="00D571F6" w:rsidRPr="0008623B" w14:paraId="2321A559" w14:textId="77777777" w:rsidTr="00E46262">
        <w:tc>
          <w:tcPr>
            <w:tcW w:w="1030" w:type="dxa"/>
            <w:vAlign w:val="top"/>
          </w:tcPr>
          <w:p w14:paraId="5B6DF329" w14:textId="537A82C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EU-31a</w:t>
            </w:r>
          </w:p>
        </w:tc>
        <w:tc>
          <w:tcPr>
            <w:tcW w:w="7736" w:type="dxa"/>
            <w:vAlign w:val="top"/>
          </w:tcPr>
          <w:p w14:paraId="2ACB2A11" w14:textId="0C32CAAA"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Instellingsspecifiek gecombineerd buffervereiste – Waarvan buffer inzake mondiaal systeemrelevante instelling (MSI) of andere systeemrelevante instelling (ASI)</w:t>
            </w:r>
          </w:p>
          <w:p w14:paraId="6700C20F" w14:textId="59F7281D" w:rsidR="00D571F6" w:rsidRPr="0008623B" w:rsidRDefault="00D571F6" w:rsidP="00563C8D">
            <w:pPr>
              <w:rPr>
                <w:noProof/>
                <w:color w:val="000000" w:themeColor="text1"/>
                <w:sz w:val="24"/>
                <w:szCs w:val="24"/>
                <w:rFonts w:ascii="Times New Roman" w:hAnsi="Times New Roman" w:cs="Times New Roman"/>
              </w:rPr>
            </w:pPr>
            <w:r>
              <w:rPr>
                <w:sz w:val="24"/>
                <w:rFonts w:ascii="Times New Roman" w:hAnsi="Times New Roman"/>
              </w:rPr>
              <w:t xml:space="preserve">Het bedrag van het instellingsspecifieke gecombineerde buffervereiste (uitgedrukt als percentage van het totaal van de risicoposten) dat verband houdt met het vereiste inzake MSI- of ASI-buffer.</w:t>
            </w:r>
          </w:p>
        </w:tc>
      </w:tr>
      <w:tr w:rsidR="0023278E" w:rsidRPr="0008623B" w14:paraId="08100425" w14:textId="77777777" w:rsidTr="00E46262">
        <w:tc>
          <w:tcPr>
            <w:tcW w:w="1030" w:type="dxa"/>
            <w:vAlign w:val="top"/>
          </w:tcPr>
          <w:p w14:paraId="6C04F598" w14:textId="5E33E643" w:rsidR="0023278E" w:rsidRPr="0008623B" w:rsidRDefault="0023278E" w:rsidP="0023278E">
            <w:pPr>
              <w:rPr>
                <w:sz w:val="24"/>
                <w:szCs w:val="24"/>
                <w:rFonts w:ascii="Times New Roman" w:hAnsi="Times New Roman" w:cs="Times New Roman"/>
              </w:rPr>
            </w:pPr>
            <w:r>
              <w:rPr>
                <w:sz w:val="24"/>
                <w:rFonts w:ascii="Times New Roman" w:hAnsi="Times New Roman"/>
              </w:rPr>
              <w:t xml:space="preserve">EU-32</w:t>
            </w:r>
          </w:p>
        </w:tc>
        <w:tc>
          <w:tcPr>
            <w:tcW w:w="7736" w:type="dxa"/>
            <w:vAlign w:val="top"/>
          </w:tcPr>
          <w:p w14:paraId="154EB8B0" w14:textId="1395906F" w:rsidR="0023278E" w:rsidRPr="0008623B" w:rsidRDefault="0023278E" w:rsidP="0023278E">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Totale bedrag aan in artikel 72 bis, lid 2, van Verordening (EU) nr. 575/2013 bedoelde uitgesloten passiva</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color w:val="auto"/>
          <w:sz w:val="24"/>
          <w:rFonts w:ascii="Times New Roman" w:hAnsi="Times New Roman"/>
        </w:rPr>
        <w:t xml:space="preserve">4.</w:t>
      </w:r>
      <w:r>
        <w:tab/>
      </w:r>
      <w:r>
        <w:rPr>
          <w:color w:val="auto"/>
          <w:sz w:val="24"/>
          <w:rFonts w:ascii="Times New Roman" w:hAnsi="Times New Roman"/>
        </w:rPr>
        <w:t xml:space="preserve">EU ILAC:</w:t>
      </w:r>
      <w:r>
        <w:rPr>
          <w:color w:val="auto"/>
          <w:sz w:val="24"/>
          <w:rFonts w:ascii="Times New Roman" w:hAnsi="Times New Roman"/>
        </w:rPr>
        <w:t xml:space="preserve"> </w:t>
      </w:r>
      <w:r>
        <w:rPr>
          <w:color w:val="auto"/>
          <w:sz w:val="24"/>
          <w:rFonts w:ascii="Times New Roman" w:hAnsi="Times New Roman"/>
        </w:rPr>
        <w:t xml:space="preserve">Interne verliesabsorptiecapaciteit:</w:t>
      </w:r>
      <w:r>
        <w:rPr>
          <w:color w:val="auto"/>
          <w:sz w:val="24"/>
          <w:rFonts w:ascii="Times New Roman" w:hAnsi="Times New Roman"/>
        </w:rPr>
        <w:t xml:space="preserve"> </w:t>
      </w:r>
      <w:r>
        <w:rPr>
          <w:color w:val="auto"/>
          <w:sz w:val="24"/>
          <w:rFonts w:ascii="Times New Roman" w:hAnsi="Times New Roman"/>
        </w:rPr>
        <w:t xml:space="preserve">intern MREL en, in voorkomend geval, vereiste voor eigen vermogen en in aanmerking komende passiva voor niet-EU-MSI’s</w:t>
      </w:r>
      <w:bookmarkStart w:id="208" w:name="_Toc14770785"/>
      <w:bookmarkEnd w:id="206"/>
      <w:bookmarkEnd w:id="208"/>
      <w:r>
        <w:rPr>
          <w:color w:val="auto"/>
          <w:sz w:val="24"/>
          <w:rFonts w:ascii="Times New Roman" w:hAnsi="Times New Roman"/>
        </w:rPr>
        <w:t xml:space="preserve"> (intern TLAC).</w:t>
      </w:r>
      <w:bookmarkEnd w:id="207"/>
    </w:p>
    <w:p w14:paraId="4B755467" w14:textId="5E1539C5" w:rsidR="00413CCD" w:rsidRPr="0008623B" w:rsidRDefault="00413CCD" w:rsidP="00B62DC9">
      <w:pPr>
        <w:pStyle w:val="InstructionsText2"/>
        <w:numPr>
          <w:ilvl w:val="0"/>
          <w:numId w:val="12"/>
        </w:numPr>
      </w:pPr>
      <w:r>
        <w:t xml:space="preserve">Deze template maakt eigen vermogen en in aanmerking komende passiva openbaar van entiteiten die zelf geen af te wikkelen entiteiten zijn, ten behoeve van het in artikel 45 septies van Richtlijn 2014/59/EU vastgestelde vereiste voor eigen vermogen en in aanmerking komende passiva (intern MREL), alsmede het vereiste voor eigen vermogen en in aanmerking komende passiva voor niet-EU-MSI’s dat van toepassing is op dochterondernemingen van wezenlijk belang van MSI’s uit derde landen overeenkomstig artikel 92 ter van Verordening (EU) nr. 575/2013 (intern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Kolommen</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a</w:t>
            </w:r>
          </w:p>
        </w:tc>
        <w:tc>
          <w:tcPr>
            <w:tcW w:w="7655" w:type="dxa"/>
          </w:tcPr>
          <w:p w14:paraId="054F4480" w14:textId="09D63B79" w:rsidR="00FF6326" w:rsidRPr="0008623B" w:rsidRDefault="00CB1021" w:rsidP="00F90B2E">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De entiteiten maken in deze kolom de relevante informatie over het interne MREL openbaar overeenkomstig de artikelen 45 en 45 septies van Richtlijn 2014/59/EU.</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 xml:space="preserve">b</w:t>
            </w:r>
          </w:p>
        </w:tc>
        <w:tc>
          <w:tcPr>
            <w:tcW w:w="7655" w:type="dxa"/>
          </w:tcPr>
          <w:p w14:paraId="353033F9" w14:textId="2CD18282" w:rsidR="00FF6326" w:rsidRPr="0008623B" w:rsidRDefault="00CB1021" w:rsidP="00F90B2E">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Entiteiten die dochterondernemingen van wezenlijk belang van MSI’s uit derde landen overeenkomstig artikel 92 ter van Verordening (EU) nr. 575/2013 zijn, maken in deze kolom de relevante informatie over het interne TLAC overeenkomstig artikel 92 ter van Verordening (EU) nr. 575/2013 openbaar.</w:t>
            </w:r>
            <w:r>
              <w:rPr>
                <w:color w:val="000000" w:themeColor="text1"/>
                <w:sz w:val="24"/>
                <w:rFonts w:ascii="Times New Roman" w:hAnsi="Times New Roman"/>
              </w:rPr>
              <w:t xml:space="preserve">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sz w:val="24"/>
                <w:color w:val="000000" w:themeColor="text1"/>
                <w:rFonts w:ascii="Times New Roman" w:hAnsi="Times New Roman"/>
              </w:rPr>
              <w:t xml:space="preserve">Kwalitatieve informatie met betrekking het toepasselijke vereiste en het toepassingsniveau.</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Rij</w:t>
            </w:r>
            <w:r>
              <w:rPr>
                <w:b/>
                <w:color w:val="000000" w:themeColor="text1"/>
                <w:sz w:val="24"/>
                <w:rFonts w:ascii="Times New Roman" w:hAnsi="Times New Roman"/>
              </w:rPr>
              <w:t xml:space="preserv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5D18F8" w:rsidRPr="0008623B" w14:paraId="4273A8E3" w14:textId="77777777" w:rsidTr="002A065A">
        <w:tc>
          <w:tcPr>
            <w:tcW w:w="1109" w:type="dxa"/>
            <w:vAlign w:val="top"/>
          </w:tcPr>
          <w:p w14:paraId="6FB9A622" w14:textId="17181A2D"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EU-1</w:t>
            </w:r>
          </w:p>
        </w:tc>
        <w:tc>
          <w:tcPr>
            <w:tcW w:w="7642" w:type="dxa"/>
          </w:tcPr>
          <w:p w14:paraId="33FA642D" w14:textId="4C8C035D"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Is de entiteit onderworpen aan een niet-EU-MSI-vereiste voor eigen vermogen en in aanmerking komende passiva?</w:t>
            </w:r>
            <w:r>
              <w:rPr>
                <w:b/>
                <w:color w:val="000000" w:themeColor="text1"/>
                <w:sz w:val="24"/>
                <w:rFonts w:ascii="Times New Roman" w:hAnsi="Times New Roman"/>
              </w:rPr>
              <w:t xml:space="preserve"> </w:t>
            </w:r>
            <w:r>
              <w:rPr>
                <w:b/>
                <w:color w:val="000000" w:themeColor="text1"/>
                <w:sz w:val="24"/>
                <w:rFonts w:ascii="Times New Roman" w:hAnsi="Times New Roman"/>
              </w:rPr>
              <w:t xml:space="preserve">(J/N)</w:t>
            </w:r>
          </w:p>
          <w:p w14:paraId="402765A8" w14:textId="58B96136" w:rsidR="005D18F8" w:rsidRPr="0008623B" w:rsidRDefault="005D18F8" w:rsidP="00F90B2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vraag of de entiteit al dan niet onderworpen is aan een intern TLAC-vereiste overeenkomstig artikel 92 ter van Verordening (EU) nr.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EU-2</w:t>
            </w:r>
          </w:p>
        </w:tc>
        <w:tc>
          <w:tcPr>
            <w:tcW w:w="7642" w:type="dxa"/>
          </w:tcPr>
          <w:p w14:paraId="5580A119" w14:textId="4279FE54"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Indien bij EU-1 het antwoord “Ja” was, is het vereiste van toepassing op geconsolideerde of op individuele basis?</w:t>
            </w:r>
            <w:r>
              <w:rPr>
                <w:b/>
                <w:color w:val="000000" w:themeColor="text1"/>
                <w:sz w:val="24"/>
                <w:rFonts w:ascii="Times New Roman" w:hAnsi="Times New Roman"/>
              </w:rPr>
              <w:t xml:space="preserve"> </w:t>
            </w:r>
            <w:r>
              <w:rPr>
                <w:b/>
                <w:color w:val="000000" w:themeColor="text1"/>
                <w:sz w:val="24"/>
                <w:rFonts w:ascii="Times New Roman" w:hAnsi="Times New Roman"/>
              </w:rPr>
              <w:t xml:space="preserve">(C/I)</w:t>
            </w:r>
          </w:p>
          <w:p w14:paraId="16349591" w14:textId="439F9DE2" w:rsidR="005D18F8" w:rsidRPr="0008623B" w:rsidRDefault="005D18F8"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vraag of de entiteit, overeenkomstig artikel 18 ter van Verordening (EU) nr. 575/2013, op geconsolideerde of op individuele basis aan het interne TLAC-vereiste onderworpen is.</w:t>
            </w:r>
          </w:p>
          <w:p w14:paraId="557B461D" w14:textId="0A55FA2A" w:rsidR="005D18F8" w:rsidRPr="0008623B" w:rsidRDefault="005D18F8"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Indien dit vereiste op geconsolideerde basis van toepassing is, wordt deze volledige template op geconsolideerde basis ingevuld.</w:t>
            </w:r>
            <w:r>
              <w:rPr>
                <w:color w:val="000000" w:themeColor="text1"/>
                <w:sz w:val="24"/>
                <w:rFonts w:ascii="Times New Roman" w:hAnsi="Times New Roman"/>
              </w:rPr>
              <w:t xml:space="preserve"> </w:t>
            </w:r>
            <w:r>
              <w:rPr>
                <w:color w:val="000000" w:themeColor="text1"/>
                <w:sz w:val="24"/>
                <w:rFonts w:ascii="Times New Roman" w:hAnsi="Times New Roman"/>
              </w:rPr>
              <w:t xml:space="preserve">In alle overige gevallen wordt deze template op individuele basis ingevuld.</w:t>
            </w:r>
          </w:p>
        </w:tc>
      </w:tr>
      <w:tr w:rsidR="005C4469" w:rsidRPr="0008623B" w14:paraId="3EFBB389" w14:textId="77777777" w:rsidTr="002A065A">
        <w:tc>
          <w:tcPr>
            <w:tcW w:w="1109" w:type="dxa"/>
            <w:vAlign w:val="top"/>
          </w:tcPr>
          <w:p w14:paraId="5EB99A90" w14:textId="2812B76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EU-2a</w:t>
            </w:r>
          </w:p>
        </w:tc>
        <w:tc>
          <w:tcPr>
            <w:tcW w:w="7642" w:type="dxa"/>
          </w:tcPr>
          <w:p w14:paraId="116B6FE4" w14:textId="5D78B194"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Is de entiteit onderworpen aan een interne MREL?</w:t>
            </w:r>
            <w:r>
              <w:rPr>
                <w:b/>
                <w:color w:val="000000" w:themeColor="text1"/>
                <w:sz w:val="24"/>
                <w:rFonts w:ascii="Times New Roman" w:hAnsi="Times New Roman"/>
              </w:rPr>
              <w:t xml:space="preserve"> </w:t>
            </w:r>
            <w:r>
              <w:rPr>
                <w:b/>
                <w:color w:val="000000" w:themeColor="text1"/>
                <w:sz w:val="24"/>
                <w:rFonts w:ascii="Times New Roman" w:hAnsi="Times New Roman"/>
              </w:rPr>
              <w:t xml:space="preserve">(J/N)</w:t>
            </w:r>
          </w:p>
          <w:p w14:paraId="61B02EAE" w14:textId="61E31496" w:rsidR="005C4469" w:rsidRPr="0008623B" w:rsidRDefault="005C4469"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vraag of de entiteit al dan niet onderworpen is aan een MREL overeenkomstig de artikelen 45 en 45 septies van Richtlijn 2014/59/EU.</w:t>
            </w:r>
          </w:p>
        </w:tc>
      </w:tr>
      <w:tr w:rsidR="005C4469" w:rsidRPr="0008623B" w14:paraId="1E79865E" w14:textId="77777777" w:rsidTr="002A065A">
        <w:tc>
          <w:tcPr>
            <w:tcW w:w="1109" w:type="dxa"/>
            <w:vAlign w:val="top"/>
          </w:tcPr>
          <w:p w14:paraId="59235EF1" w14:textId="1C47DD1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EU-2b</w:t>
            </w:r>
          </w:p>
        </w:tc>
        <w:tc>
          <w:tcPr>
            <w:tcW w:w="7642" w:type="dxa"/>
          </w:tcPr>
          <w:p w14:paraId="3CFE2B07" w14:textId="0BF8D801"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Indien bij EU-2a het antwoord “Ja” was, is het vereiste van toepassing op geconsolideerde of op individuele basis?</w:t>
            </w:r>
            <w:r>
              <w:rPr>
                <w:b/>
                <w:color w:val="000000" w:themeColor="text1"/>
                <w:sz w:val="24"/>
                <w:rFonts w:ascii="Times New Roman" w:hAnsi="Times New Roman"/>
              </w:rPr>
              <w:t xml:space="preserve"> </w:t>
            </w:r>
            <w:r>
              <w:rPr>
                <w:b/>
                <w:color w:val="000000" w:themeColor="text1"/>
                <w:sz w:val="24"/>
                <w:rFonts w:ascii="Times New Roman" w:hAnsi="Times New Roman"/>
              </w:rPr>
              <w:t xml:space="preserve">(C/I)</w:t>
            </w:r>
          </w:p>
          <w:p w14:paraId="7DC57F76" w14:textId="22478F28"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vraag of de entiteit op geconsolideerde of op individuele basis aan een interne MREL is onderworpen.</w:t>
            </w:r>
          </w:p>
          <w:p w14:paraId="4FC6F388" w14:textId="244D10B7"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Indien dit vereiste op geconsolideerde basis van toepassing is, wordt deze volledige template op geconsolideerde basis ingevuld.</w:t>
            </w:r>
            <w:r>
              <w:rPr>
                <w:color w:val="000000" w:themeColor="text1"/>
                <w:sz w:val="24"/>
                <w:rFonts w:ascii="Times New Roman" w:hAnsi="Times New Roman"/>
              </w:rPr>
              <w:t xml:space="preserve"> </w:t>
            </w:r>
            <w:r>
              <w:rPr>
                <w:color w:val="000000" w:themeColor="text1"/>
                <w:sz w:val="24"/>
                <w:rFonts w:ascii="Times New Roman" w:hAnsi="Times New Roman"/>
              </w:rPr>
              <w:t xml:space="preserve">In alle overige gevallen wordt deze template op individuele basis ingevuld.</w:t>
            </w:r>
          </w:p>
        </w:tc>
      </w:tr>
      <w:tr w:rsidR="005D18F8" w:rsidRPr="0008623B" w14:paraId="4F5D32F0" w14:textId="77777777" w:rsidTr="002A065A">
        <w:tc>
          <w:tcPr>
            <w:tcW w:w="1109" w:type="dxa"/>
            <w:vAlign w:val="top"/>
          </w:tcPr>
          <w:p w14:paraId="6EF5BD76" w14:textId="64835762"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EU-3</w:t>
            </w:r>
          </w:p>
        </w:tc>
        <w:tc>
          <w:tcPr>
            <w:tcW w:w="7642" w:type="dxa"/>
          </w:tcPr>
          <w:p w14:paraId="6472530C" w14:textId="5849D3C6"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Tier 1-kernkapitaal</w:t>
            </w:r>
          </w:p>
          <w:p w14:paraId="071B676A" w14:textId="2ECC0EBE" w:rsidR="005D18F8" w:rsidRPr="0008623B" w:rsidRDefault="003D0BF6"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Artikel 50 van Verordening (EU) nr. 575/2013.</w:t>
            </w:r>
          </w:p>
          <w:p w14:paraId="224515AC" w14:textId="760620BD" w:rsidR="005D18F8" w:rsidRPr="0008623B" w:rsidRDefault="005D18F8" w:rsidP="00FF632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Tier 1-kernkapitaal, op individuele dan wel geconsolideerde basis (in voorkomend geval), overeenkomstig artikel 50 van Verordening (EU) nr.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noProof/>
                <w:color w:val="000000" w:themeColor="text1"/>
                <w:sz w:val="24"/>
                <w:szCs w:val="24"/>
                <w:rFonts w:ascii="Times New Roman" w:hAnsi="Times New Roman" w:cs="Times New Roman"/>
              </w:rPr>
            </w:pPr>
            <w:r>
              <w:rPr>
                <w:sz w:val="24"/>
                <w:rFonts w:ascii="Times New Roman" w:hAnsi="Times New Roman"/>
              </w:rPr>
              <w:t xml:space="preserve">EU-4</w:t>
            </w:r>
          </w:p>
        </w:tc>
        <w:tc>
          <w:tcPr>
            <w:tcW w:w="7642" w:type="dxa"/>
          </w:tcPr>
          <w:p w14:paraId="38EE0035" w14:textId="22F8D01E"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 aanvullend-tier 1-kapitaal</w:t>
            </w:r>
            <w:r>
              <w:rPr>
                <w:b/>
                <w:color w:val="000000" w:themeColor="text1"/>
                <w:sz w:val="24"/>
                <w:rFonts w:ascii="Times New Roman" w:hAnsi="Times New Roman"/>
              </w:rPr>
              <w:t xml:space="preserve"> </w:t>
            </w:r>
          </w:p>
          <w:p w14:paraId="0249C867" w14:textId="75BBE4E4" w:rsidR="00563C8D" w:rsidRPr="0008623B" w:rsidRDefault="003D0BF6" w:rsidP="00510C0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Artikel 61 van Verordening (EU) nr. 575/2013.</w:t>
            </w:r>
          </w:p>
          <w:p w14:paraId="5A71C48F" w14:textId="27B14A49" w:rsidR="005D18F8" w:rsidRPr="0008623B" w:rsidRDefault="00FF6326" w:rsidP="00282ED2">
            <w:pPr>
              <w:rPr>
                <w:noProof/>
                <w:color w:val="000000" w:themeColor="text1"/>
                <w:sz w:val="24"/>
                <w:szCs w:val="24"/>
                <w:rFonts w:ascii="Times New Roman" w:hAnsi="Times New Roman" w:cs="Times New Roman"/>
              </w:rPr>
            </w:pPr>
            <w:r>
              <w:rPr>
                <w:sz w:val="24"/>
                <w:rFonts w:ascii="Times New Roman" w:hAnsi="Times New Roman"/>
              </w:rPr>
              <w:t xml:space="preserve">Aanvullend-tier 1-instrumenten worden alleen in aanmerking genomen indien zij aan de criteria van artikel 92 ter van Verordening (EU) nr. 575/2013 en artikel 45 septies, lid 2, punt b), ii), van Richtlijn 2014/59/EU voldoen.</w:t>
            </w:r>
          </w:p>
          <w:p w14:paraId="0094C1AC" w14:textId="45113FD1" w:rsidR="007600E9" w:rsidRPr="0008623B" w:rsidRDefault="007600E9" w:rsidP="00D950BA">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 het geval van het interne MREL worden de in artikel 89, lid 2, vierde alinea, van Richtlijn 2014/59/EU bedoelde instrumenten opgenomen indien die alinea van toepassing 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Instrumenten die onder het recht van een derde land vallen, worden alleen opgenomen indien deze aan de vereisten van artikel 55 van Richtlijn 2014/59/EU voldoen.</w:t>
            </w:r>
          </w:p>
        </w:tc>
      </w:tr>
      <w:tr w:rsidR="005D18F8" w:rsidRPr="0008623B" w14:paraId="26CF63CA" w14:textId="77777777" w:rsidTr="002A065A">
        <w:tc>
          <w:tcPr>
            <w:tcW w:w="1109" w:type="dxa"/>
          </w:tcPr>
          <w:p w14:paraId="7590CA0F" w14:textId="3E55E188" w:rsidR="005D18F8" w:rsidRPr="0008623B" w:rsidRDefault="006A52ED"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EU-5</w:t>
            </w:r>
          </w:p>
        </w:tc>
        <w:tc>
          <w:tcPr>
            <w:tcW w:w="7642" w:type="dxa"/>
          </w:tcPr>
          <w:p w14:paraId="1D3C1105" w14:textId="5B6AF4D8"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 tier 2-kapitaal</w:t>
            </w:r>
          </w:p>
          <w:p w14:paraId="7C05E6B8" w14:textId="2FF703C8" w:rsidR="00282ED2" w:rsidRPr="0008623B" w:rsidRDefault="003D0BF6"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Artikel 71 van Verordening (EU) nr. 575/2013.</w:t>
            </w:r>
            <w:r>
              <w:rPr>
                <w:color w:val="000000" w:themeColor="text1"/>
                <w:sz w:val="24"/>
                <w:rFonts w:ascii="Times New Roman" w:hAnsi="Times New Roman"/>
              </w:rPr>
              <w:t xml:space="preserve"> </w:t>
            </w:r>
          </w:p>
          <w:p w14:paraId="3807E78A" w14:textId="1358321A" w:rsidR="005D18F8" w:rsidRPr="0008623B" w:rsidRDefault="002924A2" w:rsidP="00282ED2">
            <w:pPr>
              <w:rPr>
                <w:noProof/>
                <w:color w:val="000000" w:themeColor="text1"/>
                <w:sz w:val="24"/>
                <w:szCs w:val="24"/>
                <w:rFonts w:ascii="Times New Roman" w:hAnsi="Times New Roman" w:cs="Times New Roman"/>
              </w:rPr>
            </w:pPr>
            <w:r>
              <w:t xml:space="preserve">Tier 2-instrumenten worden alleen in aanmerking genomen indien zij aan de criteria van artikel 92 ter van Verordening (EU) nr. 575/2013 en artikel 45 septies, lid 2, punt b), ii), van Richtlijn 2014/59/EU voldoen.</w:t>
            </w:r>
          </w:p>
          <w:p w14:paraId="6CBCECA5" w14:textId="0194AD8C" w:rsidR="007600E9" w:rsidRPr="0008623B" w:rsidRDefault="007600E9" w:rsidP="00282ED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 het geval van het interne MREL worden de in artikel 89, lid 2, vierde alinea, van Richtlijn 2014/59/EU bedoelde instrumenten opgenomen indien die alinea van toepassing 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Instrumenten die onder het recht van een derde land vallen, worden alleen opgenomen indien deze aan de vereisten van artikel 55 van Richtlijn 2014/59/EU voldoen.</w:t>
            </w:r>
          </w:p>
        </w:tc>
      </w:tr>
      <w:tr w:rsidR="00026FC1" w:rsidRPr="0008623B" w14:paraId="2919AE1B" w14:textId="77777777" w:rsidTr="002A065A">
        <w:tc>
          <w:tcPr>
            <w:tcW w:w="1109" w:type="dxa"/>
          </w:tcPr>
          <w:p w14:paraId="251A5712" w14:textId="4B2177BA" w:rsidR="00B907A2" w:rsidRPr="0008623B" w:rsidRDefault="006A52ED" w:rsidP="00B907A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EU-6</w:t>
            </w:r>
          </w:p>
        </w:tc>
        <w:tc>
          <w:tcPr>
            <w:tcW w:w="7642" w:type="dxa"/>
          </w:tcPr>
          <w:p w14:paraId="37F48E22" w14:textId="01DDD07A" w:rsidR="00B907A2" w:rsidRPr="0008623B" w:rsidRDefault="00310603">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 eigen vermogen</w:t>
            </w:r>
          </w:p>
          <w:p w14:paraId="02484207" w14:textId="3BBDA43F" w:rsidR="00B907A2" w:rsidRPr="0008623B" w:rsidRDefault="00F42DCD" w:rsidP="00AB7C1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 som van tier 1-kernkapitaal, in aanmerking komend aanvullend-tier 1-kapitaal en in aanmerking komend tier 2-kapitaal.</w:t>
            </w:r>
          </w:p>
        </w:tc>
      </w:tr>
      <w:tr w:rsidR="00026FC1" w:rsidRPr="0008623B" w14:paraId="30D7B21F" w14:textId="77777777" w:rsidTr="002A065A">
        <w:tc>
          <w:tcPr>
            <w:tcW w:w="1109" w:type="dxa"/>
          </w:tcPr>
          <w:p w14:paraId="5D54FF19" w14:textId="5DFAFBC0" w:rsidR="006A383B" w:rsidRPr="0008623B" w:rsidRDefault="00F42DCD" w:rsidP="006A383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EU-7</w:t>
            </w:r>
          </w:p>
        </w:tc>
        <w:tc>
          <w:tcPr>
            <w:tcW w:w="7642" w:type="dxa"/>
          </w:tcPr>
          <w:p w14:paraId="3BF153BB" w14:textId="618EB7D0" w:rsidR="006A383B" w:rsidRPr="0008623B" w:rsidRDefault="006A383B" w:rsidP="006A383B">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w:t>
            </w:r>
            <w:r>
              <w:rPr>
                <w:b/>
                <w:color w:val="000000" w:themeColor="text1"/>
                <w:sz w:val="24"/>
                <w:rFonts w:ascii="Times New Roman" w:hAnsi="Times New Roman"/>
              </w:rPr>
              <w:t xml:space="preserve"> </w:t>
            </w:r>
          </w:p>
          <w:p w14:paraId="63CA9295" w14:textId="50FD70BB" w:rsidR="00547B2E" w:rsidRPr="0008623B" w:rsidRDefault="00547B2E" w:rsidP="00F42DCD">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Intern MREL</w:t>
            </w:r>
          </w:p>
          <w:p w14:paraId="17E7EEB4" w14:textId="3FD297AB" w:rsidR="00F42DCD" w:rsidRPr="0008623B" w:rsidRDefault="00CC7310" w:rsidP="00F42DCD">
            <w:pPr>
              <w:rPr>
                <w:noProof/>
                <w:color w:val="000000" w:themeColor="text1"/>
                <w:sz w:val="24"/>
                <w:szCs w:val="24"/>
                <w:rFonts w:ascii="Times New Roman" w:hAnsi="Times New Roman" w:cs="Times New Roman"/>
              </w:rPr>
            </w:pPr>
            <w:r>
              <w:t xml:space="preserve">In aanmerking komende passiva die aan de voorwaarden van artikel 45 septies, lid 2, van Richtlijn 2014/59/EU voldoen, mede rekening houdende (in voorkomend geval) met artikel 89, lid 2, vierde alinea, van die richtlijn.</w:t>
            </w:r>
          </w:p>
          <w:p w14:paraId="63956C24" w14:textId="6F2B8506" w:rsidR="00547B2E" w:rsidRPr="0008623B" w:rsidRDefault="00547B2E" w:rsidP="00F42DCD">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5C695D4E" w14:textId="739B28B1" w:rsidR="00547B2E" w:rsidRPr="0008623B" w:rsidRDefault="00CC7310" w:rsidP="00F42DCD">
            <w:pPr>
              <w:rPr>
                <w:i/>
                <w:noProof/>
                <w:color w:val="000000" w:themeColor="text1"/>
                <w:sz w:val="24"/>
                <w:szCs w:val="24"/>
                <w:rFonts w:ascii="Times New Roman" w:hAnsi="Times New Roman" w:cs="Times New Roman"/>
              </w:rPr>
            </w:pPr>
            <w:r>
              <w:rPr>
                <w:sz w:val="24"/>
                <w:rFonts w:ascii="Times New Roman" w:hAnsi="Times New Roman"/>
              </w:rPr>
              <w:t xml:space="preserve">Indien de afwikkelingsautoriteit van de dochteronderneming de entiteit toestaat om met garanties aan het interne MREL te voldoen, wordt het bedrag van de garanties die door de af te wikkelen entiteit worden afgegeven en aan alle voorwaarden van artikel 45 septies, lid 5, van Richtlijn 2014/59/EU voldoen, ook in deze rij opgenomen.</w:t>
            </w:r>
            <w:r>
              <w:rPr>
                <w:sz w:val="24"/>
                <w:i/>
                <w:color w:val="000000" w:themeColor="text1"/>
                <w:rFonts w:ascii="Times New Roman" w:hAnsi="Times New Roman"/>
              </w:rPr>
              <w:t xml:space="preserve">Intern TLAC</w:t>
            </w:r>
          </w:p>
          <w:p w14:paraId="20CB430B" w14:textId="47B5B51E" w:rsidR="00766271" w:rsidRPr="0008623B" w:rsidRDefault="00CC7310" w:rsidP="00CC731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Het bedrag aan in aanmerking komende passiva wordt overeenkomstig artikel 72 duodecies van Verordening (EU) nr. 575/2013 berekend indien die passiva aan de voorwaarden van artikel 92 ter, lid 2, van die verordening voldoen.</w:t>
            </w:r>
          </w:p>
        </w:tc>
      </w:tr>
      <w:tr w:rsidR="007600E9" w:rsidRPr="0008623B" w14:paraId="4E845D10" w14:textId="77777777" w:rsidTr="002A065A">
        <w:tc>
          <w:tcPr>
            <w:tcW w:w="1109" w:type="dxa"/>
          </w:tcPr>
          <w:p w14:paraId="153A7C48" w14:textId="5CC7BD86" w:rsidR="007600E9" w:rsidRPr="0008623B" w:rsidRDefault="007600E9"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EU-8</w:t>
            </w:r>
          </w:p>
        </w:tc>
        <w:tc>
          <w:tcPr>
            <w:tcW w:w="7642" w:type="dxa"/>
          </w:tcPr>
          <w:p w14:paraId="49C42D32" w14:textId="17A80A6B" w:rsidR="007600E9" w:rsidRPr="0008623B" w:rsidRDefault="00FF5E0F"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 aanmerking komende passiva – waarvan toegestane garanties</w:t>
            </w:r>
          </w:p>
          <w:p w14:paraId="7FBE9C6F" w14:textId="39072AA7" w:rsidR="007600E9" w:rsidRPr="0008623B" w:rsidRDefault="009C121A" w:rsidP="009C121A">
            <w:pPr>
              <w:rPr>
                <w:b/>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Indien de afwikkelingsautoriteit van de dochteronderneming de entiteit toestaat om met garanties aan het interne MREL te voldoen: het bedrag aan garanties die door de af te wikkelen entiteit worden afgegeven en aan alle voorwaarden van artikel 45 septies, lid 5, van Richtlijn 2014/59/EU voldoen.</w:t>
            </w:r>
          </w:p>
        </w:tc>
      </w:tr>
      <w:tr w:rsidR="00547B2E" w:rsidRPr="0008623B" w14:paraId="352876D4" w14:textId="77777777" w:rsidTr="002A065A">
        <w:tc>
          <w:tcPr>
            <w:tcW w:w="1109" w:type="dxa"/>
          </w:tcPr>
          <w:p w14:paraId="6DCACB84" w14:textId="766ADF9F" w:rsidR="00547B2E" w:rsidRPr="0008623B" w:rsidRDefault="00644B02"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EU-9a</w:t>
            </w:r>
          </w:p>
        </w:tc>
        <w:tc>
          <w:tcPr>
            <w:tcW w:w="7642" w:type="dxa"/>
          </w:tcPr>
          <w:p w14:paraId="32608FA7" w14:textId="7D99477C" w:rsidR="00547B2E" w:rsidRPr="0008623B" w:rsidRDefault="00547B2E"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(Aanpassingen)</w:t>
            </w:r>
          </w:p>
          <w:p w14:paraId="716CE6EE" w14:textId="77777777" w:rsidR="00547B2E" w:rsidRPr="0008623B" w:rsidRDefault="00547B2E" w:rsidP="007600E9">
            <w:pPr>
              <w:rPr>
                <w:rStyle w:val="FormatvorlageInstructionsTabelleText"/>
                <w:sz w:val="24"/>
                <w:rFonts w:ascii="Times New Roman" w:hAnsi="Times New Roman"/>
              </w:rPr>
            </w:pPr>
            <w:r>
              <w:rPr>
                <w:rStyle w:val="FormatvorlageInstructionsTabelleText"/>
                <w:sz w:val="24"/>
                <w:rFonts w:ascii="Times New Roman" w:hAnsi="Times New Roman"/>
              </w:rPr>
              <w:t xml:space="preserve">Negatief bedrag</w:t>
            </w:r>
          </w:p>
          <w:p w14:paraId="53DD0B4C" w14:textId="77777777" w:rsidR="00CB3841" w:rsidRPr="0008623B" w:rsidRDefault="00CB3841" w:rsidP="00CB384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volgende aanpassingen worden in deze rij openbaar gemaakt:</w:t>
            </w:r>
          </w:p>
          <w:p w14:paraId="61271E0C" w14:textId="02F82C25" w:rsidR="00766271" w:rsidRPr="0008623B" w:rsidRDefault="00766271" w:rsidP="00766271">
            <w:pPr>
              <w:pStyle w:val="ListParagraph"/>
              <w:numPr>
                <w:ilvl w:val="0"/>
                <w:numId w:val="16"/>
              </w:numPr>
              <w:rPr>
                <w:b/>
                <w:noProof/>
                <w:color w:val="000000" w:themeColor="text1"/>
                <w:sz w:val="24"/>
                <w:szCs w:val="24"/>
                <w:rFonts w:ascii="Times New Roman" w:hAnsi="Times New Roman" w:cs="Times New Roman"/>
              </w:rPr>
            </w:pPr>
            <w:r>
              <w:rPr>
                <w:sz w:val="24"/>
                <w:rFonts w:ascii="Times New Roman" w:hAnsi="Times New Roman"/>
              </w:rPr>
              <w:t xml:space="preserve">Het bezit aan eigenvermogensinstrumenten en in aanmerking komende passiva-instrumenten die overeenkomstig artikel 72 sexies, lid 5, van Verordening (EU) nr. 575/2013 of artikel 45 quater, lid 2 bis, vijfde alinea van Richtlijn 2014/59/EU moeten worden afgetrokken;</w:t>
            </w:r>
          </w:p>
          <w:p w14:paraId="17EE89C8" w14:textId="699CDE18" w:rsidR="00547B2E" w:rsidRPr="0008623B" w:rsidRDefault="00766271" w:rsidP="00CB3841">
            <w:pPr>
              <w:pStyle w:val="ListParagraph"/>
              <w:numPr>
                <w:ilvl w:val="0"/>
                <w:numId w:val="16"/>
              </w:num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Bedragen waarvoor overeenkomstig artikel 78 bis van Verordening (EU) nr. 575/2013 toestemming is gegeven tot het opvragen, aflossen, terugbetalen of wederinkopen van in aanmerking komende passiva-instrumenten, voor zover de rapporterende entiteit dat bedrag nog niet heeft benut om instrumenten op te vragen, af te lossen, terug te betalen of weder in te kopen (“onbenutte bedragen met voorafgaande toestemming”).</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na aanpassingen</w:t>
            </w:r>
          </w:p>
          <w:p w14:paraId="6DB0E5C7" w14:textId="7B912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 MREL</w:t>
            </w:r>
          </w:p>
          <w:p w14:paraId="4FED8305" w14:textId="534AF772" w:rsidR="00547B2E" w:rsidRPr="0008623B" w:rsidRDefault="00F42DCD" w:rsidP="00F42DCD">
            <w:pPr>
              <w:rPr>
                <w:rStyle w:val="InstructionsTabelleberschrift"/>
                <w:b w:val="0"/>
                <w:sz w:val="24"/>
                <w:u w:val="none"/>
                <w:rFonts w:ascii="Times New Roman" w:hAnsi="Times New Roman"/>
              </w:rPr>
            </w:pPr>
            <w:r>
              <w:t xml:space="preserve">Bedragen aan in aanmerking komend eigen vermogen en in aanmerking komende passiva van de entiteit (na aanpassingen) die meetellen voor het interne MREL overeenkomstig artikel 45 septies, lid 2, van Richtlijn 2014/59/EU, mede rekening houdende (in voorkomend geval) met artikel 89, lid 2, vierde alinea, van die richtlijn.</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In het geval van instrumenten die onder het recht van een derde land vallen, wordt het instrument alleen in deze rij opgenomen indien het aan de vereisten van artikel 55 van Richtlijn 2014/59/EU voldoet.</w:t>
            </w:r>
          </w:p>
          <w:p w14:paraId="2C1B0641" w14:textId="08263093" w:rsidR="00547B2E" w:rsidRPr="0008623B" w:rsidRDefault="00547B2E" w:rsidP="00F42DCD">
            <w:pPr>
              <w:rPr>
                <w:rStyle w:val="InstructionsTabelleberschrift"/>
                <w:b w:val="0"/>
                <w:sz w:val="24"/>
                <w:u w:val="none"/>
                <w:rFonts w:ascii="Times New Roman" w:hAnsi="Times New Roman"/>
              </w:rPr>
            </w:pPr>
            <w:r>
              <w:rPr>
                <w:color w:val="000000" w:themeColor="text1"/>
                <w:sz w:val="24"/>
                <w:rFonts w:ascii="Times New Roman" w:hAnsi="Times New Roman"/>
              </w:rPr>
              <w:t xml:space="preserve">Te berekenen als rij EU-6 + rij EU-7 + rij EU-9a.</w:t>
            </w:r>
          </w:p>
          <w:p w14:paraId="2538ACE7" w14:textId="7B547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 TLAC</w:t>
            </w:r>
          </w:p>
          <w:p w14:paraId="56CFB916" w14:textId="470CF1AB" w:rsidR="006475ED" w:rsidRPr="0008623B" w:rsidRDefault="00547B2E" w:rsidP="00503590">
            <w:pPr>
              <w:rPr>
                <w:b/>
                <w:noProof/>
                <w:color w:val="000000" w:themeColor="text1"/>
                <w:sz w:val="24"/>
                <w:szCs w:val="24"/>
                <w:rFonts w:ascii="Times New Roman" w:hAnsi="Times New Roman" w:cs="Times New Roman"/>
              </w:rPr>
            </w:pPr>
            <w:r>
              <w:rPr>
                <w:sz w:val="24"/>
                <w:rFonts w:ascii="Times New Roman" w:hAnsi="Times New Roman"/>
              </w:rPr>
              <w:t xml:space="preserve">In aanmerking komend eigen vermogen en in aanmerking komende passiva die overeenkomstig artikel 92 ter, lid 2, van Verordening (EU) nr. 575/2013 meetellen voor het niet-EU-MSI-vereiste voor eigen vermogen en in aanmerking komende passiva.</w:t>
            </w:r>
            <w:r>
              <w:rPr>
                <w:sz w:val="24"/>
                <w:color w:val="000000" w:themeColor="text1"/>
                <w:rFonts w:ascii="Times New Roman" w:hAnsi="Times New Roman"/>
              </w:rPr>
              <w:t xml:space="preserve"> </w:t>
            </w:r>
            <w:r>
              <w:rPr>
                <w:sz w:val="24"/>
                <w:color w:val="000000" w:themeColor="text1"/>
                <w:rFonts w:ascii="Times New Roman" w:hAnsi="Times New Roman"/>
              </w:rPr>
              <w:t xml:space="preserve">Te berekenen als de som van rij EU-6 en rij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EU-10</w:t>
            </w:r>
          </w:p>
        </w:tc>
        <w:tc>
          <w:tcPr>
            <w:tcW w:w="7642" w:type="dxa"/>
          </w:tcPr>
          <w:p w14:paraId="09DCE834" w14:textId="5F82E219" w:rsidR="007F6136" w:rsidRPr="0008623B" w:rsidRDefault="007F6136" w:rsidP="00C07CCC">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Totaal risicoposten (TREA)</w:t>
            </w:r>
          </w:p>
          <w:p w14:paraId="5B78340F" w14:textId="6D0E9C20" w:rsidR="000C5255" w:rsidRPr="0008623B" w:rsidRDefault="000C525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Totaal van de risicoposten van de individuele entiteit of van de geconsolideerde groep op het niveau waarvan de vereisten zijn bepaald, al naargelang, overeenkomstig artikel 18, lid 1, tweede alinea, van Verordening (EU) nr. 575/2013.</w:t>
            </w:r>
          </w:p>
          <w:p w14:paraId="17016E2A" w14:textId="75D89C0B"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Het in deze rij gerapporteerde totaal van de risicoposten is het totaal van de risicoposten dat als basis dient voor de inachtneming van de vereisten van artikel 45 van Richtlijn 2014/59/EU of artikel 92 ter van Verordening (EU) nr. 575/2013, al naar gelang.</w:t>
            </w:r>
          </w:p>
        </w:tc>
      </w:tr>
      <w:tr w:rsidR="00026FC1" w:rsidRPr="0008623B" w14:paraId="09EE5A03" w14:textId="77777777" w:rsidTr="002A065A">
        <w:tc>
          <w:tcPr>
            <w:tcW w:w="1109" w:type="dxa"/>
          </w:tcPr>
          <w:p w14:paraId="5D0897E5" w14:textId="78C3CD2B" w:rsidR="000C5255" w:rsidRPr="0008623B" w:rsidDel="00FF3133"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EU-11</w:t>
            </w:r>
          </w:p>
        </w:tc>
        <w:tc>
          <w:tcPr>
            <w:tcW w:w="7642" w:type="dxa"/>
          </w:tcPr>
          <w:p w14:paraId="3D1B444A" w14:textId="48056C18" w:rsidR="000C5255" w:rsidRPr="0008623B" w:rsidRDefault="00D156A3"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Totale blootstellingsmaatstaf (TEM)</w:t>
            </w:r>
          </w:p>
          <w:p w14:paraId="53B11114" w14:textId="7FEC6446" w:rsidR="000C5255" w:rsidRPr="0008623B" w:rsidRDefault="006501CC"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totale blootstellingsmaatstaf (noemer van de hefboomratio) van de individuele entiteit of van de geconsolideerde groep op het niveau waarvan de vereisten zijn bepaald overeenkomstig artikel 429, lid 4, en artikel 429 bis van Verordening (EU) nr. 575/2013, al naargelang.</w:t>
            </w:r>
          </w:p>
          <w:p w14:paraId="2DB81445" w14:textId="64886997"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 in deze rij gerapporteerde totale blootstellingsmaatstaf is de totale blootstellingsmaatstaf die als basis dient voor de inachtneming van de vereisten van artikel 45 van Richtlijn 2014/59/EU of artikel 92 bis van Verordening (EU) nr. 575/2013, al naargelang.</w:t>
            </w:r>
          </w:p>
        </w:tc>
      </w:tr>
      <w:tr w:rsidR="00026FC1" w:rsidRPr="0008623B" w14:paraId="3F7E48D5" w14:textId="77777777" w:rsidTr="002A065A">
        <w:tc>
          <w:tcPr>
            <w:tcW w:w="1109" w:type="dxa"/>
          </w:tcPr>
          <w:p w14:paraId="068C68E0" w14:textId="4F4AB2A0"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w:t>
            </w:r>
          </w:p>
        </w:tc>
        <w:tc>
          <w:tcPr>
            <w:tcW w:w="7642" w:type="dxa"/>
          </w:tcPr>
          <w:p w14:paraId="4D8D9DC8" w14:textId="2ACFCB31" w:rsidR="000C5255" w:rsidRPr="0008623B" w:rsidRDefault="000C5255" w:rsidP="000C525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TREA-percentage</w:t>
            </w:r>
          </w:p>
          <w:p w14:paraId="745451FA" w14:textId="77777777" w:rsidR="000C5255" w:rsidRPr="0008623B" w:rsidRDefault="000C5255" w:rsidP="007F6136">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Ratio van het eigen vermogen en in aanmerking komende passiva, als percentage van het totaal van de risicoposten.</w:t>
            </w:r>
          </w:p>
          <w:p w14:paraId="53A01624" w14:textId="53B31A41" w:rsidR="00DB779A" w:rsidRPr="0008623B" w:rsidRDefault="00DB779A"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Te berekenen als rij EU-9b gedeeld door rij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w:t>
            </w:r>
          </w:p>
        </w:tc>
        <w:tc>
          <w:tcPr>
            <w:tcW w:w="7642" w:type="dxa"/>
          </w:tcPr>
          <w:p w14:paraId="4B61594C" w14:textId="66FE0C57" w:rsidR="000F5992" w:rsidRPr="0008623B" w:rsidRDefault="00FF5E0F"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TREA-percentage – waarvan toegestane garanties</w:t>
            </w:r>
          </w:p>
          <w:p w14:paraId="3E66E9D6" w14:textId="43B7D24C" w:rsidR="000F5992" w:rsidRPr="0008623B" w:rsidRDefault="00B24DB1" w:rsidP="00A96376">
            <w:pPr>
              <w:rPr>
                <w:noProof/>
                <w:color w:val="000000" w:themeColor="text1"/>
                <w:sz w:val="24"/>
                <w:szCs w:val="24"/>
                <w:rFonts w:ascii="Times New Roman" w:hAnsi="Times New Roman" w:cs="Times New Roman"/>
              </w:rPr>
            </w:pPr>
            <w:r>
              <w:rPr>
                <w:sz w:val="24"/>
                <w:rFonts w:ascii="Times New Roman" w:hAnsi="Times New Roman"/>
              </w:rPr>
              <w:t xml:space="preserve">Indien de afwikkelingsautoriteit van de dochteronderneming de entiteit toestaat om met garanties aan het interne MREL te voldoen: het bedrag aan garanties die door de af te wikkelen entiteit worden afgegeven en die aan de voorwaarden van artikel 45 septies, lid 5, van Richtlijn 2014/59/EU voldoen, als percentage van de totale risicoposten.</w:t>
            </w:r>
          </w:p>
          <w:p w14:paraId="21098783" w14:textId="24721D46" w:rsidR="00B24DB1" w:rsidRPr="0008623B" w:rsidRDefault="00B07EB6" w:rsidP="00AA067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Te berekenen als rij EU-8 gedeeld door rij EU-10.</w:t>
            </w:r>
          </w:p>
        </w:tc>
      </w:tr>
      <w:tr w:rsidR="00026FC1" w:rsidRPr="0008623B" w14:paraId="1BE5C236" w14:textId="77777777" w:rsidTr="002A065A">
        <w:tc>
          <w:tcPr>
            <w:tcW w:w="1109" w:type="dxa"/>
          </w:tcPr>
          <w:p w14:paraId="6389E44B" w14:textId="64502185"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EU-14</w:t>
            </w:r>
          </w:p>
        </w:tc>
        <w:tc>
          <w:tcPr>
            <w:tcW w:w="7642" w:type="dxa"/>
          </w:tcPr>
          <w:p w14:paraId="747FEBA4" w14:textId="71CE299B"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TEM-percentage</w:t>
            </w:r>
          </w:p>
          <w:p w14:paraId="10E78AE1" w14:textId="0BBF5E97" w:rsidR="000C5255" w:rsidRPr="0008623B" w:rsidRDefault="000C5255">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Ratio van het eigen vermogen en in aanmerking komende passiva, als percentage van de totale blootstellingsmaatstaf.</w:t>
            </w:r>
          </w:p>
          <w:p w14:paraId="3C080CF4" w14:textId="28CCBF72" w:rsidR="003946D4" w:rsidRPr="0008623B" w:rsidRDefault="003946D4"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Te berekenen als rij EU-9b gedeeld door rij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EU-15</w:t>
            </w:r>
          </w:p>
        </w:tc>
        <w:tc>
          <w:tcPr>
            <w:tcW w:w="7642" w:type="dxa"/>
          </w:tcPr>
          <w:p w14:paraId="6EC6E664" w14:textId="0D1F1FF7" w:rsidR="000F5992" w:rsidRPr="0008623B" w:rsidRDefault="00FF5E0F" w:rsidP="003F5FD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Eigen vermogen en in aanmerking komende passiva als TEM-percentage – waarvan toegestane garanties</w:t>
            </w:r>
          </w:p>
          <w:p w14:paraId="49C52AE4" w14:textId="4E11ED80" w:rsidR="00B07EB6" w:rsidRPr="0008623B" w:rsidRDefault="00AA0676" w:rsidP="00A96376">
            <w:pPr>
              <w:rPr>
                <w:noProof/>
                <w:color w:val="000000" w:themeColor="text1"/>
                <w:sz w:val="24"/>
                <w:szCs w:val="24"/>
                <w:rFonts w:ascii="Times New Roman" w:hAnsi="Times New Roman" w:cs="Times New Roman"/>
              </w:rPr>
            </w:pPr>
            <w:r>
              <w:rPr>
                <w:sz w:val="24"/>
                <w:rFonts w:ascii="Times New Roman" w:hAnsi="Times New Roman"/>
              </w:rPr>
              <w:t xml:space="preserve">Indien de afwikkelingsautoriteit van de dochteronderneming de entiteit toestaat om met garanties aan het interne MREL te voldoen: het bedrag aan garanties die door de af te wikkelen entiteit worden afgegeven en die aan de voorwaarden van artikel 45 septies, lid 5, van Richtlijn 2014/59/EU voldoen, als percentage van de totale blootstellingsmaatstaf.</w:t>
            </w:r>
          </w:p>
          <w:p w14:paraId="5F818595" w14:textId="4B7CE3AB" w:rsidR="000F5992" w:rsidRPr="0008623B" w:rsidRDefault="00B07EB6" w:rsidP="00B07EB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Te berekenen als rij EU-8 gedeeld door rij EU-11.</w:t>
            </w:r>
          </w:p>
        </w:tc>
      </w:tr>
      <w:tr w:rsidR="00026FC1" w:rsidRPr="0008623B" w14:paraId="72C7F5C5" w14:textId="77777777" w:rsidTr="002A065A">
        <w:tc>
          <w:tcPr>
            <w:tcW w:w="1109" w:type="dxa"/>
          </w:tcPr>
          <w:p w14:paraId="480E6DB5" w14:textId="4B427067" w:rsidR="000C5255" w:rsidRPr="0008623B" w:rsidRDefault="00F42177"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EU-16</w:t>
            </w:r>
          </w:p>
        </w:tc>
        <w:tc>
          <w:tcPr>
            <w:tcW w:w="7642" w:type="dxa"/>
          </w:tcPr>
          <w:p w14:paraId="77339BFA" w14:textId="07707C45"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Tier 1-kernkapitaal (uitgedrukt als TREA-percentage) beschikbaar nadat aan de vereisten voor de entiteit is voldaan</w:t>
            </w:r>
          </w:p>
          <w:p w14:paraId="10969C39" w14:textId="385E6EF9"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Het bedrag aan tier 1-kernkapitaal, gelijk aan nul of positief, dat beschikbaar is nadat aan elk van de vereisten van artikel 141 bis, punten a), b) en c), van Richtlijn 2013/36/EU</w:t>
            </w:r>
            <w:r>
              <w:rPr>
                <w:color w:val="000000" w:themeColor="text1"/>
                <w:sz w:val="24"/>
                <w:rFonts w:ascii="Times New Roman" w:hAnsi="Times New Roman"/>
              </w:rPr>
              <w:t xml:space="preserve"> is voldaan, en het hoogste van:</w:t>
            </w:r>
          </w:p>
          <w:p w14:paraId="58E9B9E9" w14:textId="7860E6DE"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 in voorkomend geval, het niet-EU-MSI-vereiste voor eigen vermogen en in aanmerking komende passiva in de zin van artikel 92 ter van Verordening (EU) nr. 575/2013, indien dit overeenkomstig artikel 92 ter, lid 1, van Verordening (EU) nr. 575/2013 wordt berekend als 90 % van het vereiste van artikel 92 bis, lid 1, punt a), van die verordening; en</w:t>
            </w:r>
            <w:r>
              <w:rPr>
                <w:color w:val="000000" w:themeColor="text1"/>
                <w:sz w:val="24"/>
                <w:rFonts w:ascii="Times New Roman" w:hAnsi="Times New Roman"/>
              </w:rPr>
              <w:t xml:space="preserve"> </w:t>
            </w:r>
          </w:p>
          <w:p w14:paraId="198DF7D6" w14:textId="3885C36B"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 het minimumvereiste voor eigen vermogen en in aanmerking komende passiva overeenkomstig artikel 45 septies van Richtlijn 2014/59/EU, indien berekend overeenkomstig artikel 45, lid 2, punt a), van die richtlijn.</w:t>
            </w:r>
          </w:p>
          <w:p w14:paraId="4CF4E1A3" w14:textId="6E11E15F"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Het openbaar gemaakte cijfer is hetzelfde in zowel de MREL-kolom als de TLAC-kolom.</w:t>
            </w:r>
          </w:p>
          <w:p w14:paraId="6C9387A7" w14:textId="461089FB" w:rsidR="000C5255" w:rsidRPr="0008623B" w:rsidRDefault="00A47BCD" w:rsidP="00AA0676">
            <w:pPr>
              <w:rPr>
                <w:b/>
                <w:noProof/>
              </w:rPr>
            </w:pPr>
            <w:r>
              <w:rPr>
                <w:color w:val="000000" w:themeColor="text1"/>
                <w:sz w:val="24"/>
                <w:rFonts w:ascii="Times New Roman" w:hAnsi="Times New Roman"/>
              </w:rPr>
              <w:t xml:space="preserve">Het houdt rekening met het effect van overgangsbepalingen op eigen vermogen en in aanmerking komende passiva, het totaal van de risicoposten en de vereisten zelf.</w:t>
            </w:r>
            <w:r>
              <w:rPr>
                <w:color w:val="000000" w:themeColor="text1"/>
                <w:sz w:val="24"/>
                <w:rFonts w:ascii="Times New Roman" w:hAnsi="Times New Roman"/>
              </w:rPr>
              <w:t xml:space="preserve"> </w:t>
            </w:r>
            <w:r>
              <w:rPr>
                <w:color w:val="000000" w:themeColor="text1"/>
                <w:sz w:val="24"/>
                <w:rFonts w:ascii="Times New Roman" w:hAnsi="Times New Roman"/>
              </w:rPr>
              <w:t xml:space="preserve">Er wordt geen rekening gehouden met de instructies voor aanvullend eigen vermogen van artikel 104 ter van Richtlijn 2013/36/EU, noch met het gecombineerde buffervereiste van artikel 128, eerste alinea, punt 6), van die richtlijn.</w:t>
            </w:r>
          </w:p>
        </w:tc>
      </w:tr>
      <w:tr w:rsidR="00026FC1" w:rsidRPr="0008623B" w14:paraId="27986DD8" w14:textId="77777777" w:rsidTr="002A065A">
        <w:tc>
          <w:tcPr>
            <w:tcW w:w="1109" w:type="dxa"/>
          </w:tcPr>
          <w:p w14:paraId="72398D99" w14:textId="0534A19F" w:rsidR="000C5255" w:rsidRPr="0008623B"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w:t>
            </w:r>
          </w:p>
        </w:tc>
        <w:tc>
          <w:tcPr>
            <w:tcW w:w="7642" w:type="dxa"/>
          </w:tcPr>
          <w:p w14:paraId="76F0E68B" w14:textId="21794D3D"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Instellingsspecifiek gecombineerd buffervereiste</w:t>
            </w:r>
            <w:r>
              <w:rPr>
                <w:b/>
                <w:color w:val="000000" w:themeColor="text1"/>
                <w:sz w:val="24"/>
                <w:rFonts w:ascii="Times New Roman" w:hAnsi="Times New Roman"/>
              </w:rPr>
              <w:t xml:space="preserve"> </w:t>
            </w:r>
          </w:p>
          <w:p w14:paraId="24FA0B83" w14:textId="4835122C" w:rsidR="000C5255" w:rsidRPr="0008623B" w:rsidRDefault="000C5255" w:rsidP="00CB08B2">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Het instellingsspecifieke gecombineerde buffervereiste zoals gedefinieerd in artikel 128, eerste alinea, punt 6), van Richtlijn 2013/36/EU, uitgedrukt als percentage van het totaal van de risicoposten, dat overeenkomstig artikel 128, eerste alinea, punt 6), van Richtlijn 2013/36/EU op de entiteit van toepassing is.</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bCs/>
                <w:iCs/>
                <w:color w:val="000000" w:themeColor="text1"/>
                <w:sz w:val="24"/>
                <w:szCs w:val="24"/>
                <w:rFonts w:ascii="Times New Roman" w:hAnsi="Times New Roman" w:cs="Times New Roman"/>
              </w:rPr>
            </w:pPr>
            <w:r>
              <w:rPr>
                <w:color w:val="000000" w:themeColor="text1"/>
                <w:sz w:val="24"/>
                <w:rFonts w:ascii="Times New Roman" w:hAnsi="Times New Roman"/>
              </w:rPr>
              <w:t xml:space="preserve">EU-18</w:t>
            </w:r>
          </w:p>
        </w:tc>
        <w:tc>
          <w:tcPr>
            <w:tcW w:w="7642" w:type="dxa"/>
          </w:tcPr>
          <w:p w14:paraId="44696FD9" w14:textId="2B694FE0" w:rsidR="008834C5" w:rsidRPr="0008623B" w:rsidRDefault="00F51FA3"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Vereiste uitgedrukt als TREA-percentage</w:t>
            </w:r>
          </w:p>
          <w:p w14:paraId="4059E3AD" w14:textId="09123D9B" w:rsidR="00B07EB6" w:rsidRPr="0008623B" w:rsidRDefault="00B07EB6" w:rsidP="0092457E">
            <w:pPr>
              <w:rPr>
                <w:i/>
                <w:noProof/>
                <w:sz w:val="24"/>
                <w:szCs w:val="24"/>
                <w:rFonts w:ascii="Times New Roman" w:hAnsi="Times New Roman" w:cs="Times New Roman"/>
              </w:rPr>
            </w:pPr>
            <w:r>
              <w:rPr>
                <w:i/>
                <w:sz w:val="24"/>
                <w:rFonts w:ascii="Times New Roman" w:hAnsi="Times New Roman"/>
              </w:rPr>
              <w:t xml:space="preserve">Intern MREL</w:t>
            </w:r>
          </w:p>
          <w:p w14:paraId="7A3B8EB3" w14:textId="022A0950" w:rsidR="00036DB1" w:rsidRPr="0008623B" w:rsidRDefault="00B07EB6" w:rsidP="0092457E">
            <w:pPr>
              <w:rPr>
                <w:bCs/>
                <w:noProof/>
                <w:sz w:val="24"/>
                <w:szCs w:val="24"/>
                <w:rFonts w:ascii="Times New Roman" w:hAnsi="Times New Roman" w:cs="Times New Roman"/>
              </w:rPr>
            </w:pPr>
            <w:r>
              <w:rPr>
                <w:sz w:val="24"/>
                <w:rFonts w:ascii="Times New Roman" w:hAnsi="Times New Roman"/>
              </w:rPr>
              <w:t xml:space="preserve">Vereiste voor eigen vermogen en in aanmerking komende passiva dat overeenkomstig artikel 45 septies van Richtlijn 2014/59/EU op de entiteit van toepassing is, uitgedrukt als percentage van het totaal van de risicoposten (op individueel of op geconsolideerd niveau, al naargelang).</w:t>
            </w:r>
          </w:p>
          <w:p w14:paraId="36F1A57F" w14:textId="701178C9" w:rsidR="00B07EB6" w:rsidRPr="0008623B" w:rsidRDefault="00B07EB6" w:rsidP="00B07EB6">
            <w:pPr>
              <w:rPr>
                <w:bCs/>
                <w:i/>
                <w:noProof/>
                <w:sz w:val="24"/>
                <w:szCs w:val="24"/>
                <w:rFonts w:ascii="Times New Roman" w:hAnsi="Times New Roman" w:cs="Times New Roman"/>
              </w:rPr>
            </w:pPr>
            <w:r>
              <w:rPr>
                <w:i/>
                <w:sz w:val="24"/>
                <w:rFonts w:ascii="Times New Roman" w:hAnsi="Times New Roman"/>
              </w:rPr>
              <w:t xml:space="preserve">Intern TLAC</w:t>
            </w:r>
          </w:p>
          <w:p w14:paraId="524A15B1" w14:textId="10807991"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Vereiste van artikel 92 ter van Verordening (EU) nr. 575/2013, uitgedrukt als percentage van het totaal van de risicoposten (op individueel of geconsolideerd niveau, al naargelang).</w:t>
            </w:r>
          </w:p>
        </w:tc>
      </w:tr>
      <w:tr w:rsidR="00026FC1" w:rsidRPr="0008623B" w14:paraId="33DA72AB" w14:textId="77777777" w:rsidTr="002A065A">
        <w:tc>
          <w:tcPr>
            <w:tcW w:w="1109" w:type="dxa"/>
          </w:tcPr>
          <w:p w14:paraId="784E2295" w14:textId="4500A04A" w:rsidR="008834C5" w:rsidRPr="0008623B" w:rsidRDefault="00F42177"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EU-19</w:t>
            </w:r>
          </w:p>
        </w:tc>
        <w:tc>
          <w:tcPr>
            <w:tcW w:w="7642" w:type="dxa"/>
          </w:tcPr>
          <w:p w14:paraId="168B9372" w14:textId="2BC4791B"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Vereiste uitgedrukt als TREA-percentage – waarvan deel van het vereiste waaraan met een garantie mag worden voldaan</w:t>
            </w:r>
          </w:p>
          <w:p w14:paraId="689193A8" w14:textId="2B66DAF3" w:rsidR="00036DB1" w:rsidRPr="0008623B" w:rsidRDefault="00036DB1" w:rsidP="00102896">
            <w:pPr>
              <w:rPr>
                <w:b/>
                <w:noProof/>
                <w:color w:val="000000" w:themeColor="text1"/>
                <w:sz w:val="24"/>
                <w:szCs w:val="24"/>
                <w:rFonts w:ascii="Times New Roman" w:hAnsi="Times New Roman" w:cs="Times New Roman"/>
              </w:rPr>
            </w:pPr>
            <w:r>
              <w:rPr>
                <w:sz w:val="24"/>
                <w:rFonts w:ascii="Times New Roman" w:hAnsi="Times New Roman"/>
              </w:rPr>
              <w:t xml:space="preserve">In voorkomend geval, het deel van het vereiste voor eigen vermogen en in aanmerking komende passiva, uitgedrukt als percentage van het totaal van de risicoposten, waaraan overeenkomstig artikel 45 septies, lid 5, van Richtlijn 2014/59/EU met een door de af te wikkelen entiteit afgegeven garantie kan worden voldaan.</w:t>
            </w:r>
          </w:p>
        </w:tc>
      </w:tr>
      <w:tr w:rsidR="00026FC1" w:rsidRPr="0008623B" w14:paraId="7DB5B45D" w14:textId="77777777" w:rsidTr="002A065A">
        <w:tc>
          <w:tcPr>
            <w:tcW w:w="1109" w:type="dxa"/>
          </w:tcPr>
          <w:p w14:paraId="291F5089" w14:textId="5540E6DA" w:rsidR="008834C5" w:rsidRPr="0008623B" w:rsidRDefault="00BB093D"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EU-20</w:t>
            </w:r>
          </w:p>
        </w:tc>
        <w:tc>
          <w:tcPr>
            <w:tcW w:w="7642" w:type="dxa"/>
          </w:tcPr>
          <w:p w14:paraId="517C1D7E" w14:textId="160471A8" w:rsidR="008834C5" w:rsidRPr="0008623B" w:rsidRDefault="00A96376"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Vereiste uitgedrukt als TEM-percentage</w:t>
            </w:r>
          </w:p>
          <w:p w14:paraId="390682C6" w14:textId="2F127DB6" w:rsidR="00B07EB6" w:rsidRPr="0008623B" w:rsidRDefault="00B07EB6">
            <w:pPr>
              <w:rPr>
                <w:i/>
                <w:noProof/>
                <w:sz w:val="24"/>
                <w:szCs w:val="24"/>
                <w:rFonts w:ascii="Times New Roman" w:hAnsi="Times New Roman" w:cs="Times New Roman"/>
              </w:rPr>
            </w:pPr>
            <w:r>
              <w:rPr>
                <w:i/>
                <w:sz w:val="24"/>
                <w:rFonts w:ascii="Times New Roman" w:hAnsi="Times New Roman"/>
              </w:rPr>
              <w:t xml:space="preserve">Intern MREL</w:t>
            </w:r>
          </w:p>
          <w:p w14:paraId="15AB0F32" w14:textId="4388F7B3" w:rsidR="00036DB1" w:rsidRPr="0008623B" w:rsidRDefault="00B07EB6">
            <w:pPr>
              <w:rPr>
                <w:bCs/>
                <w:noProof/>
                <w:sz w:val="24"/>
                <w:szCs w:val="24"/>
                <w:rFonts w:ascii="Times New Roman" w:hAnsi="Times New Roman" w:cs="Times New Roman"/>
              </w:rPr>
            </w:pPr>
            <w:r>
              <w:rPr>
                <w:sz w:val="24"/>
                <w:rFonts w:ascii="Times New Roman" w:hAnsi="Times New Roman"/>
              </w:rPr>
              <w:t xml:space="preserve">Vereiste voor eigen vermogen en in aanmerking komende passiva dat overeenkomstig artikel 45 septies van Richtlijn 2014/59/EU op de entiteit van toepassing is, uitgedrukt als percentage van de totale blootstellingsmaatstaf (op individueel niveau of op geconsolideerd niveau van de EU-moederonderneming, al naargelang).</w:t>
            </w:r>
          </w:p>
          <w:p w14:paraId="28AE2B52" w14:textId="40D45C6B" w:rsidR="00B07EB6" w:rsidRPr="0008623B" w:rsidRDefault="00B07EB6" w:rsidP="006501CC">
            <w:pPr>
              <w:rPr>
                <w:bCs/>
                <w:i/>
                <w:noProof/>
                <w:sz w:val="24"/>
                <w:szCs w:val="24"/>
                <w:rFonts w:ascii="Times New Roman" w:hAnsi="Times New Roman" w:cs="Times New Roman"/>
              </w:rPr>
            </w:pPr>
            <w:r>
              <w:rPr>
                <w:i/>
                <w:sz w:val="24"/>
                <w:rFonts w:ascii="Times New Roman" w:hAnsi="Times New Roman"/>
              </w:rPr>
              <w:t xml:space="preserve">Intern TLAC</w:t>
            </w:r>
            <w:r>
              <w:rPr>
                <w:i/>
                <w:sz w:val="24"/>
                <w:rFonts w:ascii="Times New Roman" w:hAnsi="Times New Roman"/>
              </w:rPr>
              <w:t xml:space="preserve"> </w:t>
            </w:r>
          </w:p>
          <w:p w14:paraId="316152E4" w14:textId="47164313"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Vereiste van artikel 92 ter van Verordening (EU) nr. 575/2013, uitgedrukt als percentage van de totale blootstellingsmaatstaf (op individueel of geconsolideerd niveau, al naargelang).</w:t>
            </w:r>
          </w:p>
        </w:tc>
      </w:tr>
      <w:tr w:rsidR="00026FC1" w:rsidRPr="0008623B" w14:paraId="665B02CC" w14:textId="77777777" w:rsidTr="002A065A">
        <w:tc>
          <w:tcPr>
            <w:tcW w:w="1109" w:type="dxa"/>
          </w:tcPr>
          <w:p w14:paraId="4CC8B518" w14:textId="34221154" w:rsidR="008834C5" w:rsidRPr="0008623B" w:rsidRDefault="0092457E"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EU-21</w:t>
            </w:r>
          </w:p>
        </w:tc>
        <w:tc>
          <w:tcPr>
            <w:tcW w:w="7642" w:type="dxa"/>
          </w:tcPr>
          <w:p w14:paraId="5E678549" w14:textId="3C180ACA"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Vereiste uitgedrukt als TEM-percentage – waarvan deel van het vereiste waaraan met een garantie mag worden voldaan</w:t>
            </w:r>
          </w:p>
          <w:p w14:paraId="4AD84850" w14:textId="46814386" w:rsidR="00036DB1" w:rsidRPr="0008623B" w:rsidRDefault="00036DB1" w:rsidP="00CB08B2">
            <w:pPr>
              <w:rPr>
                <w:b/>
                <w:noProof/>
                <w:color w:val="000000" w:themeColor="text1"/>
                <w:sz w:val="24"/>
                <w:szCs w:val="24"/>
                <w:rFonts w:ascii="Times New Roman" w:hAnsi="Times New Roman" w:cs="Times New Roman"/>
              </w:rPr>
            </w:pPr>
            <w:r>
              <w:rPr>
                <w:sz w:val="24"/>
                <w:rFonts w:ascii="Times New Roman" w:hAnsi="Times New Roman"/>
              </w:rPr>
              <w:t xml:space="preserve">In voorkomend geval, het deel van het vereiste voor eigen vermogen en in aanmerking komende passiva, uitgedrukt als percentage van de totale blootstellingsmaatstaf, waaraan overeenkomstig artikel 45 septies, lid 5, van Richtlijn 2014/59/EU met een door de af te wikkelen entiteit afgegeven garantie kan worden voldaan.</w:t>
            </w:r>
          </w:p>
        </w:tc>
      </w:tr>
      <w:tr w:rsidR="000B47A2" w:rsidRPr="0008623B" w14:paraId="2ACBD5CA" w14:textId="77777777" w:rsidTr="002A065A">
        <w:tc>
          <w:tcPr>
            <w:tcW w:w="1119" w:type="dxa"/>
            <w:vAlign w:val="top"/>
          </w:tcPr>
          <w:p w14:paraId="41CF7AC6" w14:textId="519C4DAD" w:rsidR="000B47A2" w:rsidRPr="0008623B" w:rsidRDefault="000B47A2" w:rsidP="003312F4">
            <w:pPr>
              <w:rPr>
                <w:sz w:val="24"/>
                <w:szCs w:val="24"/>
                <w:rFonts w:ascii="Times New Roman" w:hAnsi="Times New Roman" w:cs="Times New Roman"/>
              </w:rPr>
            </w:pPr>
            <w:r>
              <w:rPr>
                <w:sz w:val="24"/>
                <w:rFonts w:ascii="Times New Roman" w:hAnsi="Times New Roman"/>
              </w:rPr>
              <w:t xml:space="preserve">EU-22</w:t>
            </w:r>
          </w:p>
        </w:tc>
        <w:tc>
          <w:tcPr>
            <w:tcW w:w="7642" w:type="dxa"/>
            <w:vAlign w:val="top"/>
          </w:tcPr>
          <w:p w14:paraId="4FA5E841" w14:textId="053232BD" w:rsidR="000B47A2" w:rsidRPr="0008623B" w:rsidRDefault="000B47A2" w:rsidP="003312F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Totale bedrag aan in artikel 72 bis, lid 2, van Verordening (EU) nr. 575/2013 bedoelde uitgesloten passiva</w:t>
            </w:r>
          </w:p>
        </w:tc>
      </w:tr>
    </w:tbl>
    <w:p w14:paraId="0C6C28B8" w14:textId="738A3B7A" w:rsidR="003956D6" w:rsidRPr="0008623B" w:rsidRDefault="003956D6" w:rsidP="003956D6">
      <w:pPr>
        <w:rPr>
          <w:b/>
          <w:color w:val="000000" w:themeColor="text1"/>
          <w:sz w:val="24"/>
          <w:szCs w:val="24"/>
          <w:rFonts w:ascii="Times New Roman" w:hAnsi="Times New Roman" w:cs="Times New Roman"/>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color w:val="auto"/>
          <w:sz w:val="24"/>
          <w:rFonts w:ascii="Times New Roman" w:hAnsi="Times New Roman"/>
        </w:rPr>
        <w:t xml:space="preserve">5.</w:t>
      </w:r>
      <w:r>
        <w:tab/>
      </w:r>
      <w:r>
        <w:rPr>
          <w:color w:val="auto"/>
          <w:sz w:val="24"/>
          <w:rFonts w:ascii="Times New Roman" w:hAnsi="Times New Roman"/>
        </w:rPr>
        <w:t xml:space="preserve">EU TLAC2:</w:t>
      </w:r>
      <w:r>
        <w:rPr>
          <w:color w:val="auto"/>
          <w:sz w:val="24"/>
          <w:rFonts w:ascii="Times New Roman" w:hAnsi="Times New Roman"/>
        </w:rPr>
        <w:t xml:space="preserve"> </w:t>
      </w:r>
      <w:r>
        <w:rPr>
          <w:color w:val="auto"/>
          <w:sz w:val="24"/>
          <w:rFonts w:ascii="Times New Roman" w:hAnsi="Times New Roman"/>
        </w:rPr>
        <w:t xml:space="preserve">Rangorde schuldeisers</w:t>
      </w:r>
      <w:bookmarkEnd w:id="230"/>
      <w:r>
        <w:rPr>
          <w:color w:val="auto"/>
          <w:sz w:val="24"/>
          <w:rFonts w:ascii="Times New Roman" w:hAnsi="Times New Roman"/>
        </w:rPr>
        <w:t xml:space="preserve"> – entiteiten andere dan af te wikkelen entiteiten</w:t>
      </w:r>
      <w:bookmarkEnd w:id="231"/>
      <w:bookmarkEnd w:id="232"/>
    </w:p>
    <w:p w14:paraId="7A03C7D5" w14:textId="52B10ED1" w:rsidR="00EE122D" w:rsidRPr="0008623B" w:rsidRDefault="00EE122D" w:rsidP="00B62DC9">
      <w:pPr>
        <w:pStyle w:val="InstructionsText2"/>
        <w:numPr>
          <w:ilvl w:val="0"/>
          <w:numId w:val="12"/>
        </w:numPr>
      </w:pPr>
      <w:r>
        <w:t xml:space="preserve">De informatie in template EU TLAC2 wordt op het niveau van de individuele entiteit openbaar gemaakt.</w:t>
      </w:r>
    </w:p>
    <w:p w14:paraId="37B5040A" w14:textId="241394B6" w:rsidR="00D76A01" w:rsidRPr="0008623B" w:rsidRDefault="00D76A01" w:rsidP="00B62DC9">
      <w:pPr>
        <w:pStyle w:val="InstructionsText2"/>
        <w:numPr>
          <w:ilvl w:val="0"/>
          <w:numId w:val="12"/>
        </w:numPr>
      </w:pPr>
      <w:r>
        <w:t xml:space="preserve">Van EU TLAC2 bestaan twee versies: EU TLAC2a en EU TLAC2b.</w:t>
      </w:r>
      <w:r>
        <w:t xml:space="preserve"> </w:t>
      </w:r>
      <w:r>
        <w:t xml:space="preserve">TLAC2a bestrijkt alle financiering met eenzelfde rang als of een lagere rang dan voor het MREL in aanmerking komende instrumenten, daaronder begrepen eigen vermogen en andere kapitaalinstrumenten.</w:t>
      </w:r>
      <w:r>
        <w:t xml:space="preserve"> </w:t>
      </w:r>
      <w:r>
        <w:t xml:space="preserve">EU TLAC2b bestrijkt uitsluitend eigen vermogen en passiva die in aanmerking komen om overeenkomstig artikel 45 septies van Richtlijn 2014/59/EU aan de vereisten van artikel 45 van die richtlijn te voldoen.</w:t>
      </w:r>
    </w:p>
    <w:p w14:paraId="51E3EFB7" w14:textId="5F05BD0B" w:rsidR="00410769" w:rsidRPr="0008623B" w:rsidRDefault="00410769" w:rsidP="00B62DC9">
      <w:pPr>
        <w:pStyle w:val="InstructionsText2"/>
        <w:numPr>
          <w:ilvl w:val="0"/>
          <w:numId w:val="12"/>
        </w:numPr>
      </w:pPr>
      <w:r>
        <w:t xml:space="preserve">Overeenkomstig artikel 13, lid 2, van deze verordening hebben entiteiten die niet het vereiste van artikel 92 ter van Verordening (EU) nr. 575/2013 hoeven na te leven, doch overeenkomstig artikel 45 septies van Richtlijn 2014/59/EU het vereiste van artikel 45 van die richtlijn moeten naleven, de keuze of zij EU TLAC2a of EU TLAC2b gebruiken om het openbaarmakingsvereiste van artikel 45 decies, lid 3, punt b), van Richtlijn 2014/59/EU na te komen.</w:t>
      </w:r>
    </w:p>
    <w:p w14:paraId="0E950EC5" w14:textId="2D041687" w:rsidR="00510C0E" w:rsidRPr="0008623B" w:rsidRDefault="0071460A" w:rsidP="00B62DC9">
      <w:pPr>
        <w:pStyle w:val="InstructionsText2"/>
        <w:numPr>
          <w:ilvl w:val="0"/>
          <w:numId w:val="12"/>
        </w:numPr>
      </w:pPr>
      <w:r>
        <w:t xml:space="preserve">Vanaf de datum dat artikel 45 decies, lid 3, van Richtlijn 2014/59/EU van toepassing is, maken uitgevende entiteiten met template TLAC2a de passiva openbaar die in aanmerking kunnen komen om aan de interne MREL- en interne TLAC-vereisten te voldoen.</w:t>
      </w:r>
      <w:r>
        <w:t xml:space="preserve"> </w:t>
      </w:r>
      <w:r>
        <w:t xml:space="preserve">Vóór die datum maken uitgevende entiteiten passiva openbaar die in aanmerking kunnen komen om aan het interne TLAC-vereiste te voldoen.</w:t>
      </w:r>
    </w:p>
    <w:p w14:paraId="6CD2E5E7" w14:textId="10E10F4A" w:rsidR="00134FA4" w:rsidRPr="0008623B" w:rsidRDefault="00134FA4" w:rsidP="00B62DC9">
      <w:pPr>
        <w:pStyle w:val="InstructionsText2"/>
        <w:numPr>
          <w:ilvl w:val="0"/>
          <w:numId w:val="12"/>
        </w:numPr>
      </w:pPr>
      <w:r>
        <w:t xml:space="preserve">De in de rijen vermelde uitstaande bedragen worden uitgesplitst naar rang bij insolventie op basis van het insolventierecht van de uitgevende entiteit, ongeacht het recht dat op het instrument van toepassing is.</w:t>
      </w:r>
    </w:p>
    <w:p w14:paraId="0B0B9A5D" w14:textId="25143FFC" w:rsidR="00134FA4" w:rsidRPr="0008623B" w:rsidRDefault="00522875" w:rsidP="00B62DC9">
      <w:pPr>
        <w:pStyle w:val="InstructionsText2"/>
        <w:numPr>
          <w:ilvl w:val="0"/>
          <w:numId w:val="12"/>
        </w:numPr>
      </w:pPr>
      <w:r>
        <w:t xml:space="preserve">De rang bij insolventie is die welke de bevoegde afwikkelingsautoriteit heeft meegedeeld volgens de in artikel 8 van deze verordening vastgestelde gestandaardiseerde presentatie.</w:t>
      </w:r>
    </w:p>
    <w:p w14:paraId="572D872C" w14:textId="35C5457F" w:rsidR="00134FA4" w:rsidRPr="0008623B" w:rsidRDefault="00134FA4" w:rsidP="00B62DC9">
      <w:pPr>
        <w:pStyle w:val="InstructionsText2"/>
        <w:numPr>
          <w:ilvl w:val="0"/>
          <w:numId w:val="12"/>
        </w:numPr>
      </w:pPr>
      <w:r>
        <w:t xml:space="preserve">De rangorde loopt op van laagste naar hogere rang (van “junior” naar “senior”).</w:t>
      </w:r>
      <w:r>
        <w:t xml:space="preserve"> </w:t>
      </w:r>
      <w:r>
        <w:t xml:space="preserve">Per rang wordt een kolom toegevoegd totdat de hoogste rang van potentieel in aanmerking komende instrumenten is openbaar gemaakt.</w:t>
      </w:r>
      <w:r>
        <w:t xml:space="preserve"> </w:t>
      </w:r>
    </w:p>
    <w:p w14:paraId="451EEEC0" w14:textId="6C07DCB8" w:rsidR="00134FA4" w:rsidRPr="0008623B" w:rsidRDefault="00134FA4" w:rsidP="00B62DC9">
      <w:pPr>
        <w:pStyle w:val="InstructionsText2"/>
        <w:numPr>
          <w:ilvl w:val="0"/>
          <w:numId w:val="12"/>
        </w:numPr>
      </w:pPr>
      <w:r>
        <w:t xml:space="preserve">Het aan elke rang toe te delen bedrag wordt verder uitgesplitst in door de af te wikkelen entiteit verschuldigde bedragen, daaronder begrepen bedragen die al dan niet middellijk door de af te wikkelen entiteit verschuldigd zijn via entiteiten langs de eigendomsketen, in voorkomend geval;</w:t>
      </w:r>
      <w:r>
        <w:t xml:space="preserve"> </w:t>
      </w:r>
      <w:r>
        <w:t xml:space="preserve">en overige niet door de af te wikkelen entiteit verschuldigde bedragen (in voorkomend geval).</w:t>
      </w:r>
      <w:r>
        <w:t xml:space="preserve"> </w:t>
      </w:r>
      <w:r>
        <w:t xml:space="preserve">Het totale bedrag voor elke rij wordt ingevuld in de laatste kolom van elke rij.</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Rijen</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 xml:space="preserve">1</w:t>
            </w:r>
          </w:p>
        </w:tc>
        <w:tc>
          <w:tcPr>
            <w:tcW w:w="7655" w:type="dxa"/>
          </w:tcPr>
          <w:p w14:paraId="5F9CE229" w14:textId="006CF2E0" w:rsidR="008871C6" w:rsidRPr="0008623B" w:rsidRDefault="008871C6"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Lege rubriek in de EU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 xml:space="preserve">2</w:t>
            </w:r>
          </w:p>
        </w:tc>
        <w:tc>
          <w:tcPr>
            <w:tcW w:w="7655" w:type="dxa"/>
          </w:tcPr>
          <w:p w14:paraId="4A148EDF" w14:textId="407C4BEB" w:rsidR="000C3B9F" w:rsidRPr="0008623B" w:rsidRDefault="000C3B9F"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Beschrijving rang bij insolventie (vrije tekst)</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Het aantal rangen bij insolventie (n) binnen de schuldeisershiërarchie zal afhangen van de reeks passiva van de uitgevende entiteit.</w:t>
            </w:r>
            <w:r>
              <w:rPr>
                <w:color w:val="000000" w:themeColor="text1"/>
              </w:rPr>
              <w:t xml:space="preserve"> </w:t>
            </w:r>
            <w:r>
              <w:rPr>
                <w:color w:val="000000" w:themeColor="text1"/>
              </w:rPr>
              <w:t xml:space="preserve">De beschrijving moet een specificatie bevatten van de soorten vorderingen binnen die rang bij insolventie (bv. tier 1-kernkapitaal, tier 2-instrumenten).</w:t>
            </w:r>
            <w:r>
              <w:rPr>
                <w:color w:val="000000" w:themeColor="text1"/>
              </w:rPr>
              <w:t xml:space="preserve"> </w:t>
            </w:r>
          </w:p>
          <w:p w14:paraId="22A60804" w14:textId="5BBC2F70" w:rsidR="000C3B9F" w:rsidRPr="0008623B" w:rsidRDefault="000C3B9F" w:rsidP="00331959">
            <w:pPr>
              <w:pStyle w:val="Applicationdirecte"/>
              <w:spacing w:before="120"/>
              <w:rPr>
                <w:b/>
                <w:color w:val="000000" w:themeColor="text1"/>
                <w:szCs w:val="24"/>
              </w:rPr>
            </w:pPr>
            <w:r>
              <w:t xml:space="preserve">Er is één kolom voor elke rang bij insolventie waarvoor een bedrag volledig wordt aangehouden door de af te wikkelen entiteit, daaronder begrepen bedragen die al dan niet middellijk door de af te wikkelen entiteit worden aangehouden via entiteiten langs de eigendomsketen, in voorkomend geval, en een tweede kolom indien een deel van het bedrag per rang ook wordt aangehouden door houders niet zijnde de af te wikkelen entiteit.</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 xml:space="preserve">3</w:t>
            </w:r>
          </w:p>
        </w:tc>
        <w:tc>
          <w:tcPr>
            <w:tcW w:w="7655" w:type="dxa"/>
          </w:tcPr>
          <w:p w14:paraId="77AA473A" w14:textId="5D74CC27" w:rsidR="000C3B9F" w:rsidRPr="0008623B" w:rsidRDefault="00367DF1"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Passiva en eigen vermogen</w:t>
            </w:r>
          </w:p>
          <w:p w14:paraId="4216384F" w14:textId="0D31DC4A" w:rsidR="000C3B9F" w:rsidRPr="0008623B" w:rsidRDefault="00BB21F0" w:rsidP="00AA4A01">
            <w:pPr>
              <w:pStyle w:val="Applicationdirecte"/>
              <w:spacing w:before="120"/>
              <w:rPr>
                <w:color w:val="000000" w:themeColor="text1"/>
              </w:rPr>
            </w:pPr>
            <w:r>
              <w:rPr>
                <w:color w:val="000000" w:themeColor="text1"/>
              </w:rPr>
              <w:t xml:space="preserve">Het bedrag aan eigen vermogen, in aanmerking komende passiva en passiva met een rang lager dan of gelijk aan eigen vermogen en in aanmerking komende passiva.</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Dit omvat ook passiva die van bail-in zijn uitgesloten.</w:t>
            </w:r>
          </w:p>
          <w:p w14:paraId="5A7B82DD" w14:textId="368405A5" w:rsidR="008907A6" w:rsidRPr="0008623B" w:rsidRDefault="00410769" w:rsidP="005F391D">
            <w:pPr>
              <w:pStyle w:val="Fait"/>
            </w:pPr>
            <w:r>
              <w:t xml:space="preserve">Deze rij is niet van toepassing in template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 xml:space="preserve">4</w:t>
            </w:r>
          </w:p>
        </w:tc>
        <w:tc>
          <w:tcPr>
            <w:tcW w:w="7655" w:type="dxa"/>
          </w:tcPr>
          <w:p w14:paraId="59E154B3" w14:textId="0A45A9DB" w:rsidR="000C3B9F" w:rsidRPr="0008623B" w:rsidRDefault="00A14A6B" w:rsidP="000C3B9F">
            <w:pPr>
              <w:pStyle w:val="Fait"/>
              <w:rPr>
                <w:b/>
                <w:color w:val="000000" w:themeColor="text1"/>
                <w:szCs w:val="24"/>
                <w:rFonts w:eastAsiaTheme="minorEastAsia"/>
              </w:rPr>
            </w:pPr>
            <w:r>
              <w:rPr>
                <w:b/>
                <w:color w:val="000000" w:themeColor="text1"/>
              </w:rPr>
              <w:t xml:space="preserve">Passiva en eigen vermogen – Waarvan uitgesloten passiva</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 xml:space="preserve">Uitsplitsing van de passiva die zijn uitgesloten overeenkomstig artikel 72 bis, lid 2, van Verordening (EU) nr. 575/2013 of artikel 44, lid 2, van Richtlijn 2014/59/EU en, in voorkomend geval, artikel 44, lid 3, van Richtlijn 2014/59/EU.</w:t>
            </w:r>
          </w:p>
          <w:p w14:paraId="182D9647" w14:textId="5AEB0362" w:rsidR="008907A6" w:rsidRPr="0008623B" w:rsidRDefault="00410769" w:rsidP="005F391D">
            <w:pPr>
              <w:pStyle w:val="Applicationdirecte"/>
              <w:spacing w:before="120"/>
            </w:pPr>
            <w:r>
              <w:t xml:space="preserve">Deze rij is niet van toepassing in template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 xml:space="preserve">5</w:t>
            </w:r>
          </w:p>
        </w:tc>
        <w:tc>
          <w:tcPr>
            <w:tcW w:w="7655" w:type="dxa"/>
          </w:tcPr>
          <w:p w14:paraId="005DF5FF" w14:textId="228C6814" w:rsidR="0016339F" w:rsidRPr="0008623B" w:rsidRDefault="00367DF1" w:rsidP="00EF47A4">
            <w:pPr>
              <w:pStyle w:val="Fait"/>
            </w:pPr>
            <w:r>
              <w:rPr>
                <w:b/>
                <w:color w:val="000000" w:themeColor="text1"/>
              </w:rPr>
              <w:t xml:space="preserve">Passiva en eigen vermogen minus uitgesloten passiva</w:t>
            </w:r>
          </w:p>
          <w:p w14:paraId="359D335B" w14:textId="3554B9D3" w:rsidR="008907A6" w:rsidRPr="0008623B" w:rsidRDefault="00367DF1" w:rsidP="005F391D">
            <w:pPr>
              <w:pStyle w:val="Fait"/>
            </w:pPr>
            <w:r>
              <w:rPr>
                <w:color w:val="000000" w:themeColor="text1"/>
              </w:rPr>
              <w:t xml:space="preserve">Passiva en eigen vermogen, ongerekend uitgesloten passiva.</w:t>
            </w:r>
          </w:p>
          <w:p w14:paraId="52590AAA" w14:textId="18E701D2" w:rsidR="000C3B9F" w:rsidRPr="0008623B" w:rsidRDefault="00410769" w:rsidP="008907A6">
            <w:pPr>
              <w:pStyle w:val="Applicationdirecte"/>
              <w:spacing w:before="120"/>
              <w:rPr>
                <w:color w:val="000000" w:themeColor="text1"/>
                <w:szCs w:val="24"/>
              </w:rPr>
            </w:pPr>
            <w:r>
              <w:t xml:space="preserve">Deze rij is niet van toepassing in template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677315D1" w14:textId="45D4D61F" w:rsidR="000C3B9F" w:rsidRPr="0008623B" w:rsidRDefault="000C3B9F" w:rsidP="000C3B9F">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Subset passiva en eigen vermogen minus uitgesloten passiva die ten behoeve van intern MREL / intern TLAC eigen vermogen en in aanmerking komende passiva zijn</w:t>
            </w:r>
          </w:p>
          <w:p w14:paraId="666E0A9A" w14:textId="0E7111CB" w:rsidR="000C3B9F" w:rsidRPr="0008623B" w:rsidRDefault="000C3B9F" w:rsidP="00341FB2">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Uitsplitsing van het bedrag aan eigen vermogen en in aanmerking komende passiva ten behoeve van het interne MREL of het interne TLAC, zoals van toepassing overeenkomstig punt 11 hiervoor.</w:t>
            </w:r>
            <w:r>
              <w:rPr>
                <w:color w:val="000000" w:themeColor="text1"/>
                <w:sz w:val="24"/>
                <w:rFonts w:ascii="Times New Roman" w:hAnsi="Times New Roman"/>
              </w:rPr>
              <w:t xml:space="preserve">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3AF5477F" w14:textId="1583355E"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1 jaar en &lt; 2 jaar</w:t>
            </w:r>
            <w:r>
              <w:rPr>
                <w:b/>
                <w:color w:val="000000" w:themeColor="text1"/>
                <w:sz w:val="24"/>
                <w:rFonts w:ascii="Times New Roman" w:hAnsi="Times New Roman"/>
              </w:rPr>
              <w:t xml:space="preserve"> </w:t>
            </w:r>
          </w:p>
          <w:p w14:paraId="6EC4B8A9" w14:textId="6798BA07" w:rsidR="000C3B9F" w:rsidRPr="0008623B" w:rsidRDefault="0016339F"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6 met de desbetreffende resterende looptijd.</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73BC8BDA" w14:textId="65A30D65"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2 jaar en &lt; 5 jaar</w:t>
            </w:r>
          </w:p>
          <w:p w14:paraId="234E2E25" w14:textId="7A58A472" w:rsidR="000C3B9F" w:rsidRPr="0008623B" w:rsidRDefault="00F04275" w:rsidP="00F0427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6 met de desbetreffende resterende looptijd.</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9</w:t>
            </w:r>
          </w:p>
        </w:tc>
        <w:tc>
          <w:tcPr>
            <w:tcW w:w="7655" w:type="dxa"/>
          </w:tcPr>
          <w:p w14:paraId="6513D39F" w14:textId="3B45C90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5 jaar en &lt; 10 jaar</w:t>
            </w:r>
          </w:p>
          <w:p w14:paraId="44AA56B3" w14:textId="34E09E5C" w:rsidR="000C3B9F" w:rsidRPr="0008623B" w:rsidRDefault="00F04275"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6 met de desbetreffende resterende looptijd.</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EDFF84A" w14:textId="7F3D527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10 jaar, doch met uitsluiting van eeuwigdurende effecten</w:t>
            </w:r>
          </w:p>
          <w:p w14:paraId="4144E4C2" w14:textId="6B7049FC" w:rsidR="000C3B9F" w:rsidRPr="0008623B" w:rsidRDefault="00F04275"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6 met de desbetreffende resterende looptijd.</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11</w:t>
            </w:r>
          </w:p>
        </w:tc>
        <w:tc>
          <w:tcPr>
            <w:tcW w:w="7655" w:type="dxa"/>
          </w:tcPr>
          <w:p w14:paraId="38BB8DE3" w14:textId="6E91083A"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eeuwigdurende effecten</w:t>
            </w:r>
          </w:p>
          <w:p w14:paraId="0E3F0B9E" w14:textId="5C0A7C24" w:rsidR="000C3B9F" w:rsidRPr="0008623B" w:rsidRDefault="00F04275" w:rsidP="00F04275">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6 die eeuwigdurende effecten zijn.</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3" w:name="_Toc529272912"/>
      <w:bookmarkStart w:id="234" w:name="_Toc14770787"/>
      <w:bookmarkStart w:id="235" w:name="_Toc45266930"/>
      <w:r>
        <w:rPr>
          <w:color w:val="auto"/>
          <w:sz w:val="24"/>
          <w:rFonts w:ascii="Times New Roman" w:hAnsi="Times New Roman"/>
        </w:rPr>
        <w:t xml:space="preserve">6.</w:t>
      </w:r>
      <w:r>
        <w:tab/>
      </w:r>
      <w:r>
        <w:rPr>
          <w:color w:val="auto"/>
          <w:sz w:val="24"/>
          <w:rFonts w:ascii="Times New Roman" w:hAnsi="Times New Roman"/>
        </w:rPr>
        <w:t xml:space="preserve">EU TLAC3:</w:t>
      </w:r>
      <w:r>
        <w:rPr>
          <w:color w:val="auto"/>
          <w:sz w:val="24"/>
          <w:rFonts w:ascii="Times New Roman" w:hAnsi="Times New Roman"/>
        </w:rPr>
        <w:t xml:space="preserve"> </w:t>
      </w:r>
      <w:r>
        <w:rPr>
          <w:color w:val="auto"/>
          <w:sz w:val="24"/>
          <w:rFonts w:ascii="Times New Roman" w:hAnsi="Times New Roman"/>
        </w:rPr>
        <w:t xml:space="preserve">Rangorde schuldeisers – af te wikkelen </w:t>
      </w:r>
      <w:bookmarkEnd w:id="233"/>
      <w:bookmarkEnd w:id="234"/>
      <w:r>
        <w:rPr>
          <w:color w:val="auto"/>
          <w:sz w:val="24"/>
          <w:rFonts w:ascii="Times New Roman" w:hAnsi="Times New Roman"/>
        </w:rPr>
        <w:t xml:space="preserve">entiteit</w:t>
      </w:r>
      <w:bookmarkEnd w:id="235"/>
    </w:p>
    <w:p w14:paraId="578097FF" w14:textId="1EA4E7A0" w:rsidR="00EE122D" w:rsidRPr="0008623B" w:rsidRDefault="00EE122D" w:rsidP="00B62DC9">
      <w:pPr>
        <w:pStyle w:val="InstructionsText2"/>
        <w:numPr>
          <w:ilvl w:val="0"/>
          <w:numId w:val="12"/>
        </w:numPr>
      </w:pPr>
      <w:r>
        <w:t xml:space="preserve">De informatie in template EU TLAC3 wordt op het niveau van de individuele entiteit openbaar gemaakt.</w:t>
      </w:r>
    </w:p>
    <w:p w14:paraId="0EB7EFE1" w14:textId="7A32417C" w:rsidR="00410769" w:rsidRPr="0008623B" w:rsidRDefault="00410769" w:rsidP="00B62DC9">
      <w:pPr>
        <w:pStyle w:val="InstructionsText2"/>
        <w:numPr>
          <w:ilvl w:val="0"/>
          <w:numId w:val="12"/>
        </w:numPr>
      </w:pPr>
      <w:r>
        <w:t xml:space="preserve">Van EU TLAC3 bestaan twee versies: EU TLAC3a en EU TLAC3b.</w:t>
      </w:r>
      <w:r>
        <w:t xml:space="preserve"> </w:t>
      </w:r>
      <w:r>
        <w:t xml:space="preserve">EU TLAC3a bestrijkt alle financiering met eenzelfde rang als of een lagere rang dan instrumenten die voor het MREL in aanmerking kunnen komen, daaronder begrepen eigen vermogen en andere kapitaalinstrumenten.</w:t>
      </w:r>
      <w:r>
        <w:t xml:space="preserve"> </w:t>
      </w:r>
      <w:r>
        <w:t xml:space="preserve">Bedragen die alleen vanwege achterstellingsvereisten niet in aanmerking komen, worden volledig opgenomen in de rij die overeenstemt met de desbetreffende rang bij insolventie, d.w.z. zonder toepassing van de plafonds.</w:t>
      </w:r>
      <w:r>
        <w:t xml:space="preserve"> </w:t>
      </w:r>
      <w:r>
        <w:t xml:space="preserve">EU TLAC3b bestrijkt uitsluitend eigen vermogen en passiva die in aanmerking komen om overeenkomstig artikel 45 sexies van Richtlijn 2014/59/EU aan de vereisten van artikel 45 van die richtlijn te voldoen.</w:t>
      </w:r>
    </w:p>
    <w:p w14:paraId="417A390B" w14:textId="2D84B100" w:rsidR="00410769" w:rsidRPr="0008623B" w:rsidRDefault="00410769" w:rsidP="00B62DC9">
      <w:pPr>
        <w:pStyle w:val="InstructionsText2"/>
        <w:numPr>
          <w:ilvl w:val="0"/>
          <w:numId w:val="12"/>
        </w:numPr>
      </w:pPr>
      <w:r>
        <w:t xml:space="preserve">Overeenkomstig artikel 14, lid 2, van deze verordening hebben entiteiten die niet het vereiste van artikel 92 bis van Verordening (EU) nr. 575/2013 hoeven na te leven, doch overeenkomstig artikel 45 sexies van Richtlijn 2014/59/EU het vereiste van artikel 45 van die richtlijn moeten naleven, de keuze of zij EU TLAC3a of EU TLAC3b gebruiken om het openbaarmakingsvereiste van artikel 45 decies, lid 3, punt b), van Richtlijn 2014/59/EU na te komen.</w:t>
      </w:r>
    </w:p>
    <w:p w14:paraId="7914D4A7" w14:textId="50C29BF6" w:rsidR="005F391D" w:rsidRPr="0008623B" w:rsidRDefault="005F391D" w:rsidP="00B62DC9">
      <w:pPr>
        <w:pStyle w:val="InstructionsText2"/>
        <w:numPr>
          <w:ilvl w:val="0"/>
          <w:numId w:val="12"/>
        </w:numPr>
      </w:pPr>
      <w:r>
        <w:t xml:space="preserve">Vanaf de datum dat artikel 45 decies, lid 3, van Richtlijn 2014/59/EU van toepassing is, maken uitgevende entiteiten met template TLAC3a de passiva openbaar die in aanmerking kunnen komen om aan de MREL- en de TLAC-vereisten te voldoen.</w:t>
      </w:r>
      <w:r>
        <w:t xml:space="preserve"> </w:t>
      </w:r>
      <w:r>
        <w:t xml:space="preserve">Vóór die datum maken uitgevende entiteiten passiva openbaar die in aanmerking kunnen komen om aan het interne TLAC-vereiste te voldoen.</w:t>
      </w:r>
    </w:p>
    <w:p w14:paraId="0643F6F9" w14:textId="54E61B56" w:rsidR="005F391D" w:rsidRPr="0008623B" w:rsidRDefault="00134FA4" w:rsidP="00B62DC9">
      <w:pPr>
        <w:pStyle w:val="InstructionsText2"/>
        <w:numPr>
          <w:ilvl w:val="0"/>
          <w:numId w:val="12"/>
        </w:numPr>
      </w:pPr>
      <w:r>
        <w:t xml:space="preserve">De in de rijen 2 tot en met 10 vermelde uitstaande bedragen worden uitgesplitst naar rang bij insolventie op basis van het insolventierecht van de uitgevende entiteit, ongeacht het recht dat op het instrument van toepassing is.</w:t>
      </w:r>
    </w:p>
    <w:p w14:paraId="2ED9C4B9" w14:textId="752032A7" w:rsidR="005F391D" w:rsidRPr="0008623B" w:rsidRDefault="00EA31AA" w:rsidP="00B62DC9">
      <w:pPr>
        <w:pStyle w:val="InstructionsText2"/>
        <w:numPr>
          <w:ilvl w:val="0"/>
          <w:numId w:val="12"/>
        </w:numPr>
      </w:pPr>
      <w:r>
        <w:t xml:space="preserve">De rang bij insolventie is die welke de bevoegde afwikkelingsautoriteit heeft meegedeeld volgens de in de betrokken rapportagetemplate vastgestelde gestandaardiseerde presentatie.</w:t>
      </w:r>
    </w:p>
    <w:p w14:paraId="098D1362" w14:textId="424912A1" w:rsidR="003D2D85" w:rsidRPr="0008623B" w:rsidRDefault="00134FA4" w:rsidP="00B62DC9">
      <w:pPr>
        <w:pStyle w:val="InstructionsText2"/>
        <w:numPr>
          <w:ilvl w:val="0"/>
          <w:numId w:val="12"/>
        </w:numPr>
      </w:pPr>
      <w:r>
        <w:t xml:space="preserve">De rangorde loopt op van laagste naar hogere rang (van “junior” naar “senior”).</w:t>
      </w:r>
      <w:r>
        <w:t xml:space="preserve"> </w:t>
      </w:r>
      <w:r>
        <w:t xml:space="preserve">Per rang wordt een kolom toegevoegd totdat de hoogste rang van potentieel in aanmerking komende instrumenten is openbaar gemaakt.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Rijen</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Verwijzingen naar wetgeving en instructies</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 xml:space="preserve">1</w:t>
            </w:r>
          </w:p>
        </w:tc>
        <w:tc>
          <w:tcPr>
            <w:tcW w:w="7655" w:type="dxa"/>
          </w:tcPr>
          <w:p w14:paraId="255BAE3D" w14:textId="6FBDCDA3"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Beschrijving rang bij insolventie (vrije tekst)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Het aantal rangen bij insolventie binnen de schuldeisershiërarchie zal afhangen van de reeks passiva van de entiteit.</w:t>
            </w:r>
            <w:r>
              <w:rPr>
                <w:color w:val="000000" w:themeColor="text1"/>
              </w:rPr>
              <w:t xml:space="preserve"> </w:t>
            </w:r>
            <w:r>
              <w:rPr>
                <w:color w:val="000000" w:themeColor="text1"/>
              </w:rPr>
              <w:t xml:space="preserve">Er is één kolom per rang bij insolventie.</w:t>
            </w:r>
            <w:r>
              <w:rPr>
                <w:color w:val="000000" w:themeColor="text1"/>
              </w:rPr>
              <w:t xml:space="preserve"> </w:t>
            </w:r>
            <w:r>
              <w:rPr>
                <w:color w:val="000000" w:themeColor="text1"/>
              </w:rPr>
              <w:t xml:space="preserve">De beschrijving moet een specificatie bevatten van de soorten vorderingen binnen die rang bij insolventie (bv. tier 1-kernkapitaal, tier 2-instrumenten).</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 xml:space="preserve">2</w:t>
            </w:r>
          </w:p>
        </w:tc>
        <w:tc>
          <w:tcPr>
            <w:tcW w:w="7655" w:type="dxa"/>
          </w:tcPr>
          <w:p w14:paraId="649ECD5E" w14:textId="0534C38B" w:rsidR="001D5616" w:rsidRPr="0008623B" w:rsidRDefault="00367DF1"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Passiva en eigen vermogen</w:t>
            </w:r>
          </w:p>
          <w:p w14:paraId="6CEB4608" w14:textId="77777777" w:rsidR="003D2D85" w:rsidRPr="0008623B" w:rsidRDefault="003D2D85" w:rsidP="003D2D85">
            <w:pPr>
              <w:pStyle w:val="Applicationdirecte"/>
              <w:spacing w:before="120"/>
              <w:rPr>
                <w:color w:val="000000" w:themeColor="text1"/>
              </w:rPr>
            </w:pPr>
            <w:r>
              <w:rPr>
                <w:color w:val="000000" w:themeColor="text1"/>
              </w:rPr>
              <w:t xml:space="preserve">Het bedrag aan eigen vermogen, in aanmerking komende passiva en passiva met een rang lager dan of gelijk aan eigen vermogen en in aanmerking komende passiva.</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Dit omvat ook passiva die van bail-in zijn uitgesloten.</w:t>
            </w:r>
            <w:r>
              <w:t xml:space="preserve"> </w:t>
            </w:r>
          </w:p>
          <w:p w14:paraId="3B3981A4" w14:textId="543E66EA" w:rsidR="003D2D85" w:rsidRPr="0008623B" w:rsidRDefault="008348B0" w:rsidP="00640F37">
            <w:pPr>
              <w:pStyle w:val="Fait"/>
            </w:pPr>
            <w:r>
              <w:t xml:space="preserve">Deze rij is niet van toepassing in template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 xml:space="preserve">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 xml:space="preserve">Passiva en eigen vermogen – Waarvan uitgesloten passiva</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 xml:space="preserve">Uitsplitsing van de passiva die zijn uitgesloten overeenkomstig artikel 72 bis, lid 2, van Verordening (EU) nr. 575/2013 of artikel 44, lid 2, van Richtlijn 2014/59/EU en, in voorkomend geval, artikel 44, lid 3, van die richtlijn.</w:t>
            </w:r>
          </w:p>
          <w:p w14:paraId="6E4598A5" w14:textId="066BD409" w:rsidR="003D2D85" w:rsidRPr="0008623B" w:rsidRDefault="008348B0"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is niet van toepassing in template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 xml:space="preserve">4</w:t>
            </w:r>
          </w:p>
        </w:tc>
        <w:tc>
          <w:tcPr>
            <w:tcW w:w="7655" w:type="dxa"/>
          </w:tcPr>
          <w:p w14:paraId="67B3F8CE" w14:textId="50557F36" w:rsidR="001D5616" w:rsidRPr="0008623B" w:rsidRDefault="00367DF1" w:rsidP="001D5616">
            <w:pPr>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Passiva en eigen vermogen minus uitgesloten passiva</w:t>
            </w:r>
          </w:p>
          <w:p w14:paraId="09D8C04D" w14:textId="0C90618C" w:rsidR="001D5616" w:rsidRPr="0008623B" w:rsidRDefault="00367DF1" w:rsidP="001D5616">
            <w:pPr>
              <w:jc w:val="both"/>
              <w:rPr>
                <w:color w:val="000000" w:themeColor="text1"/>
                <w:szCs w:val="24"/>
              </w:rPr>
            </w:pPr>
            <w:r>
              <w:rPr>
                <w:color w:val="000000" w:themeColor="text1"/>
                <w:sz w:val="24"/>
                <w:rFonts w:ascii="Times New Roman" w:hAnsi="Times New Roman"/>
              </w:rPr>
              <w:t xml:space="preserve">Passiva en eigen vermogen, ongerekend uitgesloten passiva.</w:t>
            </w:r>
            <w:r>
              <w:rPr>
                <w:color w:val="000000" w:themeColor="text1"/>
              </w:rPr>
              <w:t xml:space="preserve"> </w:t>
            </w:r>
          </w:p>
          <w:p w14:paraId="4C2B3296" w14:textId="5FECF8AC" w:rsidR="003D2D85" w:rsidRPr="0008623B" w:rsidRDefault="008348B0" w:rsidP="001D5616">
            <w:pPr>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Deze rij is niet van toepassing in template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5</w:t>
            </w:r>
          </w:p>
        </w:tc>
        <w:tc>
          <w:tcPr>
            <w:tcW w:w="7655" w:type="dxa"/>
          </w:tcPr>
          <w:p w14:paraId="3A72D26C" w14:textId="33DDDACD" w:rsidR="001D5616" w:rsidRPr="0008623B" w:rsidRDefault="001D5616" w:rsidP="001D5616">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Subset passiva en eigen vermogen minus uitgesloten passiva die in aanmerking kunnen komen om aan MREL/TLAC te voldoen</w:t>
            </w:r>
          </w:p>
          <w:p w14:paraId="4D791BCD" w14:textId="72DDE991" w:rsidR="001D5616" w:rsidRPr="0008623B" w:rsidRDefault="001D5616" w:rsidP="008B671A">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Uitsplitsing van het bedrag aan eigen vermogen en passiva die in aanmerking komen voor het MREL of voor het TLAC, zoals van toepassing overeenkomstig punt 19 hiervoor, zonder toepassing van de plafonds voor de erkenning van niet-achtergestelde passiva.</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208DFDB8" w14:textId="6F2FB385"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1 jaar en &lt; 2 jaar</w:t>
            </w:r>
            <w:r>
              <w:rPr>
                <w:b/>
                <w:color w:val="000000" w:themeColor="text1"/>
                <w:sz w:val="24"/>
                <w:rFonts w:ascii="Times New Roman" w:hAnsi="Times New Roman"/>
              </w:rPr>
              <w:t xml:space="preserve"> </w:t>
            </w:r>
          </w:p>
          <w:p w14:paraId="024B38D7" w14:textId="23586DB1"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5 met de desbetreffende resterende looptijd.</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1A0F18F5" w14:textId="1406EA6F"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2 jaar en &lt; 5 jaar</w:t>
            </w:r>
          </w:p>
          <w:p w14:paraId="503D3ECD" w14:textId="3E0914A8"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5 met de desbetreffende resterende looptijd.</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385E6CA6" w14:textId="685C543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5 jaar en &lt; 10 jaar</w:t>
            </w:r>
          </w:p>
          <w:p w14:paraId="197AF3C0" w14:textId="56872A6F"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5 met de desbetreffende resterende looptijd.</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9</w:t>
            </w:r>
          </w:p>
        </w:tc>
        <w:tc>
          <w:tcPr>
            <w:tcW w:w="7655" w:type="dxa"/>
          </w:tcPr>
          <w:p w14:paraId="18D5EBD6" w14:textId="39172B5A"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resterende looptijd ≥ 10 jaar, doch met uitsluiting van eeuwigdurende effecten</w:t>
            </w:r>
          </w:p>
          <w:p w14:paraId="61C53A18" w14:textId="6ED02288"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5 met de desbetreffende resterende looptijd.</w:t>
            </w:r>
            <w:r>
              <w:rPr>
                <w:color w:val="000000" w:themeColor="text1"/>
                <w:sz w:val="24"/>
                <w:rFonts w:ascii="Times New Roman" w:hAnsi="Times New Roman"/>
              </w:rPr>
              <w:t xml:space="preserv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0862BE8" w14:textId="48E6FB1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Waarvan eeuwigdurende effecten</w:t>
            </w:r>
          </w:p>
          <w:p w14:paraId="364F102A" w14:textId="35E5C977" w:rsidR="001D5616" w:rsidRPr="00F7311F"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Subset van rij 5 die eeuwigdurende effecten zijn.</w:t>
            </w:r>
            <w:r>
              <w:rPr>
                <w:color w:val="000000" w:themeColor="text1"/>
                <w:sz w:val="24"/>
                <w:rFonts w:ascii="Times New Roman" w:hAnsi="Times New Roman"/>
              </w:rPr>
              <w:t xml:space="preserve"> </w:t>
            </w:r>
          </w:p>
        </w:tc>
      </w:tr>
    </w:tbl>
    <w:p w14:paraId="727A9C45" w14:textId="513EB7A2" w:rsidR="002E3F40" w:rsidRPr="00DE7C85" w:rsidRDefault="00676354" w:rsidP="00AA4A01">
      <w:pPr>
        <w:pStyle w:val="body"/>
      </w:pPr>
      <w:r>
        <w:t xml:space="preserve">“</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t xml:space="preserve">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dirty" w:grammar="dirty"/>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63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69"/>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val="nl-NL"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nl-NL"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val="nl-NL"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val="nl-NL"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nl-NL"/>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nl-NL"/>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nl-NL"/>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lang w:val="nl-NL"/>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nl-NL"/>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nl-NL"/>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nl-NL"/>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nl-NL"/>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nl-NL"/>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nl-NL"/>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nl-NL"/>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nl-NL"/>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nl-NL"/>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nl-NL"/>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val="nl-NL"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val="nl-NL" w:eastAsia="en-GB"/>
    </w:rPr>
  </w:style>
  <w:style w:type="paragraph" w:customStyle="1" w:styleId="CM1">
    <w:name w:val="CM1"/>
    <w:basedOn w:val="Default"/>
    <w:next w:val="Default"/>
    <w:uiPriority w:val="99"/>
    <w:rsid w:val="00597146"/>
    <w:rPr>
      <w:rFonts w:ascii="EUAlbertina" w:eastAsiaTheme="minorEastAsia" w:hAnsi="EUAlbertina" w:cstheme="minorBidi"/>
      <w:color w:val="auto"/>
      <w:lang w:val="nl-NL"/>
    </w:rPr>
  </w:style>
  <w:style w:type="paragraph" w:customStyle="1" w:styleId="CM3">
    <w:name w:val="CM3"/>
    <w:basedOn w:val="Default"/>
    <w:next w:val="Default"/>
    <w:uiPriority w:val="99"/>
    <w:rsid w:val="00597146"/>
    <w:rPr>
      <w:rFonts w:ascii="EUAlbertina" w:eastAsiaTheme="minorEastAsia" w:hAnsi="EUAlbertina" w:cstheme="minorBidi"/>
      <w:color w:val="auto"/>
      <w:lang w:val="nl-NL"/>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lang w:val="nl-NL"/>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lang w:val="nl-NL"/>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lang w:val="nl-NL"/>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val="nl-NL"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nl-NL"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8333</Words>
  <Characters>44166</Characters>
  <Application>Microsoft Office Word</Application>
  <DocSecurity>4</DocSecurity>
  <Lines>1003</Lines>
  <Paragraphs>570</Paragraphs>
  <ScaleCrop>false</ScaleCrop>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