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55038" w14:textId="40D10931" w:rsidR="00676354" w:rsidRPr="0001617D" w:rsidRDefault="00676354" w:rsidP="0099485B">
      <w:pPr>
        <w:jc w:val="center"/>
        <w:rPr>
          <w:rFonts w:ascii="Times New Roman" w:hAnsi="Times New Roman"/>
          <w:b/>
          <w:sz w:val="24"/>
          <w:u w:val="single"/>
        </w:rPr>
      </w:pPr>
      <w:bookmarkStart w:id="0" w:name="_Toc298787969"/>
      <w:bookmarkStart w:id="1" w:name="_Toc298788158"/>
      <w:bookmarkStart w:id="2" w:name="_Toc298788641"/>
      <w:bookmarkStart w:id="3" w:name="_Toc305686691"/>
      <w:bookmarkStart w:id="4" w:name="_Toc306350093"/>
      <w:bookmarkStart w:id="5" w:name="_Toc306350113"/>
      <w:bookmarkStart w:id="6" w:name="_Toc331517265"/>
      <w:bookmarkStart w:id="7" w:name="_Toc245891774"/>
      <w:bookmarkStart w:id="8" w:name="_Toc238803087"/>
      <w:bookmarkStart w:id="9" w:name="_Toc238803888"/>
      <w:r>
        <w:rPr>
          <w:rFonts w:ascii="Times New Roman" w:hAnsi="Times New Roman"/>
          <w:b/>
          <w:sz w:val="24"/>
          <w:u w:val="single"/>
        </w:rPr>
        <w:t>DE</w:t>
      </w:r>
    </w:p>
    <w:p w14:paraId="39DA4C9C" w14:textId="5F2E6493" w:rsidR="00385DE1" w:rsidRPr="0001617D" w:rsidRDefault="00385DE1" w:rsidP="0099485B">
      <w:pPr>
        <w:jc w:val="center"/>
        <w:rPr>
          <w:rFonts w:ascii="Times New Roman" w:hAnsi="Times New Roman"/>
          <w:b/>
          <w:sz w:val="24"/>
          <w:u w:val="single"/>
        </w:rPr>
      </w:pPr>
      <w:r>
        <w:rPr>
          <w:rFonts w:ascii="Times New Roman" w:hAnsi="Times New Roman"/>
          <w:b/>
          <w:sz w:val="24"/>
          <w:u w:val="single"/>
        </w:rPr>
        <w:t>ANHANG IV</w:t>
      </w:r>
    </w:p>
    <w:p w14:paraId="66B07866" w14:textId="77777777" w:rsidR="00385DE1" w:rsidRPr="004A008C" w:rsidRDefault="00385DE1" w:rsidP="0099485B">
      <w:pPr>
        <w:jc w:val="center"/>
        <w:rPr>
          <w:rFonts w:ascii="Times New Roman" w:hAnsi="Times New Roman"/>
          <w:b/>
          <w:sz w:val="24"/>
        </w:rPr>
      </w:pPr>
    </w:p>
    <w:p w14:paraId="1D3B5C40" w14:textId="50B78FAF" w:rsidR="0001617D" w:rsidRPr="0001617D" w:rsidRDefault="0001617D" w:rsidP="0001617D">
      <w:pPr>
        <w:spacing w:before="120" w:after="120" w:line="240" w:lineRule="auto"/>
        <w:jc w:val="center"/>
        <w:rPr>
          <w:rFonts w:ascii="Times New Roman" w:eastAsia="Times New Roman" w:hAnsi="Times New Roman" w:cs="Times New Roman"/>
          <w:b/>
          <w:sz w:val="24"/>
          <w:szCs w:val="24"/>
        </w:rPr>
      </w:pPr>
      <w:r>
        <w:rPr>
          <w:rFonts w:ascii="Times New Roman" w:hAnsi="Times New Roman"/>
          <w:b/>
          <w:sz w:val="24"/>
        </w:rPr>
        <w:t>OFFENLEGUNG DER MINDESTANFORDERUNG AN EIGENMITTEL UND BERÜCKSICHTIGUNGSFÄHIGE VERBINDLICHKEITEN – ERLÄUTERUNGEN</w:t>
      </w:r>
    </w:p>
    <w:p w14:paraId="7E4782B7" w14:textId="77777777" w:rsidR="00940030" w:rsidRPr="004A008C" w:rsidRDefault="00940030" w:rsidP="00940030"/>
    <w:p w14:paraId="6E12AAF5" w14:textId="3E457CEA" w:rsidR="00940030" w:rsidRPr="0008623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r>
        <w:rPr>
          <w:rFonts w:ascii="Times New Roman" w:hAnsi="Times New Roman"/>
          <w:color w:val="auto"/>
          <w:sz w:val="24"/>
        </w:rPr>
        <w:t>1.</w:t>
      </w:r>
      <w:r>
        <w:rPr>
          <w:rFonts w:ascii="Times New Roman" w:hAnsi="Times New Roman"/>
          <w:color w:val="auto"/>
          <w:sz w:val="24"/>
        </w:rPr>
        <w:tab/>
        <w:t>Allgemeine Hinweise: Aufbau und Konventionen</w:t>
      </w:r>
    </w:p>
    <w:p w14:paraId="6CFEBC53" w14:textId="59A6818A" w:rsidR="0065594A" w:rsidRPr="0008623B" w:rsidRDefault="0065594A" w:rsidP="002A5117">
      <w:pPr>
        <w:pStyle w:val="Numberedtilelevel1"/>
        <w:keepNext/>
        <w:pBdr>
          <w:bottom w:val="none" w:sz="0" w:space="0" w:color="auto"/>
        </w:pBdr>
        <w:spacing w:before="240" w:after="240" w:line="240" w:lineRule="auto"/>
        <w:ind w:left="792" w:hanging="432"/>
        <w:jc w:val="both"/>
        <w:outlineLvl w:val="1"/>
        <w:rPr>
          <w:rFonts w:ascii="Times New Roman" w:eastAsia="Arial" w:hAnsi="Times New Roman" w:cs="Times New Roman"/>
          <w:color w:val="auto"/>
          <w:spacing w:val="0"/>
          <w:kern w:val="0"/>
          <w:sz w:val="24"/>
          <w:szCs w:val="24"/>
        </w:rPr>
      </w:pPr>
      <w:bookmarkStart w:id="10" w:name="_Toc360188319"/>
      <w:bookmarkStart w:id="11" w:name="_Toc473560867"/>
      <w:bookmarkStart w:id="12" w:name="_Toc15294522"/>
      <w:bookmarkStart w:id="13" w:name="_Toc264038399"/>
      <w:bookmarkStart w:id="14" w:name="_Toc294018834"/>
      <w:r>
        <w:rPr>
          <w:rFonts w:ascii="Times New Roman" w:hAnsi="Times New Roman"/>
          <w:color w:val="auto"/>
          <w:sz w:val="24"/>
        </w:rPr>
        <w:t>1.1</w:t>
      </w:r>
      <w:r>
        <w:rPr>
          <w:rFonts w:ascii="Times New Roman" w:hAnsi="Times New Roman"/>
          <w:color w:val="auto"/>
          <w:sz w:val="24"/>
        </w:rPr>
        <w:tab/>
        <w:t>Aufbau</w:t>
      </w:r>
      <w:bookmarkEnd w:id="10"/>
      <w:bookmarkEnd w:id="11"/>
      <w:bookmarkEnd w:id="12"/>
    </w:p>
    <w:p w14:paraId="038BA668" w14:textId="1D5FE25B" w:rsidR="0065594A" w:rsidRPr="0008623B" w:rsidRDefault="0065594A" w:rsidP="00B62DC9">
      <w:pPr>
        <w:pStyle w:val="InstructionsText2"/>
        <w:numPr>
          <w:ilvl w:val="0"/>
          <w:numId w:val="12"/>
        </w:numPr>
      </w:pPr>
      <w:r>
        <w:t>Dieser Rahmen für die Offenlegung bezüglich MREL und TLAC besteht aus drei Gruppen von Meldebögen:</w:t>
      </w:r>
    </w:p>
    <w:p w14:paraId="160EDC16" w14:textId="5C67882C" w:rsidR="00AB77FD" w:rsidRPr="0008623B" w:rsidRDefault="00AB77FD" w:rsidP="003913ED">
      <w:pPr>
        <w:pStyle w:val="InstructionsText2"/>
        <w:numPr>
          <w:ilvl w:val="1"/>
          <w:numId w:val="15"/>
        </w:numPr>
      </w:pPr>
      <w:r>
        <w:t>MREL und TLAC von Abwicklungsgruppen und Abwicklungseinheiten;</w:t>
      </w:r>
    </w:p>
    <w:p w14:paraId="531DF249" w14:textId="0719D053" w:rsidR="00AB77FD" w:rsidRPr="0008623B" w:rsidRDefault="00AB77FD" w:rsidP="00B62DC9">
      <w:pPr>
        <w:pStyle w:val="InstructionsText2"/>
        <w:numPr>
          <w:ilvl w:val="1"/>
          <w:numId w:val="15"/>
        </w:numPr>
      </w:pPr>
      <w:r>
        <w:t>MREL und TLAC von Unternehmen, bei denen es sich nicht um Abwicklungseinheiten handelt, sowie von bedeutenden Tochterunternehmen global systemrelevanter Institute (G-SRI) aus Nicht-EU-Ländern;</w:t>
      </w:r>
    </w:p>
    <w:p w14:paraId="3EE4CEDD" w14:textId="5B2484DA" w:rsidR="00AB77FD" w:rsidRPr="0008623B" w:rsidRDefault="00AB77FD" w:rsidP="00B62DC9">
      <w:pPr>
        <w:pStyle w:val="InstructionsText2"/>
        <w:numPr>
          <w:ilvl w:val="1"/>
          <w:numId w:val="15"/>
        </w:numPr>
      </w:pPr>
      <w:r>
        <w:t>Rangfolge der Gläubiger von emittierenden Unternehmen.</w:t>
      </w:r>
    </w:p>
    <w:p w14:paraId="1ED5F5C4" w14:textId="551A7AA0" w:rsidR="0065594A" w:rsidRPr="0008623B" w:rsidRDefault="0065594A" w:rsidP="00B62DC9">
      <w:pPr>
        <w:pStyle w:val="InstructionsText2"/>
        <w:numPr>
          <w:ilvl w:val="0"/>
          <w:numId w:val="12"/>
        </w:numPr>
      </w:pPr>
      <w:r>
        <w:t>Zu jedem Meldebogen werden Rechtsgrundlagen angegeben. Dieser Anhang enthält weitere Einzelheiten zu allgemeineren Aspekten der Meldungen für die einzelnen Meldebogensätze sowie Erläuterungen zu spezifischen Positionen.</w:t>
      </w:r>
    </w:p>
    <w:p w14:paraId="13B7702A" w14:textId="70815289" w:rsidR="0065594A" w:rsidRPr="0008623B" w:rsidRDefault="002A5117" w:rsidP="002A5117">
      <w:pPr>
        <w:pStyle w:val="Numberedtilelevel1"/>
        <w:keepNext/>
        <w:pBdr>
          <w:bottom w:val="none" w:sz="0" w:space="0" w:color="auto"/>
        </w:pBdr>
        <w:spacing w:before="240" w:after="240" w:line="240" w:lineRule="auto"/>
        <w:ind w:left="792" w:hanging="432"/>
        <w:jc w:val="both"/>
        <w:outlineLvl w:val="1"/>
        <w:rPr>
          <w:rFonts w:ascii="Times New Roman" w:eastAsia="Arial" w:hAnsi="Times New Roman" w:cs="Times New Roman"/>
          <w:color w:val="auto"/>
          <w:spacing w:val="0"/>
          <w:kern w:val="0"/>
          <w:sz w:val="24"/>
          <w:szCs w:val="24"/>
        </w:rPr>
      </w:pPr>
      <w:bookmarkStart w:id="15" w:name="_Toc360188320"/>
      <w:bookmarkStart w:id="16" w:name="_Toc473560868"/>
      <w:bookmarkStart w:id="17" w:name="_Toc15294523"/>
      <w:r>
        <w:rPr>
          <w:rFonts w:ascii="Times New Roman" w:hAnsi="Times New Roman"/>
          <w:color w:val="auto"/>
          <w:sz w:val="24"/>
        </w:rPr>
        <w:t>1.</w:t>
      </w:r>
      <w:bookmarkStart w:id="18" w:name="_Toc15294525"/>
      <w:bookmarkEnd w:id="13"/>
      <w:bookmarkEnd w:id="14"/>
      <w:bookmarkEnd w:id="15"/>
      <w:bookmarkEnd w:id="16"/>
      <w:bookmarkEnd w:id="17"/>
      <w:r>
        <w:rPr>
          <w:rFonts w:ascii="Times New Roman" w:hAnsi="Times New Roman"/>
          <w:color w:val="auto"/>
          <w:sz w:val="24"/>
        </w:rPr>
        <w:t>2</w:t>
      </w:r>
      <w:r>
        <w:rPr>
          <w:rFonts w:ascii="Times New Roman" w:hAnsi="Times New Roman"/>
          <w:color w:val="auto"/>
          <w:sz w:val="24"/>
        </w:rPr>
        <w:tab/>
        <w:t>Abkürzungen</w:t>
      </w:r>
      <w:bookmarkEnd w:id="18"/>
    </w:p>
    <w:p w14:paraId="7F56C9B4" w14:textId="1EA8178A" w:rsidR="0065594A" w:rsidRPr="0008623B" w:rsidRDefault="0065594A" w:rsidP="00B62DC9">
      <w:pPr>
        <w:pStyle w:val="InstructionsText2"/>
        <w:numPr>
          <w:ilvl w:val="0"/>
          <w:numId w:val="12"/>
        </w:numPr>
      </w:pPr>
      <w:r>
        <w:t>In den Anhängen der vorliegenden Verordnung werden die folgenden Abkürzungen verwendet:</w:t>
      </w:r>
    </w:p>
    <w:p w14:paraId="7AA24AF3" w14:textId="620DCF86" w:rsidR="0065594A" w:rsidRPr="0008623B" w:rsidRDefault="00B96861" w:rsidP="003913ED">
      <w:pPr>
        <w:pStyle w:val="InstructionsText2"/>
        <w:numPr>
          <w:ilvl w:val="0"/>
          <w:numId w:val="31"/>
        </w:numPr>
      </w:pPr>
      <w:r>
        <w:t xml:space="preserve"> „MREL“: Mindestanforderung an Eigenmittel und berücksichtigungsfähige Verbindlichkeiten gemäß Artikel 45 der Richtlinie 2014/59/EU;</w:t>
      </w:r>
    </w:p>
    <w:p w14:paraId="3F223F84" w14:textId="14E43992" w:rsidR="0065594A" w:rsidRPr="0008623B" w:rsidRDefault="0065594A" w:rsidP="00B62DC9">
      <w:pPr>
        <w:pStyle w:val="InstructionsText2"/>
        <w:numPr>
          <w:ilvl w:val="0"/>
          <w:numId w:val="31"/>
        </w:numPr>
      </w:pPr>
      <w:r>
        <w:t>„TLAC“: Mindestanforderung an Eigenmittel und berücksichtigungsfähige Verbindlichkeiten für G-SRI gemäß Artikel 92a der Verordnung (EU) Nr. 575/2013;</w:t>
      </w:r>
    </w:p>
    <w:p w14:paraId="1FEB92E2" w14:textId="1715F9BB" w:rsidR="0065594A" w:rsidRPr="0008623B" w:rsidRDefault="0065594A" w:rsidP="00B62DC9">
      <w:pPr>
        <w:pStyle w:val="InstructionsText2"/>
        <w:numPr>
          <w:ilvl w:val="0"/>
          <w:numId w:val="31"/>
        </w:numPr>
      </w:pPr>
      <w:r>
        <w:t>„Interne TLAC“: Mindestanforderung an Eigenmittel und berücksichtigungsfähige Verbindlichkeiten für Nicht-EU-G-SRI gemäß Artikel 92b der Verordnung (EU) Nr. 575/2013;</w:t>
      </w:r>
    </w:p>
    <w:p w14:paraId="41F598D3" w14:textId="411A41F7" w:rsidR="0097126E" w:rsidRPr="0008623B" w:rsidRDefault="0097126E" w:rsidP="0073688E">
      <w:pPr>
        <w:pStyle w:val="ListParagraph"/>
        <w:numPr>
          <w:ilvl w:val="0"/>
          <w:numId w:val="31"/>
        </w:numPr>
      </w:pPr>
      <w:r>
        <w:rPr>
          <w:rFonts w:ascii="Times New Roman" w:hAnsi="Times New Roman"/>
          <w:sz w:val="24"/>
        </w:rPr>
        <w:t xml:space="preserve">„Interne MREL“: MREL für Unternehmen, die selbst keine Abwicklungseinheiten sind, gemäß Artikel 45f der Richtlinie 2014/59/EU. </w:t>
      </w:r>
    </w:p>
    <w:p w14:paraId="0BC0B9FF" w14:textId="6844CE8C" w:rsidR="00B43E07" w:rsidRPr="0008623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19" w:name="_Toc264033192"/>
      <w:bookmarkEnd w:id="19"/>
      <w:r>
        <w:rPr>
          <w:rFonts w:ascii="Times New Roman" w:hAnsi="Times New Roman"/>
          <w:color w:val="auto"/>
          <w:sz w:val="24"/>
        </w:rPr>
        <w:lastRenderedPageBreak/>
        <w:t>2.</w:t>
      </w:r>
      <w:r>
        <w:rPr>
          <w:rFonts w:ascii="Times New Roman" w:hAnsi="Times New Roman"/>
          <w:color w:val="auto"/>
          <w:sz w:val="24"/>
        </w:rPr>
        <w:tab/>
      </w:r>
      <w:bookmarkStart w:id="20" w:name="_Toc45266923"/>
      <w:bookmarkStart w:id="21" w:name="_Toc45266924"/>
      <w:bookmarkStart w:id="22" w:name="_Toc45266925"/>
      <w:bookmarkStart w:id="23" w:name="_Toc14770635"/>
      <w:bookmarkStart w:id="24" w:name="_Toc45266926"/>
      <w:bookmarkEnd w:id="20"/>
      <w:bookmarkEnd w:id="21"/>
      <w:bookmarkEnd w:id="22"/>
      <w:r>
        <w:rPr>
          <w:rFonts w:ascii="Times New Roman" w:hAnsi="Times New Roman"/>
          <w:color w:val="auto"/>
          <w:sz w:val="24"/>
        </w:rPr>
        <w:t>EU KM2: Schlüsselparameter – MREL und, falls zutreffend, G-SRI-Anforderung an Eigenmittel und berücksichtigungsfähige Verbindlichkeiten</w:t>
      </w:r>
      <w:bookmarkEnd w:id="23"/>
      <w:bookmarkEnd w:id="24"/>
    </w:p>
    <w:p w14:paraId="7C25FB3D" w14:textId="5B7ACB83" w:rsidR="001D5361" w:rsidRPr="0008623B" w:rsidRDefault="00CB1021" w:rsidP="00B62DC9">
      <w:pPr>
        <w:pStyle w:val="InstructionsText2"/>
        <w:numPr>
          <w:ilvl w:val="0"/>
          <w:numId w:val="12"/>
        </w:numPr>
      </w:pPr>
      <w:r>
        <w:t>In den Erläuterungen zum Meldebogen erläutern die Unternehmen alle wesentlichen Unterschiede zwischen den offengelegten Eigenmittelbeträgen und dem vollständig nach IFRS 9 ermittelten Betrag auf Ebene der Abwicklungsgruppe. Ferner sind alle wesentlichen Unterschiede zwischen dem vollständig nach IFRS 9 ermittelten Betrag auf Ebene der Abwicklungsgruppe und dem vollständig nach IFRS 9 ermittelten Betrag auf der aufsichtlichen Ebene der Gruppe zu erläutern.</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026FC1" w:rsidRPr="0008623B" w14:paraId="534A9C03" w14:textId="77777777" w:rsidTr="00915305">
        <w:trPr>
          <w:trHeight w:val="238"/>
        </w:trPr>
        <w:tc>
          <w:tcPr>
            <w:tcW w:w="1384" w:type="dxa"/>
            <w:shd w:val="clear" w:color="auto" w:fill="D9D9D9" w:themeFill="background1" w:themeFillShade="D9"/>
          </w:tcPr>
          <w:p w14:paraId="44B24714" w14:textId="77777777" w:rsidR="006D4640" w:rsidRPr="0008623B" w:rsidRDefault="006D4640" w:rsidP="00915305">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Spalten</w:t>
            </w:r>
          </w:p>
        </w:tc>
        <w:tc>
          <w:tcPr>
            <w:tcW w:w="7655" w:type="dxa"/>
            <w:shd w:val="clear" w:color="auto" w:fill="D9D9D9" w:themeFill="background1" w:themeFillShade="D9"/>
          </w:tcPr>
          <w:p w14:paraId="065DB08C" w14:textId="663D1380" w:rsidR="006D4640" w:rsidRPr="0008623B" w:rsidRDefault="00E46262" w:rsidP="00915305">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Rechtsgrundlagen und Erläuterungen</w:t>
            </w:r>
          </w:p>
        </w:tc>
      </w:tr>
      <w:tr w:rsidR="00BB516B" w:rsidRPr="0008623B" w14:paraId="5E930C2C" w14:textId="77777777" w:rsidTr="00807127">
        <w:trPr>
          <w:trHeight w:val="637"/>
        </w:trPr>
        <w:tc>
          <w:tcPr>
            <w:tcW w:w="1384" w:type="dxa"/>
          </w:tcPr>
          <w:p w14:paraId="3149647C" w14:textId="54230E4A" w:rsidR="00BB516B" w:rsidRPr="0008623B" w:rsidDel="00DE6BC1" w:rsidRDefault="00BB516B" w:rsidP="003F5FDC">
            <w:pPr>
              <w:pStyle w:val="Applicationdirecte"/>
              <w:spacing w:before="120"/>
              <w:rPr>
                <w:color w:val="000000" w:themeColor="text1"/>
                <w:szCs w:val="24"/>
              </w:rPr>
            </w:pPr>
            <w:r>
              <w:rPr>
                <w:color w:val="000000" w:themeColor="text1"/>
              </w:rPr>
              <w:t>a</w:t>
            </w:r>
          </w:p>
        </w:tc>
        <w:tc>
          <w:tcPr>
            <w:tcW w:w="7655" w:type="dxa"/>
          </w:tcPr>
          <w:p w14:paraId="67A0C6A1" w14:textId="614E3ECA" w:rsidR="00BB516B" w:rsidRPr="0008623B" w:rsidRDefault="008C2E99" w:rsidP="00807127">
            <w:pPr>
              <w:autoSpaceDE w:val="0"/>
              <w:autoSpaceDN w:val="0"/>
              <w:adjustRightInd w:val="0"/>
              <w:spacing w:before="120" w:after="120"/>
              <w:rPr>
                <w:rFonts w:ascii="Times New Roman" w:hAnsi="Times New Roman" w:cs="Times New Roman"/>
                <w:color w:val="000000" w:themeColor="text1"/>
                <w:sz w:val="24"/>
                <w:szCs w:val="24"/>
              </w:rPr>
            </w:pPr>
            <w:r>
              <w:rPr>
                <w:rFonts w:ascii="Times New Roman" w:hAnsi="Times New Roman"/>
                <w:color w:val="000000" w:themeColor="text1"/>
                <w:sz w:val="24"/>
              </w:rPr>
              <w:t>In dieser Spalte geben die Unternehmen die relevanten Informationen über die MREL in Übereinstimmung mit den Artikeln 45 und 45e der Richtlinie 2014/59/EU an.</w:t>
            </w:r>
          </w:p>
          <w:p w14:paraId="430CD6A3" w14:textId="4273F292" w:rsidR="00BB516B" w:rsidRPr="0008623B" w:rsidRDefault="008C2E99" w:rsidP="008C2E99">
            <w:pPr>
              <w:autoSpaceDE w:val="0"/>
              <w:autoSpaceDN w:val="0"/>
              <w:adjustRightInd w:val="0"/>
              <w:spacing w:before="120" w:after="120"/>
              <w:rPr>
                <w:rFonts w:ascii="Times New Roman" w:hAnsi="Times New Roman" w:cs="Times New Roman"/>
                <w:color w:val="000000" w:themeColor="text1"/>
                <w:sz w:val="24"/>
                <w:szCs w:val="24"/>
              </w:rPr>
            </w:pPr>
            <w:r>
              <w:rPr>
                <w:rFonts w:ascii="Times New Roman" w:hAnsi="Times New Roman"/>
                <w:color w:val="000000" w:themeColor="text1"/>
                <w:sz w:val="24"/>
              </w:rPr>
              <w:t>Anzugeben ist der Wert zum Ende des Offenlegungszeitraums.</w:t>
            </w:r>
          </w:p>
        </w:tc>
      </w:tr>
      <w:tr w:rsidR="00DE6BC1" w:rsidRPr="0008623B" w14:paraId="7B5301DE" w14:textId="77777777" w:rsidTr="00915305">
        <w:trPr>
          <w:trHeight w:val="637"/>
        </w:trPr>
        <w:tc>
          <w:tcPr>
            <w:tcW w:w="1384" w:type="dxa"/>
          </w:tcPr>
          <w:p w14:paraId="6F6942E8" w14:textId="11CBC8E4" w:rsidR="00DE6BC1" w:rsidRPr="0008623B" w:rsidDel="00DE6BC1" w:rsidRDefault="00B96861" w:rsidP="00BB516B">
            <w:pPr>
              <w:pStyle w:val="Applicationdirecte"/>
              <w:spacing w:before="120"/>
              <w:rPr>
                <w:color w:val="000000" w:themeColor="text1"/>
                <w:szCs w:val="24"/>
              </w:rPr>
            </w:pPr>
            <w:r>
              <w:rPr>
                <w:color w:val="000000" w:themeColor="text1"/>
              </w:rPr>
              <w:t>b bis f</w:t>
            </w:r>
          </w:p>
        </w:tc>
        <w:tc>
          <w:tcPr>
            <w:tcW w:w="7655" w:type="dxa"/>
          </w:tcPr>
          <w:p w14:paraId="330BD29E" w14:textId="441C1E3B" w:rsidR="00DE6BC1" w:rsidRPr="0008623B" w:rsidRDefault="008C2E99" w:rsidP="00DE6BC1">
            <w:pPr>
              <w:autoSpaceDE w:val="0"/>
              <w:autoSpaceDN w:val="0"/>
              <w:adjustRightInd w:val="0"/>
              <w:spacing w:before="120" w:after="120"/>
              <w:rPr>
                <w:rFonts w:ascii="Times New Roman" w:hAnsi="Times New Roman" w:cs="Times New Roman"/>
                <w:color w:val="000000" w:themeColor="text1"/>
                <w:sz w:val="24"/>
                <w:szCs w:val="24"/>
              </w:rPr>
            </w:pPr>
            <w:r>
              <w:rPr>
                <w:rFonts w:ascii="Times New Roman" w:hAnsi="Times New Roman"/>
                <w:color w:val="000000" w:themeColor="text1"/>
                <w:sz w:val="24"/>
              </w:rPr>
              <w:t xml:space="preserve">Unternehmen, die G-SRI sind und der TLAC-Anforderung gemäß Artikel 92a der Verordnung (EU) Nr. 575/2013 unterliegen, legen in diesen Spalten die relevanten Informationen zu dieser Anforderung offen. </w:t>
            </w:r>
          </w:p>
          <w:p w14:paraId="34389FB0" w14:textId="7C26C455" w:rsidR="00DE6BC1" w:rsidRPr="0008623B" w:rsidRDefault="00DE6BC1" w:rsidP="00401EDD">
            <w:pPr>
              <w:autoSpaceDE w:val="0"/>
              <w:autoSpaceDN w:val="0"/>
              <w:adjustRightInd w:val="0"/>
              <w:spacing w:before="120" w:after="120"/>
              <w:rPr>
                <w:rFonts w:ascii="Times New Roman" w:hAnsi="Times New Roman" w:cs="Times New Roman"/>
                <w:b/>
                <w:color w:val="000000" w:themeColor="text1"/>
                <w:sz w:val="24"/>
                <w:szCs w:val="24"/>
              </w:rPr>
            </w:pPr>
            <w:r>
              <w:rPr>
                <w:rFonts w:ascii="Times New Roman" w:hAnsi="Times New Roman"/>
                <w:sz w:val="24"/>
              </w:rPr>
              <w:t>Bei den Offenlegungszeiträumen T, T-1, T-2, T-3 und T-4 handelt es sich um vierteljährliche Zeiträume. Es sind die den Offenlegungszeiträumen entsprechenden Daten anzugeben. Unternehmen, die diese Informationen vierteljährlich offenlegen, müssen Daten für die Perioden T, T-1, T-2, T-3 und T-4 angeben, Unternehmen, die diese Informationen halbjährlich offenlegen, stellen Daten für die Zeiträume T, T-2 und T-4 zur Verfügung und Unternehmen, die diese Informationen jährlich offenlegen, stellen Daten für die Perioden T und T-4 zur Verfügung.</w:t>
            </w:r>
          </w:p>
        </w:tc>
      </w:tr>
    </w:tbl>
    <w:p w14:paraId="33309394" w14:textId="77777777" w:rsidR="009C13C2" w:rsidRPr="004A008C" w:rsidRDefault="009C13C2" w:rsidP="006D4640">
      <w:pPr>
        <w:rPr>
          <w:rFonts w:ascii="Times New Roman" w:hAnsi="Times New Roman" w:cs="Times New Roman"/>
          <w:noProof/>
          <w:color w:val="000000" w:themeColor="text1"/>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026FC1" w:rsidRPr="0008623B" w14:paraId="65A77E60" w14:textId="77777777" w:rsidTr="00915305">
        <w:trPr>
          <w:trHeight w:val="238"/>
        </w:trPr>
        <w:tc>
          <w:tcPr>
            <w:tcW w:w="1384" w:type="dxa"/>
            <w:shd w:val="clear" w:color="auto" w:fill="D9D9D9" w:themeFill="background1" w:themeFillShade="D9"/>
          </w:tcPr>
          <w:p w14:paraId="2C46BBB5" w14:textId="77777777" w:rsidR="006D4640" w:rsidRPr="0008623B" w:rsidRDefault="006D4640" w:rsidP="00915305">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Zeilen</w:t>
            </w:r>
          </w:p>
        </w:tc>
        <w:tc>
          <w:tcPr>
            <w:tcW w:w="7655" w:type="dxa"/>
            <w:shd w:val="clear" w:color="auto" w:fill="D9D9D9" w:themeFill="background1" w:themeFillShade="D9"/>
          </w:tcPr>
          <w:p w14:paraId="309BD783" w14:textId="35573839" w:rsidR="006D4640" w:rsidRPr="0008623B" w:rsidRDefault="00E46262" w:rsidP="00915305">
            <w:pPr>
              <w:autoSpaceDE w:val="0"/>
              <w:autoSpaceDN w:val="0"/>
              <w:adjustRightInd w:val="0"/>
              <w:rPr>
                <w:rFonts w:ascii="Times New Roman" w:hAnsi="Times New Roman" w:cs="Times New Roman"/>
                <w:color w:val="000000" w:themeColor="text1"/>
                <w:sz w:val="24"/>
                <w:szCs w:val="24"/>
              </w:rPr>
            </w:pPr>
            <w:r>
              <w:rPr>
                <w:rFonts w:ascii="Times New Roman" w:hAnsi="Times New Roman"/>
                <w:b/>
                <w:color w:val="000000" w:themeColor="text1"/>
                <w:sz w:val="24"/>
              </w:rPr>
              <w:t>Rechtsgrundlagen und Erläuterungen</w:t>
            </w:r>
          </w:p>
        </w:tc>
      </w:tr>
      <w:tr w:rsidR="00DF735F" w:rsidRPr="0008623B" w14:paraId="3E6E8E5C" w14:textId="77777777" w:rsidTr="005D18F8">
        <w:trPr>
          <w:trHeight w:val="1014"/>
        </w:trPr>
        <w:tc>
          <w:tcPr>
            <w:tcW w:w="1384" w:type="dxa"/>
          </w:tcPr>
          <w:p w14:paraId="2671D250" w14:textId="2BE97FB7" w:rsidR="00DF735F" w:rsidRPr="0008623B" w:rsidRDefault="00150101" w:rsidP="005D18F8">
            <w:pPr>
              <w:pStyle w:val="Applicationdirecte"/>
              <w:spacing w:before="120"/>
              <w:rPr>
                <w:color w:val="000000" w:themeColor="text1"/>
                <w:szCs w:val="24"/>
              </w:rPr>
            </w:pPr>
            <w:r>
              <w:rPr>
                <w:color w:val="000000" w:themeColor="text1"/>
              </w:rPr>
              <w:t>1</w:t>
            </w:r>
          </w:p>
        </w:tc>
        <w:tc>
          <w:tcPr>
            <w:tcW w:w="7655" w:type="dxa"/>
          </w:tcPr>
          <w:p w14:paraId="779E1D4D" w14:textId="3D6D105C" w:rsidR="00DF735F" w:rsidRPr="0008623B" w:rsidRDefault="00DF735F" w:rsidP="005D18F8">
            <w:pPr>
              <w:pStyle w:val="Applicationdirecte"/>
              <w:spacing w:before="120"/>
              <w:rPr>
                <w:b/>
                <w:color w:val="000000" w:themeColor="text1"/>
                <w:szCs w:val="24"/>
              </w:rPr>
            </w:pPr>
            <w:r>
              <w:rPr>
                <w:b/>
                <w:color w:val="000000" w:themeColor="text1"/>
              </w:rPr>
              <w:t>Eigenmittel und berücksichtigungsfähige Verbindlichkeiten</w:t>
            </w:r>
          </w:p>
          <w:p w14:paraId="0A140E20" w14:textId="2DF06A7B" w:rsidR="00DF735F" w:rsidRPr="0008623B" w:rsidRDefault="00DF735F" w:rsidP="00812B3B">
            <w:pPr>
              <w:spacing w:before="120" w:after="120" w:line="240" w:lineRule="auto"/>
              <w:jc w:val="both"/>
              <w:rPr>
                <w:rFonts w:ascii="Times New Roman" w:hAnsi="Times New Roman" w:cs="Times New Roman"/>
                <w:bCs/>
                <w:sz w:val="24"/>
              </w:rPr>
            </w:pPr>
            <w:r>
              <w:rPr>
                <w:rFonts w:ascii="Times New Roman" w:hAnsi="Times New Roman"/>
                <w:color w:val="000000" w:themeColor="text1"/>
                <w:sz w:val="24"/>
              </w:rPr>
              <w:t>Entspricht den in Zeile 22 des Meldebogens EU TLAC1 offengelegten Werten.</w:t>
            </w:r>
          </w:p>
        </w:tc>
      </w:tr>
      <w:tr w:rsidR="00962389" w:rsidRPr="0008623B" w14:paraId="3461B86E" w14:textId="77777777" w:rsidTr="00915305">
        <w:trPr>
          <w:trHeight w:val="1014"/>
        </w:trPr>
        <w:tc>
          <w:tcPr>
            <w:tcW w:w="1384" w:type="dxa"/>
          </w:tcPr>
          <w:p w14:paraId="47F71FA9" w14:textId="52988882" w:rsidR="00962389" w:rsidRPr="0008623B" w:rsidDel="00150101" w:rsidRDefault="00962389" w:rsidP="005B765F">
            <w:pPr>
              <w:pStyle w:val="Applicationdirecte"/>
              <w:spacing w:before="120"/>
              <w:rPr>
                <w:color w:val="000000" w:themeColor="text1"/>
                <w:szCs w:val="24"/>
              </w:rPr>
            </w:pPr>
            <w:r>
              <w:rPr>
                <w:color w:val="000000" w:themeColor="text1"/>
              </w:rPr>
              <w:t>EU-1a</w:t>
            </w:r>
          </w:p>
        </w:tc>
        <w:tc>
          <w:tcPr>
            <w:tcW w:w="7655" w:type="dxa"/>
          </w:tcPr>
          <w:p w14:paraId="3D396CEE" w14:textId="278C4C7F" w:rsidR="00962389" w:rsidRPr="0008623B" w:rsidRDefault="00962389" w:rsidP="00962389">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Eigenmittel und berücksichtigungsfähige Verbindlichkeiten – Davon Eigenmittel und nachrangige Verbindlichkeiten</w:t>
            </w:r>
          </w:p>
          <w:p w14:paraId="729B564A" w14:textId="00537292" w:rsidR="00AF2AB2" w:rsidRPr="0008623B" w:rsidRDefault="00AF2AB2" w:rsidP="00962389">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Entspricht dem in Zeile EU-22a des Meldebogens EU TLAC1 offengelegten Wert.</w:t>
            </w:r>
          </w:p>
          <w:p w14:paraId="6E8661C5" w14:textId="06556E77" w:rsidR="00AF2AB2" w:rsidRPr="0008623B" w:rsidRDefault="00AF2AB2" w:rsidP="00B96861">
            <w:pPr>
              <w:rPr>
                <w:rFonts w:ascii="Times New Roman" w:hAnsi="Times New Roman" w:cs="Times New Roman"/>
                <w:b/>
                <w:color w:val="000000" w:themeColor="text1"/>
                <w:sz w:val="24"/>
                <w:szCs w:val="24"/>
              </w:rPr>
            </w:pPr>
            <w:r>
              <w:rPr>
                <w:rFonts w:ascii="Times New Roman" w:hAnsi="Times New Roman"/>
                <w:sz w:val="24"/>
              </w:rPr>
              <w:t xml:space="preserve">In den Betrag der Eigenmittel und berücksichtigungsfähigen Verbindlichkeiten gemäß Artikel 45b der Richtlinie 2014/59/EU einbezogene Eigenmittel und berücksichtigungsfähige Verbindlichkeiten, bei denen es sich um nachrangige berücksichtigungsfähige Instrumente im Sinne </w:t>
            </w:r>
            <w:r>
              <w:rPr>
                <w:rFonts w:ascii="Times New Roman" w:hAnsi="Times New Roman"/>
                <w:sz w:val="24"/>
              </w:rPr>
              <w:lastRenderedPageBreak/>
              <w:t>von Artikel 2 Absatz 1 Nummer 71b der genannten Richtlinie handelt, sowie in den Betrag der Eigenmittel und berücksichtigungsfähigen Verbindlichkeiten gemäß Artikel 45b Absatz 3 der Richtlinie 2014/59/EU einbezogene Verbindlichkeiten.</w:t>
            </w:r>
            <w:r>
              <w:rPr>
                <w:rStyle w:val="FormatvorlageInstructionsTabelleText"/>
                <w:rFonts w:ascii="Times New Roman" w:hAnsi="Times New Roman"/>
                <w:sz w:val="24"/>
              </w:rPr>
              <w:t xml:space="preserve"> Im Falle von Instrumenten, die dem Recht eines Drittlandes unterliegen, wird das Instrument nur dann in diese Zeile aufgenommen, wenn es die Anforderungen gemäß Artikel 55 der Richtlinie 2014/59/EU erfüllt.</w:t>
            </w:r>
          </w:p>
        </w:tc>
      </w:tr>
      <w:tr w:rsidR="00026FC1" w:rsidRPr="0008623B" w14:paraId="7087FBBE" w14:textId="77777777" w:rsidTr="00915305">
        <w:trPr>
          <w:trHeight w:val="1014"/>
        </w:trPr>
        <w:tc>
          <w:tcPr>
            <w:tcW w:w="1384" w:type="dxa"/>
          </w:tcPr>
          <w:p w14:paraId="65A81525" w14:textId="01438D1E" w:rsidR="006D4640" w:rsidRPr="0008623B" w:rsidRDefault="00150101" w:rsidP="00915305">
            <w:pPr>
              <w:pStyle w:val="Applicationdirecte"/>
              <w:spacing w:before="120"/>
              <w:rPr>
                <w:color w:val="000000" w:themeColor="text1"/>
                <w:szCs w:val="24"/>
              </w:rPr>
            </w:pPr>
            <w:r>
              <w:rPr>
                <w:color w:val="000000" w:themeColor="text1"/>
              </w:rPr>
              <w:lastRenderedPageBreak/>
              <w:t>2</w:t>
            </w:r>
          </w:p>
        </w:tc>
        <w:tc>
          <w:tcPr>
            <w:tcW w:w="7655" w:type="dxa"/>
          </w:tcPr>
          <w:p w14:paraId="7C401856" w14:textId="7B8EEDE3" w:rsidR="006D4640" w:rsidRPr="0008623B" w:rsidRDefault="006D4640" w:rsidP="00915305">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Gesamtrisikobetrag (TREA) der Abwicklungsgruppe </w:t>
            </w:r>
          </w:p>
          <w:p w14:paraId="147C8558" w14:textId="2D445D5F" w:rsidR="006D4640" w:rsidRPr="0008623B" w:rsidRDefault="006D4640" w:rsidP="00936956">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Entspricht dem in Zeile 23 des Meldebogens EU TLAC1 offengelegten Wert.</w:t>
            </w:r>
          </w:p>
          <w:p w14:paraId="10BE5322" w14:textId="167B6DDA" w:rsidR="00705FB0" w:rsidRPr="0008623B" w:rsidRDefault="003D0BF6" w:rsidP="00FB021F">
            <w:pPr>
              <w:autoSpaceDE w:val="0"/>
              <w:autoSpaceDN w:val="0"/>
              <w:adjustRightInd w:val="0"/>
              <w:spacing w:before="120" w:after="120"/>
              <w:jc w:val="both"/>
              <w:rPr>
                <w:rFonts w:ascii="Times New Roman" w:hAnsi="Times New Roman" w:cs="Times New Roman"/>
                <w:bCs/>
                <w:sz w:val="24"/>
              </w:rPr>
            </w:pPr>
            <w:r>
              <w:rPr>
                <w:rStyle w:val="FormatvorlageInstructionsTabelleText"/>
                <w:rFonts w:ascii="Times New Roman" w:hAnsi="Times New Roman"/>
                <w:sz w:val="24"/>
              </w:rPr>
              <w:t>Artikel 45 Absatz 2 Buchstabe a der Richtlinie 2014/59/EU, Artikel 92 Absatz 3 der Verordnung (EU) Nr. 575/2013.</w:t>
            </w:r>
          </w:p>
        </w:tc>
      </w:tr>
      <w:tr w:rsidR="00DF735F" w:rsidRPr="0008623B" w14:paraId="36D02255" w14:textId="77777777" w:rsidTr="005D18F8">
        <w:trPr>
          <w:trHeight w:val="316"/>
        </w:trPr>
        <w:tc>
          <w:tcPr>
            <w:tcW w:w="1384" w:type="dxa"/>
          </w:tcPr>
          <w:p w14:paraId="24FC7113" w14:textId="5D3DECAC" w:rsidR="00DF735F" w:rsidRPr="0008623B" w:rsidRDefault="00150101" w:rsidP="005D18F8">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3</w:t>
            </w:r>
          </w:p>
        </w:tc>
        <w:tc>
          <w:tcPr>
            <w:tcW w:w="7655" w:type="dxa"/>
          </w:tcPr>
          <w:p w14:paraId="038AB6D4" w14:textId="14BCE5D0" w:rsidR="00DF735F" w:rsidRPr="0008623B" w:rsidRDefault="00DF735F" w:rsidP="005D18F8">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Eigenmittel und berücksichtigungsfähige Verbindlichkeiten als prozentualer Anteil am TREA</w:t>
            </w:r>
          </w:p>
          <w:p w14:paraId="7B949D15" w14:textId="2BA6D31F" w:rsidR="00DF735F" w:rsidRPr="0008623B" w:rsidRDefault="00DF735F" w:rsidP="005D18F8">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 xml:space="preserve">Entspricht den in Zeile 25 des Meldebogens EU TLAC1 offengelegten Werten. </w:t>
            </w:r>
          </w:p>
          <w:p w14:paraId="0F5B2611" w14:textId="00BEB708" w:rsidR="00DF735F" w:rsidRPr="0008623B" w:rsidRDefault="00705FB0" w:rsidP="00DE7C85">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Für die Zwecke dieser Zeile wird der in Zeile 1 offengelegte Betrag der Eigenmittel und berücksichtigungsfähigen Verbindlichkeiten als prozentualer Anteil des gemäß Artikel 92 Absatz 3 der Verordnung (EU) Nr. 575/2013 berechneten Gesamtrisikobetrags ausgedrückt.</w:t>
            </w:r>
          </w:p>
        </w:tc>
      </w:tr>
      <w:tr w:rsidR="00000DE2" w:rsidRPr="0008623B" w14:paraId="57CCD1AB" w14:textId="77777777" w:rsidTr="00915305">
        <w:trPr>
          <w:trHeight w:val="1014"/>
        </w:trPr>
        <w:tc>
          <w:tcPr>
            <w:tcW w:w="1384" w:type="dxa"/>
          </w:tcPr>
          <w:p w14:paraId="3F2D9068" w14:textId="39D72622" w:rsidR="00000DE2" w:rsidRPr="0008623B" w:rsidDel="00150101" w:rsidRDefault="00000DE2" w:rsidP="00DB779A">
            <w:pPr>
              <w:pStyle w:val="Applicationdirecte"/>
              <w:spacing w:before="120"/>
              <w:rPr>
                <w:color w:val="000000" w:themeColor="text1"/>
                <w:szCs w:val="24"/>
              </w:rPr>
            </w:pPr>
            <w:r>
              <w:rPr>
                <w:color w:val="000000" w:themeColor="text1"/>
              </w:rPr>
              <w:t>EU-3a</w:t>
            </w:r>
          </w:p>
        </w:tc>
        <w:tc>
          <w:tcPr>
            <w:tcW w:w="7655" w:type="dxa"/>
          </w:tcPr>
          <w:p w14:paraId="44E29BD6" w14:textId="2EF98522" w:rsidR="00000DE2" w:rsidRPr="0008623B" w:rsidRDefault="00000DE2" w:rsidP="00000DE2">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Eigenmittel und berücksichtigungsfähige Verbindlichkeiten als prozentualer Anteil am TREA – Davon Eigenmittel und nachrangige Verbindlichkeiten</w:t>
            </w:r>
          </w:p>
          <w:p w14:paraId="6CBFF6B4" w14:textId="23321C0B" w:rsidR="00000DE2" w:rsidRPr="0008623B" w:rsidRDefault="00000DE2" w:rsidP="00000DE2">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Entspricht dem in Zeile EU-25a des Meldebogens EU TLAC1 offengelegten Wert.</w:t>
            </w:r>
          </w:p>
          <w:p w14:paraId="5209AA08" w14:textId="5CE53966" w:rsidR="00000DE2" w:rsidRPr="0008623B" w:rsidRDefault="00705FB0" w:rsidP="00AA4A01">
            <w:pPr>
              <w:pStyle w:val="Institutionquisigne"/>
              <w:spacing w:before="100" w:beforeAutospacing="1"/>
              <w:rPr>
                <w:b/>
                <w:i w:val="0"/>
                <w:color w:val="000000" w:themeColor="text1"/>
                <w:szCs w:val="24"/>
              </w:rPr>
            </w:pPr>
            <w:r>
              <w:rPr>
                <w:i w:val="0"/>
                <w:color w:val="000000" w:themeColor="text1"/>
              </w:rPr>
              <w:t>Für die Zwecke dieser Zeile wird der in Zeile EU-1a angegebene Betrag der Eigenmittel und nachrangigen berücksichtigungsfähigen Verbindlichkeiten als prozentualer Anteil des gemäß Artikel 92 Absatz 3 der Verordnung (EU) Nr. 575/2013 berechneten Gesamtrisikobetrags ausgedrückt.</w:t>
            </w:r>
          </w:p>
        </w:tc>
      </w:tr>
      <w:tr w:rsidR="00026FC1" w:rsidRPr="0008623B" w14:paraId="598F6093" w14:textId="77777777" w:rsidTr="00915305">
        <w:trPr>
          <w:trHeight w:val="1014"/>
        </w:trPr>
        <w:tc>
          <w:tcPr>
            <w:tcW w:w="1384" w:type="dxa"/>
          </w:tcPr>
          <w:p w14:paraId="2BD1914D" w14:textId="668E84BB" w:rsidR="00150101" w:rsidRPr="0008623B" w:rsidRDefault="00150101" w:rsidP="00150101">
            <w:pPr>
              <w:pStyle w:val="Applicationdirecte"/>
              <w:spacing w:before="120"/>
              <w:rPr>
                <w:color w:val="000000" w:themeColor="text1"/>
                <w:szCs w:val="24"/>
              </w:rPr>
            </w:pPr>
            <w:r>
              <w:rPr>
                <w:color w:val="000000" w:themeColor="text1"/>
              </w:rPr>
              <w:t>4</w:t>
            </w:r>
          </w:p>
        </w:tc>
        <w:tc>
          <w:tcPr>
            <w:tcW w:w="7655" w:type="dxa"/>
          </w:tcPr>
          <w:p w14:paraId="21BFF265" w14:textId="5070F7DC" w:rsidR="006D4640" w:rsidRPr="0008623B" w:rsidRDefault="00B409EF" w:rsidP="00915305">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Gesamtrisikopositionsmessgröße (TEM) der Abwicklungsgruppe</w:t>
            </w:r>
          </w:p>
          <w:p w14:paraId="252377B7" w14:textId="103F2793" w:rsidR="006D4640" w:rsidRPr="0008623B" w:rsidRDefault="006D4640" w:rsidP="00936956">
            <w:pPr>
              <w:pStyle w:val="Applicationdirecte"/>
              <w:spacing w:before="120"/>
              <w:rPr>
                <w:color w:val="000000" w:themeColor="text1"/>
                <w:szCs w:val="24"/>
              </w:rPr>
            </w:pPr>
            <w:r>
              <w:rPr>
                <w:color w:val="000000" w:themeColor="text1"/>
              </w:rPr>
              <w:t>Entspricht dem in Zeile 24 des Meldebogens EU TLAC1 offengelegten Wert.</w:t>
            </w:r>
          </w:p>
          <w:p w14:paraId="5BC2C1BD" w14:textId="4F7E9896" w:rsidR="00705FB0" w:rsidRPr="0008623B" w:rsidRDefault="003D0BF6" w:rsidP="00FB021F">
            <w:pPr>
              <w:pStyle w:val="Fait"/>
            </w:pPr>
            <w:r>
              <w:t>Artikel 45 Absatz 2 Buchstabe b der Richtlinie 2014/59/EU, Artikel 429 Absatz 4 und Artikel 429a der Verordnung (EU) Nr. 575/2013.</w:t>
            </w:r>
          </w:p>
        </w:tc>
      </w:tr>
      <w:tr w:rsidR="00150101" w:rsidRPr="0008623B" w14:paraId="338EAA8B" w14:textId="77777777" w:rsidTr="005D18F8">
        <w:trPr>
          <w:trHeight w:val="316"/>
        </w:trPr>
        <w:tc>
          <w:tcPr>
            <w:tcW w:w="1384" w:type="dxa"/>
          </w:tcPr>
          <w:p w14:paraId="22D80E63" w14:textId="3B307FF1" w:rsidR="00150101" w:rsidRPr="0008623B" w:rsidRDefault="00150101" w:rsidP="005D18F8">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5</w:t>
            </w:r>
          </w:p>
        </w:tc>
        <w:tc>
          <w:tcPr>
            <w:tcW w:w="7655" w:type="dxa"/>
          </w:tcPr>
          <w:p w14:paraId="55ACA309" w14:textId="5203CF48" w:rsidR="00150101" w:rsidRPr="0008623B" w:rsidRDefault="00150101" w:rsidP="005D18F8">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Eigenmittel und berücksichtigungsfähige Verbindlichkeiten als prozentualer Anteil an der TEM</w:t>
            </w:r>
          </w:p>
          <w:p w14:paraId="5AF77D83" w14:textId="1205FA3D" w:rsidR="00150101" w:rsidRPr="0008623B" w:rsidRDefault="00150101" w:rsidP="005D18F8">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color w:val="000000" w:themeColor="text1"/>
                <w:sz w:val="24"/>
              </w:rPr>
              <w:t>Entspricht dem in Zeile 26 des Meldebogens EU TLAC1 offengelegten Wert.</w:t>
            </w:r>
          </w:p>
          <w:p w14:paraId="63970459" w14:textId="46B09F83" w:rsidR="00150101" w:rsidRPr="0008623B" w:rsidRDefault="00705FB0" w:rsidP="00FB021F">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lastRenderedPageBreak/>
              <w:t>Für die Zwecke dieser Zeile wird der in Zeile 1 angegebene Betrag der Eigenmittel und berücksichtigungsfähigen Verbindlichkeiten als prozentualer Anteil der gemäß Artikel 429 Absatz 4 und Artikel 429a der Verordnung (EU) Nr. 575/2013 berechneten Gesamtrisikopositionsmessgröße ausgedrückt.</w:t>
            </w:r>
          </w:p>
        </w:tc>
      </w:tr>
      <w:tr w:rsidR="0037295D" w:rsidRPr="0008623B" w14:paraId="0D9B4EED" w14:textId="77777777" w:rsidTr="00807127">
        <w:trPr>
          <w:trHeight w:val="1014"/>
        </w:trPr>
        <w:tc>
          <w:tcPr>
            <w:tcW w:w="1384" w:type="dxa"/>
          </w:tcPr>
          <w:p w14:paraId="59748E19" w14:textId="219DA8E1" w:rsidR="0037295D" w:rsidRPr="0008623B" w:rsidDel="00150101" w:rsidRDefault="00A3785C" w:rsidP="00807127">
            <w:pPr>
              <w:pStyle w:val="Applicationdirecte"/>
              <w:spacing w:before="120"/>
              <w:rPr>
                <w:color w:val="000000" w:themeColor="text1"/>
                <w:szCs w:val="24"/>
              </w:rPr>
            </w:pPr>
            <w:r>
              <w:rPr>
                <w:color w:val="000000" w:themeColor="text1"/>
              </w:rPr>
              <w:lastRenderedPageBreak/>
              <w:t>EU-5a</w:t>
            </w:r>
          </w:p>
        </w:tc>
        <w:tc>
          <w:tcPr>
            <w:tcW w:w="7655" w:type="dxa"/>
          </w:tcPr>
          <w:p w14:paraId="677C4852" w14:textId="7733E767" w:rsidR="0037295D" w:rsidRPr="0008623B" w:rsidRDefault="00A3785C" w:rsidP="00A3785C">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Eigenmittel und berücksichtigungsfähige Verbindlichkeiten als prozentualer Anteil an der TEM – Davon Eigenmittel und nachrangige Verbindlichkeiten</w:t>
            </w:r>
          </w:p>
          <w:p w14:paraId="25EF5991" w14:textId="1725162F" w:rsidR="0037295D" w:rsidRPr="0008623B" w:rsidRDefault="0037295D" w:rsidP="00807127">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Entspricht dem in Zeile EU-26a des Meldebogens EU TLAC1 offengelegten Wert.</w:t>
            </w:r>
          </w:p>
          <w:p w14:paraId="4E14C375" w14:textId="17204913" w:rsidR="0037295D" w:rsidRPr="0008623B" w:rsidRDefault="00705FB0" w:rsidP="00FB021F">
            <w:pPr>
              <w:pStyle w:val="Fait"/>
              <w:spacing w:before="0"/>
              <w:rPr>
                <w:b/>
                <w:color w:val="000000" w:themeColor="text1"/>
                <w:szCs w:val="24"/>
              </w:rPr>
            </w:pPr>
            <w:r>
              <w:rPr>
                <w:color w:val="000000" w:themeColor="text1"/>
              </w:rPr>
              <w:t>Für die Zwecke dieser Zeile wird der in Zeile EU-1a angegebene Betrag der Eigenmittel und der nachrangigen berücksichtigungsfähigen Verbindlichkeiten als prozentualer Anteil der gemäß Artikel 429 Absatz 4 und Artikel 429a der Verordnung (EU) Nr. 575/2013 berechneten Gesamtrisikopositionsmessgröße ausgedrückt.</w:t>
            </w:r>
          </w:p>
        </w:tc>
      </w:tr>
      <w:tr w:rsidR="0064224B" w:rsidRPr="0008623B" w14:paraId="4586DD47" w14:textId="77777777" w:rsidTr="00BB35EA">
        <w:trPr>
          <w:trHeight w:val="316"/>
        </w:trPr>
        <w:tc>
          <w:tcPr>
            <w:tcW w:w="1384" w:type="dxa"/>
          </w:tcPr>
          <w:p w14:paraId="641FAF10" w14:textId="4E1D75A0" w:rsidR="0064224B" w:rsidRPr="0008623B" w:rsidRDefault="0064224B" w:rsidP="00BB35EA">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6a</w:t>
            </w:r>
          </w:p>
        </w:tc>
        <w:tc>
          <w:tcPr>
            <w:tcW w:w="7655" w:type="dxa"/>
          </w:tcPr>
          <w:p w14:paraId="2E8BDE31" w14:textId="16D0165F" w:rsidR="0064224B" w:rsidRPr="0008623B" w:rsidRDefault="0064224B" w:rsidP="00BB35EA">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Gilt die Ausnahme von der Nachrangigkeit in Artikel 72b Absatz 4 der Verordnung (EU) Nr. 575/2013 (5 %-Ausnahme)?</w:t>
            </w:r>
          </w:p>
          <w:p w14:paraId="46D7CE6C" w14:textId="47F6F9D3" w:rsidR="0064224B" w:rsidRPr="0008623B" w:rsidRDefault="0064224B" w:rsidP="00BB35EA">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Diese Zeile ist nur von Unternehmen offenzulegen, die der Anforderung an Eigenmittel und berücksichtigungsfähige Verbindlichkeiten für G-SRI unterliegen.</w:t>
            </w:r>
          </w:p>
          <w:p w14:paraId="6016F028" w14:textId="34A18C3F" w:rsidR="0064224B" w:rsidRPr="0008623B" w:rsidRDefault="0064224B" w:rsidP="00BB35EA">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Gestattet die Abwicklungsbehörde, dass Verbindlichkeiten gemäß Artikel 72b Absatz 4 der Verordnung (EU) Nr. 575/2013 als Instrumente berücksichtigungsfähiger Verbindlichkeiten gelten, gibt das berichtende Unternehmen „ja“ an.</w:t>
            </w:r>
          </w:p>
          <w:p w14:paraId="6B081016" w14:textId="4812518D" w:rsidR="0064224B" w:rsidRPr="0008623B" w:rsidRDefault="0064224B" w:rsidP="00BB35EA">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Gestattet die Abwicklungsbehörde nicht, dass Verbindlichkeiten gemäß Artikel 72b Absatz 4 der Verordnung (EU) Nr. 575/2013 als Instrumente berücksichtigungsfähiger Verbindlichkeiten gelten, gibt die Abwicklungsgruppe oder Abwicklungseinheit „nein“ an.</w:t>
            </w:r>
          </w:p>
          <w:p w14:paraId="2F5E08DD" w14:textId="726ED396" w:rsidR="0064224B" w:rsidRPr="0008623B" w:rsidRDefault="0064224B" w:rsidP="00A70777">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Da sich die Ausnahmen in Artikel 72b Absätze 3 und 4 der Verordnung (EU) Nr. 575/2013 gegenseitig ausschließen, ist diese Zeile leer zu lassen, wenn das berichtende Unternehmen Zeile 6b ausgefüllt hat.</w:t>
            </w:r>
          </w:p>
        </w:tc>
      </w:tr>
      <w:tr w:rsidR="008B1AF1" w:rsidRPr="0008623B" w14:paraId="03F999DF" w14:textId="77777777" w:rsidTr="00915305">
        <w:trPr>
          <w:trHeight w:val="316"/>
        </w:trPr>
        <w:tc>
          <w:tcPr>
            <w:tcW w:w="1384" w:type="dxa"/>
          </w:tcPr>
          <w:p w14:paraId="4B73F7B3" w14:textId="3C82303C" w:rsidR="008B1AF1" w:rsidRPr="0008623B" w:rsidRDefault="00FF2A56" w:rsidP="008B1AF1">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6b</w:t>
            </w:r>
          </w:p>
        </w:tc>
        <w:tc>
          <w:tcPr>
            <w:tcW w:w="7655" w:type="dxa"/>
          </w:tcPr>
          <w:p w14:paraId="41C2E586" w14:textId="6CC03437" w:rsidR="00BB35EA" w:rsidRPr="0008623B" w:rsidRDefault="00650183" w:rsidP="00705FB0">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Aggregierter Betrag der zulässigen nicht nachrangigen berücksichtigungsfähigen Verbindlichkeiten bei Anwendung des Ermessensspielraums für die Rangfolge gemäß Artikel 72b Absatz 3 der Verordnung (EU) Nr. 575/2013 (max. 3,5 % Befreiung)</w:t>
            </w:r>
          </w:p>
          <w:p w14:paraId="564101D0" w14:textId="5C7DA717" w:rsidR="00705FB0" w:rsidRPr="0008623B" w:rsidRDefault="00705FB0" w:rsidP="00705FB0">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Diese Zeile ist nur von Unternehmen offenzulegen, die der G-SRI-Anforderung an Eigenmittel und berücksichtigungsfähige Verbindlichkeiten unterliegen.</w:t>
            </w:r>
          </w:p>
          <w:p w14:paraId="00AD85CC" w14:textId="318F6AC9" w:rsidR="002A5279" w:rsidRPr="0008623B" w:rsidRDefault="002A5279" w:rsidP="002A5279">
            <w:pPr>
              <w:rPr>
                <w:rStyle w:val="FormatvorlageInstructionsTabelleText"/>
                <w:rFonts w:ascii="Times New Roman" w:hAnsi="Times New Roman"/>
                <w:sz w:val="24"/>
              </w:rPr>
            </w:pPr>
            <w:r>
              <w:rPr>
                <w:rStyle w:val="FormatvorlageInstructionsTabelleText"/>
                <w:rFonts w:ascii="Times New Roman" w:hAnsi="Times New Roman"/>
                <w:sz w:val="24"/>
              </w:rPr>
              <w:t xml:space="preserve">Aggregierter Betrag der nicht nachrangigen Instrumente berücksichtigungsfähiger Verbindlichkeiten, die die Abwicklungsbehörde </w:t>
            </w:r>
            <w:r>
              <w:rPr>
                <w:rStyle w:val="FormatvorlageInstructionsTabelleText"/>
                <w:rFonts w:ascii="Times New Roman" w:hAnsi="Times New Roman"/>
                <w:sz w:val="24"/>
              </w:rPr>
              <w:lastRenderedPageBreak/>
              <w:t>gemäß Artikel 72b Absatz 3 der Verordnung (EU) Nr. 575/2013 als Instrumente berücksichtigungsfähiger Verbindlichkeiten für die Zwecke der TLAC zugelassen hat.</w:t>
            </w:r>
          </w:p>
          <w:p w14:paraId="24CA67B7" w14:textId="04F0B6BC" w:rsidR="008B1AF1" w:rsidRPr="0008623B" w:rsidRDefault="00705FB0" w:rsidP="00D45878">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Da sich die Ausnahmen in Artikel 72b Absätze 3 und 4 der Verordnung (EU) Nr. 575/2013 gegenseitig ausschließen, ist diese Zeile leer zu lassen, wenn das Unternehmen in Zeile 6a „ja“ angibt.</w:t>
            </w:r>
          </w:p>
        </w:tc>
      </w:tr>
      <w:tr w:rsidR="008B1AF1" w:rsidRPr="0008623B" w14:paraId="2D64923D" w14:textId="77777777" w:rsidTr="00915305">
        <w:trPr>
          <w:trHeight w:val="316"/>
        </w:trPr>
        <w:tc>
          <w:tcPr>
            <w:tcW w:w="1384" w:type="dxa"/>
          </w:tcPr>
          <w:p w14:paraId="6C3622AD" w14:textId="140E60D3" w:rsidR="008B1AF1" w:rsidRPr="0008623B" w:rsidRDefault="00FF2A56" w:rsidP="008B1AF1">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lastRenderedPageBreak/>
              <w:t>6c</w:t>
            </w:r>
          </w:p>
        </w:tc>
        <w:tc>
          <w:tcPr>
            <w:tcW w:w="7655" w:type="dxa"/>
          </w:tcPr>
          <w:p w14:paraId="73DD47A6" w14:textId="24A022DC" w:rsidR="008B1AF1" w:rsidRPr="0008623B" w:rsidRDefault="008B1AF1" w:rsidP="008B1AF1">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Wenn eine Obergrenze für die Ausnahme von der Nachrangigkeit gemäß Artikel 72b Absatz 3 der Verordnung (EU) Nr. 575/2013 gilt, handelt es sich um den Betrag der begebenen Mittel, die gleichrangig mit den ausgenommenen Verbindlichkeiten sind und gemäß Zeile 1 angerechnet werden, dividiert durch die begebenen Mittel, die gleichrangig mit den ausgenommenen Verbindlichkeiten sind und die gemäß Zeile 1 angerechnet würden, wenn keine Obergrenze angewendet würde (in %).</w:t>
            </w:r>
          </w:p>
          <w:p w14:paraId="02910CB6" w14:textId="36BCF0A1" w:rsidR="00CF21D0" w:rsidRPr="0008623B" w:rsidRDefault="00CF21D0" w:rsidP="00B654C4">
            <w:pPr>
              <w:autoSpaceDE w:val="0"/>
              <w:autoSpaceDN w:val="0"/>
              <w:adjustRightInd w:val="0"/>
              <w:spacing w:before="120" w:after="120"/>
              <w:jc w:val="both"/>
              <w:rPr>
                <w:rFonts w:ascii="Times New Roman" w:hAnsi="Times New Roman" w:cs="Times New Roman"/>
                <w:color w:val="000000" w:themeColor="text1"/>
                <w:sz w:val="24"/>
                <w:szCs w:val="24"/>
              </w:rPr>
            </w:pPr>
            <w:r>
              <w:rPr>
                <w:rStyle w:val="InstructionsTabelleberschrift"/>
                <w:rFonts w:ascii="Times New Roman" w:hAnsi="Times New Roman"/>
                <w:b w:val="0"/>
                <w:sz w:val="24"/>
                <w:u w:val="none"/>
              </w:rPr>
              <w:t>Diese Zeile ist nur von Unternehmen offenzulegen, die der G-SRI-Anforderung an Eigenmittel und berücksichtigungsfähige Verbindlichkeiten unterliegen.</w:t>
            </w:r>
          </w:p>
          <w:p w14:paraId="27823EE1" w14:textId="65D1AB03" w:rsidR="008B1AF1" w:rsidRPr="0008623B" w:rsidRDefault="008B1AF1" w:rsidP="00B654C4">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Diese Zeile informiert die Eigentümer der von der Abwicklungseinheit begebenen vorrangigen Verbindlichkeiten über den Prozentsatz der nicht ausgenommenen vorrangigen Verbindlichkeiten, der als berücksichtigungsfähig eingestuft wurde, sodass sie gegebenenfalls die Abzugsregelung gemäß Artikel 72e der Verordnung (EU) Nr. 575/2013 anwenden können.</w:t>
            </w:r>
          </w:p>
          <w:p w14:paraId="69CB0A17" w14:textId="58CD2CDA" w:rsidR="00CF21D0" w:rsidRPr="0008623B" w:rsidRDefault="00F66078" w:rsidP="00B62DC9">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Wenn eine Obergrenze für die Ausnahme von der Nachrangigkeit gemäß Artikel 72b Absatz 3 der Verordnung (EU) Nr. 575/2013 gilt, melden die Unternehmen Folgendes:</w:t>
            </w:r>
          </w:p>
          <w:p w14:paraId="2D4EFCF5" w14:textId="674F215C" w:rsidR="00CF21D0" w:rsidRPr="0008623B" w:rsidRDefault="00F66078" w:rsidP="0073688E">
            <w:pPr>
              <w:spacing w:before="120" w:after="120" w:line="240" w:lineRule="auto"/>
              <w:jc w:val="both"/>
              <w:rPr>
                <w:rStyle w:val="InstructionsTabelleberschrift"/>
                <w:rFonts w:ascii="Times New Roman" w:hAnsi="Times New Roman"/>
                <w:b w:val="0"/>
                <w:sz w:val="24"/>
                <w:szCs w:val="24"/>
                <w:u w:val="none"/>
              </w:rPr>
            </w:pPr>
            <w:r>
              <w:rPr>
                <w:rStyle w:val="InstructionsTabelleberschrift"/>
                <w:rFonts w:ascii="Times New Roman" w:hAnsi="Times New Roman"/>
                <w:b w:val="0"/>
                <w:sz w:val="24"/>
                <w:u w:val="none"/>
              </w:rPr>
              <w:t>a) den Betrag der begebenen Finanzmittel, der gleichrangig mit den ausgenommenen Verbindlichkeiten im Sinne von Artikel 72a Absatz 2 der Verordnung (EU) Nr. 575/2013 ist und in dem in Zeile 1 gemeldeten Betrag enthalten ist;</w:t>
            </w:r>
          </w:p>
          <w:p w14:paraId="61EF1E26" w14:textId="12BB5640" w:rsidR="00CF21D0" w:rsidRPr="0008623B" w:rsidRDefault="00F66078" w:rsidP="0073688E">
            <w:pPr>
              <w:spacing w:before="120" w:after="120" w:line="240" w:lineRule="auto"/>
              <w:jc w:val="both"/>
              <w:rPr>
                <w:rFonts w:ascii="Times New Roman" w:hAnsi="Times New Roman" w:cs="Times New Roman"/>
                <w:color w:val="000000" w:themeColor="text1"/>
                <w:sz w:val="24"/>
                <w:szCs w:val="24"/>
              </w:rPr>
            </w:pPr>
            <w:r>
              <w:rPr>
                <w:rStyle w:val="InstructionsTabelleberschrift"/>
                <w:rFonts w:ascii="Times New Roman" w:hAnsi="Times New Roman"/>
                <w:b w:val="0"/>
                <w:sz w:val="24"/>
                <w:u w:val="none"/>
              </w:rPr>
              <w:t>b) dividiert durch den Betrag der begebenen Finanzmittel, der gleichrangig mit den ausgenommenen Verbindlichkeiten im Sinne von Artikel 72a Absatz 2 der Verordnung (EU) Nr. 575/2013 ist und der ohne Anwendung der Obergrenze in Zeile 1 erfasst würde.</w:t>
            </w:r>
          </w:p>
        </w:tc>
      </w:tr>
      <w:tr w:rsidR="008B1AF1" w:rsidRPr="0008623B" w14:paraId="3397A407" w14:textId="77777777" w:rsidTr="00915305">
        <w:trPr>
          <w:trHeight w:val="316"/>
        </w:trPr>
        <w:tc>
          <w:tcPr>
            <w:tcW w:w="1384" w:type="dxa"/>
          </w:tcPr>
          <w:p w14:paraId="064B005C" w14:textId="65B49825" w:rsidR="008B1AF1" w:rsidRPr="004A008C" w:rsidDel="00CD7CA4" w:rsidRDefault="008B1AF1" w:rsidP="008B1AF1">
            <w:pPr>
              <w:autoSpaceDE w:val="0"/>
              <w:autoSpaceDN w:val="0"/>
              <w:adjustRightInd w:val="0"/>
              <w:rPr>
                <w:rFonts w:ascii="Times New Roman" w:hAnsi="Times New Roman" w:cs="Times New Roman"/>
                <w:color w:val="000000" w:themeColor="text1"/>
                <w:sz w:val="24"/>
                <w:szCs w:val="24"/>
              </w:rPr>
            </w:pPr>
          </w:p>
        </w:tc>
        <w:tc>
          <w:tcPr>
            <w:tcW w:w="7655" w:type="dxa"/>
          </w:tcPr>
          <w:p w14:paraId="065986DE" w14:textId="77777777" w:rsidR="008B1AF1" w:rsidRPr="0008623B" w:rsidRDefault="008B1AF1" w:rsidP="008B1AF1">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Mindestanforderung an Eigenmittel und berücksichtigungsfähige Verbindlichkeiten (MREL)</w:t>
            </w:r>
          </w:p>
        </w:tc>
      </w:tr>
      <w:tr w:rsidR="008B1AF1" w:rsidRPr="0008623B" w14:paraId="1D50EF40" w14:textId="77777777" w:rsidTr="00915305">
        <w:trPr>
          <w:trHeight w:val="316"/>
        </w:trPr>
        <w:tc>
          <w:tcPr>
            <w:tcW w:w="1384" w:type="dxa"/>
          </w:tcPr>
          <w:p w14:paraId="5B7C6EEB" w14:textId="0DDF46DE" w:rsidR="008B1AF1" w:rsidRPr="0008623B" w:rsidRDefault="00FF2A56" w:rsidP="008B1AF1">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EU-7</w:t>
            </w:r>
          </w:p>
        </w:tc>
        <w:tc>
          <w:tcPr>
            <w:tcW w:w="7655" w:type="dxa"/>
          </w:tcPr>
          <w:p w14:paraId="4FB8070F" w14:textId="2E661595" w:rsidR="008B1AF1" w:rsidRPr="0008623B" w:rsidRDefault="008B1AF1" w:rsidP="008B1AF1">
            <w:pPr>
              <w:pStyle w:val="Applicationdirecte"/>
              <w:spacing w:before="120"/>
              <w:rPr>
                <w:b/>
                <w:color w:val="000000" w:themeColor="text1"/>
                <w:szCs w:val="24"/>
              </w:rPr>
            </w:pPr>
            <w:r>
              <w:rPr>
                <w:b/>
                <w:color w:val="000000" w:themeColor="text1"/>
              </w:rPr>
              <w:t>MREL als prozentualer Anteil am TREA</w:t>
            </w:r>
          </w:p>
          <w:p w14:paraId="5D62407D" w14:textId="1D56CFCB" w:rsidR="006453C4" w:rsidRPr="0008623B" w:rsidRDefault="006453C4" w:rsidP="00D33D65">
            <w:pPr>
              <w:pStyle w:val="Fait"/>
            </w:pPr>
            <w:r>
              <w:rPr>
                <w:color w:val="000000" w:themeColor="text1"/>
              </w:rPr>
              <w:t xml:space="preserve">Die von der Abwicklungsbehörde gemäß Artikel 45e der Richtlinie 2014/59/EU ermittelte Mindestanforderung des Unternehmens an Eigenmittel und berücksichtigungsfähige Verbindlichkeiten, ausgedrückt als prozentualer </w:t>
            </w:r>
            <w:r>
              <w:rPr>
                <w:color w:val="000000" w:themeColor="text1"/>
              </w:rPr>
              <w:lastRenderedPageBreak/>
              <w:t>Anteil am Gesamtrisikobetrag, berechnet in Übereinstimmung mit Artikel 92 Absatz 3 der Verordnung (EU) Nr. 575/2013.</w:t>
            </w:r>
          </w:p>
        </w:tc>
      </w:tr>
      <w:tr w:rsidR="008B1AF1" w:rsidRPr="0008623B" w14:paraId="1415A72E" w14:textId="77777777" w:rsidTr="00915305">
        <w:trPr>
          <w:trHeight w:val="316"/>
        </w:trPr>
        <w:tc>
          <w:tcPr>
            <w:tcW w:w="1384" w:type="dxa"/>
          </w:tcPr>
          <w:p w14:paraId="519FCFF9" w14:textId="293BA3A8" w:rsidR="008B1AF1" w:rsidRPr="0008623B" w:rsidRDefault="00FF2A56" w:rsidP="008B1AF1">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lastRenderedPageBreak/>
              <w:t>EU-8</w:t>
            </w:r>
          </w:p>
        </w:tc>
        <w:tc>
          <w:tcPr>
            <w:tcW w:w="7655" w:type="dxa"/>
          </w:tcPr>
          <w:p w14:paraId="7AFA5D84" w14:textId="75D8B263" w:rsidR="008B1AF1" w:rsidRPr="0008623B" w:rsidRDefault="00B80F7C" w:rsidP="008B1AF1">
            <w:pPr>
              <w:pStyle w:val="Applicationdirecte"/>
              <w:spacing w:before="0" w:after="0"/>
              <w:rPr>
                <w:b/>
                <w:color w:val="000000" w:themeColor="text1"/>
                <w:szCs w:val="24"/>
              </w:rPr>
            </w:pPr>
            <w:r>
              <w:rPr>
                <w:b/>
                <w:color w:val="000000" w:themeColor="text1"/>
              </w:rPr>
              <w:t>MREL als prozentualer Anteil am TREA – Davon mit Eigenmitteln oder nachrangigen Verbindlichkeiten zu erfüllen</w:t>
            </w:r>
          </w:p>
          <w:p w14:paraId="33EFDD9D" w14:textId="00E44973" w:rsidR="008B1AF1" w:rsidRPr="0008623B" w:rsidRDefault="00D819D9" w:rsidP="00D33D65">
            <w:pPr>
              <w:rPr>
                <w:color w:val="000000" w:themeColor="text1"/>
                <w:szCs w:val="24"/>
              </w:rPr>
            </w:pPr>
            <w:r>
              <w:rPr>
                <w:rFonts w:ascii="Times New Roman" w:hAnsi="Times New Roman"/>
                <w:sz w:val="24"/>
              </w:rPr>
              <w:t>Gegebenenfalls der Teil der MREL, von dem die Abwicklungsbehörde gemäß Artikel 45b Absätze 4 bis 8 der Richtlinie 2014/59/EU verlangt hat, dass er mit Eigenmitteln, nachrangigen Instrumenten berücksichtigungsfähiger Verbindlichkeiten oder Verbindlichkeiten gemäß Absatz 3 desselben Artikels erfüllt wird, ausgedrückt als prozentualer Anteil am Gesamtrisikobetrag, berechnet gemäß Artikel 92 Absatz 3 der Verordnung (EU) Nr. 575/2013.</w:t>
            </w:r>
          </w:p>
        </w:tc>
      </w:tr>
      <w:tr w:rsidR="008B1AF1" w:rsidRPr="0008623B" w14:paraId="060950C0" w14:textId="77777777" w:rsidTr="00915305">
        <w:trPr>
          <w:trHeight w:val="316"/>
        </w:trPr>
        <w:tc>
          <w:tcPr>
            <w:tcW w:w="1384" w:type="dxa"/>
          </w:tcPr>
          <w:p w14:paraId="1DBB4CB4" w14:textId="31361788" w:rsidR="008B1AF1" w:rsidRPr="0008623B" w:rsidRDefault="00FF2A56" w:rsidP="008B1AF1">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EU-9</w:t>
            </w:r>
          </w:p>
        </w:tc>
        <w:tc>
          <w:tcPr>
            <w:tcW w:w="7655" w:type="dxa"/>
          </w:tcPr>
          <w:p w14:paraId="357A69B0" w14:textId="07AF7072" w:rsidR="008B1AF1" w:rsidRPr="0008623B" w:rsidRDefault="008B1AF1" w:rsidP="008B1AF1">
            <w:pPr>
              <w:pStyle w:val="Applicationdirecte"/>
              <w:spacing w:before="120"/>
              <w:rPr>
                <w:b/>
                <w:color w:val="000000" w:themeColor="text1"/>
                <w:szCs w:val="24"/>
              </w:rPr>
            </w:pPr>
            <w:r>
              <w:rPr>
                <w:b/>
                <w:color w:val="000000" w:themeColor="text1"/>
              </w:rPr>
              <w:t>MREL als prozentualer Anteil an der TEM</w:t>
            </w:r>
          </w:p>
          <w:p w14:paraId="7ABED549" w14:textId="5EF36813" w:rsidR="006453C4" w:rsidRPr="0008623B" w:rsidRDefault="006453C4" w:rsidP="00717DB0">
            <w:pPr>
              <w:pStyle w:val="Fait"/>
            </w:pPr>
            <w:r>
              <w:t>Die von der Abwicklungsbehörde gemäß Artikel 45e der Richtlinie 2014/59/EU ermittelte Mindestanforderung des berichtenden Unternehmens an Eigenmittel und berücksichtigungsfähige Verbindlichkeiten, ausgedrückt als prozentualer Anteil an der Gesamtrisikopositionsmessgröße, berechnet in Übereinstimmung mit Artikel 429 Absatz 4 und Artikel 429a der Verordnung (EU) Nr. 575/2013.</w:t>
            </w:r>
          </w:p>
        </w:tc>
      </w:tr>
      <w:tr w:rsidR="008B1AF1" w:rsidRPr="0008623B" w14:paraId="5A4A9503" w14:textId="77777777" w:rsidTr="00915305">
        <w:trPr>
          <w:trHeight w:val="316"/>
        </w:trPr>
        <w:tc>
          <w:tcPr>
            <w:tcW w:w="1384" w:type="dxa"/>
          </w:tcPr>
          <w:p w14:paraId="4E5C6AFC" w14:textId="2C522F9C" w:rsidR="008B1AF1" w:rsidRPr="0008623B" w:rsidRDefault="00FF2A56" w:rsidP="008B1AF1">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EU-10</w:t>
            </w:r>
          </w:p>
        </w:tc>
        <w:tc>
          <w:tcPr>
            <w:tcW w:w="7655" w:type="dxa"/>
          </w:tcPr>
          <w:p w14:paraId="4A8117E5" w14:textId="70796A0D" w:rsidR="008B1AF1" w:rsidRPr="0008623B" w:rsidRDefault="00B80F7C" w:rsidP="008B1AF1">
            <w:pPr>
              <w:pStyle w:val="Applicationdirecte"/>
              <w:spacing w:before="0" w:after="0"/>
              <w:rPr>
                <w:b/>
                <w:color w:val="000000" w:themeColor="text1"/>
                <w:szCs w:val="24"/>
              </w:rPr>
            </w:pPr>
            <w:r>
              <w:rPr>
                <w:b/>
                <w:color w:val="000000" w:themeColor="text1"/>
              </w:rPr>
              <w:t>MREL als prozentualer Anteil an der TEM – Davon mit Eigenmitteln oder nachrangigen Verbindlichkeiten zu erfüllen</w:t>
            </w:r>
          </w:p>
          <w:p w14:paraId="366BA2A0" w14:textId="50E2609F" w:rsidR="008B1AF1" w:rsidRPr="0008623B" w:rsidRDefault="00D819D9" w:rsidP="00E1386E">
            <w:pPr>
              <w:rPr>
                <w:color w:val="000000" w:themeColor="text1"/>
                <w:szCs w:val="24"/>
              </w:rPr>
            </w:pPr>
            <w:r>
              <w:rPr>
                <w:rFonts w:ascii="Times New Roman" w:hAnsi="Times New Roman"/>
                <w:sz w:val="24"/>
              </w:rPr>
              <w:t>Gegebenenfalls der Teil der MREL, von dem die Abwicklungsbehörde gemäß Artikel 45b Absätze 4 bis 8 der Richtlinie 2014/59/EU verlangt hat, dass er mit Eigenmitteln, nachrangigen Instrumenten berücksichtigungsfähiger Verbindlichkeiten oder Verbindlichkeiten gemäß Absatz 3 desselben Artikels erfüllt wird, ausgedrückt als prozentualer Anteil an der Gesamtrisikopositionsmessgröße, berechnet gemäß Artikel 429 Absatz 4 und Artikel 429a der Verordnung (EU) Nr. 575/2013.</w:t>
            </w:r>
          </w:p>
        </w:tc>
      </w:tr>
    </w:tbl>
    <w:p w14:paraId="38CEC33F" w14:textId="77777777" w:rsidR="005673AC" w:rsidRPr="004A008C" w:rsidRDefault="005673AC" w:rsidP="00E258D8">
      <w:pPr>
        <w:rPr>
          <w:rFonts w:ascii="Times New Roman" w:hAnsi="Times New Roman" w:cs="Times New Roman"/>
          <w:noProof/>
          <w:color w:val="000000" w:themeColor="text1"/>
          <w:sz w:val="24"/>
          <w:szCs w:val="24"/>
        </w:rPr>
      </w:pPr>
    </w:p>
    <w:p w14:paraId="62DE89D5" w14:textId="0B5C7ED4" w:rsidR="003956D6" w:rsidRPr="0008623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25" w:name="_Toc14768967"/>
      <w:bookmarkStart w:id="26" w:name="_Toc14769241"/>
      <w:bookmarkStart w:id="27" w:name="_Toc14769635"/>
      <w:bookmarkStart w:id="28" w:name="_Toc14769788"/>
      <w:bookmarkStart w:id="29" w:name="_Toc14770058"/>
      <w:bookmarkStart w:id="30" w:name="_Toc14770328"/>
      <w:bookmarkStart w:id="31" w:name="_Toc14770481"/>
      <w:bookmarkStart w:id="32" w:name="_Toc14770636"/>
      <w:bookmarkStart w:id="33" w:name="_Toc14770791"/>
      <w:bookmarkStart w:id="34" w:name="_Toc14770948"/>
      <w:bookmarkStart w:id="35" w:name="_Toc14771489"/>
      <w:bookmarkStart w:id="36" w:name="_Toc14771607"/>
      <w:bookmarkStart w:id="37" w:name="_Toc15478323"/>
      <w:bookmarkStart w:id="38" w:name="_Toc14768968"/>
      <w:bookmarkStart w:id="39" w:name="_Toc14769242"/>
      <w:bookmarkStart w:id="40" w:name="_Toc14769636"/>
      <w:bookmarkStart w:id="41" w:name="_Toc14769789"/>
      <w:bookmarkStart w:id="42" w:name="_Toc14770059"/>
      <w:bookmarkStart w:id="43" w:name="_Toc14770329"/>
      <w:bookmarkStart w:id="44" w:name="_Toc14770482"/>
      <w:bookmarkStart w:id="45" w:name="_Toc14770637"/>
      <w:bookmarkStart w:id="46" w:name="_Toc14770792"/>
      <w:bookmarkStart w:id="47" w:name="_Toc14770949"/>
      <w:bookmarkStart w:id="48" w:name="_Toc14771608"/>
      <w:bookmarkStart w:id="49" w:name="_Toc14768969"/>
      <w:bookmarkStart w:id="50" w:name="_Toc14769243"/>
      <w:bookmarkStart w:id="51" w:name="_Toc14769637"/>
      <w:bookmarkStart w:id="52" w:name="_Toc14769790"/>
      <w:bookmarkStart w:id="53" w:name="_Toc14770060"/>
      <w:bookmarkStart w:id="54" w:name="_Toc14770330"/>
      <w:bookmarkStart w:id="55" w:name="_Toc14770483"/>
      <w:bookmarkStart w:id="56" w:name="_Toc14770638"/>
      <w:bookmarkStart w:id="57" w:name="_Toc14770793"/>
      <w:bookmarkStart w:id="58" w:name="_Toc14770950"/>
      <w:bookmarkStart w:id="59" w:name="_Toc14771491"/>
      <w:bookmarkStart w:id="60" w:name="_Toc14771609"/>
      <w:bookmarkStart w:id="61" w:name="_Toc15478325"/>
      <w:bookmarkStart w:id="62" w:name="_Toc14768970"/>
      <w:bookmarkStart w:id="63" w:name="_Toc14769244"/>
      <w:bookmarkStart w:id="64" w:name="_Toc14769638"/>
      <w:bookmarkStart w:id="65" w:name="_Toc14769791"/>
      <w:bookmarkStart w:id="66" w:name="_Toc14770061"/>
      <w:bookmarkStart w:id="67" w:name="_Toc14770331"/>
      <w:bookmarkStart w:id="68" w:name="_Toc14770484"/>
      <w:bookmarkStart w:id="69" w:name="_Toc14770639"/>
      <w:bookmarkStart w:id="70" w:name="_Toc14770794"/>
      <w:bookmarkStart w:id="71" w:name="_Toc14770951"/>
      <w:bookmarkStart w:id="72" w:name="_Toc14771610"/>
      <w:bookmarkStart w:id="73" w:name="_Toc14768971"/>
      <w:bookmarkStart w:id="74" w:name="_Toc14769245"/>
      <w:bookmarkStart w:id="75" w:name="_Toc14769639"/>
      <w:bookmarkStart w:id="76" w:name="_Toc14769792"/>
      <w:bookmarkStart w:id="77" w:name="_Toc14770062"/>
      <w:bookmarkStart w:id="78" w:name="_Toc14770332"/>
      <w:bookmarkStart w:id="79" w:name="_Toc14770485"/>
      <w:bookmarkStart w:id="80" w:name="_Toc14770640"/>
      <w:bookmarkStart w:id="81" w:name="_Toc14770795"/>
      <w:bookmarkStart w:id="82" w:name="_Toc14770952"/>
      <w:bookmarkStart w:id="83" w:name="_Toc14771493"/>
      <w:bookmarkStart w:id="84" w:name="_Toc14771611"/>
      <w:bookmarkStart w:id="85" w:name="_Toc15478327"/>
      <w:bookmarkStart w:id="86" w:name="_Toc14768986"/>
      <w:bookmarkStart w:id="87" w:name="_Toc14769260"/>
      <w:bookmarkStart w:id="88" w:name="_Toc14769654"/>
      <w:bookmarkStart w:id="89" w:name="_Toc14769807"/>
      <w:bookmarkStart w:id="90" w:name="_Toc14770077"/>
      <w:bookmarkStart w:id="91" w:name="_Toc14770347"/>
      <w:bookmarkStart w:id="92" w:name="_Toc14770500"/>
      <w:bookmarkStart w:id="93" w:name="_Toc14770655"/>
      <w:bookmarkStart w:id="94" w:name="_Toc14770810"/>
      <w:bookmarkStart w:id="95" w:name="_Toc14770967"/>
      <w:bookmarkStart w:id="96" w:name="_Toc14771504"/>
      <w:bookmarkStart w:id="97" w:name="_Toc14771626"/>
      <w:bookmarkStart w:id="98" w:name="_Toc15478338"/>
      <w:bookmarkStart w:id="99" w:name="_Toc14768987"/>
      <w:bookmarkStart w:id="100" w:name="_Toc14769261"/>
      <w:bookmarkStart w:id="101" w:name="_Toc14769655"/>
      <w:bookmarkStart w:id="102" w:name="_Toc14769808"/>
      <w:bookmarkStart w:id="103" w:name="_Toc14770078"/>
      <w:bookmarkStart w:id="104" w:name="_Toc14770348"/>
      <w:bookmarkStart w:id="105" w:name="_Toc14770501"/>
      <w:bookmarkStart w:id="106" w:name="_Toc14770656"/>
      <w:bookmarkStart w:id="107" w:name="_Toc14770811"/>
      <w:bookmarkStart w:id="108" w:name="_Toc14770968"/>
      <w:bookmarkStart w:id="109" w:name="_Toc14771627"/>
      <w:bookmarkStart w:id="110" w:name="_Toc14768988"/>
      <w:bookmarkStart w:id="111" w:name="_Toc14769262"/>
      <w:bookmarkStart w:id="112" w:name="_Toc14769656"/>
      <w:bookmarkStart w:id="113" w:name="_Toc14769809"/>
      <w:bookmarkStart w:id="114" w:name="_Toc14770079"/>
      <w:bookmarkStart w:id="115" w:name="_Toc14770349"/>
      <w:bookmarkStart w:id="116" w:name="_Toc14770502"/>
      <w:bookmarkStart w:id="117" w:name="_Toc14770657"/>
      <w:bookmarkStart w:id="118" w:name="_Toc14770812"/>
      <w:bookmarkStart w:id="119" w:name="_Toc14770969"/>
      <w:bookmarkStart w:id="120" w:name="_Toc14771506"/>
      <w:bookmarkStart w:id="121" w:name="_Toc14771628"/>
      <w:bookmarkStart w:id="122" w:name="_Toc15478340"/>
      <w:bookmarkStart w:id="123" w:name="_Toc14768989"/>
      <w:bookmarkStart w:id="124" w:name="_Toc14769263"/>
      <w:bookmarkStart w:id="125" w:name="_Toc14769657"/>
      <w:bookmarkStart w:id="126" w:name="_Toc14769810"/>
      <w:bookmarkStart w:id="127" w:name="_Toc14770080"/>
      <w:bookmarkStart w:id="128" w:name="_Toc14770350"/>
      <w:bookmarkStart w:id="129" w:name="_Toc14770503"/>
      <w:bookmarkStart w:id="130" w:name="_Toc14770658"/>
      <w:bookmarkStart w:id="131" w:name="_Toc14770813"/>
      <w:bookmarkStart w:id="132" w:name="_Toc14770970"/>
      <w:bookmarkStart w:id="133" w:name="_Toc14771629"/>
      <w:bookmarkStart w:id="134" w:name="_Toc14768990"/>
      <w:bookmarkStart w:id="135" w:name="_Toc14769264"/>
      <w:bookmarkStart w:id="136" w:name="_Toc14769658"/>
      <w:bookmarkStart w:id="137" w:name="_Toc14769811"/>
      <w:bookmarkStart w:id="138" w:name="_Toc14770081"/>
      <w:bookmarkStart w:id="139" w:name="_Toc14770351"/>
      <w:bookmarkStart w:id="140" w:name="_Toc14770504"/>
      <w:bookmarkStart w:id="141" w:name="_Toc14770659"/>
      <w:bookmarkStart w:id="142" w:name="_Toc14770814"/>
      <w:bookmarkStart w:id="143" w:name="_Toc14770971"/>
      <w:bookmarkStart w:id="144" w:name="_Toc14771508"/>
      <w:bookmarkStart w:id="145" w:name="_Toc14771630"/>
      <w:bookmarkStart w:id="146" w:name="_Toc15478342"/>
      <w:bookmarkStart w:id="147" w:name="_Toc14769016"/>
      <w:bookmarkStart w:id="148" w:name="_Toc14769290"/>
      <w:bookmarkStart w:id="149" w:name="_Toc14769684"/>
      <w:bookmarkStart w:id="150" w:name="_Toc14769837"/>
      <w:bookmarkStart w:id="151" w:name="_Toc14770107"/>
      <w:bookmarkStart w:id="152" w:name="_Toc14770377"/>
      <w:bookmarkStart w:id="153" w:name="_Toc14770530"/>
      <w:bookmarkStart w:id="154" w:name="_Toc14770685"/>
      <w:bookmarkStart w:id="155" w:name="_Toc14770840"/>
      <w:bookmarkStart w:id="156" w:name="_Toc14770997"/>
      <w:bookmarkStart w:id="157" w:name="_Toc14771527"/>
      <w:bookmarkStart w:id="158" w:name="_Toc14771656"/>
      <w:bookmarkStart w:id="159" w:name="_Toc15478361"/>
      <w:bookmarkStart w:id="160" w:name="_Toc14769060"/>
      <w:bookmarkStart w:id="161" w:name="_Toc14769334"/>
      <w:bookmarkStart w:id="162" w:name="_Toc14769728"/>
      <w:bookmarkStart w:id="163" w:name="_Toc14769881"/>
      <w:bookmarkStart w:id="164" w:name="_Toc14770151"/>
      <w:bookmarkStart w:id="165" w:name="_Toc14770421"/>
      <w:bookmarkStart w:id="166" w:name="_Toc14770574"/>
      <w:bookmarkStart w:id="167" w:name="_Toc14770729"/>
      <w:bookmarkStart w:id="168" w:name="_Toc14770884"/>
      <w:bookmarkStart w:id="169" w:name="_Toc14771041"/>
      <w:bookmarkStart w:id="170" w:name="_Toc14771559"/>
      <w:bookmarkStart w:id="171" w:name="_Toc14771700"/>
      <w:bookmarkStart w:id="172" w:name="_Toc15478393"/>
      <w:bookmarkStart w:id="173" w:name="_Toc14769113"/>
      <w:bookmarkStart w:id="174" w:name="_Toc14769387"/>
      <w:bookmarkStart w:id="175" w:name="_Toc14769781"/>
      <w:bookmarkStart w:id="176" w:name="_Toc14769934"/>
      <w:bookmarkStart w:id="177" w:name="_Toc14770204"/>
      <w:bookmarkStart w:id="178" w:name="_Toc14770474"/>
      <w:bookmarkStart w:id="179" w:name="_Toc14770627"/>
      <w:bookmarkStart w:id="180" w:name="_Toc14770782"/>
      <w:bookmarkStart w:id="181" w:name="_Toc14770937"/>
      <w:bookmarkStart w:id="182" w:name="_Toc14771094"/>
      <w:bookmarkStart w:id="183" w:name="_Toc14771600"/>
      <w:bookmarkStart w:id="184" w:name="_Toc14771753"/>
      <w:bookmarkStart w:id="185" w:name="_Toc1547843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Pr>
          <w:rFonts w:ascii="Times New Roman" w:hAnsi="Times New Roman"/>
          <w:color w:val="auto"/>
          <w:sz w:val="24"/>
        </w:rPr>
        <w:t>3.</w:t>
      </w:r>
      <w:r>
        <w:rPr>
          <w:rFonts w:ascii="Times New Roman" w:hAnsi="Times New Roman"/>
          <w:color w:val="auto"/>
          <w:sz w:val="24"/>
        </w:rPr>
        <w:tab/>
      </w:r>
      <w:bookmarkStart w:id="186" w:name="_Toc14770783"/>
      <w:bookmarkStart w:id="187" w:name="_Toc45266927"/>
      <w:r>
        <w:rPr>
          <w:rFonts w:ascii="Times New Roman" w:hAnsi="Times New Roman"/>
          <w:color w:val="auto"/>
          <w:sz w:val="24"/>
        </w:rPr>
        <w:t>EU TLAC 1: Zusammensetzung – MREL und, falls zutreffend, G-SRI-Anforderung an Eigenmittel und berücksichtigungsfähige Verbindlichkeiten</w:t>
      </w:r>
      <w:bookmarkEnd w:id="186"/>
      <w:bookmarkEnd w:id="187"/>
    </w:p>
    <w:p w14:paraId="5FDEB8AD" w14:textId="17A1952C" w:rsidR="00021E4F" w:rsidRPr="0008623B" w:rsidRDefault="00021E4F" w:rsidP="00B62DC9">
      <w:pPr>
        <w:pStyle w:val="InstructionsText2"/>
        <w:numPr>
          <w:ilvl w:val="0"/>
          <w:numId w:val="12"/>
        </w:numPr>
      </w:pPr>
      <w:r>
        <w:t>Die Position der Eigenmittel und berücksichtigungsfähigen Verbindlichkeiten in Bezug auf die Abwicklungsgruppe umfasst nur Kapitalinstrumente und berücksichtigungsfähige Verbindlichkeiten, die von der Abwicklungseinheit und — sofern dies mit Artikel 45b Absatz 3 der Richtlinie 2014/59/EU bzw. Artikel 88a der Verordnung (EU) Nr. 575/2013 vereinbar ist — von Tochterunternehmen der Abwicklungseinheit begeben wurden, unter Ausschluss von Unternehmen außerhalb der Abwicklungsgruppe. Ebenso basiert die Position „Eigenmittel und berücksichtigungsfähige Verbindlichkeiten“ auf dem Gesamtrisikobetrag (gemäß Artikel 45h Absatz 2 der Richtlinie 2014/59/EU angepasst) und der Gesamtrisikopositionsmessgröße, die auf der Ebene der Abwicklungsgruppe berechnet wird.</w:t>
      </w:r>
    </w:p>
    <w:p w14:paraId="31AA4E2B" w14:textId="5FF6ED9D" w:rsidR="00B00CC4" w:rsidRPr="0008623B" w:rsidRDefault="00021E4F" w:rsidP="00B62DC9">
      <w:pPr>
        <w:pStyle w:val="InstructionsText2"/>
        <w:numPr>
          <w:ilvl w:val="0"/>
          <w:numId w:val="12"/>
        </w:numPr>
      </w:pPr>
      <w:r>
        <w:lastRenderedPageBreak/>
        <w:t>In Bezug auf die Wertberichtigungen geben die Unternehmen Abzüge von den Eigenmitteln und berücksichtigungsfähigen Verbindlichkeiten als negative Zahlen und Zugänge zu den Eigenmitteln und berücksichtigungsfähigen Verbindlichkeiten als positive Zahlen an.</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807127" w:rsidRPr="0008623B" w14:paraId="326F196A" w14:textId="77777777" w:rsidTr="00807127">
        <w:trPr>
          <w:trHeight w:val="238"/>
        </w:trPr>
        <w:tc>
          <w:tcPr>
            <w:tcW w:w="1384" w:type="dxa"/>
            <w:shd w:val="clear" w:color="auto" w:fill="D9D9D9" w:themeFill="background1" w:themeFillShade="D9"/>
          </w:tcPr>
          <w:p w14:paraId="0D11A621" w14:textId="7182C6B7" w:rsidR="00807127" w:rsidRPr="0008623B" w:rsidRDefault="00807127" w:rsidP="00807127">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Spalten</w:t>
            </w:r>
          </w:p>
        </w:tc>
        <w:tc>
          <w:tcPr>
            <w:tcW w:w="7655" w:type="dxa"/>
            <w:shd w:val="clear" w:color="auto" w:fill="D9D9D9" w:themeFill="background1" w:themeFillShade="D9"/>
          </w:tcPr>
          <w:p w14:paraId="791EECCB" w14:textId="195647A1" w:rsidR="00807127" w:rsidRPr="0008623B" w:rsidRDefault="00E46262" w:rsidP="00807127">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Rechtsgrundlagen und Erläuterungen</w:t>
            </w:r>
          </w:p>
        </w:tc>
      </w:tr>
      <w:tr w:rsidR="00807127" w:rsidRPr="0008623B" w14:paraId="32E9685C" w14:textId="77777777" w:rsidTr="00807127">
        <w:trPr>
          <w:trHeight w:val="637"/>
        </w:trPr>
        <w:tc>
          <w:tcPr>
            <w:tcW w:w="1384" w:type="dxa"/>
          </w:tcPr>
          <w:p w14:paraId="6B2EC01C" w14:textId="6A4D6558" w:rsidR="00807127" w:rsidRPr="0008623B" w:rsidDel="00DE6BC1" w:rsidRDefault="00807127" w:rsidP="00EF47A4">
            <w:pPr>
              <w:pStyle w:val="Applicationdirecte"/>
              <w:spacing w:before="120"/>
              <w:jc w:val="center"/>
              <w:rPr>
                <w:color w:val="000000" w:themeColor="text1"/>
                <w:szCs w:val="24"/>
              </w:rPr>
            </w:pPr>
            <w:r>
              <w:rPr>
                <w:color w:val="000000" w:themeColor="text1"/>
              </w:rPr>
              <w:t>a</w:t>
            </w:r>
          </w:p>
        </w:tc>
        <w:tc>
          <w:tcPr>
            <w:tcW w:w="7655" w:type="dxa"/>
          </w:tcPr>
          <w:p w14:paraId="436FCBC7" w14:textId="60418D16" w:rsidR="00807127" w:rsidRPr="0008623B" w:rsidRDefault="008C2E99" w:rsidP="003C10CA">
            <w:pPr>
              <w:autoSpaceDE w:val="0"/>
              <w:autoSpaceDN w:val="0"/>
              <w:adjustRightInd w:val="0"/>
              <w:spacing w:before="120" w:after="120"/>
              <w:rPr>
                <w:rFonts w:ascii="Times New Roman" w:hAnsi="Times New Roman" w:cs="Times New Roman"/>
                <w:color w:val="000000" w:themeColor="text1"/>
                <w:sz w:val="24"/>
                <w:szCs w:val="24"/>
              </w:rPr>
            </w:pPr>
            <w:r>
              <w:rPr>
                <w:rFonts w:ascii="Times New Roman" w:hAnsi="Times New Roman"/>
                <w:color w:val="000000" w:themeColor="text1"/>
                <w:sz w:val="24"/>
              </w:rPr>
              <w:t>In dieser Spalte geben die Unternehmen die relevanten Informationen über die MREL in Übereinstimmung mit den Artikeln 45 und 45e der Richtlinie 2014/59/EU an.</w:t>
            </w:r>
          </w:p>
        </w:tc>
      </w:tr>
      <w:tr w:rsidR="00807127" w:rsidRPr="0008623B" w14:paraId="462C6C09" w14:textId="77777777" w:rsidTr="00807127">
        <w:trPr>
          <w:trHeight w:val="637"/>
        </w:trPr>
        <w:tc>
          <w:tcPr>
            <w:tcW w:w="1384" w:type="dxa"/>
          </w:tcPr>
          <w:p w14:paraId="560866CC" w14:textId="77777777" w:rsidR="00807127" w:rsidRPr="0008623B" w:rsidDel="00DE6BC1" w:rsidRDefault="00807127" w:rsidP="00807127">
            <w:pPr>
              <w:pStyle w:val="Applicationdirecte"/>
              <w:spacing w:before="120"/>
              <w:jc w:val="center"/>
              <w:rPr>
                <w:color w:val="000000" w:themeColor="text1"/>
                <w:szCs w:val="24"/>
              </w:rPr>
            </w:pPr>
            <w:r>
              <w:rPr>
                <w:color w:val="000000" w:themeColor="text1"/>
              </w:rPr>
              <w:t>b</w:t>
            </w:r>
          </w:p>
        </w:tc>
        <w:tc>
          <w:tcPr>
            <w:tcW w:w="7655" w:type="dxa"/>
          </w:tcPr>
          <w:p w14:paraId="1B5C7CCC" w14:textId="65BA9065" w:rsidR="00807127" w:rsidRPr="0008623B" w:rsidRDefault="008C2E99" w:rsidP="00F60ACD">
            <w:pPr>
              <w:autoSpaceDE w:val="0"/>
              <w:autoSpaceDN w:val="0"/>
              <w:adjustRightInd w:val="0"/>
              <w:spacing w:before="120" w:after="120"/>
              <w:rPr>
                <w:rFonts w:ascii="Times New Roman" w:hAnsi="Times New Roman" w:cs="Times New Roman"/>
                <w:b/>
                <w:color w:val="000000" w:themeColor="text1"/>
                <w:sz w:val="24"/>
                <w:szCs w:val="24"/>
              </w:rPr>
            </w:pPr>
            <w:r>
              <w:rPr>
                <w:rFonts w:ascii="Times New Roman" w:hAnsi="Times New Roman"/>
                <w:color w:val="000000" w:themeColor="text1"/>
                <w:sz w:val="24"/>
              </w:rPr>
              <w:t xml:space="preserve">Unternehmen, die G-SRI sind und einer TLAC-Anforderung gemäß Artikel 92a der Verordnung (EU) Nr. 575/2013 unterliegen, legen in dieser Spalte die relevanten Informationen zu dieser Anforderung offen. </w:t>
            </w:r>
          </w:p>
        </w:tc>
      </w:tr>
      <w:tr w:rsidR="00807127" w:rsidRPr="0008623B" w14:paraId="4B0052CD" w14:textId="77777777" w:rsidTr="00807127">
        <w:trPr>
          <w:trHeight w:val="637"/>
        </w:trPr>
        <w:tc>
          <w:tcPr>
            <w:tcW w:w="1384" w:type="dxa"/>
          </w:tcPr>
          <w:p w14:paraId="3F556DCF" w14:textId="09520620" w:rsidR="00807127" w:rsidRPr="0008623B" w:rsidDel="00DE6BC1" w:rsidRDefault="00807127" w:rsidP="00EF47A4">
            <w:pPr>
              <w:pStyle w:val="Applicationdirecte"/>
              <w:spacing w:before="120"/>
              <w:jc w:val="center"/>
              <w:rPr>
                <w:color w:val="000000" w:themeColor="text1"/>
                <w:szCs w:val="24"/>
              </w:rPr>
            </w:pPr>
            <w:r>
              <w:rPr>
                <w:color w:val="000000" w:themeColor="text1"/>
              </w:rPr>
              <w:t>c</w:t>
            </w:r>
          </w:p>
        </w:tc>
        <w:tc>
          <w:tcPr>
            <w:tcW w:w="7655" w:type="dxa"/>
          </w:tcPr>
          <w:p w14:paraId="77906683" w14:textId="414268DB" w:rsidR="00807127" w:rsidRPr="0008623B" w:rsidRDefault="00807127" w:rsidP="00B62DC9">
            <w:pPr>
              <w:pStyle w:val="InstructionsText"/>
            </w:pPr>
            <w:r>
              <w:rPr>
                <w:rStyle w:val="FormatvorlageInstructionsTabelleText"/>
                <w:rFonts w:ascii="Times New Roman" w:hAnsi="Times New Roman"/>
                <w:sz w:val="24"/>
              </w:rPr>
              <w:t>Diese Spalte ist nur von Unternehmen auszufüllen, die der TLAC-Anforderung unterliegen.</w:t>
            </w:r>
            <w:r>
              <w:t xml:space="preserve"> </w:t>
            </w:r>
          </w:p>
          <w:p w14:paraId="1B6D4BC4" w14:textId="410E4195" w:rsidR="00807127" w:rsidRPr="0008623B" w:rsidRDefault="00807127" w:rsidP="00B62DC9">
            <w:pPr>
              <w:pStyle w:val="InstructionsText"/>
            </w:pPr>
            <w:r>
              <w:t>Diese Spalte spiegelt die Differenz zwischen den Beträgen wider, die im Zusammenhang mit der Anforderung gemäß Artikel 45 der Richtlinie 2014/59/EU gelten, und den Beträgen, die im Zusammenhang mit der Anforderung gemäß Artikel 92a der Verordnung (EU) Nr. 575/2013 gelten.</w:t>
            </w:r>
          </w:p>
        </w:tc>
      </w:tr>
    </w:tbl>
    <w:p w14:paraId="3AC1888A" w14:textId="77777777" w:rsidR="00807127" w:rsidRPr="004A008C" w:rsidRDefault="00807127" w:rsidP="00807127">
      <w:pPr>
        <w:jc w:val="both"/>
        <w:rPr>
          <w:rFonts w:ascii="Times New Roman" w:hAnsi="Times New Roman" w:cs="Times New Roman"/>
          <w:i/>
          <w:noProof/>
          <w:color w:val="000000" w:themeColor="text1"/>
          <w:sz w:val="24"/>
          <w:szCs w:val="24"/>
        </w:rPr>
      </w:pPr>
    </w:p>
    <w:tbl>
      <w:tblPr>
        <w:tblStyle w:val="TableGrid"/>
        <w:tblW w:w="0" w:type="auto"/>
        <w:tblInd w:w="5" w:type="dxa"/>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
      <w:tblGrid>
        <w:gridCol w:w="1030"/>
        <w:gridCol w:w="7736"/>
      </w:tblGrid>
      <w:tr w:rsidR="00026FC1" w:rsidRPr="0008623B" w14:paraId="6EA9B061" w14:textId="77777777" w:rsidTr="00E46262">
        <w:trPr>
          <w:cnfStyle w:val="100000000000" w:firstRow="1" w:lastRow="0" w:firstColumn="0" w:lastColumn="0" w:oddVBand="0" w:evenVBand="0" w:oddHBand="0" w:evenHBand="0" w:firstRowFirstColumn="0" w:firstRowLastColumn="0" w:lastRowFirstColumn="0" w:lastRowLastColumn="0"/>
        </w:trPr>
        <w:tc>
          <w:tcPr>
            <w:tcW w:w="1030" w:type="dxa"/>
            <w:tcBorders>
              <w:top w:val="single" w:sz="4" w:space="0" w:color="auto"/>
              <w:left w:val="single" w:sz="4" w:space="0" w:color="auto"/>
              <w:right w:val="single" w:sz="4" w:space="0" w:color="auto"/>
            </w:tcBorders>
            <w:shd w:val="clear" w:color="auto" w:fill="D9D9D9" w:themeFill="background1" w:themeFillShade="D9"/>
          </w:tcPr>
          <w:p w14:paraId="563BF1AA" w14:textId="77777777" w:rsidR="00021E4F" w:rsidRPr="0008623B" w:rsidRDefault="00021E4F" w:rsidP="00915305">
            <w:pPr>
              <w:rPr>
                <w:rFonts w:ascii="Times New Roman" w:hAnsi="Times New Roman" w:cs="Times New Roman"/>
                <w:noProof/>
                <w:color w:val="000000" w:themeColor="text1"/>
                <w:sz w:val="24"/>
                <w:szCs w:val="24"/>
              </w:rPr>
            </w:pPr>
            <w:r>
              <w:rPr>
                <w:rFonts w:ascii="Times New Roman" w:hAnsi="Times New Roman"/>
                <w:b/>
                <w:color w:val="000000" w:themeColor="text1"/>
                <w:sz w:val="24"/>
              </w:rPr>
              <w:t xml:space="preserve">Zeile </w:t>
            </w:r>
          </w:p>
        </w:tc>
        <w:tc>
          <w:tcPr>
            <w:tcW w:w="7736" w:type="dxa"/>
            <w:tcBorders>
              <w:top w:val="single" w:sz="4" w:space="0" w:color="auto"/>
              <w:left w:val="single" w:sz="4" w:space="0" w:color="auto"/>
              <w:right w:val="single" w:sz="4" w:space="0" w:color="auto"/>
            </w:tcBorders>
            <w:shd w:val="clear" w:color="auto" w:fill="D9D9D9" w:themeFill="background1" w:themeFillShade="D9"/>
          </w:tcPr>
          <w:p w14:paraId="54B2E936" w14:textId="094D65BE" w:rsidR="00021E4F" w:rsidRPr="0008623B" w:rsidRDefault="00E46262" w:rsidP="00915305">
            <w:pPr>
              <w:rPr>
                <w:rFonts w:ascii="Times New Roman" w:hAnsi="Times New Roman" w:cs="Times New Roman"/>
                <w:noProof/>
                <w:color w:val="000000" w:themeColor="text1"/>
                <w:sz w:val="24"/>
                <w:szCs w:val="24"/>
              </w:rPr>
            </w:pPr>
            <w:r>
              <w:rPr>
                <w:rFonts w:ascii="Times New Roman" w:hAnsi="Times New Roman"/>
                <w:b/>
                <w:color w:val="000000" w:themeColor="text1"/>
                <w:sz w:val="24"/>
              </w:rPr>
              <w:t>Rechtsgrundlagen und Erläuterungen</w:t>
            </w:r>
          </w:p>
        </w:tc>
      </w:tr>
      <w:tr w:rsidR="00026FC1" w:rsidRPr="0008623B" w14:paraId="614F9517" w14:textId="77777777" w:rsidTr="00E46262">
        <w:tc>
          <w:tcPr>
            <w:tcW w:w="1030" w:type="dxa"/>
          </w:tcPr>
          <w:p w14:paraId="7EE06B6D" w14:textId="77777777" w:rsidR="00021E4F" w:rsidRPr="0008623B" w:rsidRDefault="00021E4F"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1</w:t>
            </w:r>
          </w:p>
        </w:tc>
        <w:tc>
          <w:tcPr>
            <w:tcW w:w="7736" w:type="dxa"/>
          </w:tcPr>
          <w:p w14:paraId="709BFA1D" w14:textId="0A17EB42" w:rsidR="00021E4F" w:rsidRPr="0008623B" w:rsidRDefault="00021E4F" w:rsidP="00915305">
            <w:pPr>
              <w:rPr>
                <w:rFonts w:ascii="Times New Roman" w:hAnsi="Times New Roman" w:cs="Times New Roman"/>
                <w:noProof/>
                <w:color w:val="000000" w:themeColor="text1"/>
                <w:sz w:val="24"/>
                <w:szCs w:val="24"/>
              </w:rPr>
            </w:pPr>
            <w:r>
              <w:rPr>
                <w:rFonts w:ascii="Times New Roman" w:hAnsi="Times New Roman"/>
                <w:b/>
                <w:color w:val="000000" w:themeColor="text1"/>
                <w:sz w:val="24"/>
              </w:rPr>
              <w:t>Hartes Kernkapital (CET1)</w:t>
            </w:r>
          </w:p>
          <w:p w14:paraId="0C38277D" w14:textId="1D578338" w:rsidR="00021E4F" w:rsidRPr="0008623B" w:rsidRDefault="00021E4F" w:rsidP="0097126E">
            <w:pPr>
              <w:rPr>
                <w:rFonts w:ascii="Times New Roman" w:hAnsi="Times New Roman" w:cs="Times New Roman"/>
                <w:noProof/>
                <w:color w:val="000000" w:themeColor="text1"/>
                <w:sz w:val="24"/>
                <w:szCs w:val="24"/>
              </w:rPr>
            </w:pPr>
            <w:r>
              <w:rPr>
                <w:rFonts w:ascii="Times New Roman" w:hAnsi="Times New Roman"/>
                <w:color w:val="000000" w:themeColor="text1"/>
                <w:sz w:val="24"/>
              </w:rPr>
              <w:t>Hartes Kernkapital der Abwicklungsgruppe, berechnet in Übereinstimmung mit Artikel 50 der Verordnung (EU) Nr. 575/2013.</w:t>
            </w:r>
          </w:p>
        </w:tc>
      </w:tr>
      <w:tr w:rsidR="00026FC1" w:rsidRPr="0008623B" w14:paraId="0AC96626" w14:textId="77777777" w:rsidTr="00E46262">
        <w:tc>
          <w:tcPr>
            <w:tcW w:w="1030" w:type="dxa"/>
          </w:tcPr>
          <w:p w14:paraId="4517736A" w14:textId="77777777" w:rsidR="00021E4F" w:rsidRPr="0008623B" w:rsidRDefault="00021E4F"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2</w:t>
            </w:r>
          </w:p>
        </w:tc>
        <w:tc>
          <w:tcPr>
            <w:tcW w:w="7736" w:type="dxa"/>
          </w:tcPr>
          <w:p w14:paraId="2FB37E1A" w14:textId="007BDD23" w:rsidR="00021E4F" w:rsidRPr="0008623B" w:rsidRDefault="00021E4F"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Zusätzliches Kernkapital (AT1) </w:t>
            </w:r>
          </w:p>
          <w:p w14:paraId="05B0D3DA" w14:textId="4151C42D" w:rsidR="00E94218" w:rsidRPr="0008623B" w:rsidRDefault="00021E4F">
            <w:pPr>
              <w:rPr>
                <w:rFonts w:ascii="Times New Roman" w:hAnsi="Times New Roman" w:cs="Times New Roman"/>
                <w:noProof/>
                <w:color w:val="000000" w:themeColor="text1"/>
                <w:sz w:val="24"/>
                <w:szCs w:val="24"/>
              </w:rPr>
            </w:pPr>
            <w:r>
              <w:rPr>
                <w:rFonts w:ascii="Times New Roman" w:hAnsi="Times New Roman"/>
                <w:color w:val="000000" w:themeColor="text1"/>
                <w:sz w:val="24"/>
              </w:rPr>
              <w:t>Zusätzliches Kernkapital der Abwicklungsgruppe, berechnet in Übereinstimmung mit Artikel 61 der Verordnung (EU) Nr. 575/2013.</w:t>
            </w:r>
          </w:p>
          <w:p w14:paraId="66E56E67" w14:textId="5AF6C892" w:rsidR="00021E4F" w:rsidRPr="0008623B" w:rsidRDefault="00E94218" w:rsidP="00E94218">
            <w:pPr>
              <w:rPr>
                <w:rFonts w:ascii="Times New Roman" w:hAnsi="Times New Roman" w:cs="Times New Roman"/>
                <w:noProof/>
                <w:color w:val="000000" w:themeColor="text1"/>
                <w:sz w:val="24"/>
                <w:szCs w:val="24"/>
              </w:rPr>
            </w:pPr>
            <w:r>
              <w:rPr>
                <w:rFonts w:ascii="Times New Roman" w:hAnsi="Times New Roman"/>
                <w:color w:val="000000" w:themeColor="text1"/>
                <w:sz w:val="24"/>
              </w:rPr>
              <w:t>Im Falle von MREL werden Instrumente, die dem Recht eines Drittlandes unterliegen, nur dann in diese Zeile aufgenommen, wenn sie die Anforderungen gemäß Artikel 55 der Richtlinie 2014/59/EU erfüllen.</w:t>
            </w:r>
          </w:p>
        </w:tc>
      </w:tr>
      <w:tr w:rsidR="00026FC1" w:rsidRPr="0008623B" w14:paraId="2781CFBF" w14:textId="77777777" w:rsidTr="00E46262">
        <w:tc>
          <w:tcPr>
            <w:tcW w:w="1030" w:type="dxa"/>
          </w:tcPr>
          <w:p w14:paraId="6B607587" w14:textId="58DB8643" w:rsidR="00021E4F" w:rsidRPr="0008623B" w:rsidRDefault="00D571F6"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6</w:t>
            </w:r>
          </w:p>
        </w:tc>
        <w:tc>
          <w:tcPr>
            <w:tcW w:w="7736" w:type="dxa"/>
          </w:tcPr>
          <w:p w14:paraId="30A3A120" w14:textId="05F7C1CC" w:rsidR="00021E4F" w:rsidRPr="0008623B" w:rsidRDefault="00021E4F" w:rsidP="00915305">
            <w:pPr>
              <w:rPr>
                <w:rFonts w:ascii="Times New Roman" w:hAnsi="Times New Roman" w:cs="Times New Roman"/>
                <w:noProof/>
                <w:color w:val="000000" w:themeColor="text1"/>
                <w:sz w:val="24"/>
                <w:szCs w:val="24"/>
              </w:rPr>
            </w:pPr>
            <w:r>
              <w:rPr>
                <w:rFonts w:ascii="Times New Roman" w:hAnsi="Times New Roman"/>
                <w:b/>
                <w:color w:val="000000" w:themeColor="text1"/>
                <w:sz w:val="24"/>
              </w:rPr>
              <w:t>Ergänzungskapital (T2)</w:t>
            </w:r>
          </w:p>
          <w:p w14:paraId="6F849BF3" w14:textId="3A19BC99" w:rsidR="00021E4F" w:rsidRPr="0008623B" w:rsidRDefault="00021E4F" w:rsidP="001F75A3">
            <w:pPr>
              <w:rPr>
                <w:rFonts w:ascii="Times New Roman" w:hAnsi="Times New Roman" w:cs="Times New Roman"/>
                <w:noProof/>
                <w:color w:val="000000" w:themeColor="text1"/>
                <w:sz w:val="24"/>
                <w:szCs w:val="24"/>
              </w:rPr>
            </w:pPr>
            <w:r>
              <w:rPr>
                <w:rFonts w:ascii="Times New Roman" w:hAnsi="Times New Roman"/>
                <w:color w:val="000000" w:themeColor="text1"/>
                <w:sz w:val="24"/>
              </w:rPr>
              <w:t>Ergänzungskapital der Abwicklungsgruppe, berechnet in Übereinstimmung mit Artikel 71 der Verordnung (EU) Nr. 575/2013.</w:t>
            </w:r>
          </w:p>
          <w:p w14:paraId="2C50816C" w14:textId="487961E7" w:rsidR="00E94218" w:rsidRPr="0008623B" w:rsidRDefault="00E94218" w:rsidP="001F75A3">
            <w:pPr>
              <w:rPr>
                <w:rFonts w:ascii="Times New Roman" w:hAnsi="Times New Roman" w:cs="Times New Roman"/>
                <w:noProof/>
                <w:color w:val="000000" w:themeColor="text1"/>
                <w:sz w:val="24"/>
                <w:szCs w:val="24"/>
              </w:rPr>
            </w:pPr>
            <w:r>
              <w:rPr>
                <w:rFonts w:ascii="Times New Roman" w:hAnsi="Times New Roman"/>
                <w:color w:val="000000" w:themeColor="text1"/>
                <w:sz w:val="24"/>
              </w:rPr>
              <w:t>Im Falle von MREL werden Instrumente, die dem Recht eines Drittlandes unterliegen, nur dann in diese Zeile aufgenommen, wenn sie die Anforderungen gemäß Artikel 55 der Richtlinie 2014/59/EU erfüllen.</w:t>
            </w:r>
          </w:p>
        </w:tc>
      </w:tr>
      <w:tr w:rsidR="00026FC1" w:rsidRPr="0008623B" w14:paraId="77060B4B" w14:textId="77777777" w:rsidTr="00E46262">
        <w:tc>
          <w:tcPr>
            <w:tcW w:w="1030" w:type="dxa"/>
          </w:tcPr>
          <w:p w14:paraId="62D73831" w14:textId="2A91E8D9" w:rsidR="00021E4F" w:rsidRPr="0008623B" w:rsidRDefault="00D571F6"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11</w:t>
            </w:r>
          </w:p>
        </w:tc>
        <w:tc>
          <w:tcPr>
            <w:tcW w:w="7736" w:type="dxa"/>
          </w:tcPr>
          <w:p w14:paraId="3A0853BF" w14:textId="73ADC517" w:rsidR="00021E4F" w:rsidRPr="0008623B" w:rsidRDefault="00021E4F"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Eigenmittel für die Zwecke von Artikel 92a der Verordnung (EU) Nr. 575/2013 und Artikel 45 der Richtlinie 2014/59/EU </w:t>
            </w:r>
          </w:p>
          <w:p w14:paraId="61FB0BF1" w14:textId="6C6EEBF4" w:rsidR="00021E4F" w:rsidRPr="0008623B" w:rsidRDefault="00021E4F" w:rsidP="00503590">
            <w:pPr>
              <w:rPr>
                <w:rFonts w:ascii="Times New Roman" w:hAnsi="Times New Roman" w:cs="Times New Roman"/>
                <w:noProof/>
                <w:color w:val="000000" w:themeColor="text1"/>
                <w:sz w:val="24"/>
                <w:szCs w:val="24"/>
              </w:rPr>
            </w:pPr>
            <w:r>
              <w:rPr>
                <w:rFonts w:ascii="Times New Roman" w:hAnsi="Times New Roman"/>
                <w:color w:val="000000" w:themeColor="text1"/>
                <w:sz w:val="24"/>
              </w:rPr>
              <w:t>Eigenmittel für die Zwecke von Artikel 92a der Verordnung (EU) Nr. 575/2013 und Artikel 45 der Richtlinie 2014/59/EU, zu berechnen durch die Addition von Zeile 1, Zeile 2 und Zeile 6.</w:t>
            </w:r>
          </w:p>
        </w:tc>
      </w:tr>
      <w:tr w:rsidR="00026FC1" w:rsidRPr="0008623B" w14:paraId="5B3A8911" w14:textId="77777777" w:rsidTr="00E46262">
        <w:tc>
          <w:tcPr>
            <w:tcW w:w="1030" w:type="dxa"/>
          </w:tcPr>
          <w:p w14:paraId="3865D42E" w14:textId="14C5B714" w:rsidR="00021E4F" w:rsidRPr="0008623B" w:rsidRDefault="00D571F6"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12</w:t>
            </w:r>
          </w:p>
        </w:tc>
        <w:tc>
          <w:tcPr>
            <w:tcW w:w="7736" w:type="dxa"/>
          </w:tcPr>
          <w:p w14:paraId="5BC74910" w14:textId="5B101009" w:rsidR="00BD6570" w:rsidRPr="0008623B" w:rsidRDefault="00021E4F" w:rsidP="00BD6570">
            <w:pPr>
              <w:rPr>
                <w:rFonts w:ascii="Times New Roman" w:hAnsi="Times New Roman" w:cs="Times New Roman"/>
                <w:noProof/>
                <w:color w:val="000000" w:themeColor="text1"/>
                <w:sz w:val="24"/>
                <w:szCs w:val="24"/>
              </w:rPr>
            </w:pPr>
            <w:r>
              <w:rPr>
                <w:rFonts w:ascii="Times New Roman" w:hAnsi="Times New Roman"/>
                <w:b/>
                <w:color w:val="000000" w:themeColor="text1"/>
                <w:sz w:val="24"/>
              </w:rPr>
              <w:t>Direkt von der Abwicklungseinheit begebene Instrumente berücksichtigungsfähiger Verbindlichkeiten, die gegenüber ausgenommenen Verbindlichkeiten nachrangig sind (nicht bestandsgeschützt)</w:t>
            </w:r>
          </w:p>
          <w:p w14:paraId="074ADC7C" w14:textId="77777777" w:rsidR="00BD6570" w:rsidRPr="0008623B" w:rsidRDefault="00BD6570"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MREL</w:t>
            </w:r>
          </w:p>
          <w:p w14:paraId="5DF92336" w14:textId="765EDF5B" w:rsidR="00BD6570" w:rsidRPr="0008623B" w:rsidRDefault="00BD6570" w:rsidP="00B62DC9">
            <w:pPr>
              <w:pStyle w:val="InstructionsText"/>
              <w:rPr>
                <w:rStyle w:val="FormatvorlageInstructionsTabelleText"/>
                <w:rFonts w:ascii="Times New Roman" w:hAnsi="Times New Roman"/>
                <w:sz w:val="24"/>
              </w:rPr>
            </w:pPr>
            <w:r>
              <w:t>In den Betrag der Eigenmittel und berücksichtigungsfähigen Verbindlichkeiten gemäß Artikel 45b der Richtlinie 2014/59/EU einbezogene berücksichtigungsfähige Verbindlichkeiten, bei denen es sich um nachrangige berücksichtigungsfähige Instrumente im Sinne von Artikel 2 Absatz 1 Nummer 71b der Richtlinie 2014/59/EU handelt und die direkt von der Abwicklungseinheit begeben werden.</w:t>
            </w:r>
          </w:p>
          <w:p w14:paraId="26CA1F30" w14:textId="30AB9FAB" w:rsidR="00A97842" w:rsidRPr="0008623B" w:rsidRDefault="00A97842" w:rsidP="00B62DC9">
            <w:pPr>
              <w:pStyle w:val="InstructionsText"/>
              <w:rPr>
                <w:rStyle w:val="FormatvorlageInstructionsTabelleText"/>
                <w:rFonts w:ascii="Times New Roman" w:hAnsi="Times New Roman"/>
                <w:i/>
                <w:sz w:val="24"/>
              </w:rPr>
            </w:pPr>
            <w:r>
              <w:rPr>
                <w:rStyle w:val="FormatvorlageInstructionsTabelleText"/>
                <w:rFonts w:ascii="Times New Roman" w:hAnsi="Times New Roman"/>
                <w:sz w:val="24"/>
              </w:rPr>
              <w:t>Im Falle von Instrumenten, die dem Recht eines Drittlandes unterliegen, wird das Instrument nur dann in diese Zeile aufgenommen, wenn es die Anforderungen gemäß Artikel 55 der Richtlinie 2014/59/EU erfüllt.</w:t>
            </w:r>
          </w:p>
          <w:p w14:paraId="39C8C83A" w14:textId="77777777" w:rsidR="00BD6570" w:rsidRPr="0008623B" w:rsidRDefault="00BD6570" w:rsidP="00B62DC9">
            <w:pPr>
              <w:pStyle w:val="InstructionsText"/>
              <w:rPr>
                <w:rStyle w:val="FormatvorlageInstructionsTabelleText"/>
                <w:rFonts w:ascii="Times New Roman" w:hAnsi="Times New Roman"/>
                <w:b/>
                <w:sz w:val="24"/>
              </w:rPr>
            </w:pPr>
            <w:r>
              <w:rPr>
                <w:rStyle w:val="FormatvorlageInstructionsTabelleText"/>
                <w:rFonts w:ascii="Times New Roman" w:hAnsi="Times New Roman"/>
                <w:i/>
                <w:sz w:val="24"/>
              </w:rPr>
              <w:t>TLAC</w:t>
            </w:r>
          </w:p>
          <w:p w14:paraId="66B62B57" w14:textId="0743E841" w:rsidR="00BD6570" w:rsidRPr="0008623B" w:rsidRDefault="00BD6570" w:rsidP="00B62DC9">
            <w:pPr>
              <w:pStyle w:val="InstructionsText"/>
              <w:rPr>
                <w:rStyle w:val="FormatvorlageInstructionsTabelleText"/>
                <w:rFonts w:ascii="Times New Roman" w:hAnsi="Times New Roman"/>
                <w:b/>
                <w:sz w:val="24"/>
              </w:rPr>
            </w:pPr>
            <w:r>
              <w:rPr>
                <w:rStyle w:val="FormatvorlageInstructionsTabelleText"/>
                <w:rFonts w:ascii="Times New Roman" w:hAnsi="Times New Roman"/>
                <w:sz w:val="24"/>
              </w:rPr>
              <w:t>Berücksichtigungsfähige Verbindlichkeiten, die sämtliche in den Artikeln 72a bis 72d der Verordnung (EU) Nr. 575/2013 festgelegten Anforderungen erfüllen, unter Ausschluss von Verbindlichkeiten, die gemäß Artikel 72b Absatz 3 oder 4 der genannten Verordnung als Instrumente berücksichtigungsfähiger Verbindlichkeiten eingestuft werden können, und die direkt von der Abwicklungseinheit begeben werden.</w:t>
            </w:r>
          </w:p>
          <w:p w14:paraId="1DC64B11" w14:textId="43193578" w:rsidR="00021E4F" w:rsidRPr="0008623B" w:rsidRDefault="00BD6570" w:rsidP="002A1CB5">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In diese Zeile werden weder der abgeschriebene Teil von Instrumenten des Ergänzungskapitals, deren Restlaufzeit mehr als ein Jahr beträgt (Artikel 72a Absatz 1 Buchstabe b der Verordnung (EU) Nr. 575/2013), noch berücksichtigungsfähige Verbindlichkeiten, für die der Bestandsschutz gemäß Artikel 494b der Verordnung (EU) Nr. 575/2013 gilt, eingetragen.</w:t>
            </w:r>
          </w:p>
        </w:tc>
      </w:tr>
      <w:tr w:rsidR="00026FC1" w:rsidRPr="0008623B" w14:paraId="138E2D9C" w14:textId="77777777" w:rsidTr="00E46262">
        <w:tc>
          <w:tcPr>
            <w:tcW w:w="1030" w:type="dxa"/>
          </w:tcPr>
          <w:p w14:paraId="6FA92C5C" w14:textId="69DE2A40" w:rsidR="00021E4F" w:rsidRPr="0008623B" w:rsidRDefault="00D571F6"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EU-12a</w:t>
            </w:r>
          </w:p>
        </w:tc>
        <w:tc>
          <w:tcPr>
            <w:tcW w:w="7736" w:type="dxa"/>
          </w:tcPr>
          <w:p w14:paraId="5358B90C" w14:textId="357A9C41" w:rsidR="00021E4F" w:rsidRPr="0008623B" w:rsidRDefault="00021E4F" w:rsidP="00915305">
            <w:pPr>
              <w:rPr>
                <w:rFonts w:ascii="Times New Roman" w:hAnsi="Times New Roman" w:cs="Times New Roman"/>
                <w:noProof/>
                <w:color w:val="000000" w:themeColor="text1"/>
                <w:sz w:val="24"/>
                <w:szCs w:val="24"/>
              </w:rPr>
            </w:pPr>
            <w:r>
              <w:rPr>
                <w:rFonts w:ascii="Times New Roman" w:hAnsi="Times New Roman"/>
                <w:b/>
                <w:color w:val="000000" w:themeColor="text1"/>
                <w:sz w:val="24"/>
              </w:rPr>
              <w:t>Von anderen Unternehmen der Abwicklungsgruppe begebene Instrumente berücksichtigungsfähiger Verbindlichkeiten, die gegenüber ausgenommenen Verbindlichkeiten nachrangig sind (nicht bestandsgeschützt)</w:t>
            </w:r>
          </w:p>
          <w:p w14:paraId="57A6D73A" w14:textId="77777777" w:rsidR="00BD6570" w:rsidRPr="0008623B" w:rsidRDefault="00BD6570" w:rsidP="00B62DC9">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369BA2B0" w14:textId="05CA7721" w:rsidR="00BD6570" w:rsidRPr="0008623B" w:rsidRDefault="00BD6570"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In den Betrag der Eigenmittel und berücksichtigungsfähigen Verbindlichkeiten gemäß Artikel 45b der Richtlinie 2014/59/EU einbezogene berücksichtigungsfähige Verbindlichkeiten, die von Tochterunternehmen begeben werden und gemäß Artikel 45b Absatz 3 der genannten Richtlinie in die MREL einbezogen werden.</w:t>
            </w:r>
          </w:p>
          <w:p w14:paraId="02BD22DB" w14:textId="392507F9" w:rsidR="003E4404" w:rsidRPr="0008623B" w:rsidRDefault="003E4404" w:rsidP="00B62DC9">
            <w:pPr>
              <w:pStyle w:val="InstructionsText"/>
              <w:rPr>
                <w:rStyle w:val="FormatvorlageInstructionsTabelleText"/>
                <w:rFonts w:ascii="Times New Roman" w:hAnsi="Times New Roman"/>
                <w:i/>
                <w:sz w:val="24"/>
              </w:rPr>
            </w:pPr>
            <w:r>
              <w:rPr>
                <w:rStyle w:val="FormatvorlageInstructionsTabelleText"/>
                <w:rFonts w:ascii="Times New Roman" w:hAnsi="Times New Roman"/>
                <w:sz w:val="24"/>
              </w:rPr>
              <w:lastRenderedPageBreak/>
              <w:t>Im Falle von Instrumenten, die dem Recht eines Drittlandes unterliegen, wird das Instrument nur dann in diese Zeile aufgenommen, wenn es die Anforderungen gemäß Artikel 55 der Richtlinie 2014/59/EU erfüllt.</w:t>
            </w:r>
          </w:p>
          <w:p w14:paraId="0BBD12E2" w14:textId="7EA7B44E" w:rsidR="00BD6570" w:rsidRPr="0008623B" w:rsidRDefault="00BD6570"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i/>
                <w:sz w:val="24"/>
              </w:rPr>
              <w:t>TLAC</w:t>
            </w:r>
          </w:p>
          <w:p w14:paraId="6F8A0C84" w14:textId="0CA61C04" w:rsidR="00BD6570" w:rsidRPr="0008623B" w:rsidRDefault="00BD6570" w:rsidP="00B62DC9">
            <w:pPr>
              <w:pStyle w:val="InstructionsText"/>
              <w:rPr>
                <w:rStyle w:val="FormatvorlageInstructionsTabelleText"/>
                <w:rFonts w:ascii="Times New Roman" w:hAnsi="Times New Roman"/>
                <w:b/>
                <w:sz w:val="24"/>
              </w:rPr>
            </w:pPr>
            <w:r>
              <w:rPr>
                <w:rStyle w:val="FormatvorlageInstructionsTabelleText"/>
                <w:rFonts w:ascii="Times New Roman" w:hAnsi="Times New Roman"/>
                <w:sz w:val="24"/>
              </w:rPr>
              <w:t>Berücksichtigungsfähige Verbindlichkeiten, die sämtliche in den Artikeln 72a bis 72d der Verordnung (EU) Nr. 575/2013 festgelegten Anforderungen erfüllen, unter Ausschluss von Verbindlichkeiten, die gemäß Artikel 72b Absatz 3 oder 4 der genannten Verordnung als Instrumente berücksichtigungsfähiger Verbindlichkeiten eingestuft werden können, die von Tochterunternehmen begeben werden und zu den konsolidierten Instrumenten berücksichtigungsfähiger Verbindlichkeiten eines Unternehmens gemäß Artikel 88a der Verordnung (EU) Nr. 575/2013 gezählt werden können.</w:t>
            </w:r>
          </w:p>
          <w:p w14:paraId="0DBFD655" w14:textId="5A3E4820" w:rsidR="00021E4F" w:rsidRPr="0008623B" w:rsidRDefault="00BD6570" w:rsidP="002A1CB5">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In diese Zeile werden weder der abgeschriebene Teil von Instrumenten des Ergänzungskapitals, deren Restlaufzeit mehr als ein Jahr beträgt (Artikel 72a Absatz 1 Buchstabe b der Verordnung (EU) Nr. 575/2013), noch berücksichtigungsfähige Verbindlichkeiten, für die der Bestandsschutz gemäß Artikel 494b der Verordnung (EU) Nr. 575/2013 gilt, eingetragen.</w:t>
            </w:r>
          </w:p>
        </w:tc>
      </w:tr>
      <w:tr w:rsidR="00922937" w:rsidRPr="0008623B" w14:paraId="128E215B" w14:textId="77777777" w:rsidTr="00E46262">
        <w:tc>
          <w:tcPr>
            <w:tcW w:w="1030" w:type="dxa"/>
          </w:tcPr>
          <w:p w14:paraId="59505232" w14:textId="6BA871E1" w:rsidR="00922937" w:rsidRPr="0008623B" w:rsidRDefault="00922937"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EU-12b</w:t>
            </w:r>
          </w:p>
        </w:tc>
        <w:tc>
          <w:tcPr>
            <w:tcW w:w="7736" w:type="dxa"/>
          </w:tcPr>
          <w:p w14:paraId="120C20CA" w14:textId="0D51C3A9" w:rsidR="00922937" w:rsidRPr="0008623B" w:rsidRDefault="00922937"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Instrumente berücksichtigungsfähiger Verbindlichkeiten, die gegenüber ausgenommenen Verbindlichkeiten nachrangig sind, und vor dem 27. Juni 2019 begeben wurden (nachrangig bestandsgeschützt)</w:t>
            </w:r>
          </w:p>
          <w:p w14:paraId="31DC06A4" w14:textId="77777777" w:rsidR="00BD6570" w:rsidRPr="0008623B" w:rsidRDefault="00BD6570" w:rsidP="00B62DC9">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60F78D8E" w14:textId="77777777" w:rsidR="00BD6570" w:rsidRPr="0008623B" w:rsidRDefault="00BD6570" w:rsidP="00B62DC9">
            <w:pPr>
              <w:pStyle w:val="InstructionsText"/>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Berücksichtigungsfähige Verbindlichkeiten, die die folgenden Bedingungen erfüllen:</w:t>
            </w:r>
          </w:p>
          <w:p w14:paraId="13FE6179" w14:textId="7E1CDD80" w:rsidR="00BD6570" w:rsidRPr="0008623B" w:rsidRDefault="00BD6570" w:rsidP="00B62DC9">
            <w:pPr>
              <w:pStyle w:val="InstructionsText"/>
              <w:numPr>
                <w:ilvl w:val="0"/>
                <w:numId w:val="16"/>
              </w:numPr>
              <w:rPr>
                <w:rStyle w:val="InstructionsTabelleberschrift"/>
                <w:rFonts w:ascii="Times New Roman" w:hAnsi="Times New Roman"/>
                <w:b w:val="0"/>
                <w:sz w:val="24"/>
                <w:u w:val="none"/>
              </w:rPr>
            </w:pPr>
            <w:r>
              <w:rPr>
                <w:rStyle w:val="InstructionsTabelleberschrift"/>
                <w:rFonts w:ascii="Times New Roman" w:hAnsi="Times New Roman"/>
                <w:b w:val="0"/>
                <w:sz w:val="24"/>
                <w:u w:val="none"/>
              </w:rPr>
              <w:t>sie wurden vor dem 27. Juni 2019 begeben;</w:t>
            </w:r>
          </w:p>
          <w:p w14:paraId="20EE0D1D" w14:textId="2261ECA3" w:rsidR="00BD6570" w:rsidRPr="0008623B" w:rsidRDefault="00BD6570" w:rsidP="00B62DC9">
            <w:pPr>
              <w:pStyle w:val="InstructionsText"/>
              <w:numPr>
                <w:ilvl w:val="0"/>
                <w:numId w:val="16"/>
              </w:numPr>
              <w:rPr>
                <w:rStyle w:val="FormatvorlageInstructionsTabelleText"/>
                <w:rFonts w:ascii="Times New Roman" w:hAnsi="Times New Roman"/>
                <w:sz w:val="24"/>
              </w:rPr>
            </w:pPr>
            <w:r>
              <w:t>es handelt sich um nachrangige berücksichtigungsfähige Instrumente im Sinne von Artikel 2 Absatz 1 Nummer 71b der Richtlinie 2014/59/EU;</w:t>
            </w:r>
            <w:r>
              <w:rPr>
                <w:rStyle w:val="FormatvorlageInstructionsTabelleText"/>
                <w:rFonts w:ascii="Times New Roman" w:hAnsi="Times New Roman"/>
                <w:sz w:val="24"/>
              </w:rPr>
              <w:t xml:space="preserve"> </w:t>
            </w:r>
          </w:p>
          <w:p w14:paraId="6779E72D" w14:textId="44987C71" w:rsidR="00BD6570" w:rsidRPr="0008623B" w:rsidRDefault="00BD6570" w:rsidP="00B62DC9">
            <w:pPr>
              <w:pStyle w:val="InstructionsText"/>
              <w:numPr>
                <w:ilvl w:val="0"/>
                <w:numId w:val="16"/>
              </w:numPr>
              <w:rPr>
                <w:rStyle w:val="FormatvorlageInstructionsTabelleText"/>
                <w:rFonts w:ascii="Times New Roman" w:hAnsi="Times New Roman"/>
                <w:sz w:val="24"/>
              </w:rPr>
            </w:pPr>
            <w:r>
              <w:t>sie werden aufgrund von Artikel 494b Absatz 3 der Verordnung (EU) Nr. 575/2013 in die Eigenmittel und berücksichtigungsfähigen Verbindlichkeiten einbezogen.</w:t>
            </w:r>
          </w:p>
          <w:p w14:paraId="3997A101" w14:textId="21BFEA1B" w:rsidR="003E4404" w:rsidRPr="0008623B" w:rsidRDefault="003E4404"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Im Falle von Instrumenten, die dem Recht eines Drittlandes unterliegen, wird das Instrument nur dann in diese Zeile aufgenommen, wenn es die Anforderungen gemäß Artikel 55 der Richtlinie 2014/59/EU erfüllt.</w:t>
            </w:r>
          </w:p>
          <w:p w14:paraId="4AA69ACA" w14:textId="77777777" w:rsidR="00BD6570" w:rsidRPr="0008623B" w:rsidRDefault="00BD6570" w:rsidP="00B62DC9">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748D115E" w14:textId="77777777" w:rsidR="00BD6570" w:rsidRPr="0008623B" w:rsidRDefault="00BD6570"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Verbindlichkeiten, die die folgenden Bedingungen erfüllen:</w:t>
            </w:r>
          </w:p>
          <w:p w14:paraId="62E0491E" w14:textId="7B8C3AD6" w:rsidR="00BD6570" w:rsidRPr="0008623B" w:rsidRDefault="00BD6570" w:rsidP="00B62DC9">
            <w:pPr>
              <w:pStyle w:val="InstructionsText"/>
              <w:numPr>
                <w:ilvl w:val="0"/>
                <w:numId w:val="16"/>
              </w:numPr>
              <w:rPr>
                <w:rStyle w:val="FormatvorlageInstructionsTabelleText"/>
                <w:rFonts w:ascii="Times New Roman" w:hAnsi="Times New Roman"/>
                <w:b/>
                <w:sz w:val="24"/>
              </w:rPr>
            </w:pPr>
            <w:r>
              <w:rPr>
                <w:rStyle w:val="FormatvorlageInstructionsTabelleText"/>
                <w:rFonts w:ascii="Times New Roman" w:hAnsi="Times New Roman"/>
                <w:sz w:val="24"/>
              </w:rPr>
              <w:t>sie wurden vor dem 27. Juni 2019 begeben;</w:t>
            </w:r>
          </w:p>
          <w:p w14:paraId="5161FB69" w14:textId="33B28B47" w:rsidR="00BD6570" w:rsidRPr="0008623B" w:rsidRDefault="00BD6570" w:rsidP="00B62DC9">
            <w:pPr>
              <w:pStyle w:val="InstructionsText"/>
              <w:numPr>
                <w:ilvl w:val="0"/>
                <w:numId w:val="16"/>
              </w:numPr>
              <w:rPr>
                <w:rStyle w:val="FormatvorlageInstructionsTabelleText"/>
                <w:rFonts w:ascii="Times New Roman" w:hAnsi="Times New Roman"/>
                <w:b/>
                <w:sz w:val="24"/>
              </w:rPr>
            </w:pPr>
            <w:r>
              <w:rPr>
                <w:rStyle w:val="FormatvorlageInstructionsTabelleText"/>
                <w:rFonts w:ascii="Times New Roman" w:hAnsi="Times New Roman"/>
                <w:sz w:val="24"/>
              </w:rPr>
              <w:t>sie entsprechen Artikel 72b Absatz 2 Buchstabe d der Verordnung (EU) Nr. 575/2013;</w:t>
            </w:r>
          </w:p>
          <w:p w14:paraId="796E2BAA" w14:textId="102908EC" w:rsidR="00922937" w:rsidRPr="0008623B" w:rsidRDefault="00BD6570" w:rsidP="00C4776A">
            <w:pPr>
              <w:pStyle w:val="ListParagraph"/>
              <w:numPr>
                <w:ilvl w:val="0"/>
                <w:numId w:val="16"/>
              </w:numPr>
              <w:rPr>
                <w:rFonts w:ascii="Times New Roman" w:hAnsi="Times New Roman" w:cs="Times New Roman"/>
                <w:b/>
                <w:noProof/>
                <w:color w:val="000000" w:themeColor="text1"/>
                <w:sz w:val="24"/>
                <w:szCs w:val="24"/>
              </w:rPr>
            </w:pPr>
            <w:r>
              <w:rPr>
                <w:rStyle w:val="FormatvorlageInstructionsTabelleText"/>
                <w:rFonts w:ascii="Times New Roman" w:hAnsi="Times New Roman"/>
                <w:sz w:val="24"/>
              </w:rPr>
              <w:lastRenderedPageBreak/>
              <w:t>sie gelten als berücksichtigungsfähige Verbindlichkeiten aufgrund des Bestandsschutzes gemäß Artikel 494b Absatz 3 der Verordnung (EU) Nr. 575/2013.</w:t>
            </w:r>
          </w:p>
        </w:tc>
      </w:tr>
      <w:tr w:rsidR="00BA315F" w:rsidRPr="0008623B" w14:paraId="5089A67B" w14:textId="77777777" w:rsidTr="00E46262">
        <w:tc>
          <w:tcPr>
            <w:tcW w:w="1030" w:type="dxa"/>
          </w:tcPr>
          <w:p w14:paraId="4A7EDDF2" w14:textId="7325896B" w:rsidR="00BA315F" w:rsidRPr="0008623B" w:rsidRDefault="00BA315F"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EU-12c</w:t>
            </w:r>
          </w:p>
        </w:tc>
        <w:tc>
          <w:tcPr>
            <w:tcW w:w="7736" w:type="dxa"/>
          </w:tcPr>
          <w:p w14:paraId="278B1172" w14:textId="77777777" w:rsidR="00BA315F" w:rsidRPr="0008623B" w:rsidRDefault="00BA315F"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Ergänzungskapitalinstrumente mit einer Restlaufzeit von mindestens einem Jahr, in dem Umfang, in dem sie nicht als Ergänzungskapitalposten gelten</w:t>
            </w:r>
          </w:p>
          <w:p w14:paraId="6F3FB28E" w14:textId="6395E75A" w:rsidR="00334BA5" w:rsidRPr="0008623B" w:rsidRDefault="00334BA5"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Abgeschriebener Anteil der Instrumente des Ergänzungskapitals, deren Restlaufzeit mehr als ein Jahr beträgt (Artikel 72a Absatz 1 Buchstabe b der Verordnung (EU) Nr. 575/2013).</w:t>
            </w:r>
          </w:p>
          <w:p w14:paraId="4FD8D86D" w14:textId="2C5E3644" w:rsidR="00BA315F" w:rsidRPr="0008623B" w:rsidRDefault="00BA315F" w:rsidP="006501CC">
            <w:pPr>
              <w:rPr>
                <w:rFonts w:ascii="Times New Roman" w:hAnsi="Times New Roman" w:cs="Times New Roman"/>
                <w:noProof/>
                <w:color w:val="000000" w:themeColor="text1"/>
                <w:sz w:val="24"/>
                <w:szCs w:val="24"/>
              </w:rPr>
            </w:pPr>
            <w:r>
              <w:rPr>
                <w:rFonts w:ascii="Times New Roman" w:hAnsi="Times New Roman"/>
                <w:color w:val="000000" w:themeColor="text1"/>
                <w:sz w:val="24"/>
              </w:rPr>
              <w:t>In dieser Zeile ist nur der Betrag anzugeben, der nicht als Eigenmittel angerechnet wird, aber alle in Artikel 72b der Verordnung (EU) Nr. 575/2013 festgelegten Kriterien für die Zulässigkeit erfüllt.</w:t>
            </w:r>
          </w:p>
          <w:p w14:paraId="001569D4" w14:textId="08D94941" w:rsidR="003E4404" w:rsidRPr="0008623B" w:rsidRDefault="003E4404" w:rsidP="003E4404">
            <w:pPr>
              <w:rPr>
                <w:rFonts w:ascii="Times New Roman" w:hAnsi="Times New Roman" w:cs="Times New Roman"/>
                <w:b/>
                <w:noProof/>
                <w:color w:val="000000" w:themeColor="text1"/>
                <w:sz w:val="24"/>
                <w:szCs w:val="24"/>
              </w:rPr>
            </w:pPr>
            <w:r>
              <w:rPr>
                <w:rStyle w:val="FormatvorlageInstructionsTabelleText"/>
                <w:rFonts w:ascii="Times New Roman" w:hAnsi="Times New Roman"/>
                <w:sz w:val="24"/>
              </w:rPr>
              <w:t>Im Falle von MREL werden Instrumente, die dem Recht eines Drittlandes unterliegen, nur dann in diese Zeile aufgenommen, wenn sie die Anforderungen gemäß Artikel 55 der Richtlinie 2014/59/EU erfüllen.</w:t>
            </w:r>
          </w:p>
        </w:tc>
      </w:tr>
      <w:tr w:rsidR="00026FC1" w:rsidRPr="0008623B" w14:paraId="64D6FD96" w14:textId="77777777" w:rsidTr="00E46262">
        <w:tc>
          <w:tcPr>
            <w:tcW w:w="1030" w:type="dxa"/>
          </w:tcPr>
          <w:p w14:paraId="50786C06" w14:textId="52DA5E60" w:rsidR="00021E4F" w:rsidRPr="0008623B" w:rsidRDefault="00D571F6"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13</w:t>
            </w:r>
          </w:p>
        </w:tc>
        <w:tc>
          <w:tcPr>
            <w:tcW w:w="7736" w:type="dxa"/>
          </w:tcPr>
          <w:p w14:paraId="5D613CA9" w14:textId="2F1AE58A" w:rsidR="009B2422" w:rsidRPr="0008623B" w:rsidRDefault="009B2422" w:rsidP="00E96304">
            <w:pPr>
              <w:rPr>
                <w:rFonts w:ascii="Times New Roman" w:hAnsi="Times New Roman" w:cs="Times New Roman"/>
                <w:b/>
                <w:noProof/>
                <w:color w:val="000000" w:themeColor="text1"/>
                <w:sz w:val="24"/>
                <w:szCs w:val="24"/>
              </w:rPr>
            </w:pPr>
            <w:r>
              <w:rPr>
                <w:rFonts w:ascii="Times New Roman" w:hAnsi="Times New Roman"/>
                <w:b/>
                <w:color w:val="000000" w:themeColor="text1"/>
                <w:sz w:val="24"/>
              </w:rPr>
              <w:t>Berücksichtigungsfähige Verbindlichkeiten, die nicht nachrangig zu ausgenommenen Verbindlichkeiten sind (nicht bestandsgeschützt, vor Anwendung der Obergrenze)</w:t>
            </w:r>
          </w:p>
          <w:p w14:paraId="7660F6FC" w14:textId="77777777" w:rsidR="009B2422" w:rsidRPr="0008623B" w:rsidRDefault="009B2422" w:rsidP="00B62DC9">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MREL</w:t>
            </w:r>
          </w:p>
          <w:p w14:paraId="00F0085A" w14:textId="242F8AE9" w:rsidR="009B2422" w:rsidRPr="0008623B" w:rsidRDefault="009B2422"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Verbindlichkeiten, die die in Artikel 45b der Richtlinie 2014/59/EU festgelegten Bedingungen erfüllen und die den Forderungen aus ausgenommenen Verbindlichkeiten gemäß Artikel 72a Absatz 2 der Verordnung (EU) Nr. 575/2013 nicht vollständig nachrangig sind.</w:t>
            </w:r>
          </w:p>
          <w:p w14:paraId="2C657BAC" w14:textId="12DC0920" w:rsidR="003E4404" w:rsidRPr="0008623B" w:rsidRDefault="003E4404"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Im Falle von Instrumenten, die dem Recht eines Drittlandes unterliegen, wird das Instrument nur dann in diese Zeile aufgenommen, wenn es die Anforderungen gemäß Artikel 55 der Richtlinie 2014/59/EU erfüllt.</w:t>
            </w:r>
          </w:p>
          <w:p w14:paraId="137D2044" w14:textId="77777777" w:rsidR="009B2422" w:rsidRPr="0008623B" w:rsidRDefault="009B2422" w:rsidP="00B62DC9">
            <w:pPr>
              <w:pStyle w:val="InstructionsText"/>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424B93B1" w14:textId="013DD02A" w:rsidR="009B2422" w:rsidRPr="0008623B" w:rsidRDefault="009B2422" w:rsidP="00B62DC9">
            <w:pPr>
              <w:pStyle w:val="InstructionsText"/>
              <w:rPr>
                <w:rStyle w:val="FormatvorlageInstructionsTabelleText"/>
                <w:rFonts w:ascii="Times New Roman" w:hAnsi="Times New Roman"/>
                <w:sz w:val="24"/>
              </w:rPr>
            </w:pPr>
            <w:r>
              <w:t>Berücksichtigungsfähige Verbindlichkeiten, die die Anforderungen der Artikel 72a bis 72d der Verordnung (EU) Nr. 575/2013, mit Ausnahme von Artikel 72b Absatz 2 Buchstabe d der genannten Verordnung, erfüllen und die gemäß Artikel 72b Absatz 3 der genannten Verordnung als Instrumente berücksichtigungsfähiger Verbindlichkeiten eingestuft werden könnten oder die gemäß Artikel 72b Absatz 4 der genannten Verordnung als Instrumente berücksichtigungsfähiger Verbindlichkeiten eingestuft werden dürfen.</w:t>
            </w:r>
          </w:p>
          <w:p w14:paraId="686DBB1D" w14:textId="3C40B2C0" w:rsidR="009B2422" w:rsidRPr="0008623B" w:rsidRDefault="004B3067"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Findet Artikel 72b Absatz 3 der Verordnung (EU) Nr. 575/2013 bzw. Artikel 494 Absatz 2 der Verordnung (EU) Nr. 575/2013 Anwendung, ist in dieser Zeile der volle Betrag ohne Anwendung der Obergrenze von 3,5 % bzw. 2,5 % anzugeben.</w:t>
            </w:r>
          </w:p>
          <w:p w14:paraId="2AE31630" w14:textId="5BBA380B" w:rsidR="009B2422" w:rsidRPr="0008623B" w:rsidRDefault="009B2422" w:rsidP="009B2422">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lastRenderedPageBreak/>
              <w:t>In diese Zeile werden keine Beträge aufgenommen, die gemäß Artikel 494b Absatz 3 der Verordnung (EU) Nr. 575/2013 vorübergehend anerkannt werden können.</w:t>
            </w:r>
          </w:p>
        </w:tc>
      </w:tr>
      <w:tr w:rsidR="00922937" w:rsidRPr="0008623B" w14:paraId="54947575" w14:textId="77777777" w:rsidTr="00E46262">
        <w:tc>
          <w:tcPr>
            <w:tcW w:w="1030" w:type="dxa"/>
          </w:tcPr>
          <w:p w14:paraId="034E19A1" w14:textId="2AE4D60C" w:rsidR="00922937" w:rsidRPr="0008623B" w:rsidRDefault="00922937"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EU-13a</w:t>
            </w:r>
          </w:p>
        </w:tc>
        <w:tc>
          <w:tcPr>
            <w:tcW w:w="7736" w:type="dxa"/>
          </w:tcPr>
          <w:p w14:paraId="69BC0D22" w14:textId="6A00E4CF" w:rsidR="00922937" w:rsidRPr="0008623B" w:rsidRDefault="00922937"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Berücksichtigungsfähige Verbindlichkeiten, die nicht nachrangig zu den vor dem 27. Juni 2019 begebenen ausgenommenen Verbindlichkeiten sind (vor Anwendung der Obergrenze)</w:t>
            </w:r>
          </w:p>
          <w:p w14:paraId="56BE4571" w14:textId="77777777" w:rsidR="009B2422" w:rsidRPr="0008623B" w:rsidRDefault="009B2422" w:rsidP="009B2422">
            <w:pPr>
              <w:rPr>
                <w:rFonts w:ascii="Times New Roman" w:hAnsi="Times New Roman" w:cs="Times New Roman"/>
                <w:i/>
                <w:noProof/>
                <w:color w:val="000000" w:themeColor="text1"/>
                <w:sz w:val="24"/>
                <w:szCs w:val="24"/>
              </w:rPr>
            </w:pPr>
            <w:r>
              <w:rPr>
                <w:rFonts w:ascii="Times New Roman" w:hAnsi="Times New Roman"/>
                <w:i/>
                <w:color w:val="000000" w:themeColor="text1"/>
                <w:sz w:val="24"/>
              </w:rPr>
              <w:t>MREL</w:t>
            </w:r>
          </w:p>
          <w:p w14:paraId="5C7AEC52" w14:textId="77777777" w:rsidR="009B2422" w:rsidRPr="0008623B" w:rsidRDefault="009B2422" w:rsidP="009B2422">
            <w:pPr>
              <w:rPr>
                <w:rFonts w:ascii="Times New Roman" w:hAnsi="Times New Roman" w:cs="Times New Roman"/>
                <w:noProof/>
                <w:color w:val="000000" w:themeColor="text1"/>
                <w:sz w:val="24"/>
                <w:szCs w:val="24"/>
              </w:rPr>
            </w:pPr>
            <w:r>
              <w:rPr>
                <w:rFonts w:ascii="Times New Roman" w:hAnsi="Times New Roman"/>
                <w:color w:val="000000" w:themeColor="text1"/>
                <w:sz w:val="24"/>
              </w:rPr>
              <w:t>Berücksichtigungsfähige Verbindlichkeiten, die die folgenden Bedingungen erfüllen:</w:t>
            </w:r>
          </w:p>
          <w:p w14:paraId="72C8F1AF" w14:textId="72479061" w:rsidR="009B2422" w:rsidRPr="0008623B" w:rsidRDefault="009B2422" w:rsidP="00C4776A">
            <w:pPr>
              <w:pStyle w:val="ListParagraph"/>
              <w:numPr>
                <w:ilvl w:val="0"/>
                <w:numId w:val="16"/>
              </w:numPr>
              <w:rPr>
                <w:rFonts w:ascii="Times New Roman" w:hAnsi="Times New Roman" w:cs="Times New Roman"/>
                <w:noProof/>
                <w:color w:val="000000" w:themeColor="text1"/>
                <w:sz w:val="24"/>
                <w:szCs w:val="24"/>
              </w:rPr>
            </w:pPr>
            <w:r>
              <w:rPr>
                <w:rFonts w:ascii="Times New Roman" w:hAnsi="Times New Roman"/>
                <w:color w:val="000000" w:themeColor="text1"/>
                <w:sz w:val="24"/>
              </w:rPr>
              <w:t>sie wurden vor dem 27. Juni 2019 begeben;</w:t>
            </w:r>
          </w:p>
          <w:p w14:paraId="21ECB5FF" w14:textId="573F7AE6" w:rsidR="009B2422" w:rsidRPr="0008623B" w:rsidRDefault="009B2422" w:rsidP="00C4776A">
            <w:pPr>
              <w:pStyle w:val="ListParagraph"/>
              <w:numPr>
                <w:ilvl w:val="0"/>
                <w:numId w:val="16"/>
              </w:numPr>
              <w:rPr>
                <w:rFonts w:ascii="Times New Roman" w:hAnsi="Times New Roman" w:cs="Times New Roman"/>
                <w:noProof/>
                <w:color w:val="000000" w:themeColor="text1"/>
                <w:sz w:val="24"/>
                <w:szCs w:val="24"/>
              </w:rPr>
            </w:pPr>
            <w:r>
              <w:rPr>
                <w:rFonts w:ascii="Times New Roman" w:hAnsi="Times New Roman"/>
                <w:color w:val="000000" w:themeColor="text1"/>
                <w:sz w:val="24"/>
              </w:rPr>
              <w:t>sie erfüllen die in Artikel 45b der Richtlinie 2014/59/EU festgelegten Bedingungen und sind den Forderungen aus ausgenommenen Verbindlichkeiten gemäß Artikel 72a Absatz 2 der Verordnung (EU) Nr. 575/2013 nicht vollständig nachrangig;</w:t>
            </w:r>
          </w:p>
          <w:p w14:paraId="110EAF03" w14:textId="67157606" w:rsidR="009B2422" w:rsidRPr="0008623B" w:rsidRDefault="009B2422" w:rsidP="00C4776A">
            <w:pPr>
              <w:pStyle w:val="ListParagraph"/>
              <w:numPr>
                <w:ilvl w:val="0"/>
                <w:numId w:val="16"/>
              </w:numPr>
              <w:rPr>
                <w:rFonts w:ascii="Times New Roman" w:hAnsi="Times New Roman" w:cs="Times New Roman"/>
                <w:noProof/>
                <w:color w:val="000000" w:themeColor="text1"/>
                <w:sz w:val="24"/>
                <w:szCs w:val="24"/>
              </w:rPr>
            </w:pPr>
            <w:r>
              <w:rPr>
                <w:rFonts w:ascii="Times New Roman" w:hAnsi="Times New Roman"/>
                <w:color w:val="000000" w:themeColor="text1"/>
                <w:sz w:val="24"/>
              </w:rPr>
              <w:t>sie gelten als berücksichtigungsfähige Verbindlichkeiten aufgrund des Bestandsschutzes gemäß Artikel 494b Absatz 3 der Verordnung (EU) Nr. 575/2013.</w:t>
            </w:r>
          </w:p>
          <w:p w14:paraId="0E373313" w14:textId="3B67958D" w:rsidR="003E4404" w:rsidRPr="0008623B" w:rsidRDefault="003E4404" w:rsidP="005F391D">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Im Falle von Instrumenten, die dem Recht eines Drittlandes unterliegen, wird das Instrument nur dann in diese Zeile aufgenommen, wenn es die Anforderungen gemäß Artikel 55 der Richtlinie 2014/59/EU erfüllt.</w:t>
            </w:r>
          </w:p>
          <w:p w14:paraId="7B5CC27B" w14:textId="77777777" w:rsidR="009B2422" w:rsidRPr="0008623B" w:rsidRDefault="009B2422" w:rsidP="009B2422">
            <w:pPr>
              <w:rPr>
                <w:rFonts w:ascii="Times New Roman" w:hAnsi="Times New Roman" w:cs="Times New Roman"/>
                <w:i/>
                <w:noProof/>
                <w:color w:val="000000" w:themeColor="text1"/>
                <w:sz w:val="24"/>
                <w:szCs w:val="24"/>
              </w:rPr>
            </w:pPr>
            <w:r>
              <w:rPr>
                <w:rFonts w:ascii="Times New Roman" w:hAnsi="Times New Roman"/>
                <w:i/>
                <w:color w:val="000000" w:themeColor="text1"/>
                <w:sz w:val="24"/>
              </w:rPr>
              <w:t>TLAC</w:t>
            </w:r>
          </w:p>
          <w:p w14:paraId="309DD1F6" w14:textId="730AFC17" w:rsidR="009B2422" w:rsidRPr="0008623B" w:rsidRDefault="008E71C3" w:rsidP="009B2422">
            <w:pPr>
              <w:rPr>
                <w:rFonts w:ascii="Times New Roman" w:hAnsi="Times New Roman" w:cs="Times New Roman"/>
                <w:noProof/>
                <w:color w:val="000000" w:themeColor="text1"/>
                <w:sz w:val="24"/>
                <w:szCs w:val="24"/>
              </w:rPr>
            </w:pPr>
            <w:r>
              <w:rPr>
                <w:rFonts w:ascii="Times New Roman" w:hAnsi="Times New Roman"/>
                <w:color w:val="000000" w:themeColor="text1"/>
                <w:sz w:val="24"/>
              </w:rPr>
              <w:t>Berücksichtigungsfähige Verbindlichkeiten, die die folgenden Bedingungen erfüllen:</w:t>
            </w:r>
          </w:p>
          <w:p w14:paraId="318C85C9" w14:textId="7DED1DBB" w:rsidR="009B2422" w:rsidRPr="0008623B" w:rsidRDefault="009B2422" w:rsidP="00C4776A">
            <w:pPr>
              <w:pStyle w:val="ListParagraph"/>
              <w:numPr>
                <w:ilvl w:val="0"/>
                <w:numId w:val="16"/>
              </w:numPr>
              <w:rPr>
                <w:rFonts w:ascii="Times New Roman" w:hAnsi="Times New Roman" w:cs="Times New Roman"/>
                <w:noProof/>
                <w:color w:val="000000" w:themeColor="text1"/>
                <w:sz w:val="24"/>
                <w:szCs w:val="24"/>
              </w:rPr>
            </w:pPr>
            <w:r>
              <w:rPr>
                <w:rFonts w:ascii="Times New Roman" w:hAnsi="Times New Roman"/>
                <w:color w:val="000000" w:themeColor="text1"/>
                <w:sz w:val="24"/>
              </w:rPr>
              <w:t>sie wurden vor dem 27. Juni 2019 begeben;</w:t>
            </w:r>
          </w:p>
          <w:p w14:paraId="76F54B6E" w14:textId="0FE12834" w:rsidR="009B2422" w:rsidRPr="0008623B" w:rsidRDefault="009B2422" w:rsidP="00C4776A">
            <w:pPr>
              <w:pStyle w:val="ListParagraph"/>
              <w:numPr>
                <w:ilvl w:val="0"/>
                <w:numId w:val="16"/>
              </w:numPr>
              <w:rPr>
                <w:rFonts w:ascii="Times New Roman" w:hAnsi="Times New Roman" w:cs="Times New Roman"/>
                <w:noProof/>
                <w:color w:val="000000" w:themeColor="text1"/>
                <w:sz w:val="24"/>
                <w:szCs w:val="24"/>
              </w:rPr>
            </w:pPr>
            <w:r>
              <w:rPr>
                <w:rFonts w:ascii="Times New Roman" w:hAnsi="Times New Roman"/>
                <w:color w:val="000000" w:themeColor="text1"/>
                <w:sz w:val="24"/>
              </w:rPr>
              <w:t>sie erfüllen die Anforderungen der Artikel 72a bis 72d der Verordnung (EU) Nr. 575/2013, mit Ausnahme von Artikel 72b Absatz 2 Buchstabe d der genannten Verordnung, und könnten als Instrumente berücksichtigungsfähiger Verbindlichkeiten gemäß Artikel 72b Absatz 3 der genannten Verordnung eingestuft werden oder sind als Instrumente berücksichtigungsfähiger Verbindlichkeiten gemäß Artikel 72b Absatz 4 der Verordnung (EU) Nr. 575/2013 eingestuft;</w:t>
            </w:r>
          </w:p>
          <w:p w14:paraId="2DB1E71A" w14:textId="66F98C46" w:rsidR="003312F4" w:rsidRPr="0008623B" w:rsidRDefault="009B2422" w:rsidP="00C4776A">
            <w:pPr>
              <w:pStyle w:val="ListParagraph"/>
              <w:numPr>
                <w:ilvl w:val="0"/>
                <w:numId w:val="16"/>
              </w:numPr>
              <w:rPr>
                <w:rFonts w:ascii="Times New Roman" w:hAnsi="Times New Roman" w:cs="Times New Roman"/>
                <w:noProof/>
                <w:color w:val="000000" w:themeColor="text1"/>
                <w:sz w:val="24"/>
                <w:szCs w:val="24"/>
              </w:rPr>
            </w:pPr>
            <w:r>
              <w:rPr>
                <w:rFonts w:ascii="Times New Roman" w:hAnsi="Times New Roman"/>
                <w:color w:val="000000" w:themeColor="text1"/>
                <w:sz w:val="24"/>
              </w:rPr>
              <w:t>sie gelten als berücksichtigungsfähige Verbindlichkeiten aufgrund des Bestandsschutzes gemäß Artikel 494b Absatz 3 der Verordnung (EU) Nr. 575/2013.</w:t>
            </w:r>
          </w:p>
          <w:p w14:paraId="6639DB06" w14:textId="22A4459E" w:rsidR="009B2422" w:rsidRPr="0008623B" w:rsidRDefault="00A150DD" w:rsidP="00A150DD">
            <w:pPr>
              <w:rPr>
                <w:rFonts w:ascii="Times New Roman" w:hAnsi="Times New Roman" w:cs="Times New Roman"/>
                <w:b/>
                <w:noProof/>
                <w:color w:val="000000" w:themeColor="text1"/>
                <w:sz w:val="24"/>
                <w:szCs w:val="24"/>
              </w:rPr>
            </w:pPr>
            <w:r>
              <w:rPr>
                <w:rStyle w:val="FormatvorlageInstructionsTabelleText"/>
                <w:rFonts w:ascii="Times New Roman" w:hAnsi="Times New Roman"/>
                <w:sz w:val="24"/>
              </w:rPr>
              <w:t>Findet Artikel 72b Absatz 3 der Verordnung (EU) Nr. 575/2013 bzw. Artikel 494 Absatz 2 der Verordnung (EU) Nr. 575/2013 Anwendung, ist in dieser Zeile der volle Betrag ohne Anwendung der Obergrenze von 3,5 % bzw. 2,5 % anzugeben.</w:t>
            </w:r>
          </w:p>
        </w:tc>
      </w:tr>
      <w:tr w:rsidR="00026FC1" w:rsidRPr="0008623B" w14:paraId="219A8816" w14:textId="77777777" w:rsidTr="00E46262">
        <w:tc>
          <w:tcPr>
            <w:tcW w:w="1030" w:type="dxa"/>
          </w:tcPr>
          <w:p w14:paraId="26CB4EA4" w14:textId="1E635F7F" w:rsidR="00021E4F" w:rsidRPr="0008623B" w:rsidRDefault="00702377"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14</w:t>
            </w:r>
          </w:p>
        </w:tc>
        <w:tc>
          <w:tcPr>
            <w:tcW w:w="7736" w:type="dxa"/>
          </w:tcPr>
          <w:p w14:paraId="6094B9AD" w14:textId="53C6E214" w:rsidR="00021E4F" w:rsidRPr="0008623B" w:rsidRDefault="00922937"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Betrag der nicht nachrangigen Instrumente, die berücksichtigungsfähig sind, sofern anwendbar nach Anwendung von Artikel 72b Absatz 3 der Verordnung (EU) Nr. 575/2013</w:t>
            </w:r>
          </w:p>
          <w:p w14:paraId="78F7998F" w14:textId="77777777" w:rsidR="000C6F8C" w:rsidRPr="0008623B" w:rsidRDefault="000C6F8C" w:rsidP="008E71C3">
            <w:pPr>
              <w:rPr>
                <w:rFonts w:ascii="Times New Roman" w:hAnsi="Times New Roman" w:cs="Times New Roman"/>
                <w:i/>
                <w:noProof/>
                <w:color w:val="000000" w:themeColor="text1"/>
                <w:sz w:val="24"/>
                <w:szCs w:val="24"/>
              </w:rPr>
            </w:pPr>
            <w:r>
              <w:rPr>
                <w:rFonts w:ascii="Times New Roman" w:hAnsi="Times New Roman"/>
                <w:i/>
                <w:color w:val="000000" w:themeColor="text1"/>
                <w:sz w:val="24"/>
              </w:rPr>
              <w:t>MREL</w:t>
            </w:r>
          </w:p>
          <w:p w14:paraId="02BBE4C9" w14:textId="6CA91799" w:rsidR="000C6F8C" w:rsidRPr="0008623B" w:rsidRDefault="000C6F8C" w:rsidP="008E71C3">
            <w:pPr>
              <w:rPr>
                <w:rFonts w:ascii="Times New Roman" w:hAnsi="Times New Roman" w:cs="Times New Roman"/>
                <w:noProof/>
                <w:color w:val="000000" w:themeColor="text1"/>
                <w:sz w:val="24"/>
                <w:szCs w:val="24"/>
              </w:rPr>
            </w:pPr>
            <w:r>
              <w:rPr>
                <w:rFonts w:ascii="Times New Roman" w:hAnsi="Times New Roman"/>
                <w:color w:val="000000" w:themeColor="text1"/>
                <w:sz w:val="24"/>
              </w:rPr>
              <w:t>Diese Zeile muss der Summe aus Zeile 13 und Zeile EU-13a entsprechen.</w:t>
            </w:r>
          </w:p>
          <w:p w14:paraId="03898B83" w14:textId="77777777" w:rsidR="000C6F8C" w:rsidRPr="0008623B" w:rsidRDefault="000C6F8C" w:rsidP="008E71C3">
            <w:pPr>
              <w:rPr>
                <w:rFonts w:ascii="Times New Roman" w:hAnsi="Times New Roman" w:cs="Times New Roman"/>
                <w:i/>
                <w:noProof/>
                <w:color w:val="000000" w:themeColor="text1"/>
                <w:sz w:val="24"/>
                <w:szCs w:val="24"/>
              </w:rPr>
            </w:pPr>
            <w:r>
              <w:rPr>
                <w:rFonts w:ascii="Times New Roman" w:hAnsi="Times New Roman"/>
                <w:i/>
                <w:color w:val="000000" w:themeColor="text1"/>
                <w:sz w:val="24"/>
              </w:rPr>
              <w:t>TLAC</w:t>
            </w:r>
          </w:p>
          <w:p w14:paraId="34E50C43" w14:textId="098233F1" w:rsidR="000C6F8C" w:rsidRPr="0008623B" w:rsidRDefault="003E4404" w:rsidP="008E71C3">
            <w:p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Bei Anwendung von Artikel 72b Absatz 3 der Verordnung (EU) Nr. 575/2013 wird in dieser Zeile die Summe der in den vorstehenden Zeilen 13 und 13a ausgewiesenen Beträge nach Anwendung von Artikel 72b Absatz 3 bzw. Artikel 494 Absatz 2 der genannten Verordnung angegeben. </w:t>
            </w:r>
          </w:p>
          <w:p w14:paraId="5A30EA54" w14:textId="5EC0D4FB" w:rsidR="00021E4F" w:rsidRPr="0008623B" w:rsidRDefault="000C6F8C" w:rsidP="00503590">
            <w:pPr>
              <w:rPr>
                <w:rFonts w:ascii="Times New Roman" w:hAnsi="Times New Roman" w:cs="Times New Roman"/>
                <w:noProof/>
                <w:color w:val="000000" w:themeColor="text1"/>
                <w:sz w:val="24"/>
                <w:szCs w:val="24"/>
              </w:rPr>
            </w:pPr>
            <w:r>
              <w:rPr>
                <w:rFonts w:ascii="Times New Roman" w:hAnsi="Times New Roman"/>
                <w:color w:val="000000" w:themeColor="text1"/>
                <w:sz w:val="24"/>
              </w:rPr>
              <w:t>Wenn Artikel 72b Absatz 3 der Verordnung (EU) Nr. 575/2013 keine Anwendung findet, die Einheit jedoch unter die Anwendung von Artikel 72b Absatz 4 der Verordnung (EU) Nr. 575/2013 fällt, entspricht diese Zeile der Summe aus Zeile 13 und Zeile EU-13a.</w:t>
            </w:r>
          </w:p>
        </w:tc>
      </w:tr>
      <w:tr w:rsidR="00026FC1" w:rsidRPr="0008623B" w14:paraId="329EB7E3" w14:textId="77777777" w:rsidTr="00E46262">
        <w:tc>
          <w:tcPr>
            <w:tcW w:w="1030" w:type="dxa"/>
          </w:tcPr>
          <w:p w14:paraId="0D278793" w14:textId="45736042" w:rsidR="00021E4F" w:rsidRPr="0008623B" w:rsidRDefault="00702377"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17</w:t>
            </w:r>
          </w:p>
        </w:tc>
        <w:tc>
          <w:tcPr>
            <w:tcW w:w="7736" w:type="dxa"/>
          </w:tcPr>
          <w:p w14:paraId="4088C906" w14:textId="78FD4FAE" w:rsidR="00021E4F" w:rsidRPr="0008623B" w:rsidRDefault="00021E4F"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Posten berücksichtigungsfähiger Verbindlichkeiten vor Anpassungen</w:t>
            </w:r>
          </w:p>
          <w:p w14:paraId="22690983" w14:textId="2BAD1B47" w:rsidR="00021E4F" w:rsidRPr="0008623B" w:rsidRDefault="00021E4F" w:rsidP="00503590">
            <w:pPr>
              <w:rPr>
                <w:rFonts w:ascii="Times New Roman" w:hAnsi="Times New Roman" w:cs="Times New Roman"/>
                <w:noProof/>
                <w:color w:val="000000" w:themeColor="text1"/>
                <w:sz w:val="24"/>
                <w:szCs w:val="24"/>
              </w:rPr>
            </w:pPr>
            <w:r>
              <w:rPr>
                <w:rFonts w:ascii="Times New Roman" w:hAnsi="Times New Roman"/>
                <w:color w:val="000000" w:themeColor="text1"/>
                <w:sz w:val="24"/>
              </w:rPr>
              <w:t>Posten berücksichtigungsfähiger Verbindlichkeiten vor Anpassungen. Zu berechnen durch die Addition von Zeile 12, Zeile EU-12a, Zeile EU-12b, Zeile EU-12c und Zeile 14.</w:t>
            </w:r>
          </w:p>
        </w:tc>
      </w:tr>
      <w:tr w:rsidR="00633625" w:rsidRPr="0008623B" w14:paraId="2D0BC40A" w14:textId="77777777" w:rsidTr="00E46262">
        <w:tc>
          <w:tcPr>
            <w:tcW w:w="1030" w:type="dxa"/>
          </w:tcPr>
          <w:p w14:paraId="2FC5E554" w14:textId="764C5877" w:rsidR="00633625" w:rsidRPr="0008623B" w:rsidRDefault="00633625" w:rsidP="00915305">
            <w:pPr>
              <w:rPr>
                <w:rFonts w:ascii="Times New Roman" w:hAnsi="Times New Roman" w:cs="Times New Roman"/>
                <w:noProof/>
                <w:color w:val="000000" w:themeColor="text1"/>
                <w:sz w:val="24"/>
                <w:szCs w:val="24"/>
              </w:rPr>
            </w:pPr>
            <w:r>
              <w:rPr>
                <w:rFonts w:ascii="Times New Roman" w:hAnsi="Times New Roman"/>
                <w:color w:val="000000" w:themeColor="text1"/>
                <w:sz w:val="24"/>
              </w:rPr>
              <w:t>EU-17a</w:t>
            </w:r>
          </w:p>
        </w:tc>
        <w:tc>
          <w:tcPr>
            <w:tcW w:w="7736" w:type="dxa"/>
          </w:tcPr>
          <w:p w14:paraId="1A128FD1" w14:textId="1FF7039A" w:rsidR="00633625" w:rsidRPr="0008623B" w:rsidRDefault="00B80F7C" w:rsidP="0091530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Positionen der berücksichtigungsfähigen Verbindlichkeiten vor Anpassungen – Davon Positionen der nachrangigen Verbindlichkeiten</w:t>
            </w:r>
          </w:p>
          <w:p w14:paraId="4B5B9304" w14:textId="77777777" w:rsidR="002432DE" w:rsidRPr="0008623B" w:rsidRDefault="002432DE" w:rsidP="00915305">
            <w:pPr>
              <w:rPr>
                <w:rStyle w:val="InstructionsTabelleberschrift"/>
                <w:rFonts w:ascii="Times New Roman" w:hAnsi="Times New Roman"/>
                <w:b w:val="0"/>
                <w:i/>
                <w:sz w:val="24"/>
                <w:szCs w:val="24"/>
                <w:u w:val="none"/>
              </w:rPr>
            </w:pPr>
            <w:r>
              <w:rPr>
                <w:rStyle w:val="InstructionsTabelleberschrift"/>
                <w:rFonts w:ascii="Times New Roman" w:hAnsi="Times New Roman"/>
                <w:b w:val="0"/>
                <w:i/>
                <w:sz w:val="24"/>
                <w:u w:val="none"/>
              </w:rPr>
              <w:t>MREL</w:t>
            </w:r>
          </w:p>
          <w:p w14:paraId="2089EA6F" w14:textId="630F5208" w:rsidR="00DB779A" w:rsidRPr="0008623B" w:rsidRDefault="00DB779A" w:rsidP="00915305">
            <w:pPr>
              <w:rPr>
                <w:rStyle w:val="FormatvorlageInstructionsTabelleText"/>
                <w:rFonts w:ascii="Times New Roman" w:hAnsi="Times New Roman"/>
                <w:sz w:val="24"/>
                <w:szCs w:val="24"/>
              </w:rPr>
            </w:pPr>
            <w:r>
              <w:rPr>
                <w:rFonts w:ascii="Times New Roman" w:hAnsi="Times New Roman"/>
                <w:sz w:val="24"/>
              </w:rPr>
              <w:t>In den Betrag der Eigenmittel und berücksichtigungsfähigen Verbindlichkeiten gemäß Artikel 45b der Richtlinie 2014/59/EU einbezogene berücksichtigungsfähige Verbindlichkeiten, bei denen es sich um nachrangige berücksichtigungsfähige Instrumente im Sinne von Artikel 2 Absatz 1 Nummer 71b der genannten Richtlinie handelt, sowie von Tochterunternehmen begebene Verbindlichkeiten, die gemäß Artikel 45b Absatz 3 der genannten Richtlinie in die MREL einbezogen werden.</w:t>
            </w:r>
          </w:p>
          <w:p w14:paraId="69D83FC1" w14:textId="5DCAE08F" w:rsidR="003E4404" w:rsidRPr="0008623B" w:rsidRDefault="003E4404" w:rsidP="00915305">
            <w:pPr>
              <w:rPr>
                <w:rStyle w:val="FormatvorlageInstructionsTabelleText"/>
                <w:rFonts w:ascii="Times New Roman" w:hAnsi="Times New Roman"/>
                <w:sz w:val="24"/>
                <w:szCs w:val="24"/>
              </w:rPr>
            </w:pPr>
            <w:r>
              <w:rPr>
                <w:rStyle w:val="FormatvorlageInstructionsTabelleText"/>
                <w:rFonts w:ascii="Times New Roman" w:hAnsi="Times New Roman"/>
                <w:sz w:val="24"/>
              </w:rPr>
              <w:t>Im Falle von Instrumenten, die dem Recht eines Drittlandes unterliegen, wird das Instrument nur dann in diese Zeile aufgenommen, wenn es die Anforderungen gemäß Artikel 55 der Richtlinie 2014/59/EU erfüllt.</w:t>
            </w:r>
          </w:p>
          <w:p w14:paraId="740C1237" w14:textId="77777777" w:rsidR="002432DE" w:rsidRPr="0008623B" w:rsidRDefault="002432DE" w:rsidP="00915305">
            <w:pPr>
              <w:rPr>
                <w:rStyle w:val="InstructionsTabelleberschrift"/>
                <w:rFonts w:ascii="Times New Roman" w:hAnsi="Times New Roman"/>
                <w:b w:val="0"/>
                <w:i/>
                <w:sz w:val="24"/>
                <w:szCs w:val="24"/>
                <w:u w:val="none"/>
              </w:rPr>
            </w:pPr>
            <w:r>
              <w:rPr>
                <w:rStyle w:val="InstructionsTabelleberschrift"/>
                <w:rFonts w:ascii="Times New Roman" w:hAnsi="Times New Roman"/>
                <w:b w:val="0"/>
                <w:i/>
                <w:sz w:val="24"/>
                <w:u w:val="none"/>
              </w:rPr>
              <w:t>TLAC</w:t>
            </w:r>
          </w:p>
          <w:p w14:paraId="04429143" w14:textId="6BD51A61" w:rsidR="002432DE" w:rsidRPr="0008623B" w:rsidRDefault="002432DE"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Berücksichtigungsfähige Verbindlichkeiten, die sämtliche in den Artikeln 72a bis 72d der Verordnung (EU) Nr. 575/2013 festgelegten Anforderungen erfüllen, unter Ausschluss von Verbindlichkeiten, die gemäß Artikel 72b Absatz 3 oder 4 der genannten Verordnung als Instrumente berücksichtigungsfähiger Verbindlichkeiten eingestuft werden können.</w:t>
            </w:r>
          </w:p>
          <w:p w14:paraId="2EEECCE3" w14:textId="4B15BE1E" w:rsidR="002432DE" w:rsidRPr="0008623B" w:rsidRDefault="002432DE" w:rsidP="00B62DC9">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lastRenderedPageBreak/>
              <w:t>Diese Zeile umfasst nachrangige Verbindlichkeiten, die aufgrund des Bestandsschutzes gemäß Artikel 494b der Verordnung (EU) Nr. 575/2013 berücksichtigungsfähig sind, sowie den abgeschriebenen Teil der Instrumente des Ergänzungskapitals mit einer Restlaufzeit von mehr als einem Jahr (Artikel 72a Absatz 1 Buchstabe b der Verordnung (EU) Nr. 575/2013).</w:t>
            </w:r>
          </w:p>
          <w:p w14:paraId="55FB8435" w14:textId="63FEC689" w:rsidR="002432DE" w:rsidRPr="0008623B" w:rsidRDefault="002432DE" w:rsidP="00B62DC9">
            <w:pPr>
              <w:pStyle w:val="InstructionsText"/>
            </w:pPr>
            <w:r>
              <w:rPr>
                <w:rStyle w:val="FormatvorlageInstructionsTabelleText"/>
                <w:rFonts w:ascii="Times New Roman" w:hAnsi="Times New Roman"/>
                <w:sz w:val="24"/>
              </w:rPr>
              <w:t>Zu berechnen durch die Addition von Zeile 12, Zeile EU-12a, Zeile EU-12b und Zeile EU-12c.</w:t>
            </w:r>
          </w:p>
        </w:tc>
      </w:tr>
      <w:tr w:rsidR="00026FC1" w:rsidRPr="0008623B" w14:paraId="45424BEE" w14:textId="77777777" w:rsidTr="00E46262">
        <w:tc>
          <w:tcPr>
            <w:tcW w:w="1030" w:type="dxa"/>
          </w:tcPr>
          <w:p w14:paraId="747BC26F" w14:textId="022289A3" w:rsidR="00702377" w:rsidRPr="0008623B" w:rsidRDefault="00702377"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18</w:t>
            </w:r>
          </w:p>
        </w:tc>
        <w:tc>
          <w:tcPr>
            <w:tcW w:w="7736" w:type="dxa"/>
          </w:tcPr>
          <w:p w14:paraId="4ADF1782" w14:textId="77777777" w:rsidR="00702377" w:rsidRPr="0008623B" w:rsidRDefault="00702377" w:rsidP="00702377">
            <w:pPr>
              <w:rPr>
                <w:rFonts w:ascii="Times New Roman" w:hAnsi="Times New Roman" w:cs="Times New Roman"/>
                <w:b/>
                <w:color w:val="000000" w:themeColor="text1"/>
                <w:sz w:val="24"/>
                <w:szCs w:val="24"/>
              </w:rPr>
            </w:pPr>
            <w:r>
              <w:rPr>
                <w:rFonts w:ascii="Times New Roman" w:hAnsi="Times New Roman"/>
                <w:b/>
                <w:color w:val="000000" w:themeColor="text1"/>
                <w:sz w:val="24"/>
              </w:rPr>
              <w:t>Eigenmittel und Positionen der nachrangigen Verbindlichkeiten vor Anpassungen</w:t>
            </w:r>
          </w:p>
          <w:p w14:paraId="151E44CE" w14:textId="2369C944" w:rsidR="00702377" w:rsidRPr="0008623B" w:rsidRDefault="00702377" w:rsidP="00503590">
            <w:pPr>
              <w:rPr>
                <w:rFonts w:ascii="Times New Roman" w:hAnsi="Times New Roman" w:cs="Times New Roman"/>
                <w:noProof/>
                <w:color w:val="000000" w:themeColor="text1"/>
                <w:sz w:val="24"/>
                <w:szCs w:val="24"/>
              </w:rPr>
            </w:pPr>
            <w:r>
              <w:rPr>
                <w:rFonts w:ascii="Times New Roman" w:hAnsi="Times New Roman"/>
                <w:color w:val="000000" w:themeColor="text1"/>
                <w:sz w:val="24"/>
              </w:rPr>
              <w:t>Eigenmittel und Positionen der nachrangigen Verbindlichkeiten vor Anpassungen. Zu berechnen durch die Addition von Zeile 11 und Zeile 17.</w:t>
            </w:r>
          </w:p>
        </w:tc>
      </w:tr>
      <w:tr w:rsidR="00026FC1" w:rsidRPr="0008623B" w14:paraId="74F69B7A" w14:textId="77777777" w:rsidTr="00E46262">
        <w:tc>
          <w:tcPr>
            <w:tcW w:w="1030" w:type="dxa"/>
          </w:tcPr>
          <w:p w14:paraId="1B67D30A" w14:textId="6055FAE6" w:rsidR="00702377" w:rsidRPr="0008623B" w:rsidRDefault="00702377"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t>19</w:t>
            </w:r>
          </w:p>
        </w:tc>
        <w:tc>
          <w:tcPr>
            <w:tcW w:w="7736" w:type="dxa"/>
          </w:tcPr>
          <w:p w14:paraId="7917D77C" w14:textId="37BD1628" w:rsidR="00702377" w:rsidRPr="0008623B" w:rsidRDefault="00D413AD" w:rsidP="00702377">
            <w:pPr>
              <w:rPr>
                <w:rFonts w:ascii="Times New Roman" w:hAnsi="Times New Roman" w:cs="Times New Roman"/>
                <w:b/>
                <w:noProof/>
                <w:color w:val="000000" w:themeColor="text1"/>
                <w:sz w:val="24"/>
                <w:szCs w:val="24"/>
              </w:rPr>
            </w:pPr>
            <w:r>
              <w:rPr>
                <w:rFonts w:ascii="Times New Roman" w:hAnsi="Times New Roman"/>
                <w:b/>
                <w:color w:val="000000" w:themeColor="text1"/>
                <w:sz w:val="24"/>
              </w:rPr>
              <w:t>(Abzug von Positionen zwischen Multiple-Point-of-Entry- (MPE-) Abwicklungsgruppen)</w:t>
            </w:r>
          </w:p>
          <w:p w14:paraId="36A58FE6" w14:textId="45D80DF4" w:rsidR="00A9426B" w:rsidRPr="0008623B" w:rsidRDefault="00A9426B"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t>Negativbetrag</w:t>
            </w:r>
          </w:p>
          <w:p w14:paraId="0D579B89" w14:textId="657876CE" w:rsidR="00702377" w:rsidRPr="0008623B" w:rsidRDefault="00702377" w:rsidP="00480FBC">
            <w:pPr>
              <w:rPr>
                <w:rFonts w:ascii="Times New Roman" w:hAnsi="Times New Roman" w:cs="Times New Roman"/>
                <w:noProof/>
                <w:color w:val="000000" w:themeColor="text1"/>
                <w:sz w:val="24"/>
                <w:szCs w:val="24"/>
              </w:rPr>
            </w:pPr>
            <w:r>
              <w:rPr>
                <w:rFonts w:ascii="Times New Roman" w:hAnsi="Times New Roman"/>
                <w:color w:val="000000" w:themeColor="text1"/>
                <w:sz w:val="24"/>
              </w:rPr>
              <w:t>Abzüge von Risikopositionen zwischen MPE-Abwicklungsgruppen von G-SRI, die direkten, indirekten oder synthetischen Beteiligungen an Eigenmittelinstrumenten oder Instrumenten berücksichtigungsfähiger Verbindlichkeiten eines oder mehrerer Tochterunternehmen entsprechen, die nicht derselben Abwicklungsgruppe wie die Abwicklungseinheit angehören, im Einklang mit Artikel 72e Absatz 4 der Verordnung (EU) Nr. 575/2013.</w:t>
            </w:r>
          </w:p>
        </w:tc>
      </w:tr>
      <w:tr w:rsidR="00026FC1" w:rsidRPr="0008623B" w14:paraId="34D251D0" w14:textId="77777777" w:rsidTr="00E46262">
        <w:tc>
          <w:tcPr>
            <w:tcW w:w="1030" w:type="dxa"/>
          </w:tcPr>
          <w:p w14:paraId="33B786D1" w14:textId="62F68C2B" w:rsidR="00702377" w:rsidRPr="0008623B" w:rsidRDefault="00D571F6"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t>20</w:t>
            </w:r>
          </w:p>
        </w:tc>
        <w:tc>
          <w:tcPr>
            <w:tcW w:w="7736" w:type="dxa"/>
          </w:tcPr>
          <w:p w14:paraId="22BBBE31" w14:textId="44D9E160" w:rsidR="00702377" w:rsidRPr="0008623B" w:rsidRDefault="00D413AD" w:rsidP="00702377">
            <w:pPr>
              <w:rPr>
                <w:rFonts w:ascii="Times New Roman" w:hAnsi="Times New Roman" w:cs="Times New Roman"/>
                <w:b/>
                <w:noProof/>
                <w:color w:val="000000" w:themeColor="text1"/>
                <w:sz w:val="24"/>
                <w:szCs w:val="24"/>
              </w:rPr>
            </w:pPr>
            <w:r>
              <w:rPr>
                <w:rFonts w:ascii="Times New Roman" w:hAnsi="Times New Roman"/>
                <w:b/>
                <w:color w:val="000000" w:themeColor="text1"/>
                <w:sz w:val="24"/>
              </w:rPr>
              <w:t>(Abzug von Investitionen in andere Instrumente berücksichtigungsfähiger Verbindlichkeiten)</w:t>
            </w:r>
          </w:p>
          <w:p w14:paraId="36E83D5C" w14:textId="77777777" w:rsidR="00A9426B" w:rsidRPr="0008623B" w:rsidRDefault="00A9426B" w:rsidP="00A9426B">
            <w:pPr>
              <w:rPr>
                <w:rFonts w:ascii="Times New Roman" w:hAnsi="Times New Roman" w:cs="Times New Roman"/>
                <w:noProof/>
                <w:color w:val="000000" w:themeColor="text1"/>
                <w:sz w:val="24"/>
                <w:szCs w:val="24"/>
              </w:rPr>
            </w:pPr>
            <w:r>
              <w:rPr>
                <w:rFonts w:ascii="Times New Roman" w:hAnsi="Times New Roman"/>
                <w:color w:val="000000" w:themeColor="text1"/>
                <w:sz w:val="24"/>
              </w:rPr>
              <w:t>Negativbetrag</w:t>
            </w:r>
          </w:p>
          <w:p w14:paraId="5109AFDE" w14:textId="3A888804" w:rsidR="00D36DC6" w:rsidRPr="0008623B" w:rsidRDefault="00D36DC6" w:rsidP="00B24DB1">
            <w:pPr>
              <w:rPr>
                <w:rFonts w:ascii="Times New Roman" w:hAnsi="Times New Roman" w:cs="Times New Roman"/>
                <w:i/>
                <w:iCs/>
                <w:noProof/>
                <w:color w:val="000000" w:themeColor="text1"/>
                <w:sz w:val="24"/>
                <w:szCs w:val="24"/>
              </w:rPr>
            </w:pPr>
            <w:r>
              <w:rPr>
                <w:rFonts w:ascii="Times New Roman" w:hAnsi="Times New Roman"/>
                <w:i/>
                <w:color w:val="000000" w:themeColor="text1"/>
                <w:sz w:val="24"/>
              </w:rPr>
              <w:t>TLAC</w:t>
            </w:r>
          </w:p>
          <w:p w14:paraId="160C4AD3" w14:textId="5E7F7684" w:rsidR="00702377" w:rsidRPr="0008623B" w:rsidRDefault="00702377" w:rsidP="00B24DB1">
            <w:pPr>
              <w:rPr>
                <w:rFonts w:ascii="Times New Roman" w:hAnsi="Times New Roman" w:cs="Times New Roman"/>
                <w:noProof/>
                <w:color w:val="000000" w:themeColor="text1"/>
                <w:sz w:val="24"/>
                <w:szCs w:val="24"/>
              </w:rPr>
            </w:pPr>
            <w:r>
              <w:rPr>
                <w:rFonts w:ascii="Times New Roman" w:hAnsi="Times New Roman"/>
                <w:color w:val="000000" w:themeColor="text1"/>
                <w:sz w:val="24"/>
              </w:rPr>
              <w:t>Abzüge von Investitionen in andere Instrumente berücksichtigungsfähiger Verbindlichkeiten gemäß Artikel 72e Absätze 1, 2 und 3 sowie Artikel 72f bis 72j der Verordnung (EU) Nr. 575/2013. Von den Positionen der berücksichtigungsfähigen Verbindlichkeiten abzuziehender Betrag gemäß Teil II Titel I Kapitel 5a Abschnitt 2 der Verordnung (EU) Nr. 575/2013.</w:t>
            </w:r>
          </w:p>
          <w:p w14:paraId="58A38F14" w14:textId="027B8532" w:rsidR="00D36DC6" w:rsidRPr="0008623B" w:rsidRDefault="00D36DC6" w:rsidP="00B24DB1">
            <w:pPr>
              <w:rPr>
                <w:rFonts w:ascii="Times New Roman" w:hAnsi="Times New Roman" w:cs="Times New Roman"/>
                <w:i/>
                <w:iCs/>
                <w:noProof/>
                <w:color w:val="000000" w:themeColor="text1"/>
                <w:sz w:val="24"/>
                <w:szCs w:val="24"/>
              </w:rPr>
            </w:pPr>
            <w:r>
              <w:rPr>
                <w:rFonts w:ascii="Times New Roman" w:hAnsi="Times New Roman"/>
                <w:i/>
                <w:color w:val="000000" w:themeColor="text1"/>
                <w:sz w:val="24"/>
              </w:rPr>
              <w:t>MREL und TLAC</w:t>
            </w:r>
          </w:p>
          <w:p w14:paraId="131C0401" w14:textId="7FBC18FB" w:rsidR="00BF16DB" w:rsidRPr="0008623B" w:rsidRDefault="00BF16DB" w:rsidP="00B24DB1">
            <w:pPr>
              <w:rPr>
                <w:rFonts w:ascii="Times New Roman" w:hAnsi="Times New Roman" w:cs="Times New Roman"/>
                <w:noProof/>
                <w:color w:val="000000" w:themeColor="text1"/>
                <w:sz w:val="24"/>
                <w:szCs w:val="24"/>
              </w:rPr>
            </w:pPr>
            <w:r>
              <w:rPr>
                <w:rFonts w:ascii="Times New Roman" w:hAnsi="Times New Roman"/>
                <w:color w:val="000000" w:themeColor="text1"/>
                <w:sz w:val="24"/>
              </w:rPr>
              <w:t>In diese Zeile werden auch unter eine Erlaubnis zur Kündigung, zur Tilgung, zur Rückzahlung oder zum Rückkauf von Instrumenten berücksichtigungsfähiger Verbindlichkeiten gemäß Artikel 78a der Verordnung (EU) Nr. 575/2013 fallende Beträge aufgenommen, sofern das offenlegende Unternehmen den betreffenden Betrag noch nicht zur Kündigung, zur Tilgung, zur Rückzahlung oder zum Rückkauf von Instrumenten ausgeschöpft hat.</w:t>
            </w:r>
          </w:p>
        </w:tc>
      </w:tr>
      <w:tr w:rsidR="00026FC1" w:rsidRPr="0008623B" w14:paraId="739A1A6D" w14:textId="77777777" w:rsidTr="00E46262">
        <w:tc>
          <w:tcPr>
            <w:tcW w:w="1030" w:type="dxa"/>
          </w:tcPr>
          <w:p w14:paraId="03995BED" w14:textId="59572D69" w:rsidR="00702377" w:rsidRPr="0008623B" w:rsidRDefault="00D571F6"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22</w:t>
            </w:r>
          </w:p>
        </w:tc>
        <w:tc>
          <w:tcPr>
            <w:tcW w:w="7736" w:type="dxa"/>
          </w:tcPr>
          <w:p w14:paraId="2D6851E4" w14:textId="5FE3EEF7" w:rsidR="00702377" w:rsidRPr="0008623B" w:rsidRDefault="000B4D72" w:rsidP="00702377">
            <w:pPr>
              <w:rPr>
                <w:rFonts w:ascii="Times New Roman" w:hAnsi="Times New Roman" w:cs="Times New Roman"/>
                <w:b/>
                <w:noProof/>
                <w:color w:val="000000" w:themeColor="text1"/>
                <w:sz w:val="24"/>
                <w:szCs w:val="24"/>
              </w:rPr>
            </w:pPr>
            <w:r>
              <w:rPr>
                <w:rFonts w:ascii="Times New Roman" w:hAnsi="Times New Roman"/>
                <w:b/>
                <w:color w:val="000000" w:themeColor="text1"/>
                <w:sz w:val="24"/>
              </w:rPr>
              <w:t>Eigenmittel und berücksichtigungsfähige Verbindlichkeiten nach Anpassung</w:t>
            </w:r>
          </w:p>
          <w:p w14:paraId="69BED263" w14:textId="4E69A591" w:rsidR="00702377" w:rsidRPr="0008623B" w:rsidRDefault="00702377" w:rsidP="00A9426B">
            <w:pPr>
              <w:rPr>
                <w:rFonts w:ascii="Times New Roman" w:hAnsi="Times New Roman" w:cs="Times New Roman"/>
                <w:noProof/>
                <w:color w:val="000000" w:themeColor="text1"/>
                <w:sz w:val="24"/>
                <w:szCs w:val="24"/>
              </w:rPr>
            </w:pPr>
            <w:r>
              <w:rPr>
                <w:rFonts w:ascii="Times New Roman" w:hAnsi="Times New Roman"/>
                <w:color w:val="000000" w:themeColor="text1"/>
                <w:sz w:val="24"/>
              </w:rPr>
              <w:t>Eigenmittel und berücksichtigungsfähige Verbindlichkeiten im Sinne von Artikel 72l der Verordnung (EU) Nr. 575/2013. Zu berechnen durch Addition der Zeilen 18, 19 und 20.</w:t>
            </w:r>
          </w:p>
          <w:p w14:paraId="5794043B" w14:textId="1C4A8682" w:rsidR="003E4404" w:rsidRPr="0008623B" w:rsidRDefault="003E4404" w:rsidP="00A9426B">
            <w:pPr>
              <w:rPr>
                <w:rFonts w:ascii="Times New Roman" w:hAnsi="Times New Roman" w:cs="Times New Roman"/>
                <w:i/>
                <w:noProof/>
                <w:color w:val="000000" w:themeColor="text1"/>
                <w:sz w:val="24"/>
                <w:szCs w:val="24"/>
              </w:rPr>
            </w:pPr>
            <w:r>
              <w:rPr>
                <w:rFonts w:ascii="Times New Roman" w:hAnsi="Times New Roman"/>
                <w:i/>
                <w:color w:val="000000" w:themeColor="text1"/>
                <w:sz w:val="24"/>
              </w:rPr>
              <w:t>MREL</w:t>
            </w:r>
          </w:p>
          <w:p w14:paraId="0DCEFD91" w14:textId="77777777" w:rsidR="005B765F" w:rsidRPr="0008623B" w:rsidRDefault="005B765F" w:rsidP="005B765F">
            <w:pPr>
              <w:rPr>
                <w:rStyle w:val="FormatvorlageInstructionsTabelleText"/>
                <w:rFonts w:ascii="Times New Roman" w:hAnsi="Times New Roman"/>
                <w:sz w:val="24"/>
              </w:rPr>
            </w:pPr>
            <w:r>
              <w:rPr>
                <w:rStyle w:val="FormatvorlageInstructionsTabelleText"/>
                <w:rFonts w:ascii="Times New Roman" w:hAnsi="Times New Roman"/>
                <w:sz w:val="24"/>
              </w:rPr>
              <w:t>Der Betrag der Eigenmittel und berücksichtigungsfähigen Verbindlichkeiten, die auf die MREL angerechnet werden, wird als Summe folgender Werte offengelegt:</w:t>
            </w:r>
          </w:p>
          <w:p w14:paraId="58E25068" w14:textId="170D3FAE" w:rsidR="005B765F" w:rsidRPr="00487D7F" w:rsidRDefault="005B765F" w:rsidP="00487D7F">
            <w:pPr>
              <w:pStyle w:val="ListParagraph"/>
              <w:numPr>
                <w:ilvl w:val="0"/>
                <w:numId w:val="10"/>
              </w:numPr>
              <w:spacing w:before="120" w:after="120" w:line="240" w:lineRule="auto"/>
              <w:jc w:val="both"/>
              <w:rPr>
                <w:rStyle w:val="FormatvorlageInstructionsTabelleText"/>
                <w:rFonts w:ascii="Times New Roman" w:hAnsi="Times New Roman"/>
                <w:sz w:val="24"/>
              </w:rPr>
            </w:pPr>
            <w:r w:rsidRPr="00487D7F">
              <w:rPr>
                <w:rStyle w:val="FormatvorlageInstructionsTabelleText"/>
                <w:rFonts w:ascii="Times New Roman" w:hAnsi="Times New Roman"/>
                <w:sz w:val="24"/>
              </w:rPr>
              <w:t xml:space="preserve">Eigenmittel, wie in Artikel 4 Absatz 1 Nummer 118 und Artikel 72 der Verordnung (EU) Nr. 575/2013 dargelegt, </w:t>
            </w:r>
          </w:p>
          <w:p w14:paraId="7D33907A" w14:textId="75C17250" w:rsidR="005B765F" w:rsidRPr="0008623B" w:rsidRDefault="005B765F" w:rsidP="00C4776A">
            <w:pPr>
              <w:pStyle w:val="ListParagraph"/>
              <w:numPr>
                <w:ilvl w:val="0"/>
                <w:numId w:val="10"/>
              </w:numPr>
              <w:spacing w:before="120" w:after="120" w:line="240" w:lineRule="auto"/>
              <w:contextualSpacing w:val="0"/>
              <w:jc w:val="both"/>
              <w:rPr>
                <w:rStyle w:val="FormatvorlageInstructionsTabelleText"/>
                <w:rFonts w:ascii="Times New Roman" w:hAnsi="Times New Roman"/>
                <w:sz w:val="24"/>
              </w:rPr>
            </w:pPr>
            <w:r>
              <w:rPr>
                <w:rStyle w:val="FormatvorlageInstructionsTabelleText"/>
                <w:rFonts w:ascii="Times New Roman" w:hAnsi="Times New Roman"/>
                <w:sz w:val="24"/>
              </w:rPr>
              <w:t>berücksichtigungsfähige Verbindlichkeiten im Sinne von Artikel 2 Absatz 1 Nummer 71a der Richtlinie 2014/59/EU.</w:t>
            </w:r>
          </w:p>
          <w:p w14:paraId="38858668" w14:textId="194B5715" w:rsidR="003E4404" w:rsidRPr="0008623B" w:rsidRDefault="003E4404" w:rsidP="005F391D">
            <w:pPr>
              <w:spacing w:before="120" w:after="120" w:line="240" w:lineRule="auto"/>
              <w:jc w:val="both"/>
              <w:rPr>
                <w:rStyle w:val="FormatvorlageInstructionsTabelleText"/>
                <w:rFonts w:ascii="Times New Roman" w:hAnsi="Times New Roman"/>
                <w:sz w:val="24"/>
              </w:rPr>
            </w:pPr>
            <w:r>
              <w:rPr>
                <w:rStyle w:val="FormatvorlageInstructionsTabelleText"/>
                <w:rFonts w:ascii="Times New Roman" w:hAnsi="Times New Roman"/>
                <w:sz w:val="24"/>
              </w:rPr>
              <w:t>Im Falle von Instrumenten, die dem Recht eines Drittlandes unterliegen, wird das Instrument nur dann in diese Zeile aufgenommen, wenn es die Anforderungen gemäß Artikel 55 der Richtlinie 2014/59/EU erfüllt.</w:t>
            </w:r>
          </w:p>
          <w:p w14:paraId="7E3B34F5" w14:textId="546FE87E" w:rsidR="003E4404" w:rsidRPr="0008623B" w:rsidRDefault="003E4404" w:rsidP="005F391D">
            <w:pPr>
              <w:spacing w:before="120" w:after="120" w:line="240" w:lineRule="auto"/>
              <w:jc w:val="both"/>
              <w:rPr>
                <w:rStyle w:val="FormatvorlageInstructionsTabelleText"/>
                <w:rFonts w:ascii="Times New Roman" w:hAnsi="Times New Roman"/>
                <w:i/>
                <w:sz w:val="24"/>
              </w:rPr>
            </w:pPr>
            <w:r>
              <w:rPr>
                <w:rStyle w:val="FormatvorlageInstructionsTabelleText"/>
                <w:rFonts w:ascii="Times New Roman" w:hAnsi="Times New Roman"/>
                <w:i/>
                <w:sz w:val="24"/>
              </w:rPr>
              <w:t>TLAC</w:t>
            </w:r>
          </w:p>
          <w:p w14:paraId="3E3A8B56" w14:textId="3FF85A2A" w:rsidR="005B765F" w:rsidRPr="0008623B" w:rsidRDefault="005B765F" w:rsidP="005B765F">
            <w:pPr>
              <w:rPr>
                <w:rStyle w:val="FormatvorlageInstructionsTabelleText"/>
                <w:rFonts w:ascii="Times New Roman" w:hAnsi="Times New Roman"/>
                <w:sz w:val="24"/>
              </w:rPr>
            </w:pPr>
            <w:r>
              <w:rPr>
                <w:rStyle w:val="FormatvorlageInstructionsTabelleText"/>
                <w:rFonts w:ascii="Times New Roman" w:hAnsi="Times New Roman"/>
                <w:sz w:val="24"/>
              </w:rPr>
              <w:t>Der Betrag der Eigenmittel und berücksichtigungsfähigen Verbindlichkeiten, der auf die TLAC angerechnet wird, entspricht dem in Artikel 72l der Verordnung (EU) Nr. 575/2013 genannten Betrag, bestehend aus:</w:t>
            </w:r>
          </w:p>
          <w:p w14:paraId="1CDBC2DF" w14:textId="3C0D0503" w:rsidR="00DB779A" w:rsidRPr="0008623B" w:rsidRDefault="005B765F" w:rsidP="00487D7F">
            <w:pPr>
              <w:pStyle w:val="ListParagraph"/>
              <w:numPr>
                <w:ilvl w:val="0"/>
                <w:numId w:val="22"/>
              </w:numPr>
              <w:spacing w:before="120" w:after="120" w:line="240" w:lineRule="auto"/>
              <w:contextualSpacing w:val="0"/>
              <w:jc w:val="both"/>
              <w:rPr>
                <w:rStyle w:val="FormatvorlageInstructionsTabelleText"/>
                <w:rFonts w:ascii="Times New Roman" w:hAnsi="Times New Roman"/>
                <w:sz w:val="24"/>
              </w:rPr>
            </w:pPr>
            <w:r>
              <w:rPr>
                <w:rStyle w:val="FormatvorlageInstructionsTabelleText"/>
                <w:rFonts w:ascii="Times New Roman" w:hAnsi="Times New Roman"/>
                <w:sz w:val="24"/>
              </w:rPr>
              <w:t>Eigenmitteln, wie in Artikel 4 Absatz 1 Nummer 118 und Artikel 72 der Verordnung (EU) Nr. 575/2013 dargelegt,</w:t>
            </w:r>
          </w:p>
          <w:p w14:paraId="3185C317" w14:textId="14AD01AB" w:rsidR="005B765F" w:rsidRPr="0008623B" w:rsidRDefault="005B765F" w:rsidP="005B627B">
            <w:pPr>
              <w:pStyle w:val="ListParagraph"/>
              <w:numPr>
                <w:ilvl w:val="0"/>
                <w:numId w:val="22"/>
              </w:numPr>
              <w:spacing w:before="120" w:after="120" w:line="240" w:lineRule="auto"/>
              <w:contextualSpacing w:val="0"/>
              <w:jc w:val="both"/>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berücksichtigungsfähigen Verbindlichkeiten im Sinne von Artikel 72k der Verordnung (EU) Nr. 575/2013.</w:t>
            </w:r>
          </w:p>
        </w:tc>
      </w:tr>
      <w:tr w:rsidR="00633625" w:rsidRPr="0008623B" w14:paraId="3C365839" w14:textId="77777777" w:rsidTr="00E46262">
        <w:tc>
          <w:tcPr>
            <w:tcW w:w="1030" w:type="dxa"/>
          </w:tcPr>
          <w:p w14:paraId="13AA7EE3" w14:textId="302E8B20" w:rsidR="00633625" w:rsidRPr="0008623B" w:rsidRDefault="00633625"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t>EU-22a</w:t>
            </w:r>
          </w:p>
        </w:tc>
        <w:tc>
          <w:tcPr>
            <w:tcW w:w="7736" w:type="dxa"/>
          </w:tcPr>
          <w:p w14:paraId="05DA41C9" w14:textId="77777777" w:rsidR="00633625" w:rsidRPr="0008623B" w:rsidRDefault="00633625" w:rsidP="00702377">
            <w:pPr>
              <w:rPr>
                <w:rFonts w:ascii="Times New Roman" w:hAnsi="Times New Roman" w:cs="Times New Roman"/>
                <w:b/>
                <w:noProof/>
                <w:color w:val="000000" w:themeColor="text1"/>
                <w:sz w:val="24"/>
                <w:szCs w:val="24"/>
              </w:rPr>
            </w:pPr>
            <w:r>
              <w:rPr>
                <w:rFonts w:ascii="Times New Roman" w:hAnsi="Times New Roman"/>
                <w:b/>
                <w:color w:val="000000" w:themeColor="text1"/>
                <w:sz w:val="24"/>
              </w:rPr>
              <w:t>Davon Eigenmittel und nachrangige Verbindlichkeiten</w:t>
            </w:r>
          </w:p>
          <w:p w14:paraId="0ED27DF2" w14:textId="30421E2C" w:rsidR="00DB779A" w:rsidRPr="0008623B" w:rsidRDefault="00DB779A" w:rsidP="00E06D47">
            <w:pPr>
              <w:rPr>
                <w:rFonts w:ascii="Times New Roman" w:hAnsi="Times New Roman" w:cs="Times New Roman"/>
                <w:b/>
                <w:noProof/>
                <w:color w:val="000000" w:themeColor="text1"/>
                <w:sz w:val="24"/>
                <w:szCs w:val="24"/>
              </w:rPr>
            </w:pPr>
            <w:r>
              <w:rPr>
                <w:rFonts w:ascii="Times New Roman" w:hAnsi="Times New Roman"/>
                <w:sz w:val="24"/>
              </w:rPr>
              <w:t>In den Betrag der Eigenmittel und berücksichtigungsfähigen Verbindlichkeiten gemäß Artikel 45b der Richtlinie 2014/59/EU einbezogene berücksichtigungsfähige Verbindlichkeiten, bei denen es sich um nachrangige berücksichtigungsfähige Instrumente im Sinne von Artikel 2 Absatz 1 Nummer 71b der genannten Richtlinie handelt, sowie in den Betrag der Eigenmittel und berücksichtigungsfähigen Verbindlichkeiten gemäß Artikel 45b Absatz 3 der Richtlinie 2014/59/EU einbezogene Verbindlichkeiten.</w:t>
            </w:r>
          </w:p>
        </w:tc>
      </w:tr>
      <w:tr w:rsidR="00026FC1" w:rsidRPr="0008623B" w14:paraId="129D2D8D" w14:textId="77777777" w:rsidTr="00E46262">
        <w:tc>
          <w:tcPr>
            <w:tcW w:w="1030" w:type="dxa"/>
          </w:tcPr>
          <w:p w14:paraId="1B5B041C" w14:textId="4E1F9AEC" w:rsidR="00702377" w:rsidRPr="0008623B" w:rsidRDefault="00D571F6" w:rsidP="00CE0D4E">
            <w:pPr>
              <w:keepNext/>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23</w:t>
            </w:r>
          </w:p>
        </w:tc>
        <w:tc>
          <w:tcPr>
            <w:tcW w:w="7736" w:type="dxa"/>
          </w:tcPr>
          <w:p w14:paraId="0DB96856" w14:textId="3D3296F4" w:rsidR="00702377" w:rsidRPr="0008623B" w:rsidRDefault="00702377" w:rsidP="00702377">
            <w:pPr>
              <w:rPr>
                <w:rFonts w:ascii="Times New Roman" w:hAnsi="Times New Roman" w:cs="Times New Roman"/>
                <w:b/>
                <w:noProof/>
                <w:color w:val="000000" w:themeColor="text1"/>
                <w:sz w:val="24"/>
                <w:szCs w:val="24"/>
              </w:rPr>
            </w:pPr>
            <w:r>
              <w:rPr>
                <w:rFonts w:ascii="Times New Roman" w:hAnsi="Times New Roman"/>
                <w:b/>
                <w:color w:val="000000" w:themeColor="text1"/>
                <w:sz w:val="24"/>
              </w:rPr>
              <w:t>Gesamtrisikobetrag (TREA)</w:t>
            </w:r>
          </w:p>
          <w:p w14:paraId="58889E7E" w14:textId="691DB651" w:rsidR="008149F0" w:rsidRPr="0008623B" w:rsidRDefault="00702377" w:rsidP="007E12BA">
            <w:pPr>
              <w:rPr>
                <w:rFonts w:ascii="Times New Roman" w:hAnsi="Times New Roman" w:cs="Times New Roman"/>
                <w:noProof/>
                <w:color w:val="000000" w:themeColor="text1"/>
                <w:sz w:val="24"/>
                <w:szCs w:val="24"/>
              </w:rPr>
            </w:pPr>
            <w:r>
              <w:rPr>
                <w:rFonts w:ascii="Times New Roman" w:hAnsi="Times New Roman"/>
                <w:color w:val="000000" w:themeColor="text1"/>
                <w:sz w:val="24"/>
              </w:rPr>
              <w:t>Gesamtrisikobetrag der Abwicklungsgruppe gemäß Artikel 18 Absatz 1 Unterabsatz 2 der Verordnung (EU) Nr. 575/2013.</w:t>
            </w:r>
          </w:p>
          <w:p w14:paraId="1B151396" w14:textId="33E81FE9" w:rsidR="00702377" w:rsidRPr="0008623B" w:rsidRDefault="008149F0" w:rsidP="00E54D7F">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Der in dieser Zeile offengelegte Gesamtrisikobetrag ist der Gesamtrisikobetrag, der die Grundlage für die Einhaltung der Anforderungen von Artikel 45 der Richtlinie 2014/59/EU bzw. Artikel 92a der Verordnung (EU) Nr. 575/2013 bildet.</w:t>
            </w:r>
          </w:p>
        </w:tc>
      </w:tr>
      <w:tr w:rsidR="00026FC1" w:rsidRPr="0008623B" w14:paraId="28440368" w14:textId="77777777" w:rsidTr="00E46262">
        <w:tc>
          <w:tcPr>
            <w:tcW w:w="1030" w:type="dxa"/>
          </w:tcPr>
          <w:p w14:paraId="32E92C5A" w14:textId="7CF5EC98" w:rsidR="00702377" w:rsidRPr="0008623B" w:rsidRDefault="00D571F6" w:rsidP="00702377">
            <w:pPr>
              <w:rPr>
                <w:rFonts w:ascii="Times New Roman" w:hAnsi="Times New Roman" w:cs="Times New Roman"/>
                <w:noProof/>
                <w:color w:val="000000" w:themeColor="text1"/>
                <w:sz w:val="24"/>
                <w:szCs w:val="24"/>
              </w:rPr>
            </w:pPr>
            <w:r>
              <w:rPr>
                <w:rFonts w:ascii="Times New Roman" w:hAnsi="Times New Roman"/>
                <w:color w:val="000000" w:themeColor="text1"/>
                <w:sz w:val="24"/>
              </w:rPr>
              <w:t>24</w:t>
            </w:r>
          </w:p>
        </w:tc>
        <w:tc>
          <w:tcPr>
            <w:tcW w:w="7736" w:type="dxa"/>
          </w:tcPr>
          <w:p w14:paraId="36574007" w14:textId="1B8A459D" w:rsidR="00702377" w:rsidRPr="0008623B" w:rsidRDefault="00516561" w:rsidP="00702377">
            <w:pPr>
              <w:rPr>
                <w:rFonts w:ascii="Times New Roman" w:hAnsi="Times New Roman" w:cs="Times New Roman"/>
                <w:b/>
                <w:noProof/>
                <w:color w:val="000000" w:themeColor="text1"/>
                <w:sz w:val="24"/>
                <w:szCs w:val="24"/>
              </w:rPr>
            </w:pPr>
            <w:r>
              <w:rPr>
                <w:rFonts w:ascii="Times New Roman" w:hAnsi="Times New Roman"/>
                <w:b/>
                <w:color w:val="000000" w:themeColor="text1"/>
                <w:sz w:val="24"/>
              </w:rPr>
              <w:t>Gesamtrisikopositionsmessgröße (TEM)</w:t>
            </w:r>
          </w:p>
          <w:p w14:paraId="778066F0" w14:textId="53FCCE7C" w:rsidR="00702377" w:rsidRPr="0008623B" w:rsidRDefault="00DB779A" w:rsidP="003D0BF6">
            <w:pPr>
              <w:rPr>
                <w:rFonts w:ascii="Times New Roman" w:hAnsi="Times New Roman" w:cs="Times New Roman"/>
                <w:sz w:val="24"/>
                <w:szCs w:val="24"/>
              </w:rPr>
            </w:pPr>
            <w:r>
              <w:rPr>
                <w:rFonts w:ascii="Times New Roman" w:hAnsi="Times New Roman"/>
                <w:sz w:val="24"/>
              </w:rPr>
              <w:t>Gemäß Artikel 45 Absatz 2 Buchstabe b der Richtlinie 2014/59/EU wird die Gesamtrisikopositionsmessgröße gemäß Artikel 429 Absatz 4 und Artikel 429a der Verordnung (EU) Nr. 575/2013 berechnet.</w:t>
            </w:r>
          </w:p>
          <w:p w14:paraId="62A67E31" w14:textId="3AEA2863" w:rsidR="008149F0" w:rsidRPr="0008623B" w:rsidRDefault="008149F0" w:rsidP="00E54D7F">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Die in dieser Zeile gemeldete Gesamtrisikopositionsmessgröße ist die Gesamtrisikopositionsmessgröße, die die Grundlage für die Einhaltung der Anforderungen von Artikel 45 der Richtlinie 2014/59/EU bzw. Artikel 92a der Verordnung (EU) Nr. 575/2013 bildet.</w:t>
            </w:r>
          </w:p>
        </w:tc>
      </w:tr>
      <w:tr w:rsidR="00D571F6" w:rsidRPr="0008623B" w14:paraId="13300665" w14:textId="77777777" w:rsidTr="00E46262">
        <w:tc>
          <w:tcPr>
            <w:tcW w:w="1030" w:type="dxa"/>
            <w:vAlign w:val="top"/>
          </w:tcPr>
          <w:p w14:paraId="0F988C86" w14:textId="06ED1881"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25</w:t>
            </w:r>
          </w:p>
        </w:tc>
        <w:tc>
          <w:tcPr>
            <w:tcW w:w="7736" w:type="dxa"/>
          </w:tcPr>
          <w:p w14:paraId="2C833139" w14:textId="0A4AF6D0" w:rsidR="00D77E54" w:rsidRPr="0008623B" w:rsidRDefault="00D571F6" w:rsidP="00DB779A">
            <w:pPr>
              <w:rPr>
                <w:rFonts w:ascii="Times New Roman" w:hAnsi="Times New Roman" w:cs="Times New Roman"/>
                <w:b/>
                <w:noProof/>
                <w:color w:val="000000" w:themeColor="text1"/>
                <w:sz w:val="24"/>
                <w:szCs w:val="24"/>
              </w:rPr>
            </w:pPr>
            <w:r>
              <w:rPr>
                <w:rFonts w:ascii="Times New Roman" w:hAnsi="Times New Roman"/>
                <w:b/>
                <w:color w:val="000000" w:themeColor="text1"/>
                <w:sz w:val="24"/>
              </w:rPr>
              <w:t>Eigenmittel und berücksichtigungsfähige Verbindlichkeiten als prozentualer Anteil am TREA</w:t>
            </w:r>
          </w:p>
          <w:p w14:paraId="7AB95F7A" w14:textId="6941F5F6" w:rsidR="00DB779A" w:rsidRPr="0008623B" w:rsidRDefault="00DB779A" w:rsidP="00DB779A">
            <w:pPr>
              <w:rPr>
                <w:rFonts w:ascii="Times New Roman" w:hAnsi="Times New Roman" w:cs="Times New Roman"/>
                <w:noProof/>
                <w:color w:val="000000" w:themeColor="text1"/>
                <w:sz w:val="24"/>
                <w:szCs w:val="24"/>
              </w:rPr>
            </w:pPr>
            <w:r>
              <w:rPr>
                <w:rFonts w:ascii="Times New Roman" w:hAnsi="Times New Roman"/>
                <w:color w:val="000000" w:themeColor="text1"/>
                <w:sz w:val="24"/>
              </w:rPr>
              <w:t>Für die Zwecke dieser Zeile wird gemäß Artikel 45 Absatz 2 Buchstabe a der Richtlinie 2014/59/EU und Artikel 92a der Verordnung (EU) Nr. 575/2013 der Betrag der Eigenmittel und berücksichtigungsfähigen Verbindlichkeiten, die auf MREL bzw. TLAC angerechnet werden, als prozentualer Anteil am Gesamtrisikobetrag angegeben, der gemäß Artikel 92 Absatz 3 der Verordnung (EU) Nr. 575/2013 berechnet wird.</w:t>
            </w:r>
          </w:p>
          <w:p w14:paraId="7EB8D0D2" w14:textId="458D8C7A" w:rsidR="00D571F6" w:rsidRPr="0008623B" w:rsidRDefault="00E06D47" w:rsidP="00E06D47">
            <w:pPr>
              <w:rPr>
                <w:rFonts w:ascii="Times New Roman" w:hAnsi="Times New Roman" w:cs="Times New Roman"/>
                <w:noProof/>
                <w:color w:val="000000" w:themeColor="text1"/>
                <w:sz w:val="24"/>
                <w:szCs w:val="24"/>
              </w:rPr>
            </w:pPr>
            <w:r>
              <w:rPr>
                <w:rFonts w:ascii="Times New Roman" w:hAnsi="Times New Roman"/>
                <w:color w:val="000000" w:themeColor="text1"/>
                <w:sz w:val="24"/>
              </w:rPr>
              <w:t>Zu berechnen durch die Division von Zeile 22 durch Zeile 23.</w:t>
            </w:r>
          </w:p>
        </w:tc>
      </w:tr>
      <w:tr w:rsidR="00DD64EE" w:rsidRPr="0008623B" w14:paraId="344FACA7" w14:textId="77777777" w:rsidTr="00E46262">
        <w:tc>
          <w:tcPr>
            <w:tcW w:w="1030" w:type="dxa"/>
            <w:vAlign w:val="top"/>
          </w:tcPr>
          <w:p w14:paraId="79C19FE6" w14:textId="5B9A3D69" w:rsidR="00DD64EE" w:rsidRPr="0008623B" w:rsidRDefault="00DD64EE" w:rsidP="00DD64EE">
            <w:pPr>
              <w:rPr>
                <w:rFonts w:ascii="Times New Roman" w:hAnsi="Times New Roman" w:cs="Times New Roman"/>
                <w:sz w:val="24"/>
                <w:szCs w:val="24"/>
              </w:rPr>
            </w:pPr>
            <w:r>
              <w:rPr>
                <w:rFonts w:ascii="Times New Roman" w:hAnsi="Times New Roman"/>
                <w:sz w:val="24"/>
              </w:rPr>
              <w:t>EU-25a</w:t>
            </w:r>
          </w:p>
        </w:tc>
        <w:tc>
          <w:tcPr>
            <w:tcW w:w="7736" w:type="dxa"/>
            <w:vAlign w:val="top"/>
          </w:tcPr>
          <w:p w14:paraId="29460D13" w14:textId="6252FCF5" w:rsidR="00DD64EE" w:rsidRPr="0008623B" w:rsidRDefault="00DD64EE" w:rsidP="00DD64EE">
            <w:pPr>
              <w:rPr>
                <w:rFonts w:ascii="Times New Roman" w:hAnsi="Times New Roman" w:cs="Times New Roman"/>
                <w:b/>
                <w:sz w:val="24"/>
                <w:szCs w:val="24"/>
              </w:rPr>
            </w:pPr>
            <w:r>
              <w:rPr>
                <w:rFonts w:ascii="Times New Roman" w:hAnsi="Times New Roman"/>
                <w:b/>
                <w:sz w:val="24"/>
              </w:rPr>
              <w:t>Davon Eigenmittel und nachrangige Verbindlichkeiten</w:t>
            </w:r>
          </w:p>
          <w:p w14:paraId="3177CD5E" w14:textId="4C559037" w:rsidR="00282ED2" w:rsidRPr="0008623B" w:rsidRDefault="00DD64EE" w:rsidP="00DD64EE">
            <w:pPr>
              <w:rPr>
                <w:rFonts w:ascii="Times New Roman" w:hAnsi="Times New Roman" w:cs="Times New Roman"/>
                <w:noProof/>
                <w:color w:val="000000" w:themeColor="text1"/>
                <w:sz w:val="24"/>
                <w:szCs w:val="24"/>
              </w:rPr>
            </w:pPr>
            <w:r>
              <w:rPr>
                <w:rFonts w:ascii="Times New Roman" w:hAnsi="Times New Roman"/>
                <w:color w:val="000000" w:themeColor="text1"/>
                <w:sz w:val="24"/>
              </w:rPr>
              <w:t>Für die Zwecke dieser Zeile wird der Betrag der Eigenmittel und der nachrangigen berücksichtigungsfähigen Verbindlichkeiten, die auf die MREL angerechnet werden, als prozentualer Anteil des gemäß Artikel 92 Absatz 3 der Verordnung (EU) Nr. 575/2013 berechneten Gesamtrisikobetrags ausgedrückt.</w:t>
            </w:r>
          </w:p>
          <w:p w14:paraId="1420404E" w14:textId="486A4F7A" w:rsidR="00DD64EE" w:rsidRPr="0008623B" w:rsidRDefault="00633625" w:rsidP="00DD64EE">
            <w:pPr>
              <w:rPr>
                <w:rFonts w:ascii="Times New Roman" w:hAnsi="Times New Roman" w:cs="Times New Roman"/>
                <w:b/>
                <w:sz w:val="24"/>
                <w:szCs w:val="24"/>
              </w:rPr>
            </w:pPr>
            <w:r>
              <w:rPr>
                <w:rFonts w:ascii="Times New Roman" w:hAnsi="Times New Roman"/>
                <w:color w:val="000000" w:themeColor="text1"/>
                <w:sz w:val="24"/>
              </w:rPr>
              <w:t>Zu berechnen durch die Division von Zeile 22a durch Zeile 23.</w:t>
            </w:r>
          </w:p>
        </w:tc>
      </w:tr>
      <w:tr w:rsidR="00D571F6" w:rsidRPr="0008623B" w14:paraId="36017B22" w14:textId="77777777" w:rsidTr="00E46262">
        <w:tc>
          <w:tcPr>
            <w:tcW w:w="1030" w:type="dxa"/>
            <w:vAlign w:val="top"/>
          </w:tcPr>
          <w:p w14:paraId="34721F24" w14:textId="1ACC2AE8"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26</w:t>
            </w:r>
          </w:p>
        </w:tc>
        <w:tc>
          <w:tcPr>
            <w:tcW w:w="7736" w:type="dxa"/>
          </w:tcPr>
          <w:p w14:paraId="36877A46" w14:textId="7121B65E" w:rsidR="00D571F6" w:rsidRPr="0008623B" w:rsidRDefault="00D571F6" w:rsidP="00D571F6">
            <w:pPr>
              <w:rPr>
                <w:rFonts w:ascii="Times New Roman" w:hAnsi="Times New Roman" w:cs="Times New Roman"/>
                <w:b/>
                <w:noProof/>
                <w:color w:val="000000" w:themeColor="text1"/>
                <w:sz w:val="24"/>
                <w:szCs w:val="24"/>
              </w:rPr>
            </w:pPr>
            <w:r>
              <w:rPr>
                <w:rFonts w:ascii="Times New Roman" w:hAnsi="Times New Roman"/>
                <w:b/>
                <w:color w:val="000000" w:themeColor="text1"/>
                <w:sz w:val="24"/>
              </w:rPr>
              <w:t>Eigenmittel und berücksichtigungsfähige Verbindlichkeiten als prozentualer Anteil an der TEM</w:t>
            </w:r>
          </w:p>
          <w:p w14:paraId="00EB744D" w14:textId="4F8F3490" w:rsidR="00F31CFB" w:rsidRPr="0008623B" w:rsidRDefault="00F31CFB" w:rsidP="00D571F6">
            <w:p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Für die Zwecke dieser Zeile wird gemäß Artikel 45 Absatz 2 Buchstabe b der Richtlinie 2014/59/EU und Artikel 92a der Verordnung (EU) Nr. 575/2013 der Betrag der Eigenmittel und berücksichtigungsfähigen Verbindlichkeiten, die auf MREL bzw. TLAC angerechnet werden, als prozentualer Anteil an </w:t>
            </w:r>
            <w:r>
              <w:rPr>
                <w:rFonts w:ascii="Times New Roman" w:hAnsi="Times New Roman"/>
                <w:color w:val="000000" w:themeColor="text1"/>
                <w:sz w:val="24"/>
              </w:rPr>
              <w:lastRenderedPageBreak/>
              <w:t>der Gesamtrisikopositionsmessgröße angegeben, die gemäß Artikel 429 Absatz 4 und Artikel 429a der Verordnung (EU) Nr. 575/2013 berechnet wird.</w:t>
            </w:r>
          </w:p>
          <w:p w14:paraId="4625DFA4" w14:textId="11EAD745" w:rsidR="00D571F6" w:rsidRPr="0008623B" w:rsidRDefault="00F31CFB" w:rsidP="00F31CFB">
            <w:pPr>
              <w:rPr>
                <w:rFonts w:ascii="Times New Roman" w:hAnsi="Times New Roman" w:cs="Times New Roman"/>
                <w:noProof/>
                <w:color w:val="000000" w:themeColor="text1"/>
                <w:sz w:val="24"/>
                <w:szCs w:val="24"/>
              </w:rPr>
            </w:pPr>
            <w:r>
              <w:rPr>
                <w:rFonts w:ascii="Times New Roman" w:hAnsi="Times New Roman"/>
                <w:color w:val="000000" w:themeColor="text1"/>
                <w:sz w:val="24"/>
              </w:rPr>
              <w:t>Zu berechnen durch die Division von Zeile 22 durch Zeile 24.</w:t>
            </w:r>
          </w:p>
        </w:tc>
      </w:tr>
      <w:tr w:rsidR="00DD64EE" w:rsidRPr="0008623B" w14:paraId="6226AC49" w14:textId="77777777" w:rsidTr="00E46262">
        <w:tc>
          <w:tcPr>
            <w:tcW w:w="1030" w:type="dxa"/>
          </w:tcPr>
          <w:p w14:paraId="0551FE26" w14:textId="5A7C8577" w:rsidR="00DD64EE" w:rsidRPr="0008623B" w:rsidRDefault="00DD64EE" w:rsidP="00DD64EE">
            <w:pPr>
              <w:rPr>
                <w:rFonts w:ascii="Times New Roman" w:hAnsi="Times New Roman" w:cs="Times New Roman"/>
                <w:sz w:val="24"/>
                <w:szCs w:val="24"/>
              </w:rPr>
            </w:pPr>
            <w:r>
              <w:rPr>
                <w:rFonts w:ascii="Times New Roman" w:hAnsi="Times New Roman"/>
                <w:sz w:val="24"/>
              </w:rPr>
              <w:lastRenderedPageBreak/>
              <w:t>EU-26a</w:t>
            </w:r>
          </w:p>
        </w:tc>
        <w:tc>
          <w:tcPr>
            <w:tcW w:w="7736" w:type="dxa"/>
          </w:tcPr>
          <w:p w14:paraId="20A52E81" w14:textId="3A7027C7" w:rsidR="00DD64EE" w:rsidRPr="0008623B" w:rsidRDefault="00DD64EE" w:rsidP="00DD64EE">
            <w:pPr>
              <w:rPr>
                <w:rFonts w:ascii="Times New Roman" w:hAnsi="Times New Roman" w:cs="Times New Roman"/>
                <w:b/>
                <w:sz w:val="24"/>
                <w:szCs w:val="24"/>
              </w:rPr>
            </w:pPr>
            <w:r>
              <w:rPr>
                <w:rFonts w:ascii="Times New Roman" w:hAnsi="Times New Roman"/>
                <w:b/>
                <w:sz w:val="24"/>
              </w:rPr>
              <w:t>Davon Eigenmittel und nachrangige Verbindlichkeiten</w:t>
            </w:r>
          </w:p>
          <w:p w14:paraId="45B16E43" w14:textId="10BF2834" w:rsidR="00CF449E" w:rsidRPr="0008623B" w:rsidRDefault="00CF449E" w:rsidP="001B5DB5">
            <w:pPr>
              <w:rPr>
                <w:rFonts w:ascii="Times New Roman" w:hAnsi="Times New Roman" w:cs="Times New Roman"/>
                <w:noProof/>
                <w:color w:val="000000" w:themeColor="text1"/>
                <w:sz w:val="24"/>
                <w:szCs w:val="24"/>
              </w:rPr>
            </w:pPr>
            <w:r>
              <w:rPr>
                <w:rFonts w:ascii="Times New Roman" w:hAnsi="Times New Roman"/>
                <w:color w:val="000000" w:themeColor="text1"/>
                <w:sz w:val="24"/>
              </w:rPr>
              <w:t>Für die Zwecke dieser Zeile wird der Betrag der Eigenmittel und der nachrangigen berücksichtigungsfähigen Verbindlichkeiten, die auf die MREL angerechnet werden, als prozentualer Anteil an der gemäß Artikel 429 Absatz 4 und Artikel 429a der Verordnung (EU) Nr. 575/2013 berechneten Gesamtrisikopositionsmessgröße ausgedrückt.</w:t>
            </w:r>
          </w:p>
          <w:p w14:paraId="358FA12B" w14:textId="445A7C3B" w:rsidR="00633625" w:rsidRPr="0008623B" w:rsidRDefault="00633625" w:rsidP="001B5DB5">
            <w:pPr>
              <w:rPr>
                <w:rFonts w:ascii="Times New Roman" w:hAnsi="Times New Roman" w:cs="Times New Roman"/>
                <w:b/>
                <w:sz w:val="24"/>
                <w:szCs w:val="24"/>
              </w:rPr>
            </w:pPr>
            <w:r>
              <w:rPr>
                <w:rFonts w:ascii="Times New Roman" w:hAnsi="Times New Roman"/>
                <w:color w:val="000000" w:themeColor="text1"/>
                <w:sz w:val="24"/>
              </w:rPr>
              <w:t>Zu berechnen durch die Division von Zeile 22a durch Zeile 24.</w:t>
            </w:r>
          </w:p>
        </w:tc>
      </w:tr>
      <w:tr w:rsidR="00D571F6" w:rsidRPr="0008623B" w14:paraId="097C48C9" w14:textId="77777777" w:rsidTr="00E46262">
        <w:tc>
          <w:tcPr>
            <w:tcW w:w="1030" w:type="dxa"/>
            <w:vAlign w:val="top"/>
          </w:tcPr>
          <w:p w14:paraId="71DD980C" w14:textId="7575C305"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27</w:t>
            </w:r>
          </w:p>
        </w:tc>
        <w:tc>
          <w:tcPr>
            <w:tcW w:w="7736" w:type="dxa"/>
          </w:tcPr>
          <w:p w14:paraId="5D1EF640" w14:textId="01C37C4A" w:rsidR="00D571F6" w:rsidRPr="0008623B" w:rsidRDefault="00D571F6" w:rsidP="00D571F6">
            <w:pPr>
              <w:rPr>
                <w:rFonts w:ascii="Times New Roman" w:hAnsi="Times New Roman" w:cs="Times New Roman"/>
                <w:b/>
                <w:noProof/>
                <w:color w:val="000000" w:themeColor="text1"/>
                <w:sz w:val="24"/>
                <w:szCs w:val="24"/>
              </w:rPr>
            </w:pPr>
            <w:r>
              <w:rPr>
                <w:rFonts w:ascii="Times New Roman" w:hAnsi="Times New Roman"/>
                <w:b/>
                <w:color w:val="000000" w:themeColor="text1"/>
                <w:sz w:val="24"/>
              </w:rPr>
              <w:t>CET1 (in Prozent des TREA), das nach Erfüllung der Anforderungen der Abwicklungsgruppe zur Verfügung steht</w:t>
            </w:r>
          </w:p>
          <w:p w14:paraId="0227909F" w14:textId="1CB6809D" w:rsidR="00A47BCD" w:rsidRPr="0008623B" w:rsidRDefault="00A47BCD" w:rsidP="00B62DC9">
            <w:pPr>
              <w:pStyle w:val="InstructionsText"/>
              <w:rPr>
                <w:rFonts w:eastAsiaTheme="minorEastAsia"/>
              </w:rPr>
            </w:pPr>
            <w:r>
              <w:t>Der prozentuale Anteil des CET1 am Gesamtrisikobetrag, der gleich Null oder positiv ist und nach Erfüllung jeder der in Artikel 141a Absatz 1 Buchstaben a, b und c der Richtlinie 2013/36/EU genannten Anforderungen zur Verfügung steht, und der höhere der folgenden Werte:</w:t>
            </w:r>
          </w:p>
          <w:p w14:paraId="42E3D4EA" w14:textId="2070C8C0" w:rsidR="00A47BCD" w:rsidRPr="0008623B" w:rsidRDefault="00A47BCD" w:rsidP="00B62DC9">
            <w:pPr>
              <w:pStyle w:val="InstructionsText"/>
              <w:rPr>
                <w:rFonts w:eastAsiaTheme="minorEastAsia"/>
              </w:rPr>
            </w:pPr>
            <w:r>
              <w:t xml:space="preserve">a) gegebenenfalls die Anforderung an Eigenmittel und berücksichtigungsfähige Verbindlichkeiten für G-SRI gemäß Artikel 92a der Verordnung (EU) Nr. 575/2013, wenn sie gemäß Absatz 1 Buchstabe a des genannten Artikels berechnet wird, und </w:t>
            </w:r>
          </w:p>
          <w:p w14:paraId="396BF4D8" w14:textId="21D22CB1" w:rsidR="00A47BCD" w:rsidRPr="0008623B" w:rsidRDefault="00A47BCD" w:rsidP="00B62DC9">
            <w:pPr>
              <w:pStyle w:val="InstructionsText"/>
              <w:rPr>
                <w:rFonts w:eastAsiaTheme="minorEastAsia"/>
              </w:rPr>
            </w:pPr>
            <w:r>
              <w:t>b) die Mindestanforderung an Eigenmittel und berücksichtigungsfähige Verbindlichkeiten gemäß Artikel 45 der Richtlinie 2014/59/EU, wenn sie gemäß Absatz 2 Buchstabe a des genannten Artikels berechnet wird.</w:t>
            </w:r>
          </w:p>
          <w:p w14:paraId="7D9CD928" w14:textId="77777777" w:rsidR="00A47BCD" w:rsidRPr="0008623B" w:rsidRDefault="00A47BCD" w:rsidP="00B62DC9">
            <w:pPr>
              <w:pStyle w:val="InstructionsText"/>
              <w:rPr>
                <w:rFonts w:eastAsiaTheme="minorEastAsia"/>
              </w:rPr>
            </w:pPr>
          </w:p>
          <w:p w14:paraId="0543D9CF" w14:textId="084E2193" w:rsidR="00A47BCD" w:rsidRPr="0008623B" w:rsidRDefault="00A47BCD" w:rsidP="00B62DC9">
            <w:pPr>
              <w:pStyle w:val="InstructionsText"/>
              <w:rPr>
                <w:rFonts w:eastAsiaTheme="minorEastAsia"/>
              </w:rPr>
            </w:pPr>
            <w:r>
              <w:t>Die offengelegte Zahl in den Spalten MREL und TLAC muss identisch sein.</w:t>
            </w:r>
          </w:p>
          <w:p w14:paraId="7018FBAF" w14:textId="359E47B3" w:rsidR="00D571F6" w:rsidRPr="0008623B" w:rsidRDefault="00A47BCD" w:rsidP="00940D58">
            <w:pPr>
              <w:rPr>
                <w:rFonts w:ascii="Times New Roman" w:hAnsi="Times New Roman" w:cs="Times New Roman"/>
                <w:noProof/>
                <w:color w:val="000000" w:themeColor="text1"/>
                <w:sz w:val="24"/>
                <w:szCs w:val="24"/>
              </w:rPr>
            </w:pPr>
            <w:r>
              <w:rPr>
                <w:rFonts w:ascii="Times New Roman" w:hAnsi="Times New Roman"/>
                <w:color w:val="000000" w:themeColor="text1"/>
                <w:sz w:val="24"/>
              </w:rPr>
              <w:t>Dabei sind die Auswirkungen der Übergangsbestimmungen auf die Eigenmittel und berücksichtigungsfähigen Verbindlichkeiten, den Gesamtrisikobetrag und die Anforderungen selbst zu berücksichtigen. Weder die Leitlinien für ergänzende Eigenmittel gemäß Artikel 104b der Richtlinie 2013/36/EU noch die kombinierte Kapitalpuffer</w:t>
            </w:r>
            <w:r w:rsidR="004A008C">
              <w:rPr>
                <w:rFonts w:ascii="Times New Roman" w:hAnsi="Times New Roman"/>
                <w:color w:val="000000" w:themeColor="text1"/>
                <w:sz w:val="24"/>
              </w:rPr>
              <w:t>a</w:t>
            </w:r>
            <w:r>
              <w:rPr>
                <w:rFonts w:ascii="Times New Roman" w:hAnsi="Times New Roman"/>
                <w:color w:val="000000" w:themeColor="text1"/>
                <w:sz w:val="24"/>
              </w:rPr>
              <w:t>nforderung gemäß Artikel 128 Absatz 1 Nummer 6 der genannten Richtlinie sind zu berücksichtigen.</w:t>
            </w:r>
          </w:p>
        </w:tc>
      </w:tr>
      <w:tr w:rsidR="00D571F6" w:rsidRPr="0008623B" w14:paraId="015114DE" w14:textId="77777777" w:rsidTr="00E46262">
        <w:tc>
          <w:tcPr>
            <w:tcW w:w="1030" w:type="dxa"/>
            <w:vAlign w:val="top"/>
          </w:tcPr>
          <w:p w14:paraId="67C0B6E2" w14:textId="23ADC5ED"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28</w:t>
            </w:r>
          </w:p>
        </w:tc>
        <w:tc>
          <w:tcPr>
            <w:tcW w:w="7736" w:type="dxa"/>
          </w:tcPr>
          <w:p w14:paraId="725380F6" w14:textId="4F7F997D" w:rsidR="00D571F6" w:rsidRPr="0008623B" w:rsidRDefault="00D571F6" w:rsidP="00D571F6">
            <w:pPr>
              <w:rPr>
                <w:rFonts w:ascii="Times New Roman" w:hAnsi="Times New Roman" w:cs="Times New Roman"/>
                <w:b/>
                <w:noProof/>
                <w:color w:val="000000" w:themeColor="text1"/>
                <w:sz w:val="24"/>
                <w:szCs w:val="24"/>
              </w:rPr>
            </w:pPr>
            <w:r>
              <w:rPr>
                <w:rFonts w:ascii="Times New Roman" w:hAnsi="Times New Roman"/>
                <w:b/>
                <w:color w:val="000000" w:themeColor="text1"/>
                <w:sz w:val="24"/>
              </w:rPr>
              <w:t>Institutsspezifische kombinierte Kapitalpuffer</w:t>
            </w:r>
            <w:r w:rsidR="004A008C">
              <w:rPr>
                <w:rFonts w:ascii="Times New Roman" w:hAnsi="Times New Roman"/>
                <w:b/>
                <w:color w:val="000000" w:themeColor="text1"/>
                <w:sz w:val="24"/>
              </w:rPr>
              <w:t>a</w:t>
            </w:r>
            <w:r>
              <w:rPr>
                <w:rFonts w:ascii="Times New Roman" w:hAnsi="Times New Roman"/>
                <w:b/>
                <w:color w:val="000000" w:themeColor="text1"/>
                <w:sz w:val="24"/>
              </w:rPr>
              <w:t xml:space="preserve">nforderung </w:t>
            </w:r>
          </w:p>
          <w:p w14:paraId="4829A94F" w14:textId="5547D2BA" w:rsidR="00D571F6" w:rsidRPr="0008623B" w:rsidRDefault="00D571F6" w:rsidP="00940D58">
            <w:pPr>
              <w:rPr>
                <w:rFonts w:ascii="Times New Roman" w:hAnsi="Times New Roman" w:cs="Times New Roman"/>
                <w:noProof/>
                <w:color w:val="000000" w:themeColor="text1"/>
                <w:sz w:val="24"/>
                <w:szCs w:val="24"/>
              </w:rPr>
            </w:pPr>
            <w:r>
              <w:rPr>
                <w:rFonts w:ascii="Times New Roman" w:hAnsi="Times New Roman"/>
                <w:color w:val="000000" w:themeColor="text1"/>
                <w:sz w:val="24"/>
              </w:rPr>
              <w:t>Institutsspezifische kombinierte Kapitalpuffer</w:t>
            </w:r>
            <w:r w:rsidR="004A008C">
              <w:rPr>
                <w:rFonts w:ascii="Times New Roman" w:hAnsi="Times New Roman"/>
                <w:color w:val="000000" w:themeColor="text1"/>
                <w:sz w:val="24"/>
              </w:rPr>
              <w:t>a</w:t>
            </w:r>
            <w:r>
              <w:rPr>
                <w:rFonts w:ascii="Times New Roman" w:hAnsi="Times New Roman"/>
                <w:color w:val="000000" w:themeColor="text1"/>
                <w:sz w:val="24"/>
              </w:rPr>
              <w:t>nforderung im Sinne von Artikel 128 Absatz 1 Nummer 6 der Richtlinie 2013/36/EU, ausgedrückt als prozentualer Anteil am Gesamtrisikobetrag, anwendbar auf die Abwicklungsgruppe gemäß Absatz 1 Nummer 6 des genannten Artikels.</w:t>
            </w:r>
          </w:p>
        </w:tc>
      </w:tr>
      <w:tr w:rsidR="00D571F6" w:rsidRPr="0008623B" w14:paraId="0D814418" w14:textId="77777777" w:rsidTr="00E46262">
        <w:tc>
          <w:tcPr>
            <w:tcW w:w="1030" w:type="dxa"/>
            <w:vAlign w:val="top"/>
          </w:tcPr>
          <w:p w14:paraId="2D747295" w14:textId="712C6D78"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lastRenderedPageBreak/>
              <w:t>29</w:t>
            </w:r>
          </w:p>
        </w:tc>
        <w:tc>
          <w:tcPr>
            <w:tcW w:w="7736" w:type="dxa"/>
            <w:vAlign w:val="top"/>
          </w:tcPr>
          <w:p w14:paraId="793F80F0" w14:textId="39B06B90" w:rsidR="00D571F6" w:rsidRPr="0008623B" w:rsidRDefault="00B80F7C" w:rsidP="00D571F6">
            <w:pPr>
              <w:rPr>
                <w:rFonts w:ascii="Times New Roman" w:hAnsi="Times New Roman" w:cs="Times New Roman"/>
                <w:b/>
                <w:noProof/>
                <w:color w:val="000000" w:themeColor="text1"/>
                <w:sz w:val="24"/>
                <w:szCs w:val="24"/>
              </w:rPr>
            </w:pPr>
            <w:r>
              <w:rPr>
                <w:rFonts w:ascii="Times New Roman" w:hAnsi="Times New Roman"/>
                <w:b/>
                <w:color w:val="000000" w:themeColor="text1"/>
                <w:sz w:val="24"/>
              </w:rPr>
              <w:t>Institutsspezifische kombinierte Kapitalpuffer</w:t>
            </w:r>
            <w:r w:rsidR="004A008C">
              <w:rPr>
                <w:rFonts w:ascii="Times New Roman" w:hAnsi="Times New Roman"/>
                <w:b/>
                <w:color w:val="000000" w:themeColor="text1"/>
                <w:sz w:val="24"/>
              </w:rPr>
              <w:t>a</w:t>
            </w:r>
            <w:r>
              <w:rPr>
                <w:rFonts w:ascii="Times New Roman" w:hAnsi="Times New Roman"/>
                <w:b/>
                <w:color w:val="000000" w:themeColor="text1"/>
                <w:sz w:val="24"/>
              </w:rPr>
              <w:t xml:space="preserve">nforderung – Davon Anforderung des Kapitalerhaltungspuffers </w:t>
            </w:r>
          </w:p>
          <w:p w14:paraId="5C784879" w14:textId="40A880B0" w:rsidR="00D571F6" w:rsidRPr="0008623B" w:rsidRDefault="00D571F6" w:rsidP="009B2422">
            <w:pPr>
              <w:rPr>
                <w:rFonts w:ascii="Times New Roman" w:hAnsi="Times New Roman" w:cs="Times New Roman"/>
                <w:noProof/>
                <w:color w:val="000000" w:themeColor="text1"/>
                <w:sz w:val="24"/>
                <w:szCs w:val="24"/>
              </w:rPr>
            </w:pPr>
            <w:r>
              <w:rPr>
                <w:rFonts w:ascii="Times New Roman" w:hAnsi="Times New Roman"/>
                <w:sz w:val="24"/>
              </w:rPr>
              <w:t>Der Betrag des institutsspezifischen kombinierten Kapitalpuffers (ausgedrückt als prozentualer Anteil am Gesamtrisikobetrag), der sich auf die Anforderung des Kapitalerhaltungspuffers bezieht.</w:t>
            </w:r>
          </w:p>
        </w:tc>
      </w:tr>
      <w:tr w:rsidR="00D571F6" w:rsidRPr="0008623B" w14:paraId="63B8627F" w14:textId="77777777" w:rsidTr="00E46262">
        <w:tc>
          <w:tcPr>
            <w:tcW w:w="1030" w:type="dxa"/>
            <w:vAlign w:val="top"/>
          </w:tcPr>
          <w:p w14:paraId="68373BD4" w14:textId="0AC3FF61"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30</w:t>
            </w:r>
          </w:p>
        </w:tc>
        <w:tc>
          <w:tcPr>
            <w:tcW w:w="7736" w:type="dxa"/>
            <w:vAlign w:val="top"/>
          </w:tcPr>
          <w:p w14:paraId="369B9330" w14:textId="347CF3B1" w:rsidR="00D571F6" w:rsidRPr="0008623B" w:rsidRDefault="00B80F7C" w:rsidP="00D571F6">
            <w:pPr>
              <w:rPr>
                <w:rFonts w:ascii="Times New Roman" w:hAnsi="Times New Roman" w:cs="Times New Roman"/>
                <w:b/>
                <w:noProof/>
                <w:color w:val="000000" w:themeColor="text1"/>
                <w:sz w:val="24"/>
                <w:szCs w:val="24"/>
              </w:rPr>
            </w:pPr>
            <w:r>
              <w:rPr>
                <w:rFonts w:ascii="Times New Roman" w:hAnsi="Times New Roman"/>
                <w:b/>
                <w:color w:val="000000" w:themeColor="text1"/>
                <w:sz w:val="24"/>
              </w:rPr>
              <w:t>Institutsspezifische kombinierte Kapitalpuffer</w:t>
            </w:r>
            <w:r w:rsidR="004A008C">
              <w:rPr>
                <w:rFonts w:ascii="Times New Roman" w:hAnsi="Times New Roman"/>
                <w:b/>
                <w:color w:val="000000" w:themeColor="text1"/>
                <w:sz w:val="24"/>
              </w:rPr>
              <w:t>a</w:t>
            </w:r>
            <w:r>
              <w:rPr>
                <w:rFonts w:ascii="Times New Roman" w:hAnsi="Times New Roman"/>
                <w:b/>
                <w:color w:val="000000" w:themeColor="text1"/>
                <w:sz w:val="24"/>
              </w:rPr>
              <w:t xml:space="preserve">nforderung – Davon Anforderung des antizyklischen Kapitalpuffers </w:t>
            </w:r>
          </w:p>
          <w:p w14:paraId="6E30DDC3" w14:textId="72487262"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Der Betrag des institutsspezifischen kombinierten Kapitalpuffers (ausgedrückt als prozentualer Anteil am Gesamtrisikobetrag), der sich auf die Anforderung des antizyklischen Kapitalpuffers bezieht.</w:t>
            </w:r>
          </w:p>
        </w:tc>
      </w:tr>
      <w:tr w:rsidR="00D571F6" w:rsidRPr="0008623B" w14:paraId="780D8179" w14:textId="77777777" w:rsidTr="00E46262">
        <w:tc>
          <w:tcPr>
            <w:tcW w:w="1030" w:type="dxa"/>
            <w:vAlign w:val="top"/>
          </w:tcPr>
          <w:p w14:paraId="4011938A" w14:textId="6723E0C3"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31</w:t>
            </w:r>
          </w:p>
        </w:tc>
        <w:tc>
          <w:tcPr>
            <w:tcW w:w="7736" w:type="dxa"/>
            <w:vAlign w:val="top"/>
          </w:tcPr>
          <w:p w14:paraId="40BC9FBF" w14:textId="0E42CBE3" w:rsidR="00D571F6" w:rsidRPr="0008623B" w:rsidRDefault="00B80F7C" w:rsidP="00D571F6">
            <w:pPr>
              <w:rPr>
                <w:rFonts w:ascii="Times New Roman" w:hAnsi="Times New Roman" w:cs="Times New Roman"/>
                <w:b/>
                <w:noProof/>
                <w:color w:val="000000" w:themeColor="text1"/>
                <w:sz w:val="24"/>
                <w:szCs w:val="24"/>
              </w:rPr>
            </w:pPr>
            <w:r>
              <w:rPr>
                <w:rFonts w:ascii="Times New Roman" w:hAnsi="Times New Roman"/>
                <w:b/>
                <w:color w:val="000000" w:themeColor="text1"/>
                <w:sz w:val="24"/>
              </w:rPr>
              <w:t>Institutsspezifische kombinierte Kapitalpuffer</w:t>
            </w:r>
            <w:r w:rsidR="004A008C">
              <w:rPr>
                <w:rFonts w:ascii="Times New Roman" w:hAnsi="Times New Roman"/>
                <w:b/>
                <w:color w:val="000000" w:themeColor="text1"/>
                <w:sz w:val="24"/>
              </w:rPr>
              <w:t>a</w:t>
            </w:r>
            <w:r>
              <w:rPr>
                <w:rFonts w:ascii="Times New Roman" w:hAnsi="Times New Roman"/>
                <w:b/>
                <w:color w:val="000000" w:themeColor="text1"/>
                <w:sz w:val="24"/>
              </w:rPr>
              <w:t xml:space="preserve">nforderung – Davon Anforderung des Systemrisikopuffers </w:t>
            </w:r>
          </w:p>
          <w:p w14:paraId="2538331C" w14:textId="1E3B6906" w:rsidR="00D571F6" w:rsidRPr="0008623B" w:rsidRDefault="00D571F6" w:rsidP="009B2422">
            <w:pPr>
              <w:rPr>
                <w:rFonts w:ascii="Times New Roman" w:hAnsi="Times New Roman" w:cs="Times New Roman"/>
                <w:sz w:val="24"/>
                <w:szCs w:val="24"/>
              </w:rPr>
            </w:pPr>
            <w:r>
              <w:rPr>
                <w:rFonts w:ascii="Times New Roman" w:hAnsi="Times New Roman"/>
                <w:sz w:val="24"/>
              </w:rPr>
              <w:t>Der Betrag des institutsspezifischen kombinierten Kapitalpuffers (ausgedrückt als prozentualer Anteil am Gesamtrisikobetrag), der sich auf die Anforderung des Systemrisikopuffers bezieht.</w:t>
            </w:r>
          </w:p>
        </w:tc>
      </w:tr>
      <w:tr w:rsidR="00D571F6" w:rsidRPr="0008623B" w14:paraId="2321A559" w14:textId="77777777" w:rsidTr="00E46262">
        <w:tc>
          <w:tcPr>
            <w:tcW w:w="1030" w:type="dxa"/>
            <w:vAlign w:val="top"/>
          </w:tcPr>
          <w:p w14:paraId="5B6DF329" w14:textId="537A82C8" w:rsidR="00D571F6" w:rsidRPr="0008623B" w:rsidRDefault="00D571F6" w:rsidP="00D571F6">
            <w:pPr>
              <w:rPr>
                <w:rFonts w:ascii="Times New Roman" w:hAnsi="Times New Roman" w:cs="Times New Roman"/>
                <w:noProof/>
                <w:color w:val="000000" w:themeColor="text1"/>
                <w:sz w:val="24"/>
                <w:szCs w:val="24"/>
              </w:rPr>
            </w:pPr>
            <w:r>
              <w:rPr>
                <w:rFonts w:ascii="Times New Roman" w:hAnsi="Times New Roman"/>
                <w:sz w:val="24"/>
              </w:rPr>
              <w:t>EU-31a</w:t>
            </w:r>
          </w:p>
        </w:tc>
        <w:tc>
          <w:tcPr>
            <w:tcW w:w="7736" w:type="dxa"/>
            <w:vAlign w:val="top"/>
          </w:tcPr>
          <w:p w14:paraId="2ACB2A11" w14:textId="13007ECF" w:rsidR="00D571F6" w:rsidRPr="0008623B" w:rsidRDefault="00B80F7C" w:rsidP="00D571F6">
            <w:pPr>
              <w:rPr>
                <w:rFonts w:ascii="Times New Roman" w:hAnsi="Times New Roman" w:cs="Times New Roman"/>
                <w:b/>
                <w:noProof/>
                <w:color w:val="000000" w:themeColor="text1"/>
                <w:sz w:val="24"/>
                <w:szCs w:val="24"/>
              </w:rPr>
            </w:pPr>
            <w:r>
              <w:rPr>
                <w:rFonts w:ascii="Times New Roman" w:hAnsi="Times New Roman"/>
                <w:b/>
                <w:color w:val="000000" w:themeColor="text1"/>
                <w:sz w:val="24"/>
              </w:rPr>
              <w:t>Institutsspezifische kombinierte Kapitalpuffer</w:t>
            </w:r>
            <w:r w:rsidR="004A008C">
              <w:rPr>
                <w:rFonts w:ascii="Times New Roman" w:hAnsi="Times New Roman"/>
                <w:b/>
                <w:color w:val="000000" w:themeColor="text1"/>
                <w:sz w:val="24"/>
              </w:rPr>
              <w:t>a</w:t>
            </w:r>
            <w:r>
              <w:rPr>
                <w:rFonts w:ascii="Times New Roman" w:hAnsi="Times New Roman"/>
                <w:b/>
                <w:color w:val="000000" w:themeColor="text1"/>
                <w:sz w:val="24"/>
              </w:rPr>
              <w:t>nforderung – Davon Puffer für global systemrelevante Institute (G-SRI) oder andere systemrelevante Institute (A-SRI)</w:t>
            </w:r>
          </w:p>
          <w:p w14:paraId="6700C20F" w14:textId="59F7281D" w:rsidR="00D571F6" w:rsidRPr="0008623B" w:rsidRDefault="00D571F6" w:rsidP="00563C8D">
            <w:pPr>
              <w:rPr>
                <w:rFonts w:ascii="Times New Roman" w:hAnsi="Times New Roman" w:cs="Times New Roman"/>
                <w:noProof/>
                <w:color w:val="000000" w:themeColor="text1"/>
                <w:sz w:val="24"/>
                <w:szCs w:val="24"/>
              </w:rPr>
            </w:pPr>
            <w:r>
              <w:rPr>
                <w:rFonts w:ascii="Times New Roman" w:hAnsi="Times New Roman"/>
                <w:sz w:val="24"/>
              </w:rPr>
              <w:t>Der Betrag des institutsspezifischen kombinierten Kapitalpuffers (ausgedrückt als Prozentsatz des Gesamtrisikobetrags), der sich auf die Anforderung des Puffers für G-SRI oder A-SRI bezieht.</w:t>
            </w:r>
          </w:p>
        </w:tc>
      </w:tr>
      <w:tr w:rsidR="0023278E" w:rsidRPr="0008623B" w14:paraId="08100425" w14:textId="77777777" w:rsidTr="00E46262">
        <w:tc>
          <w:tcPr>
            <w:tcW w:w="1030" w:type="dxa"/>
            <w:vAlign w:val="top"/>
          </w:tcPr>
          <w:p w14:paraId="6C04F598" w14:textId="5E33E643" w:rsidR="0023278E" w:rsidRPr="0008623B" w:rsidRDefault="0023278E" w:rsidP="0023278E">
            <w:pPr>
              <w:rPr>
                <w:rFonts w:ascii="Times New Roman" w:hAnsi="Times New Roman" w:cs="Times New Roman"/>
                <w:sz w:val="24"/>
                <w:szCs w:val="24"/>
              </w:rPr>
            </w:pPr>
            <w:r>
              <w:rPr>
                <w:rFonts w:ascii="Times New Roman" w:hAnsi="Times New Roman"/>
                <w:sz w:val="24"/>
              </w:rPr>
              <w:t>EU-32</w:t>
            </w:r>
          </w:p>
        </w:tc>
        <w:tc>
          <w:tcPr>
            <w:tcW w:w="7736" w:type="dxa"/>
            <w:vAlign w:val="top"/>
          </w:tcPr>
          <w:p w14:paraId="154EB8B0" w14:textId="1395906F" w:rsidR="0023278E" w:rsidRPr="0008623B" w:rsidRDefault="0023278E" w:rsidP="0023278E">
            <w:pPr>
              <w:rPr>
                <w:rFonts w:ascii="Times New Roman" w:hAnsi="Times New Roman" w:cs="Times New Roman"/>
                <w:b/>
                <w:noProof/>
                <w:color w:val="000000" w:themeColor="text1"/>
                <w:sz w:val="24"/>
                <w:szCs w:val="24"/>
              </w:rPr>
            </w:pPr>
            <w:r>
              <w:rPr>
                <w:rFonts w:ascii="Times New Roman" w:hAnsi="Times New Roman"/>
                <w:b/>
                <w:color w:val="000000" w:themeColor="text1"/>
                <w:sz w:val="24"/>
              </w:rPr>
              <w:t>Gesamtbetrag der ausgenommenen Verbindlichkeiten im Sinne von Artikel 72a Absatz 2 der Verordnung (EU) Nr. 575/2013</w:t>
            </w:r>
          </w:p>
        </w:tc>
      </w:tr>
    </w:tbl>
    <w:p w14:paraId="79FEC8BB" w14:textId="2A1A82F0" w:rsidR="005C7641" w:rsidRPr="0008623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188" w:name="_Toc14769121"/>
      <w:bookmarkStart w:id="189" w:name="_Toc14769395"/>
      <w:bookmarkStart w:id="190" w:name="_Toc14769942"/>
      <w:bookmarkStart w:id="191" w:name="_Toc14770212"/>
      <w:bookmarkStart w:id="192" w:name="_Toc14771101"/>
      <w:bookmarkStart w:id="193" w:name="_Toc14771761"/>
      <w:bookmarkStart w:id="194" w:name="_Toc14769169"/>
      <w:bookmarkStart w:id="195" w:name="_Toc14769443"/>
      <w:bookmarkStart w:id="196" w:name="_Toc14769990"/>
      <w:bookmarkStart w:id="197" w:name="_Toc14770260"/>
      <w:bookmarkStart w:id="198" w:name="_Toc14771149"/>
      <w:bookmarkStart w:id="199" w:name="_Toc14771809"/>
      <w:bookmarkStart w:id="200" w:name="_Toc14769201"/>
      <w:bookmarkStart w:id="201" w:name="_Toc14769475"/>
      <w:bookmarkStart w:id="202" w:name="_Toc14770022"/>
      <w:bookmarkStart w:id="203" w:name="_Toc14770292"/>
      <w:bookmarkStart w:id="204" w:name="_Toc14771181"/>
      <w:bookmarkStart w:id="205" w:name="_Toc14771841"/>
      <w:bookmarkStart w:id="206" w:name="_Toc14770784"/>
      <w:bookmarkStart w:id="207" w:name="_Toc45266928"/>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Pr>
          <w:rFonts w:ascii="Times New Roman" w:hAnsi="Times New Roman"/>
          <w:color w:val="auto"/>
          <w:sz w:val="24"/>
        </w:rPr>
        <w:t>4.</w:t>
      </w:r>
      <w:r>
        <w:rPr>
          <w:rFonts w:ascii="Times New Roman" w:hAnsi="Times New Roman"/>
          <w:color w:val="auto"/>
          <w:sz w:val="24"/>
        </w:rPr>
        <w:tab/>
        <w:t>EU ILAC: Interne Verlustabsorptionsfähigkeit: interne MREL und, falls zutreffend, Anforderung an Eigenmittel und berücksichtigungsfähige Verbindlichkeiten für Nicht-EU-G-SRI</w:t>
      </w:r>
      <w:bookmarkStart w:id="208" w:name="_Toc14770785"/>
      <w:bookmarkEnd w:id="206"/>
      <w:bookmarkEnd w:id="208"/>
      <w:r>
        <w:rPr>
          <w:rFonts w:ascii="Times New Roman" w:hAnsi="Times New Roman"/>
          <w:color w:val="auto"/>
          <w:sz w:val="24"/>
        </w:rPr>
        <w:t xml:space="preserve"> (interne TLAC)</w:t>
      </w:r>
      <w:bookmarkEnd w:id="207"/>
    </w:p>
    <w:p w14:paraId="4B755467" w14:textId="5E1539C5" w:rsidR="00413CCD" w:rsidRPr="0008623B" w:rsidRDefault="00413CCD" w:rsidP="00B62DC9">
      <w:pPr>
        <w:pStyle w:val="InstructionsText2"/>
        <w:numPr>
          <w:ilvl w:val="0"/>
          <w:numId w:val="12"/>
        </w:numPr>
      </w:pPr>
      <w:r>
        <w:t>Mithilfe dieses Meldebogens werden die Eigenmittel und berücksichtigungsfähigen Verbindlichkeiten von Unternehmen, die selbst keine Abwicklungseinheiten sind, für die Zwecke der Anforderung an Eigenmittel und berücksichtigungsfähige Verbindlichkeiten gemäß Artikel 45f der Richtlinie 2014/59/EU (interne MREL) sowie der Anforderung an Eigenmittel und berücksichtigungsfähige Verbindlichkeiten für Nicht-EU-G-SRI, die für bedeutende Tochterunternehmen von G-SRI aus Drittländern gelten, gemäß Artikel 92b der Verordnung (EU) Nr. 575/2013 (interne TLAC) angegeben.</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FF6326" w:rsidRPr="0008623B" w14:paraId="4BB456DC" w14:textId="77777777" w:rsidTr="00F42DCD">
        <w:trPr>
          <w:trHeight w:val="238"/>
        </w:trPr>
        <w:tc>
          <w:tcPr>
            <w:tcW w:w="1384" w:type="dxa"/>
            <w:shd w:val="clear" w:color="auto" w:fill="D9D9D9" w:themeFill="background1" w:themeFillShade="D9"/>
          </w:tcPr>
          <w:p w14:paraId="0BD997C3" w14:textId="77777777" w:rsidR="00FF6326" w:rsidRPr="0008623B" w:rsidRDefault="00FF6326" w:rsidP="00F42DCD">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Spalten</w:t>
            </w:r>
          </w:p>
        </w:tc>
        <w:tc>
          <w:tcPr>
            <w:tcW w:w="7655" w:type="dxa"/>
            <w:shd w:val="clear" w:color="auto" w:fill="D9D9D9" w:themeFill="background1" w:themeFillShade="D9"/>
          </w:tcPr>
          <w:p w14:paraId="359FBA21" w14:textId="5D467A7A" w:rsidR="00FF6326" w:rsidRPr="0008623B" w:rsidRDefault="00E46262" w:rsidP="00F42DCD">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Rechtsgrundlagen und Erläuterungen</w:t>
            </w:r>
          </w:p>
        </w:tc>
      </w:tr>
      <w:tr w:rsidR="00FF6326" w:rsidRPr="0008623B" w14:paraId="4D038DE2" w14:textId="77777777" w:rsidTr="00F42DCD">
        <w:trPr>
          <w:trHeight w:val="637"/>
        </w:trPr>
        <w:tc>
          <w:tcPr>
            <w:tcW w:w="1384" w:type="dxa"/>
          </w:tcPr>
          <w:p w14:paraId="60750BB7" w14:textId="77777777" w:rsidR="00FF6326" w:rsidRPr="0008623B" w:rsidDel="00DE6BC1" w:rsidRDefault="00FF6326" w:rsidP="00F42DCD">
            <w:pPr>
              <w:pStyle w:val="Applicationdirecte"/>
              <w:spacing w:before="120"/>
              <w:jc w:val="center"/>
              <w:rPr>
                <w:color w:val="000000" w:themeColor="text1"/>
                <w:szCs w:val="24"/>
              </w:rPr>
            </w:pPr>
            <w:r>
              <w:rPr>
                <w:color w:val="000000" w:themeColor="text1"/>
              </w:rPr>
              <w:lastRenderedPageBreak/>
              <w:t>a</w:t>
            </w:r>
          </w:p>
        </w:tc>
        <w:tc>
          <w:tcPr>
            <w:tcW w:w="7655" w:type="dxa"/>
          </w:tcPr>
          <w:p w14:paraId="054F4480" w14:textId="09D63B79" w:rsidR="00FF6326" w:rsidRPr="0008623B" w:rsidRDefault="00CB1021" w:rsidP="00F90B2E">
            <w:pPr>
              <w:autoSpaceDE w:val="0"/>
              <w:autoSpaceDN w:val="0"/>
              <w:adjustRightInd w:val="0"/>
              <w:spacing w:before="120" w:after="120"/>
              <w:rPr>
                <w:rFonts w:ascii="Times New Roman" w:hAnsi="Times New Roman" w:cs="Times New Roman"/>
                <w:color w:val="000000" w:themeColor="text1"/>
                <w:sz w:val="24"/>
                <w:szCs w:val="24"/>
              </w:rPr>
            </w:pPr>
            <w:r>
              <w:rPr>
                <w:rFonts w:ascii="Times New Roman" w:hAnsi="Times New Roman"/>
                <w:color w:val="000000" w:themeColor="text1"/>
                <w:sz w:val="24"/>
              </w:rPr>
              <w:t>In dieser Spalte geben die Unternehmen die relevanten Informationen über die interne MREL in Übereinstimmung mit den Artikeln 45 und 45f der Richtlinie 2014/59/EU an.</w:t>
            </w:r>
          </w:p>
        </w:tc>
      </w:tr>
      <w:tr w:rsidR="00FF6326" w:rsidRPr="0008623B" w14:paraId="1546A396" w14:textId="77777777" w:rsidTr="00F42DCD">
        <w:trPr>
          <w:trHeight w:val="637"/>
        </w:trPr>
        <w:tc>
          <w:tcPr>
            <w:tcW w:w="1384" w:type="dxa"/>
          </w:tcPr>
          <w:p w14:paraId="1C66F776" w14:textId="7AB435E5" w:rsidR="00FF6326" w:rsidRPr="0008623B" w:rsidDel="00DE6BC1" w:rsidRDefault="00F90B2E" w:rsidP="00F90B2E">
            <w:pPr>
              <w:pStyle w:val="Applicationdirecte"/>
              <w:spacing w:before="120"/>
              <w:jc w:val="center"/>
              <w:rPr>
                <w:color w:val="000000" w:themeColor="text1"/>
                <w:szCs w:val="24"/>
              </w:rPr>
            </w:pPr>
            <w:r>
              <w:rPr>
                <w:color w:val="000000" w:themeColor="text1"/>
              </w:rPr>
              <w:t>b</w:t>
            </w:r>
          </w:p>
        </w:tc>
        <w:tc>
          <w:tcPr>
            <w:tcW w:w="7655" w:type="dxa"/>
          </w:tcPr>
          <w:p w14:paraId="353033F9" w14:textId="2CD18282" w:rsidR="00FF6326" w:rsidRPr="0008623B" w:rsidRDefault="00CB1021" w:rsidP="00F90B2E">
            <w:pPr>
              <w:autoSpaceDE w:val="0"/>
              <w:autoSpaceDN w:val="0"/>
              <w:adjustRightInd w:val="0"/>
              <w:spacing w:before="120" w:after="120"/>
              <w:rPr>
                <w:rFonts w:ascii="Times New Roman" w:hAnsi="Times New Roman" w:cs="Times New Roman"/>
                <w:b/>
                <w:color w:val="000000" w:themeColor="text1"/>
                <w:sz w:val="24"/>
                <w:szCs w:val="24"/>
              </w:rPr>
            </w:pPr>
            <w:r>
              <w:rPr>
                <w:rFonts w:ascii="Times New Roman" w:hAnsi="Times New Roman"/>
                <w:color w:val="000000" w:themeColor="text1"/>
                <w:sz w:val="24"/>
              </w:rPr>
              <w:t xml:space="preserve">Unternehmen, bei denen es sich um bedeutende Tochterunternehmen von Nicht-EU-G-SRI gemäß Artikel 92b der Verordnung (EU) Nr. 575/2013 handelt, legen in dieser Spalte die relevanten Informationen zu internen TLAC gemäß Artikel 92b der Verordnung (EU) Nr. 575/2013 offen. </w:t>
            </w:r>
          </w:p>
        </w:tc>
      </w:tr>
      <w:tr w:rsidR="00FF6326" w:rsidRPr="0008623B" w14:paraId="22E6AD38" w14:textId="77777777" w:rsidTr="00F42DCD">
        <w:trPr>
          <w:trHeight w:val="637"/>
        </w:trPr>
        <w:tc>
          <w:tcPr>
            <w:tcW w:w="1384" w:type="dxa"/>
          </w:tcPr>
          <w:p w14:paraId="51FE79F2" w14:textId="77777777" w:rsidR="00FF6326" w:rsidRPr="0008623B" w:rsidDel="00DE6BC1" w:rsidRDefault="00FF6326" w:rsidP="00F42DCD">
            <w:pPr>
              <w:pStyle w:val="Applicationdirecte"/>
              <w:spacing w:before="120"/>
              <w:jc w:val="center"/>
              <w:rPr>
                <w:color w:val="000000" w:themeColor="text1"/>
                <w:szCs w:val="24"/>
              </w:rPr>
            </w:pPr>
            <w:r>
              <w:rPr>
                <w:color w:val="000000" w:themeColor="text1"/>
              </w:rPr>
              <w:t>c</w:t>
            </w:r>
          </w:p>
        </w:tc>
        <w:tc>
          <w:tcPr>
            <w:tcW w:w="7655" w:type="dxa"/>
          </w:tcPr>
          <w:p w14:paraId="5128BCFA" w14:textId="7C8880AD" w:rsidR="00FF6326" w:rsidRPr="0008623B" w:rsidRDefault="00560736" w:rsidP="00BF6482">
            <w:pPr>
              <w:autoSpaceDE w:val="0"/>
              <w:autoSpaceDN w:val="0"/>
              <w:adjustRightInd w:val="0"/>
              <w:spacing w:before="120" w:after="120"/>
              <w:rPr>
                <w:noProof/>
                <w:sz w:val="24"/>
                <w:szCs w:val="24"/>
              </w:rPr>
            </w:pPr>
            <w:r>
              <w:rPr>
                <w:rFonts w:ascii="Times New Roman" w:hAnsi="Times New Roman"/>
                <w:color w:val="000000" w:themeColor="text1"/>
                <w:sz w:val="24"/>
              </w:rPr>
              <w:t>Qualitative Informationen in Bezug auf die anwendbare Anforderung und den Grad der Anwendung.</w:t>
            </w:r>
          </w:p>
        </w:tc>
      </w:tr>
    </w:tbl>
    <w:p w14:paraId="11222185" w14:textId="77777777" w:rsidR="00FF6326" w:rsidRPr="004A008C" w:rsidRDefault="00FF6326" w:rsidP="00FF6326">
      <w:pPr>
        <w:jc w:val="both"/>
        <w:rPr>
          <w:rFonts w:ascii="Times New Roman" w:hAnsi="Times New Roman" w:cs="Times New Roman"/>
          <w:bCs/>
          <w:noProof/>
          <w:color w:val="000000" w:themeColor="text1"/>
          <w:sz w:val="24"/>
          <w:szCs w:val="24"/>
        </w:rPr>
      </w:pPr>
    </w:p>
    <w:p w14:paraId="607A36F9" w14:textId="7120601E" w:rsidR="0082003D" w:rsidRPr="004A008C" w:rsidRDefault="0082003D" w:rsidP="005C7641">
      <w:pPr>
        <w:jc w:val="both"/>
        <w:rPr>
          <w:rFonts w:ascii="Times New Roman" w:hAnsi="Times New Roman" w:cs="Times New Roman"/>
          <w:bCs/>
          <w:i/>
          <w:noProof/>
          <w:color w:val="000000" w:themeColor="text1"/>
          <w:sz w:val="24"/>
          <w:szCs w:val="24"/>
        </w:rPr>
      </w:pPr>
    </w:p>
    <w:tbl>
      <w:tblPr>
        <w:tblStyle w:val="TableGrid"/>
        <w:tblW w:w="0" w:type="auto"/>
        <w:tblInd w:w="10" w:type="dxa"/>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
      <w:tblGrid>
        <w:gridCol w:w="1119"/>
        <w:gridCol w:w="7642"/>
      </w:tblGrid>
      <w:tr w:rsidR="00026FC1" w:rsidRPr="0008623B" w14:paraId="0EE47F56" w14:textId="77777777" w:rsidTr="002A065A">
        <w:trPr>
          <w:cnfStyle w:val="100000000000" w:firstRow="1" w:lastRow="0" w:firstColumn="0" w:lastColumn="0" w:oddVBand="0" w:evenVBand="0" w:oddHBand="0" w:evenHBand="0" w:firstRowFirstColumn="0" w:firstRowLastColumn="0" w:lastRowFirstColumn="0" w:lastRowLastColumn="0"/>
        </w:trPr>
        <w:tc>
          <w:tcPr>
            <w:tcW w:w="1109" w:type="dxa"/>
            <w:tcBorders>
              <w:top w:val="single" w:sz="4" w:space="0" w:color="auto"/>
              <w:left w:val="single" w:sz="4" w:space="0" w:color="auto"/>
              <w:right w:val="single" w:sz="4" w:space="0" w:color="auto"/>
            </w:tcBorders>
            <w:shd w:val="clear" w:color="auto" w:fill="D9D9D9" w:themeFill="background1" w:themeFillShade="D9"/>
          </w:tcPr>
          <w:p w14:paraId="46A7BCFB" w14:textId="77777777" w:rsidR="0067351E" w:rsidRPr="0008623B" w:rsidRDefault="0067351E" w:rsidP="00EF47A4">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Zeile </w:t>
            </w:r>
          </w:p>
        </w:tc>
        <w:tc>
          <w:tcPr>
            <w:tcW w:w="7642" w:type="dxa"/>
            <w:tcBorders>
              <w:top w:val="single" w:sz="4" w:space="0" w:color="auto"/>
              <w:left w:val="single" w:sz="4" w:space="0" w:color="auto"/>
              <w:right w:val="single" w:sz="4" w:space="0" w:color="auto"/>
            </w:tcBorders>
            <w:shd w:val="clear" w:color="auto" w:fill="D9D9D9" w:themeFill="background1" w:themeFillShade="D9"/>
          </w:tcPr>
          <w:p w14:paraId="2C09CC04" w14:textId="58876303" w:rsidR="0067351E" w:rsidRPr="0008623B" w:rsidRDefault="00E46262" w:rsidP="00EF47A4">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Rechtsgrundlagen und Erläuterungen</w:t>
            </w:r>
          </w:p>
        </w:tc>
      </w:tr>
      <w:tr w:rsidR="005D18F8" w:rsidRPr="0008623B" w14:paraId="4273A8E3" w14:textId="77777777" w:rsidTr="002A065A">
        <w:tc>
          <w:tcPr>
            <w:tcW w:w="1109" w:type="dxa"/>
            <w:vAlign w:val="top"/>
          </w:tcPr>
          <w:p w14:paraId="6FB9A622" w14:textId="17181A2D" w:rsidR="005D18F8" w:rsidRPr="0008623B" w:rsidRDefault="005D18F8" w:rsidP="00644B02">
            <w:pPr>
              <w:rPr>
                <w:rFonts w:ascii="Times New Roman" w:hAnsi="Times New Roman" w:cs="Times New Roman"/>
                <w:noProof/>
                <w:color w:val="000000" w:themeColor="text1"/>
                <w:sz w:val="24"/>
                <w:szCs w:val="24"/>
              </w:rPr>
            </w:pPr>
            <w:r>
              <w:rPr>
                <w:rFonts w:ascii="Times New Roman" w:hAnsi="Times New Roman"/>
                <w:sz w:val="24"/>
              </w:rPr>
              <w:t>EU-1</w:t>
            </w:r>
          </w:p>
        </w:tc>
        <w:tc>
          <w:tcPr>
            <w:tcW w:w="7642" w:type="dxa"/>
          </w:tcPr>
          <w:p w14:paraId="33FA642D" w14:textId="4C8C035D" w:rsidR="005D18F8" w:rsidRPr="0008623B" w:rsidRDefault="005D18F8" w:rsidP="005D18F8">
            <w:pPr>
              <w:rPr>
                <w:rFonts w:ascii="Times New Roman" w:hAnsi="Times New Roman" w:cs="Times New Roman"/>
                <w:b/>
                <w:noProof/>
                <w:color w:val="000000" w:themeColor="text1"/>
                <w:sz w:val="24"/>
                <w:szCs w:val="24"/>
              </w:rPr>
            </w:pPr>
            <w:r>
              <w:rPr>
                <w:rFonts w:ascii="Times New Roman" w:hAnsi="Times New Roman"/>
                <w:b/>
                <w:color w:val="000000" w:themeColor="text1"/>
                <w:sz w:val="24"/>
              </w:rPr>
              <w:t>Unterliegt das Unternehmen einer G-SRI-Anforderung an Eigenmittel und berücksichtigungsfähige Verbindlichkeiten? (J/N)</w:t>
            </w:r>
          </w:p>
          <w:p w14:paraId="402765A8" w14:textId="58B96136" w:rsidR="005D18F8" w:rsidRPr="0008623B" w:rsidRDefault="005D18F8" w:rsidP="00F90B2E">
            <w:pPr>
              <w:rPr>
                <w:rFonts w:ascii="Times New Roman" w:hAnsi="Times New Roman" w:cs="Times New Roman"/>
                <w:noProof/>
                <w:color w:val="000000" w:themeColor="text1"/>
                <w:sz w:val="24"/>
                <w:szCs w:val="24"/>
              </w:rPr>
            </w:pPr>
            <w:r>
              <w:rPr>
                <w:rFonts w:ascii="Times New Roman" w:hAnsi="Times New Roman"/>
                <w:color w:val="000000" w:themeColor="text1"/>
                <w:sz w:val="24"/>
              </w:rPr>
              <w:t>Ob das Unternehmen einer internen TLAC-Anforderung gemäß Artikel 92b der Verordnung (EU) Nr. 575/2013 unterliegt.</w:t>
            </w:r>
          </w:p>
        </w:tc>
      </w:tr>
      <w:tr w:rsidR="005D18F8" w:rsidRPr="0008623B" w14:paraId="753D9E0C" w14:textId="77777777" w:rsidTr="002A065A">
        <w:tc>
          <w:tcPr>
            <w:tcW w:w="1109" w:type="dxa"/>
            <w:vAlign w:val="top"/>
          </w:tcPr>
          <w:p w14:paraId="4D6276FA" w14:textId="29D2C84A" w:rsidR="005D18F8" w:rsidRPr="0008623B" w:rsidRDefault="005D18F8" w:rsidP="00644B02">
            <w:pPr>
              <w:rPr>
                <w:rFonts w:ascii="Times New Roman" w:hAnsi="Times New Roman" w:cs="Times New Roman"/>
                <w:noProof/>
                <w:color w:val="000000" w:themeColor="text1"/>
                <w:sz w:val="24"/>
                <w:szCs w:val="24"/>
              </w:rPr>
            </w:pPr>
            <w:r>
              <w:rPr>
                <w:rFonts w:ascii="Times New Roman" w:hAnsi="Times New Roman"/>
                <w:sz w:val="24"/>
              </w:rPr>
              <w:t>EU-2</w:t>
            </w:r>
          </w:p>
        </w:tc>
        <w:tc>
          <w:tcPr>
            <w:tcW w:w="7642" w:type="dxa"/>
          </w:tcPr>
          <w:p w14:paraId="5580A119" w14:textId="4279FE54" w:rsidR="005D18F8" w:rsidRPr="0008623B" w:rsidRDefault="005D18F8" w:rsidP="005D18F8">
            <w:pPr>
              <w:rPr>
                <w:rFonts w:ascii="Times New Roman" w:hAnsi="Times New Roman" w:cs="Times New Roman"/>
                <w:b/>
                <w:noProof/>
                <w:color w:val="000000" w:themeColor="text1"/>
                <w:sz w:val="24"/>
                <w:szCs w:val="24"/>
              </w:rPr>
            </w:pPr>
            <w:r>
              <w:rPr>
                <w:rFonts w:ascii="Times New Roman" w:hAnsi="Times New Roman"/>
                <w:b/>
                <w:color w:val="000000" w:themeColor="text1"/>
                <w:sz w:val="24"/>
              </w:rPr>
              <w:t>Wenn EU-1 mit „Ja“ beantwortet wurde, gilt die Anforderung auf konsolidierter oder individueller Basis? (K/I)</w:t>
            </w:r>
          </w:p>
          <w:p w14:paraId="16349591" w14:textId="439F9DE2" w:rsidR="005D18F8" w:rsidRPr="0008623B" w:rsidRDefault="005D18F8" w:rsidP="005D18F8">
            <w:pPr>
              <w:rPr>
                <w:rFonts w:ascii="Times New Roman" w:hAnsi="Times New Roman" w:cs="Times New Roman"/>
                <w:noProof/>
                <w:color w:val="000000" w:themeColor="text1"/>
                <w:sz w:val="24"/>
                <w:szCs w:val="24"/>
              </w:rPr>
            </w:pPr>
            <w:r>
              <w:rPr>
                <w:rFonts w:ascii="Times New Roman" w:hAnsi="Times New Roman"/>
                <w:color w:val="000000" w:themeColor="text1"/>
                <w:sz w:val="24"/>
              </w:rPr>
              <w:t>Ob das Unternehmen der internen TLAC-Anforderung auf konsolidierter oder individueller Basis gemäß Artikel 18 der Verordnung (EU) Nr. 575/2013 unterliegt.</w:t>
            </w:r>
          </w:p>
          <w:p w14:paraId="557B461D" w14:textId="0A55FA2A" w:rsidR="005D18F8" w:rsidRPr="0008623B" w:rsidRDefault="005D18F8" w:rsidP="00282ED2">
            <w:pPr>
              <w:rPr>
                <w:rFonts w:ascii="Times New Roman" w:hAnsi="Times New Roman" w:cs="Times New Roman"/>
                <w:noProof/>
                <w:color w:val="000000" w:themeColor="text1"/>
                <w:sz w:val="24"/>
                <w:szCs w:val="24"/>
              </w:rPr>
            </w:pPr>
            <w:r>
              <w:rPr>
                <w:rFonts w:ascii="Times New Roman" w:hAnsi="Times New Roman"/>
                <w:color w:val="000000" w:themeColor="text1"/>
                <w:sz w:val="24"/>
              </w:rPr>
              <w:t>Wenn die Anforderung auf konsolidierter Basis besteht, ist dieser Meldebogen vollständig auf konsolidierter Basis auszufüllen. In allen anderen Fällen ist dieser Meldebogen auf individueller Basis auszufüllen.</w:t>
            </w:r>
          </w:p>
        </w:tc>
      </w:tr>
      <w:tr w:rsidR="005C4469" w:rsidRPr="0008623B" w14:paraId="3EFBB389" w14:textId="77777777" w:rsidTr="002A065A">
        <w:tc>
          <w:tcPr>
            <w:tcW w:w="1109" w:type="dxa"/>
            <w:vAlign w:val="top"/>
          </w:tcPr>
          <w:p w14:paraId="5EB99A90" w14:textId="2812B763" w:rsidR="005C4469" w:rsidRPr="0008623B" w:rsidRDefault="005C4469" w:rsidP="00644B02">
            <w:pPr>
              <w:rPr>
                <w:rFonts w:ascii="Times New Roman" w:hAnsi="Times New Roman" w:cs="Times New Roman"/>
                <w:noProof/>
                <w:color w:val="000000" w:themeColor="text1"/>
                <w:sz w:val="24"/>
                <w:szCs w:val="24"/>
              </w:rPr>
            </w:pPr>
            <w:r>
              <w:rPr>
                <w:rFonts w:ascii="Times New Roman" w:hAnsi="Times New Roman"/>
                <w:sz w:val="24"/>
              </w:rPr>
              <w:t>EU-2a</w:t>
            </w:r>
          </w:p>
        </w:tc>
        <w:tc>
          <w:tcPr>
            <w:tcW w:w="7642" w:type="dxa"/>
          </w:tcPr>
          <w:p w14:paraId="116B6FE4" w14:textId="5D78B194" w:rsidR="005C4469" w:rsidRPr="0008623B" w:rsidRDefault="005C4469" w:rsidP="0067299C">
            <w:pPr>
              <w:rPr>
                <w:rFonts w:ascii="Times New Roman" w:hAnsi="Times New Roman" w:cs="Times New Roman"/>
                <w:b/>
                <w:noProof/>
                <w:color w:val="000000" w:themeColor="text1"/>
                <w:sz w:val="24"/>
                <w:szCs w:val="24"/>
              </w:rPr>
            </w:pPr>
            <w:r>
              <w:rPr>
                <w:rFonts w:ascii="Times New Roman" w:hAnsi="Times New Roman"/>
                <w:b/>
                <w:color w:val="000000" w:themeColor="text1"/>
                <w:sz w:val="24"/>
              </w:rPr>
              <w:t>Unterliegt das Unternehmen einer internen MREL? (J/N)</w:t>
            </w:r>
          </w:p>
          <w:p w14:paraId="61B02EAE" w14:textId="61E31496" w:rsidR="005C4469" w:rsidRPr="0008623B" w:rsidRDefault="005C4469" w:rsidP="00B24DB1">
            <w:pPr>
              <w:rPr>
                <w:rFonts w:ascii="Times New Roman" w:hAnsi="Times New Roman" w:cs="Times New Roman"/>
                <w:noProof/>
                <w:color w:val="000000" w:themeColor="text1"/>
                <w:sz w:val="24"/>
                <w:szCs w:val="24"/>
              </w:rPr>
            </w:pPr>
            <w:r>
              <w:rPr>
                <w:rFonts w:ascii="Times New Roman" w:hAnsi="Times New Roman"/>
                <w:color w:val="000000" w:themeColor="text1"/>
                <w:sz w:val="24"/>
              </w:rPr>
              <w:t>Ob das Unternehmen MREL gemäß den Artikeln 45 und 45f der Richtlinie 2014/59/EU unterliegt.</w:t>
            </w:r>
          </w:p>
        </w:tc>
      </w:tr>
      <w:tr w:rsidR="005C4469" w:rsidRPr="0008623B" w14:paraId="1E79865E" w14:textId="77777777" w:rsidTr="002A065A">
        <w:tc>
          <w:tcPr>
            <w:tcW w:w="1109" w:type="dxa"/>
            <w:vAlign w:val="top"/>
          </w:tcPr>
          <w:p w14:paraId="59235EF1" w14:textId="1C47DD13" w:rsidR="005C4469" w:rsidRPr="0008623B" w:rsidRDefault="005C4469" w:rsidP="00644B02">
            <w:pPr>
              <w:rPr>
                <w:rFonts w:ascii="Times New Roman" w:hAnsi="Times New Roman" w:cs="Times New Roman"/>
                <w:noProof/>
                <w:color w:val="000000" w:themeColor="text1"/>
                <w:sz w:val="24"/>
                <w:szCs w:val="24"/>
              </w:rPr>
            </w:pPr>
            <w:r>
              <w:rPr>
                <w:rFonts w:ascii="Times New Roman" w:hAnsi="Times New Roman"/>
                <w:sz w:val="24"/>
              </w:rPr>
              <w:t>EU-2b</w:t>
            </w:r>
          </w:p>
        </w:tc>
        <w:tc>
          <w:tcPr>
            <w:tcW w:w="7642" w:type="dxa"/>
          </w:tcPr>
          <w:p w14:paraId="3CFE2B07" w14:textId="0BF8D801" w:rsidR="005C4469" w:rsidRPr="0008623B" w:rsidRDefault="005C4469" w:rsidP="0067299C">
            <w:pPr>
              <w:rPr>
                <w:rFonts w:ascii="Times New Roman" w:hAnsi="Times New Roman" w:cs="Times New Roman"/>
                <w:b/>
                <w:noProof/>
                <w:color w:val="000000" w:themeColor="text1"/>
                <w:sz w:val="24"/>
                <w:szCs w:val="24"/>
              </w:rPr>
            </w:pPr>
            <w:r>
              <w:rPr>
                <w:rFonts w:ascii="Times New Roman" w:hAnsi="Times New Roman"/>
                <w:b/>
                <w:color w:val="000000" w:themeColor="text1"/>
                <w:sz w:val="24"/>
              </w:rPr>
              <w:t>Wenn EU-2a mit „Ja“ beantwortet wurde, gilt die Anforderung auf konsolidierter oder individueller Basis? (K/I)</w:t>
            </w:r>
          </w:p>
          <w:p w14:paraId="7DC57F76" w14:textId="22478F28" w:rsidR="005C4469" w:rsidRPr="0008623B" w:rsidRDefault="005C4469" w:rsidP="0067299C">
            <w:pPr>
              <w:rPr>
                <w:rFonts w:ascii="Times New Roman" w:hAnsi="Times New Roman" w:cs="Times New Roman"/>
                <w:noProof/>
                <w:color w:val="000000" w:themeColor="text1"/>
                <w:sz w:val="24"/>
                <w:szCs w:val="24"/>
              </w:rPr>
            </w:pPr>
            <w:r>
              <w:rPr>
                <w:rFonts w:ascii="Times New Roman" w:hAnsi="Times New Roman"/>
                <w:color w:val="000000" w:themeColor="text1"/>
                <w:sz w:val="24"/>
              </w:rPr>
              <w:t>Ob das Unternehmen einer internen MREL auf konsolidierter oder individueller Basis unterliegt.</w:t>
            </w:r>
          </w:p>
          <w:p w14:paraId="4FC6F388" w14:textId="244D10B7" w:rsidR="005C4469" w:rsidRPr="0008623B" w:rsidRDefault="005C4469" w:rsidP="0067299C">
            <w:pPr>
              <w:rPr>
                <w:rFonts w:ascii="Times New Roman" w:hAnsi="Times New Roman" w:cs="Times New Roman"/>
                <w:noProof/>
                <w:color w:val="000000" w:themeColor="text1"/>
                <w:sz w:val="24"/>
                <w:szCs w:val="24"/>
              </w:rPr>
            </w:pPr>
            <w:r>
              <w:rPr>
                <w:rFonts w:ascii="Times New Roman" w:hAnsi="Times New Roman"/>
                <w:color w:val="000000" w:themeColor="text1"/>
                <w:sz w:val="24"/>
              </w:rPr>
              <w:t>Wenn die Anforderung auf konsolidierter Basis besteht, ist dieser Meldebogen vollständig auf konsolidierter Basis auszufüllen. In allen anderen Fällen ist dieser Meldebogen auf individueller Basis auszufüllen.</w:t>
            </w:r>
          </w:p>
        </w:tc>
      </w:tr>
      <w:tr w:rsidR="005D18F8" w:rsidRPr="0008623B" w14:paraId="4F5D32F0" w14:textId="77777777" w:rsidTr="002A065A">
        <w:tc>
          <w:tcPr>
            <w:tcW w:w="1109" w:type="dxa"/>
            <w:vAlign w:val="top"/>
          </w:tcPr>
          <w:p w14:paraId="6EF5BD76" w14:textId="64835762" w:rsidR="005D18F8" w:rsidRPr="0008623B" w:rsidRDefault="005D18F8" w:rsidP="00644B02">
            <w:pPr>
              <w:rPr>
                <w:rFonts w:ascii="Times New Roman" w:hAnsi="Times New Roman" w:cs="Times New Roman"/>
                <w:noProof/>
                <w:color w:val="000000" w:themeColor="text1"/>
                <w:sz w:val="24"/>
                <w:szCs w:val="24"/>
              </w:rPr>
            </w:pPr>
            <w:r>
              <w:rPr>
                <w:rFonts w:ascii="Times New Roman" w:hAnsi="Times New Roman"/>
                <w:sz w:val="24"/>
              </w:rPr>
              <w:lastRenderedPageBreak/>
              <w:t>EU-3</w:t>
            </w:r>
          </w:p>
        </w:tc>
        <w:tc>
          <w:tcPr>
            <w:tcW w:w="7642" w:type="dxa"/>
          </w:tcPr>
          <w:p w14:paraId="6472530C" w14:textId="5849D3C6" w:rsidR="005D18F8" w:rsidRPr="0008623B" w:rsidRDefault="005D18F8" w:rsidP="005D18F8">
            <w:pPr>
              <w:rPr>
                <w:rFonts w:ascii="Times New Roman" w:hAnsi="Times New Roman" w:cs="Times New Roman"/>
                <w:b/>
                <w:noProof/>
                <w:color w:val="000000" w:themeColor="text1"/>
                <w:sz w:val="24"/>
                <w:szCs w:val="24"/>
              </w:rPr>
            </w:pPr>
            <w:r>
              <w:rPr>
                <w:rFonts w:ascii="Times New Roman" w:hAnsi="Times New Roman"/>
                <w:b/>
                <w:color w:val="000000" w:themeColor="text1"/>
                <w:sz w:val="24"/>
              </w:rPr>
              <w:t>Hartes Kernkapital (CET1)</w:t>
            </w:r>
          </w:p>
          <w:p w14:paraId="071B676A" w14:textId="2ECC0EBE" w:rsidR="005D18F8" w:rsidRPr="0008623B" w:rsidRDefault="003D0BF6" w:rsidP="005D18F8">
            <w:pPr>
              <w:rPr>
                <w:rFonts w:ascii="Times New Roman" w:hAnsi="Times New Roman" w:cs="Times New Roman"/>
                <w:noProof/>
                <w:color w:val="000000" w:themeColor="text1"/>
                <w:sz w:val="24"/>
                <w:szCs w:val="24"/>
              </w:rPr>
            </w:pPr>
            <w:r>
              <w:rPr>
                <w:rFonts w:ascii="Times New Roman" w:hAnsi="Times New Roman"/>
                <w:color w:val="000000" w:themeColor="text1"/>
                <w:sz w:val="24"/>
              </w:rPr>
              <w:t>Artikel 50 der Verordnung (EU) Nr. 575/2013</w:t>
            </w:r>
          </w:p>
          <w:p w14:paraId="224515AC" w14:textId="760620BD" w:rsidR="005D18F8" w:rsidRPr="0008623B" w:rsidRDefault="005D18F8" w:rsidP="00FF6326">
            <w:pPr>
              <w:rPr>
                <w:rFonts w:ascii="Times New Roman" w:hAnsi="Times New Roman" w:cs="Times New Roman"/>
                <w:noProof/>
                <w:color w:val="000000" w:themeColor="text1"/>
                <w:sz w:val="24"/>
                <w:szCs w:val="24"/>
              </w:rPr>
            </w:pPr>
            <w:r>
              <w:rPr>
                <w:rFonts w:ascii="Times New Roman" w:hAnsi="Times New Roman"/>
                <w:color w:val="000000" w:themeColor="text1"/>
                <w:sz w:val="24"/>
              </w:rPr>
              <w:t>Hartes Kernkapital, gegebenenfalls auf individueller oder konsolidierter Basis, gemäß Artikel 50 der Verordnung (EU) Nr. 575/2013.</w:t>
            </w:r>
          </w:p>
        </w:tc>
      </w:tr>
      <w:tr w:rsidR="005D18F8" w:rsidRPr="0008623B" w14:paraId="65D6A57F" w14:textId="77777777" w:rsidTr="002A065A">
        <w:tc>
          <w:tcPr>
            <w:tcW w:w="1109" w:type="dxa"/>
            <w:vAlign w:val="top"/>
          </w:tcPr>
          <w:p w14:paraId="77011BCF" w14:textId="1DBC2D36" w:rsidR="005D18F8" w:rsidRPr="0008623B" w:rsidRDefault="005D18F8" w:rsidP="006A52ED">
            <w:pPr>
              <w:rPr>
                <w:rFonts w:ascii="Times New Roman" w:hAnsi="Times New Roman" w:cs="Times New Roman"/>
                <w:noProof/>
                <w:color w:val="000000" w:themeColor="text1"/>
                <w:sz w:val="24"/>
                <w:szCs w:val="24"/>
              </w:rPr>
            </w:pPr>
            <w:r>
              <w:rPr>
                <w:rFonts w:ascii="Times New Roman" w:hAnsi="Times New Roman"/>
                <w:sz w:val="24"/>
              </w:rPr>
              <w:t>EU-4</w:t>
            </w:r>
          </w:p>
        </w:tc>
        <w:tc>
          <w:tcPr>
            <w:tcW w:w="7642" w:type="dxa"/>
          </w:tcPr>
          <w:p w14:paraId="38EE0035" w14:textId="22F8D01E" w:rsidR="005D18F8" w:rsidRPr="0008623B" w:rsidRDefault="008A0AF3" w:rsidP="005D18F8">
            <w:pPr>
              <w:rPr>
                <w:rFonts w:ascii="Times New Roman" w:hAnsi="Times New Roman" w:cs="Times New Roman"/>
                <w:b/>
                <w:noProof/>
                <w:color w:val="000000" w:themeColor="text1"/>
                <w:sz w:val="24"/>
                <w:szCs w:val="24"/>
              </w:rPr>
            </w:pPr>
            <w:r>
              <w:rPr>
                <w:rFonts w:ascii="Times New Roman" w:hAnsi="Times New Roman"/>
                <w:b/>
                <w:color w:val="000000" w:themeColor="text1"/>
                <w:sz w:val="24"/>
              </w:rPr>
              <w:t xml:space="preserve">Berücksichtigungsfähiges zusätzliches Kernkapital </w:t>
            </w:r>
          </w:p>
          <w:p w14:paraId="0249C867" w14:textId="75BBE4E4" w:rsidR="00563C8D" w:rsidRPr="0008623B" w:rsidRDefault="003D0BF6" w:rsidP="00510C0E">
            <w:pPr>
              <w:rPr>
                <w:rFonts w:ascii="Times New Roman" w:hAnsi="Times New Roman" w:cs="Times New Roman"/>
                <w:noProof/>
                <w:color w:val="000000" w:themeColor="text1"/>
                <w:sz w:val="24"/>
                <w:szCs w:val="24"/>
              </w:rPr>
            </w:pPr>
            <w:r>
              <w:rPr>
                <w:rFonts w:ascii="Times New Roman" w:hAnsi="Times New Roman"/>
                <w:color w:val="000000" w:themeColor="text1"/>
                <w:sz w:val="24"/>
              </w:rPr>
              <w:t>Artikel 61 der Verordnung (EU) Nr. 575/2013</w:t>
            </w:r>
          </w:p>
          <w:p w14:paraId="5A71C48F" w14:textId="27B14A49" w:rsidR="005D18F8" w:rsidRPr="0008623B" w:rsidRDefault="00FF6326" w:rsidP="00282ED2">
            <w:pPr>
              <w:rPr>
                <w:rFonts w:ascii="Times New Roman" w:hAnsi="Times New Roman" w:cs="Times New Roman"/>
                <w:noProof/>
                <w:color w:val="000000" w:themeColor="text1"/>
                <w:sz w:val="24"/>
                <w:szCs w:val="24"/>
              </w:rPr>
            </w:pPr>
            <w:r>
              <w:rPr>
                <w:rFonts w:ascii="Times New Roman" w:hAnsi="Times New Roman"/>
                <w:sz w:val="24"/>
              </w:rPr>
              <w:t>Instrumente des zusätzlichen Kernkapitals sind nur dann zu berücksichtigen, wenn sie die in Artikel 92b der Verordnung (EU) Nr. 575/2013 und in Artikel 45f Absatz 2 Buchstabe b Ziffer ii der Richtlinie 2014/59/EU genannten Kriterien erfüllen.</w:t>
            </w:r>
          </w:p>
          <w:p w14:paraId="0094C1AC" w14:textId="45113FD1" w:rsidR="007600E9" w:rsidRPr="0008623B" w:rsidRDefault="007600E9" w:rsidP="00D950BA">
            <w:pPr>
              <w:rPr>
                <w:rFonts w:ascii="Times New Roman" w:hAnsi="Times New Roman" w:cs="Times New Roman"/>
                <w:b/>
                <w:noProof/>
                <w:color w:val="000000" w:themeColor="text1"/>
                <w:sz w:val="24"/>
                <w:szCs w:val="24"/>
              </w:rPr>
            </w:pPr>
            <w:r>
              <w:rPr>
                <w:rStyle w:val="FormatvorlageInstructionsTabelleText"/>
                <w:rFonts w:ascii="Times New Roman" w:hAnsi="Times New Roman"/>
                <w:sz w:val="24"/>
              </w:rPr>
              <w:t>Im Falle einer internen MREL werden die in Artikel 89 Absatz 2 Unterabsatz 4 der Richtlinie 2014/59/EU genannten Instrumente aufgenommen, sofern der genannte Absatz Anwendung findet. Instrumente, die dem Recht eines Drittlandes unterliegen, sind nur dann aufzunehmen, wenn sie die Anforderungen gemäß Artikel 55 der Richtlinie 2014/59/EU erfüllen.</w:t>
            </w:r>
          </w:p>
        </w:tc>
      </w:tr>
      <w:tr w:rsidR="005D18F8" w:rsidRPr="0008623B" w14:paraId="26CF63CA" w14:textId="77777777" w:rsidTr="002A065A">
        <w:tc>
          <w:tcPr>
            <w:tcW w:w="1109" w:type="dxa"/>
          </w:tcPr>
          <w:p w14:paraId="7590CA0F" w14:textId="3E55E188" w:rsidR="005D18F8" w:rsidRPr="0008623B" w:rsidRDefault="006A52ED" w:rsidP="005D18F8">
            <w:pPr>
              <w:rPr>
                <w:rFonts w:ascii="Times New Roman" w:hAnsi="Times New Roman" w:cs="Times New Roman"/>
                <w:noProof/>
                <w:color w:val="000000" w:themeColor="text1"/>
                <w:sz w:val="24"/>
                <w:szCs w:val="24"/>
              </w:rPr>
            </w:pPr>
            <w:r>
              <w:rPr>
                <w:rFonts w:ascii="Times New Roman" w:hAnsi="Times New Roman"/>
                <w:color w:val="000000" w:themeColor="text1"/>
                <w:sz w:val="24"/>
              </w:rPr>
              <w:t>EU-5</w:t>
            </w:r>
          </w:p>
        </w:tc>
        <w:tc>
          <w:tcPr>
            <w:tcW w:w="7642" w:type="dxa"/>
          </w:tcPr>
          <w:p w14:paraId="1D3C1105" w14:textId="5B6AF4D8" w:rsidR="005D18F8" w:rsidRPr="0008623B" w:rsidRDefault="008A0AF3" w:rsidP="005D18F8">
            <w:pPr>
              <w:rPr>
                <w:rFonts w:ascii="Times New Roman" w:hAnsi="Times New Roman" w:cs="Times New Roman"/>
                <w:b/>
                <w:noProof/>
                <w:color w:val="000000" w:themeColor="text1"/>
                <w:sz w:val="24"/>
                <w:szCs w:val="24"/>
              </w:rPr>
            </w:pPr>
            <w:r>
              <w:rPr>
                <w:rFonts w:ascii="Times New Roman" w:hAnsi="Times New Roman"/>
                <w:b/>
                <w:color w:val="000000" w:themeColor="text1"/>
                <w:sz w:val="24"/>
              </w:rPr>
              <w:t>Berücksichtigungsfähiges Ergänzungskapital</w:t>
            </w:r>
          </w:p>
          <w:p w14:paraId="7C05E6B8" w14:textId="2FF703C8" w:rsidR="00282ED2" w:rsidRPr="0008623B" w:rsidRDefault="003D0BF6" w:rsidP="00282ED2">
            <w:p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Artikel 71 der Verordnung (EU) Nr. 575/2013 </w:t>
            </w:r>
          </w:p>
          <w:p w14:paraId="3807E78A" w14:textId="1358321A" w:rsidR="005D18F8" w:rsidRPr="0008623B" w:rsidRDefault="002924A2" w:rsidP="00282ED2">
            <w:pPr>
              <w:rPr>
                <w:rFonts w:ascii="Times New Roman" w:hAnsi="Times New Roman" w:cs="Times New Roman"/>
                <w:noProof/>
                <w:color w:val="000000" w:themeColor="text1"/>
                <w:sz w:val="24"/>
                <w:szCs w:val="24"/>
              </w:rPr>
            </w:pPr>
            <w:r>
              <w:rPr>
                <w:rFonts w:ascii="Times New Roman" w:hAnsi="Times New Roman"/>
                <w:color w:val="000000" w:themeColor="text1"/>
                <w:sz w:val="24"/>
              </w:rPr>
              <w:t>Instrumente des Ergänzungskapitals sind nur dann zu berücksichtigen, wenn sie die in Artikel 92b der Verordnung (EU) Nr. 575/2013 und in Artikel 45f Absatz 2 Buchstabe b Ziffer ii der Richtlinie 2014/59/EU genannten Kriterien erfüllen.</w:t>
            </w:r>
          </w:p>
          <w:p w14:paraId="6CBCECA5" w14:textId="0194AD8C" w:rsidR="007600E9" w:rsidRPr="0008623B" w:rsidRDefault="007600E9" w:rsidP="00282ED2">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Im Falle einer internen MREL werden die in Artikel 89 Absatz 2 Unterabsatz 4 der Richtlinie 2014/59/EU genannten Instrumente aufgenommen, sofern der genannte Absatz Anwendung findet. Instrumente, die dem Recht eines Drittlandes unterliegen, sind nur dann aufzunehmen, wenn sie die Anforderungen gemäß Artikel 55 der Richtlinie 2014/59/EU erfüllen.</w:t>
            </w:r>
          </w:p>
        </w:tc>
      </w:tr>
      <w:tr w:rsidR="00026FC1" w:rsidRPr="0008623B" w14:paraId="2919AE1B" w14:textId="77777777" w:rsidTr="002A065A">
        <w:tc>
          <w:tcPr>
            <w:tcW w:w="1109" w:type="dxa"/>
          </w:tcPr>
          <w:p w14:paraId="251A5712" w14:textId="4B2177BA" w:rsidR="00B907A2" w:rsidRPr="0008623B" w:rsidRDefault="006A52ED" w:rsidP="00B907A2">
            <w:pPr>
              <w:rPr>
                <w:rFonts w:ascii="Times New Roman" w:hAnsi="Times New Roman" w:cs="Times New Roman"/>
                <w:noProof/>
                <w:color w:val="000000" w:themeColor="text1"/>
                <w:sz w:val="24"/>
                <w:szCs w:val="24"/>
              </w:rPr>
            </w:pPr>
            <w:r>
              <w:rPr>
                <w:rFonts w:ascii="Times New Roman" w:hAnsi="Times New Roman"/>
                <w:color w:val="000000" w:themeColor="text1"/>
                <w:sz w:val="24"/>
              </w:rPr>
              <w:t>EU-6</w:t>
            </w:r>
          </w:p>
        </w:tc>
        <w:tc>
          <w:tcPr>
            <w:tcW w:w="7642" w:type="dxa"/>
          </w:tcPr>
          <w:p w14:paraId="37F48E22" w14:textId="01DDD07A" w:rsidR="00B907A2" w:rsidRPr="0008623B" w:rsidRDefault="00310603">
            <w:pPr>
              <w:rPr>
                <w:rFonts w:ascii="Times New Roman" w:hAnsi="Times New Roman" w:cs="Times New Roman"/>
                <w:b/>
                <w:noProof/>
                <w:color w:val="000000" w:themeColor="text1"/>
                <w:sz w:val="24"/>
                <w:szCs w:val="24"/>
              </w:rPr>
            </w:pPr>
            <w:r>
              <w:rPr>
                <w:rFonts w:ascii="Times New Roman" w:hAnsi="Times New Roman"/>
                <w:b/>
                <w:color w:val="000000" w:themeColor="text1"/>
                <w:sz w:val="24"/>
              </w:rPr>
              <w:t>Berücksichtigungsfähige Eigenmittel</w:t>
            </w:r>
          </w:p>
          <w:p w14:paraId="02484207" w14:textId="3BBDA43F" w:rsidR="00B907A2" w:rsidRPr="0008623B" w:rsidRDefault="00F42DCD" w:rsidP="00AB7C15">
            <w:pPr>
              <w:rPr>
                <w:rFonts w:ascii="Times New Roman" w:hAnsi="Times New Roman" w:cs="Times New Roman"/>
                <w:noProof/>
                <w:color w:val="000000" w:themeColor="text1"/>
                <w:sz w:val="24"/>
                <w:szCs w:val="24"/>
              </w:rPr>
            </w:pPr>
            <w:r>
              <w:rPr>
                <w:rStyle w:val="FormatvorlageInstructionsTabelleText"/>
                <w:rFonts w:ascii="Times New Roman" w:hAnsi="Times New Roman"/>
                <w:sz w:val="24"/>
              </w:rPr>
              <w:t>Summe aus dem CET1-Kapital, dem berücksichtigungsfähigen zusätzlichen Kernkapital und dem berücksichtigungsfähigen Ergänzungskapital.</w:t>
            </w:r>
          </w:p>
        </w:tc>
      </w:tr>
      <w:tr w:rsidR="00026FC1" w:rsidRPr="0008623B" w14:paraId="30D7B21F" w14:textId="77777777" w:rsidTr="002A065A">
        <w:tc>
          <w:tcPr>
            <w:tcW w:w="1109" w:type="dxa"/>
          </w:tcPr>
          <w:p w14:paraId="5D54FF19" w14:textId="5DFAFBC0" w:rsidR="006A383B" w:rsidRPr="0008623B" w:rsidRDefault="00F42DCD" w:rsidP="006A383B">
            <w:pPr>
              <w:rPr>
                <w:rFonts w:ascii="Times New Roman" w:hAnsi="Times New Roman" w:cs="Times New Roman"/>
                <w:noProof/>
                <w:color w:val="000000" w:themeColor="text1"/>
                <w:sz w:val="24"/>
                <w:szCs w:val="24"/>
              </w:rPr>
            </w:pPr>
            <w:r>
              <w:rPr>
                <w:rFonts w:ascii="Times New Roman" w:hAnsi="Times New Roman"/>
                <w:color w:val="000000" w:themeColor="text1"/>
                <w:sz w:val="24"/>
              </w:rPr>
              <w:t>EU-7</w:t>
            </w:r>
          </w:p>
        </w:tc>
        <w:tc>
          <w:tcPr>
            <w:tcW w:w="7642" w:type="dxa"/>
          </w:tcPr>
          <w:p w14:paraId="3BF153BB" w14:textId="618EB7D0" w:rsidR="006A383B" w:rsidRPr="0008623B" w:rsidRDefault="006A383B" w:rsidP="006A383B">
            <w:pPr>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Berücksichtigungsfähige Verbindlichkeiten </w:t>
            </w:r>
          </w:p>
          <w:p w14:paraId="63CA9295" w14:textId="50FD70BB" w:rsidR="00547B2E" w:rsidRPr="0008623B" w:rsidRDefault="00547B2E" w:rsidP="00F42DCD">
            <w:pPr>
              <w:rPr>
                <w:rFonts w:ascii="Times New Roman" w:hAnsi="Times New Roman" w:cs="Times New Roman"/>
                <w:i/>
                <w:noProof/>
                <w:color w:val="000000" w:themeColor="text1"/>
                <w:sz w:val="24"/>
                <w:szCs w:val="24"/>
              </w:rPr>
            </w:pPr>
            <w:r>
              <w:rPr>
                <w:rFonts w:ascii="Times New Roman" w:hAnsi="Times New Roman"/>
                <w:i/>
                <w:color w:val="000000" w:themeColor="text1"/>
                <w:sz w:val="24"/>
              </w:rPr>
              <w:t>Interne MREL</w:t>
            </w:r>
          </w:p>
          <w:p w14:paraId="17E7EEB4" w14:textId="3FD297AB" w:rsidR="00F42DCD" w:rsidRPr="0008623B" w:rsidRDefault="00CC7310" w:rsidP="00F42DCD">
            <w:p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Berücksichtigungsfähige Verbindlichkeiten, die die in Artikel 45f Absatz 2 der Richtlinie 2014/59/EU genannten Bedingungen erfüllen, unter </w:t>
            </w:r>
            <w:r>
              <w:rPr>
                <w:rFonts w:ascii="Times New Roman" w:hAnsi="Times New Roman"/>
                <w:color w:val="000000" w:themeColor="text1"/>
                <w:sz w:val="24"/>
              </w:rPr>
              <w:lastRenderedPageBreak/>
              <w:t>Berücksichtigung von Artikel 89 Absatz 2 Unterabsatz 4 der genannten Richtlinie, soweit anwendbar.</w:t>
            </w:r>
          </w:p>
          <w:p w14:paraId="63956C24" w14:textId="6F2B8506" w:rsidR="00547B2E" w:rsidRPr="0008623B" w:rsidRDefault="00547B2E" w:rsidP="00F42DCD">
            <w:pPr>
              <w:rPr>
                <w:rFonts w:ascii="Times New Roman" w:hAnsi="Times New Roman" w:cs="Times New Roman"/>
                <w:noProof/>
                <w:color w:val="000000" w:themeColor="text1"/>
                <w:sz w:val="24"/>
                <w:szCs w:val="24"/>
              </w:rPr>
            </w:pPr>
            <w:r>
              <w:rPr>
                <w:rFonts w:ascii="Times New Roman" w:hAnsi="Times New Roman"/>
                <w:color w:val="000000" w:themeColor="text1"/>
                <w:sz w:val="24"/>
              </w:rPr>
              <w:t>Im Falle von Instrumenten, die dem Recht eines Drittlandes unterliegen, wird das Instrument nur dann in diese Zeile aufgenommen, wenn es die Anforderungen gemäß Artikel 55 der Richtlinie 2014/59/EU erfüllt.</w:t>
            </w:r>
          </w:p>
          <w:p w14:paraId="5C695D4E" w14:textId="739B28B1" w:rsidR="00547B2E" w:rsidRPr="0008623B" w:rsidRDefault="00CC7310" w:rsidP="00F42DCD">
            <w:pPr>
              <w:rPr>
                <w:rFonts w:ascii="Times New Roman" w:hAnsi="Times New Roman" w:cs="Times New Roman"/>
                <w:i/>
                <w:noProof/>
                <w:color w:val="000000" w:themeColor="text1"/>
                <w:sz w:val="24"/>
                <w:szCs w:val="24"/>
              </w:rPr>
            </w:pPr>
            <w:r>
              <w:rPr>
                <w:rFonts w:ascii="Times New Roman" w:hAnsi="Times New Roman"/>
                <w:sz w:val="24"/>
              </w:rPr>
              <w:t>Gestattet die Abwicklungsbehörde des Tochterunternehmens dem Unternehmen, die interne MREL mit Garantien zu erfüllen, so ist der Betrag der Garantien, die von der Abwicklungseinheit gestellt werden und sämtliche in Artikel 45f Absatz 5 der Richtlinie 2014/59/EU genannten Bedingungen erfüllen, ebenfalls in diese Zeile aufzunehmen.</w:t>
            </w:r>
          </w:p>
          <w:p w14:paraId="20CB430B" w14:textId="47B5B51E" w:rsidR="00766271" w:rsidRPr="0008623B" w:rsidRDefault="00CC7310" w:rsidP="00CC7310">
            <w:pPr>
              <w:rPr>
                <w:rFonts w:ascii="Times New Roman" w:hAnsi="Times New Roman" w:cs="Times New Roman"/>
                <w:noProof/>
                <w:color w:val="000000" w:themeColor="text1"/>
                <w:sz w:val="24"/>
                <w:szCs w:val="24"/>
              </w:rPr>
            </w:pPr>
            <w:r>
              <w:rPr>
                <w:rFonts w:ascii="Times New Roman" w:hAnsi="Times New Roman"/>
                <w:color w:val="000000" w:themeColor="text1"/>
                <w:sz w:val="24"/>
              </w:rPr>
              <w:t>Der Betrag der berücksichtigungsfähigen Verbindlichkeiten wird gemäß Artikel 72k der Verordnung (EU) Nr. 575/2013 berechnet, wenn diese Verbindlichkeiten die in Artikel 92b Absatz 2 der genannten Verordnung festgelegten Bedingungen erfüllen.</w:t>
            </w:r>
          </w:p>
        </w:tc>
      </w:tr>
      <w:tr w:rsidR="007600E9" w:rsidRPr="0008623B" w14:paraId="4E845D10" w14:textId="77777777" w:rsidTr="002A065A">
        <w:tc>
          <w:tcPr>
            <w:tcW w:w="1109" w:type="dxa"/>
          </w:tcPr>
          <w:p w14:paraId="153A7C48" w14:textId="5CC7BD86" w:rsidR="007600E9" w:rsidRPr="0008623B" w:rsidRDefault="007600E9" w:rsidP="007600E9">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EU-8</w:t>
            </w:r>
          </w:p>
        </w:tc>
        <w:tc>
          <w:tcPr>
            <w:tcW w:w="7642" w:type="dxa"/>
          </w:tcPr>
          <w:p w14:paraId="49C42D32" w14:textId="17A80A6B" w:rsidR="007600E9" w:rsidRPr="0008623B" w:rsidRDefault="00FF5E0F" w:rsidP="007600E9">
            <w:pPr>
              <w:rPr>
                <w:rFonts w:ascii="Times New Roman" w:hAnsi="Times New Roman" w:cs="Times New Roman"/>
                <w:b/>
                <w:noProof/>
                <w:color w:val="000000" w:themeColor="text1"/>
                <w:sz w:val="24"/>
                <w:szCs w:val="24"/>
              </w:rPr>
            </w:pPr>
            <w:r>
              <w:rPr>
                <w:rFonts w:ascii="Times New Roman" w:hAnsi="Times New Roman"/>
                <w:b/>
                <w:color w:val="000000" w:themeColor="text1"/>
                <w:sz w:val="24"/>
              </w:rPr>
              <w:t>Berücksichtigungsfähige Verbindlichkeiten – davon gewährte Garantien</w:t>
            </w:r>
          </w:p>
          <w:p w14:paraId="7FBE9C6F" w14:textId="39072AA7" w:rsidR="007600E9" w:rsidRPr="0008623B" w:rsidRDefault="009C121A" w:rsidP="009C121A">
            <w:pPr>
              <w:rPr>
                <w:rFonts w:ascii="Times New Roman" w:hAnsi="Times New Roman" w:cs="Times New Roman"/>
                <w:b/>
                <w:color w:val="000000" w:themeColor="text1"/>
                <w:sz w:val="24"/>
                <w:szCs w:val="24"/>
              </w:rPr>
            </w:pPr>
            <w:r>
              <w:rPr>
                <w:rStyle w:val="FormatvorlageInstructionsTabelleText"/>
                <w:rFonts w:ascii="Times New Roman" w:hAnsi="Times New Roman"/>
                <w:sz w:val="24"/>
              </w:rPr>
              <w:t>Gestattet die Abwicklungsbehörde des Tochterunternehmens dem Unternehmen, die interne MREL mit Garantien zu erfüllen, so handelt es sich um den Betrag der Garantien, die von der Abwicklungseinheit gestellt werden und sämtliche in Artikel 45f Absatz 5 der Richtlinie2014/59/EU genannten Bedingungen erfüllen.</w:t>
            </w:r>
          </w:p>
        </w:tc>
      </w:tr>
      <w:tr w:rsidR="00547B2E" w:rsidRPr="0008623B" w14:paraId="352876D4" w14:textId="77777777" w:rsidTr="002A065A">
        <w:tc>
          <w:tcPr>
            <w:tcW w:w="1109" w:type="dxa"/>
          </w:tcPr>
          <w:p w14:paraId="6DCACB84" w14:textId="766ADF9F" w:rsidR="00547B2E" w:rsidRPr="0008623B" w:rsidRDefault="00644B02" w:rsidP="007600E9">
            <w:pPr>
              <w:rPr>
                <w:rFonts w:ascii="Times New Roman" w:hAnsi="Times New Roman" w:cs="Times New Roman"/>
                <w:noProof/>
                <w:color w:val="000000" w:themeColor="text1"/>
                <w:sz w:val="24"/>
                <w:szCs w:val="24"/>
              </w:rPr>
            </w:pPr>
            <w:r>
              <w:rPr>
                <w:rFonts w:ascii="Times New Roman" w:hAnsi="Times New Roman"/>
                <w:color w:val="000000" w:themeColor="text1"/>
                <w:sz w:val="24"/>
              </w:rPr>
              <w:t>EU-9a</w:t>
            </w:r>
          </w:p>
        </w:tc>
        <w:tc>
          <w:tcPr>
            <w:tcW w:w="7642" w:type="dxa"/>
          </w:tcPr>
          <w:p w14:paraId="32608FA7" w14:textId="7D99477C" w:rsidR="00547B2E" w:rsidRPr="0008623B" w:rsidRDefault="00547B2E" w:rsidP="007600E9">
            <w:pPr>
              <w:rPr>
                <w:rFonts w:ascii="Times New Roman" w:hAnsi="Times New Roman" w:cs="Times New Roman"/>
                <w:b/>
                <w:noProof/>
                <w:color w:val="000000" w:themeColor="text1"/>
                <w:sz w:val="24"/>
                <w:szCs w:val="24"/>
              </w:rPr>
            </w:pPr>
            <w:r>
              <w:rPr>
                <w:rFonts w:ascii="Times New Roman" w:hAnsi="Times New Roman"/>
                <w:b/>
                <w:color w:val="000000" w:themeColor="text1"/>
                <w:sz w:val="24"/>
              </w:rPr>
              <w:t>(Anpassungen)</w:t>
            </w:r>
          </w:p>
          <w:p w14:paraId="716CE6EE" w14:textId="77777777" w:rsidR="00547B2E" w:rsidRPr="0008623B" w:rsidRDefault="00547B2E" w:rsidP="007600E9">
            <w:pPr>
              <w:rPr>
                <w:rStyle w:val="FormatvorlageInstructionsTabelleText"/>
                <w:rFonts w:ascii="Times New Roman" w:hAnsi="Times New Roman"/>
                <w:sz w:val="24"/>
              </w:rPr>
            </w:pPr>
            <w:r>
              <w:rPr>
                <w:rStyle w:val="FormatvorlageInstructionsTabelleText"/>
                <w:rFonts w:ascii="Times New Roman" w:hAnsi="Times New Roman"/>
                <w:sz w:val="24"/>
              </w:rPr>
              <w:t>Negativbetrag</w:t>
            </w:r>
          </w:p>
          <w:p w14:paraId="53DD0B4C" w14:textId="77777777" w:rsidR="00CB3841" w:rsidRPr="0008623B" w:rsidRDefault="00CB3841" w:rsidP="00CB3841">
            <w:pPr>
              <w:rPr>
                <w:rFonts w:ascii="Times New Roman" w:hAnsi="Times New Roman" w:cs="Times New Roman"/>
                <w:noProof/>
                <w:color w:val="000000" w:themeColor="text1"/>
                <w:sz w:val="24"/>
                <w:szCs w:val="24"/>
              </w:rPr>
            </w:pPr>
            <w:r>
              <w:rPr>
                <w:rFonts w:ascii="Times New Roman" w:hAnsi="Times New Roman"/>
                <w:color w:val="000000" w:themeColor="text1"/>
                <w:sz w:val="24"/>
              </w:rPr>
              <w:t>In dieser Zeile werden die folgenden Anpassungen offengelegt:</w:t>
            </w:r>
          </w:p>
          <w:p w14:paraId="61271E0C" w14:textId="02F82C25" w:rsidR="00766271" w:rsidRPr="0008623B" w:rsidRDefault="00766271" w:rsidP="00766271">
            <w:pPr>
              <w:pStyle w:val="ListParagraph"/>
              <w:numPr>
                <w:ilvl w:val="0"/>
                <w:numId w:val="16"/>
              </w:numPr>
              <w:rPr>
                <w:rFonts w:ascii="Times New Roman" w:hAnsi="Times New Roman" w:cs="Times New Roman"/>
                <w:b/>
                <w:noProof/>
                <w:color w:val="000000" w:themeColor="text1"/>
                <w:sz w:val="24"/>
                <w:szCs w:val="24"/>
              </w:rPr>
            </w:pPr>
            <w:r>
              <w:rPr>
                <w:rFonts w:ascii="Times New Roman" w:hAnsi="Times New Roman"/>
                <w:sz w:val="24"/>
              </w:rPr>
              <w:t>Positionen in Eigenmittelinstrumenten und Instrumenten berücksichtigungsfähiger Verbindlichkeiten, die gemäß Artikel 72e Absatz 5 der Verordnung (EU) Nr. 575/2013 oder Artikel 45c Absatz 2a Unterabsatz 5 der Richtlinie 2014/59/EU in Abzug zu bringen sind.</w:t>
            </w:r>
          </w:p>
          <w:p w14:paraId="17EE89C8" w14:textId="699CDE18" w:rsidR="00547B2E" w:rsidRPr="0008623B" w:rsidRDefault="00766271" w:rsidP="00CB3841">
            <w:pPr>
              <w:pStyle w:val="ListParagraph"/>
              <w:numPr>
                <w:ilvl w:val="0"/>
                <w:numId w:val="16"/>
              </w:numPr>
              <w:rPr>
                <w:rFonts w:ascii="Times New Roman" w:hAnsi="Times New Roman" w:cs="Times New Roman"/>
                <w:b/>
                <w:noProof/>
                <w:color w:val="000000" w:themeColor="text1"/>
                <w:sz w:val="24"/>
                <w:szCs w:val="24"/>
              </w:rPr>
            </w:pPr>
            <w:r>
              <w:rPr>
                <w:rFonts w:ascii="Times New Roman" w:hAnsi="Times New Roman"/>
                <w:color w:val="000000" w:themeColor="text1"/>
                <w:sz w:val="24"/>
              </w:rPr>
              <w:t>Beträge, die unter eine Erlaubnis zur Kündigung, zur Tilgung, zur Rückzahlung oder zum Rückkauf von Instrumenten berücksichtigungsfähiger Verbindlichkeiten gemäß Artikel 78a der Verordnung (EU) Nr. 575/2013 fallen, soweit das berichtende Unternehmen den betreffenden Betrag noch nicht zur Kündigung, zur Tilgung, zur Rückzahlung oder zum Rückkauf von Instrumenten ausgeschöpft hat („ungenutzte Beträge aus vorheriger Erlaubnis“).</w:t>
            </w:r>
          </w:p>
        </w:tc>
      </w:tr>
      <w:tr w:rsidR="00026FC1" w:rsidRPr="0008623B" w14:paraId="79FC726E" w14:textId="77777777" w:rsidTr="002A065A">
        <w:tc>
          <w:tcPr>
            <w:tcW w:w="1109" w:type="dxa"/>
            <w:tcBorders>
              <w:top w:val="single" w:sz="4" w:space="0" w:color="auto"/>
              <w:left w:val="single" w:sz="4" w:space="0" w:color="auto"/>
              <w:right w:val="single" w:sz="4" w:space="0" w:color="auto"/>
            </w:tcBorders>
          </w:tcPr>
          <w:p w14:paraId="4D0F161A" w14:textId="75BE9513" w:rsidR="00A9215E" w:rsidRPr="0008623B" w:rsidRDefault="00F42DCD" w:rsidP="008C1523">
            <w:pPr>
              <w:rPr>
                <w:rFonts w:ascii="Times New Roman" w:hAnsi="Times New Roman" w:cs="Times New Roman"/>
                <w:noProof/>
                <w:color w:val="000000" w:themeColor="text1"/>
                <w:sz w:val="24"/>
                <w:szCs w:val="24"/>
              </w:rPr>
            </w:pPr>
            <w:r>
              <w:rPr>
                <w:rFonts w:ascii="Times New Roman" w:hAnsi="Times New Roman"/>
                <w:color w:val="000000" w:themeColor="text1"/>
                <w:sz w:val="24"/>
              </w:rPr>
              <w:t>EU-9b</w:t>
            </w:r>
          </w:p>
        </w:tc>
        <w:tc>
          <w:tcPr>
            <w:tcW w:w="7642" w:type="dxa"/>
            <w:tcBorders>
              <w:top w:val="single" w:sz="4" w:space="0" w:color="auto"/>
              <w:left w:val="single" w:sz="4" w:space="0" w:color="auto"/>
              <w:right w:val="single" w:sz="4" w:space="0" w:color="auto"/>
            </w:tcBorders>
          </w:tcPr>
          <w:p w14:paraId="4188FCBD" w14:textId="4ADDE5EB" w:rsidR="006475ED" w:rsidRPr="0008623B" w:rsidRDefault="00A9215E" w:rsidP="006475ED">
            <w:pPr>
              <w:rPr>
                <w:rFonts w:ascii="Times New Roman" w:hAnsi="Times New Roman" w:cs="Times New Roman"/>
                <w:noProof/>
                <w:color w:val="000000" w:themeColor="text1"/>
                <w:sz w:val="24"/>
                <w:szCs w:val="24"/>
              </w:rPr>
            </w:pPr>
            <w:r>
              <w:rPr>
                <w:rFonts w:ascii="Times New Roman" w:hAnsi="Times New Roman"/>
                <w:b/>
                <w:color w:val="000000" w:themeColor="text1"/>
                <w:sz w:val="24"/>
              </w:rPr>
              <w:t>Eigenmittel und Positionen der nachrangigen Verbindlichkeiten nach der Anpassung</w:t>
            </w:r>
          </w:p>
          <w:p w14:paraId="6DB0E5C7" w14:textId="7B912E87" w:rsidR="00547B2E" w:rsidRPr="0008623B" w:rsidRDefault="00547B2E" w:rsidP="00F42DCD">
            <w:pPr>
              <w:rPr>
                <w:rStyle w:val="FormatvorlageInstructionsTabelleText"/>
                <w:rFonts w:ascii="Times New Roman" w:hAnsi="Times New Roman"/>
                <w:i/>
                <w:sz w:val="24"/>
              </w:rPr>
            </w:pPr>
            <w:r>
              <w:rPr>
                <w:rStyle w:val="FormatvorlageInstructionsTabelleText"/>
                <w:rFonts w:ascii="Times New Roman" w:hAnsi="Times New Roman"/>
                <w:i/>
                <w:sz w:val="24"/>
              </w:rPr>
              <w:t>Interne MREL</w:t>
            </w:r>
          </w:p>
          <w:p w14:paraId="4FED8305" w14:textId="534AF772" w:rsidR="00547B2E" w:rsidRPr="0008623B" w:rsidRDefault="00F42DCD" w:rsidP="00F42DCD">
            <w:pPr>
              <w:rPr>
                <w:rStyle w:val="InstructionsTabelleberschrift"/>
                <w:rFonts w:ascii="Times New Roman" w:hAnsi="Times New Roman"/>
                <w:b w:val="0"/>
                <w:sz w:val="24"/>
                <w:u w:val="none"/>
              </w:rPr>
            </w:pPr>
            <w:r>
              <w:rPr>
                <w:rFonts w:ascii="Times New Roman" w:hAnsi="Times New Roman"/>
                <w:sz w:val="24"/>
              </w:rPr>
              <w:lastRenderedPageBreak/>
              <w:t>Beträge der berücksichtigungsfähigen Eigenmittel und der berücksichtigungsfähigen Verbindlichkeiten des Unternehmens, abzüglich der Anpassungen, die auf die interne MREL gemäß Artikel 45f Absatz 2 der Richtlinie 2014/59/EU angerechnet werden, gegebenenfalls auch unter Berücksichtigung von Artikel 89 Absatz 2 Unterabsatz 4 der genannten Richtlinie.</w:t>
            </w:r>
            <w:r>
              <w:rPr>
                <w:rStyle w:val="InstructionsTabelleberschrift"/>
                <w:rFonts w:ascii="Times New Roman" w:hAnsi="Times New Roman"/>
                <w:b w:val="0"/>
                <w:sz w:val="24"/>
                <w:u w:val="none"/>
              </w:rPr>
              <w:t xml:space="preserve"> Im Falle von Instrumenten, die dem Recht eines Drittlandes unterliegen, wird das Instrument nur dann in diese Zeile aufgenommen, wenn es die Anforderungen gemäß Artikel 55 der Richtlinie 2014/59/EU erfüllt.</w:t>
            </w:r>
          </w:p>
          <w:p w14:paraId="2C1B0641" w14:textId="08263093" w:rsidR="00547B2E" w:rsidRPr="0008623B" w:rsidRDefault="00547B2E" w:rsidP="00F42DCD">
            <w:pPr>
              <w:rPr>
                <w:rStyle w:val="InstructionsTabelleberschrift"/>
                <w:rFonts w:ascii="Times New Roman" w:hAnsi="Times New Roman"/>
                <w:b w:val="0"/>
                <w:sz w:val="24"/>
                <w:u w:val="none"/>
              </w:rPr>
            </w:pPr>
            <w:r>
              <w:rPr>
                <w:rFonts w:ascii="Times New Roman" w:hAnsi="Times New Roman"/>
                <w:color w:val="000000" w:themeColor="text1"/>
                <w:sz w:val="24"/>
              </w:rPr>
              <w:t>Zu berechnen durch die Addition der Zeilen EU-6, EU-7 und EU-9a.</w:t>
            </w:r>
          </w:p>
          <w:p w14:paraId="2538ACE7" w14:textId="7B547E87" w:rsidR="00547B2E" w:rsidRPr="0008623B" w:rsidRDefault="00547B2E" w:rsidP="00F42DCD">
            <w:pPr>
              <w:rPr>
                <w:rStyle w:val="FormatvorlageInstructionsTabelleText"/>
                <w:rFonts w:ascii="Times New Roman" w:hAnsi="Times New Roman"/>
                <w:i/>
                <w:sz w:val="24"/>
              </w:rPr>
            </w:pPr>
            <w:r>
              <w:rPr>
                <w:rStyle w:val="FormatvorlageInstructionsTabelleText"/>
                <w:rFonts w:ascii="Times New Roman" w:hAnsi="Times New Roman"/>
                <w:i/>
                <w:sz w:val="24"/>
              </w:rPr>
              <w:t>Interne TLAC</w:t>
            </w:r>
          </w:p>
          <w:p w14:paraId="56CFB916" w14:textId="470CF1AB" w:rsidR="006475ED" w:rsidRPr="0008623B" w:rsidRDefault="00547B2E" w:rsidP="00503590">
            <w:pPr>
              <w:rPr>
                <w:rFonts w:ascii="Times New Roman" w:hAnsi="Times New Roman" w:cs="Times New Roman"/>
                <w:b/>
                <w:noProof/>
                <w:color w:val="000000" w:themeColor="text1"/>
                <w:sz w:val="24"/>
                <w:szCs w:val="24"/>
              </w:rPr>
            </w:pPr>
            <w:r>
              <w:rPr>
                <w:rFonts w:ascii="Times New Roman" w:hAnsi="Times New Roman"/>
                <w:sz w:val="24"/>
              </w:rPr>
              <w:t>Berücksichtigungsfähige Eigenmittel und berücksichtigungsfähige Verbindlichkeiten, die auf die Anforderung an Eigenmittel und berücksichtigungsfähige Verbindlichkeiten für Nicht-EU-G-SRI gemäß Artikel 92b Absatz 2 der Verordnung (EU) Nr. 575/2013 angerechnet werden.</w:t>
            </w:r>
            <w:r>
              <w:rPr>
                <w:rFonts w:ascii="Times New Roman" w:hAnsi="Times New Roman"/>
                <w:color w:val="000000" w:themeColor="text1"/>
                <w:sz w:val="24"/>
              </w:rPr>
              <w:t xml:space="preserve"> Zu berechnen durch die Addition der Zeilen EU-6 und EU-7.</w:t>
            </w:r>
          </w:p>
        </w:tc>
      </w:tr>
      <w:tr w:rsidR="00026FC1" w:rsidRPr="0008623B" w14:paraId="2CEBF3B0" w14:textId="77777777" w:rsidTr="002A065A">
        <w:tc>
          <w:tcPr>
            <w:tcW w:w="1109" w:type="dxa"/>
          </w:tcPr>
          <w:p w14:paraId="43BF2529" w14:textId="36FBE66E" w:rsidR="000C5255" w:rsidRPr="0008623B" w:rsidDel="00FF3133" w:rsidRDefault="007F6136" w:rsidP="00F42177">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EU-10</w:t>
            </w:r>
          </w:p>
        </w:tc>
        <w:tc>
          <w:tcPr>
            <w:tcW w:w="7642" w:type="dxa"/>
          </w:tcPr>
          <w:p w14:paraId="09DCE834" w14:textId="5F82E219" w:rsidR="007F6136" w:rsidRPr="0008623B" w:rsidRDefault="007F6136" w:rsidP="00C07CCC">
            <w:pPr>
              <w:rPr>
                <w:rFonts w:ascii="Times New Roman" w:hAnsi="Times New Roman" w:cs="Times New Roman"/>
                <w:noProof/>
                <w:color w:val="000000" w:themeColor="text1"/>
                <w:sz w:val="24"/>
                <w:szCs w:val="24"/>
              </w:rPr>
            </w:pPr>
            <w:r>
              <w:rPr>
                <w:rFonts w:ascii="Times New Roman" w:hAnsi="Times New Roman"/>
                <w:b/>
                <w:color w:val="000000" w:themeColor="text1"/>
                <w:sz w:val="24"/>
              </w:rPr>
              <w:t>Gesamtrisikobetrag (TREA)</w:t>
            </w:r>
          </w:p>
          <w:p w14:paraId="5B78340F" w14:textId="6D0E9C20" w:rsidR="000C5255" w:rsidRPr="0008623B" w:rsidRDefault="000C5255">
            <w:pPr>
              <w:rPr>
                <w:rFonts w:ascii="Times New Roman" w:hAnsi="Times New Roman" w:cs="Times New Roman"/>
                <w:noProof/>
                <w:color w:val="000000" w:themeColor="text1"/>
                <w:sz w:val="24"/>
                <w:szCs w:val="24"/>
              </w:rPr>
            </w:pPr>
            <w:r>
              <w:rPr>
                <w:rFonts w:ascii="Times New Roman" w:hAnsi="Times New Roman"/>
                <w:color w:val="000000" w:themeColor="text1"/>
                <w:sz w:val="24"/>
              </w:rPr>
              <w:t>Gesamtrisikobetrag des einzelnen Unternehmens oder der konsolidierten Gruppe, auf dessen bzw. deren Ebene die Anforderungen gemäß Artikel 18 Absatz 1 Unterabsatz 2 der Verordnung (EU) Nr. 575/2013 festgelegt wurden.</w:t>
            </w:r>
          </w:p>
          <w:p w14:paraId="17016E2A" w14:textId="75D89C0B" w:rsidR="008149F0" w:rsidRPr="0008623B" w:rsidRDefault="008149F0" w:rsidP="00B7091D">
            <w:pPr>
              <w:rPr>
                <w:rFonts w:ascii="Times New Roman" w:hAnsi="Times New Roman" w:cs="Times New Roman"/>
                <w:b/>
                <w:noProof/>
                <w:color w:val="000000" w:themeColor="text1"/>
                <w:sz w:val="24"/>
                <w:szCs w:val="24"/>
              </w:rPr>
            </w:pPr>
            <w:r>
              <w:rPr>
                <w:rStyle w:val="FormatvorlageInstructionsTabelleText"/>
                <w:rFonts w:ascii="Times New Roman" w:hAnsi="Times New Roman"/>
                <w:sz w:val="24"/>
              </w:rPr>
              <w:t>Der in dieser Zeile gemeldete Gesamtrisikobetrag ist der Gesamtrisikobetrag, der die Grundlage für die Einhaltung der Anforderungen von Artikel 45 der Richtlinie 2014/59/EU bzw. Artikel 92b der Verordnung (EU) Nr. 575/2013 bildet.</w:t>
            </w:r>
          </w:p>
        </w:tc>
      </w:tr>
      <w:tr w:rsidR="00026FC1" w:rsidRPr="0008623B" w14:paraId="09EE5A03" w14:textId="77777777" w:rsidTr="002A065A">
        <w:tc>
          <w:tcPr>
            <w:tcW w:w="1109" w:type="dxa"/>
          </w:tcPr>
          <w:p w14:paraId="5D0897E5" w14:textId="78C3CD2B" w:rsidR="000C5255" w:rsidRPr="0008623B" w:rsidDel="00FF3133" w:rsidRDefault="007F6136"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EU-11</w:t>
            </w:r>
          </w:p>
        </w:tc>
        <w:tc>
          <w:tcPr>
            <w:tcW w:w="7642" w:type="dxa"/>
          </w:tcPr>
          <w:p w14:paraId="3D1B444A" w14:textId="48056C18" w:rsidR="000C5255" w:rsidRPr="0008623B" w:rsidRDefault="00D156A3" w:rsidP="000C525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Gesamtrisikopositionsmessgröße (TEM)</w:t>
            </w:r>
          </w:p>
          <w:p w14:paraId="53B11114" w14:textId="7FEC6446" w:rsidR="000C5255" w:rsidRPr="0008623B" w:rsidRDefault="006501CC" w:rsidP="00282ED2">
            <w:pPr>
              <w:rPr>
                <w:rFonts w:ascii="Times New Roman" w:hAnsi="Times New Roman" w:cs="Times New Roman"/>
                <w:noProof/>
                <w:color w:val="000000" w:themeColor="text1"/>
                <w:sz w:val="24"/>
                <w:szCs w:val="24"/>
              </w:rPr>
            </w:pPr>
            <w:r>
              <w:rPr>
                <w:rFonts w:ascii="Times New Roman" w:hAnsi="Times New Roman"/>
                <w:color w:val="000000" w:themeColor="text1"/>
                <w:sz w:val="24"/>
              </w:rPr>
              <w:t>Gesamtrisikopositionsmessgröße (Nenner der Verschuldungsquote) des einzelnen Unternehmens oder der konsolidierten Gruppe, auf dessen bzw. deren Ebene gegebenenfalls die Anforderungen gemäß Artikel 429 Absatz 4 und Artikel 429a der Verordnung (EU) Nr. 575/2013 festgelegt wurden.</w:t>
            </w:r>
          </w:p>
          <w:p w14:paraId="2DB81445" w14:textId="64886997" w:rsidR="008149F0" w:rsidRPr="0008623B" w:rsidRDefault="008149F0" w:rsidP="00B7091D">
            <w:pPr>
              <w:rPr>
                <w:rFonts w:ascii="Times New Roman" w:hAnsi="Times New Roman" w:cs="Times New Roman"/>
                <w:b/>
                <w:noProof/>
                <w:color w:val="000000" w:themeColor="text1"/>
                <w:sz w:val="24"/>
                <w:szCs w:val="24"/>
              </w:rPr>
            </w:pPr>
            <w:r>
              <w:rPr>
                <w:rStyle w:val="FormatvorlageInstructionsTabelleText"/>
                <w:rFonts w:ascii="Times New Roman" w:hAnsi="Times New Roman"/>
                <w:sz w:val="24"/>
              </w:rPr>
              <w:t>Die in dieser Zeile gemeldete Gesamtrisikopositionsmessgröße ist die Gesamtrisikopositionsmessgröße, die die Grundlage für die Einhaltung der Anforderungen von Artikel 45 der Richtlinie 2014/59/EU bzw. von Artikel 92b der Verordnung (EU) Nr. 575/2013 bildet.</w:t>
            </w:r>
          </w:p>
        </w:tc>
      </w:tr>
      <w:tr w:rsidR="00026FC1" w:rsidRPr="0008623B" w14:paraId="3F7E48D5" w14:textId="77777777" w:rsidTr="002A065A">
        <w:tc>
          <w:tcPr>
            <w:tcW w:w="1109" w:type="dxa"/>
          </w:tcPr>
          <w:p w14:paraId="068C68E0" w14:textId="4F4AB2A0" w:rsidR="000C5255" w:rsidRPr="0008623B" w:rsidRDefault="007F6136"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EU-12</w:t>
            </w:r>
          </w:p>
        </w:tc>
        <w:tc>
          <w:tcPr>
            <w:tcW w:w="7642" w:type="dxa"/>
          </w:tcPr>
          <w:p w14:paraId="4D8D9DC8" w14:textId="2ACFCB31" w:rsidR="000C5255" w:rsidRPr="0008623B" w:rsidRDefault="000C5255" w:rsidP="000C5255">
            <w:pPr>
              <w:rPr>
                <w:rFonts w:ascii="Times New Roman" w:hAnsi="Times New Roman" w:cs="Times New Roman"/>
                <w:noProof/>
                <w:color w:val="000000" w:themeColor="text1"/>
                <w:sz w:val="24"/>
                <w:szCs w:val="24"/>
              </w:rPr>
            </w:pPr>
            <w:r>
              <w:rPr>
                <w:rFonts w:ascii="Times New Roman" w:hAnsi="Times New Roman"/>
                <w:b/>
                <w:color w:val="000000" w:themeColor="text1"/>
                <w:sz w:val="24"/>
              </w:rPr>
              <w:t>Eigenmittel und berücksichtigungsfähige Verbindlichkeiten als prozentualer Anteil am TREA</w:t>
            </w:r>
          </w:p>
          <w:p w14:paraId="745451FA" w14:textId="77777777" w:rsidR="000C5255" w:rsidRPr="0008623B" w:rsidRDefault="000C5255" w:rsidP="007F6136">
            <w:pPr>
              <w:rPr>
                <w:rFonts w:ascii="Times New Roman" w:hAnsi="Times New Roman" w:cs="Times New Roman"/>
                <w:bCs/>
                <w:noProof/>
                <w:color w:val="000000" w:themeColor="text1"/>
                <w:sz w:val="24"/>
                <w:szCs w:val="24"/>
              </w:rPr>
            </w:pPr>
            <w:r>
              <w:rPr>
                <w:rFonts w:ascii="Times New Roman" w:hAnsi="Times New Roman"/>
                <w:color w:val="000000" w:themeColor="text1"/>
                <w:sz w:val="24"/>
              </w:rPr>
              <w:t>Verhältniswert der Eigenmittel und der berücksichtigungsfähigen Verbindlichkeiten, als prozentualer Anteil am Gesamtrisikobetrag.</w:t>
            </w:r>
          </w:p>
          <w:p w14:paraId="53A01624" w14:textId="53B31A41" w:rsidR="00DB779A" w:rsidRPr="0008623B" w:rsidRDefault="00DB779A" w:rsidP="00AB7A3C">
            <w:pPr>
              <w:rPr>
                <w:rFonts w:ascii="Times New Roman" w:hAnsi="Times New Roman" w:cs="Times New Roman"/>
                <w:b/>
                <w:noProof/>
                <w:color w:val="000000" w:themeColor="text1"/>
                <w:sz w:val="24"/>
                <w:szCs w:val="24"/>
              </w:rPr>
            </w:pPr>
            <w:r>
              <w:rPr>
                <w:rFonts w:ascii="Times New Roman" w:hAnsi="Times New Roman"/>
                <w:color w:val="000000" w:themeColor="text1"/>
                <w:sz w:val="24"/>
              </w:rPr>
              <w:lastRenderedPageBreak/>
              <w:t>Zu berechnen durch die Division von Zeile EU-9b durch Zeile EU-10.</w:t>
            </w:r>
          </w:p>
        </w:tc>
      </w:tr>
      <w:tr w:rsidR="000F5992" w:rsidRPr="0008623B" w14:paraId="05A06C82" w14:textId="77777777" w:rsidTr="002A065A">
        <w:tc>
          <w:tcPr>
            <w:tcW w:w="1109" w:type="dxa"/>
          </w:tcPr>
          <w:p w14:paraId="3717A45E" w14:textId="2311289F" w:rsidR="000F5992" w:rsidRPr="0008623B" w:rsidDel="00F42177" w:rsidRDefault="000F5992"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EU-13</w:t>
            </w:r>
          </w:p>
        </w:tc>
        <w:tc>
          <w:tcPr>
            <w:tcW w:w="7642" w:type="dxa"/>
          </w:tcPr>
          <w:p w14:paraId="4B61594C" w14:textId="66FE0C57" w:rsidR="000F5992" w:rsidRPr="0008623B" w:rsidRDefault="00FF5E0F" w:rsidP="000C525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Eigenmittel und berücksichtigungsfähige Verbindlichkeiten als prozentualer Anteil am TREA – davon gewährte Garantien</w:t>
            </w:r>
          </w:p>
          <w:p w14:paraId="3E66E9D6" w14:textId="43B7D24C" w:rsidR="000F5992" w:rsidRPr="0008623B" w:rsidRDefault="00B24DB1" w:rsidP="00A96376">
            <w:pPr>
              <w:rPr>
                <w:rFonts w:ascii="Times New Roman" w:hAnsi="Times New Roman" w:cs="Times New Roman"/>
                <w:noProof/>
                <w:color w:val="000000" w:themeColor="text1"/>
                <w:sz w:val="24"/>
                <w:szCs w:val="24"/>
              </w:rPr>
            </w:pPr>
            <w:r>
              <w:rPr>
                <w:rFonts w:ascii="Times New Roman" w:hAnsi="Times New Roman"/>
                <w:sz w:val="24"/>
              </w:rPr>
              <w:t>Gestattet die Abwicklungsbehörde des Tochterunternehmens dem Unternehmen, die interne MREL mit Garantien zu erfüllen, handelt es sich um den Betrag der Garantien, die von der Abwicklungseinheit gestellt werden und die Bedingungen gemäß Artikel 45f Absatz 5 der Richtlinie 2014/59/EU erfüllen, als prozentualer Anteil am Gesamtrisikobetrag.</w:t>
            </w:r>
          </w:p>
          <w:p w14:paraId="21098783" w14:textId="24721D46" w:rsidR="00B24DB1" w:rsidRPr="0008623B" w:rsidRDefault="00B07EB6" w:rsidP="00AA0676">
            <w:pPr>
              <w:rPr>
                <w:rFonts w:ascii="Times New Roman" w:hAnsi="Times New Roman" w:cs="Times New Roman"/>
                <w:b/>
                <w:noProof/>
                <w:color w:val="000000" w:themeColor="text1"/>
                <w:sz w:val="24"/>
                <w:szCs w:val="24"/>
              </w:rPr>
            </w:pPr>
            <w:r>
              <w:rPr>
                <w:rFonts w:ascii="Times New Roman" w:hAnsi="Times New Roman"/>
                <w:color w:val="000000" w:themeColor="text1"/>
                <w:sz w:val="24"/>
              </w:rPr>
              <w:t>Zu berechnen durch die Division von Zeile EU-8 durch Zeile EU-10.</w:t>
            </w:r>
          </w:p>
        </w:tc>
      </w:tr>
      <w:tr w:rsidR="00026FC1" w:rsidRPr="0008623B" w14:paraId="1BE5C236" w14:textId="77777777" w:rsidTr="002A065A">
        <w:tc>
          <w:tcPr>
            <w:tcW w:w="1109" w:type="dxa"/>
          </w:tcPr>
          <w:p w14:paraId="6389E44B" w14:textId="64502185" w:rsidR="000C5255" w:rsidRPr="0008623B" w:rsidRDefault="007F6136"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EU-14</w:t>
            </w:r>
          </w:p>
        </w:tc>
        <w:tc>
          <w:tcPr>
            <w:tcW w:w="7642" w:type="dxa"/>
          </w:tcPr>
          <w:p w14:paraId="747FEBA4" w14:textId="71CE299B" w:rsidR="000C5255" w:rsidRPr="0008623B" w:rsidRDefault="000C5255" w:rsidP="000C525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Eigenmittel und berücksichtigungsfähige Verbindlichkeiten als prozentualer Anteil an der TEM</w:t>
            </w:r>
          </w:p>
          <w:p w14:paraId="10E78AE1" w14:textId="0BBF5E97" w:rsidR="000C5255" w:rsidRPr="0008623B" w:rsidRDefault="000C5255">
            <w:pPr>
              <w:rPr>
                <w:rFonts w:ascii="Times New Roman" w:hAnsi="Times New Roman" w:cs="Times New Roman"/>
                <w:bCs/>
                <w:noProof/>
                <w:color w:val="000000" w:themeColor="text1"/>
                <w:sz w:val="24"/>
                <w:szCs w:val="24"/>
              </w:rPr>
            </w:pPr>
            <w:r>
              <w:rPr>
                <w:rFonts w:ascii="Times New Roman" w:hAnsi="Times New Roman"/>
                <w:color w:val="000000" w:themeColor="text1"/>
                <w:sz w:val="24"/>
              </w:rPr>
              <w:t>Verhältniswert der Eigenmittel und der berücksichtigungsfähigen Verbindlichkeiten als prozentualer Anteil an der Gesamtrisikopositionsmessgröße.</w:t>
            </w:r>
          </w:p>
          <w:p w14:paraId="3C080CF4" w14:textId="28CCBF72" w:rsidR="003946D4" w:rsidRPr="0008623B" w:rsidRDefault="003946D4" w:rsidP="00AB7A3C">
            <w:pPr>
              <w:rPr>
                <w:rFonts w:ascii="Times New Roman" w:hAnsi="Times New Roman" w:cs="Times New Roman"/>
                <w:b/>
                <w:noProof/>
                <w:color w:val="000000" w:themeColor="text1"/>
                <w:sz w:val="24"/>
                <w:szCs w:val="24"/>
              </w:rPr>
            </w:pPr>
            <w:r>
              <w:rPr>
                <w:rFonts w:ascii="Times New Roman" w:hAnsi="Times New Roman"/>
                <w:color w:val="000000" w:themeColor="text1"/>
                <w:sz w:val="24"/>
              </w:rPr>
              <w:t>Zu berechnen durch die Division von Zeile EU-9b durch Zeile EU-11.</w:t>
            </w:r>
          </w:p>
        </w:tc>
      </w:tr>
      <w:tr w:rsidR="000F5992" w:rsidRPr="0008623B" w14:paraId="06EE9DB1" w14:textId="77777777" w:rsidTr="002A065A">
        <w:tc>
          <w:tcPr>
            <w:tcW w:w="1109" w:type="dxa"/>
          </w:tcPr>
          <w:p w14:paraId="38BE120A" w14:textId="5E907A17" w:rsidR="000F5992" w:rsidRPr="0008623B" w:rsidDel="00F42177" w:rsidRDefault="000F5992"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EU-15</w:t>
            </w:r>
          </w:p>
        </w:tc>
        <w:tc>
          <w:tcPr>
            <w:tcW w:w="7642" w:type="dxa"/>
          </w:tcPr>
          <w:p w14:paraId="6EC6E664" w14:textId="0D1F1FF7" w:rsidR="000F5992" w:rsidRPr="0008623B" w:rsidRDefault="00FF5E0F" w:rsidP="003F5FDC">
            <w:pPr>
              <w:rPr>
                <w:rFonts w:ascii="Times New Roman" w:hAnsi="Times New Roman" w:cs="Times New Roman"/>
                <w:b/>
                <w:noProof/>
                <w:color w:val="000000" w:themeColor="text1"/>
                <w:sz w:val="24"/>
                <w:szCs w:val="24"/>
              </w:rPr>
            </w:pPr>
            <w:r>
              <w:rPr>
                <w:rFonts w:ascii="Times New Roman" w:hAnsi="Times New Roman"/>
                <w:b/>
                <w:color w:val="000000" w:themeColor="text1"/>
                <w:sz w:val="24"/>
              </w:rPr>
              <w:t>Eigenmittel und berücksichtigungsfähige Verbindlichkeiten als prozentualer Anteil an der TEM – davon gewährte Garantien</w:t>
            </w:r>
          </w:p>
          <w:p w14:paraId="49C52AE4" w14:textId="4E11ED80" w:rsidR="00B07EB6" w:rsidRPr="0008623B" w:rsidRDefault="00AA0676" w:rsidP="00A96376">
            <w:pPr>
              <w:rPr>
                <w:rFonts w:ascii="Times New Roman" w:hAnsi="Times New Roman" w:cs="Times New Roman"/>
                <w:noProof/>
                <w:color w:val="000000" w:themeColor="text1"/>
                <w:sz w:val="24"/>
                <w:szCs w:val="24"/>
              </w:rPr>
            </w:pPr>
            <w:r>
              <w:rPr>
                <w:rFonts w:ascii="Times New Roman" w:hAnsi="Times New Roman"/>
                <w:sz w:val="24"/>
              </w:rPr>
              <w:t>Gestattet die Abwicklungsbehörde des Tochterunternehmens dem Unternehmen, die interne MREL mit Garantien zu erfüllen, handelt es sich um den Betrag der Garantien, die von der Abwicklungseinheit gestellt werden und die Bedingungen gemäß Artikel 45f Absatz 5 der Richtlinie 2014/59/EU erfüllen, als prozentualer Anteil an der Gesamtrisikopositionsmessgröße.</w:t>
            </w:r>
          </w:p>
          <w:p w14:paraId="5F818595" w14:textId="4B7CE3AB" w:rsidR="000F5992" w:rsidRPr="0008623B" w:rsidRDefault="00B07EB6" w:rsidP="00B07EB6">
            <w:pPr>
              <w:rPr>
                <w:rFonts w:ascii="Times New Roman" w:hAnsi="Times New Roman" w:cs="Times New Roman"/>
                <w:b/>
                <w:noProof/>
                <w:color w:val="000000" w:themeColor="text1"/>
                <w:sz w:val="24"/>
                <w:szCs w:val="24"/>
              </w:rPr>
            </w:pPr>
            <w:r>
              <w:rPr>
                <w:rFonts w:ascii="Times New Roman" w:hAnsi="Times New Roman"/>
                <w:color w:val="000000" w:themeColor="text1"/>
                <w:sz w:val="24"/>
              </w:rPr>
              <w:t>Zu berechnen durch die Division von Zeile EU-8 durch Zeile EU-11.</w:t>
            </w:r>
          </w:p>
        </w:tc>
      </w:tr>
      <w:tr w:rsidR="00026FC1" w:rsidRPr="0008623B" w14:paraId="72C7F5C5" w14:textId="77777777" w:rsidTr="002A065A">
        <w:tc>
          <w:tcPr>
            <w:tcW w:w="1109" w:type="dxa"/>
          </w:tcPr>
          <w:p w14:paraId="480E6DB5" w14:textId="4B427067" w:rsidR="000C5255" w:rsidRPr="0008623B" w:rsidRDefault="00F42177"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EU-16</w:t>
            </w:r>
          </w:p>
        </w:tc>
        <w:tc>
          <w:tcPr>
            <w:tcW w:w="7642" w:type="dxa"/>
          </w:tcPr>
          <w:p w14:paraId="77339BFA" w14:textId="07707C45" w:rsidR="000C5255" w:rsidRPr="0008623B" w:rsidRDefault="000C5255" w:rsidP="000C525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CET1 (in Prozent des TREA), das nach Erfüllung der Anforderungen des Unternehmens zur Verfügung steht</w:t>
            </w:r>
          </w:p>
          <w:p w14:paraId="10969C39" w14:textId="385E6EF9" w:rsidR="00A47BCD" w:rsidRPr="0008623B" w:rsidRDefault="00A47BCD" w:rsidP="00AA0676">
            <w:pPr>
              <w:rPr>
                <w:rFonts w:ascii="Times New Roman" w:hAnsi="Times New Roman" w:cs="Times New Roman"/>
                <w:noProof/>
                <w:color w:val="000000" w:themeColor="text1"/>
                <w:sz w:val="24"/>
                <w:szCs w:val="24"/>
              </w:rPr>
            </w:pPr>
            <w:r>
              <w:rPr>
                <w:rFonts w:ascii="Times New Roman" w:hAnsi="Times New Roman"/>
                <w:color w:val="000000" w:themeColor="text1"/>
                <w:sz w:val="24"/>
              </w:rPr>
              <w:t>Der Betrag des CET1, der gleich null oder positiv ist und nach Erfüllung jeder der in Artikel 141a Buchstaben a, b und c der Richtlinie 2013/36/EU genannten Anforderungen verfügbar ist, und der höhere der folgenden Werte:</w:t>
            </w:r>
          </w:p>
          <w:p w14:paraId="58E9B9E9" w14:textId="7860E6DE" w:rsidR="00A47BCD" w:rsidRPr="0008623B" w:rsidRDefault="00A47BCD" w:rsidP="00AA0676">
            <w:pPr>
              <w:rPr>
                <w:rFonts w:ascii="Times New Roman" w:hAnsi="Times New Roman" w:cs="Times New Roman"/>
                <w:noProof/>
                <w:color w:val="000000" w:themeColor="text1"/>
                <w:sz w:val="24"/>
                <w:szCs w:val="24"/>
              </w:rPr>
            </w:pPr>
            <w:r>
              <w:rPr>
                <w:rFonts w:ascii="Times New Roman" w:hAnsi="Times New Roman"/>
                <w:color w:val="000000" w:themeColor="text1"/>
                <w:sz w:val="24"/>
              </w:rPr>
              <w:t xml:space="preserve">a) gegebenenfalls die Anforderung an Eigenmittel und berücksichtigungsfähige Verbindlichkeiten für Nicht-EU-G-SRI gemäß Artikel 92b der Verordnung (EU) Nr. 575/2013, wenn sie gemäß Artikel 92b Absatz 1 der Verordnung (EU) Nr. 575/2013 als 90 % der Anforderung von Artikel 92a Absatz 1 Buchstabe a der genannten Verordnung berechnet wird, und </w:t>
            </w:r>
          </w:p>
          <w:p w14:paraId="198DF7D6" w14:textId="3885C36B" w:rsidR="00A47BCD" w:rsidRPr="0008623B" w:rsidRDefault="00A47BCD" w:rsidP="00AA0676">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b) die Mindestanforderung an Eigenmittel und berücksichtigungsfähige Verbindlichkeiten gemäß Artikel 45f der Richtlinie 2014/59/EU, wenn sie gemäß Artikel 45 Absatz 2 Buchstabe a der genannten Richtlinie berechnet wird.</w:t>
            </w:r>
          </w:p>
          <w:p w14:paraId="4CF4E1A3" w14:textId="6E11E15F" w:rsidR="00A47BCD" w:rsidRPr="0008623B" w:rsidRDefault="00A47BCD" w:rsidP="00AA0676">
            <w:pPr>
              <w:rPr>
                <w:rFonts w:ascii="Times New Roman" w:hAnsi="Times New Roman" w:cs="Times New Roman"/>
                <w:noProof/>
                <w:color w:val="000000" w:themeColor="text1"/>
                <w:sz w:val="24"/>
                <w:szCs w:val="24"/>
              </w:rPr>
            </w:pPr>
            <w:r>
              <w:rPr>
                <w:rFonts w:ascii="Times New Roman" w:hAnsi="Times New Roman"/>
                <w:color w:val="000000" w:themeColor="text1"/>
                <w:sz w:val="24"/>
              </w:rPr>
              <w:t>Die offengelegte Zahl in den Spalten MREL und TLAC muss identisch sein.</w:t>
            </w:r>
          </w:p>
          <w:p w14:paraId="6C9387A7" w14:textId="5179FF2D" w:rsidR="000C5255" w:rsidRPr="0008623B" w:rsidRDefault="00A47BCD" w:rsidP="00AA0676">
            <w:pPr>
              <w:rPr>
                <w:b/>
                <w:noProof/>
              </w:rPr>
            </w:pPr>
            <w:r>
              <w:rPr>
                <w:rFonts w:ascii="Times New Roman" w:hAnsi="Times New Roman"/>
                <w:color w:val="000000" w:themeColor="text1"/>
                <w:sz w:val="24"/>
              </w:rPr>
              <w:t>Dabei sind die Auswirkungen der Übergangsbestimmungen auf die Eigenmittel und berücksichtigungsfähigen Verbindlichkeiten, den Gesamtrisikobetrag und die Anforderungen selbst zu berücksichtigen. Weder die Leitlinien für ergänzende Eigenmittel gemäß Artikel 104b der Richtlinie 2013/36/EU noch die kombinierte Kapitalpuffer</w:t>
            </w:r>
            <w:r w:rsidR="004A008C">
              <w:rPr>
                <w:rFonts w:ascii="Times New Roman" w:hAnsi="Times New Roman"/>
                <w:color w:val="000000" w:themeColor="text1"/>
                <w:sz w:val="24"/>
              </w:rPr>
              <w:t>a</w:t>
            </w:r>
            <w:r>
              <w:rPr>
                <w:rFonts w:ascii="Times New Roman" w:hAnsi="Times New Roman"/>
                <w:color w:val="000000" w:themeColor="text1"/>
                <w:sz w:val="24"/>
              </w:rPr>
              <w:t>nforderung gemäß Artikel 128 Absatz 1 Nummer 6 der genannten Richtlinie sind zu berücksichtigen.</w:t>
            </w:r>
          </w:p>
        </w:tc>
      </w:tr>
      <w:tr w:rsidR="00026FC1" w:rsidRPr="0008623B" w14:paraId="27986DD8" w14:textId="77777777" w:rsidTr="002A065A">
        <w:tc>
          <w:tcPr>
            <w:tcW w:w="1109" w:type="dxa"/>
          </w:tcPr>
          <w:p w14:paraId="72398D99" w14:textId="0534A19F" w:rsidR="000C5255" w:rsidRPr="0008623B" w:rsidRDefault="000F5992"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EU-17</w:t>
            </w:r>
          </w:p>
        </w:tc>
        <w:tc>
          <w:tcPr>
            <w:tcW w:w="7642" w:type="dxa"/>
          </w:tcPr>
          <w:p w14:paraId="76F0E68B" w14:textId="599FA9DE" w:rsidR="000C5255" w:rsidRPr="0008623B" w:rsidRDefault="000C5255" w:rsidP="000C5255">
            <w:pPr>
              <w:rPr>
                <w:rFonts w:ascii="Times New Roman" w:hAnsi="Times New Roman" w:cs="Times New Roman"/>
                <w:b/>
                <w:noProof/>
                <w:color w:val="000000" w:themeColor="text1"/>
                <w:sz w:val="24"/>
                <w:szCs w:val="24"/>
              </w:rPr>
            </w:pPr>
            <w:r>
              <w:rPr>
                <w:rFonts w:ascii="Times New Roman" w:hAnsi="Times New Roman"/>
                <w:b/>
                <w:color w:val="000000" w:themeColor="text1"/>
                <w:sz w:val="24"/>
              </w:rPr>
              <w:t>Institutsspezifische kombinierte Kapitalpuffer</w:t>
            </w:r>
            <w:r w:rsidR="004A008C">
              <w:rPr>
                <w:rFonts w:ascii="Times New Roman" w:hAnsi="Times New Roman"/>
                <w:b/>
                <w:color w:val="000000" w:themeColor="text1"/>
                <w:sz w:val="24"/>
              </w:rPr>
              <w:t>a</w:t>
            </w:r>
            <w:r>
              <w:rPr>
                <w:rFonts w:ascii="Times New Roman" w:hAnsi="Times New Roman"/>
                <w:b/>
                <w:color w:val="000000" w:themeColor="text1"/>
                <w:sz w:val="24"/>
              </w:rPr>
              <w:t xml:space="preserve">nforderung </w:t>
            </w:r>
          </w:p>
          <w:p w14:paraId="24FA0B83" w14:textId="77DC6B74" w:rsidR="000C5255" w:rsidRPr="0008623B" w:rsidRDefault="000C5255" w:rsidP="00CB08B2">
            <w:pPr>
              <w:rPr>
                <w:rFonts w:ascii="Times New Roman" w:hAnsi="Times New Roman" w:cs="Times New Roman"/>
                <w:b/>
                <w:noProof/>
                <w:color w:val="000000" w:themeColor="text1"/>
                <w:sz w:val="24"/>
                <w:szCs w:val="24"/>
              </w:rPr>
            </w:pPr>
            <w:r>
              <w:rPr>
                <w:rFonts w:ascii="Times New Roman" w:hAnsi="Times New Roman"/>
                <w:color w:val="000000" w:themeColor="text1"/>
                <w:sz w:val="24"/>
              </w:rPr>
              <w:t>Institutsspezifische kombinierte Kapitalpuffer</w:t>
            </w:r>
            <w:r w:rsidR="004A008C">
              <w:rPr>
                <w:rFonts w:ascii="Times New Roman" w:hAnsi="Times New Roman"/>
                <w:color w:val="000000" w:themeColor="text1"/>
                <w:sz w:val="24"/>
              </w:rPr>
              <w:t>a</w:t>
            </w:r>
            <w:r>
              <w:rPr>
                <w:rFonts w:ascii="Times New Roman" w:hAnsi="Times New Roman"/>
                <w:color w:val="000000" w:themeColor="text1"/>
                <w:sz w:val="24"/>
              </w:rPr>
              <w:t>nforderung im Sinne von Artikel 128 Absatz 1 Nummer 6 der Richtlinie 2013/36/EU, ausgedrückt als prozentualer Anteil am Gesamtrisikobetrag, anwendbar auf das Unternehmen gemäß Artikel 128 Absatz 1 Nummer 6 der Richtlinie 2013/36/EU.</w:t>
            </w:r>
          </w:p>
        </w:tc>
      </w:tr>
      <w:tr w:rsidR="00026FC1" w:rsidRPr="0008623B" w14:paraId="7F2F0D59" w14:textId="77777777" w:rsidTr="002A065A">
        <w:trPr>
          <w:trHeight w:val="58"/>
        </w:trPr>
        <w:tc>
          <w:tcPr>
            <w:tcW w:w="1109" w:type="dxa"/>
          </w:tcPr>
          <w:p w14:paraId="5F6F778C" w14:textId="5F16CF0E" w:rsidR="000F5992" w:rsidRPr="0008623B" w:rsidRDefault="00F42177" w:rsidP="00644B02">
            <w:pPr>
              <w:rPr>
                <w:rFonts w:ascii="Times New Roman" w:hAnsi="Times New Roman" w:cs="Times New Roman"/>
                <w:bCs/>
                <w:iCs/>
                <w:color w:val="000000" w:themeColor="text1"/>
                <w:sz w:val="24"/>
                <w:szCs w:val="24"/>
              </w:rPr>
            </w:pPr>
            <w:r>
              <w:rPr>
                <w:rFonts w:ascii="Times New Roman" w:hAnsi="Times New Roman"/>
                <w:color w:val="000000" w:themeColor="text1"/>
                <w:sz w:val="24"/>
              </w:rPr>
              <w:t>EU-18</w:t>
            </w:r>
          </w:p>
        </w:tc>
        <w:tc>
          <w:tcPr>
            <w:tcW w:w="7642" w:type="dxa"/>
          </w:tcPr>
          <w:p w14:paraId="44696FD9" w14:textId="2B694FE0" w:rsidR="008834C5" w:rsidRPr="0008623B" w:rsidRDefault="00F51FA3" w:rsidP="008834C5">
            <w:pPr>
              <w:rPr>
                <w:rFonts w:ascii="Times New Roman" w:hAnsi="Times New Roman" w:cs="Times New Roman"/>
                <w:b/>
                <w:bCs/>
                <w:color w:val="000000" w:themeColor="text1"/>
                <w:sz w:val="24"/>
                <w:szCs w:val="24"/>
              </w:rPr>
            </w:pPr>
            <w:r>
              <w:rPr>
                <w:rFonts w:ascii="Times New Roman" w:hAnsi="Times New Roman"/>
                <w:b/>
                <w:color w:val="000000" w:themeColor="text1"/>
                <w:sz w:val="24"/>
              </w:rPr>
              <w:t>Anforderung als prozentualer Anteil am TREA</w:t>
            </w:r>
          </w:p>
          <w:p w14:paraId="4059E3AD" w14:textId="09123D9B" w:rsidR="00B07EB6" w:rsidRPr="0008623B" w:rsidRDefault="00B07EB6" w:rsidP="0092457E">
            <w:pPr>
              <w:rPr>
                <w:rFonts w:ascii="Times New Roman" w:hAnsi="Times New Roman" w:cs="Times New Roman"/>
                <w:i/>
                <w:noProof/>
                <w:sz w:val="24"/>
                <w:szCs w:val="24"/>
              </w:rPr>
            </w:pPr>
            <w:r>
              <w:rPr>
                <w:rFonts w:ascii="Times New Roman" w:hAnsi="Times New Roman"/>
                <w:i/>
                <w:sz w:val="24"/>
              </w:rPr>
              <w:t>Interne MREL</w:t>
            </w:r>
          </w:p>
          <w:p w14:paraId="7A3B8EB3" w14:textId="022A0950" w:rsidR="00036DB1" w:rsidRPr="0008623B" w:rsidRDefault="00B07EB6" w:rsidP="0092457E">
            <w:pPr>
              <w:rPr>
                <w:rFonts w:ascii="Times New Roman" w:hAnsi="Times New Roman" w:cs="Times New Roman"/>
                <w:bCs/>
                <w:noProof/>
                <w:sz w:val="24"/>
                <w:szCs w:val="24"/>
              </w:rPr>
            </w:pPr>
            <w:r>
              <w:rPr>
                <w:rFonts w:ascii="Times New Roman" w:hAnsi="Times New Roman"/>
                <w:sz w:val="24"/>
              </w:rPr>
              <w:t>Für das Unternehmen geltende Anforderung an Eigenmittel und berücksichtigungsfähige Verbindlichkeiten gemäß Artikel 45f der Richtlinie 2014/59/EU, ausgedrückt als prozentualer Anteil am Gesamtrisikobetrag (je nach Fall auf individueller oder konsolidierter Ebene).</w:t>
            </w:r>
          </w:p>
          <w:p w14:paraId="36F1A57F" w14:textId="701178C9" w:rsidR="00B07EB6" w:rsidRPr="0008623B" w:rsidRDefault="00B07EB6" w:rsidP="00B07EB6">
            <w:pPr>
              <w:rPr>
                <w:rFonts w:ascii="Times New Roman" w:hAnsi="Times New Roman" w:cs="Times New Roman"/>
                <w:bCs/>
                <w:i/>
                <w:noProof/>
                <w:sz w:val="24"/>
                <w:szCs w:val="24"/>
              </w:rPr>
            </w:pPr>
            <w:r>
              <w:rPr>
                <w:rFonts w:ascii="Times New Roman" w:hAnsi="Times New Roman"/>
                <w:i/>
                <w:sz w:val="24"/>
              </w:rPr>
              <w:t>Interne TLAC</w:t>
            </w:r>
          </w:p>
          <w:p w14:paraId="524A15B1" w14:textId="10807991" w:rsidR="00D156A3" w:rsidRPr="0008623B" w:rsidRDefault="00B07EB6" w:rsidP="00CB08B2">
            <w:pPr>
              <w:rPr>
                <w:rFonts w:ascii="Times New Roman" w:hAnsi="Times New Roman" w:cs="Times New Roman"/>
                <w:bCs/>
                <w:noProof/>
                <w:sz w:val="24"/>
                <w:szCs w:val="24"/>
              </w:rPr>
            </w:pPr>
            <w:r>
              <w:rPr>
                <w:rFonts w:ascii="Times New Roman" w:hAnsi="Times New Roman"/>
                <w:sz w:val="24"/>
              </w:rPr>
              <w:t>Anforderung gemäß Artikel 92b der Verordnung (EU) Nr. 575/2013, ausgedrückt als prozentualer Anteil am Gesamtrisikobetrag (je nach Fall auf individueller oder konsolidierter Ebene).</w:t>
            </w:r>
          </w:p>
        </w:tc>
      </w:tr>
      <w:tr w:rsidR="00026FC1" w:rsidRPr="0008623B" w14:paraId="33DA72AB" w14:textId="77777777" w:rsidTr="002A065A">
        <w:tc>
          <w:tcPr>
            <w:tcW w:w="1109" w:type="dxa"/>
          </w:tcPr>
          <w:p w14:paraId="784E2295" w14:textId="4500A04A" w:rsidR="008834C5" w:rsidRPr="0008623B" w:rsidRDefault="00F42177" w:rsidP="00CE0D4E">
            <w:pPr>
              <w:keepNext/>
              <w:rPr>
                <w:rFonts w:ascii="Times New Roman" w:hAnsi="Times New Roman" w:cs="Times New Roman"/>
                <w:noProof/>
                <w:color w:val="000000" w:themeColor="text1"/>
                <w:sz w:val="24"/>
                <w:szCs w:val="24"/>
              </w:rPr>
            </w:pPr>
            <w:r>
              <w:rPr>
                <w:rFonts w:ascii="Times New Roman" w:hAnsi="Times New Roman"/>
                <w:color w:val="000000" w:themeColor="text1"/>
                <w:sz w:val="24"/>
              </w:rPr>
              <w:t>EU-19</w:t>
            </w:r>
          </w:p>
        </w:tc>
        <w:tc>
          <w:tcPr>
            <w:tcW w:w="7642" w:type="dxa"/>
          </w:tcPr>
          <w:p w14:paraId="168B9372" w14:textId="2BC4791B" w:rsidR="008834C5" w:rsidRPr="0008623B" w:rsidRDefault="00FF5E0F" w:rsidP="008834C5">
            <w:pPr>
              <w:rPr>
                <w:rFonts w:ascii="Times New Roman" w:hAnsi="Times New Roman" w:cs="Times New Roman"/>
                <w:b/>
                <w:bCs/>
                <w:color w:val="000000" w:themeColor="text1"/>
                <w:sz w:val="24"/>
                <w:szCs w:val="24"/>
              </w:rPr>
            </w:pPr>
            <w:r>
              <w:rPr>
                <w:rFonts w:ascii="Times New Roman" w:hAnsi="Times New Roman"/>
                <w:b/>
                <w:color w:val="000000" w:themeColor="text1"/>
                <w:sz w:val="24"/>
              </w:rPr>
              <w:t>Anforderung als prozentualer Anteil am TREA – davon Teil der Anforderung, der mit einer Garantie erfüllt werden kann</w:t>
            </w:r>
          </w:p>
          <w:p w14:paraId="689193A8" w14:textId="2B66DAF3" w:rsidR="00036DB1" w:rsidRPr="0008623B" w:rsidRDefault="00036DB1" w:rsidP="00102896">
            <w:pPr>
              <w:rPr>
                <w:rFonts w:ascii="Times New Roman" w:hAnsi="Times New Roman" w:cs="Times New Roman"/>
                <w:b/>
                <w:noProof/>
                <w:color w:val="000000" w:themeColor="text1"/>
                <w:sz w:val="24"/>
                <w:szCs w:val="24"/>
              </w:rPr>
            </w:pPr>
            <w:r>
              <w:rPr>
                <w:rFonts w:ascii="Times New Roman" w:hAnsi="Times New Roman"/>
                <w:sz w:val="24"/>
              </w:rPr>
              <w:t>Sofern anwendbar, als prozentualer Anteil am Gesamtrisikobetrag ausgedrückter Teil der Anforderung an Eigenmittel und berücksichtigungsfähige Verbindlichkeiten, der mit einer von der Abwicklungseinheit gemäß Artikel 45f Absatz 5 der Richtlinie 2014/59/EU gestellten Garantie erfüllt werden kann.</w:t>
            </w:r>
          </w:p>
        </w:tc>
      </w:tr>
      <w:tr w:rsidR="00026FC1" w:rsidRPr="0008623B" w14:paraId="7DB5B45D" w14:textId="77777777" w:rsidTr="002A065A">
        <w:tc>
          <w:tcPr>
            <w:tcW w:w="1109" w:type="dxa"/>
          </w:tcPr>
          <w:p w14:paraId="291F5089" w14:textId="5540E6DA" w:rsidR="008834C5" w:rsidRPr="0008623B" w:rsidRDefault="00BB093D"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t>EU-20</w:t>
            </w:r>
          </w:p>
        </w:tc>
        <w:tc>
          <w:tcPr>
            <w:tcW w:w="7642" w:type="dxa"/>
          </w:tcPr>
          <w:p w14:paraId="517C1D7E" w14:textId="160471A8" w:rsidR="008834C5" w:rsidRPr="0008623B" w:rsidRDefault="00A96376" w:rsidP="008834C5">
            <w:pPr>
              <w:rPr>
                <w:rFonts w:ascii="Times New Roman" w:hAnsi="Times New Roman" w:cs="Times New Roman"/>
                <w:b/>
                <w:bCs/>
                <w:color w:val="000000" w:themeColor="text1"/>
                <w:sz w:val="24"/>
                <w:szCs w:val="24"/>
              </w:rPr>
            </w:pPr>
            <w:r>
              <w:rPr>
                <w:rFonts w:ascii="Times New Roman" w:hAnsi="Times New Roman"/>
                <w:b/>
                <w:color w:val="000000" w:themeColor="text1"/>
                <w:sz w:val="24"/>
              </w:rPr>
              <w:t>Anforderung als prozentualer Anteil an der TEM</w:t>
            </w:r>
          </w:p>
          <w:p w14:paraId="390682C6" w14:textId="2F127DB6" w:rsidR="00B07EB6" w:rsidRPr="0008623B" w:rsidRDefault="00B07EB6">
            <w:pPr>
              <w:rPr>
                <w:rFonts w:ascii="Times New Roman" w:hAnsi="Times New Roman" w:cs="Times New Roman"/>
                <w:i/>
                <w:noProof/>
                <w:sz w:val="24"/>
                <w:szCs w:val="24"/>
              </w:rPr>
            </w:pPr>
            <w:r>
              <w:rPr>
                <w:rFonts w:ascii="Times New Roman" w:hAnsi="Times New Roman"/>
                <w:i/>
                <w:sz w:val="24"/>
              </w:rPr>
              <w:t>Interne MREL</w:t>
            </w:r>
          </w:p>
          <w:p w14:paraId="15AB0F32" w14:textId="4388F7B3" w:rsidR="00036DB1" w:rsidRPr="0008623B" w:rsidRDefault="00B07EB6">
            <w:pPr>
              <w:rPr>
                <w:rFonts w:ascii="Times New Roman" w:hAnsi="Times New Roman" w:cs="Times New Roman"/>
                <w:bCs/>
                <w:noProof/>
                <w:sz w:val="24"/>
                <w:szCs w:val="24"/>
              </w:rPr>
            </w:pPr>
            <w:r>
              <w:rPr>
                <w:rFonts w:ascii="Times New Roman" w:hAnsi="Times New Roman"/>
                <w:sz w:val="24"/>
              </w:rPr>
              <w:lastRenderedPageBreak/>
              <w:t>Für das Unternehmen geltende Anforderung an Eigenmittel und berücksichtigungsfähige Verbindlichkeiten gemäß Artikel 45f der Richtlinie 2014/59/EU, ausgedrückt als prozentualer Anteil an der Gesamtrisikopositionsmessgröße (auf Ebene des einzelnen oder des konsolidierten EU-Mutterunternehmens, je nach Anwendbarkeit).</w:t>
            </w:r>
          </w:p>
          <w:p w14:paraId="28AE2B52" w14:textId="40D45C6B" w:rsidR="00B07EB6" w:rsidRPr="0008623B" w:rsidRDefault="00B07EB6" w:rsidP="006501CC">
            <w:pPr>
              <w:rPr>
                <w:rFonts w:ascii="Times New Roman" w:hAnsi="Times New Roman" w:cs="Times New Roman"/>
                <w:bCs/>
                <w:i/>
                <w:noProof/>
                <w:sz w:val="24"/>
                <w:szCs w:val="24"/>
              </w:rPr>
            </w:pPr>
            <w:r>
              <w:rPr>
                <w:rFonts w:ascii="Times New Roman" w:hAnsi="Times New Roman"/>
                <w:i/>
                <w:sz w:val="24"/>
              </w:rPr>
              <w:t xml:space="preserve">Interne TLAC </w:t>
            </w:r>
          </w:p>
          <w:p w14:paraId="316152E4" w14:textId="47164313" w:rsidR="00D156A3" w:rsidRPr="0008623B" w:rsidRDefault="00B07EB6" w:rsidP="00CB08B2">
            <w:pPr>
              <w:rPr>
                <w:rFonts w:ascii="Times New Roman" w:hAnsi="Times New Roman" w:cs="Times New Roman"/>
                <w:bCs/>
                <w:noProof/>
                <w:sz w:val="24"/>
                <w:szCs w:val="24"/>
              </w:rPr>
            </w:pPr>
            <w:r>
              <w:rPr>
                <w:rFonts w:ascii="Times New Roman" w:hAnsi="Times New Roman"/>
                <w:sz w:val="24"/>
              </w:rPr>
              <w:t>Anforderung gemäß Artikel 92b der Verordnung (EU) Nr. 575/2013, ausgedrückt als prozentualer Anteil an der Gesamtrisikopositionsmessgröße (je nach Fall auf individueller oder konsolidierter Ebene).</w:t>
            </w:r>
          </w:p>
        </w:tc>
      </w:tr>
      <w:tr w:rsidR="00026FC1" w:rsidRPr="0008623B" w14:paraId="665B02CC" w14:textId="77777777" w:rsidTr="002A065A">
        <w:tc>
          <w:tcPr>
            <w:tcW w:w="1109" w:type="dxa"/>
          </w:tcPr>
          <w:p w14:paraId="4CC8B518" w14:textId="34221154" w:rsidR="008834C5" w:rsidRPr="0008623B" w:rsidRDefault="0092457E" w:rsidP="00644B02">
            <w:pPr>
              <w:rPr>
                <w:rFonts w:ascii="Times New Roman" w:hAnsi="Times New Roman" w:cs="Times New Roman"/>
                <w:noProof/>
                <w:color w:val="000000" w:themeColor="text1"/>
                <w:sz w:val="24"/>
                <w:szCs w:val="24"/>
              </w:rPr>
            </w:pPr>
            <w:r>
              <w:rPr>
                <w:rFonts w:ascii="Times New Roman" w:hAnsi="Times New Roman"/>
                <w:color w:val="000000" w:themeColor="text1"/>
                <w:sz w:val="24"/>
              </w:rPr>
              <w:lastRenderedPageBreak/>
              <w:t>EU-21</w:t>
            </w:r>
          </w:p>
        </w:tc>
        <w:tc>
          <w:tcPr>
            <w:tcW w:w="7642" w:type="dxa"/>
          </w:tcPr>
          <w:p w14:paraId="5E678549" w14:textId="3C180ACA" w:rsidR="008834C5" w:rsidRPr="0008623B" w:rsidRDefault="00FF5E0F" w:rsidP="008834C5">
            <w:pPr>
              <w:rPr>
                <w:rFonts w:ascii="Times New Roman" w:hAnsi="Times New Roman" w:cs="Times New Roman"/>
                <w:b/>
                <w:bCs/>
                <w:color w:val="000000" w:themeColor="text1"/>
                <w:sz w:val="24"/>
                <w:szCs w:val="24"/>
              </w:rPr>
            </w:pPr>
            <w:r>
              <w:rPr>
                <w:rFonts w:ascii="Times New Roman" w:hAnsi="Times New Roman"/>
                <w:b/>
                <w:color w:val="000000" w:themeColor="text1"/>
                <w:sz w:val="24"/>
              </w:rPr>
              <w:t>Anforderung als prozentualer Anteil an der TEM – davon Teil der Anforderung, der mit einer Garantie erfüllt werden kann</w:t>
            </w:r>
          </w:p>
          <w:p w14:paraId="4AD84850" w14:textId="46814386" w:rsidR="00036DB1" w:rsidRPr="0008623B" w:rsidRDefault="00036DB1" w:rsidP="00CB08B2">
            <w:pPr>
              <w:rPr>
                <w:rFonts w:ascii="Times New Roman" w:hAnsi="Times New Roman" w:cs="Times New Roman"/>
                <w:b/>
                <w:noProof/>
                <w:color w:val="000000" w:themeColor="text1"/>
                <w:sz w:val="24"/>
                <w:szCs w:val="24"/>
              </w:rPr>
            </w:pPr>
            <w:r>
              <w:rPr>
                <w:rFonts w:ascii="Times New Roman" w:hAnsi="Times New Roman"/>
                <w:sz w:val="24"/>
              </w:rPr>
              <w:t>Sofern anwendbar, als prozentualer Anteil an der Gesamtrisikopositionsmessgröße ausgedrückter Teil der Anforderung an Eigenmittel und berücksichtigungsfähige Verbindlichkeiten, der mit einer von der Abwicklungseinheit gemäß Artikel 45f Absatz 5 der Richtlinie 2014/59/EU gestellten Garantie erfüllt werden kann.</w:t>
            </w:r>
          </w:p>
        </w:tc>
      </w:tr>
      <w:tr w:rsidR="000B47A2" w:rsidRPr="0008623B" w14:paraId="2ACBD5CA" w14:textId="77777777" w:rsidTr="002A065A">
        <w:tc>
          <w:tcPr>
            <w:tcW w:w="1119" w:type="dxa"/>
            <w:vAlign w:val="top"/>
          </w:tcPr>
          <w:p w14:paraId="41CF7AC6" w14:textId="519C4DAD" w:rsidR="000B47A2" w:rsidRPr="0008623B" w:rsidRDefault="000B47A2" w:rsidP="003312F4">
            <w:pPr>
              <w:rPr>
                <w:rFonts w:ascii="Times New Roman" w:hAnsi="Times New Roman" w:cs="Times New Roman"/>
                <w:sz w:val="24"/>
                <w:szCs w:val="24"/>
              </w:rPr>
            </w:pPr>
            <w:r>
              <w:rPr>
                <w:rFonts w:ascii="Times New Roman" w:hAnsi="Times New Roman"/>
                <w:sz w:val="24"/>
              </w:rPr>
              <w:t>EU-22</w:t>
            </w:r>
          </w:p>
        </w:tc>
        <w:tc>
          <w:tcPr>
            <w:tcW w:w="7642" w:type="dxa"/>
            <w:vAlign w:val="top"/>
          </w:tcPr>
          <w:p w14:paraId="4FA5E841" w14:textId="053232BD" w:rsidR="000B47A2" w:rsidRPr="0008623B" w:rsidRDefault="000B47A2" w:rsidP="003312F4">
            <w:pPr>
              <w:rPr>
                <w:rFonts w:ascii="Times New Roman" w:hAnsi="Times New Roman" w:cs="Times New Roman"/>
                <w:b/>
                <w:noProof/>
                <w:color w:val="000000" w:themeColor="text1"/>
                <w:sz w:val="24"/>
                <w:szCs w:val="24"/>
              </w:rPr>
            </w:pPr>
            <w:r>
              <w:rPr>
                <w:rFonts w:ascii="Times New Roman" w:hAnsi="Times New Roman"/>
                <w:b/>
                <w:color w:val="000000" w:themeColor="text1"/>
                <w:sz w:val="24"/>
              </w:rPr>
              <w:t>Gesamtbetrag der ausgenommenen Verbindlichkeiten im Sinne von Artikel 72a Absatz 2 der Verordnung (EU) Nr. 575/2013</w:t>
            </w:r>
          </w:p>
        </w:tc>
      </w:tr>
    </w:tbl>
    <w:p w14:paraId="0C6C28B8" w14:textId="738A3B7A" w:rsidR="003956D6" w:rsidRPr="0008623B" w:rsidRDefault="003956D6" w:rsidP="003956D6">
      <w:pPr>
        <w:rPr>
          <w:rFonts w:ascii="Times New Roman" w:hAnsi="Times New Roman" w:cs="Times New Roman"/>
          <w:b/>
          <w:color w:val="000000" w:themeColor="text1"/>
          <w:sz w:val="24"/>
          <w:szCs w:val="24"/>
        </w:rPr>
      </w:pPr>
      <w:bookmarkStart w:id="209" w:name="_Toc521936439"/>
      <w:bookmarkStart w:id="210" w:name="_Toc521936455"/>
      <w:bookmarkStart w:id="211" w:name="_Toc521936215"/>
      <w:bookmarkStart w:id="212" w:name="_Toc521936440"/>
      <w:bookmarkStart w:id="213" w:name="_Toc521936456"/>
      <w:bookmarkStart w:id="214" w:name="_Toc521936554"/>
      <w:bookmarkStart w:id="215" w:name="_Toc521938414"/>
      <w:bookmarkStart w:id="216" w:name="_Toc521941535"/>
      <w:bookmarkStart w:id="217" w:name="_Toc521936122"/>
      <w:bookmarkStart w:id="218" w:name="_Toc521936139"/>
      <w:bookmarkStart w:id="219" w:name="_Toc521936178"/>
      <w:bookmarkStart w:id="220" w:name="_Toc521936190"/>
      <w:bookmarkStart w:id="221" w:name="_Toc521936218"/>
      <w:bookmarkStart w:id="222" w:name="_Toc521936278"/>
      <w:bookmarkStart w:id="223" w:name="_Toc521936409"/>
      <w:bookmarkStart w:id="224" w:name="_Toc521936443"/>
      <w:bookmarkStart w:id="225" w:name="_Toc521936459"/>
      <w:bookmarkStart w:id="226" w:name="_Toc521936503"/>
      <w:bookmarkStart w:id="227" w:name="_Toc521936555"/>
      <w:bookmarkStart w:id="228" w:name="_Toc521938415"/>
      <w:bookmarkStart w:id="229" w:name="_Toc521941536"/>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2A405E3F" w14:textId="56A87181" w:rsidR="00134FA4" w:rsidRPr="0008623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230" w:name="_Toc529272911"/>
      <w:bookmarkStart w:id="231" w:name="_Toc14770786"/>
      <w:bookmarkStart w:id="232" w:name="_Toc45266929"/>
      <w:bookmarkEnd w:id="0"/>
      <w:bookmarkEnd w:id="1"/>
      <w:bookmarkEnd w:id="2"/>
      <w:bookmarkEnd w:id="3"/>
      <w:bookmarkEnd w:id="4"/>
      <w:bookmarkEnd w:id="5"/>
      <w:bookmarkEnd w:id="6"/>
      <w:bookmarkEnd w:id="7"/>
      <w:bookmarkEnd w:id="8"/>
      <w:bookmarkEnd w:id="9"/>
      <w:r>
        <w:rPr>
          <w:rFonts w:ascii="Times New Roman" w:hAnsi="Times New Roman"/>
          <w:color w:val="auto"/>
          <w:sz w:val="24"/>
        </w:rPr>
        <w:t>5.</w:t>
      </w:r>
      <w:r>
        <w:rPr>
          <w:rFonts w:ascii="Times New Roman" w:hAnsi="Times New Roman"/>
          <w:color w:val="auto"/>
          <w:sz w:val="24"/>
        </w:rPr>
        <w:tab/>
        <w:t>EU TLAC2: Rangfolge der Gläubiger – Unternehmen, die keine Abwicklungseinheiten sind</w:t>
      </w:r>
      <w:bookmarkEnd w:id="230"/>
      <w:bookmarkEnd w:id="231"/>
      <w:bookmarkEnd w:id="232"/>
    </w:p>
    <w:p w14:paraId="7A03C7D5" w14:textId="52B10ED1" w:rsidR="00EE122D" w:rsidRPr="0008623B" w:rsidRDefault="00EE122D" w:rsidP="00B62DC9">
      <w:pPr>
        <w:pStyle w:val="InstructionsText2"/>
        <w:numPr>
          <w:ilvl w:val="0"/>
          <w:numId w:val="12"/>
        </w:numPr>
      </w:pPr>
      <w:r>
        <w:t>Die im Meldebogen EU TLAC2 enthaltenen Informationen werden auf der Ebene der einzelnen Unternehmen offengelegt.</w:t>
      </w:r>
    </w:p>
    <w:p w14:paraId="37B5040A" w14:textId="241394B6" w:rsidR="00D76A01" w:rsidRPr="0008623B" w:rsidRDefault="00D76A01" w:rsidP="00B62DC9">
      <w:pPr>
        <w:pStyle w:val="InstructionsText2"/>
        <w:numPr>
          <w:ilvl w:val="0"/>
          <w:numId w:val="12"/>
        </w:numPr>
      </w:pPr>
      <w:r>
        <w:t>Es gibt zwei Versionen des Meldebogens EU TLAC2: EU TLAC2a und EU TLAC2b. TLAC2a erfasst alle Finanzmittel, die gleichrangig oder nachrangig zu MREL-fähigen Instrumenten sind, einschließlich Eigenmittel und andere Kapitalinstrumente. EU TLAC2b erfasst nur Eigenmittel und berücksichtigungsfähige Verbindlichkeiten, die die Anforderung von Artikel 45 der Richtlinie 2014/59/EU gemäß Artikel 45f der genannten Richtlinie erfüllen.</w:t>
      </w:r>
    </w:p>
    <w:p w14:paraId="51E3EFB7" w14:textId="5F05BD0B" w:rsidR="00410769" w:rsidRPr="0008623B" w:rsidRDefault="00410769" w:rsidP="00B62DC9">
      <w:pPr>
        <w:pStyle w:val="InstructionsText2"/>
        <w:numPr>
          <w:ilvl w:val="0"/>
          <w:numId w:val="12"/>
        </w:numPr>
      </w:pPr>
      <w:r>
        <w:t>Gemäß Artikel 13 Absatz 2 der vorliegenden Verordnung können Unternehmen, die nicht der Verpflichtung zur Einhaltung der Anforderung des Artikels 92b der Verordnung (EU) Nr. 575/2013 unterliegen, jedoch gemäß Artikel 45f der Richtlinie 2014/59/EU der Verpflichtung zur Einhaltung der Anforderung des Artikels 45 der Richtlinie 2014/59/EU unterliegen, wählen, ob sie EU TLAC2a oder EU TLAC2b verwenden, um der Offenlegungsanforderung gemäß Artikel 45i Absatz 3 Buchstabe b der Richtlinie 2014/59/EU nachzukommen.</w:t>
      </w:r>
    </w:p>
    <w:p w14:paraId="0E950EC5" w14:textId="2D041687" w:rsidR="00510C0E" w:rsidRPr="0008623B" w:rsidRDefault="0071460A" w:rsidP="00B62DC9">
      <w:pPr>
        <w:pStyle w:val="InstructionsText2"/>
        <w:numPr>
          <w:ilvl w:val="0"/>
          <w:numId w:val="12"/>
        </w:numPr>
      </w:pPr>
      <w:r>
        <w:t xml:space="preserve">Ab dem Geltungsbeginn von Artikel 45i Absatz 3 der Richtlinie 2014/59/EU legen die emittierenden Unternehmen im Meldebogen TLAC2a Verbindlichkeiten offen, die potenziell für die Erfüllung der internen MREL und TLAC-Anforderungen </w:t>
      </w:r>
      <w:r>
        <w:lastRenderedPageBreak/>
        <w:t>berücksichtigungsfähig sind. Bis zu diesem Datum legen die emittierenden Unternehmen die Verbindlichkeiten offen, die potenziell für die Erfüllung der internen TLAC-Anforderung berücksichtigungsfähig sind.</w:t>
      </w:r>
    </w:p>
    <w:p w14:paraId="6CD2E5E7" w14:textId="10E10F4A" w:rsidR="00134FA4" w:rsidRPr="0008623B" w:rsidRDefault="00134FA4" w:rsidP="00B62DC9">
      <w:pPr>
        <w:pStyle w:val="InstructionsText2"/>
        <w:numPr>
          <w:ilvl w:val="0"/>
          <w:numId w:val="12"/>
        </w:numPr>
      </w:pPr>
      <w:r>
        <w:t>Die ausstehenden Beträge, auf die in den Zeilen Bezug genommen wird, sind auf der Grundlage des Insolvenzrechts des emittierenden Unternehmens in Insolvenzränge aufzugliedern, unabhängig davon, welchem Recht das Instrument unterliegt.</w:t>
      </w:r>
    </w:p>
    <w:p w14:paraId="0B0B9A5D" w14:textId="25143FFC" w:rsidR="00134FA4" w:rsidRPr="0008623B" w:rsidRDefault="00522875" w:rsidP="00B62DC9">
      <w:pPr>
        <w:pStyle w:val="InstructionsText2"/>
        <w:numPr>
          <w:ilvl w:val="0"/>
          <w:numId w:val="12"/>
        </w:numPr>
      </w:pPr>
      <w:r>
        <w:t>Die Ränge in der Insolvenz entsprechen denen, die von der zuständigen Abwicklungsbehörde in Übereinstimmung mit der in Artikel 8 der vorliegenden Verordnung festgelegten standardisierten Darstellung vermittelt werden.</w:t>
      </w:r>
    </w:p>
    <w:p w14:paraId="572D872C" w14:textId="35C5457F" w:rsidR="00134FA4" w:rsidRPr="0008623B" w:rsidRDefault="00134FA4" w:rsidP="00B62DC9">
      <w:pPr>
        <w:pStyle w:val="InstructionsText2"/>
        <w:numPr>
          <w:ilvl w:val="0"/>
          <w:numId w:val="12"/>
        </w:numPr>
      </w:pPr>
      <w:r>
        <w:t xml:space="preserve">Die Ränge werden vom rangniedrigsten zum ranghöchsten dargestellt. Die Spalten für die Ränge sind so oft zu ergänzen, bis die ranghöchsten potenziell berücksichtigungsfähigen Instrumente offengelegt sind. </w:t>
      </w:r>
    </w:p>
    <w:p w14:paraId="451EEEC0" w14:textId="6C07DCB8" w:rsidR="00134FA4" w:rsidRPr="0008623B" w:rsidRDefault="00134FA4" w:rsidP="00B62DC9">
      <w:pPr>
        <w:pStyle w:val="InstructionsText2"/>
        <w:numPr>
          <w:ilvl w:val="0"/>
          <w:numId w:val="12"/>
        </w:numPr>
      </w:pPr>
      <w:r>
        <w:t>Der jedem Rang zuzuordnende Betrag wird weiter aufgeschlüsselt in Beträge, die der Abwicklungseinheit zuzurechnen sind, einschließlich der Beträge, die der Abwicklungseinheit direkt oder indirekt über Unternehmen entlang der Eigentümerkette zuzurechnen sind, sofern zutreffend; sowie sonstige Beträge, die nicht im Eigentum der Abwicklungseinheit stehen, sofern zutreffend. Der Gesamtbetrag jeder Zeile wird in die letzte Spalte der jeweiligen Zeile eingetragen.</w:t>
      </w:r>
    </w:p>
    <w:p w14:paraId="4EBA1B5C" w14:textId="77777777" w:rsidR="00134FA4" w:rsidRPr="004A008C" w:rsidRDefault="00134FA4" w:rsidP="00134FA4">
      <w:pPr>
        <w:rPr>
          <w:rFonts w:ascii="Times New Roman" w:hAnsi="Times New Roman" w:cs="Times New Roman"/>
          <w:noProof/>
          <w:color w:val="000000" w:themeColor="text1"/>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134FA4" w:rsidRPr="0008623B" w14:paraId="31E0F598" w14:textId="77777777" w:rsidTr="006E5727">
        <w:trPr>
          <w:trHeight w:val="238"/>
        </w:trPr>
        <w:tc>
          <w:tcPr>
            <w:tcW w:w="1384" w:type="dxa"/>
            <w:shd w:val="clear" w:color="auto" w:fill="D9D9D9" w:themeFill="background1" w:themeFillShade="D9"/>
          </w:tcPr>
          <w:p w14:paraId="1E16BF2A" w14:textId="77777777" w:rsidR="00134FA4" w:rsidRPr="0008623B" w:rsidRDefault="00134FA4" w:rsidP="006E5727">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Zeilen</w:t>
            </w:r>
          </w:p>
        </w:tc>
        <w:tc>
          <w:tcPr>
            <w:tcW w:w="7655" w:type="dxa"/>
            <w:shd w:val="clear" w:color="auto" w:fill="D9D9D9" w:themeFill="background1" w:themeFillShade="D9"/>
          </w:tcPr>
          <w:p w14:paraId="69B07763" w14:textId="240E225B" w:rsidR="00134FA4" w:rsidRPr="0008623B" w:rsidRDefault="00E46262" w:rsidP="006E5727">
            <w:pPr>
              <w:autoSpaceDE w:val="0"/>
              <w:autoSpaceDN w:val="0"/>
              <w:adjustRightInd w:val="0"/>
              <w:rPr>
                <w:rFonts w:ascii="Times New Roman" w:hAnsi="Times New Roman" w:cs="Times New Roman"/>
                <w:color w:val="000000" w:themeColor="text1"/>
                <w:sz w:val="24"/>
                <w:szCs w:val="24"/>
              </w:rPr>
            </w:pPr>
            <w:r>
              <w:rPr>
                <w:rFonts w:ascii="Times New Roman" w:hAnsi="Times New Roman"/>
                <w:b/>
                <w:color w:val="000000" w:themeColor="text1"/>
                <w:sz w:val="24"/>
              </w:rPr>
              <w:t>Rechtsgrundlagen und Erläuterungen</w:t>
            </w:r>
          </w:p>
        </w:tc>
      </w:tr>
      <w:tr w:rsidR="008871C6" w:rsidRPr="0008623B" w14:paraId="209D319D" w14:textId="77777777" w:rsidTr="00AA4A01">
        <w:trPr>
          <w:trHeight w:val="70"/>
        </w:trPr>
        <w:tc>
          <w:tcPr>
            <w:tcW w:w="1384" w:type="dxa"/>
          </w:tcPr>
          <w:p w14:paraId="6E58CC27" w14:textId="0752B747" w:rsidR="008871C6" w:rsidRPr="0008623B" w:rsidRDefault="008871C6" w:rsidP="000C3B9F">
            <w:pPr>
              <w:pStyle w:val="Applicationdirecte"/>
              <w:spacing w:before="120"/>
              <w:rPr>
                <w:szCs w:val="24"/>
              </w:rPr>
            </w:pPr>
            <w:r>
              <w:t>1</w:t>
            </w:r>
          </w:p>
        </w:tc>
        <w:tc>
          <w:tcPr>
            <w:tcW w:w="7655" w:type="dxa"/>
          </w:tcPr>
          <w:p w14:paraId="5F9CE229" w14:textId="006CF2E0" w:rsidR="008871C6" w:rsidRPr="0008623B" w:rsidRDefault="008871C6"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In der EU: leeres Feld</w:t>
            </w:r>
          </w:p>
        </w:tc>
      </w:tr>
      <w:tr w:rsidR="000C3B9F" w:rsidRPr="0008623B" w14:paraId="568E403E" w14:textId="77777777" w:rsidTr="006E5727">
        <w:trPr>
          <w:trHeight w:val="1014"/>
        </w:trPr>
        <w:tc>
          <w:tcPr>
            <w:tcW w:w="1384" w:type="dxa"/>
          </w:tcPr>
          <w:p w14:paraId="1E3A9FE3" w14:textId="763A11D8" w:rsidR="000C3B9F" w:rsidRPr="0008623B" w:rsidRDefault="000C3B9F" w:rsidP="000C3B9F">
            <w:pPr>
              <w:pStyle w:val="Applicationdirecte"/>
              <w:spacing w:before="120"/>
              <w:rPr>
                <w:color w:val="000000" w:themeColor="text1"/>
                <w:szCs w:val="24"/>
              </w:rPr>
            </w:pPr>
            <w:r>
              <w:t>2</w:t>
            </w:r>
          </w:p>
        </w:tc>
        <w:tc>
          <w:tcPr>
            <w:tcW w:w="7655" w:type="dxa"/>
          </w:tcPr>
          <w:p w14:paraId="4A148EDF" w14:textId="407C4BEB" w:rsidR="000C3B9F" w:rsidRPr="0008623B" w:rsidRDefault="000C3B9F"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Beschreibung des Rangs in der Insolvenz (Freitext)</w:t>
            </w:r>
          </w:p>
          <w:p w14:paraId="11B9DED3" w14:textId="414A0BB6" w:rsidR="000C3B9F" w:rsidRPr="0008623B" w:rsidRDefault="000C3B9F" w:rsidP="000C3B9F">
            <w:pPr>
              <w:pStyle w:val="Applicationdirecte"/>
              <w:spacing w:before="120"/>
              <w:rPr>
                <w:color w:val="000000" w:themeColor="text1"/>
                <w:szCs w:val="24"/>
              </w:rPr>
            </w:pPr>
            <w:r>
              <w:rPr>
                <w:color w:val="000000" w:themeColor="text1"/>
              </w:rPr>
              <w:t xml:space="preserve">Die Anzahl der Insolvenzränge (n) in der Rangfolge der Gläubiger hängt vom Spektrum der Verbindlichkeiten des emittierenden Unternehmens ab. Die Beschreibung sollte eine Präzisierung der Forderungsarten enthalten, die sich innerhalb dieses Rangs in der Insolvenz befinden (z. B. CET1, Instrumente des Ergänzungskapitals). </w:t>
            </w:r>
          </w:p>
          <w:p w14:paraId="22A60804" w14:textId="5BBC2F70" w:rsidR="000C3B9F" w:rsidRPr="0008623B" w:rsidRDefault="000C3B9F" w:rsidP="00331959">
            <w:pPr>
              <w:pStyle w:val="Applicationdirecte"/>
              <w:spacing w:before="120"/>
              <w:rPr>
                <w:b/>
                <w:color w:val="000000" w:themeColor="text1"/>
                <w:szCs w:val="24"/>
              </w:rPr>
            </w:pPr>
            <w:r>
              <w:t>Für jeden Rang in der Insolvenz ist eine Spalte für die Beträge vorgesehen, die vollständig von der Abwicklungseinheit gehalten werden, einschließlich der Beträge, die direkt oder indirekt von der Abwicklungseinheit über Unternehmen entlang der Eigentümerkette gehalten werden, sofern zutreffend, und eine zweite Spalte, in der ein Teil des Betrags pro Rang zusätzlich von Eigentümern gehalten wird, bei denen es sich nicht um die Abwicklungseinheit handelt.</w:t>
            </w:r>
            <w:r>
              <w:rPr>
                <w:color w:val="000000" w:themeColor="text1"/>
              </w:rPr>
              <w:t xml:space="preserve"> </w:t>
            </w:r>
          </w:p>
        </w:tc>
      </w:tr>
      <w:tr w:rsidR="000C3B9F" w:rsidRPr="0008623B" w14:paraId="4F584FCC" w14:textId="77777777" w:rsidTr="006E5727">
        <w:trPr>
          <w:trHeight w:val="1014"/>
        </w:trPr>
        <w:tc>
          <w:tcPr>
            <w:tcW w:w="1384" w:type="dxa"/>
          </w:tcPr>
          <w:p w14:paraId="2A436C9B" w14:textId="2CCB8C6C" w:rsidR="000C3B9F" w:rsidRPr="0008623B" w:rsidRDefault="000C3B9F" w:rsidP="000C3B9F">
            <w:pPr>
              <w:pStyle w:val="Applicationdirecte"/>
              <w:spacing w:before="120"/>
              <w:rPr>
                <w:color w:val="000000" w:themeColor="text1"/>
                <w:szCs w:val="24"/>
              </w:rPr>
            </w:pPr>
            <w:r>
              <w:t>3</w:t>
            </w:r>
          </w:p>
        </w:tc>
        <w:tc>
          <w:tcPr>
            <w:tcW w:w="7655" w:type="dxa"/>
          </w:tcPr>
          <w:p w14:paraId="77AA473A" w14:textId="5D74CC27" w:rsidR="000C3B9F" w:rsidRPr="0008623B" w:rsidRDefault="00367DF1"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Verbindlichkeiten und Eigenmittel</w:t>
            </w:r>
          </w:p>
          <w:p w14:paraId="4216384F" w14:textId="0D31DC4A" w:rsidR="000C3B9F" w:rsidRPr="0008623B" w:rsidRDefault="00BB21F0" w:rsidP="00AA4A01">
            <w:pPr>
              <w:pStyle w:val="Applicationdirecte"/>
              <w:spacing w:before="120"/>
              <w:rPr>
                <w:color w:val="000000" w:themeColor="text1"/>
              </w:rPr>
            </w:pPr>
            <w:r>
              <w:rPr>
                <w:color w:val="000000" w:themeColor="text1"/>
              </w:rPr>
              <w:lastRenderedPageBreak/>
              <w:t>Der Betrag der Eigenmittel, berücksichtigungsfähigen Verbindlichkeiten und Verbindlichkeiten, die gegenüber Eigenmitteln oder berücksichtigungsfähigen Verbindlichkeiten nachrangig oder gleichrangig sind.</w:t>
            </w:r>
          </w:p>
          <w:p w14:paraId="1B0E819E" w14:textId="77777777" w:rsidR="00BB21F0" w:rsidRPr="0008623B" w:rsidRDefault="00BB21F0" w:rsidP="00AA4A01">
            <w:pPr>
              <w:pStyle w:val="Applicationdirecte"/>
              <w:spacing w:before="120"/>
              <w:rPr>
                <w:color w:val="000000" w:themeColor="text1"/>
              </w:rPr>
            </w:pPr>
            <w:r>
              <w:rPr>
                <w:color w:val="000000" w:themeColor="text1"/>
              </w:rPr>
              <w:t>Dies umfasst ferner Verbindlichkeiten, die vom Bail-in ausgeschlossen sind.</w:t>
            </w:r>
          </w:p>
          <w:p w14:paraId="5A7B82DD" w14:textId="368405A5" w:rsidR="008907A6" w:rsidRPr="0008623B" w:rsidRDefault="00410769" w:rsidP="005F391D">
            <w:pPr>
              <w:pStyle w:val="Fait"/>
            </w:pPr>
            <w:r>
              <w:t>Diese Zeile ist im Meldebogen EU TLAC2b nicht anwendbar.</w:t>
            </w:r>
          </w:p>
        </w:tc>
      </w:tr>
      <w:tr w:rsidR="000C3B9F" w:rsidRPr="0008623B" w14:paraId="27EAD1F9" w14:textId="77777777" w:rsidTr="006E5727">
        <w:trPr>
          <w:trHeight w:val="483"/>
        </w:trPr>
        <w:tc>
          <w:tcPr>
            <w:tcW w:w="1384" w:type="dxa"/>
          </w:tcPr>
          <w:p w14:paraId="09FA1416" w14:textId="27DA35B3" w:rsidR="000C3B9F" w:rsidRPr="0008623B" w:rsidRDefault="000C3B9F" w:rsidP="000C3B9F">
            <w:pPr>
              <w:pStyle w:val="Applicationdirecte"/>
              <w:spacing w:before="120"/>
              <w:rPr>
                <w:color w:val="000000" w:themeColor="text1"/>
                <w:szCs w:val="24"/>
              </w:rPr>
            </w:pPr>
            <w:r>
              <w:lastRenderedPageBreak/>
              <w:t>4</w:t>
            </w:r>
          </w:p>
        </w:tc>
        <w:tc>
          <w:tcPr>
            <w:tcW w:w="7655" w:type="dxa"/>
          </w:tcPr>
          <w:p w14:paraId="59E154B3" w14:textId="0A45A9DB" w:rsidR="000C3B9F" w:rsidRPr="0008623B" w:rsidRDefault="00A14A6B" w:rsidP="000C3B9F">
            <w:pPr>
              <w:pStyle w:val="Fait"/>
              <w:rPr>
                <w:rFonts w:eastAsiaTheme="minorEastAsia"/>
                <w:b/>
                <w:color w:val="000000" w:themeColor="text1"/>
                <w:szCs w:val="24"/>
              </w:rPr>
            </w:pPr>
            <w:r>
              <w:rPr>
                <w:b/>
                <w:color w:val="000000" w:themeColor="text1"/>
              </w:rPr>
              <w:t>Verbindlichkeiten und Eigenmittel – Davon ausgenommene Verbindlichkeiten</w:t>
            </w:r>
          </w:p>
          <w:p w14:paraId="543649CA" w14:textId="35542114" w:rsidR="006C6694" w:rsidRPr="0008623B" w:rsidRDefault="000C3B9F" w:rsidP="005F391D">
            <w:pPr>
              <w:pStyle w:val="Applicationdirecte"/>
              <w:spacing w:before="120"/>
              <w:rPr>
                <w:color w:val="000000" w:themeColor="text1"/>
                <w:szCs w:val="24"/>
              </w:rPr>
            </w:pPr>
            <w:r>
              <w:rPr>
                <w:color w:val="000000" w:themeColor="text1"/>
              </w:rPr>
              <w:t>Aufschlüsselung der Verbindlichkeiten, die gemäß Artikel 72a Absatz 2 der Verordnung (EU) Nr. 575/2013 oder Artikel 44 Absatz 2 der Richtlinie 2014/59/EU und ggf. Artikel 44 Absatz 3 der Richtlinie 2014/59/EU ausgenommen sind.</w:t>
            </w:r>
          </w:p>
          <w:p w14:paraId="182D9647" w14:textId="5AEB0362" w:rsidR="008907A6" w:rsidRPr="0008623B" w:rsidRDefault="00410769" w:rsidP="005F391D">
            <w:pPr>
              <w:pStyle w:val="Applicationdirecte"/>
              <w:spacing w:before="120"/>
            </w:pPr>
            <w:r>
              <w:t>Diese Zeile ist im Meldebogen EU TLAC2b nicht anwendbar.</w:t>
            </w:r>
          </w:p>
        </w:tc>
      </w:tr>
      <w:tr w:rsidR="000C3B9F" w:rsidRPr="0008623B" w14:paraId="3CFAFBE4" w14:textId="77777777" w:rsidTr="006E5727">
        <w:trPr>
          <w:trHeight w:val="1014"/>
        </w:trPr>
        <w:tc>
          <w:tcPr>
            <w:tcW w:w="1384" w:type="dxa"/>
          </w:tcPr>
          <w:p w14:paraId="76860F6D" w14:textId="42C3686D" w:rsidR="000C3B9F" w:rsidRPr="0008623B" w:rsidRDefault="000C3B9F" w:rsidP="000C3B9F">
            <w:pPr>
              <w:pStyle w:val="Applicationdirecte"/>
              <w:spacing w:before="120"/>
              <w:rPr>
                <w:color w:val="000000" w:themeColor="text1"/>
                <w:szCs w:val="24"/>
              </w:rPr>
            </w:pPr>
            <w:r>
              <w:t>5</w:t>
            </w:r>
          </w:p>
        </w:tc>
        <w:tc>
          <w:tcPr>
            <w:tcW w:w="7655" w:type="dxa"/>
          </w:tcPr>
          <w:p w14:paraId="005DF5FF" w14:textId="228C6814" w:rsidR="0016339F" w:rsidRPr="0008623B" w:rsidRDefault="00367DF1" w:rsidP="00EF47A4">
            <w:pPr>
              <w:pStyle w:val="Fait"/>
            </w:pPr>
            <w:r>
              <w:rPr>
                <w:b/>
                <w:color w:val="000000" w:themeColor="text1"/>
              </w:rPr>
              <w:t>Verbindlichkeiten und Eigenmittel (abzüglich ausgenommene Verbindlichkeiten)</w:t>
            </w:r>
          </w:p>
          <w:p w14:paraId="359D335B" w14:textId="3554B9D3" w:rsidR="008907A6" w:rsidRPr="0008623B" w:rsidRDefault="00367DF1" w:rsidP="005F391D">
            <w:pPr>
              <w:pStyle w:val="Fait"/>
            </w:pPr>
            <w:r>
              <w:rPr>
                <w:color w:val="000000" w:themeColor="text1"/>
              </w:rPr>
              <w:t>Verbindlichkeiten und Eigenmittel abzüglich der ausgenommenen Verbindlichkeiten.</w:t>
            </w:r>
          </w:p>
          <w:p w14:paraId="52590AAA" w14:textId="18E701D2" w:rsidR="000C3B9F" w:rsidRPr="0008623B" w:rsidRDefault="00410769" w:rsidP="008907A6">
            <w:pPr>
              <w:pStyle w:val="Applicationdirecte"/>
              <w:spacing w:before="120"/>
              <w:rPr>
                <w:color w:val="000000" w:themeColor="text1"/>
                <w:szCs w:val="24"/>
              </w:rPr>
            </w:pPr>
            <w:r>
              <w:t>Diese Zeile ist im Meldebogen EU TLAC2b nicht anwendbar.</w:t>
            </w:r>
          </w:p>
        </w:tc>
      </w:tr>
      <w:tr w:rsidR="000C3B9F" w:rsidRPr="0008623B" w14:paraId="2699A3CB" w14:textId="77777777" w:rsidTr="006E5727">
        <w:trPr>
          <w:trHeight w:val="316"/>
        </w:trPr>
        <w:tc>
          <w:tcPr>
            <w:tcW w:w="1384" w:type="dxa"/>
          </w:tcPr>
          <w:p w14:paraId="039E3565" w14:textId="2A27D53A" w:rsidR="000C3B9F" w:rsidRPr="0008623B" w:rsidRDefault="000C3B9F" w:rsidP="000C3B9F">
            <w:pPr>
              <w:autoSpaceDE w:val="0"/>
              <w:autoSpaceDN w:val="0"/>
              <w:adjustRightInd w:val="0"/>
              <w:spacing w:before="120" w:after="120"/>
              <w:jc w:val="both"/>
              <w:rPr>
                <w:rFonts w:ascii="Times New Roman" w:eastAsia="Times New Roman" w:hAnsi="Times New Roman" w:cs="Times New Roman"/>
                <w:color w:val="000000" w:themeColor="text1"/>
                <w:sz w:val="24"/>
                <w:szCs w:val="24"/>
              </w:rPr>
            </w:pPr>
            <w:r>
              <w:rPr>
                <w:rFonts w:ascii="Times New Roman" w:hAnsi="Times New Roman"/>
                <w:sz w:val="24"/>
              </w:rPr>
              <w:t>6</w:t>
            </w:r>
          </w:p>
        </w:tc>
        <w:tc>
          <w:tcPr>
            <w:tcW w:w="7655" w:type="dxa"/>
          </w:tcPr>
          <w:p w14:paraId="677315D1" w14:textId="45D4D61F" w:rsidR="000C3B9F" w:rsidRPr="0008623B" w:rsidRDefault="000C3B9F" w:rsidP="000C3B9F">
            <w:pPr>
              <w:autoSpaceDE w:val="0"/>
              <w:autoSpaceDN w:val="0"/>
              <w:adjustRightInd w:val="0"/>
              <w:spacing w:before="120" w:after="120"/>
              <w:jc w:val="both"/>
              <w:rPr>
                <w:rFonts w:ascii="Times New Roman" w:eastAsia="Times New Roman" w:hAnsi="Times New Roman" w:cs="Times New Roman"/>
                <w:b/>
                <w:color w:val="000000" w:themeColor="text1"/>
                <w:sz w:val="24"/>
                <w:szCs w:val="24"/>
              </w:rPr>
            </w:pPr>
            <w:r>
              <w:rPr>
                <w:rFonts w:ascii="Times New Roman" w:hAnsi="Times New Roman"/>
                <w:b/>
                <w:color w:val="000000" w:themeColor="text1"/>
                <w:sz w:val="24"/>
              </w:rPr>
              <w:t>Teilmenge der Verbindlichkeiten und Eigenmittel abzüglich der ausgenommenen Verbindlichkeiten, bei denen es sich um Eigenmittel und berücksichtigungsfähige Verbindlichkeiten für die Zwecke der internen MREL/internen TLAC handelt</w:t>
            </w:r>
          </w:p>
          <w:p w14:paraId="666E0A9A" w14:textId="0E7111CB" w:rsidR="000C3B9F" w:rsidRPr="0008623B" w:rsidRDefault="000C3B9F" w:rsidP="00341FB2">
            <w:pPr>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 xml:space="preserve">Aufschlüsselung des Betrags der Eigenmittel und berücksichtigungsfähigen Verbindlichkeiten für die Zwecke der internen MREL oder für die Zwecke der internen TLAC, je nach Anwendbarkeit gemäß vorstehendem Absatz 11. </w:t>
            </w:r>
          </w:p>
        </w:tc>
      </w:tr>
      <w:tr w:rsidR="000C3B9F" w:rsidRPr="0008623B" w14:paraId="0BED3052" w14:textId="77777777" w:rsidTr="006E5727">
        <w:trPr>
          <w:trHeight w:val="316"/>
        </w:trPr>
        <w:tc>
          <w:tcPr>
            <w:tcW w:w="1384" w:type="dxa"/>
          </w:tcPr>
          <w:p w14:paraId="6F2D6129" w14:textId="1A05DE99" w:rsidR="000C3B9F" w:rsidRPr="0008623B" w:rsidRDefault="000C3B9F" w:rsidP="000C3B9F">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7</w:t>
            </w:r>
          </w:p>
        </w:tc>
        <w:tc>
          <w:tcPr>
            <w:tcW w:w="7655" w:type="dxa"/>
          </w:tcPr>
          <w:p w14:paraId="3AF5477F" w14:textId="1583355E" w:rsidR="000C3B9F" w:rsidRPr="0008623B"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Davon Restlaufzeit ≥ 1 Jahr &lt; 2 Jahre </w:t>
            </w:r>
          </w:p>
          <w:p w14:paraId="6EC4B8A9" w14:textId="6798BA07" w:rsidR="000C3B9F" w:rsidRPr="0008623B" w:rsidRDefault="0016339F" w:rsidP="000C3B9F">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Teilmenge der Zeile 6 mit der jeweiligen Restlaufzeit.</w:t>
            </w:r>
          </w:p>
        </w:tc>
      </w:tr>
      <w:tr w:rsidR="000C3B9F" w:rsidRPr="0008623B" w14:paraId="094D1657" w14:textId="77777777" w:rsidTr="006E5727">
        <w:trPr>
          <w:trHeight w:val="316"/>
        </w:trPr>
        <w:tc>
          <w:tcPr>
            <w:tcW w:w="1384" w:type="dxa"/>
          </w:tcPr>
          <w:p w14:paraId="25637642" w14:textId="2444ED10" w:rsidR="000C3B9F" w:rsidRPr="0008623B" w:rsidRDefault="000C3B9F" w:rsidP="000C3B9F">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8</w:t>
            </w:r>
          </w:p>
        </w:tc>
        <w:tc>
          <w:tcPr>
            <w:tcW w:w="7655" w:type="dxa"/>
          </w:tcPr>
          <w:p w14:paraId="73BC8BDA" w14:textId="65A30D65" w:rsidR="000C3B9F" w:rsidRPr="0008623B"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Davon Restlaufzeit ≥ 2 Jahr &lt; 5 Jahre</w:t>
            </w:r>
          </w:p>
          <w:p w14:paraId="234E2E25" w14:textId="7A58A472" w:rsidR="000C3B9F" w:rsidRPr="0008623B" w:rsidRDefault="00F04275" w:rsidP="00F04275">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Teilmenge der Zeile 6 mit der jeweiligen Restlaufzeit.</w:t>
            </w:r>
          </w:p>
        </w:tc>
      </w:tr>
      <w:tr w:rsidR="000C3B9F" w:rsidRPr="0008623B" w14:paraId="55CCE5FF" w14:textId="77777777" w:rsidTr="006E5727">
        <w:trPr>
          <w:trHeight w:val="316"/>
        </w:trPr>
        <w:tc>
          <w:tcPr>
            <w:tcW w:w="1384" w:type="dxa"/>
          </w:tcPr>
          <w:p w14:paraId="6D5EB35C" w14:textId="61800317" w:rsidR="000C3B9F" w:rsidRPr="0008623B" w:rsidRDefault="000C3B9F" w:rsidP="000C3B9F">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9</w:t>
            </w:r>
          </w:p>
        </w:tc>
        <w:tc>
          <w:tcPr>
            <w:tcW w:w="7655" w:type="dxa"/>
          </w:tcPr>
          <w:p w14:paraId="6513D39F" w14:textId="3B45C903" w:rsidR="000C3B9F" w:rsidRPr="0008623B"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Davon Restlaufzeit ≥ 5 Jahre &lt; 10 Jahre</w:t>
            </w:r>
          </w:p>
          <w:p w14:paraId="44AA56B3" w14:textId="34E09E5C" w:rsidR="000C3B9F" w:rsidRPr="0008623B" w:rsidRDefault="00F04275" w:rsidP="000C3B9F">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Teilmenge der Zeile 6 mit der jeweiligen Restlaufzeit.</w:t>
            </w:r>
          </w:p>
        </w:tc>
      </w:tr>
      <w:tr w:rsidR="000C3B9F" w:rsidRPr="0008623B" w14:paraId="0B08B0F5" w14:textId="77777777" w:rsidTr="006E5727">
        <w:trPr>
          <w:trHeight w:val="316"/>
        </w:trPr>
        <w:tc>
          <w:tcPr>
            <w:tcW w:w="1384" w:type="dxa"/>
          </w:tcPr>
          <w:p w14:paraId="30A040BA" w14:textId="2B401877" w:rsidR="000C3B9F" w:rsidRPr="0008623B" w:rsidRDefault="000C3B9F" w:rsidP="000C3B9F">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10</w:t>
            </w:r>
          </w:p>
        </w:tc>
        <w:tc>
          <w:tcPr>
            <w:tcW w:w="7655" w:type="dxa"/>
          </w:tcPr>
          <w:p w14:paraId="0EDFF84A" w14:textId="7F3D5273" w:rsidR="000C3B9F" w:rsidRPr="0008623B"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Davon Restlaufzeit ≥ 10 Jahre, unter Ausschluss von Wertpapieren ohne bestimmte Fälligkeit</w:t>
            </w:r>
          </w:p>
          <w:p w14:paraId="4144E4C2" w14:textId="6B7049FC" w:rsidR="000C3B9F" w:rsidRPr="0008623B" w:rsidRDefault="00F04275"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color w:val="000000" w:themeColor="text1"/>
                <w:sz w:val="24"/>
              </w:rPr>
              <w:lastRenderedPageBreak/>
              <w:t>Teilmenge der Zeile 6 mit der jeweiligen Restlaufzeit.</w:t>
            </w:r>
          </w:p>
        </w:tc>
      </w:tr>
      <w:tr w:rsidR="000C3B9F" w:rsidRPr="0008623B" w14:paraId="23AD712F" w14:textId="77777777" w:rsidTr="006E5727">
        <w:trPr>
          <w:trHeight w:val="316"/>
        </w:trPr>
        <w:tc>
          <w:tcPr>
            <w:tcW w:w="1384" w:type="dxa"/>
          </w:tcPr>
          <w:p w14:paraId="67796F9B" w14:textId="308AC29C" w:rsidR="000C3B9F" w:rsidRPr="0008623B" w:rsidRDefault="000C3B9F" w:rsidP="000C3B9F">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lastRenderedPageBreak/>
              <w:t>11</w:t>
            </w:r>
          </w:p>
        </w:tc>
        <w:tc>
          <w:tcPr>
            <w:tcW w:w="7655" w:type="dxa"/>
          </w:tcPr>
          <w:p w14:paraId="38BB8DE3" w14:textId="6E91083A" w:rsidR="000C3B9F" w:rsidRPr="0008623B" w:rsidRDefault="00216E68" w:rsidP="000C3B9F">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Davon Wertpapiere ohne bestimmte Fälligkeit</w:t>
            </w:r>
          </w:p>
          <w:p w14:paraId="0E3F0B9E" w14:textId="5C0A7C24" w:rsidR="000C3B9F" w:rsidRPr="0008623B" w:rsidRDefault="00F04275" w:rsidP="00F04275">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color w:val="000000" w:themeColor="text1"/>
                <w:sz w:val="24"/>
              </w:rPr>
              <w:t>Teilmenge der Zeile 6, bei der es sich um Wertpapiere ohne bestimmte Fälligkeit handelt.</w:t>
            </w:r>
          </w:p>
        </w:tc>
      </w:tr>
    </w:tbl>
    <w:p w14:paraId="4FDBE82C" w14:textId="77777777" w:rsidR="00134FA4" w:rsidRPr="004A008C" w:rsidRDefault="00134FA4" w:rsidP="00134FA4">
      <w:pPr>
        <w:jc w:val="both"/>
        <w:rPr>
          <w:rFonts w:ascii="Times New Roman" w:hAnsi="Times New Roman" w:cs="Times New Roman"/>
          <w:bCs/>
          <w:i/>
          <w:noProof/>
          <w:color w:val="000000" w:themeColor="text1"/>
          <w:sz w:val="24"/>
          <w:szCs w:val="24"/>
        </w:rPr>
      </w:pPr>
    </w:p>
    <w:p w14:paraId="4266C07E" w14:textId="3B554313" w:rsidR="00134FA4" w:rsidRPr="0008623B" w:rsidRDefault="002A5117" w:rsidP="002A5117">
      <w:pPr>
        <w:pStyle w:val="Numberedtilelevel1"/>
        <w:keepNext/>
        <w:pBdr>
          <w:bottom w:val="none" w:sz="0" w:space="0" w:color="auto"/>
        </w:pBdr>
        <w:spacing w:before="240" w:after="240" w:line="240" w:lineRule="auto"/>
        <w:ind w:left="360" w:hanging="360"/>
        <w:jc w:val="both"/>
        <w:outlineLvl w:val="1"/>
        <w:rPr>
          <w:rFonts w:ascii="Times New Roman" w:eastAsia="Arial" w:hAnsi="Times New Roman" w:cs="Times New Roman"/>
          <w:color w:val="auto"/>
          <w:spacing w:val="0"/>
          <w:kern w:val="0"/>
          <w:sz w:val="24"/>
          <w:szCs w:val="24"/>
        </w:rPr>
      </w:pPr>
      <w:bookmarkStart w:id="233" w:name="_Toc529272912"/>
      <w:bookmarkStart w:id="234" w:name="_Toc14770787"/>
      <w:bookmarkStart w:id="235" w:name="_Toc45266930"/>
      <w:r>
        <w:rPr>
          <w:rFonts w:ascii="Times New Roman" w:hAnsi="Times New Roman"/>
          <w:color w:val="auto"/>
          <w:sz w:val="24"/>
        </w:rPr>
        <w:t>6.</w:t>
      </w:r>
      <w:r>
        <w:rPr>
          <w:rFonts w:ascii="Times New Roman" w:hAnsi="Times New Roman"/>
          <w:color w:val="auto"/>
          <w:sz w:val="24"/>
        </w:rPr>
        <w:tab/>
        <w:t>EU TLAC3: Rangfolge der Gläubiger – Abwicklungseinheit</w:t>
      </w:r>
      <w:bookmarkEnd w:id="233"/>
      <w:bookmarkEnd w:id="234"/>
      <w:bookmarkEnd w:id="235"/>
    </w:p>
    <w:p w14:paraId="578097FF" w14:textId="1EA4E7A0" w:rsidR="00EE122D" w:rsidRPr="0008623B" w:rsidRDefault="00EE122D" w:rsidP="00B62DC9">
      <w:pPr>
        <w:pStyle w:val="InstructionsText2"/>
        <w:numPr>
          <w:ilvl w:val="0"/>
          <w:numId w:val="12"/>
        </w:numPr>
      </w:pPr>
      <w:r>
        <w:t>Die im Meldebogen EU TLAC3 enthaltenen Informationen werden auf der Ebene der einzelnen Unternehmen offengelegt.</w:t>
      </w:r>
    </w:p>
    <w:p w14:paraId="0EB7EFE1" w14:textId="7A32417C" w:rsidR="00410769" w:rsidRPr="0008623B" w:rsidRDefault="00410769" w:rsidP="00B62DC9">
      <w:pPr>
        <w:pStyle w:val="InstructionsText2"/>
        <w:numPr>
          <w:ilvl w:val="0"/>
          <w:numId w:val="12"/>
        </w:numPr>
      </w:pPr>
      <w:r>
        <w:t>Es gibt zwei Versionen des Meldebogens EU TLAC3: EU TLAC3a und EU TLAC3b. EU TLAC3a erfasst alle Finanzmittel, die gleichrangig oder nachrangig zu Instrumenten sind, die potenziell für MREL berücksichtigungsfähig sind, einschließlich Eigenmittel und andere Kapitalinstrumente. Beträge, die allein aufgrund von Nachrangigkeitsanforderungen nicht berücksichtigungsfähig sind, werden in voller Höhe in die Zeile aufgenommen, die dem jeweiligen Rang in der Insolvenz entspricht, d. h. ohne Anwendung der Obergrenzen. EU TLAC3b erfasst nur Eigenmittel und berücksichtigungsfähige Verbindlichkeiten, die die Anforderung von Artikel 45 der Richtlinie 2014/59/EU gemäß Artikel 45e der genannten Richtlinie erfüllen.</w:t>
      </w:r>
    </w:p>
    <w:p w14:paraId="417A390B" w14:textId="2D84B100" w:rsidR="00410769" w:rsidRPr="0008623B" w:rsidRDefault="00410769" w:rsidP="00B62DC9">
      <w:pPr>
        <w:pStyle w:val="InstructionsText2"/>
        <w:numPr>
          <w:ilvl w:val="0"/>
          <w:numId w:val="12"/>
        </w:numPr>
      </w:pPr>
      <w:r>
        <w:t>Gemäß Artikel 14 Absatz 2 der vorliegenden Verordnung können Unternehmen, die nicht der Verpflichtung zur Einhaltung der Anforderung des Artikels 92a der Verordnung (EU) Nr. 575/2013 unterliegen, jedoch gemäß Artikel 45e der Richtlinie 2014/59/EU der Verpflichtung zur Einhaltung der Anforderung des Artikels 45 der Richtlinie 2014/59/EU unterliegen, wählen, ob sie EU TLAC3a oder EU TLAC3b verwenden, um der Offenlegungsanforderung gemäß Artikel 45i Absatz 3 Buchstabe b der Richtlinie 2014/59/EU nachzukommen.</w:t>
      </w:r>
    </w:p>
    <w:p w14:paraId="7914D4A7" w14:textId="50C29BF6" w:rsidR="005F391D" w:rsidRPr="0008623B" w:rsidRDefault="005F391D" w:rsidP="00B62DC9">
      <w:pPr>
        <w:pStyle w:val="InstructionsText2"/>
        <w:numPr>
          <w:ilvl w:val="0"/>
          <w:numId w:val="12"/>
        </w:numPr>
      </w:pPr>
      <w:r>
        <w:t>Ab dem Geltungsbeginn von Artikel 45i Absatz 3 der Richtlinie 2014/59/EU legen die emittierenden Unternehmen im Meldebogen EU TLAC3a Verbindlichkeiten offen, die potenziell für die Erfüllung der MREL und TLAC-Anforderungen berücksichtigungsfähig sind. Bis zu diesem Datum legen die emittierenden Unternehmen die Verbindlichkeiten offen, die potenziell für die Erfüllung der internen TLAC-Anforderung berücksichtigungsfähig sind.</w:t>
      </w:r>
    </w:p>
    <w:p w14:paraId="0643F6F9" w14:textId="54E61B56" w:rsidR="005F391D" w:rsidRPr="0008623B" w:rsidRDefault="00134FA4" w:rsidP="00B62DC9">
      <w:pPr>
        <w:pStyle w:val="InstructionsText2"/>
        <w:numPr>
          <w:ilvl w:val="0"/>
          <w:numId w:val="12"/>
        </w:numPr>
      </w:pPr>
      <w:r>
        <w:t>Die ausstehenden Beträge, auf die in den Zeilen 2 bis 10 Bezug genommen wird, sind auf der Grundlage des Insolvenzrechts des emittierenden Unternehmens in Insolvenzränge aufzugliedern, unabhängig davon, welchem Recht das Instrument unterliegt.</w:t>
      </w:r>
    </w:p>
    <w:p w14:paraId="2ED9C4B9" w14:textId="752032A7" w:rsidR="005F391D" w:rsidRPr="0008623B" w:rsidRDefault="00EA31AA" w:rsidP="00B62DC9">
      <w:pPr>
        <w:pStyle w:val="InstructionsText2"/>
        <w:numPr>
          <w:ilvl w:val="0"/>
          <w:numId w:val="12"/>
        </w:numPr>
      </w:pPr>
      <w:r>
        <w:t>Die Insolvenzränge entsprechen denen, die von der zuständigen Abwicklungsbehörde in Übereinstimmung mit der standardisierten Darstellung gemäß dem entsprechenden Meldebogen mitgeteilt werden.</w:t>
      </w:r>
    </w:p>
    <w:p w14:paraId="098D1362" w14:textId="424912A1" w:rsidR="003D2D85" w:rsidRPr="0008623B" w:rsidRDefault="00134FA4" w:rsidP="00B62DC9">
      <w:pPr>
        <w:pStyle w:val="InstructionsText2"/>
        <w:numPr>
          <w:ilvl w:val="0"/>
          <w:numId w:val="12"/>
        </w:numPr>
      </w:pPr>
      <w:r>
        <w:lastRenderedPageBreak/>
        <w:t>Die Ränge werden vom rangniedrigsten zum ranghöchsten dargestellt. Die Spalten für die Ränge sind so oft zu ergänzen, bis die ranghöchsten potenziell berücksichtigungsfähigen Instrumente offengelegt sind.</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655"/>
      </w:tblGrid>
      <w:tr w:rsidR="00134FA4" w:rsidRPr="0008623B" w14:paraId="6CE82287" w14:textId="77777777" w:rsidTr="006E5727">
        <w:trPr>
          <w:trHeight w:val="238"/>
        </w:trPr>
        <w:tc>
          <w:tcPr>
            <w:tcW w:w="1384" w:type="dxa"/>
            <w:shd w:val="clear" w:color="auto" w:fill="D9D9D9" w:themeFill="background1" w:themeFillShade="D9"/>
          </w:tcPr>
          <w:p w14:paraId="35ABF31F" w14:textId="77777777" w:rsidR="00134FA4" w:rsidRPr="0008623B" w:rsidRDefault="00134FA4" w:rsidP="006E5727">
            <w:pPr>
              <w:autoSpaceDE w:val="0"/>
              <w:autoSpaceDN w:val="0"/>
              <w:adjustRightInd w:val="0"/>
              <w:rPr>
                <w:rFonts w:ascii="Times New Roman" w:hAnsi="Times New Roman" w:cs="Times New Roman"/>
                <w:b/>
                <w:color w:val="000000" w:themeColor="text1"/>
                <w:sz w:val="24"/>
                <w:szCs w:val="24"/>
              </w:rPr>
            </w:pPr>
            <w:r>
              <w:rPr>
                <w:rFonts w:ascii="Times New Roman" w:hAnsi="Times New Roman"/>
                <w:b/>
                <w:color w:val="000000" w:themeColor="text1"/>
                <w:sz w:val="24"/>
              </w:rPr>
              <w:t>Zeilen</w:t>
            </w:r>
          </w:p>
        </w:tc>
        <w:tc>
          <w:tcPr>
            <w:tcW w:w="7655" w:type="dxa"/>
            <w:shd w:val="clear" w:color="auto" w:fill="D9D9D9" w:themeFill="background1" w:themeFillShade="D9"/>
          </w:tcPr>
          <w:p w14:paraId="209AC79A" w14:textId="70829AEF" w:rsidR="00134FA4" w:rsidRPr="0008623B" w:rsidRDefault="00E46262" w:rsidP="006E5727">
            <w:pPr>
              <w:autoSpaceDE w:val="0"/>
              <w:autoSpaceDN w:val="0"/>
              <w:adjustRightInd w:val="0"/>
              <w:rPr>
                <w:rFonts w:ascii="Times New Roman" w:hAnsi="Times New Roman" w:cs="Times New Roman"/>
                <w:color w:val="000000" w:themeColor="text1"/>
                <w:sz w:val="24"/>
                <w:szCs w:val="24"/>
              </w:rPr>
            </w:pPr>
            <w:r>
              <w:rPr>
                <w:rFonts w:ascii="Times New Roman" w:hAnsi="Times New Roman"/>
                <w:b/>
                <w:color w:val="000000" w:themeColor="text1"/>
                <w:sz w:val="24"/>
              </w:rPr>
              <w:t>Rechtsgrundlagen und Erläuterungen</w:t>
            </w:r>
          </w:p>
        </w:tc>
      </w:tr>
      <w:tr w:rsidR="001D5616" w:rsidRPr="0008623B" w14:paraId="0C101719" w14:textId="77777777" w:rsidTr="006E5727">
        <w:trPr>
          <w:trHeight w:val="1014"/>
        </w:trPr>
        <w:tc>
          <w:tcPr>
            <w:tcW w:w="1384" w:type="dxa"/>
          </w:tcPr>
          <w:p w14:paraId="20818F1A" w14:textId="6C8CC711" w:rsidR="001D5616" w:rsidRPr="0008623B" w:rsidRDefault="008871C6" w:rsidP="001D5616">
            <w:pPr>
              <w:pStyle w:val="Applicationdirecte"/>
              <w:spacing w:before="120"/>
              <w:rPr>
                <w:color w:val="000000" w:themeColor="text1"/>
                <w:szCs w:val="24"/>
              </w:rPr>
            </w:pPr>
            <w:r>
              <w:t>1</w:t>
            </w:r>
          </w:p>
        </w:tc>
        <w:tc>
          <w:tcPr>
            <w:tcW w:w="7655" w:type="dxa"/>
          </w:tcPr>
          <w:p w14:paraId="255BAE3D" w14:textId="6FBDCDA3" w:rsidR="001D5616" w:rsidRPr="0008623B" w:rsidRDefault="001D5616"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Beschreibung des Rangs in der Insolvenz (Freitext)</w:t>
            </w:r>
          </w:p>
          <w:p w14:paraId="4938332D" w14:textId="624185AF" w:rsidR="001D5616" w:rsidRPr="0008623B" w:rsidRDefault="001D5616" w:rsidP="00EA31AA">
            <w:pPr>
              <w:pStyle w:val="Applicationdirecte"/>
              <w:spacing w:before="120"/>
              <w:rPr>
                <w:color w:val="000000" w:themeColor="text1"/>
                <w:szCs w:val="24"/>
              </w:rPr>
            </w:pPr>
            <w:r>
              <w:rPr>
                <w:color w:val="000000" w:themeColor="text1"/>
              </w:rPr>
              <w:t>Die Anzahl der Insolvenzränge (n) in der Rangfolge der Gläubiger hängt vom Spektrum der Verbindlichkeiten des Unternehmens ab. Für jeden Rang in der Insolvenz ist eine Spalte vorgesehen. Die Beschreibung sollte eine Präzisierung der Forderungsarten enthalten, die sich innerhalb dieses Rangs in der Insolvenz befinden (z. B. CET1, Instrumente des Ergänzungskapitals).</w:t>
            </w:r>
          </w:p>
        </w:tc>
      </w:tr>
      <w:tr w:rsidR="001D5616" w:rsidRPr="0008623B" w14:paraId="282F3909" w14:textId="77777777" w:rsidTr="006E5727">
        <w:trPr>
          <w:trHeight w:val="1014"/>
        </w:trPr>
        <w:tc>
          <w:tcPr>
            <w:tcW w:w="1384" w:type="dxa"/>
          </w:tcPr>
          <w:p w14:paraId="6052D413" w14:textId="27A1C7E6" w:rsidR="001D5616" w:rsidRPr="0008623B" w:rsidRDefault="008871C6" w:rsidP="001D5616">
            <w:pPr>
              <w:pStyle w:val="Applicationdirecte"/>
              <w:spacing w:before="120"/>
              <w:rPr>
                <w:color w:val="000000" w:themeColor="text1"/>
                <w:szCs w:val="24"/>
              </w:rPr>
            </w:pPr>
            <w:r>
              <w:t>2</w:t>
            </w:r>
          </w:p>
        </w:tc>
        <w:tc>
          <w:tcPr>
            <w:tcW w:w="7655" w:type="dxa"/>
          </w:tcPr>
          <w:p w14:paraId="649ECD5E" w14:textId="0534C38B" w:rsidR="001D5616" w:rsidRPr="0008623B" w:rsidRDefault="00367DF1"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Verbindlichkeiten und Eigenmittel</w:t>
            </w:r>
          </w:p>
          <w:p w14:paraId="6CEB4608" w14:textId="77777777" w:rsidR="003D2D85" w:rsidRPr="0008623B" w:rsidRDefault="003D2D85" w:rsidP="003D2D85">
            <w:pPr>
              <w:pStyle w:val="Applicationdirecte"/>
              <w:spacing w:before="120"/>
              <w:rPr>
                <w:color w:val="000000" w:themeColor="text1"/>
              </w:rPr>
            </w:pPr>
            <w:r>
              <w:rPr>
                <w:color w:val="000000" w:themeColor="text1"/>
              </w:rPr>
              <w:t>Der Betrag der Eigenmittel, berücksichtigungsfähigen Verbindlichkeiten und Verbindlichkeiten, die gegenüber Eigenmitteln oder berücksichtigungsfähigen Verbindlichkeiten nachrangig oder gleichrangig sind.</w:t>
            </w:r>
          </w:p>
          <w:p w14:paraId="7ABCDC8B" w14:textId="193792D4" w:rsidR="00585921" w:rsidRPr="0008623B" w:rsidRDefault="003D2D85" w:rsidP="00E13544">
            <w:pPr>
              <w:pStyle w:val="Applicationdirecte"/>
              <w:spacing w:before="120"/>
              <w:rPr>
                <w:color w:val="000000" w:themeColor="text1"/>
              </w:rPr>
            </w:pPr>
            <w:r>
              <w:rPr>
                <w:color w:val="000000" w:themeColor="text1"/>
              </w:rPr>
              <w:t>Dies umfasst ferner Verbindlichkeiten, die vom Bail-in ausgeschlossen sind.</w:t>
            </w:r>
            <w:r>
              <w:t xml:space="preserve"> </w:t>
            </w:r>
          </w:p>
          <w:p w14:paraId="3B3981A4" w14:textId="543E66EA" w:rsidR="003D2D85" w:rsidRPr="0008623B" w:rsidRDefault="008348B0" w:rsidP="00640F37">
            <w:pPr>
              <w:pStyle w:val="Fait"/>
            </w:pPr>
            <w:r>
              <w:t>Diese Zeile ist im Meldebogen EU TLAC3b nicht anwendbar.</w:t>
            </w:r>
          </w:p>
        </w:tc>
      </w:tr>
      <w:tr w:rsidR="001D5616" w:rsidRPr="0008623B" w14:paraId="7EFDEF71" w14:textId="77777777" w:rsidTr="006E5727">
        <w:trPr>
          <w:trHeight w:val="483"/>
        </w:trPr>
        <w:tc>
          <w:tcPr>
            <w:tcW w:w="1384" w:type="dxa"/>
          </w:tcPr>
          <w:p w14:paraId="36ABDA8C" w14:textId="78FEFA6B" w:rsidR="001D5616" w:rsidRPr="0008623B" w:rsidRDefault="008871C6" w:rsidP="001D5616">
            <w:pPr>
              <w:pStyle w:val="Applicationdirecte"/>
              <w:spacing w:before="120"/>
              <w:rPr>
                <w:color w:val="000000" w:themeColor="text1"/>
                <w:szCs w:val="24"/>
              </w:rPr>
            </w:pPr>
            <w:r>
              <w:t>3</w:t>
            </w:r>
          </w:p>
        </w:tc>
        <w:tc>
          <w:tcPr>
            <w:tcW w:w="7655" w:type="dxa"/>
          </w:tcPr>
          <w:p w14:paraId="79EC0340" w14:textId="06B26FCE" w:rsidR="001D5616" w:rsidRPr="0008623B" w:rsidRDefault="00A14A6B" w:rsidP="001D5616">
            <w:pPr>
              <w:pStyle w:val="Fait"/>
              <w:rPr>
                <w:b/>
                <w:color w:val="000000" w:themeColor="text1"/>
                <w:szCs w:val="24"/>
              </w:rPr>
            </w:pPr>
            <w:r>
              <w:rPr>
                <w:b/>
                <w:color w:val="000000" w:themeColor="text1"/>
              </w:rPr>
              <w:t>Verbindlichkeiten und Eigenmittel – Davon ausgenommene Verbindlichkeiten</w:t>
            </w:r>
          </w:p>
          <w:p w14:paraId="0FF41010" w14:textId="001ECF54" w:rsidR="003D2D85" w:rsidRPr="0008623B" w:rsidRDefault="003D2D85" w:rsidP="003D2D85">
            <w:pPr>
              <w:pStyle w:val="Applicationdirecte"/>
              <w:spacing w:before="120"/>
              <w:rPr>
                <w:color w:val="000000" w:themeColor="text1"/>
                <w:szCs w:val="24"/>
              </w:rPr>
            </w:pPr>
            <w:r>
              <w:rPr>
                <w:color w:val="000000" w:themeColor="text1"/>
              </w:rPr>
              <w:t>Aufschlüsselung der Verbindlichkeiten, die gemäß Artikel 72a Absatz 2 der Verordnung (EU) Nr. 575/2013 oder Artikel 44 Absatz 2 der Richtlinie 2014/59/EU und ggf. Artikel 44 Absatz 3 der genannten Richtlinie ausgenommen sind.</w:t>
            </w:r>
          </w:p>
          <w:p w14:paraId="6E4598A5" w14:textId="066BD409" w:rsidR="003D2D85" w:rsidRPr="0008623B" w:rsidRDefault="008348B0" w:rsidP="001D5616">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Diese Zeile ist im Meldebogen EU TLAC3b nicht anwendbar.</w:t>
            </w:r>
          </w:p>
        </w:tc>
      </w:tr>
      <w:tr w:rsidR="001D5616" w:rsidRPr="0008623B" w14:paraId="3040763E" w14:textId="77777777" w:rsidTr="006E5727">
        <w:trPr>
          <w:trHeight w:val="1014"/>
        </w:trPr>
        <w:tc>
          <w:tcPr>
            <w:tcW w:w="1384" w:type="dxa"/>
          </w:tcPr>
          <w:p w14:paraId="6ED7CBD7" w14:textId="71B213F7" w:rsidR="001D5616" w:rsidRPr="0008623B" w:rsidRDefault="008871C6" w:rsidP="001D5616">
            <w:pPr>
              <w:pStyle w:val="Applicationdirecte"/>
              <w:spacing w:before="120"/>
              <w:rPr>
                <w:color w:val="000000" w:themeColor="text1"/>
                <w:szCs w:val="24"/>
              </w:rPr>
            </w:pPr>
            <w:r>
              <w:t>4</w:t>
            </w:r>
          </w:p>
        </w:tc>
        <w:tc>
          <w:tcPr>
            <w:tcW w:w="7655" w:type="dxa"/>
          </w:tcPr>
          <w:p w14:paraId="67B3F8CE" w14:textId="50557F36" w:rsidR="001D5616" w:rsidRPr="0008623B" w:rsidRDefault="00367DF1" w:rsidP="001D5616">
            <w:pPr>
              <w:jc w:val="both"/>
              <w:rPr>
                <w:rFonts w:ascii="Times New Roman" w:eastAsia="Times New Roman" w:hAnsi="Times New Roman" w:cs="Times New Roman"/>
                <w:b/>
                <w:color w:val="000000" w:themeColor="text1"/>
                <w:sz w:val="24"/>
                <w:szCs w:val="24"/>
              </w:rPr>
            </w:pPr>
            <w:r>
              <w:rPr>
                <w:rFonts w:ascii="Times New Roman" w:hAnsi="Times New Roman"/>
                <w:b/>
                <w:color w:val="000000" w:themeColor="text1"/>
                <w:sz w:val="24"/>
              </w:rPr>
              <w:t>Verbindlichkeiten und Eigenmittel (abzüglich ausgenommene Verbindlichkeiten)</w:t>
            </w:r>
          </w:p>
          <w:p w14:paraId="09D8C04D" w14:textId="0C90618C" w:rsidR="001D5616" w:rsidRPr="0008623B" w:rsidRDefault="00367DF1" w:rsidP="001D5616">
            <w:pPr>
              <w:jc w:val="both"/>
              <w:rPr>
                <w:color w:val="000000" w:themeColor="text1"/>
                <w:szCs w:val="24"/>
              </w:rPr>
            </w:pPr>
            <w:r>
              <w:rPr>
                <w:rFonts w:ascii="Times New Roman" w:hAnsi="Times New Roman"/>
                <w:color w:val="000000" w:themeColor="text1"/>
                <w:sz w:val="24"/>
              </w:rPr>
              <w:t>Verbindlichkeiten und Eigenmittel abzüglich der ausgenommenen Verbindlichkeiten.</w:t>
            </w:r>
            <w:r>
              <w:rPr>
                <w:color w:val="000000" w:themeColor="text1"/>
              </w:rPr>
              <w:t xml:space="preserve"> </w:t>
            </w:r>
          </w:p>
          <w:p w14:paraId="4C2B3296" w14:textId="5FECF8AC" w:rsidR="003D2D85" w:rsidRPr="0008623B" w:rsidRDefault="008348B0" w:rsidP="001D5616">
            <w:pPr>
              <w:jc w:val="both"/>
              <w:rPr>
                <w:rFonts w:ascii="Times New Roman" w:hAnsi="Times New Roman" w:cs="Times New Roman"/>
                <w:color w:val="000000" w:themeColor="text1"/>
                <w:sz w:val="24"/>
                <w:szCs w:val="24"/>
              </w:rPr>
            </w:pPr>
            <w:r>
              <w:rPr>
                <w:rFonts w:ascii="Times New Roman" w:hAnsi="Times New Roman"/>
                <w:color w:val="000000" w:themeColor="text1"/>
                <w:sz w:val="24"/>
              </w:rPr>
              <w:t>Diese Zeile ist im Meldebogen EU TLAC3b nicht anwendbar.</w:t>
            </w:r>
          </w:p>
        </w:tc>
      </w:tr>
      <w:tr w:rsidR="001D5616" w:rsidRPr="0008623B" w14:paraId="3A2C5DDE" w14:textId="77777777" w:rsidTr="006E5727">
        <w:trPr>
          <w:trHeight w:val="316"/>
        </w:trPr>
        <w:tc>
          <w:tcPr>
            <w:tcW w:w="1384" w:type="dxa"/>
          </w:tcPr>
          <w:p w14:paraId="3404E285" w14:textId="021B6A65" w:rsidR="001D5616" w:rsidRPr="0008623B" w:rsidRDefault="008871C6" w:rsidP="001D5616">
            <w:pPr>
              <w:autoSpaceDE w:val="0"/>
              <w:autoSpaceDN w:val="0"/>
              <w:adjustRightInd w:val="0"/>
              <w:spacing w:before="120" w:after="120"/>
              <w:jc w:val="both"/>
              <w:rPr>
                <w:rFonts w:ascii="Times New Roman" w:eastAsia="Times New Roman" w:hAnsi="Times New Roman" w:cs="Times New Roman"/>
                <w:color w:val="000000" w:themeColor="text1"/>
                <w:sz w:val="24"/>
                <w:szCs w:val="24"/>
              </w:rPr>
            </w:pPr>
            <w:r>
              <w:rPr>
                <w:rFonts w:ascii="Times New Roman" w:hAnsi="Times New Roman"/>
                <w:sz w:val="24"/>
              </w:rPr>
              <w:t>5</w:t>
            </w:r>
          </w:p>
        </w:tc>
        <w:tc>
          <w:tcPr>
            <w:tcW w:w="7655" w:type="dxa"/>
          </w:tcPr>
          <w:p w14:paraId="3A72D26C" w14:textId="33DDDACD" w:rsidR="001D5616" w:rsidRPr="0008623B" w:rsidRDefault="001D5616" w:rsidP="001D5616">
            <w:pPr>
              <w:autoSpaceDE w:val="0"/>
              <w:autoSpaceDN w:val="0"/>
              <w:adjustRightInd w:val="0"/>
              <w:spacing w:before="120" w:after="120"/>
              <w:jc w:val="both"/>
              <w:rPr>
                <w:rFonts w:ascii="Times New Roman" w:eastAsia="Times New Roman" w:hAnsi="Times New Roman" w:cs="Times New Roman"/>
                <w:b/>
                <w:color w:val="000000" w:themeColor="text1"/>
                <w:sz w:val="24"/>
                <w:szCs w:val="24"/>
              </w:rPr>
            </w:pPr>
            <w:r>
              <w:rPr>
                <w:rFonts w:ascii="Times New Roman" w:hAnsi="Times New Roman"/>
                <w:b/>
                <w:color w:val="000000" w:themeColor="text1"/>
                <w:sz w:val="24"/>
              </w:rPr>
              <w:t>Teilmenge der Verbindlichkeiten und Eigenmittel abzüglich der ausgenommenen Verbindlichkeiten, bei denen es sich um Eigenmittel und Verbindlichkeiten handelt, die möglicherweise berücksichtigungsfähig sind für die Erfüllung der MREL/TLAC</w:t>
            </w:r>
          </w:p>
          <w:p w14:paraId="4D791BCD" w14:textId="72DDE991" w:rsidR="001D5616" w:rsidRPr="0008623B" w:rsidRDefault="001D5616" w:rsidP="008B671A">
            <w:pPr>
              <w:rPr>
                <w:rFonts w:ascii="Times New Roman" w:eastAsia="Times New Roman" w:hAnsi="Times New Roman" w:cs="Times New Roman"/>
                <w:color w:val="000000" w:themeColor="text1"/>
                <w:sz w:val="24"/>
                <w:szCs w:val="24"/>
              </w:rPr>
            </w:pPr>
            <w:r>
              <w:rPr>
                <w:rFonts w:ascii="Times New Roman" w:hAnsi="Times New Roman"/>
                <w:color w:val="000000" w:themeColor="text1"/>
                <w:sz w:val="24"/>
              </w:rPr>
              <w:t xml:space="preserve">Aufgliederung des Betrags der Eigenmittel und der für die Zwecke der MREL bzw. der TLAC berücksichtigungsfähigen Verbindlichkeiten gemäß </w:t>
            </w:r>
            <w:r>
              <w:rPr>
                <w:rFonts w:ascii="Times New Roman" w:hAnsi="Times New Roman"/>
                <w:color w:val="000000" w:themeColor="text1"/>
                <w:sz w:val="24"/>
              </w:rPr>
              <w:lastRenderedPageBreak/>
              <w:t>vorstehendem Absatz 19, ohne Anwendung der Obergrenzen für die Anerkennung nicht nachrangiger Verbindlichkeiten.</w:t>
            </w:r>
          </w:p>
        </w:tc>
      </w:tr>
      <w:tr w:rsidR="001D5616" w:rsidRPr="0008623B" w14:paraId="1AD03E0A" w14:textId="77777777" w:rsidTr="006E5727">
        <w:trPr>
          <w:trHeight w:val="316"/>
        </w:trPr>
        <w:tc>
          <w:tcPr>
            <w:tcW w:w="1384" w:type="dxa"/>
          </w:tcPr>
          <w:p w14:paraId="5319D1AF" w14:textId="74E28EE0" w:rsidR="001D5616" w:rsidRPr="0008623B" w:rsidRDefault="008871C6" w:rsidP="001D5616">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lastRenderedPageBreak/>
              <w:t>6</w:t>
            </w:r>
          </w:p>
        </w:tc>
        <w:tc>
          <w:tcPr>
            <w:tcW w:w="7655" w:type="dxa"/>
          </w:tcPr>
          <w:p w14:paraId="208DFDB8" w14:textId="6F2FB385" w:rsidR="001D5616" w:rsidRPr="0008623B"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 xml:space="preserve">Davon Restlaufzeit ≥ 1 Jahr &lt; 2 Jahre </w:t>
            </w:r>
          </w:p>
          <w:p w14:paraId="024B38D7" w14:textId="23586DB1" w:rsidR="001D5616" w:rsidRPr="0008623B" w:rsidRDefault="001D5616" w:rsidP="001D5616">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Teilmenge der Zeile 5 mit der jeweiligen Restlaufzeit.</w:t>
            </w:r>
          </w:p>
        </w:tc>
      </w:tr>
      <w:tr w:rsidR="001D5616" w:rsidRPr="0008623B" w14:paraId="589F2978" w14:textId="77777777" w:rsidTr="006E5727">
        <w:trPr>
          <w:trHeight w:val="316"/>
        </w:trPr>
        <w:tc>
          <w:tcPr>
            <w:tcW w:w="1384" w:type="dxa"/>
          </w:tcPr>
          <w:p w14:paraId="41E8C660" w14:textId="7938235A" w:rsidR="001D5616" w:rsidRPr="0008623B" w:rsidRDefault="008871C6" w:rsidP="001D5616">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7</w:t>
            </w:r>
          </w:p>
        </w:tc>
        <w:tc>
          <w:tcPr>
            <w:tcW w:w="7655" w:type="dxa"/>
          </w:tcPr>
          <w:p w14:paraId="1A0F18F5" w14:textId="1406EA6F" w:rsidR="001D5616" w:rsidRPr="0008623B"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Davon Restlaufzeit ≥ 2 Jahr &lt; 5 Jahre</w:t>
            </w:r>
          </w:p>
          <w:p w14:paraId="503D3ECD" w14:textId="3E0914A8" w:rsidR="001D5616" w:rsidRPr="0008623B" w:rsidRDefault="001D5616" w:rsidP="001D5616">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Teilmenge der Zeile 5 mit der jeweiligen Restlaufzeit.</w:t>
            </w:r>
          </w:p>
        </w:tc>
      </w:tr>
      <w:tr w:rsidR="001D5616" w:rsidRPr="0008623B" w14:paraId="1CE5BF41" w14:textId="77777777" w:rsidTr="006E5727">
        <w:trPr>
          <w:trHeight w:val="316"/>
        </w:trPr>
        <w:tc>
          <w:tcPr>
            <w:tcW w:w="1384" w:type="dxa"/>
          </w:tcPr>
          <w:p w14:paraId="6D06C91E" w14:textId="6BE3FA67" w:rsidR="001D5616" w:rsidRPr="0008623B" w:rsidRDefault="008871C6" w:rsidP="001D5616">
            <w:pPr>
              <w:autoSpaceDE w:val="0"/>
              <w:autoSpaceDN w:val="0"/>
              <w:adjustRightInd w:val="0"/>
              <w:rPr>
                <w:rFonts w:ascii="Times New Roman" w:eastAsia="Times New Roman" w:hAnsi="Times New Roman" w:cs="Times New Roman"/>
                <w:color w:val="000000" w:themeColor="text1"/>
                <w:sz w:val="24"/>
                <w:szCs w:val="24"/>
              </w:rPr>
            </w:pPr>
            <w:r>
              <w:rPr>
                <w:rFonts w:ascii="Times New Roman" w:hAnsi="Times New Roman"/>
                <w:sz w:val="24"/>
              </w:rPr>
              <w:t>8</w:t>
            </w:r>
          </w:p>
        </w:tc>
        <w:tc>
          <w:tcPr>
            <w:tcW w:w="7655" w:type="dxa"/>
          </w:tcPr>
          <w:p w14:paraId="385E6CA6" w14:textId="685C5434" w:rsidR="001D5616" w:rsidRPr="0008623B"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Davon Restlaufzeit ≥ 5 Jahre &lt; 10 Jahre</w:t>
            </w:r>
          </w:p>
          <w:p w14:paraId="197AF3C0" w14:textId="56872A6F" w:rsidR="001D5616" w:rsidRPr="0008623B" w:rsidRDefault="001D5616" w:rsidP="001D5616">
            <w:pPr>
              <w:autoSpaceDE w:val="0"/>
              <w:autoSpaceDN w:val="0"/>
              <w:adjustRightInd w:val="0"/>
              <w:spacing w:before="120" w:after="120"/>
              <w:jc w:val="both"/>
              <w:rPr>
                <w:rFonts w:ascii="Times New Roman" w:hAnsi="Times New Roman" w:cs="Times New Roman"/>
                <w:color w:val="000000" w:themeColor="text1"/>
                <w:sz w:val="24"/>
                <w:szCs w:val="24"/>
              </w:rPr>
            </w:pPr>
            <w:r>
              <w:rPr>
                <w:rFonts w:ascii="Times New Roman" w:hAnsi="Times New Roman"/>
                <w:color w:val="000000" w:themeColor="text1"/>
                <w:sz w:val="24"/>
              </w:rPr>
              <w:t>Teilmenge der Zeile 5 mit der jeweiligen Restlaufzeit.</w:t>
            </w:r>
          </w:p>
        </w:tc>
      </w:tr>
      <w:tr w:rsidR="001D5616" w:rsidRPr="0008623B" w14:paraId="6652A440" w14:textId="77777777" w:rsidTr="006E5727">
        <w:trPr>
          <w:trHeight w:val="316"/>
        </w:trPr>
        <w:tc>
          <w:tcPr>
            <w:tcW w:w="1384" w:type="dxa"/>
          </w:tcPr>
          <w:p w14:paraId="34E6E46D" w14:textId="5ECCD03F" w:rsidR="001D5616" w:rsidRPr="0008623B" w:rsidRDefault="008871C6" w:rsidP="008871C6">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9</w:t>
            </w:r>
          </w:p>
        </w:tc>
        <w:tc>
          <w:tcPr>
            <w:tcW w:w="7655" w:type="dxa"/>
          </w:tcPr>
          <w:p w14:paraId="18D5EBD6" w14:textId="39172B5A" w:rsidR="001D5616" w:rsidRPr="0008623B"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Davon Restlaufzeit ≥ 10 Jahre, unter Ausschluss von Wertpapieren ohne bestimmte Fälligkeit</w:t>
            </w:r>
          </w:p>
          <w:p w14:paraId="61C53A18" w14:textId="6ED02288" w:rsidR="001D5616" w:rsidRPr="0008623B" w:rsidRDefault="001D5616"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color w:val="000000" w:themeColor="text1"/>
                <w:sz w:val="24"/>
              </w:rPr>
              <w:t xml:space="preserve">Teilmenge der Zeile 5 mit der jeweiligen Restlaufzeit. </w:t>
            </w:r>
          </w:p>
        </w:tc>
      </w:tr>
      <w:tr w:rsidR="001D5616" w:rsidRPr="00F7311F" w14:paraId="122BED89" w14:textId="77777777" w:rsidTr="006E5727">
        <w:trPr>
          <w:trHeight w:val="316"/>
        </w:trPr>
        <w:tc>
          <w:tcPr>
            <w:tcW w:w="1384" w:type="dxa"/>
          </w:tcPr>
          <w:p w14:paraId="0B741CEB" w14:textId="37EB6C3B" w:rsidR="001D5616" w:rsidRPr="0008623B" w:rsidRDefault="001D5616" w:rsidP="001D5616">
            <w:pPr>
              <w:autoSpaceDE w:val="0"/>
              <w:autoSpaceDN w:val="0"/>
              <w:adjustRightInd w:val="0"/>
              <w:rPr>
                <w:rFonts w:ascii="Times New Roman" w:hAnsi="Times New Roman" w:cs="Times New Roman"/>
                <w:color w:val="000000" w:themeColor="text1"/>
                <w:sz w:val="24"/>
                <w:szCs w:val="24"/>
              </w:rPr>
            </w:pPr>
            <w:r>
              <w:rPr>
                <w:rFonts w:ascii="Times New Roman" w:hAnsi="Times New Roman"/>
                <w:sz w:val="24"/>
              </w:rPr>
              <w:t>10</w:t>
            </w:r>
          </w:p>
        </w:tc>
        <w:tc>
          <w:tcPr>
            <w:tcW w:w="7655" w:type="dxa"/>
          </w:tcPr>
          <w:p w14:paraId="00862BE8" w14:textId="48E6FB14" w:rsidR="001D5616" w:rsidRPr="0008623B" w:rsidRDefault="008E3ADF"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b/>
                <w:color w:val="000000" w:themeColor="text1"/>
                <w:sz w:val="24"/>
              </w:rPr>
              <w:t>Davon Wertpapiere ohne bestimmte Fälligkeit</w:t>
            </w:r>
          </w:p>
          <w:p w14:paraId="364F102A" w14:textId="35E5C977" w:rsidR="001D5616" w:rsidRPr="00F7311F" w:rsidRDefault="001D5616" w:rsidP="001D5616">
            <w:pPr>
              <w:autoSpaceDE w:val="0"/>
              <w:autoSpaceDN w:val="0"/>
              <w:adjustRightInd w:val="0"/>
              <w:spacing w:before="120" w:after="120"/>
              <w:jc w:val="both"/>
              <w:rPr>
                <w:rFonts w:ascii="Times New Roman" w:hAnsi="Times New Roman" w:cs="Times New Roman"/>
                <w:b/>
                <w:color w:val="000000" w:themeColor="text1"/>
                <w:sz w:val="24"/>
                <w:szCs w:val="24"/>
              </w:rPr>
            </w:pPr>
            <w:r>
              <w:rPr>
                <w:rFonts w:ascii="Times New Roman" w:hAnsi="Times New Roman"/>
                <w:color w:val="000000" w:themeColor="text1"/>
                <w:sz w:val="24"/>
              </w:rPr>
              <w:t xml:space="preserve">Teilmenge der Zeile 5, bei der es sich um Wertpapiere ohne bestimmte Fälligkeit handelt. </w:t>
            </w:r>
          </w:p>
        </w:tc>
      </w:tr>
    </w:tbl>
    <w:p w14:paraId="727A9C45" w14:textId="513EB7A2" w:rsidR="002E3F40" w:rsidRPr="00DE7C85" w:rsidRDefault="00676354" w:rsidP="00AA4A01">
      <w:pPr>
        <w:pStyle w:val="body"/>
      </w:pPr>
      <w:r>
        <w:t>‘</w:t>
      </w:r>
    </w:p>
    <w:sectPr w:rsidR="002E3F40" w:rsidRPr="00DE7C85" w:rsidSect="00807127">
      <w:headerReference w:type="even" r:id="rId8"/>
      <w:footerReference w:type="default" r:id="rId9"/>
      <w:headerReference w:type="first" r:id="rId10"/>
      <w:pgSz w:w="11900" w:h="16840"/>
      <w:pgMar w:top="2268" w:right="1418" w:bottom="1134" w:left="1701"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65B52" w14:textId="77777777" w:rsidR="00EE5DE6" w:rsidRDefault="00EE5DE6" w:rsidP="00A00E34">
      <w:r>
        <w:separator/>
      </w:r>
    </w:p>
    <w:p w14:paraId="6D9A16C1" w14:textId="77777777" w:rsidR="00EE5DE6" w:rsidRDefault="00EE5DE6"/>
  </w:endnote>
  <w:endnote w:type="continuationSeparator" w:id="0">
    <w:p w14:paraId="68144B1B" w14:textId="77777777" w:rsidR="00EE5DE6" w:rsidRDefault="00EE5DE6" w:rsidP="00A00E34">
      <w:r>
        <w:continuationSeparator/>
      </w:r>
    </w:p>
    <w:p w14:paraId="6D92350E" w14:textId="77777777" w:rsidR="00EE5DE6" w:rsidRDefault="00EE5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EUAlbertina">
    <w:altName w:val="Times New Roman"/>
    <w:charset w:val="00"/>
    <w:family w:val="auto"/>
    <w:pitch w:val="variable"/>
    <w:sig w:usb0="00000001" w:usb1="1000E0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653737"/>
      <w:docPartObj>
        <w:docPartGallery w:val="Page Numbers (Bottom of Page)"/>
        <w:docPartUnique/>
      </w:docPartObj>
    </w:sdtPr>
    <w:sdtEndPr>
      <w:rPr>
        <w:noProof/>
      </w:rPr>
    </w:sdtEndPr>
    <w:sdtContent>
      <w:p w14:paraId="7E860D88" w14:textId="580CA2FB" w:rsidR="00EE5DE6" w:rsidRDefault="00EE5DE6" w:rsidP="00940030">
        <w:pPr>
          <w:pStyle w:val="Footer"/>
          <w:jc w:val="center"/>
        </w:pPr>
        <w:r>
          <w:fldChar w:fldCharType="begin"/>
        </w:r>
        <w:r>
          <w:instrText xml:space="preserve"> PAGE   \* MERGEFORMAT </w:instrText>
        </w:r>
        <w:r>
          <w:fldChar w:fldCharType="separate"/>
        </w:r>
        <w:r w:rsidR="00290A9D">
          <w:t>20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00FCA" w14:textId="77777777" w:rsidR="00EE5DE6" w:rsidRPr="00DB5E8F" w:rsidRDefault="00EE5DE6">
      <w:pPr>
        <w:rPr>
          <w:sz w:val="12"/>
          <w:szCs w:val="12"/>
        </w:rPr>
      </w:pPr>
      <w:r w:rsidRPr="00DB5E8F">
        <w:rPr>
          <w:sz w:val="12"/>
          <w:szCs w:val="12"/>
        </w:rPr>
        <w:separator/>
      </w:r>
    </w:p>
  </w:footnote>
  <w:footnote w:type="continuationSeparator" w:id="0">
    <w:p w14:paraId="6AD737B5" w14:textId="77777777" w:rsidR="00EE5DE6" w:rsidRDefault="00EE5DE6" w:rsidP="00A00E34">
      <w:r>
        <w:continuationSeparator/>
      </w:r>
    </w:p>
    <w:p w14:paraId="5D810347" w14:textId="77777777" w:rsidR="00EE5DE6" w:rsidRDefault="00EE5DE6"/>
  </w:footnote>
  <w:footnote w:type="continuationNotice" w:id="1">
    <w:p w14:paraId="57FCC2A8" w14:textId="77777777" w:rsidR="00EE5DE6" w:rsidRDefault="00EE5D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8B2EC" w14:textId="00F9D07C" w:rsidR="00EE5DE6" w:rsidRDefault="00CF0B8E">
    <w:pPr>
      <w:pStyle w:val="Header"/>
    </w:pPr>
    <w:r>
      <w:rPr>
        <w:noProof/>
      </w:rPr>
      <mc:AlternateContent>
        <mc:Choice Requires="wps">
          <w:drawing>
            <wp:anchor distT="0" distB="0" distL="0" distR="0" simplePos="0" relativeHeight="251659264" behindDoc="0" locked="0" layoutInCell="1" allowOverlap="1" wp14:anchorId="0ABFD109" wp14:editId="13862CD5">
              <wp:simplePos x="635" y="635"/>
              <wp:positionH relativeFrom="leftMargin">
                <wp:align>left</wp:align>
              </wp:positionH>
              <wp:positionV relativeFrom="paragraph">
                <wp:posOffset>635</wp:posOffset>
              </wp:positionV>
              <wp:extent cx="443865" cy="443865"/>
              <wp:effectExtent l="0" t="0" r="3175" b="2540"/>
              <wp:wrapSquare wrapText="bothSides"/>
              <wp:docPr id="2" name="Text Box 2" descr="EBA Reguläre Verwendu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710E33" w14:textId="033AAB4C" w:rsidR="00CF0B8E" w:rsidRPr="00CF0B8E" w:rsidRDefault="00CF0B8E">
                          <w:pPr>
                            <w:rPr>
                              <w:rFonts w:ascii="Calibri" w:eastAsia="Calibri" w:hAnsi="Calibri" w:cs="Calibri"/>
                              <w:noProof/>
                              <w:color w:val="000000"/>
                              <w:sz w:val="24"/>
                              <w:szCs w:val="24"/>
                            </w:rPr>
                          </w:pPr>
                          <w:r>
                            <w:rPr>
                              <w:rFonts w:ascii="Calibri" w:hAnsi="Calibri"/>
                              <w:color w:val="000000"/>
                              <w:sz w:val="24"/>
                            </w:rPr>
                            <w:t>EBA Reguläre Verwendung</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ABFD109" id="_x0000_t202" coordsize="21600,21600" o:spt="202" path="m,l,21600r21600,l21600,xe">
              <v:stroke joinstyle="miter"/>
              <v:path gradientshapeok="t" o:connecttype="rect"/>
            </v:shapetype>
            <v:shape id="Text Box 2" o:spid="_x0000_s1026" type="#_x0000_t202" alt="EBA Reguläre Verwendung"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63710E33" w14:textId="033AAB4C" w:rsidR="00CF0B8E" w:rsidRPr="00CF0B8E" w:rsidRDefault="00CF0B8E">
                    <w:pPr>
                      <w:rPr>
                        <w:rFonts w:ascii="Calibri" w:eastAsia="Calibri" w:hAnsi="Calibri" w:cs="Calibri"/>
                        <w:noProof/>
                        <w:color w:val="000000"/>
                        <w:sz w:val="24"/>
                        <w:szCs w:val="24"/>
                      </w:rPr>
                    </w:pPr>
                    <w:r>
                      <w:rPr>
                        <w:rFonts w:ascii="Calibri" w:hAnsi="Calibri"/>
                        <w:color w:val="000000"/>
                        <w:sz w:val="24"/>
                      </w:rPr>
                      <w:t>EBA Reguläre Verwendung</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6C792" w14:textId="02EA7972" w:rsidR="00EE5DE6" w:rsidRDefault="00CF0B8E">
    <w:pPr>
      <w:pStyle w:val="Header"/>
    </w:pPr>
    <w:r>
      <w:rPr>
        <w:noProof/>
      </w:rPr>
      <mc:AlternateContent>
        <mc:Choice Requires="wps">
          <w:drawing>
            <wp:anchor distT="0" distB="0" distL="0" distR="0" simplePos="0" relativeHeight="251658240" behindDoc="0" locked="0" layoutInCell="1" allowOverlap="1" wp14:anchorId="7841ADB4" wp14:editId="57113CAA">
              <wp:simplePos x="635" y="635"/>
              <wp:positionH relativeFrom="leftMargin">
                <wp:align>left</wp:align>
              </wp:positionH>
              <wp:positionV relativeFrom="paragraph">
                <wp:posOffset>635</wp:posOffset>
              </wp:positionV>
              <wp:extent cx="443865" cy="443865"/>
              <wp:effectExtent l="0" t="0" r="3175" b="2540"/>
              <wp:wrapSquare wrapText="bothSides"/>
              <wp:docPr id="1" name="Text Box 1" descr="EBA Reguläre Verwendu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CDBD6C" w14:textId="64E8C075" w:rsidR="00CF0B8E" w:rsidRPr="00CF0B8E" w:rsidRDefault="00CF0B8E">
                          <w:pPr>
                            <w:rPr>
                              <w:rFonts w:ascii="Calibri" w:eastAsia="Calibri" w:hAnsi="Calibri" w:cs="Calibri"/>
                              <w:noProof/>
                              <w:color w:val="000000"/>
                              <w:sz w:val="24"/>
                              <w:szCs w:val="24"/>
                            </w:rPr>
                          </w:pPr>
                          <w:r>
                            <w:rPr>
                              <w:rFonts w:ascii="Calibri" w:hAnsi="Calibri"/>
                              <w:color w:val="000000"/>
                              <w:sz w:val="24"/>
                            </w:rPr>
                            <w:t>EBA Reguläre Verwendung</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841ADB4" id="_x0000_t202" coordsize="21600,21600" o:spt="202" path="m,l,21600r21600,l21600,xe">
              <v:stroke joinstyle="miter"/>
              <v:path gradientshapeok="t" o:connecttype="rect"/>
            </v:shapetype>
            <v:shape id="Text Box 1" o:spid="_x0000_s1027" type="#_x0000_t202" alt="EBA Reguläre Verwendung"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9CDBD6C" w14:textId="64E8C075" w:rsidR="00CF0B8E" w:rsidRPr="00CF0B8E" w:rsidRDefault="00CF0B8E">
                    <w:pPr>
                      <w:rPr>
                        <w:rFonts w:ascii="Calibri" w:eastAsia="Calibri" w:hAnsi="Calibri" w:cs="Calibri"/>
                        <w:noProof/>
                        <w:color w:val="000000"/>
                        <w:sz w:val="24"/>
                        <w:szCs w:val="24"/>
                      </w:rPr>
                    </w:pPr>
                    <w:r>
                      <w:rPr>
                        <w:rFonts w:ascii="Calibri" w:hAnsi="Calibri"/>
                        <w:color w:val="000000"/>
                        <w:sz w:val="24"/>
                      </w:rPr>
                      <w:t>EBA Reguläre Verwendung</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75920"/>
    <w:multiLevelType w:val="hybridMultilevel"/>
    <w:tmpl w:val="CA5CBCCC"/>
    <w:lvl w:ilvl="0" w:tplc="E7565B6A">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B43CB"/>
    <w:multiLevelType w:val="hybridMultilevel"/>
    <w:tmpl w:val="0B82EB28"/>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B8286D"/>
    <w:multiLevelType w:val="hybridMultilevel"/>
    <w:tmpl w:val="A5146C2E"/>
    <w:lvl w:ilvl="0" w:tplc="9B86D8EA">
      <w:start w:val="1"/>
      <w:numFmt w:val="lowerRoman"/>
      <w:lvlText w:val="%1)"/>
      <w:lvlJc w:val="left"/>
      <w:pPr>
        <w:ind w:left="1080" w:hanging="720"/>
      </w:pPr>
      <w:rPr>
        <w:rFonts w:ascii="Times New Roman" w:eastAsiaTheme="minorEastAsia"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3C78B8"/>
    <w:multiLevelType w:val="multilevel"/>
    <w:tmpl w:val="FEE42B3C"/>
    <w:name w:val="Point"/>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rPr>
        <w:rFonts w:ascii="Tahoma" w:eastAsia="Calibri" w:hAnsi="Tahoma" w:cs="Tahoma"/>
      </w:r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7" w15:restartNumberingAfterBreak="0">
    <w:nsid w:val="1C645D18"/>
    <w:multiLevelType w:val="hybridMultilevel"/>
    <w:tmpl w:val="3BE2C7B8"/>
    <w:lvl w:ilvl="0" w:tplc="D47C1E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9" w15:restartNumberingAfterBreak="0">
    <w:nsid w:val="2D4A3D6B"/>
    <w:multiLevelType w:val="hybridMultilevel"/>
    <w:tmpl w:val="AE94D732"/>
    <w:lvl w:ilvl="0" w:tplc="1B1AF91E">
      <w:start w:val="7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E71C07"/>
    <w:multiLevelType w:val="hybridMultilevel"/>
    <w:tmpl w:val="FD740008"/>
    <w:lvl w:ilvl="0" w:tplc="93DCFC44">
      <w:start w:val="1"/>
      <w:numFmt w:val="lowerLetter"/>
      <w:lvlText w:val="%1)"/>
      <w:lvlJc w:val="left"/>
      <w:pPr>
        <w:ind w:left="144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057CB8"/>
    <w:multiLevelType w:val="hybridMultilevel"/>
    <w:tmpl w:val="FCDC3A38"/>
    <w:lvl w:ilvl="0" w:tplc="236EA62C">
      <w:start w:val="1"/>
      <w:numFmt w:val="decimal"/>
      <w:lvlText w:val="%1."/>
      <w:lvlJc w:val="left"/>
      <w:pPr>
        <w:ind w:left="1353" w:hanging="360"/>
      </w:pPr>
      <w:rPr>
        <w:rFonts w:cs="Times New Roman"/>
      </w:rPr>
    </w:lvl>
    <w:lvl w:ilvl="1" w:tplc="D3A645FC">
      <w:start w:val="1"/>
      <w:numFmt w:val="lowerLetter"/>
      <w:lvlText w:val="%2)"/>
      <w:lvlJc w:val="left"/>
      <w:pPr>
        <w:ind w:left="1440" w:hanging="360"/>
      </w:pPr>
      <w:rPr>
        <w:rFonts w:ascii="Times New Roman" w:eastAsia="Times New Roman" w:hAnsi="Times New Roman" w:cs="Times New Roman"/>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12" w15:restartNumberingAfterBreak="0">
    <w:nsid w:val="36686A3D"/>
    <w:multiLevelType w:val="hybridMultilevel"/>
    <w:tmpl w:val="F92E0946"/>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DE03EB"/>
    <w:multiLevelType w:val="hybridMultilevel"/>
    <w:tmpl w:val="67A836AC"/>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BC57A9"/>
    <w:multiLevelType w:val="hybridMultilevel"/>
    <w:tmpl w:val="42E0F2FC"/>
    <w:lvl w:ilvl="0" w:tplc="9AF65EF2">
      <w:start w:val="1"/>
      <w:numFmt w:val="decimal"/>
      <w:lvlText w:val="%1."/>
      <w:lvlJc w:val="left"/>
      <w:pPr>
        <w:ind w:left="720" w:hanging="360"/>
      </w:pPr>
      <w:rPr>
        <w:rFonts w:hint="default"/>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7D7471F"/>
    <w:multiLevelType w:val="hybridMultilevel"/>
    <w:tmpl w:val="5EDEBE54"/>
    <w:lvl w:ilvl="0" w:tplc="B40E2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227369"/>
    <w:multiLevelType w:val="hybridMultilevel"/>
    <w:tmpl w:val="8E7A791A"/>
    <w:lvl w:ilvl="0" w:tplc="4A2A8390">
      <w:start w:val="1"/>
      <w:numFmt w:val="decimal"/>
      <w:pStyle w:val="numberedparagraph"/>
      <w:lvlText w:val="%1."/>
      <w:lvlJc w:val="left"/>
      <w:pPr>
        <w:tabs>
          <w:tab w:val="num" w:pos="710"/>
        </w:tabs>
        <w:ind w:left="710" w:hanging="284"/>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66CA2C8C"/>
    <w:multiLevelType w:val="hybridMultilevel"/>
    <w:tmpl w:val="5BF2CFE0"/>
    <w:lvl w:ilvl="0" w:tplc="4BB6D85C">
      <w:start w:val="1"/>
      <w:numFmt w:val="decimal"/>
      <w:pStyle w:val="Instructionsberschrift2"/>
      <w:lvlText w:val="%1.1"/>
      <w:lvlJc w:val="left"/>
      <w:pPr>
        <w:ind w:left="7307" w:hanging="360"/>
      </w:pPr>
      <w:rPr>
        <w:rFonts w:cs="Times New Roman" w:hint="default"/>
      </w:rPr>
    </w:lvl>
    <w:lvl w:ilvl="1" w:tplc="E7565B6A">
      <w:start w:val="1"/>
      <w:numFmt w:val="lowerLetter"/>
      <w:lvlText w:val="%2."/>
      <w:lvlJc w:val="left"/>
      <w:pPr>
        <w:ind w:left="8027" w:hanging="360"/>
      </w:pPr>
      <w:rPr>
        <w:rFonts w:cs="Times New Roman"/>
      </w:rPr>
    </w:lvl>
    <w:lvl w:ilvl="2" w:tplc="67A6A44A" w:tentative="1">
      <w:start w:val="1"/>
      <w:numFmt w:val="lowerRoman"/>
      <w:lvlText w:val="%3."/>
      <w:lvlJc w:val="right"/>
      <w:pPr>
        <w:ind w:left="8747" w:hanging="180"/>
      </w:pPr>
      <w:rPr>
        <w:rFonts w:cs="Times New Roman"/>
      </w:rPr>
    </w:lvl>
    <w:lvl w:ilvl="3" w:tplc="21C6EF3C" w:tentative="1">
      <w:start w:val="1"/>
      <w:numFmt w:val="decimal"/>
      <w:lvlText w:val="%4."/>
      <w:lvlJc w:val="left"/>
      <w:pPr>
        <w:ind w:left="9467" w:hanging="360"/>
      </w:pPr>
      <w:rPr>
        <w:rFonts w:cs="Times New Roman"/>
      </w:rPr>
    </w:lvl>
    <w:lvl w:ilvl="4" w:tplc="6C185750" w:tentative="1">
      <w:start w:val="1"/>
      <w:numFmt w:val="lowerLetter"/>
      <w:lvlText w:val="%5."/>
      <w:lvlJc w:val="left"/>
      <w:pPr>
        <w:ind w:left="10187" w:hanging="360"/>
      </w:pPr>
      <w:rPr>
        <w:rFonts w:cs="Times New Roman"/>
      </w:rPr>
    </w:lvl>
    <w:lvl w:ilvl="5" w:tplc="FA46F0F4" w:tentative="1">
      <w:start w:val="1"/>
      <w:numFmt w:val="lowerRoman"/>
      <w:lvlText w:val="%6."/>
      <w:lvlJc w:val="right"/>
      <w:pPr>
        <w:ind w:left="10907" w:hanging="180"/>
      </w:pPr>
      <w:rPr>
        <w:rFonts w:cs="Times New Roman"/>
      </w:rPr>
    </w:lvl>
    <w:lvl w:ilvl="6" w:tplc="84CCF45A" w:tentative="1">
      <w:start w:val="1"/>
      <w:numFmt w:val="decimal"/>
      <w:lvlText w:val="%7."/>
      <w:lvlJc w:val="left"/>
      <w:pPr>
        <w:ind w:left="11627" w:hanging="360"/>
      </w:pPr>
      <w:rPr>
        <w:rFonts w:cs="Times New Roman"/>
      </w:rPr>
    </w:lvl>
    <w:lvl w:ilvl="7" w:tplc="E2FA2386" w:tentative="1">
      <w:start w:val="1"/>
      <w:numFmt w:val="lowerLetter"/>
      <w:lvlText w:val="%8."/>
      <w:lvlJc w:val="left"/>
      <w:pPr>
        <w:ind w:left="12347" w:hanging="360"/>
      </w:pPr>
      <w:rPr>
        <w:rFonts w:cs="Times New Roman"/>
      </w:rPr>
    </w:lvl>
    <w:lvl w:ilvl="8" w:tplc="1E3AE066" w:tentative="1">
      <w:start w:val="1"/>
      <w:numFmt w:val="lowerRoman"/>
      <w:lvlText w:val="%9."/>
      <w:lvlJc w:val="right"/>
      <w:pPr>
        <w:ind w:left="13067" w:hanging="180"/>
      </w:pPr>
      <w:rPr>
        <w:rFonts w:cs="Times New Roman"/>
      </w:rPr>
    </w:lvl>
  </w:abstractNum>
  <w:abstractNum w:abstractNumId="20" w15:restartNumberingAfterBreak="0">
    <w:nsid w:val="6A4767C0"/>
    <w:multiLevelType w:val="hybridMultilevel"/>
    <w:tmpl w:val="06983DA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80"/>
        </w:tabs>
        <w:ind w:left="-180" w:hanging="360"/>
      </w:pPr>
    </w:lvl>
    <w:lvl w:ilvl="2" w:tplc="0809001B" w:tentative="1">
      <w:start w:val="1"/>
      <w:numFmt w:val="lowerRoman"/>
      <w:lvlText w:val="%3."/>
      <w:lvlJc w:val="right"/>
      <w:pPr>
        <w:tabs>
          <w:tab w:val="num" w:pos="540"/>
        </w:tabs>
        <w:ind w:left="540" w:hanging="180"/>
      </w:pPr>
    </w:lvl>
    <w:lvl w:ilvl="3" w:tplc="0809000F" w:tentative="1">
      <w:start w:val="1"/>
      <w:numFmt w:val="decimal"/>
      <w:lvlText w:val="%4."/>
      <w:lvlJc w:val="left"/>
      <w:pPr>
        <w:tabs>
          <w:tab w:val="num" w:pos="1260"/>
        </w:tabs>
        <w:ind w:left="1260" w:hanging="360"/>
      </w:pPr>
    </w:lvl>
    <w:lvl w:ilvl="4" w:tplc="08090019" w:tentative="1">
      <w:start w:val="1"/>
      <w:numFmt w:val="lowerLetter"/>
      <w:lvlText w:val="%5."/>
      <w:lvlJc w:val="left"/>
      <w:pPr>
        <w:tabs>
          <w:tab w:val="num" w:pos="1980"/>
        </w:tabs>
        <w:ind w:left="1980" w:hanging="360"/>
      </w:pPr>
    </w:lvl>
    <w:lvl w:ilvl="5" w:tplc="0809001B" w:tentative="1">
      <w:start w:val="1"/>
      <w:numFmt w:val="lowerRoman"/>
      <w:lvlText w:val="%6."/>
      <w:lvlJc w:val="right"/>
      <w:pPr>
        <w:tabs>
          <w:tab w:val="num" w:pos="2700"/>
        </w:tabs>
        <w:ind w:left="2700" w:hanging="180"/>
      </w:pPr>
    </w:lvl>
    <w:lvl w:ilvl="6" w:tplc="0809000F" w:tentative="1">
      <w:start w:val="1"/>
      <w:numFmt w:val="decimal"/>
      <w:lvlText w:val="%7."/>
      <w:lvlJc w:val="left"/>
      <w:pPr>
        <w:tabs>
          <w:tab w:val="num" w:pos="3420"/>
        </w:tabs>
        <w:ind w:left="3420" w:hanging="360"/>
      </w:pPr>
    </w:lvl>
    <w:lvl w:ilvl="7" w:tplc="08090019" w:tentative="1">
      <w:start w:val="1"/>
      <w:numFmt w:val="lowerLetter"/>
      <w:lvlText w:val="%8."/>
      <w:lvlJc w:val="left"/>
      <w:pPr>
        <w:tabs>
          <w:tab w:val="num" w:pos="4140"/>
        </w:tabs>
        <w:ind w:left="4140" w:hanging="360"/>
      </w:pPr>
    </w:lvl>
    <w:lvl w:ilvl="8" w:tplc="0809001B" w:tentative="1">
      <w:start w:val="1"/>
      <w:numFmt w:val="lowerRoman"/>
      <w:lvlText w:val="%9."/>
      <w:lvlJc w:val="right"/>
      <w:pPr>
        <w:tabs>
          <w:tab w:val="num" w:pos="4860"/>
        </w:tabs>
        <w:ind w:left="4860" w:hanging="180"/>
      </w:pPr>
    </w:lvl>
  </w:abstractNum>
  <w:abstractNum w:abstractNumId="21" w15:restartNumberingAfterBreak="0">
    <w:nsid w:val="6BCD57BB"/>
    <w:multiLevelType w:val="multilevel"/>
    <w:tmpl w:val="F60CCED6"/>
    <w:lvl w:ilvl="0">
      <w:start w:val="1"/>
      <w:numFmt w:val="decimal"/>
      <w:lvlText w:val="%1."/>
      <w:lvlJc w:val="left"/>
      <w:pPr>
        <w:ind w:left="0" w:firstLine="0"/>
      </w:pPr>
      <w:rPr>
        <w:rFonts w:asciiTheme="majorHAnsi" w:hAnsiTheme="majorHAnsi"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2"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F734B1"/>
    <w:multiLevelType w:val="hybridMultilevel"/>
    <w:tmpl w:val="C010D24A"/>
    <w:lvl w:ilvl="0" w:tplc="E9A4E938">
      <w:start w:val="1"/>
      <w:numFmt w:val="lowerRoman"/>
      <w:lvlText w:val="%1)"/>
      <w:lvlJc w:val="left"/>
      <w:pPr>
        <w:ind w:left="1080" w:hanging="720"/>
      </w:pPr>
      <w:rPr>
        <w:rFonts w:ascii="Times New Roman" w:eastAsiaTheme="minorEastAsia"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9205749">
    <w:abstractNumId w:val="16"/>
  </w:num>
  <w:num w:numId="2" w16cid:durableId="1184441859">
    <w:abstractNumId w:val="3"/>
  </w:num>
  <w:num w:numId="3" w16cid:durableId="1028918299">
    <w:abstractNumId w:val="13"/>
  </w:num>
  <w:num w:numId="4" w16cid:durableId="776296339">
    <w:abstractNumId w:val="22"/>
  </w:num>
  <w:num w:numId="5" w16cid:durableId="750153091">
    <w:abstractNumId w:val="1"/>
  </w:num>
  <w:num w:numId="6" w16cid:durableId="336813224">
    <w:abstractNumId w:val="21"/>
  </w:num>
  <w:num w:numId="7" w16cid:durableId="465779702">
    <w:abstractNumId w:val="18"/>
  </w:num>
  <w:num w:numId="8" w16cid:durableId="663163219">
    <w:abstractNumId w:val="0"/>
  </w:num>
  <w:num w:numId="9" w16cid:durableId="1917978329">
    <w:abstractNumId w:val="8"/>
  </w:num>
  <w:num w:numId="10" w16cid:durableId="353311820">
    <w:abstractNumId w:val="23"/>
  </w:num>
  <w:num w:numId="11" w16cid:durableId="6709576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785784">
    <w:abstractNumId w:val="15"/>
  </w:num>
  <w:num w:numId="13" w16cid:durableId="1831798045">
    <w:abstractNumId w:val="20"/>
  </w:num>
  <w:num w:numId="14" w16cid:durableId="1121650833">
    <w:abstractNumId w:val="19"/>
  </w:num>
  <w:num w:numId="15" w16cid:durableId="1026759010">
    <w:abstractNumId w:val="11"/>
  </w:num>
  <w:num w:numId="16" w16cid:durableId="826094156">
    <w:abstractNumId w:val="9"/>
  </w:num>
  <w:num w:numId="17" w16cid:durableId="1348865239">
    <w:abstractNumId w:val="17"/>
  </w:num>
  <w:num w:numId="18" w16cid:durableId="1335106368">
    <w:abstractNumId w:val="7"/>
  </w:num>
  <w:num w:numId="19" w16cid:durableId="227693673">
    <w:abstractNumId w:val="11"/>
  </w:num>
  <w:num w:numId="20" w16cid:durableId="748769138">
    <w:abstractNumId w:val="11"/>
  </w:num>
  <w:num w:numId="21" w16cid:durableId="935597942">
    <w:abstractNumId w:val="2"/>
  </w:num>
  <w:num w:numId="22" w16cid:durableId="1734306422">
    <w:abstractNumId w:val="5"/>
  </w:num>
  <w:num w:numId="23" w16cid:durableId="451824100">
    <w:abstractNumId w:val="14"/>
  </w:num>
  <w:num w:numId="24" w16cid:durableId="398483654">
    <w:abstractNumId w:val="12"/>
  </w:num>
  <w:num w:numId="25" w16cid:durableId="818500383">
    <w:abstractNumId w:val="4"/>
  </w:num>
  <w:num w:numId="26" w16cid:durableId="1235430350">
    <w:abstractNumId w:val="11"/>
  </w:num>
  <w:num w:numId="27" w16cid:durableId="1326936538">
    <w:abstractNumId w:val="11"/>
  </w:num>
  <w:num w:numId="28" w16cid:durableId="1637417445">
    <w:abstractNumId w:val="11"/>
  </w:num>
  <w:num w:numId="29" w16cid:durableId="1921674367">
    <w:abstractNumId w:val="11"/>
  </w:num>
  <w:num w:numId="30" w16cid:durableId="1001541118">
    <w:abstractNumId w:val="11"/>
  </w:num>
  <w:num w:numId="31" w16cid:durableId="243297301">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BE" w:vendorID="64" w:dllVersion="0" w:nlCheck="1" w:checkStyle="0"/>
  <w:activeWritingStyle w:appName="MSWord" w:lang="de-DE" w:vendorID="64" w:dllVersion="0" w:nlCheck="1" w:checkStyle="0"/>
  <w:proofState w:spelling="clean" w:grammar="clean"/>
  <w:defaultTabStop w:val="720"/>
  <w:hyphenationZone w:val="283"/>
  <w:drawingGridHorizontalSpacing w:val="360"/>
  <w:drawingGridVerticalSpacing w:val="360"/>
  <w:displayHorizontalDrawingGridEvery w:val="0"/>
  <w:displayVerticalDrawingGridEvery w:val="0"/>
  <w:characterSpacingControl w:val="doNotCompress"/>
  <w:hdrShapeDefaults>
    <o:shapedefaults v:ext="edit" spidmax="188417"/>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R_RefLast" w:val="0"/>
    <w:docVar w:name="LW_DocType" w:val="EBA GL-REC 20XX XX (FINAL GLS-REC ON"/>
  </w:docVars>
  <w:rsids>
    <w:rsidRoot w:val="006307A5"/>
    <w:rsid w:val="00000DE2"/>
    <w:rsid w:val="00001873"/>
    <w:rsid w:val="00002ED7"/>
    <w:rsid w:val="00003F50"/>
    <w:rsid w:val="00004389"/>
    <w:rsid w:val="0000671C"/>
    <w:rsid w:val="000115C7"/>
    <w:rsid w:val="000121E8"/>
    <w:rsid w:val="0001312A"/>
    <w:rsid w:val="00013281"/>
    <w:rsid w:val="000145DB"/>
    <w:rsid w:val="00015DE4"/>
    <w:rsid w:val="0001617D"/>
    <w:rsid w:val="0002022F"/>
    <w:rsid w:val="00021902"/>
    <w:rsid w:val="00021E4F"/>
    <w:rsid w:val="00022F5A"/>
    <w:rsid w:val="000231B7"/>
    <w:rsid w:val="00023BE0"/>
    <w:rsid w:val="00026E75"/>
    <w:rsid w:val="00026FC1"/>
    <w:rsid w:val="00027CA0"/>
    <w:rsid w:val="00030D65"/>
    <w:rsid w:val="000360DE"/>
    <w:rsid w:val="00036DB1"/>
    <w:rsid w:val="00037C74"/>
    <w:rsid w:val="00037D40"/>
    <w:rsid w:val="00040129"/>
    <w:rsid w:val="000445F0"/>
    <w:rsid w:val="000457FD"/>
    <w:rsid w:val="00045B67"/>
    <w:rsid w:val="000602F0"/>
    <w:rsid w:val="00060F40"/>
    <w:rsid w:val="000611BF"/>
    <w:rsid w:val="00062830"/>
    <w:rsid w:val="00062937"/>
    <w:rsid w:val="00066A9A"/>
    <w:rsid w:val="00070882"/>
    <w:rsid w:val="000774B3"/>
    <w:rsid w:val="00083C33"/>
    <w:rsid w:val="000843CD"/>
    <w:rsid w:val="00085838"/>
    <w:rsid w:val="0008623B"/>
    <w:rsid w:val="00097F01"/>
    <w:rsid w:val="000A1C81"/>
    <w:rsid w:val="000A2295"/>
    <w:rsid w:val="000A2565"/>
    <w:rsid w:val="000A375E"/>
    <w:rsid w:val="000A3851"/>
    <w:rsid w:val="000A53C4"/>
    <w:rsid w:val="000A553F"/>
    <w:rsid w:val="000B1645"/>
    <w:rsid w:val="000B1CB3"/>
    <w:rsid w:val="000B22D4"/>
    <w:rsid w:val="000B3C02"/>
    <w:rsid w:val="000B47A2"/>
    <w:rsid w:val="000B4D72"/>
    <w:rsid w:val="000B51DB"/>
    <w:rsid w:val="000C0577"/>
    <w:rsid w:val="000C2E1B"/>
    <w:rsid w:val="000C3B9F"/>
    <w:rsid w:val="000C5255"/>
    <w:rsid w:val="000C5A8A"/>
    <w:rsid w:val="000C6F8C"/>
    <w:rsid w:val="000C74DC"/>
    <w:rsid w:val="000C7FD8"/>
    <w:rsid w:val="000D0E56"/>
    <w:rsid w:val="000D19EC"/>
    <w:rsid w:val="000D1FC3"/>
    <w:rsid w:val="000D7A44"/>
    <w:rsid w:val="000E0614"/>
    <w:rsid w:val="000E0C27"/>
    <w:rsid w:val="000E4902"/>
    <w:rsid w:val="000E4D2F"/>
    <w:rsid w:val="000E5B26"/>
    <w:rsid w:val="000E6ABB"/>
    <w:rsid w:val="000E6D15"/>
    <w:rsid w:val="000E7BBF"/>
    <w:rsid w:val="000F33D3"/>
    <w:rsid w:val="000F3E72"/>
    <w:rsid w:val="000F5992"/>
    <w:rsid w:val="000F607B"/>
    <w:rsid w:val="000F6495"/>
    <w:rsid w:val="000F6FD8"/>
    <w:rsid w:val="0010098C"/>
    <w:rsid w:val="00101B32"/>
    <w:rsid w:val="00102896"/>
    <w:rsid w:val="00103DB7"/>
    <w:rsid w:val="001061FA"/>
    <w:rsid w:val="0011007A"/>
    <w:rsid w:val="00111034"/>
    <w:rsid w:val="001142F6"/>
    <w:rsid w:val="0011517F"/>
    <w:rsid w:val="00121BB0"/>
    <w:rsid w:val="00121E46"/>
    <w:rsid w:val="0012686C"/>
    <w:rsid w:val="001300F0"/>
    <w:rsid w:val="0013022F"/>
    <w:rsid w:val="0013090C"/>
    <w:rsid w:val="00131C5D"/>
    <w:rsid w:val="00134FA4"/>
    <w:rsid w:val="001358FD"/>
    <w:rsid w:val="00136D98"/>
    <w:rsid w:val="00141B74"/>
    <w:rsid w:val="00142DF6"/>
    <w:rsid w:val="00145255"/>
    <w:rsid w:val="00145D24"/>
    <w:rsid w:val="00150101"/>
    <w:rsid w:val="001515F1"/>
    <w:rsid w:val="00152832"/>
    <w:rsid w:val="00154596"/>
    <w:rsid w:val="001600FC"/>
    <w:rsid w:val="0016339F"/>
    <w:rsid w:val="001651F7"/>
    <w:rsid w:val="0016737A"/>
    <w:rsid w:val="00170316"/>
    <w:rsid w:val="00170DA1"/>
    <w:rsid w:val="00172007"/>
    <w:rsid w:val="001736AB"/>
    <w:rsid w:val="001741D6"/>
    <w:rsid w:val="0017446F"/>
    <w:rsid w:val="00177CB9"/>
    <w:rsid w:val="0018025F"/>
    <w:rsid w:val="001834D4"/>
    <w:rsid w:val="00185F8E"/>
    <w:rsid w:val="0018755F"/>
    <w:rsid w:val="00187B95"/>
    <w:rsid w:val="00192287"/>
    <w:rsid w:val="00193B9E"/>
    <w:rsid w:val="00195025"/>
    <w:rsid w:val="001A016C"/>
    <w:rsid w:val="001A2A81"/>
    <w:rsid w:val="001A5BD4"/>
    <w:rsid w:val="001A70A8"/>
    <w:rsid w:val="001A79EE"/>
    <w:rsid w:val="001A7C5B"/>
    <w:rsid w:val="001B2C0D"/>
    <w:rsid w:val="001B350C"/>
    <w:rsid w:val="001B5DB5"/>
    <w:rsid w:val="001B6017"/>
    <w:rsid w:val="001B7A0B"/>
    <w:rsid w:val="001B7EB3"/>
    <w:rsid w:val="001C19B7"/>
    <w:rsid w:val="001C1FD9"/>
    <w:rsid w:val="001C5BC2"/>
    <w:rsid w:val="001C7800"/>
    <w:rsid w:val="001D0179"/>
    <w:rsid w:val="001D2F20"/>
    <w:rsid w:val="001D5361"/>
    <w:rsid w:val="001D5616"/>
    <w:rsid w:val="001D5620"/>
    <w:rsid w:val="001E0DA8"/>
    <w:rsid w:val="001E1188"/>
    <w:rsid w:val="001E1FDE"/>
    <w:rsid w:val="001E2C89"/>
    <w:rsid w:val="001E3599"/>
    <w:rsid w:val="001F1CB9"/>
    <w:rsid w:val="001F4C02"/>
    <w:rsid w:val="001F4CE8"/>
    <w:rsid w:val="001F7501"/>
    <w:rsid w:val="001F75A3"/>
    <w:rsid w:val="001F7EB8"/>
    <w:rsid w:val="00205878"/>
    <w:rsid w:val="00213065"/>
    <w:rsid w:val="002138F0"/>
    <w:rsid w:val="00213D7B"/>
    <w:rsid w:val="00214DEC"/>
    <w:rsid w:val="00214E35"/>
    <w:rsid w:val="00216E68"/>
    <w:rsid w:val="002216A2"/>
    <w:rsid w:val="00223B7E"/>
    <w:rsid w:val="00224761"/>
    <w:rsid w:val="00224A3F"/>
    <w:rsid w:val="00224D96"/>
    <w:rsid w:val="002306C7"/>
    <w:rsid w:val="00230A15"/>
    <w:rsid w:val="00232344"/>
    <w:rsid w:val="0023278E"/>
    <w:rsid w:val="00241BD8"/>
    <w:rsid w:val="0024295D"/>
    <w:rsid w:val="002432DE"/>
    <w:rsid w:val="002434B0"/>
    <w:rsid w:val="002461BD"/>
    <w:rsid w:val="002462A7"/>
    <w:rsid w:val="00247621"/>
    <w:rsid w:val="00247AB7"/>
    <w:rsid w:val="00253125"/>
    <w:rsid w:val="00254CA9"/>
    <w:rsid w:val="00254DFD"/>
    <w:rsid w:val="0026239C"/>
    <w:rsid w:val="00264555"/>
    <w:rsid w:val="002645B6"/>
    <w:rsid w:val="00264EA5"/>
    <w:rsid w:val="00266F94"/>
    <w:rsid w:val="0027418E"/>
    <w:rsid w:val="002767AA"/>
    <w:rsid w:val="002814F8"/>
    <w:rsid w:val="00281891"/>
    <w:rsid w:val="00282ED2"/>
    <w:rsid w:val="00285E97"/>
    <w:rsid w:val="002907FA"/>
    <w:rsid w:val="00290A9D"/>
    <w:rsid w:val="00290DA3"/>
    <w:rsid w:val="002924A2"/>
    <w:rsid w:val="002928F8"/>
    <w:rsid w:val="00295727"/>
    <w:rsid w:val="00297816"/>
    <w:rsid w:val="002A065A"/>
    <w:rsid w:val="002A0FF0"/>
    <w:rsid w:val="002A1CB5"/>
    <w:rsid w:val="002A34A3"/>
    <w:rsid w:val="002A3A19"/>
    <w:rsid w:val="002A5117"/>
    <w:rsid w:val="002A5279"/>
    <w:rsid w:val="002B6AA3"/>
    <w:rsid w:val="002B71D4"/>
    <w:rsid w:val="002B7668"/>
    <w:rsid w:val="002C0DCF"/>
    <w:rsid w:val="002D0461"/>
    <w:rsid w:val="002D1867"/>
    <w:rsid w:val="002D724B"/>
    <w:rsid w:val="002E1FC7"/>
    <w:rsid w:val="002E32D3"/>
    <w:rsid w:val="002E3F40"/>
    <w:rsid w:val="002E4D38"/>
    <w:rsid w:val="002E6355"/>
    <w:rsid w:val="002F2009"/>
    <w:rsid w:val="002F3554"/>
    <w:rsid w:val="002F47AF"/>
    <w:rsid w:val="00300924"/>
    <w:rsid w:val="003025A8"/>
    <w:rsid w:val="00306345"/>
    <w:rsid w:val="00306F09"/>
    <w:rsid w:val="00310603"/>
    <w:rsid w:val="003129B6"/>
    <w:rsid w:val="00313D08"/>
    <w:rsid w:val="003149FA"/>
    <w:rsid w:val="00314D6E"/>
    <w:rsid w:val="00315264"/>
    <w:rsid w:val="00320E57"/>
    <w:rsid w:val="003221EF"/>
    <w:rsid w:val="00322C23"/>
    <w:rsid w:val="003248A2"/>
    <w:rsid w:val="00324A6D"/>
    <w:rsid w:val="00325425"/>
    <w:rsid w:val="0032589A"/>
    <w:rsid w:val="003306DD"/>
    <w:rsid w:val="00330C6C"/>
    <w:rsid w:val="003312F4"/>
    <w:rsid w:val="00331959"/>
    <w:rsid w:val="00334BA5"/>
    <w:rsid w:val="00335F4B"/>
    <w:rsid w:val="00336FAF"/>
    <w:rsid w:val="0034127D"/>
    <w:rsid w:val="00341FB2"/>
    <w:rsid w:val="00346BC4"/>
    <w:rsid w:val="00350D0D"/>
    <w:rsid w:val="00351057"/>
    <w:rsid w:val="00352220"/>
    <w:rsid w:val="0035477B"/>
    <w:rsid w:val="00355C4C"/>
    <w:rsid w:val="003604AA"/>
    <w:rsid w:val="00362F08"/>
    <w:rsid w:val="00364AD2"/>
    <w:rsid w:val="003651A6"/>
    <w:rsid w:val="00365358"/>
    <w:rsid w:val="00367DF1"/>
    <w:rsid w:val="003705AC"/>
    <w:rsid w:val="00371481"/>
    <w:rsid w:val="0037295D"/>
    <w:rsid w:val="00372BEC"/>
    <w:rsid w:val="00376814"/>
    <w:rsid w:val="00385DE1"/>
    <w:rsid w:val="00386F82"/>
    <w:rsid w:val="003909DE"/>
    <w:rsid w:val="003913ED"/>
    <w:rsid w:val="00392385"/>
    <w:rsid w:val="0039300A"/>
    <w:rsid w:val="003946D4"/>
    <w:rsid w:val="003956D6"/>
    <w:rsid w:val="00396053"/>
    <w:rsid w:val="00397B7E"/>
    <w:rsid w:val="003A0F02"/>
    <w:rsid w:val="003A2580"/>
    <w:rsid w:val="003A2BF5"/>
    <w:rsid w:val="003A4578"/>
    <w:rsid w:val="003A4F6C"/>
    <w:rsid w:val="003B30F3"/>
    <w:rsid w:val="003B6A5A"/>
    <w:rsid w:val="003B6D48"/>
    <w:rsid w:val="003C0C1E"/>
    <w:rsid w:val="003C10CA"/>
    <w:rsid w:val="003C3E07"/>
    <w:rsid w:val="003C527B"/>
    <w:rsid w:val="003D01F8"/>
    <w:rsid w:val="003D0BF6"/>
    <w:rsid w:val="003D116C"/>
    <w:rsid w:val="003D263E"/>
    <w:rsid w:val="003D2D85"/>
    <w:rsid w:val="003D6072"/>
    <w:rsid w:val="003D6E27"/>
    <w:rsid w:val="003D7A72"/>
    <w:rsid w:val="003D7D9F"/>
    <w:rsid w:val="003E318D"/>
    <w:rsid w:val="003E4086"/>
    <w:rsid w:val="003E4404"/>
    <w:rsid w:val="003F5FDC"/>
    <w:rsid w:val="00401EDD"/>
    <w:rsid w:val="0040501C"/>
    <w:rsid w:val="00406F30"/>
    <w:rsid w:val="00407DCE"/>
    <w:rsid w:val="00410769"/>
    <w:rsid w:val="00412567"/>
    <w:rsid w:val="00413CCD"/>
    <w:rsid w:val="004172D1"/>
    <w:rsid w:val="004172D6"/>
    <w:rsid w:val="00421B3A"/>
    <w:rsid w:val="00422C16"/>
    <w:rsid w:val="00424530"/>
    <w:rsid w:val="0043577F"/>
    <w:rsid w:val="0043584F"/>
    <w:rsid w:val="0043675A"/>
    <w:rsid w:val="004372C4"/>
    <w:rsid w:val="00440D98"/>
    <w:rsid w:val="00441F85"/>
    <w:rsid w:val="004421C3"/>
    <w:rsid w:val="00447BBE"/>
    <w:rsid w:val="00452468"/>
    <w:rsid w:val="0045301B"/>
    <w:rsid w:val="00453020"/>
    <w:rsid w:val="004541F3"/>
    <w:rsid w:val="00455CD2"/>
    <w:rsid w:val="00455E0E"/>
    <w:rsid w:val="00455F54"/>
    <w:rsid w:val="004657A7"/>
    <w:rsid w:val="00466C09"/>
    <w:rsid w:val="004719B4"/>
    <w:rsid w:val="00471CA1"/>
    <w:rsid w:val="00471CCE"/>
    <w:rsid w:val="004730A0"/>
    <w:rsid w:val="0047368B"/>
    <w:rsid w:val="00475770"/>
    <w:rsid w:val="004806FA"/>
    <w:rsid w:val="00480FBC"/>
    <w:rsid w:val="00481540"/>
    <w:rsid w:val="00481AC4"/>
    <w:rsid w:val="004825E8"/>
    <w:rsid w:val="00482FB6"/>
    <w:rsid w:val="004871EA"/>
    <w:rsid w:val="0048795F"/>
    <w:rsid w:val="00487D7F"/>
    <w:rsid w:val="004955E7"/>
    <w:rsid w:val="0049781D"/>
    <w:rsid w:val="00497CEA"/>
    <w:rsid w:val="004A008C"/>
    <w:rsid w:val="004A2984"/>
    <w:rsid w:val="004A5B8D"/>
    <w:rsid w:val="004A5D8B"/>
    <w:rsid w:val="004A7656"/>
    <w:rsid w:val="004B1382"/>
    <w:rsid w:val="004B2FC0"/>
    <w:rsid w:val="004B3067"/>
    <w:rsid w:val="004B7784"/>
    <w:rsid w:val="004C1B19"/>
    <w:rsid w:val="004C320A"/>
    <w:rsid w:val="004C6392"/>
    <w:rsid w:val="004C7EBE"/>
    <w:rsid w:val="004D09C0"/>
    <w:rsid w:val="004D3523"/>
    <w:rsid w:val="004D509A"/>
    <w:rsid w:val="004D7668"/>
    <w:rsid w:val="004E0D97"/>
    <w:rsid w:val="004E3901"/>
    <w:rsid w:val="004E405B"/>
    <w:rsid w:val="004E5F86"/>
    <w:rsid w:val="004E6DCC"/>
    <w:rsid w:val="004F0AB6"/>
    <w:rsid w:val="004F2D8A"/>
    <w:rsid w:val="004F63DB"/>
    <w:rsid w:val="004F7817"/>
    <w:rsid w:val="0050071E"/>
    <w:rsid w:val="00501097"/>
    <w:rsid w:val="00503590"/>
    <w:rsid w:val="00505C64"/>
    <w:rsid w:val="005105EF"/>
    <w:rsid w:val="00510C0E"/>
    <w:rsid w:val="00516561"/>
    <w:rsid w:val="005177B5"/>
    <w:rsid w:val="005202C1"/>
    <w:rsid w:val="00522875"/>
    <w:rsid w:val="00522E99"/>
    <w:rsid w:val="00523895"/>
    <w:rsid w:val="0053035C"/>
    <w:rsid w:val="00531879"/>
    <w:rsid w:val="00537D0F"/>
    <w:rsid w:val="005410AB"/>
    <w:rsid w:val="00542965"/>
    <w:rsid w:val="0054335F"/>
    <w:rsid w:val="00543A44"/>
    <w:rsid w:val="005445E6"/>
    <w:rsid w:val="00547B2E"/>
    <w:rsid w:val="00547EE4"/>
    <w:rsid w:val="00552ECB"/>
    <w:rsid w:val="00557BAA"/>
    <w:rsid w:val="00560736"/>
    <w:rsid w:val="00562A39"/>
    <w:rsid w:val="00563C8D"/>
    <w:rsid w:val="00565691"/>
    <w:rsid w:val="00565C4E"/>
    <w:rsid w:val="005673AC"/>
    <w:rsid w:val="00571ACB"/>
    <w:rsid w:val="00571BB6"/>
    <w:rsid w:val="005723E4"/>
    <w:rsid w:val="0057596B"/>
    <w:rsid w:val="00575BA7"/>
    <w:rsid w:val="00582AA7"/>
    <w:rsid w:val="0058477C"/>
    <w:rsid w:val="00584E53"/>
    <w:rsid w:val="00584E70"/>
    <w:rsid w:val="0058568F"/>
    <w:rsid w:val="00585921"/>
    <w:rsid w:val="0059058A"/>
    <w:rsid w:val="00591101"/>
    <w:rsid w:val="00593D83"/>
    <w:rsid w:val="00595DC1"/>
    <w:rsid w:val="00597146"/>
    <w:rsid w:val="00597386"/>
    <w:rsid w:val="00597933"/>
    <w:rsid w:val="005A06E1"/>
    <w:rsid w:val="005A4EA0"/>
    <w:rsid w:val="005A6911"/>
    <w:rsid w:val="005A70AE"/>
    <w:rsid w:val="005A75A5"/>
    <w:rsid w:val="005B1FEA"/>
    <w:rsid w:val="005B31FE"/>
    <w:rsid w:val="005B33E7"/>
    <w:rsid w:val="005B465F"/>
    <w:rsid w:val="005B4A4C"/>
    <w:rsid w:val="005B5C09"/>
    <w:rsid w:val="005B627B"/>
    <w:rsid w:val="005B765F"/>
    <w:rsid w:val="005B7D63"/>
    <w:rsid w:val="005C1F5E"/>
    <w:rsid w:val="005C2EE0"/>
    <w:rsid w:val="005C3676"/>
    <w:rsid w:val="005C3DFF"/>
    <w:rsid w:val="005C4469"/>
    <w:rsid w:val="005C498B"/>
    <w:rsid w:val="005C590A"/>
    <w:rsid w:val="005C7641"/>
    <w:rsid w:val="005D0DDE"/>
    <w:rsid w:val="005D18F8"/>
    <w:rsid w:val="005D3988"/>
    <w:rsid w:val="005D4005"/>
    <w:rsid w:val="005D40D1"/>
    <w:rsid w:val="005D5C25"/>
    <w:rsid w:val="005D7065"/>
    <w:rsid w:val="005D7532"/>
    <w:rsid w:val="005E59A5"/>
    <w:rsid w:val="005E79AA"/>
    <w:rsid w:val="005F10A2"/>
    <w:rsid w:val="005F391D"/>
    <w:rsid w:val="006017FA"/>
    <w:rsid w:val="006037CC"/>
    <w:rsid w:val="006059B2"/>
    <w:rsid w:val="00610305"/>
    <w:rsid w:val="00610419"/>
    <w:rsid w:val="00611DDB"/>
    <w:rsid w:val="00612C7B"/>
    <w:rsid w:val="00615CA4"/>
    <w:rsid w:val="0061775D"/>
    <w:rsid w:val="00620307"/>
    <w:rsid w:val="006209BD"/>
    <w:rsid w:val="006224C1"/>
    <w:rsid w:val="00622726"/>
    <w:rsid w:val="00622FCD"/>
    <w:rsid w:val="00623AB1"/>
    <w:rsid w:val="006269B7"/>
    <w:rsid w:val="00626D85"/>
    <w:rsid w:val="006307A5"/>
    <w:rsid w:val="00630EA1"/>
    <w:rsid w:val="00630FE1"/>
    <w:rsid w:val="00633625"/>
    <w:rsid w:val="00633DC7"/>
    <w:rsid w:val="00636E1D"/>
    <w:rsid w:val="006404D8"/>
    <w:rsid w:val="006405E3"/>
    <w:rsid w:val="00640F37"/>
    <w:rsid w:val="0064224B"/>
    <w:rsid w:val="00642D3B"/>
    <w:rsid w:val="00644B02"/>
    <w:rsid w:val="006453C4"/>
    <w:rsid w:val="00645CF4"/>
    <w:rsid w:val="00646735"/>
    <w:rsid w:val="006475ED"/>
    <w:rsid w:val="00650183"/>
    <w:rsid w:val="006501CC"/>
    <w:rsid w:val="00653FD1"/>
    <w:rsid w:val="00655112"/>
    <w:rsid w:val="0065594A"/>
    <w:rsid w:val="0066112E"/>
    <w:rsid w:val="00662B01"/>
    <w:rsid w:val="00662BA0"/>
    <w:rsid w:val="00662E70"/>
    <w:rsid w:val="00663B0A"/>
    <w:rsid w:val="006641F8"/>
    <w:rsid w:val="006671A5"/>
    <w:rsid w:val="00670254"/>
    <w:rsid w:val="0067299C"/>
    <w:rsid w:val="0067351E"/>
    <w:rsid w:val="0067520E"/>
    <w:rsid w:val="00676354"/>
    <w:rsid w:val="006776E9"/>
    <w:rsid w:val="00680E3F"/>
    <w:rsid w:val="0068246F"/>
    <w:rsid w:val="00692662"/>
    <w:rsid w:val="006973AC"/>
    <w:rsid w:val="00697737"/>
    <w:rsid w:val="006A0D6A"/>
    <w:rsid w:val="006A2D78"/>
    <w:rsid w:val="006A383B"/>
    <w:rsid w:val="006A52ED"/>
    <w:rsid w:val="006B3B29"/>
    <w:rsid w:val="006B4E80"/>
    <w:rsid w:val="006B7D83"/>
    <w:rsid w:val="006C023A"/>
    <w:rsid w:val="006C186D"/>
    <w:rsid w:val="006C4574"/>
    <w:rsid w:val="006C6694"/>
    <w:rsid w:val="006D1E95"/>
    <w:rsid w:val="006D2DAD"/>
    <w:rsid w:val="006D3144"/>
    <w:rsid w:val="006D34EB"/>
    <w:rsid w:val="006D4640"/>
    <w:rsid w:val="006D7393"/>
    <w:rsid w:val="006E05F4"/>
    <w:rsid w:val="006E55E1"/>
    <w:rsid w:val="006E5727"/>
    <w:rsid w:val="006E6D34"/>
    <w:rsid w:val="006E6D4C"/>
    <w:rsid w:val="006F2E13"/>
    <w:rsid w:val="006F3256"/>
    <w:rsid w:val="006F445D"/>
    <w:rsid w:val="006F72C6"/>
    <w:rsid w:val="006F735A"/>
    <w:rsid w:val="007004F7"/>
    <w:rsid w:val="007019F9"/>
    <w:rsid w:val="00702377"/>
    <w:rsid w:val="00703E4E"/>
    <w:rsid w:val="00705FB0"/>
    <w:rsid w:val="007071C6"/>
    <w:rsid w:val="0070732E"/>
    <w:rsid w:val="00711E1C"/>
    <w:rsid w:val="00712D2C"/>
    <w:rsid w:val="00713C09"/>
    <w:rsid w:val="00713E33"/>
    <w:rsid w:val="0071460A"/>
    <w:rsid w:val="0071592D"/>
    <w:rsid w:val="00717DB0"/>
    <w:rsid w:val="00721FBA"/>
    <w:rsid w:val="00725A92"/>
    <w:rsid w:val="00730352"/>
    <w:rsid w:val="00733A42"/>
    <w:rsid w:val="00736334"/>
    <w:rsid w:val="0073688E"/>
    <w:rsid w:val="00742839"/>
    <w:rsid w:val="0075022F"/>
    <w:rsid w:val="00752710"/>
    <w:rsid w:val="00753C69"/>
    <w:rsid w:val="00755505"/>
    <w:rsid w:val="007600E9"/>
    <w:rsid w:val="007604B4"/>
    <w:rsid w:val="0076316D"/>
    <w:rsid w:val="00766271"/>
    <w:rsid w:val="00772993"/>
    <w:rsid w:val="00774940"/>
    <w:rsid w:val="00776697"/>
    <w:rsid w:val="007815FB"/>
    <w:rsid w:val="00781D80"/>
    <w:rsid w:val="007857A2"/>
    <w:rsid w:val="00790A5B"/>
    <w:rsid w:val="00791122"/>
    <w:rsid w:val="00791DE5"/>
    <w:rsid w:val="00794ADC"/>
    <w:rsid w:val="00794EAB"/>
    <w:rsid w:val="007A0054"/>
    <w:rsid w:val="007A2A87"/>
    <w:rsid w:val="007A38F2"/>
    <w:rsid w:val="007A394A"/>
    <w:rsid w:val="007A44A6"/>
    <w:rsid w:val="007A5353"/>
    <w:rsid w:val="007A54D3"/>
    <w:rsid w:val="007A7324"/>
    <w:rsid w:val="007B177F"/>
    <w:rsid w:val="007B3D63"/>
    <w:rsid w:val="007B69D6"/>
    <w:rsid w:val="007C357B"/>
    <w:rsid w:val="007C55D0"/>
    <w:rsid w:val="007D1315"/>
    <w:rsid w:val="007D7196"/>
    <w:rsid w:val="007E12BA"/>
    <w:rsid w:val="007E17FF"/>
    <w:rsid w:val="007E25B9"/>
    <w:rsid w:val="007E2DD6"/>
    <w:rsid w:val="007E57CE"/>
    <w:rsid w:val="007E71F7"/>
    <w:rsid w:val="007F2439"/>
    <w:rsid w:val="007F3548"/>
    <w:rsid w:val="007F501F"/>
    <w:rsid w:val="007F5A93"/>
    <w:rsid w:val="007F6136"/>
    <w:rsid w:val="007F7EED"/>
    <w:rsid w:val="00800B73"/>
    <w:rsid w:val="008028B7"/>
    <w:rsid w:val="00806FEC"/>
    <w:rsid w:val="00807127"/>
    <w:rsid w:val="0080752F"/>
    <w:rsid w:val="008111EF"/>
    <w:rsid w:val="008123E1"/>
    <w:rsid w:val="00812B3B"/>
    <w:rsid w:val="00813BAC"/>
    <w:rsid w:val="00813CD4"/>
    <w:rsid w:val="008149F0"/>
    <w:rsid w:val="0081560B"/>
    <w:rsid w:val="00815C25"/>
    <w:rsid w:val="0082003D"/>
    <w:rsid w:val="00821B9D"/>
    <w:rsid w:val="00823FF9"/>
    <w:rsid w:val="00825520"/>
    <w:rsid w:val="00825672"/>
    <w:rsid w:val="00832DE5"/>
    <w:rsid w:val="008348B0"/>
    <w:rsid w:val="00834CE6"/>
    <w:rsid w:val="00840915"/>
    <w:rsid w:val="0084468C"/>
    <w:rsid w:val="00844EE2"/>
    <w:rsid w:val="0085041F"/>
    <w:rsid w:val="00851DC4"/>
    <w:rsid w:val="008521E0"/>
    <w:rsid w:val="008552A0"/>
    <w:rsid w:val="008611DE"/>
    <w:rsid w:val="00862D23"/>
    <w:rsid w:val="0086363B"/>
    <w:rsid w:val="00863CFB"/>
    <w:rsid w:val="008640A2"/>
    <w:rsid w:val="00865492"/>
    <w:rsid w:val="00867CB4"/>
    <w:rsid w:val="008708AB"/>
    <w:rsid w:val="008717F1"/>
    <w:rsid w:val="00874ED5"/>
    <w:rsid w:val="00875BE3"/>
    <w:rsid w:val="00876CD5"/>
    <w:rsid w:val="008776CA"/>
    <w:rsid w:val="008810BC"/>
    <w:rsid w:val="008834C5"/>
    <w:rsid w:val="008871C6"/>
    <w:rsid w:val="008874AF"/>
    <w:rsid w:val="008907A6"/>
    <w:rsid w:val="00892F55"/>
    <w:rsid w:val="00895BF6"/>
    <w:rsid w:val="00897B68"/>
    <w:rsid w:val="008A02D3"/>
    <w:rsid w:val="008A0AF3"/>
    <w:rsid w:val="008A67AD"/>
    <w:rsid w:val="008A71DF"/>
    <w:rsid w:val="008A72C8"/>
    <w:rsid w:val="008B0845"/>
    <w:rsid w:val="008B1AF1"/>
    <w:rsid w:val="008B237A"/>
    <w:rsid w:val="008B63BC"/>
    <w:rsid w:val="008B671A"/>
    <w:rsid w:val="008B78D5"/>
    <w:rsid w:val="008C1523"/>
    <w:rsid w:val="008C1A94"/>
    <w:rsid w:val="008C2161"/>
    <w:rsid w:val="008C2E99"/>
    <w:rsid w:val="008C2EEB"/>
    <w:rsid w:val="008C5B82"/>
    <w:rsid w:val="008C7F33"/>
    <w:rsid w:val="008D5FF2"/>
    <w:rsid w:val="008E3015"/>
    <w:rsid w:val="008E3ADF"/>
    <w:rsid w:val="008E71C3"/>
    <w:rsid w:val="008F1FDA"/>
    <w:rsid w:val="008F3908"/>
    <w:rsid w:val="008F435C"/>
    <w:rsid w:val="008F63C9"/>
    <w:rsid w:val="008F66E2"/>
    <w:rsid w:val="009014B6"/>
    <w:rsid w:val="009026E7"/>
    <w:rsid w:val="00912882"/>
    <w:rsid w:val="00912895"/>
    <w:rsid w:val="00914DAA"/>
    <w:rsid w:val="00915305"/>
    <w:rsid w:val="009168E0"/>
    <w:rsid w:val="009210DE"/>
    <w:rsid w:val="00922937"/>
    <w:rsid w:val="0092311E"/>
    <w:rsid w:val="0092457E"/>
    <w:rsid w:val="00927883"/>
    <w:rsid w:val="00933758"/>
    <w:rsid w:val="009342D4"/>
    <w:rsid w:val="009358C9"/>
    <w:rsid w:val="00936956"/>
    <w:rsid w:val="00940030"/>
    <w:rsid w:val="00940D58"/>
    <w:rsid w:val="00941E13"/>
    <w:rsid w:val="009425B2"/>
    <w:rsid w:val="00943B87"/>
    <w:rsid w:val="00943C57"/>
    <w:rsid w:val="00945E98"/>
    <w:rsid w:val="00950374"/>
    <w:rsid w:val="009531CB"/>
    <w:rsid w:val="00956949"/>
    <w:rsid w:val="00960683"/>
    <w:rsid w:val="0096160F"/>
    <w:rsid w:val="00962389"/>
    <w:rsid w:val="009632A3"/>
    <w:rsid w:val="00965B80"/>
    <w:rsid w:val="00970EEF"/>
    <w:rsid w:val="0097126E"/>
    <w:rsid w:val="009776BD"/>
    <w:rsid w:val="009902A6"/>
    <w:rsid w:val="00993B1E"/>
    <w:rsid w:val="00994534"/>
    <w:rsid w:val="0099485B"/>
    <w:rsid w:val="00995853"/>
    <w:rsid w:val="00996BB3"/>
    <w:rsid w:val="009A312F"/>
    <w:rsid w:val="009A3433"/>
    <w:rsid w:val="009A4D08"/>
    <w:rsid w:val="009A532A"/>
    <w:rsid w:val="009A57FF"/>
    <w:rsid w:val="009A62CD"/>
    <w:rsid w:val="009B2422"/>
    <w:rsid w:val="009B2AC4"/>
    <w:rsid w:val="009B4CEE"/>
    <w:rsid w:val="009B64D4"/>
    <w:rsid w:val="009B7538"/>
    <w:rsid w:val="009B7766"/>
    <w:rsid w:val="009C0507"/>
    <w:rsid w:val="009C1086"/>
    <w:rsid w:val="009C121A"/>
    <w:rsid w:val="009C12C9"/>
    <w:rsid w:val="009C13C2"/>
    <w:rsid w:val="009C1CE7"/>
    <w:rsid w:val="009C27F8"/>
    <w:rsid w:val="009C2D83"/>
    <w:rsid w:val="009C4B32"/>
    <w:rsid w:val="009D05E0"/>
    <w:rsid w:val="009D16D2"/>
    <w:rsid w:val="009D2279"/>
    <w:rsid w:val="009D2B00"/>
    <w:rsid w:val="009D55F7"/>
    <w:rsid w:val="009E2A50"/>
    <w:rsid w:val="009E38A2"/>
    <w:rsid w:val="009E4107"/>
    <w:rsid w:val="009E56B1"/>
    <w:rsid w:val="009E7102"/>
    <w:rsid w:val="009E76BE"/>
    <w:rsid w:val="009E79BF"/>
    <w:rsid w:val="009F12DA"/>
    <w:rsid w:val="009F3FE6"/>
    <w:rsid w:val="009F41C4"/>
    <w:rsid w:val="009F53AF"/>
    <w:rsid w:val="00A00793"/>
    <w:rsid w:val="00A00E34"/>
    <w:rsid w:val="00A062C7"/>
    <w:rsid w:val="00A06B05"/>
    <w:rsid w:val="00A10257"/>
    <w:rsid w:val="00A14332"/>
    <w:rsid w:val="00A14A6B"/>
    <w:rsid w:val="00A150DD"/>
    <w:rsid w:val="00A205B4"/>
    <w:rsid w:val="00A20F19"/>
    <w:rsid w:val="00A2301F"/>
    <w:rsid w:val="00A23608"/>
    <w:rsid w:val="00A26C98"/>
    <w:rsid w:val="00A27B9D"/>
    <w:rsid w:val="00A27D88"/>
    <w:rsid w:val="00A304D0"/>
    <w:rsid w:val="00A347B2"/>
    <w:rsid w:val="00A36C1C"/>
    <w:rsid w:val="00A3785C"/>
    <w:rsid w:val="00A37ABE"/>
    <w:rsid w:val="00A37FED"/>
    <w:rsid w:val="00A42159"/>
    <w:rsid w:val="00A45BEA"/>
    <w:rsid w:val="00A4607D"/>
    <w:rsid w:val="00A47BCD"/>
    <w:rsid w:val="00A52987"/>
    <w:rsid w:val="00A53EC9"/>
    <w:rsid w:val="00A63B7B"/>
    <w:rsid w:val="00A64297"/>
    <w:rsid w:val="00A65948"/>
    <w:rsid w:val="00A70777"/>
    <w:rsid w:val="00A70974"/>
    <w:rsid w:val="00A725D6"/>
    <w:rsid w:val="00A72AEE"/>
    <w:rsid w:val="00A72C7D"/>
    <w:rsid w:val="00A73E7C"/>
    <w:rsid w:val="00A76095"/>
    <w:rsid w:val="00A81586"/>
    <w:rsid w:val="00A8548B"/>
    <w:rsid w:val="00A85B4D"/>
    <w:rsid w:val="00A8715E"/>
    <w:rsid w:val="00A9023F"/>
    <w:rsid w:val="00A9215E"/>
    <w:rsid w:val="00A92440"/>
    <w:rsid w:val="00A9426B"/>
    <w:rsid w:val="00A95705"/>
    <w:rsid w:val="00A95806"/>
    <w:rsid w:val="00A96376"/>
    <w:rsid w:val="00A97842"/>
    <w:rsid w:val="00AA0676"/>
    <w:rsid w:val="00AA38EB"/>
    <w:rsid w:val="00AA4A01"/>
    <w:rsid w:val="00AA66FF"/>
    <w:rsid w:val="00AA7DCF"/>
    <w:rsid w:val="00AB104D"/>
    <w:rsid w:val="00AB149D"/>
    <w:rsid w:val="00AB197D"/>
    <w:rsid w:val="00AB2476"/>
    <w:rsid w:val="00AB4C8F"/>
    <w:rsid w:val="00AB64A8"/>
    <w:rsid w:val="00AB77FD"/>
    <w:rsid w:val="00AB7A3C"/>
    <w:rsid w:val="00AB7C15"/>
    <w:rsid w:val="00AC1927"/>
    <w:rsid w:val="00AD0C73"/>
    <w:rsid w:val="00AE1A2D"/>
    <w:rsid w:val="00AE5347"/>
    <w:rsid w:val="00AE55F6"/>
    <w:rsid w:val="00AE56DB"/>
    <w:rsid w:val="00AE5775"/>
    <w:rsid w:val="00AE5F3C"/>
    <w:rsid w:val="00AF2AB2"/>
    <w:rsid w:val="00AF5581"/>
    <w:rsid w:val="00AF7442"/>
    <w:rsid w:val="00B00CC4"/>
    <w:rsid w:val="00B01098"/>
    <w:rsid w:val="00B012FF"/>
    <w:rsid w:val="00B03E49"/>
    <w:rsid w:val="00B07EB6"/>
    <w:rsid w:val="00B131DC"/>
    <w:rsid w:val="00B13C87"/>
    <w:rsid w:val="00B1710D"/>
    <w:rsid w:val="00B23E9B"/>
    <w:rsid w:val="00B24DB1"/>
    <w:rsid w:val="00B301F0"/>
    <w:rsid w:val="00B3120E"/>
    <w:rsid w:val="00B32510"/>
    <w:rsid w:val="00B3293A"/>
    <w:rsid w:val="00B3595C"/>
    <w:rsid w:val="00B36D5E"/>
    <w:rsid w:val="00B375DF"/>
    <w:rsid w:val="00B409EF"/>
    <w:rsid w:val="00B43E07"/>
    <w:rsid w:val="00B4462F"/>
    <w:rsid w:val="00B45872"/>
    <w:rsid w:val="00B526A8"/>
    <w:rsid w:val="00B55FAB"/>
    <w:rsid w:val="00B611F1"/>
    <w:rsid w:val="00B61E83"/>
    <w:rsid w:val="00B62D70"/>
    <w:rsid w:val="00B62DC9"/>
    <w:rsid w:val="00B654C4"/>
    <w:rsid w:val="00B6669B"/>
    <w:rsid w:val="00B6734E"/>
    <w:rsid w:val="00B7091D"/>
    <w:rsid w:val="00B7360D"/>
    <w:rsid w:val="00B75164"/>
    <w:rsid w:val="00B759B1"/>
    <w:rsid w:val="00B76198"/>
    <w:rsid w:val="00B7667F"/>
    <w:rsid w:val="00B767C1"/>
    <w:rsid w:val="00B803BA"/>
    <w:rsid w:val="00B80C00"/>
    <w:rsid w:val="00B80F7C"/>
    <w:rsid w:val="00B81CBB"/>
    <w:rsid w:val="00B836E8"/>
    <w:rsid w:val="00B83D9D"/>
    <w:rsid w:val="00B84529"/>
    <w:rsid w:val="00B85E10"/>
    <w:rsid w:val="00B907A2"/>
    <w:rsid w:val="00B96861"/>
    <w:rsid w:val="00B96F7F"/>
    <w:rsid w:val="00BA006A"/>
    <w:rsid w:val="00BA04C8"/>
    <w:rsid w:val="00BA315F"/>
    <w:rsid w:val="00BA3E3D"/>
    <w:rsid w:val="00BA414B"/>
    <w:rsid w:val="00BB093D"/>
    <w:rsid w:val="00BB1195"/>
    <w:rsid w:val="00BB2111"/>
    <w:rsid w:val="00BB21F0"/>
    <w:rsid w:val="00BB35EA"/>
    <w:rsid w:val="00BB3A7F"/>
    <w:rsid w:val="00BB516B"/>
    <w:rsid w:val="00BC150E"/>
    <w:rsid w:val="00BC21D5"/>
    <w:rsid w:val="00BC59E5"/>
    <w:rsid w:val="00BC7FD2"/>
    <w:rsid w:val="00BD05E6"/>
    <w:rsid w:val="00BD45CF"/>
    <w:rsid w:val="00BD6570"/>
    <w:rsid w:val="00BE06F2"/>
    <w:rsid w:val="00BE1110"/>
    <w:rsid w:val="00BE5F2B"/>
    <w:rsid w:val="00BF10F6"/>
    <w:rsid w:val="00BF16DB"/>
    <w:rsid w:val="00BF1E4B"/>
    <w:rsid w:val="00BF2D59"/>
    <w:rsid w:val="00BF6482"/>
    <w:rsid w:val="00BF6D7C"/>
    <w:rsid w:val="00C03AE7"/>
    <w:rsid w:val="00C044C1"/>
    <w:rsid w:val="00C05D9D"/>
    <w:rsid w:val="00C07CCC"/>
    <w:rsid w:val="00C12FA8"/>
    <w:rsid w:val="00C13DEE"/>
    <w:rsid w:val="00C15414"/>
    <w:rsid w:val="00C1757D"/>
    <w:rsid w:val="00C20764"/>
    <w:rsid w:val="00C261D1"/>
    <w:rsid w:val="00C2638F"/>
    <w:rsid w:val="00C316C6"/>
    <w:rsid w:val="00C31F21"/>
    <w:rsid w:val="00C35592"/>
    <w:rsid w:val="00C356AF"/>
    <w:rsid w:val="00C41927"/>
    <w:rsid w:val="00C439D6"/>
    <w:rsid w:val="00C43FD9"/>
    <w:rsid w:val="00C44EB2"/>
    <w:rsid w:val="00C4776A"/>
    <w:rsid w:val="00C47E8F"/>
    <w:rsid w:val="00C54CC8"/>
    <w:rsid w:val="00C54D12"/>
    <w:rsid w:val="00C57BC4"/>
    <w:rsid w:val="00C60915"/>
    <w:rsid w:val="00C62E84"/>
    <w:rsid w:val="00C64457"/>
    <w:rsid w:val="00C64E27"/>
    <w:rsid w:val="00C7138A"/>
    <w:rsid w:val="00C7417A"/>
    <w:rsid w:val="00C74F59"/>
    <w:rsid w:val="00C767FF"/>
    <w:rsid w:val="00C81E10"/>
    <w:rsid w:val="00C85374"/>
    <w:rsid w:val="00C85A9B"/>
    <w:rsid w:val="00C8603E"/>
    <w:rsid w:val="00C91877"/>
    <w:rsid w:val="00C924F1"/>
    <w:rsid w:val="00C93804"/>
    <w:rsid w:val="00C95BAB"/>
    <w:rsid w:val="00C964B8"/>
    <w:rsid w:val="00C97011"/>
    <w:rsid w:val="00CA28F2"/>
    <w:rsid w:val="00CA76A0"/>
    <w:rsid w:val="00CB08B2"/>
    <w:rsid w:val="00CB1021"/>
    <w:rsid w:val="00CB3841"/>
    <w:rsid w:val="00CB3B6B"/>
    <w:rsid w:val="00CC25E6"/>
    <w:rsid w:val="00CC38AC"/>
    <w:rsid w:val="00CC3E46"/>
    <w:rsid w:val="00CC4210"/>
    <w:rsid w:val="00CC5D73"/>
    <w:rsid w:val="00CC7273"/>
    <w:rsid w:val="00CC7310"/>
    <w:rsid w:val="00CC7B25"/>
    <w:rsid w:val="00CD4AF7"/>
    <w:rsid w:val="00CD4C1C"/>
    <w:rsid w:val="00CD5473"/>
    <w:rsid w:val="00CD6024"/>
    <w:rsid w:val="00CD738B"/>
    <w:rsid w:val="00CD7C1C"/>
    <w:rsid w:val="00CD7CA4"/>
    <w:rsid w:val="00CE0D4E"/>
    <w:rsid w:val="00CE3517"/>
    <w:rsid w:val="00CE3C0C"/>
    <w:rsid w:val="00CE61DA"/>
    <w:rsid w:val="00CE78A2"/>
    <w:rsid w:val="00CE79AB"/>
    <w:rsid w:val="00CF0B8E"/>
    <w:rsid w:val="00CF21D0"/>
    <w:rsid w:val="00CF449E"/>
    <w:rsid w:val="00CF5357"/>
    <w:rsid w:val="00D01670"/>
    <w:rsid w:val="00D01CB8"/>
    <w:rsid w:val="00D048AC"/>
    <w:rsid w:val="00D05C26"/>
    <w:rsid w:val="00D062AC"/>
    <w:rsid w:val="00D10C48"/>
    <w:rsid w:val="00D120EF"/>
    <w:rsid w:val="00D152E7"/>
    <w:rsid w:val="00D156A3"/>
    <w:rsid w:val="00D20381"/>
    <w:rsid w:val="00D218D0"/>
    <w:rsid w:val="00D21F91"/>
    <w:rsid w:val="00D30EDF"/>
    <w:rsid w:val="00D33027"/>
    <w:rsid w:val="00D33D65"/>
    <w:rsid w:val="00D34065"/>
    <w:rsid w:val="00D36B9B"/>
    <w:rsid w:val="00D36DC6"/>
    <w:rsid w:val="00D3796C"/>
    <w:rsid w:val="00D413AD"/>
    <w:rsid w:val="00D42C57"/>
    <w:rsid w:val="00D44360"/>
    <w:rsid w:val="00D45306"/>
    <w:rsid w:val="00D45878"/>
    <w:rsid w:val="00D46178"/>
    <w:rsid w:val="00D50981"/>
    <w:rsid w:val="00D53948"/>
    <w:rsid w:val="00D5416C"/>
    <w:rsid w:val="00D549B9"/>
    <w:rsid w:val="00D557EE"/>
    <w:rsid w:val="00D56058"/>
    <w:rsid w:val="00D56CD5"/>
    <w:rsid w:val="00D571F6"/>
    <w:rsid w:val="00D578FF"/>
    <w:rsid w:val="00D57F4B"/>
    <w:rsid w:val="00D61179"/>
    <w:rsid w:val="00D62224"/>
    <w:rsid w:val="00D63D0E"/>
    <w:rsid w:val="00D656AD"/>
    <w:rsid w:val="00D67A13"/>
    <w:rsid w:val="00D70EE2"/>
    <w:rsid w:val="00D73135"/>
    <w:rsid w:val="00D73E5E"/>
    <w:rsid w:val="00D76A01"/>
    <w:rsid w:val="00D76E91"/>
    <w:rsid w:val="00D77AA1"/>
    <w:rsid w:val="00D77E54"/>
    <w:rsid w:val="00D80264"/>
    <w:rsid w:val="00D819D9"/>
    <w:rsid w:val="00D830AD"/>
    <w:rsid w:val="00D831F2"/>
    <w:rsid w:val="00D849AA"/>
    <w:rsid w:val="00D85804"/>
    <w:rsid w:val="00D86434"/>
    <w:rsid w:val="00D872D1"/>
    <w:rsid w:val="00D9187B"/>
    <w:rsid w:val="00D93BA2"/>
    <w:rsid w:val="00D950BA"/>
    <w:rsid w:val="00DA5515"/>
    <w:rsid w:val="00DA6122"/>
    <w:rsid w:val="00DB3B95"/>
    <w:rsid w:val="00DB4809"/>
    <w:rsid w:val="00DB4BDE"/>
    <w:rsid w:val="00DB5E8F"/>
    <w:rsid w:val="00DB61B8"/>
    <w:rsid w:val="00DB733C"/>
    <w:rsid w:val="00DB779A"/>
    <w:rsid w:val="00DC012C"/>
    <w:rsid w:val="00DC3E99"/>
    <w:rsid w:val="00DC7C3E"/>
    <w:rsid w:val="00DD3FF2"/>
    <w:rsid w:val="00DD64EE"/>
    <w:rsid w:val="00DD7FA1"/>
    <w:rsid w:val="00DE0A1C"/>
    <w:rsid w:val="00DE30E0"/>
    <w:rsid w:val="00DE6BC1"/>
    <w:rsid w:val="00DE7C85"/>
    <w:rsid w:val="00DF04DA"/>
    <w:rsid w:val="00DF06E8"/>
    <w:rsid w:val="00DF6D5F"/>
    <w:rsid w:val="00DF724A"/>
    <w:rsid w:val="00DF735F"/>
    <w:rsid w:val="00E02765"/>
    <w:rsid w:val="00E033C3"/>
    <w:rsid w:val="00E038C3"/>
    <w:rsid w:val="00E06D47"/>
    <w:rsid w:val="00E07416"/>
    <w:rsid w:val="00E11C60"/>
    <w:rsid w:val="00E13544"/>
    <w:rsid w:val="00E1386E"/>
    <w:rsid w:val="00E14AA0"/>
    <w:rsid w:val="00E16F59"/>
    <w:rsid w:val="00E22BC2"/>
    <w:rsid w:val="00E22BCE"/>
    <w:rsid w:val="00E24AAF"/>
    <w:rsid w:val="00E258D8"/>
    <w:rsid w:val="00E30718"/>
    <w:rsid w:val="00E31391"/>
    <w:rsid w:val="00E3179D"/>
    <w:rsid w:val="00E326FF"/>
    <w:rsid w:val="00E3467E"/>
    <w:rsid w:val="00E34B8E"/>
    <w:rsid w:val="00E361B0"/>
    <w:rsid w:val="00E41563"/>
    <w:rsid w:val="00E415C9"/>
    <w:rsid w:val="00E46262"/>
    <w:rsid w:val="00E47187"/>
    <w:rsid w:val="00E516B0"/>
    <w:rsid w:val="00E51BB1"/>
    <w:rsid w:val="00E54BA8"/>
    <w:rsid w:val="00E54D7F"/>
    <w:rsid w:val="00E55705"/>
    <w:rsid w:val="00E574A1"/>
    <w:rsid w:val="00E6275C"/>
    <w:rsid w:val="00E62DB8"/>
    <w:rsid w:val="00E63010"/>
    <w:rsid w:val="00E63399"/>
    <w:rsid w:val="00E66893"/>
    <w:rsid w:val="00E66BA7"/>
    <w:rsid w:val="00E677EF"/>
    <w:rsid w:val="00E6790C"/>
    <w:rsid w:val="00E70BB6"/>
    <w:rsid w:val="00E7159B"/>
    <w:rsid w:val="00E75F07"/>
    <w:rsid w:val="00E859DF"/>
    <w:rsid w:val="00E85A8B"/>
    <w:rsid w:val="00E87041"/>
    <w:rsid w:val="00E916E4"/>
    <w:rsid w:val="00E94218"/>
    <w:rsid w:val="00E95201"/>
    <w:rsid w:val="00E96304"/>
    <w:rsid w:val="00EA1807"/>
    <w:rsid w:val="00EA251B"/>
    <w:rsid w:val="00EA31AA"/>
    <w:rsid w:val="00EA4947"/>
    <w:rsid w:val="00EC0C41"/>
    <w:rsid w:val="00EC11F0"/>
    <w:rsid w:val="00EC1594"/>
    <w:rsid w:val="00EC1C8C"/>
    <w:rsid w:val="00EC365B"/>
    <w:rsid w:val="00EC5AD1"/>
    <w:rsid w:val="00ED161F"/>
    <w:rsid w:val="00ED2521"/>
    <w:rsid w:val="00ED2F67"/>
    <w:rsid w:val="00ED2FB9"/>
    <w:rsid w:val="00ED36B7"/>
    <w:rsid w:val="00ED7637"/>
    <w:rsid w:val="00EE013F"/>
    <w:rsid w:val="00EE0C7D"/>
    <w:rsid w:val="00EE122D"/>
    <w:rsid w:val="00EE456B"/>
    <w:rsid w:val="00EE5DE6"/>
    <w:rsid w:val="00EE6267"/>
    <w:rsid w:val="00EE6613"/>
    <w:rsid w:val="00EE6988"/>
    <w:rsid w:val="00EF2A23"/>
    <w:rsid w:val="00EF35BF"/>
    <w:rsid w:val="00EF381C"/>
    <w:rsid w:val="00EF47A4"/>
    <w:rsid w:val="00EF685F"/>
    <w:rsid w:val="00F00755"/>
    <w:rsid w:val="00F00C37"/>
    <w:rsid w:val="00F034AC"/>
    <w:rsid w:val="00F04275"/>
    <w:rsid w:val="00F1590F"/>
    <w:rsid w:val="00F160D2"/>
    <w:rsid w:val="00F27395"/>
    <w:rsid w:val="00F31CFB"/>
    <w:rsid w:val="00F339A4"/>
    <w:rsid w:val="00F33C22"/>
    <w:rsid w:val="00F42177"/>
    <w:rsid w:val="00F42DCD"/>
    <w:rsid w:val="00F4484F"/>
    <w:rsid w:val="00F45638"/>
    <w:rsid w:val="00F4748D"/>
    <w:rsid w:val="00F50E9C"/>
    <w:rsid w:val="00F51116"/>
    <w:rsid w:val="00F5117A"/>
    <w:rsid w:val="00F51FA3"/>
    <w:rsid w:val="00F52F33"/>
    <w:rsid w:val="00F53841"/>
    <w:rsid w:val="00F53B21"/>
    <w:rsid w:val="00F60ACD"/>
    <w:rsid w:val="00F612B3"/>
    <w:rsid w:val="00F650BC"/>
    <w:rsid w:val="00F653FF"/>
    <w:rsid w:val="00F66078"/>
    <w:rsid w:val="00F67EF6"/>
    <w:rsid w:val="00F7064A"/>
    <w:rsid w:val="00F7198E"/>
    <w:rsid w:val="00F7311F"/>
    <w:rsid w:val="00F747AD"/>
    <w:rsid w:val="00F8260F"/>
    <w:rsid w:val="00F83279"/>
    <w:rsid w:val="00F87F11"/>
    <w:rsid w:val="00F90B2E"/>
    <w:rsid w:val="00F91302"/>
    <w:rsid w:val="00F942CA"/>
    <w:rsid w:val="00F9452C"/>
    <w:rsid w:val="00F9689B"/>
    <w:rsid w:val="00F97395"/>
    <w:rsid w:val="00F97508"/>
    <w:rsid w:val="00FA0160"/>
    <w:rsid w:val="00FA3503"/>
    <w:rsid w:val="00FA590B"/>
    <w:rsid w:val="00FA5C42"/>
    <w:rsid w:val="00FA68AB"/>
    <w:rsid w:val="00FB021F"/>
    <w:rsid w:val="00FB0A9F"/>
    <w:rsid w:val="00FB2C5B"/>
    <w:rsid w:val="00FB33E0"/>
    <w:rsid w:val="00FB52EB"/>
    <w:rsid w:val="00FB7206"/>
    <w:rsid w:val="00FB7367"/>
    <w:rsid w:val="00FB77F3"/>
    <w:rsid w:val="00FC1D72"/>
    <w:rsid w:val="00FC309B"/>
    <w:rsid w:val="00FC62C4"/>
    <w:rsid w:val="00FD17AA"/>
    <w:rsid w:val="00FE0C92"/>
    <w:rsid w:val="00FE0D29"/>
    <w:rsid w:val="00FE35E0"/>
    <w:rsid w:val="00FE4173"/>
    <w:rsid w:val="00FE4DD2"/>
    <w:rsid w:val="00FE5577"/>
    <w:rsid w:val="00FE78A3"/>
    <w:rsid w:val="00FF2A56"/>
    <w:rsid w:val="00FF3133"/>
    <w:rsid w:val="00FF34CA"/>
    <w:rsid w:val="00FF39DE"/>
    <w:rsid w:val="00FF3AA8"/>
    <w:rsid w:val="00FF5E0F"/>
    <w:rsid w:val="00FF632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8417"/>
    <o:shapelayout v:ext="edit">
      <o:idmap v:ext="edit" data="1"/>
    </o:shapelayout>
  </w:shapeDefaults>
  <w:decimalSymbol w:val=","/>
  <w:listSeparator w:val=";"/>
  <w14:docId w14:val="533EF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177"/>
  </w:style>
  <w:style w:type="paragraph" w:styleId="Heading1">
    <w:name w:val="heading 1"/>
    <w:aliases w:val="Cover title white"/>
    <w:basedOn w:val="Normal"/>
    <w:next w:val="Normal"/>
    <w:link w:val="Heading1Char"/>
    <w:uiPriority w:val="9"/>
    <w:qFormat/>
    <w:rsid w:val="00F42177"/>
    <w:pPr>
      <w:keepNext/>
      <w:keepLines/>
      <w:spacing w:before="320" w:after="0" w:line="240" w:lineRule="auto"/>
      <w:outlineLvl w:val="0"/>
    </w:pPr>
    <w:rPr>
      <w:rFonts w:asciiTheme="majorHAnsi" w:eastAsiaTheme="majorEastAsia" w:hAnsiTheme="majorHAnsi" w:cstheme="majorBidi"/>
      <w:color w:val="234156" w:themeColor="accent1" w:themeShade="BF"/>
      <w:sz w:val="30"/>
      <w:szCs w:val="30"/>
    </w:rPr>
  </w:style>
  <w:style w:type="paragraph" w:styleId="Heading2">
    <w:name w:val="heading 2"/>
    <w:basedOn w:val="Normal"/>
    <w:next w:val="Normal"/>
    <w:link w:val="Heading2Char"/>
    <w:uiPriority w:val="9"/>
    <w:semiHidden/>
    <w:unhideWhenUsed/>
    <w:qFormat/>
    <w:rsid w:val="00940030"/>
    <w:pPr>
      <w:keepNext/>
      <w:keepLines/>
      <w:spacing w:before="40" w:after="0" w:line="240" w:lineRule="auto"/>
      <w:outlineLvl w:val="1"/>
    </w:pPr>
    <w:rPr>
      <w:rFonts w:asciiTheme="majorHAnsi" w:eastAsiaTheme="majorEastAsia" w:hAnsiTheme="majorHAnsi" w:cstheme="majorBidi"/>
      <w:b/>
      <w:sz w:val="28"/>
      <w:szCs w:val="28"/>
    </w:rPr>
  </w:style>
  <w:style w:type="paragraph" w:styleId="Heading3">
    <w:name w:val="heading 3"/>
    <w:aliases w:val="Title 2"/>
    <w:basedOn w:val="Normal"/>
    <w:next w:val="Normal"/>
    <w:link w:val="Heading3Char"/>
    <w:uiPriority w:val="9"/>
    <w:semiHidden/>
    <w:unhideWhenUsed/>
    <w:qFormat/>
    <w:rsid w:val="00F42177"/>
    <w:pPr>
      <w:keepNext/>
      <w:keepLines/>
      <w:spacing w:before="40" w:after="0" w:line="240" w:lineRule="auto"/>
      <w:outlineLvl w:val="2"/>
    </w:pPr>
    <w:rPr>
      <w:rFonts w:asciiTheme="majorHAnsi" w:eastAsiaTheme="majorEastAsia" w:hAnsiTheme="majorHAnsi" w:cstheme="majorBidi"/>
      <w:color w:val="102B43" w:themeColor="accent6" w:themeShade="BF"/>
      <w:sz w:val="26"/>
      <w:szCs w:val="26"/>
    </w:rPr>
  </w:style>
  <w:style w:type="paragraph" w:styleId="Heading4">
    <w:name w:val="heading 4"/>
    <w:basedOn w:val="Normal"/>
    <w:next w:val="Normal"/>
    <w:link w:val="Heading4Char"/>
    <w:uiPriority w:val="9"/>
    <w:semiHidden/>
    <w:unhideWhenUsed/>
    <w:qFormat/>
    <w:rsid w:val="00F42177"/>
    <w:pPr>
      <w:keepNext/>
      <w:keepLines/>
      <w:spacing w:before="40" w:after="0"/>
      <w:outlineLvl w:val="3"/>
    </w:pPr>
    <w:rPr>
      <w:rFonts w:asciiTheme="majorHAnsi" w:eastAsiaTheme="majorEastAsia" w:hAnsiTheme="majorHAnsi" w:cstheme="majorBidi"/>
      <w:i/>
      <w:iCs/>
      <w:color w:val="3D4C52" w:themeColor="accent5" w:themeShade="BF"/>
      <w:sz w:val="25"/>
      <w:szCs w:val="25"/>
    </w:rPr>
  </w:style>
  <w:style w:type="paragraph" w:styleId="Heading5">
    <w:name w:val="heading 5"/>
    <w:aliases w:val="Cover subtitle white"/>
    <w:basedOn w:val="Normal"/>
    <w:next w:val="Normal"/>
    <w:link w:val="Heading5Char"/>
    <w:uiPriority w:val="9"/>
    <w:semiHidden/>
    <w:unhideWhenUsed/>
    <w:qFormat/>
    <w:rsid w:val="00F42177"/>
    <w:pPr>
      <w:keepNext/>
      <w:keepLines/>
      <w:spacing w:before="40" w:after="0"/>
      <w:outlineLvl w:val="4"/>
    </w:pPr>
    <w:rPr>
      <w:rFonts w:asciiTheme="majorHAnsi" w:eastAsiaTheme="majorEastAsia" w:hAnsiTheme="majorHAnsi" w:cstheme="majorBidi"/>
      <w:i/>
      <w:iCs/>
      <w:color w:val="84490E" w:themeColor="accent2" w:themeShade="80"/>
      <w:sz w:val="24"/>
      <w:szCs w:val="24"/>
    </w:rPr>
  </w:style>
  <w:style w:type="paragraph" w:styleId="Heading6">
    <w:name w:val="heading 6"/>
    <w:basedOn w:val="Normal"/>
    <w:next w:val="Normal"/>
    <w:link w:val="Heading6Char"/>
    <w:uiPriority w:val="9"/>
    <w:semiHidden/>
    <w:unhideWhenUsed/>
    <w:qFormat/>
    <w:rsid w:val="00F42177"/>
    <w:pPr>
      <w:keepNext/>
      <w:keepLines/>
      <w:spacing w:before="40" w:after="0"/>
      <w:outlineLvl w:val="5"/>
    </w:pPr>
    <w:rPr>
      <w:rFonts w:asciiTheme="majorHAnsi" w:eastAsiaTheme="majorEastAsia" w:hAnsiTheme="majorHAnsi" w:cstheme="majorBidi"/>
      <w:i/>
      <w:iCs/>
      <w:color w:val="0B1C2C" w:themeColor="accent6" w:themeShade="80"/>
      <w:sz w:val="23"/>
      <w:szCs w:val="23"/>
    </w:rPr>
  </w:style>
  <w:style w:type="paragraph" w:styleId="Heading7">
    <w:name w:val="heading 7"/>
    <w:basedOn w:val="Normal"/>
    <w:next w:val="Normal"/>
    <w:link w:val="Heading7Char"/>
    <w:uiPriority w:val="9"/>
    <w:semiHidden/>
    <w:unhideWhenUsed/>
    <w:qFormat/>
    <w:rsid w:val="00F42177"/>
    <w:pPr>
      <w:keepNext/>
      <w:keepLines/>
      <w:spacing w:before="40" w:after="0"/>
      <w:outlineLvl w:val="6"/>
    </w:pPr>
    <w:rPr>
      <w:rFonts w:asciiTheme="majorHAnsi" w:eastAsiaTheme="majorEastAsia" w:hAnsiTheme="majorHAnsi" w:cstheme="majorBidi"/>
      <w:color w:val="172B39" w:themeColor="accent1" w:themeShade="80"/>
    </w:rPr>
  </w:style>
  <w:style w:type="paragraph" w:styleId="Heading8">
    <w:name w:val="heading 8"/>
    <w:basedOn w:val="Normal"/>
    <w:next w:val="Normal"/>
    <w:link w:val="Heading8Char"/>
    <w:uiPriority w:val="9"/>
    <w:semiHidden/>
    <w:unhideWhenUsed/>
    <w:qFormat/>
    <w:rsid w:val="00F42177"/>
    <w:pPr>
      <w:keepNext/>
      <w:keepLines/>
      <w:spacing w:before="40" w:after="0"/>
      <w:outlineLvl w:val="7"/>
    </w:pPr>
    <w:rPr>
      <w:rFonts w:asciiTheme="majorHAnsi" w:eastAsiaTheme="majorEastAsia" w:hAnsiTheme="majorHAnsi" w:cstheme="majorBidi"/>
      <w:color w:val="84490E" w:themeColor="accent2" w:themeShade="80"/>
      <w:sz w:val="21"/>
      <w:szCs w:val="21"/>
    </w:rPr>
  </w:style>
  <w:style w:type="paragraph" w:styleId="Heading9">
    <w:name w:val="heading 9"/>
    <w:basedOn w:val="Normal"/>
    <w:next w:val="Normal"/>
    <w:link w:val="Heading9Char"/>
    <w:uiPriority w:val="9"/>
    <w:semiHidden/>
    <w:unhideWhenUsed/>
    <w:qFormat/>
    <w:rsid w:val="00F42177"/>
    <w:pPr>
      <w:keepNext/>
      <w:keepLines/>
      <w:spacing w:before="40" w:after="0"/>
      <w:outlineLvl w:val="8"/>
    </w:pPr>
    <w:rPr>
      <w:rFonts w:asciiTheme="majorHAnsi" w:eastAsiaTheme="majorEastAsia" w:hAnsiTheme="majorHAnsi" w:cstheme="majorBidi"/>
      <w:color w:val="0B1C2C"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basedOn w:val="DefaultParagraphFont"/>
    <w:link w:val="Heading1"/>
    <w:uiPriority w:val="9"/>
    <w:rsid w:val="00F42177"/>
    <w:rPr>
      <w:rFonts w:asciiTheme="majorHAnsi" w:eastAsiaTheme="majorEastAsia" w:hAnsiTheme="majorHAnsi" w:cstheme="majorBidi"/>
      <w:color w:val="234156" w:themeColor="accent1" w:themeShade="BF"/>
      <w:sz w:val="30"/>
      <w:szCs w:val="30"/>
    </w:rPr>
  </w:style>
  <w:style w:type="paragraph" w:customStyle="1" w:styleId="Numberedtilelevel1">
    <w:name w:val="Numbered tile level 1"/>
    <w:basedOn w:val="Titlelevel1"/>
    <w:link w:val="Numberedtilelevel1Char"/>
    <w:qFormat/>
    <w:rsid w:val="00482FB6"/>
  </w:style>
  <w:style w:type="character" w:customStyle="1" w:styleId="Heading2Char">
    <w:name w:val="Heading 2 Char"/>
    <w:basedOn w:val="DefaultParagraphFont"/>
    <w:link w:val="Heading2"/>
    <w:uiPriority w:val="9"/>
    <w:semiHidden/>
    <w:rsid w:val="00940030"/>
    <w:rPr>
      <w:rFonts w:asciiTheme="majorHAnsi" w:eastAsiaTheme="majorEastAsia" w:hAnsiTheme="majorHAnsi" w:cstheme="majorBidi"/>
      <w:b/>
      <w:sz w:val="28"/>
      <w:szCs w:val="28"/>
    </w:rPr>
  </w:style>
  <w:style w:type="paragraph" w:customStyle="1" w:styleId="Numberedtitlelevel2">
    <w:name w:val="Numbered title level 2"/>
    <w:basedOn w:val="Titlelevel2"/>
    <w:next w:val="body"/>
    <w:rsid w:val="00482FB6"/>
    <w:pPr>
      <w:numPr>
        <w:ilvl w:val="1"/>
        <w:numId w:val="6"/>
      </w:numPr>
    </w:pPr>
  </w:style>
  <w:style w:type="paragraph" w:customStyle="1" w:styleId="Titlelevel2">
    <w:name w:val="Title level 2"/>
    <w:rsid w:val="005D4005"/>
    <w:pPr>
      <w:spacing w:before="240" w:after="240"/>
    </w:pPr>
    <w:rPr>
      <w:rFonts w:asciiTheme="majorHAnsi" w:eastAsiaTheme="majorEastAsia" w:hAnsiTheme="majorHAnsi" w:cstheme="majorBidi"/>
      <w:bCs/>
      <w:color w:val="2F5773" w:themeColor="text2"/>
      <w:sz w:val="32"/>
    </w:rPr>
  </w:style>
  <w:style w:type="paragraph" w:customStyle="1" w:styleId="body">
    <w:name w:val="body"/>
    <w:qFormat/>
    <w:rsid w:val="00CD4AF7"/>
    <w:pPr>
      <w:spacing w:before="240" w:after="120" w:line="276" w:lineRule="auto"/>
      <w:jc w:val="both"/>
    </w:pPr>
  </w:style>
  <w:style w:type="character" w:customStyle="1" w:styleId="Heading3Char">
    <w:name w:val="Heading 3 Char"/>
    <w:aliases w:val="Title 2 Char"/>
    <w:basedOn w:val="DefaultParagraphFont"/>
    <w:link w:val="Heading3"/>
    <w:uiPriority w:val="9"/>
    <w:semiHidden/>
    <w:rsid w:val="00F42177"/>
    <w:rPr>
      <w:rFonts w:asciiTheme="majorHAnsi" w:eastAsiaTheme="majorEastAsia" w:hAnsiTheme="majorHAnsi" w:cstheme="majorBidi"/>
      <w:color w:val="102B43" w:themeColor="accent6" w:themeShade="BF"/>
      <w:sz w:val="26"/>
      <w:szCs w:val="26"/>
    </w:rPr>
  </w:style>
  <w:style w:type="character" w:customStyle="1" w:styleId="Heading4Char">
    <w:name w:val="Heading 4 Char"/>
    <w:basedOn w:val="DefaultParagraphFont"/>
    <w:link w:val="Heading4"/>
    <w:uiPriority w:val="9"/>
    <w:semiHidden/>
    <w:rsid w:val="00F42177"/>
    <w:rPr>
      <w:rFonts w:asciiTheme="majorHAnsi" w:eastAsiaTheme="majorEastAsia" w:hAnsiTheme="majorHAnsi" w:cstheme="majorBidi"/>
      <w:i/>
      <w:iCs/>
      <w:color w:val="3D4C52" w:themeColor="accent5" w:themeShade="BF"/>
      <w:sz w:val="25"/>
      <w:szCs w:val="25"/>
    </w:rPr>
  </w:style>
  <w:style w:type="character" w:customStyle="1" w:styleId="Heading5Char">
    <w:name w:val="Heading 5 Char"/>
    <w:aliases w:val="Cover subtitle white Char"/>
    <w:basedOn w:val="DefaultParagraphFont"/>
    <w:link w:val="Heading5"/>
    <w:uiPriority w:val="9"/>
    <w:semiHidden/>
    <w:rsid w:val="00F42177"/>
    <w:rPr>
      <w:rFonts w:asciiTheme="majorHAnsi" w:eastAsiaTheme="majorEastAsia" w:hAnsiTheme="majorHAnsi" w:cstheme="majorBidi"/>
      <w:i/>
      <w:iCs/>
      <w:color w:val="84490E" w:themeColor="accent2" w:themeShade="80"/>
      <w:sz w:val="24"/>
      <w:szCs w:val="24"/>
    </w:rPr>
  </w:style>
  <w:style w:type="character" w:customStyle="1" w:styleId="Heading6Char">
    <w:name w:val="Heading 6 Char"/>
    <w:basedOn w:val="DefaultParagraphFont"/>
    <w:link w:val="Heading6"/>
    <w:uiPriority w:val="9"/>
    <w:semiHidden/>
    <w:rsid w:val="00F42177"/>
    <w:rPr>
      <w:rFonts w:asciiTheme="majorHAnsi" w:eastAsiaTheme="majorEastAsia" w:hAnsiTheme="majorHAnsi" w:cstheme="majorBidi"/>
      <w:i/>
      <w:iCs/>
      <w:color w:val="0B1C2C" w:themeColor="accent6" w:themeShade="80"/>
      <w:sz w:val="23"/>
      <w:szCs w:val="23"/>
    </w:rPr>
  </w:style>
  <w:style w:type="character" w:customStyle="1" w:styleId="Heading7Char">
    <w:name w:val="Heading 7 Char"/>
    <w:basedOn w:val="DefaultParagraphFont"/>
    <w:link w:val="Heading7"/>
    <w:uiPriority w:val="9"/>
    <w:semiHidden/>
    <w:rsid w:val="00F42177"/>
    <w:rPr>
      <w:rFonts w:asciiTheme="majorHAnsi" w:eastAsiaTheme="majorEastAsia" w:hAnsiTheme="majorHAnsi" w:cstheme="majorBidi"/>
      <w:color w:val="172B39" w:themeColor="accent1" w:themeShade="80"/>
    </w:rPr>
  </w:style>
  <w:style w:type="character" w:customStyle="1" w:styleId="Heading8Char">
    <w:name w:val="Heading 8 Char"/>
    <w:basedOn w:val="DefaultParagraphFont"/>
    <w:link w:val="Heading8"/>
    <w:uiPriority w:val="9"/>
    <w:semiHidden/>
    <w:rsid w:val="00F42177"/>
    <w:rPr>
      <w:rFonts w:asciiTheme="majorHAnsi" w:eastAsiaTheme="majorEastAsia" w:hAnsiTheme="majorHAnsi" w:cstheme="majorBidi"/>
      <w:color w:val="84490E" w:themeColor="accent2" w:themeShade="80"/>
      <w:sz w:val="21"/>
      <w:szCs w:val="21"/>
    </w:rPr>
  </w:style>
  <w:style w:type="character" w:customStyle="1" w:styleId="Heading9Char">
    <w:name w:val="Heading 9 Char"/>
    <w:basedOn w:val="DefaultParagraphFont"/>
    <w:link w:val="Heading9"/>
    <w:uiPriority w:val="9"/>
    <w:semiHidden/>
    <w:rsid w:val="00F42177"/>
    <w:rPr>
      <w:rFonts w:asciiTheme="majorHAnsi" w:eastAsiaTheme="majorEastAsia" w:hAnsiTheme="majorHAnsi" w:cstheme="majorBidi"/>
      <w:color w:val="0B1C2C" w:themeColor="accent6" w:themeShade="80"/>
    </w:rPr>
  </w:style>
  <w:style w:type="paragraph" w:styleId="BalloonText">
    <w:name w:val="Balloon Text"/>
    <w:basedOn w:val="Normal"/>
    <w:link w:val="BalloonTextChar"/>
    <w:uiPriority w:val="99"/>
    <w:semiHidden/>
    <w:rsid w:val="00372B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2AA7"/>
    <w:rPr>
      <w:rFonts w:ascii="Lucida Grande" w:hAnsi="Lucida Grande" w:cs="Lucida Grande"/>
      <w:sz w:val="18"/>
      <w:szCs w:val="18"/>
    </w:rPr>
  </w:style>
  <w:style w:type="paragraph" w:customStyle="1" w:styleId="Tableheader">
    <w:name w:val="Table header"/>
    <w:next w:val="Tabledata"/>
    <w:rsid w:val="00813BAC"/>
    <w:pPr>
      <w:spacing w:after="80"/>
    </w:pPr>
    <w:rPr>
      <w:rFonts w:ascii="Calibri" w:eastAsia="Times New Roman" w:hAnsi="Calibri" w:cs="Times New Roman"/>
      <w:b/>
      <w:color w:val="000000"/>
    </w:rPr>
  </w:style>
  <w:style w:type="paragraph" w:customStyle="1" w:styleId="Tabledata">
    <w:name w:val="Table data"/>
    <w:basedOn w:val="body"/>
    <w:rsid w:val="00455E0E"/>
    <w:pPr>
      <w:spacing w:before="120" w:line="240" w:lineRule="auto"/>
    </w:pPr>
    <w:rPr>
      <w:rFonts w:eastAsia="Times New Roman" w:cstheme="minorHAnsi"/>
      <w:bCs/>
      <w:color w:val="000000"/>
      <w:sz w:val="20"/>
      <w:lang w:eastAsia="en-GB"/>
    </w:rPr>
  </w:style>
  <w:style w:type="paragraph" w:customStyle="1" w:styleId="List1">
    <w:name w:val="List1"/>
    <w:autoRedefine/>
    <w:rsid w:val="008F3908"/>
    <w:pPr>
      <w:numPr>
        <w:numId w:val="4"/>
      </w:numPr>
    </w:pPr>
  </w:style>
  <w:style w:type="paragraph" w:styleId="Footer">
    <w:name w:val="footer"/>
    <w:basedOn w:val="Normal"/>
    <w:link w:val="FooterChar"/>
    <w:uiPriority w:val="99"/>
    <w:rsid w:val="00A00E34"/>
    <w:pPr>
      <w:tabs>
        <w:tab w:val="center" w:pos="4320"/>
        <w:tab w:val="right" w:pos="8640"/>
      </w:tabs>
    </w:pPr>
  </w:style>
  <w:style w:type="character" w:customStyle="1" w:styleId="FooterChar">
    <w:name w:val="Footer Char"/>
    <w:basedOn w:val="DefaultParagraphFont"/>
    <w:link w:val="Footer"/>
    <w:uiPriority w:val="99"/>
    <w:rsid w:val="00582AA7"/>
    <w:rPr>
      <w:sz w:val="22"/>
    </w:rPr>
  </w:style>
  <w:style w:type="table" w:styleId="TableGrid">
    <w:name w:val="Table Grid"/>
    <w:aliases w:val="Tabla CUADROS"/>
    <w:basedOn w:val="TableProfessional"/>
    <w:uiPriority w:val="59"/>
    <w:rsid w:val="00A14332"/>
    <w:rPr>
      <w:sz w:val="20"/>
      <w:szCs w:val="20"/>
      <w:lang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rsid w:val="00D560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rsid w:val="007A0054"/>
    <w:pPr>
      <w:numPr>
        <w:numId w:val="5"/>
      </w:numPr>
      <w:spacing w:before="240" w:after="120"/>
      <w:contextualSpacing/>
    </w:pPr>
  </w:style>
  <w:style w:type="paragraph" w:customStyle="1" w:styleId="Titlelevel1">
    <w:name w:val="Title level 1"/>
    <w:link w:val="Titlelevel1Char"/>
    <w:autoRedefine/>
    <w:rsid w:val="00471CA1"/>
    <w:pPr>
      <w:pBdr>
        <w:bottom w:val="single" w:sz="8" w:space="1" w:color="2F5773" w:themeColor="text2"/>
      </w:pBdr>
      <w:spacing w:before="360" w:after="600" w:line="560" w:lineRule="exact"/>
    </w:pPr>
    <w:rPr>
      <w:rFonts w:asciiTheme="majorHAnsi" w:eastAsiaTheme="majorEastAsia" w:hAnsiTheme="majorHAnsi" w:cstheme="majorBidi"/>
      <w:color w:val="2F5773" w:themeColor="text2"/>
      <w:spacing w:val="5"/>
      <w:kern w:val="28"/>
      <w:sz w:val="52"/>
      <w:szCs w:val="52"/>
    </w:rPr>
  </w:style>
  <w:style w:type="paragraph" w:customStyle="1" w:styleId="Titlelevel3">
    <w:name w:val="Title level 3"/>
    <w:rsid w:val="005D4005"/>
    <w:pPr>
      <w:spacing w:before="240" w:after="240"/>
    </w:pPr>
    <w:rPr>
      <w:b/>
      <w:color w:val="2F5773" w:themeColor="text2"/>
    </w:rPr>
  </w:style>
  <w:style w:type="paragraph" w:customStyle="1" w:styleId="Titlelevel4">
    <w:name w:val="Title level 4"/>
    <w:next w:val="body"/>
    <w:rsid w:val="00AE55F6"/>
    <w:pPr>
      <w:spacing w:before="240" w:after="240"/>
    </w:pPr>
    <w:rPr>
      <w:color w:val="E98E31" w:themeColor="background2"/>
    </w:rPr>
  </w:style>
  <w:style w:type="paragraph" w:customStyle="1" w:styleId="Figuretitle">
    <w:name w:val="Figure title"/>
    <w:basedOn w:val="body"/>
    <w:next w:val="Normal"/>
    <w:autoRedefine/>
    <w:rsid w:val="003221EF"/>
    <w:pPr>
      <w:keepNext/>
      <w:spacing w:before="360" w:after="360"/>
    </w:pPr>
    <w:rPr>
      <w:rFonts w:eastAsia="Times New Roman" w:cs="Times New Roman"/>
      <w:bCs/>
      <w:noProof/>
      <w:color w:val="2F5773" w:themeColor="text2"/>
      <w:szCs w:val="20"/>
      <w:lang w:eastAsia="en-GB"/>
    </w:rPr>
  </w:style>
  <w:style w:type="table" w:customStyle="1" w:styleId="EBAtable">
    <w:name w:val="EBA table"/>
    <w:basedOn w:val="TableNormal"/>
    <w:uiPriority w:val="99"/>
    <w:rsid w:val="002434B0"/>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98E31" w:themeColor="background2"/>
          <w:right w:val="nil"/>
          <w:insideH w:val="nil"/>
          <w:insideV w:val="nil"/>
          <w:tl2br w:val="nil"/>
          <w:tr2bl w:val="nil"/>
        </w:tcBorders>
      </w:tcPr>
    </w:tblStylePr>
    <w:tblStylePr w:type="lastRow">
      <w:tblPr/>
      <w:tcPr>
        <w:tcBorders>
          <w:top w:val="nil"/>
          <w:left w:val="nil"/>
          <w:bottom w:val="single" w:sz="4" w:space="0" w:color="E98E31" w:themeColor="background2"/>
          <w:right w:val="nil"/>
          <w:insideH w:val="nil"/>
          <w:insideV w:val="nil"/>
          <w:tl2br w:val="nil"/>
          <w:tr2bl w:val="nil"/>
        </w:tcBorders>
      </w:tcPr>
    </w:tblStylePr>
  </w:style>
  <w:style w:type="character" w:styleId="PageNumber">
    <w:name w:val="page number"/>
    <w:basedOn w:val="DefaultParagraphFont"/>
    <w:uiPriority w:val="99"/>
    <w:semiHidden/>
    <w:rsid w:val="00610305"/>
    <w:rPr>
      <w:rFonts w:asciiTheme="minorHAnsi" w:hAnsiTheme="minorHAnsi"/>
      <w:color w:val="auto"/>
      <w:sz w:val="22"/>
    </w:rPr>
  </w:style>
  <w:style w:type="paragraph" w:customStyle="1" w:styleId="Runningtitle">
    <w:name w:val="Running title"/>
    <w:rsid w:val="009F53AF"/>
    <w:rPr>
      <w:caps/>
      <w:sz w:val="16"/>
      <w:szCs w:val="18"/>
    </w:rPr>
  </w:style>
  <w:style w:type="paragraph" w:styleId="FootnoteText">
    <w:name w:val="footnote text"/>
    <w:basedOn w:val="body"/>
    <w:link w:val="FootnoteTextChar"/>
    <w:autoRedefine/>
    <w:rsid w:val="00DB5E8F"/>
    <w:pPr>
      <w:spacing w:before="80" w:after="0" w:line="200" w:lineRule="exact"/>
    </w:pPr>
    <w:rPr>
      <w:sz w:val="18"/>
      <w:szCs w:val="18"/>
    </w:rPr>
  </w:style>
  <w:style w:type="character" w:customStyle="1" w:styleId="FootnoteTextChar">
    <w:name w:val="Footnote Text Char"/>
    <w:basedOn w:val="DefaultParagraphFont"/>
    <w:link w:val="FootnoteText"/>
    <w:rsid w:val="00582AA7"/>
    <w:rPr>
      <w:sz w:val="18"/>
      <w:szCs w:val="18"/>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basedOn w:val="DefaultParagraphFont"/>
    <w:rsid w:val="00B13C87"/>
    <w:rPr>
      <w:rFonts w:asciiTheme="minorHAnsi" w:hAnsiTheme="minorHAnsi"/>
      <w:sz w:val="22"/>
      <w:szCs w:val="18"/>
      <w:vertAlign w:val="superscript"/>
    </w:rPr>
  </w:style>
  <w:style w:type="paragraph" w:customStyle="1" w:styleId="bullet1">
    <w:name w:val="bullet 1"/>
    <w:basedOn w:val="body"/>
    <w:next w:val="body"/>
    <w:rsid w:val="001C5BC2"/>
    <w:pPr>
      <w:numPr>
        <w:numId w:val="2"/>
      </w:numPr>
    </w:pPr>
  </w:style>
  <w:style w:type="paragraph" w:styleId="TOC1">
    <w:name w:val="toc 1"/>
    <w:autoRedefine/>
    <w:uiPriority w:val="39"/>
    <w:rsid w:val="001F4C02"/>
    <w:pPr>
      <w:tabs>
        <w:tab w:val="right" w:pos="8771"/>
      </w:tabs>
      <w:spacing w:before="120" w:after="120"/>
      <w:ind w:left="426" w:hanging="426"/>
      <w:outlineLvl w:val="0"/>
    </w:pPr>
    <w:rPr>
      <w:b/>
      <w:bCs/>
      <w:noProof/>
      <w:color w:val="2F5773" w:themeColor="text2"/>
    </w:rPr>
  </w:style>
  <w:style w:type="paragraph" w:styleId="TOC2">
    <w:name w:val="toc 2"/>
    <w:next w:val="Normal"/>
    <w:autoRedefine/>
    <w:uiPriority w:val="39"/>
    <w:rsid w:val="00C41927"/>
    <w:pPr>
      <w:tabs>
        <w:tab w:val="left" w:pos="529"/>
        <w:tab w:val="right" w:pos="8771"/>
      </w:tabs>
      <w:spacing w:before="80" w:after="80"/>
    </w:pPr>
    <w:rPr>
      <w:noProof/>
    </w:rPr>
  </w:style>
  <w:style w:type="paragraph" w:styleId="TOC3">
    <w:name w:val="toc 3"/>
    <w:basedOn w:val="Normal"/>
    <w:next w:val="Normal"/>
    <w:autoRedefine/>
    <w:uiPriority w:val="39"/>
    <w:rsid w:val="00663B0A"/>
    <w:pPr>
      <w:tabs>
        <w:tab w:val="right" w:pos="8771"/>
      </w:tabs>
      <w:ind w:left="567"/>
    </w:pPr>
  </w:style>
  <w:style w:type="paragraph" w:styleId="TOC4">
    <w:name w:val="toc 4"/>
    <w:basedOn w:val="Normal"/>
    <w:next w:val="Normal"/>
    <w:autoRedefine/>
    <w:uiPriority w:val="39"/>
    <w:rsid w:val="00EE456B"/>
    <w:pPr>
      <w:tabs>
        <w:tab w:val="right" w:pos="8771"/>
      </w:tabs>
      <w:ind w:left="1134"/>
    </w:pPr>
  </w:style>
  <w:style w:type="paragraph" w:customStyle="1" w:styleId="bullet2">
    <w:name w:val="bullet 2"/>
    <w:basedOn w:val="body"/>
    <w:rsid w:val="001C5BC2"/>
    <w:pPr>
      <w:numPr>
        <w:numId w:val="1"/>
      </w:numPr>
    </w:pPr>
  </w:style>
  <w:style w:type="paragraph" w:customStyle="1" w:styleId="Numberedtitlelevel3">
    <w:name w:val="Numbered title level 3"/>
    <w:basedOn w:val="Titlelevel3"/>
    <w:next w:val="body"/>
    <w:rsid w:val="008F3908"/>
    <w:pPr>
      <w:numPr>
        <w:ilvl w:val="2"/>
        <w:numId w:val="6"/>
      </w:numPr>
    </w:pPr>
  </w:style>
  <w:style w:type="table" w:styleId="LightShading">
    <w:name w:val="Light Shading"/>
    <w:basedOn w:val="TableNormal"/>
    <w:uiPriority w:val="60"/>
    <w:rsid w:val="00F942C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5301B"/>
    <w:rPr>
      <w:color w:val="234156" w:themeColor="accent1" w:themeShade="BF"/>
    </w:rPr>
    <w:tblPr>
      <w:tblStyleRowBandSize w:val="1"/>
      <w:tblStyleColBandSize w:val="1"/>
      <w:tblBorders>
        <w:top w:val="single" w:sz="8" w:space="0" w:color="2F5773" w:themeColor="accent1"/>
        <w:bottom w:val="single" w:sz="8" w:space="0" w:color="2F5773" w:themeColor="accent1"/>
      </w:tblBorders>
    </w:tblPr>
    <w:tblStylePr w:type="fir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lastRow">
      <w:pPr>
        <w:spacing w:before="0" w:after="0" w:line="240" w:lineRule="auto"/>
      </w:pPr>
      <w:rPr>
        <w:b/>
        <w:bCs/>
      </w:rPr>
      <w:tblPr/>
      <w:tcPr>
        <w:tcBorders>
          <w:top w:val="single" w:sz="8" w:space="0" w:color="2F5773" w:themeColor="accent1"/>
          <w:left w:val="nil"/>
          <w:bottom w:val="single" w:sz="8" w:space="0" w:color="2F577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hemeFill="accent1" w:themeFillTint="3F"/>
      </w:tcPr>
    </w:tblStylePr>
    <w:tblStylePr w:type="band1Horz">
      <w:tblPr/>
      <w:tcPr>
        <w:tcBorders>
          <w:left w:val="nil"/>
          <w:right w:val="nil"/>
          <w:insideH w:val="nil"/>
          <w:insideV w:val="nil"/>
        </w:tcBorders>
        <w:shd w:val="clear" w:color="auto" w:fill="C1D7E6" w:themeFill="accent1" w:themeFillTint="3F"/>
      </w:tcPr>
    </w:tblStylePr>
  </w:style>
  <w:style w:type="paragraph" w:customStyle="1" w:styleId="Contenttitle">
    <w:name w:val="Content title"/>
    <w:basedOn w:val="Titlelevel1"/>
    <w:rsid w:val="00172007"/>
  </w:style>
  <w:style w:type="paragraph" w:customStyle="1" w:styleId="Numberedtitlelevel4">
    <w:name w:val="Numbered title level 4"/>
    <w:basedOn w:val="Titlelevel4"/>
    <w:rsid w:val="005D4005"/>
    <w:pPr>
      <w:numPr>
        <w:numId w:val="3"/>
      </w:numPr>
    </w:pPr>
  </w:style>
  <w:style w:type="paragraph" w:styleId="Header">
    <w:name w:val="header"/>
    <w:basedOn w:val="Normal"/>
    <w:link w:val="HeaderChar"/>
    <w:uiPriority w:val="99"/>
    <w:semiHidden/>
    <w:rsid w:val="00A92440"/>
    <w:pPr>
      <w:tabs>
        <w:tab w:val="center" w:pos="4320"/>
        <w:tab w:val="right" w:pos="8640"/>
      </w:tabs>
    </w:pPr>
  </w:style>
  <w:style w:type="character" w:customStyle="1" w:styleId="HeaderChar">
    <w:name w:val="Header Char"/>
    <w:basedOn w:val="DefaultParagraphFont"/>
    <w:link w:val="Header"/>
    <w:uiPriority w:val="99"/>
    <w:semiHidden/>
    <w:rsid w:val="00582AA7"/>
    <w:rPr>
      <w:sz w:val="22"/>
    </w:rPr>
  </w:style>
  <w:style w:type="paragraph" w:styleId="Title">
    <w:name w:val="Title"/>
    <w:basedOn w:val="Normal"/>
    <w:next w:val="Normal"/>
    <w:link w:val="TitleChar"/>
    <w:uiPriority w:val="10"/>
    <w:qFormat/>
    <w:rsid w:val="00F42177"/>
    <w:pPr>
      <w:spacing w:after="0" w:line="240" w:lineRule="auto"/>
      <w:contextualSpacing/>
    </w:pPr>
    <w:rPr>
      <w:rFonts w:asciiTheme="majorHAnsi" w:eastAsiaTheme="majorEastAsia" w:hAnsiTheme="majorHAnsi" w:cstheme="majorBidi"/>
      <w:color w:val="234156" w:themeColor="accent1" w:themeShade="BF"/>
      <w:spacing w:val="-10"/>
      <w:sz w:val="52"/>
      <w:szCs w:val="52"/>
    </w:rPr>
  </w:style>
  <w:style w:type="character" w:customStyle="1" w:styleId="TitleChar">
    <w:name w:val="Title Char"/>
    <w:basedOn w:val="DefaultParagraphFont"/>
    <w:link w:val="Title"/>
    <w:uiPriority w:val="10"/>
    <w:rsid w:val="00F42177"/>
    <w:rPr>
      <w:rFonts w:asciiTheme="majorHAnsi" w:eastAsiaTheme="majorEastAsia" w:hAnsiTheme="majorHAnsi" w:cstheme="majorBidi"/>
      <w:color w:val="234156" w:themeColor="accent1" w:themeShade="BF"/>
      <w:spacing w:val="-10"/>
      <w:sz w:val="52"/>
      <w:szCs w:val="52"/>
    </w:rPr>
  </w:style>
  <w:style w:type="paragraph" w:styleId="TableofFigures">
    <w:name w:val="table of figures"/>
    <w:basedOn w:val="Normal"/>
    <w:next w:val="Normal"/>
    <w:autoRedefine/>
    <w:uiPriority w:val="99"/>
    <w:rsid w:val="00172007"/>
    <w:pPr>
      <w:spacing w:before="160"/>
    </w:pPr>
  </w:style>
  <w:style w:type="paragraph" w:styleId="Subtitle">
    <w:name w:val="Subtitle"/>
    <w:basedOn w:val="Normal"/>
    <w:next w:val="Normal"/>
    <w:link w:val="SubtitleChar"/>
    <w:uiPriority w:val="11"/>
    <w:qFormat/>
    <w:rsid w:val="00F42177"/>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42177"/>
    <w:rPr>
      <w:rFonts w:asciiTheme="majorHAnsi" w:eastAsiaTheme="majorEastAsia" w:hAnsiTheme="majorHAnsi" w:cstheme="majorBidi"/>
    </w:rPr>
  </w:style>
  <w:style w:type="character" w:styleId="BookTitle">
    <w:name w:val="Book Title"/>
    <w:basedOn w:val="DefaultParagraphFont"/>
    <w:uiPriority w:val="33"/>
    <w:qFormat/>
    <w:rsid w:val="00F42177"/>
    <w:rPr>
      <w:b/>
      <w:bCs/>
      <w:smallCaps/>
    </w:rPr>
  </w:style>
  <w:style w:type="character" w:customStyle="1" w:styleId="Highlighttext">
    <w:name w:val="Highlight text"/>
    <w:basedOn w:val="DefaultParagraphFont"/>
    <w:uiPriority w:val="1"/>
    <w:semiHidden/>
    <w:rsid w:val="00AE55F6"/>
    <w:rPr>
      <w:rFonts w:asciiTheme="minorHAnsi" w:hAnsiTheme="minorHAnsi"/>
      <w:b/>
      <w:bCs/>
      <w:caps w:val="0"/>
      <w:smallCaps w:val="0"/>
      <w:color w:val="E98E31" w:themeColor="background2"/>
      <w:sz w:val="22"/>
      <w:szCs w:val="22"/>
    </w:rPr>
  </w:style>
  <w:style w:type="paragraph" w:customStyle="1" w:styleId="abbreviation">
    <w:name w:val="abbreviation"/>
    <w:basedOn w:val="Tableheader"/>
    <w:rsid w:val="00455E0E"/>
    <w:rPr>
      <w:bCs/>
      <w:lang w:eastAsia="en-GB"/>
    </w:rPr>
  </w:style>
  <w:style w:type="paragraph" w:styleId="ListBullet">
    <w:name w:val="List Bullet"/>
    <w:basedOn w:val="Normal"/>
    <w:semiHidden/>
    <w:rsid w:val="00A304D0"/>
    <w:pPr>
      <w:numPr>
        <w:numId w:val="8"/>
      </w:numPr>
      <w:contextualSpacing/>
    </w:pPr>
  </w:style>
  <w:style w:type="character" w:styleId="Hyperlink">
    <w:name w:val="Hyperlink"/>
    <w:basedOn w:val="DefaultParagraphFont"/>
    <w:uiPriority w:val="99"/>
    <w:rsid w:val="00392385"/>
    <w:rPr>
      <w:color w:val="2F5773" w:themeColor="hyperlink"/>
      <w:u w:val="single"/>
    </w:rPr>
  </w:style>
  <w:style w:type="paragraph" w:customStyle="1" w:styleId="numberedparagraph">
    <w:name w:val="numbered paragraph"/>
    <w:basedOn w:val="body"/>
    <w:rsid w:val="00E22BCE"/>
    <w:pPr>
      <w:numPr>
        <w:numId w:val="7"/>
      </w:numPr>
    </w:pPr>
  </w:style>
  <w:style w:type="paragraph" w:styleId="TOC5">
    <w:name w:val="toc 5"/>
    <w:basedOn w:val="Normal"/>
    <w:next w:val="Normal"/>
    <w:autoRedefine/>
    <w:uiPriority w:val="39"/>
    <w:semiHidden/>
    <w:rsid w:val="00B526A8"/>
    <w:pPr>
      <w:ind w:left="880"/>
    </w:pPr>
  </w:style>
  <w:style w:type="paragraph" w:styleId="TOC6">
    <w:name w:val="toc 6"/>
    <w:basedOn w:val="Normal"/>
    <w:next w:val="Normal"/>
    <w:autoRedefine/>
    <w:uiPriority w:val="39"/>
    <w:semiHidden/>
    <w:rsid w:val="00B526A8"/>
    <w:pPr>
      <w:ind w:left="1100"/>
    </w:pPr>
  </w:style>
  <w:style w:type="paragraph" w:styleId="TOC7">
    <w:name w:val="toc 7"/>
    <w:basedOn w:val="Normal"/>
    <w:next w:val="Normal"/>
    <w:autoRedefine/>
    <w:uiPriority w:val="39"/>
    <w:semiHidden/>
    <w:rsid w:val="00B526A8"/>
    <w:pPr>
      <w:ind w:left="1320"/>
    </w:pPr>
  </w:style>
  <w:style w:type="paragraph" w:styleId="TOC8">
    <w:name w:val="toc 8"/>
    <w:basedOn w:val="Normal"/>
    <w:next w:val="Normal"/>
    <w:autoRedefine/>
    <w:uiPriority w:val="39"/>
    <w:semiHidden/>
    <w:rsid w:val="00B526A8"/>
    <w:pPr>
      <w:ind w:left="1540"/>
    </w:pPr>
  </w:style>
  <w:style w:type="paragraph" w:styleId="TOC9">
    <w:name w:val="toc 9"/>
    <w:basedOn w:val="Normal"/>
    <w:next w:val="Normal"/>
    <w:autoRedefine/>
    <w:uiPriority w:val="39"/>
    <w:semiHidden/>
    <w:rsid w:val="00B526A8"/>
    <w:pPr>
      <w:ind w:left="1760"/>
    </w:pPr>
  </w:style>
  <w:style w:type="paragraph" w:customStyle="1" w:styleId="Default">
    <w:name w:val="Default"/>
    <w:rsid w:val="000C7FD8"/>
    <w:pPr>
      <w:autoSpaceDE w:val="0"/>
      <w:autoSpaceDN w:val="0"/>
      <w:adjustRightInd w:val="0"/>
    </w:pPr>
    <w:rPr>
      <w:rFonts w:ascii="Calibri" w:eastAsiaTheme="minorHAnsi" w:hAnsi="Calibri" w:cs="Calibri"/>
      <w:color w:val="000000"/>
    </w:rPr>
  </w:style>
  <w:style w:type="paragraph" w:styleId="TOCHeading">
    <w:name w:val="TOC Heading"/>
    <w:basedOn w:val="Heading1"/>
    <w:next w:val="Normal"/>
    <w:uiPriority w:val="39"/>
    <w:unhideWhenUsed/>
    <w:qFormat/>
    <w:rsid w:val="00F42177"/>
    <w:pPr>
      <w:outlineLvl w:val="9"/>
    </w:pPr>
  </w:style>
  <w:style w:type="character" w:customStyle="1" w:styleId="Marker">
    <w:name w:val="Marker"/>
    <w:rsid w:val="00B43E07"/>
    <w:rPr>
      <w:color w:val="0000FF"/>
      <w:shd w:val="clear" w:color="auto" w:fill="auto"/>
    </w:rPr>
  </w:style>
  <w:style w:type="character" w:customStyle="1" w:styleId="Marker2">
    <w:name w:val="Marker2"/>
    <w:rsid w:val="00B43E07"/>
    <w:rPr>
      <w:color w:val="FF0000"/>
      <w:shd w:val="clear" w:color="auto" w:fill="auto"/>
    </w:rPr>
  </w:style>
  <w:style w:type="paragraph" w:customStyle="1" w:styleId="Annexetitre">
    <w:name w:val="Annexe titre"/>
    <w:basedOn w:val="Normal"/>
    <w:next w:val="Normal"/>
    <w:rsid w:val="00B43E07"/>
    <w:pPr>
      <w:spacing w:before="120" w:after="120"/>
      <w:jc w:val="center"/>
    </w:pPr>
    <w:rPr>
      <w:rFonts w:ascii="Times New Roman" w:eastAsia="Times New Roman" w:hAnsi="Times New Roman" w:cs="Times New Roman"/>
      <w:b/>
      <w:sz w:val="24"/>
      <w:u w:val="single"/>
    </w:rPr>
  </w:style>
  <w:style w:type="paragraph" w:customStyle="1" w:styleId="Applicationdirecte">
    <w:name w:val="Application directe"/>
    <w:basedOn w:val="Normal"/>
    <w:next w:val="Fait"/>
    <w:rsid w:val="00B43E07"/>
    <w:pPr>
      <w:spacing w:before="480" w:after="120"/>
      <w:jc w:val="both"/>
    </w:pPr>
    <w:rPr>
      <w:rFonts w:ascii="Times New Roman" w:eastAsia="Times New Roman" w:hAnsi="Times New Roman" w:cs="Times New Roman"/>
      <w:sz w:val="24"/>
    </w:rPr>
  </w:style>
  <w:style w:type="paragraph" w:customStyle="1" w:styleId="Considrant">
    <w:name w:val="Considérant"/>
    <w:basedOn w:val="Normal"/>
    <w:rsid w:val="00B43E07"/>
    <w:pPr>
      <w:numPr>
        <w:numId w:val="9"/>
      </w:numPr>
      <w:spacing w:before="120" w:after="120"/>
      <w:jc w:val="both"/>
    </w:pPr>
    <w:rPr>
      <w:rFonts w:ascii="Times New Roman" w:eastAsia="Times New Roman" w:hAnsi="Times New Roman" w:cs="Times New Roman"/>
      <w:sz w:val="24"/>
    </w:rPr>
  </w:style>
  <w:style w:type="paragraph" w:customStyle="1" w:styleId="Datedadoption">
    <w:name w:val="Date d'adoption"/>
    <w:basedOn w:val="Normal"/>
    <w:next w:val="Titreobjet"/>
    <w:rsid w:val="00B43E07"/>
    <w:pPr>
      <w:spacing w:before="360"/>
      <w:jc w:val="center"/>
    </w:pPr>
    <w:rPr>
      <w:rFonts w:ascii="Times New Roman" w:eastAsia="Times New Roman" w:hAnsi="Times New Roman" w:cs="Times New Roman"/>
      <w:b/>
      <w:sz w:val="24"/>
    </w:rPr>
  </w:style>
  <w:style w:type="paragraph" w:customStyle="1" w:styleId="Fait">
    <w:name w:val="Fait à"/>
    <w:basedOn w:val="Normal"/>
    <w:next w:val="Institutionquisigne"/>
    <w:rsid w:val="00B43E07"/>
    <w:pPr>
      <w:keepNext/>
      <w:spacing w:before="120"/>
      <w:jc w:val="both"/>
    </w:pPr>
    <w:rPr>
      <w:rFonts w:ascii="Times New Roman" w:eastAsia="Times New Roman" w:hAnsi="Times New Roman" w:cs="Times New Roman"/>
      <w:sz w:val="24"/>
    </w:rPr>
  </w:style>
  <w:style w:type="paragraph" w:customStyle="1" w:styleId="Formuledadoption">
    <w:name w:val="Formule d'adoption"/>
    <w:basedOn w:val="Normal"/>
    <w:next w:val="Titrearticle"/>
    <w:rsid w:val="00B43E07"/>
    <w:pPr>
      <w:keepNext/>
      <w:spacing w:before="120" w:after="120"/>
      <w:jc w:val="both"/>
    </w:pPr>
    <w:rPr>
      <w:rFonts w:ascii="Times New Roman" w:eastAsia="Times New Roman" w:hAnsi="Times New Roman" w:cs="Times New Roman"/>
      <w:sz w:val="24"/>
    </w:rPr>
  </w:style>
  <w:style w:type="paragraph" w:customStyle="1" w:styleId="Institutionquisigne">
    <w:name w:val="Institution qui signe"/>
    <w:basedOn w:val="Normal"/>
    <w:next w:val="Personnequisigne"/>
    <w:rsid w:val="00B43E07"/>
    <w:pPr>
      <w:keepNext/>
      <w:tabs>
        <w:tab w:val="left" w:pos="4252"/>
      </w:tabs>
      <w:spacing w:before="720"/>
      <w:jc w:val="both"/>
    </w:pPr>
    <w:rPr>
      <w:rFonts w:ascii="Times New Roman" w:eastAsia="Times New Roman" w:hAnsi="Times New Roman" w:cs="Times New Roman"/>
      <w:i/>
      <w:sz w:val="24"/>
    </w:rPr>
  </w:style>
  <w:style w:type="paragraph" w:customStyle="1" w:styleId="Personnequisigne">
    <w:name w:val="Personne qui signe"/>
    <w:basedOn w:val="Normal"/>
    <w:next w:val="Institutionquisigne"/>
    <w:rsid w:val="00B43E07"/>
    <w:pPr>
      <w:tabs>
        <w:tab w:val="left" w:pos="4252"/>
      </w:tabs>
    </w:pPr>
    <w:rPr>
      <w:rFonts w:ascii="Times New Roman" w:eastAsia="Times New Roman" w:hAnsi="Times New Roman" w:cs="Times New Roman"/>
      <w:i/>
      <w:sz w:val="24"/>
    </w:rPr>
  </w:style>
  <w:style w:type="paragraph" w:customStyle="1" w:styleId="Titrearticle">
    <w:name w:val="Titre article"/>
    <w:basedOn w:val="Normal"/>
    <w:next w:val="Normal"/>
    <w:rsid w:val="00B43E07"/>
    <w:pPr>
      <w:keepNext/>
      <w:spacing w:before="360" w:after="120"/>
      <w:jc w:val="center"/>
    </w:pPr>
    <w:rPr>
      <w:rFonts w:ascii="Times New Roman" w:eastAsia="Times New Roman" w:hAnsi="Times New Roman" w:cs="Times New Roman"/>
      <w:i/>
      <w:sz w:val="24"/>
    </w:rPr>
  </w:style>
  <w:style w:type="paragraph" w:customStyle="1" w:styleId="Titreobjet">
    <w:name w:val="Titre objet"/>
    <w:basedOn w:val="Normal"/>
    <w:next w:val="Normal"/>
    <w:rsid w:val="00B43E07"/>
    <w:pPr>
      <w:spacing w:before="360" w:after="360"/>
      <w:jc w:val="center"/>
    </w:pPr>
    <w:rPr>
      <w:rFonts w:ascii="Times New Roman" w:eastAsia="Times New Roman" w:hAnsi="Times New Roman" w:cs="Times New Roman"/>
      <w:b/>
      <w:sz w:val="24"/>
    </w:rPr>
  </w:style>
  <w:style w:type="paragraph" w:customStyle="1" w:styleId="Typedudocument">
    <w:name w:val="Type du document"/>
    <w:basedOn w:val="Normal"/>
    <w:next w:val="Titreobjet"/>
    <w:rsid w:val="00B43E07"/>
    <w:pPr>
      <w:spacing w:before="360"/>
      <w:jc w:val="center"/>
    </w:pPr>
    <w:rPr>
      <w:rFonts w:ascii="Times New Roman" w:eastAsia="Times New Roman" w:hAnsi="Times New Roman" w:cs="Times New Roman"/>
      <w:b/>
      <w:sz w:val="24"/>
    </w:rPr>
  </w:style>
  <w:style w:type="paragraph" w:customStyle="1" w:styleId="Pagedecouverture">
    <w:name w:val="Page de couverture"/>
    <w:basedOn w:val="Normal"/>
    <w:next w:val="Normal"/>
    <w:rsid w:val="00B43E07"/>
    <w:pPr>
      <w:spacing w:before="120" w:after="120"/>
      <w:jc w:val="both"/>
    </w:pPr>
    <w:rPr>
      <w:rFonts w:ascii="Times New Roman" w:eastAsia="Times New Roman" w:hAnsi="Times New Roman" w:cs="Times New Roman"/>
      <w:sz w:val="24"/>
    </w:rPr>
  </w:style>
  <w:style w:type="paragraph" w:customStyle="1" w:styleId="Institutionquiagit">
    <w:name w:val="Institution qui agit"/>
    <w:basedOn w:val="Normal"/>
    <w:next w:val="Normal"/>
    <w:rsid w:val="00B43E07"/>
    <w:pPr>
      <w:keepNext/>
      <w:spacing w:before="600" w:after="120"/>
      <w:jc w:val="both"/>
    </w:pPr>
    <w:rPr>
      <w:rFonts w:ascii="Times New Roman" w:eastAsia="Times New Roman" w:hAnsi="Times New Roman" w:cs="Times New Roman"/>
      <w:sz w:val="24"/>
    </w:rPr>
  </w:style>
  <w:style w:type="paragraph" w:styleId="ListParagraph">
    <w:name w:val="List Paragraph"/>
    <w:basedOn w:val="Normal"/>
    <w:uiPriority w:val="34"/>
    <w:qFormat/>
    <w:rsid w:val="009F12DA"/>
    <w:pPr>
      <w:ind w:left="720"/>
      <w:contextualSpacing/>
    </w:pPr>
  </w:style>
  <w:style w:type="character" w:styleId="CommentReference">
    <w:name w:val="annotation reference"/>
    <w:basedOn w:val="DefaultParagraphFont"/>
    <w:uiPriority w:val="99"/>
    <w:semiHidden/>
    <w:unhideWhenUsed/>
    <w:rsid w:val="00E7159B"/>
    <w:rPr>
      <w:sz w:val="16"/>
      <w:szCs w:val="16"/>
    </w:rPr>
  </w:style>
  <w:style w:type="paragraph" w:styleId="CommentText">
    <w:name w:val="annotation text"/>
    <w:basedOn w:val="Normal"/>
    <w:link w:val="CommentTextChar"/>
    <w:uiPriority w:val="99"/>
    <w:unhideWhenUsed/>
    <w:rsid w:val="00E7159B"/>
    <w:rPr>
      <w:sz w:val="20"/>
      <w:szCs w:val="20"/>
    </w:rPr>
  </w:style>
  <w:style w:type="character" w:customStyle="1" w:styleId="CommentTextChar">
    <w:name w:val="Comment Text Char"/>
    <w:basedOn w:val="DefaultParagraphFont"/>
    <w:link w:val="CommentText"/>
    <w:uiPriority w:val="99"/>
    <w:rsid w:val="00E7159B"/>
    <w:rPr>
      <w:sz w:val="20"/>
      <w:szCs w:val="20"/>
    </w:rPr>
  </w:style>
  <w:style w:type="paragraph" w:styleId="CommentSubject">
    <w:name w:val="annotation subject"/>
    <w:basedOn w:val="CommentText"/>
    <w:next w:val="CommentText"/>
    <w:link w:val="CommentSubjectChar"/>
    <w:uiPriority w:val="99"/>
    <w:semiHidden/>
    <w:unhideWhenUsed/>
    <w:rsid w:val="00E7159B"/>
    <w:rPr>
      <w:b/>
      <w:bCs/>
    </w:rPr>
  </w:style>
  <w:style w:type="character" w:customStyle="1" w:styleId="CommentSubjectChar">
    <w:name w:val="Comment Subject Char"/>
    <w:basedOn w:val="CommentTextChar"/>
    <w:link w:val="CommentSubject"/>
    <w:uiPriority w:val="99"/>
    <w:semiHidden/>
    <w:rsid w:val="00E7159B"/>
    <w:rPr>
      <w:b/>
      <w:bCs/>
      <w:sz w:val="20"/>
      <w:szCs w:val="20"/>
    </w:rPr>
  </w:style>
  <w:style w:type="paragraph" w:styleId="Caption">
    <w:name w:val="caption"/>
    <w:basedOn w:val="Normal"/>
    <w:next w:val="Normal"/>
    <w:uiPriority w:val="35"/>
    <w:unhideWhenUsed/>
    <w:qFormat/>
    <w:rsid w:val="00F42177"/>
    <w:pPr>
      <w:spacing w:line="240" w:lineRule="auto"/>
    </w:pPr>
    <w:rPr>
      <w:b/>
      <w:bCs/>
      <w:smallCaps/>
      <w:color w:val="2F5773" w:themeColor="accent1"/>
      <w:spacing w:val="6"/>
    </w:rPr>
  </w:style>
  <w:style w:type="paragraph" w:customStyle="1" w:styleId="Point1letter">
    <w:name w:val="Point 1 (letter)"/>
    <w:basedOn w:val="Normal"/>
    <w:rsid w:val="003956D6"/>
    <w:pPr>
      <w:widowControl w:val="0"/>
      <w:tabs>
        <w:tab w:val="left" w:pos="709"/>
      </w:tabs>
      <w:adjustRightInd w:val="0"/>
      <w:spacing w:before="120" w:after="120"/>
      <w:jc w:val="both"/>
      <w:textAlignment w:val="baseline"/>
    </w:pPr>
    <w:rPr>
      <w:rFonts w:ascii="Times New Roman" w:eastAsia="Times New Roman" w:hAnsi="Times New Roman" w:cs="Times New Roman"/>
      <w:color w:val="000000"/>
      <w:sz w:val="24"/>
      <w:szCs w:val="20"/>
      <w:lang w:eastAsia="en-GB"/>
    </w:rPr>
  </w:style>
  <w:style w:type="paragraph" w:customStyle="1" w:styleId="Point2number">
    <w:name w:val="Point 2 (number)"/>
    <w:basedOn w:val="Normal"/>
    <w:rsid w:val="003956D6"/>
    <w:pPr>
      <w:widowControl w:val="0"/>
      <w:adjustRightInd w:val="0"/>
      <w:spacing w:after="240"/>
      <w:ind w:left="1418" w:hanging="709"/>
      <w:jc w:val="both"/>
      <w:textAlignment w:val="baseline"/>
    </w:pPr>
    <w:rPr>
      <w:rFonts w:ascii="Times New Roman" w:eastAsia="Times New Roman" w:hAnsi="Times New Roman" w:cs="Times New Roman"/>
      <w:sz w:val="24"/>
      <w:szCs w:val="20"/>
      <w:lang w:eastAsia="en-GB"/>
    </w:rPr>
  </w:style>
  <w:style w:type="paragraph" w:customStyle="1" w:styleId="CM1">
    <w:name w:val="CM1"/>
    <w:basedOn w:val="Default"/>
    <w:next w:val="Default"/>
    <w:uiPriority w:val="99"/>
    <w:rsid w:val="00597146"/>
    <w:rPr>
      <w:rFonts w:ascii="EUAlbertina" w:eastAsiaTheme="minorEastAsia" w:hAnsi="EUAlbertina" w:cstheme="minorBidi"/>
      <w:color w:val="auto"/>
    </w:rPr>
  </w:style>
  <w:style w:type="paragraph" w:customStyle="1" w:styleId="CM3">
    <w:name w:val="CM3"/>
    <w:basedOn w:val="Default"/>
    <w:next w:val="Default"/>
    <w:uiPriority w:val="99"/>
    <w:rsid w:val="00597146"/>
    <w:rPr>
      <w:rFonts w:ascii="EUAlbertina" w:eastAsiaTheme="minorEastAsia" w:hAnsi="EUAlbertina" w:cstheme="minorBidi"/>
      <w:color w:val="auto"/>
    </w:rPr>
  </w:style>
  <w:style w:type="table" w:customStyle="1" w:styleId="Grilledetableauclaire1">
    <w:name w:val="Grille de tableau claire1"/>
    <w:basedOn w:val="TableNormal"/>
    <w:uiPriority w:val="40"/>
    <w:rsid w:val="00A7609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oint0number">
    <w:name w:val="Point 0 (number)"/>
    <w:basedOn w:val="Normal"/>
    <w:rsid w:val="00A76095"/>
    <w:pPr>
      <w:spacing w:before="120" w:after="120"/>
      <w:ind w:left="720" w:hanging="360"/>
      <w:jc w:val="both"/>
    </w:pPr>
    <w:rPr>
      <w:rFonts w:ascii="Times New Roman" w:eastAsia="Calibri" w:hAnsi="Times New Roman" w:cs="Times New Roman"/>
      <w:sz w:val="24"/>
    </w:rPr>
  </w:style>
  <w:style w:type="paragraph" w:customStyle="1" w:styleId="Point1number">
    <w:name w:val="Point 1 (number)"/>
    <w:basedOn w:val="Normal"/>
    <w:rsid w:val="00A76095"/>
    <w:pPr>
      <w:spacing w:before="120" w:after="120"/>
      <w:ind w:left="2160" w:hanging="360"/>
      <w:jc w:val="both"/>
    </w:pPr>
    <w:rPr>
      <w:rFonts w:ascii="Times New Roman" w:eastAsia="Calibri" w:hAnsi="Times New Roman" w:cs="Times New Roman"/>
      <w:sz w:val="24"/>
    </w:rPr>
  </w:style>
  <w:style w:type="paragraph" w:customStyle="1" w:styleId="Point3number">
    <w:name w:val="Point 3 (number)"/>
    <w:basedOn w:val="Normal"/>
    <w:rsid w:val="00A76095"/>
    <w:pPr>
      <w:spacing w:before="120" w:after="120"/>
      <w:ind w:left="5040" w:hanging="360"/>
      <w:jc w:val="both"/>
    </w:pPr>
    <w:rPr>
      <w:rFonts w:ascii="Times New Roman" w:eastAsia="Calibri" w:hAnsi="Times New Roman" w:cs="Times New Roman"/>
      <w:sz w:val="24"/>
    </w:rPr>
  </w:style>
  <w:style w:type="character" w:styleId="Strong">
    <w:name w:val="Strong"/>
    <w:basedOn w:val="DefaultParagraphFont"/>
    <w:uiPriority w:val="22"/>
    <w:qFormat/>
    <w:rsid w:val="00F42177"/>
    <w:rPr>
      <w:b/>
      <w:bCs/>
    </w:rPr>
  </w:style>
  <w:style w:type="character" w:styleId="Emphasis">
    <w:name w:val="Emphasis"/>
    <w:basedOn w:val="DefaultParagraphFont"/>
    <w:uiPriority w:val="20"/>
    <w:qFormat/>
    <w:rsid w:val="00F42177"/>
    <w:rPr>
      <w:i/>
      <w:iCs/>
    </w:rPr>
  </w:style>
  <w:style w:type="paragraph" w:styleId="NoSpacing">
    <w:name w:val="No Spacing"/>
    <w:uiPriority w:val="1"/>
    <w:qFormat/>
    <w:rsid w:val="00F42177"/>
    <w:pPr>
      <w:spacing w:after="0" w:line="240" w:lineRule="auto"/>
    </w:pPr>
  </w:style>
  <w:style w:type="paragraph" w:styleId="Quote">
    <w:name w:val="Quote"/>
    <w:basedOn w:val="Normal"/>
    <w:next w:val="Normal"/>
    <w:link w:val="QuoteChar"/>
    <w:uiPriority w:val="29"/>
    <w:qFormat/>
    <w:rsid w:val="00F42177"/>
    <w:pPr>
      <w:spacing w:before="120"/>
      <w:ind w:left="720" w:right="720"/>
      <w:jc w:val="center"/>
    </w:pPr>
    <w:rPr>
      <w:i/>
      <w:iCs/>
    </w:rPr>
  </w:style>
  <w:style w:type="character" w:customStyle="1" w:styleId="QuoteChar">
    <w:name w:val="Quote Char"/>
    <w:basedOn w:val="DefaultParagraphFont"/>
    <w:link w:val="Quote"/>
    <w:uiPriority w:val="29"/>
    <w:rsid w:val="00F42177"/>
    <w:rPr>
      <w:i/>
      <w:iCs/>
    </w:rPr>
  </w:style>
  <w:style w:type="paragraph" w:styleId="IntenseQuote">
    <w:name w:val="Intense Quote"/>
    <w:basedOn w:val="Normal"/>
    <w:next w:val="Normal"/>
    <w:link w:val="IntenseQuoteChar"/>
    <w:uiPriority w:val="30"/>
    <w:qFormat/>
    <w:rsid w:val="00F42177"/>
    <w:pPr>
      <w:spacing w:before="120" w:line="300" w:lineRule="auto"/>
      <w:ind w:left="576" w:right="576"/>
      <w:jc w:val="center"/>
    </w:pPr>
    <w:rPr>
      <w:rFonts w:asciiTheme="majorHAnsi" w:eastAsiaTheme="majorEastAsia" w:hAnsiTheme="majorHAnsi" w:cstheme="majorBidi"/>
      <w:color w:val="2F5773" w:themeColor="accent1"/>
      <w:sz w:val="24"/>
      <w:szCs w:val="24"/>
    </w:rPr>
  </w:style>
  <w:style w:type="character" w:customStyle="1" w:styleId="IntenseQuoteChar">
    <w:name w:val="Intense Quote Char"/>
    <w:basedOn w:val="DefaultParagraphFont"/>
    <w:link w:val="IntenseQuote"/>
    <w:uiPriority w:val="30"/>
    <w:rsid w:val="00F42177"/>
    <w:rPr>
      <w:rFonts w:asciiTheme="majorHAnsi" w:eastAsiaTheme="majorEastAsia" w:hAnsiTheme="majorHAnsi" w:cstheme="majorBidi"/>
      <w:color w:val="2F5773" w:themeColor="accent1"/>
      <w:sz w:val="24"/>
      <w:szCs w:val="24"/>
    </w:rPr>
  </w:style>
  <w:style w:type="character" w:styleId="SubtleEmphasis">
    <w:name w:val="Subtle Emphasis"/>
    <w:basedOn w:val="DefaultParagraphFont"/>
    <w:uiPriority w:val="19"/>
    <w:qFormat/>
    <w:rsid w:val="00F42177"/>
    <w:rPr>
      <w:i/>
      <w:iCs/>
      <w:color w:val="404040" w:themeColor="text1" w:themeTint="BF"/>
    </w:rPr>
  </w:style>
  <w:style w:type="character" w:styleId="IntenseEmphasis">
    <w:name w:val="Intense Emphasis"/>
    <w:basedOn w:val="DefaultParagraphFont"/>
    <w:uiPriority w:val="21"/>
    <w:qFormat/>
    <w:rsid w:val="00F42177"/>
    <w:rPr>
      <w:b w:val="0"/>
      <w:bCs w:val="0"/>
      <w:i/>
      <w:iCs/>
      <w:color w:val="2F5773" w:themeColor="accent1"/>
    </w:rPr>
  </w:style>
  <w:style w:type="character" w:styleId="SubtleReference">
    <w:name w:val="Subtle Reference"/>
    <w:basedOn w:val="DefaultParagraphFont"/>
    <w:uiPriority w:val="31"/>
    <w:qFormat/>
    <w:rsid w:val="00F42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42177"/>
    <w:rPr>
      <w:b/>
      <w:bCs/>
      <w:smallCaps/>
      <w:color w:val="2F5773" w:themeColor="accent1"/>
      <w:spacing w:val="5"/>
      <w:u w:val="single"/>
    </w:rPr>
  </w:style>
  <w:style w:type="paragraph" w:customStyle="1" w:styleId="InstructionsText">
    <w:name w:val="Instructions Text"/>
    <w:basedOn w:val="Normal"/>
    <w:link w:val="InstructionsTextChar"/>
    <w:autoRedefine/>
    <w:rsid w:val="00B62DC9"/>
    <w:pPr>
      <w:spacing w:after="120" w:line="240" w:lineRule="auto"/>
    </w:pPr>
    <w:rPr>
      <w:rFonts w:ascii="Times New Roman" w:eastAsia="Times New Roman" w:hAnsi="Times New Roman" w:cs="Times New Roman"/>
      <w:noProof/>
      <w:sz w:val="24"/>
      <w:szCs w:val="24"/>
      <w:lang w:eastAsia="de-DE"/>
    </w:rPr>
  </w:style>
  <w:style w:type="character" w:customStyle="1" w:styleId="FormatvorlageInstructionsTabelleText">
    <w:name w:val="Formatvorlage Instructions Tabelle Text"/>
    <w:uiPriority w:val="99"/>
    <w:qFormat/>
    <w:rsid w:val="00807127"/>
    <w:rPr>
      <w:rFonts w:ascii="Verdana" w:hAnsi="Verdana" w:cs="Times New Roman"/>
      <w:bCs/>
      <w:sz w:val="20"/>
      <w:u w:val="none"/>
    </w:rPr>
  </w:style>
  <w:style w:type="character" w:customStyle="1" w:styleId="InstructionsTextChar">
    <w:name w:val="Instructions Text Char"/>
    <w:link w:val="InstructionsText"/>
    <w:locked/>
    <w:rsid w:val="00B62DC9"/>
    <w:rPr>
      <w:rFonts w:ascii="Times New Roman" w:eastAsia="Times New Roman" w:hAnsi="Times New Roman" w:cs="Times New Roman"/>
      <w:noProof/>
      <w:sz w:val="24"/>
      <w:szCs w:val="24"/>
      <w:lang w:val="de-DE" w:eastAsia="de-DE"/>
    </w:rPr>
  </w:style>
  <w:style w:type="paragraph" w:styleId="Revision">
    <w:name w:val="Revision"/>
    <w:hidden/>
    <w:uiPriority w:val="99"/>
    <w:semiHidden/>
    <w:rsid w:val="00510C0E"/>
    <w:pPr>
      <w:spacing w:after="0" w:line="240" w:lineRule="auto"/>
    </w:pPr>
  </w:style>
  <w:style w:type="paragraph" w:customStyle="1" w:styleId="Heading">
    <w:name w:val="Heading"/>
    <w:basedOn w:val="Numberedtilelevel1"/>
    <w:link w:val="HeadingChar"/>
    <w:qFormat/>
    <w:rsid w:val="001F4C02"/>
    <w:pPr>
      <w:ind w:left="709" w:hanging="709"/>
    </w:pPr>
    <w:rPr>
      <w:rFonts w:ascii="Times New Roman" w:hAnsi="Times New Roman" w:cs="Times New Roman"/>
      <w:sz w:val="24"/>
      <w:szCs w:val="24"/>
    </w:rPr>
  </w:style>
  <w:style w:type="character" w:customStyle="1" w:styleId="Titlelevel1Char">
    <w:name w:val="Title level 1 Char"/>
    <w:basedOn w:val="DefaultParagraphFont"/>
    <w:link w:val="Titlelevel1"/>
    <w:rsid w:val="00FD17AA"/>
    <w:rPr>
      <w:rFonts w:asciiTheme="majorHAnsi" w:eastAsiaTheme="majorEastAsia" w:hAnsiTheme="majorHAnsi" w:cstheme="majorBidi"/>
      <w:color w:val="2F5773" w:themeColor="text2"/>
      <w:spacing w:val="5"/>
      <w:kern w:val="28"/>
      <w:sz w:val="52"/>
      <w:szCs w:val="52"/>
    </w:rPr>
  </w:style>
  <w:style w:type="character" w:customStyle="1" w:styleId="Numberedtilelevel1Char">
    <w:name w:val="Numbered tile level 1 Char"/>
    <w:basedOn w:val="Titlelevel1Char"/>
    <w:link w:val="Numberedtilelevel1"/>
    <w:rsid w:val="00FD17AA"/>
    <w:rPr>
      <w:rFonts w:asciiTheme="majorHAnsi" w:eastAsiaTheme="majorEastAsia" w:hAnsiTheme="majorHAnsi" w:cstheme="majorBidi"/>
      <w:color w:val="2F5773" w:themeColor="text2"/>
      <w:spacing w:val="5"/>
      <w:kern w:val="28"/>
      <w:sz w:val="52"/>
      <w:szCs w:val="52"/>
    </w:rPr>
  </w:style>
  <w:style w:type="character" w:customStyle="1" w:styleId="HeadingChar">
    <w:name w:val="Heading Char"/>
    <w:basedOn w:val="Numberedtilelevel1Char"/>
    <w:link w:val="Heading"/>
    <w:rsid w:val="001F4C02"/>
    <w:rPr>
      <w:rFonts w:ascii="Times New Roman" w:eastAsiaTheme="majorEastAsia" w:hAnsi="Times New Roman" w:cs="Times New Roman"/>
      <w:color w:val="2F5773" w:themeColor="text2"/>
      <w:spacing w:val="5"/>
      <w:kern w:val="28"/>
      <w:sz w:val="24"/>
      <w:szCs w:val="24"/>
    </w:rPr>
  </w:style>
  <w:style w:type="paragraph" w:customStyle="1" w:styleId="Instructionsberschrift2">
    <w:name w:val="Instructions Überschrift 2"/>
    <w:basedOn w:val="Heading2"/>
    <w:rsid w:val="0065594A"/>
    <w:pPr>
      <w:keepLines w:val="0"/>
      <w:numPr>
        <w:numId w:val="14"/>
      </w:numPr>
      <w:spacing w:before="240" w:after="240"/>
      <w:jc w:val="both"/>
    </w:pPr>
    <w:rPr>
      <w:rFonts w:ascii="Verdana" w:eastAsia="Arial" w:hAnsi="Verdana" w:cs="Arial"/>
      <w:sz w:val="20"/>
      <w:szCs w:val="24"/>
      <w:u w:val="single"/>
      <w:lang w:eastAsia="x-none"/>
    </w:rPr>
  </w:style>
  <w:style w:type="paragraph" w:customStyle="1" w:styleId="InstructionsText2">
    <w:name w:val="Instructions Text 2"/>
    <w:basedOn w:val="InstructionsText"/>
    <w:qFormat/>
    <w:rsid w:val="0065594A"/>
    <w:pPr>
      <w:spacing w:after="240"/>
    </w:pPr>
  </w:style>
  <w:style w:type="character" w:customStyle="1" w:styleId="InstructionsTabelleberschrift">
    <w:name w:val="Instructions Tabelle Überschrift"/>
    <w:qFormat/>
    <w:rsid w:val="00A47BCD"/>
    <w:rPr>
      <w:rFonts w:ascii="Verdana" w:hAnsi="Verdana" w:cs="Times New Roman"/>
      <w:b/>
      <w:bCs/>
      <w:sz w:val="20"/>
      <w:u w:val="single"/>
    </w:rPr>
  </w:style>
  <w:style w:type="character" w:styleId="FollowedHyperlink">
    <w:name w:val="FollowedHyperlink"/>
    <w:basedOn w:val="DefaultParagraphFont"/>
    <w:uiPriority w:val="99"/>
    <w:semiHidden/>
    <w:unhideWhenUsed/>
    <w:rsid w:val="005B76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0851">
      <w:bodyDiv w:val="1"/>
      <w:marLeft w:val="0"/>
      <w:marRight w:val="0"/>
      <w:marTop w:val="0"/>
      <w:marBottom w:val="0"/>
      <w:divBdr>
        <w:top w:val="none" w:sz="0" w:space="0" w:color="auto"/>
        <w:left w:val="none" w:sz="0" w:space="0" w:color="auto"/>
        <w:bottom w:val="none" w:sz="0" w:space="0" w:color="auto"/>
        <w:right w:val="none" w:sz="0" w:space="0" w:color="auto"/>
      </w:divBdr>
    </w:div>
    <w:div w:id="194852131">
      <w:bodyDiv w:val="1"/>
      <w:marLeft w:val="0"/>
      <w:marRight w:val="0"/>
      <w:marTop w:val="0"/>
      <w:marBottom w:val="0"/>
      <w:divBdr>
        <w:top w:val="none" w:sz="0" w:space="0" w:color="auto"/>
        <w:left w:val="none" w:sz="0" w:space="0" w:color="auto"/>
        <w:bottom w:val="none" w:sz="0" w:space="0" w:color="auto"/>
        <w:right w:val="none" w:sz="0" w:space="0" w:color="auto"/>
      </w:divBdr>
    </w:div>
    <w:div w:id="247663650">
      <w:bodyDiv w:val="1"/>
      <w:marLeft w:val="0"/>
      <w:marRight w:val="0"/>
      <w:marTop w:val="0"/>
      <w:marBottom w:val="0"/>
      <w:divBdr>
        <w:top w:val="none" w:sz="0" w:space="0" w:color="auto"/>
        <w:left w:val="none" w:sz="0" w:space="0" w:color="auto"/>
        <w:bottom w:val="none" w:sz="0" w:space="0" w:color="auto"/>
        <w:right w:val="none" w:sz="0" w:space="0" w:color="auto"/>
      </w:divBdr>
    </w:div>
    <w:div w:id="261452164">
      <w:bodyDiv w:val="1"/>
      <w:marLeft w:val="0"/>
      <w:marRight w:val="0"/>
      <w:marTop w:val="0"/>
      <w:marBottom w:val="0"/>
      <w:divBdr>
        <w:top w:val="none" w:sz="0" w:space="0" w:color="auto"/>
        <w:left w:val="none" w:sz="0" w:space="0" w:color="auto"/>
        <w:bottom w:val="none" w:sz="0" w:space="0" w:color="auto"/>
        <w:right w:val="none" w:sz="0" w:space="0" w:color="auto"/>
      </w:divBdr>
    </w:div>
    <w:div w:id="495071054">
      <w:bodyDiv w:val="1"/>
      <w:marLeft w:val="0"/>
      <w:marRight w:val="0"/>
      <w:marTop w:val="0"/>
      <w:marBottom w:val="0"/>
      <w:divBdr>
        <w:top w:val="none" w:sz="0" w:space="0" w:color="auto"/>
        <w:left w:val="none" w:sz="0" w:space="0" w:color="auto"/>
        <w:bottom w:val="none" w:sz="0" w:space="0" w:color="auto"/>
        <w:right w:val="none" w:sz="0" w:space="0" w:color="auto"/>
      </w:divBdr>
    </w:div>
    <w:div w:id="579288300">
      <w:bodyDiv w:val="1"/>
      <w:marLeft w:val="0"/>
      <w:marRight w:val="0"/>
      <w:marTop w:val="0"/>
      <w:marBottom w:val="0"/>
      <w:divBdr>
        <w:top w:val="none" w:sz="0" w:space="0" w:color="auto"/>
        <w:left w:val="none" w:sz="0" w:space="0" w:color="auto"/>
        <w:bottom w:val="none" w:sz="0" w:space="0" w:color="auto"/>
        <w:right w:val="none" w:sz="0" w:space="0" w:color="auto"/>
      </w:divBdr>
    </w:div>
    <w:div w:id="596407262">
      <w:bodyDiv w:val="1"/>
      <w:marLeft w:val="0"/>
      <w:marRight w:val="0"/>
      <w:marTop w:val="0"/>
      <w:marBottom w:val="0"/>
      <w:divBdr>
        <w:top w:val="none" w:sz="0" w:space="0" w:color="auto"/>
        <w:left w:val="none" w:sz="0" w:space="0" w:color="auto"/>
        <w:bottom w:val="none" w:sz="0" w:space="0" w:color="auto"/>
        <w:right w:val="none" w:sz="0" w:space="0" w:color="auto"/>
      </w:divBdr>
    </w:div>
    <w:div w:id="768937124">
      <w:bodyDiv w:val="1"/>
      <w:marLeft w:val="0"/>
      <w:marRight w:val="0"/>
      <w:marTop w:val="0"/>
      <w:marBottom w:val="0"/>
      <w:divBdr>
        <w:top w:val="none" w:sz="0" w:space="0" w:color="auto"/>
        <w:left w:val="none" w:sz="0" w:space="0" w:color="auto"/>
        <w:bottom w:val="none" w:sz="0" w:space="0" w:color="auto"/>
        <w:right w:val="none" w:sz="0" w:space="0" w:color="auto"/>
      </w:divBdr>
    </w:div>
    <w:div w:id="968825126">
      <w:bodyDiv w:val="1"/>
      <w:marLeft w:val="0"/>
      <w:marRight w:val="0"/>
      <w:marTop w:val="0"/>
      <w:marBottom w:val="0"/>
      <w:divBdr>
        <w:top w:val="none" w:sz="0" w:space="0" w:color="auto"/>
        <w:left w:val="none" w:sz="0" w:space="0" w:color="auto"/>
        <w:bottom w:val="none" w:sz="0" w:space="0" w:color="auto"/>
        <w:right w:val="none" w:sz="0" w:space="0" w:color="auto"/>
      </w:divBdr>
    </w:div>
    <w:div w:id="980379001">
      <w:bodyDiv w:val="1"/>
      <w:marLeft w:val="0"/>
      <w:marRight w:val="0"/>
      <w:marTop w:val="0"/>
      <w:marBottom w:val="0"/>
      <w:divBdr>
        <w:top w:val="none" w:sz="0" w:space="0" w:color="auto"/>
        <w:left w:val="none" w:sz="0" w:space="0" w:color="auto"/>
        <w:bottom w:val="none" w:sz="0" w:space="0" w:color="auto"/>
        <w:right w:val="none" w:sz="0" w:space="0" w:color="auto"/>
      </w:divBdr>
    </w:div>
    <w:div w:id="1124035648">
      <w:bodyDiv w:val="1"/>
      <w:marLeft w:val="0"/>
      <w:marRight w:val="0"/>
      <w:marTop w:val="0"/>
      <w:marBottom w:val="0"/>
      <w:divBdr>
        <w:top w:val="none" w:sz="0" w:space="0" w:color="auto"/>
        <w:left w:val="none" w:sz="0" w:space="0" w:color="auto"/>
        <w:bottom w:val="none" w:sz="0" w:space="0" w:color="auto"/>
        <w:right w:val="none" w:sz="0" w:space="0" w:color="auto"/>
      </w:divBdr>
    </w:div>
    <w:div w:id="1613584015">
      <w:bodyDiv w:val="1"/>
      <w:marLeft w:val="0"/>
      <w:marRight w:val="0"/>
      <w:marTop w:val="0"/>
      <w:marBottom w:val="0"/>
      <w:divBdr>
        <w:top w:val="none" w:sz="0" w:space="0" w:color="auto"/>
        <w:left w:val="none" w:sz="0" w:space="0" w:color="auto"/>
        <w:bottom w:val="none" w:sz="0" w:space="0" w:color="auto"/>
        <w:right w:val="none" w:sz="0" w:space="0" w:color="auto"/>
      </w:divBdr>
    </w:div>
    <w:div w:id="2008171406">
      <w:bodyDiv w:val="1"/>
      <w:marLeft w:val="0"/>
      <w:marRight w:val="0"/>
      <w:marTop w:val="0"/>
      <w:marBottom w:val="0"/>
      <w:divBdr>
        <w:top w:val="none" w:sz="0" w:space="0" w:color="auto"/>
        <w:left w:val="none" w:sz="0" w:space="0" w:color="auto"/>
        <w:bottom w:val="none" w:sz="0" w:space="0" w:color="auto"/>
        <w:right w:val="none" w:sz="0" w:space="0" w:color="auto"/>
      </w:divBdr>
    </w:div>
    <w:div w:id="2029520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EBA template">
  <a:themeElements>
    <a:clrScheme name="EBA theme 2">
      <a:dk1>
        <a:srgbClr val="000000"/>
      </a:dk1>
      <a:lt1>
        <a:sysClr val="window" lastClr="FFFFFF"/>
      </a:lt1>
      <a:dk2>
        <a:srgbClr val="2F5773"/>
      </a:dk2>
      <a:lt2>
        <a:srgbClr val="E98E31"/>
      </a:lt2>
      <a:accent1>
        <a:srgbClr val="2F5773"/>
      </a:accent1>
      <a:accent2>
        <a:srgbClr val="EA933B"/>
      </a:accent2>
      <a:accent3>
        <a:srgbClr val="D44D2A"/>
      </a:accent3>
      <a:accent4>
        <a:srgbClr val="49AB74"/>
      </a:accent4>
      <a:accent5>
        <a:srgbClr val="52666E"/>
      </a:accent5>
      <a:accent6>
        <a:srgbClr val="163A5A"/>
      </a:accent6>
      <a:hlink>
        <a:srgbClr val="2F5773"/>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5F79D-63F7-42D0-8F31-2808AF242F86}">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29</Pages>
  <Words>9607</Words>
  <Characters>50921</Characters>
  <Application>Microsoft Office Word</Application>
  <DocSecurity>0</DocSecurity>
  <Lines>1157</Lines>
  <Paragraphs>657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2024-04-05T10:29:00Z</dcterms:created>
  <dcterms:modified xsi:type="dcterms:W3CDTF">2024-05-06T10:14:00Z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2024-03-04T17:54:16Z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91b58fde-dfad-47dc-b1e2-20839b75e6a2</vt:lpwstr>
  </property>
  <property fmtid="{D5CDD505-2E9C-101B-9397-08002B2CF9AE}" pid="8" name="MSIP_Label_6bd9ddd1-4d20-43f6-abfa-fc3c07406f94_ContentBits">
    <vt:lpwstr>0</vt:lpwstr>
  </property>
</Properties>
</file>