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27C06" w14:textId="3CC8DBCE" w:rsidR="00845EB1" w:rsidRPr="0068244B" w:rsidRDefault="00845EB1" w:rsidP="00845EB1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HR</w:t>
      </w:r>
      <w:r>
        <w:rPr>
          <w:b/>
          <w:sz w:val="24"/>
          <w:rFonts w:ascii="Times New Roman" w:hAnsi="Times New Roman"/>
        </w:rPr>
        <w:br/>
      </w:r>
      <w:r>
        <w:rPr>
          <w:b/>
          <w:sz w:val="24"/>
          <w:rFonts w:ascii="Times New Roman" w:hAnsi="Times New Roman"/>
        </w:rPr>
        <w:t xml:space="preserve">PRILOG VIII.</w:t>
      </w:r>
    </w:p>
    <w:p w14:paraId="7586364F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38DE6923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60311301" w14:textId="6E170F77" w:rsidR="0040604D" w:rsidRPr="0068244B" w:rsidRDefault="00515147" w:rsidP="00845EB1">
      <w:pPr>
        <w:jc w:val="center"/>
        <w:rPr>
          <w:b/>
          <w:u w:val="single"/>
        </w:rPr>
      </w:pPr>
      <w:r>
        <w:rPr>
          <w:b/>
          <w:u w:val="single"/>
        </w:rPr>
        <w:t xml:space="preserve">„PRILOG XXI.</w:t>
      </w:r>
    </w:p>
    <w:p w14:paraId="55B2E7E1" w14:textId="45F1B4D9" w:rsidR="0040604D" w:rsidRPr="0068244B" w:rsidRDefault="0040604D" w:rsidP="00D02291">
      <w:pPr>
        <w:jc w:val="center"/>
        <w:rPr>
          <w:b/>
        </w:rPr>
      </w:pPr>
      <w:r>
        <w:rPr>
          <w:b/>
        </w:rPr>
        <w:t xml:space="preserve">UPUTE ZA POPUNJAVANJE OBRASCA ZA KONCENTRACIJU KAPACITETA LIKVIDNOSNE POKRIVENOSTI (C 71.00) IZ PRILOGA XX.</w:t>
      </w:r>
    </w:p>
    <w:p w14:paraId="4B767D67" w14:textId="77777777" w:rsidR="0040604D" w:rsidRPr="0068244B" w:rsidRDefault="0040604D" w:rsidP="00845EB1">
      <w:pPr>
        <w:pStyle w:val="InstructionsText"/>
      </w:pPr>
    </w:p>
    <w:p w14:paraId="1BB5AA04" w14:textId="77777777" w:rsidR="00E05204" w:rsidRPr="0068244B" w:rsidRDefault="00E05204" w:rsidP="00E05204">
      <w:pPr>
        <w:rPr>
          <w:sz w:val="24"/>
          <w:u w:val="single"/>
          <w:rFonts w:ascii="Times New Roman" w:hAnsi="Times New Roman"/>
        </w:rPr>
      </w:pPr>
      <w:r>
        <w:rPr>
          <w:sz w:val="24"/>
          <w:u w:val="single"/>
          <w:rFonts w:ascii="Times New Roman" w:hAnsi="Times New Roman"/>
        </w:rPr>
        <w:t xml:space="preserve">Koncentracija kapaciteta likvidnosne pokrivenosti po izdavatelju/drugoj ugovornoj strani (CCC) (C 71.00)</w:t>
      </w:r>
    </w:p>
    <w:p w14:paraId="23482DE0" w14:textId="77777777" w:rsidR="00111A31" w:rsidRPr="0068244B" w:rsidRDefault="00111A31" w:rsidP="00845EB1">
      <w:pPr>
        <w:pStyle w:val="InstructionsText"/>
      </w:pPr>
    </w:p>
    <w:p w14:paraId="2314BCB9" w14:textId="3D6E6875" w:rsidR="00B1719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rFonts w:ascii="Times New Roman" w:hAnsi="Times New Roman"/>
        </w:rPr>
        <w:t xml:space="preserve">1.</w:t>
      </w:r>
      <w:r>
        <w:rPr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Kako bi se prikupile informacije o koncentraciji kapaciteta likvidnosne pokrivenosti institucije koja izvješćuje s obzirom na deset najvećih imovina koje drži ili likvidnosnih linija dodijeljenih instituciji za tu namjenu na temelju obrasca C 71.00, institucije primjenjuju upute iz ovog Priloga.</w:t>
      </w:r>
    </w:p>
    <w:p w14:paraId="6D98D095" w14:textId="6A747233" w:rsidR="00672B1B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2.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Ako je izdavatelju ili drugoj ugovornoj strani dodijeljeno više od jedne vrste proizvoda, valuta ili stupnja kreditne kvalitete, iskazuje se ukupni iznos.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Vrsta proizvoda, valuta ili stupanj kreditne kvalitete koji se iskazuju oni su koji su relevantni za najveći udio koncentracije kapaciteta likvidnosne pokrivenosti.</w:t>
      </w:r>
      <w:r>
        <w:rPr>
          <w:sz w:val="24"/>
          <w:rFonts w:ascii="Times New Roman" w:hAnsi="Times New Roman"/>
        </w:rPr>
        <w:t xml:space="preserve"> </w:t>
      </w:r>
    </w:p>
    <w:p w14:paraId="1A86D9FE" w14:textId="2D9CE2DF" w:rsidR="00FF4741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Kapacitet likvidnosne pokrivenosti u obrascu C</w:t>
      </w:r>
      <w:r>
        <w:t xml:space="preserve"> </w:t>
      </w:r>
      <w:r>
        <w:rPr>
          <w:sz w:val="24"/>
          <w:rFonts w:ascii="Times New Roman" w:hAnsi="Times New Roman"/>
        </w:rPr>
        <w:t xml:space="preserve">71.00 jednak je onome u obrascu C 66.01, s tom razlikom što je imovina iskazana kao kapacitet likvidnosne pokrivenosti za potrebe obrasca C 71.00 neopterećena kako bi bila dostupna instituciji za unovčavanje na referentni izvještajni datum.</w:t>
      </w:r>
    </w:p>
    <w:p w14:paraId="52C95F92" w14:textId="76B8503D" w:rsidR="00EF029F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4.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Za izračun koncentracija za potrebe izvješćivanja u obrascu C 71.00 po značajnoj valuti, institucije upotrebljavaju koncentracije u svim valutama.</w:t>
      </w:r>
    </w:p>
    <w:p w14:paraId="5D592CDE" w14:textId="137C55E0" w:rsidR="0005633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5.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Ako izdavatelj ili druga ugovorna strana pripadaju većem broju grupa povezanih osoba, koncentracija kapaciteta likvidnosne pokrivenosti iskazuje se samo jednom u grupi s većom koncentracijom kapaciteta likvidnosne pokrivenosti.</w:t>
      </w:r>
    </w:p>
    <w:p w14:paraId="2C0B2260" w14:textId="45FF6BEE" w:rsidR="00CB05F9" w:rsidRPr="0068244B" w:rsidRDefault="00292B75" w:rsidP="008C0F1F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6.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Osim za redak 0120, koncentracije kapaciteta likvidnosne pokrivenosti kada je središnja banka izdavatelj ili druga ugovorna strana ne iskazuju se u ovom obrascu.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U slučaju da institucija ima pri središnjoj banci unaprijed utvrđene pozicije imovine za stalno raspoložive mogućnosti i u mjeri u kojoj ta imovina pripada imovini deset najvećih izdavatelja ili drugih ugovornih strana neopterećenog kapaciteta likvidnosne pokrivenosti, institucija iskazuje izvornog izdavatelja i izvornu vrstu proizvoda.</w:t>
      </w:r>
    </w:p>
    <w:p w14:paraId="423289FA" w14:textId="77777777" w:rsidR="00E05204" w:rsidRPr="0068244B" w:rsidRDefault="00E05204" w:rsidP="00E05204">
      <w:pPr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68244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Stupac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Pravna osnova i upute</w:t>
            </w:r>
          </w:p>
        </w:tc>
      </w:tr>
      <w:tr w:rsidR="00E05204" w:rsidRPr="0068244B" w14:paraId="32AA40F1" w14:textId="77777777" w:rsidTr="00845EB1">
        <w:tc>
          <w:tcPr>
            <w:tcW w:w="990" w:type="dxa"/>
          </w:tcPr>
          <w:p w14:paraId="79D5F65E" w14:textId="172F12E8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306" w:type="dxa"/>
          </w:tcPr>
          <w:p w14:paraId="20597254" w14:textId="73E89BCB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Naziv izdavatelja</w:t>
            </w:r>
          </w:p>
          <w:p w14:paraId="36B02E7E" w14:textId="3FDFB966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Nazivi deset najvećih izdavatelja neopterećene imovine ili drugih ugovornih strana neiskorištenih obvezujućih likvidnosnih linija dodijeljenih instituciji navode se silaznim redoslijedom u stupcu 0010.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Najveći se navodi u stavci 1.01, drugi po redu u stavci 1.02 i tako dalje.</w:t>
            </w:r>
            <w: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 izdavateljima i drugim ugovornim stranama koji čine grupu povezanih osoba izvješćuje se kao o jednoj koncentraciji.</w:t>
            </w:r>
          </w:p>
          <w:p w14:paraId="4E01B5DA" w14:textId="4F0E946D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Navedeni naziv izdavatelja/druge ugovorne strane puni je naziv pravnog subjekta koje je izdalo imovinu ili dodijelilo likvidnosne linije, uključujući svako upućivanje na vrstu društva u skladu s nacionalnim pravom trgovačkih društava.</w:t>
            </w:r>
          </w:p>
        </w:tc>
      </w:tr>
      <w:tr w:rsidR="00E05204" w:rsidRPr="0068244B" w14:paraId="5485249F" w14:textId="77777777" w:rsidTr="00845EB1">
        <w:tc>
          <w:tcPr>
            <w:tcW w:w="990" w:type="dxa"/>
          </w:tcPr>
          <w:p w14:paraId="488A21BC" w14:textId="3FB00318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306" w:type="dxa"/>
          </w:tcPr>
          <w:p w14:paraId="763D0E5F" w14:textId="77777777" w:rsidR="00E05204" w:rsidRPr="0068244B" w:rsidRDefault="00E05204" w:rsidP="00C05CCA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Oznaka LEI</w:t>
            </w:r>
          </w:p>
          <w:p w14:paraId="7861A1B2" w14:textId="0A8A8B52" w:rsidR="00E05204" w:rsidRPr="0068244B" w:rsidRDefault="00E05204" w:rsidP="00C05CCA">
            <w:pPr>
              <w:rPr>
                <w:b/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Identifikacijska oznaka pravnog subjekta druge ugovorne strane.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2B1BAA00" w14:textId="77777777" w:rsidTr="00845EB1">
        <w:tc>
          <w:tcPr>
            <w:tcW w:w="990" w:type="dxa"/>
          </w:tcPr>
          <w:p w14:paraId="12DAC473" w14:textId="0D9F563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306" w:type="dxa"/>
          </w:tcPr>
          <w:p w14:paraId="6DAF3DB3" w14:textId="4B8E1486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Sektor izdavatelja</w:t>
            </w:r>
          </w:p>
          <w:p w14:paraId="62F53B63" w14:textId="5D0C886D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Svakom izdavatelju ili svakoj drugoj ugovornoj strani dodjeljuje se jedan sektor na osnovi sljedećih kategorija gospodarskih sektora financijskog izvješćivanja ([FINREP]) (dio 1. Priloga V. ovoj Provedbenoj uredbi):</w:t>
            </w:r>
          </w:p>
          <w:p w14:paraId="563180C8" w14:textId="31A14F6F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i. opće države;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ii. kreditne institucije;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iii. ostala financijska društva;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iv. nefinancijska društva;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v. kućanstva.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  <w:p w14:paraId="3E53ACDF" w14:textId="14712E31" w:rsidR="00E05204" w:rsidRPr="0068244B" w:rsidRDefault="00E05204" w:rsidP="008C0F1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Za grupe povezanih osoba sektor se ne iskazuje.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66F40C8E" w14:textId="77777777" w:rsidTr="00845EB1">
        <w:tc>
          <w:tcPr>
            <w:tcW w:w="990" w:type="dxa"/>
          </w:tcPr>
          <w:p w14:paraId="5F55844F" w14:textId="059AC78A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306" w:type="dxa"/>
          </w:tcPr>
          <w:p w14:paraId="6EC1C162" w14:textId="488287EA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Boravište izdavatelja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F33DF35" w14:textId="52A4F552" w:rsidR="00E05204" w:rsidRPr="0068244B" w:rsidRDefault="00E05204" w:rsidP="00C05CCA">
            <w:pPr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Upotrebljava se oznaka ISO 3166-1-alfa-2 zemlje u kojoj su izdavatelj ili druga ugovorna strana osnovani, uključujući pseudo oznake ISO za međunarodne organizacije iz posljednjeg izdanja Eurostatova „Priručnika za platne bilance”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60598FF1" w14:textId="5505D19C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Za grupe povezanih osoba zemlja se ne iskazuje.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0F08D697" w14:textId="77777777" w:rsidTr="00845EB1">
        <w:tc>
          <w:tcPr>
            <w:tcW w:w="990" w:type="dxa"/>
          </w:tcPr>
          <w:p w14:paraId="3B929507" w14:textId="2C8459FF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306" w:type="dxa"/>
          </w:tcPr>
          <w:p w14:paraId="016C0789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Vrsta proizvoda</w:t>
            </w:r>
          </w:p>
          <w:p w14:paraId="7DC48699" w14:textId="4D5DEEF0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izdavatelje/druge ugovorne strane navedene u stupcu 0010 dodjeljuje se vrsta proizvoda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koja odgovara</w:t>
            </w:r>
            <w:r>
              <w:rPr>
                <w:sz w:val="24"/>
                <w:rFonts w:ascii="Times New Roman" w:hAnsi="Times New Roman"/>
              </w:rPr>
              <w:t xml:space="preserve"> proizvodu u kojem se drži imovina ili u kojem je primljen rezervni zajam za likvidnost, s pomoću sljedećih oznaka navedenih podebljanim slovima:</w:t>
            </w:r>
          </w:p>
          <w:p w14:paraId="1CB9AEA2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bookmarkStart w:id="0" w:name="OLE_LINK1"/>
            <w:r>
              <w:rPr>
                <w:sz w:val="24"/>
                <w:b/>
                <w:rFonts w:ascii="Times New Roman" w:hAnsi="Times New Roman"/>
              </w:rPr>
              <w:t xml:space="preserve">SrB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nadređene</w:t>
            </w:r>
            <w:r>
              <w:rPr>
                <w:sz w:val="24"/>
                <w:rFonts w:ascii="Times New Roman" w:hAnsi="Times New Roman"/>
              </w:rPr>
              <w:t xml:space="preserve"> obveznice)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ADB0D10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SubB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podređene</w:t>
            </w:r>
            <w:r>
              <w:rPr>
                <w:sz w:val="24"/>
                <w:rFonts w:ascii="Times New Roman" w:hAnsi="Times New Roman"/>
              </w:rPr>
              <w:t xml:space="preserve"> obveznice)</w:t>
            </w:r>
          </w:p>
          <w:p w14:paraId="08EFBEC2" w14:textId="77777777" w:rsidR="00E05204" w:rsidRPr="0068244B" w:rsidRDefault="00E05204" w:rsidP="00A36F2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CP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komercijalni</w:t>
            </w:r>
            <w:r>
              <w:rPr>
                <w:sz w:val="24"/>
                <w:rFonts w:ascii="Times New Roman" w:hAnsi="Times New Roman"/>
              </w:rPr>
              <w:t xml:space="preserve"> zapisi)</w:t>
            </w:r>
          </w:p>
          <w:p w14:paraId="71AB267C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CB </w:t>
            </w:r>
            <w:r>
              <w:rPr>
                <w:sz w:val="24"/>
                <w:rFonts w:ascii="Times New Roman" w:hAnsi="Times New Roman"/>
              </w:rPr>
              <w:t xml:space="preserve">(pokrivene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obveznice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6004F55" w14:textId="644C50DD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US 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vrijednosni papiri</w:t>
            </w:r>
            <w:r>
              <w:rPr>
                <w:sz w:val="24"/>
                <w:rFonts w:ascii="Times New Roman" w:hAnsi="Times New Roman"/>
              </w:rPr>
              <w:t xml:space="preserve"> UCITS, tj. financijski instrumenti koji predstavljaju vrijednosni papir ili udio u njemu, koji je izdao subjekt za zajednička ulaganja u prenosive vrijednosne papire)</w:t>
            </w:r>
          </w:p>
          <w:p w14:paraId="2E54EB88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ABS (</w:t>
            </w:r>
            <w:r>
              <w:rPr>
                <w:sz w:val="24"/>
                <w:rFonts w:ascii="Times New Roman" w:hAnsi="Times New Roman"/>
              </w:rPr>
              <w:t xml:space="preserve">vrijednosni papiri osigurani imovinom)</w:t>
            </w:r>
          </w:p>
          <w:p w14:paraId="47B806DE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CrCl </w:t>
            </w:r>
            <w:r>
              <w:rPr>
                <w:sz w:val="24"/>
                <w:rFonts w:ascii="Times New Roman" w:hAnsi="Times New Roman"/>
              </w:rPr>
              <w:t xml:space="preserve">(kreditno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potraživanje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</w:p>
          <w:p w14:paraId="77F497F4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Eq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vlasnički instrumenti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</w:p>
          <w:p w14:paraId="3F4E3AAB" w14:textId="396B9AF6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Zlato (ako je riječ o fizičkom zlatu, što se može tretirati kao jedinstvena druga ugovorna strana)</w:t>
            </w:r>
          </w:p>
          <w:p w14:paraId="6AE61C73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LiqL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neiskorištene</w:t>
            </w:r>
            <w:r>
              <w:rPr>
                <w:sz w:val="24"/>
                <w:rFonts w:ascii="Times New Roman" w:hAnsi="Times New Roman"/>
              </w:rPr>
              <w:t xml:space="preserve"> obvezujuće likvidnosne linije dodijeljene instituciji)</w:t>
            </w:r>
          </w:p>
          <w:p w14:paraId="23B5C30F" w14:textId="77777777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OPT</w:t>
            </w:r>
            <w:r>
              <w:rPr>
                <w:sz w:val="24"/>
                <w:rFonts w:ascii="Times New Roman" w:hAnsi="Times New Roman"/>
              </w:rPr>
              <w:t xml:space="preserve"> 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druga</w:t>
            </w:r>
            <w:r>
              <w:rPr>
                <w:sz w:val="24"/>
                <w:rFonts w:ascii="Times New Roman" w:hAnsi="Times New Roman"/>
              </w:rPr>
              <w:t xml:space="preserve"> vrsta proizvoda)</w:t>
            </w:r>
            <w:bookmarkEnd w:id="0"/>
          </w:p>
        </w:tc>
      </w:tr>
      <w:tr w:rsidR="00E05204" w:rsidRPr="0068244B" w14:paraId="4C932A7E" w14:textId="77777777" w:rsidTr="00845EB1">
        <w:tc>
          <w:tcPr>
            <w:tcW w:w="990" w:type="dxa"/>
          </w:tcPr>
          <w:p w14:paraId="611D24E9" w14:textId="2F1E489F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306" w:type="dxa"/>
          </w:tcPr>
          <w:p w14:paraId="361DF87B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Valuta</w:t>
            </w:r>
          </w:p>
          <w:p w14:paraId="1D458B95" w14:textId="403BDA7B" w:rsidR="00C05CCA" w:rsidRPr="0068244B" w:rsidRDefault="004C1638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Izdavateljima ili drugim ugovornim stranama navedenima u stupcu 0010 dodjeljuje se oznaka ISO za valutu u stupcu 0060 koja odgovara denominaciji primljene imovine ili neiskorištene obvezujuće likvidnosne linije dodijeljene instituciji.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Iskazuje se troslovna oznaka jedinice valute u skladu s normom ISO 4217.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611C9A" w14:textId="7CC928F5" w:rsidR="00774708" w:rsidRPr="0068244B" w:rsidRDefault="00047ECB" w:rsidP="00BC583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koncentracija kapaciteta likvidnosne pokrivenosti sadržava viševalutnu liniju, ta se linija računa kao valuta koja prevladava u ostatku koncentracije.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 pogledu odvojenog izvješćivanja u značajnim valutama kako je određeno u članku 415. stavku 2. Uredbe (EU) br. 575/2013, institucije procjenjuju valutu u kojoj bi tok mogao nastati te iskazuju stavku samo u toj značajnoj valuti u skladu s uputama za odvojeno izvješćivanje po značajnim valutama u zahtjevima za likvidnosnu pokrivenost u skladu s Uredbom (EU) 2021/451.</w:t>
            </w:r>
          </w:p>
        </w:tc>
      </w:tr>
      <w:tr w:rsidR="00E05204" w:rsidRPr="0068244B" w14:paraId="73A43F51" w14:textId="77777777" w:rsidTr="00845EB1">
        <w:tc>
          <w:tcPr>
            <w:tcW w:w="990" w:type="dxa"/>
          </w:tcPr>
          <w:p w14:paraId="44D208DA" w14:textId="23F6D9FD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306" w:type="dxa"/>
          </w:tcPr>
          <w:p w14:paraId="48AA6E4F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Stupanj kreditne kvalitete</w:t>
            </w:r>
          </w:p>
          <w:p w14:paraId="692CB839" w14:textId="76307C3A" w:rsidR="00E05204" w:rsidRPr="0068244B" w:rsidRDefault="00966F82" w:rsidP="00C05CCA">
            <w:pPr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Odgovarajući stupanj kreditne kvalitete, koji je jednak onome iz stavki iskazanih u ljestvici dospijeća, dodjeljuje se u skladu s Uredbom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Ako ne postoji kreditni rejting, dodjeljuje se stupanj „bez rejtinga”.</w:t>
            </w:r>
          </w:p>
        </w:tc>
      </w:tr>
      <w:tr w:rsidR="00E05204" w:rsidRPr="0068244B" w14:paraId="2461383F" w14:textId="77777777" w:rsidTr="00845EB1">
        <w:tc>
          <w:tcPr>
            <w:tcW w:w="990" w:type="dxa"/>
          </w:tcPr>
          <w:p w14:paraId="7F1DF3BE" w14:textId="04859E0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306" w:type="dxa"/>
          </w:tcPr>
          <w:p w14:paraId="3B1CC0D3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MtM vrijednost/nominalna vrijednost</w:t>
            </w:r>
          </w:p>
          <w:p w14:paraId="78CE7B68" w14:textId="6F7E8537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Tržišna vrijednost ili fer vrijednost imovine ili, ako je primjenjivo, nominalna vrijednost neiskorištene obvezujuće likvidnosne linije dodijeljene instituciji.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74EA2D80" w14:textId="77777777" w:rsidTr="00845EB1">
        <w:tc>
          <w:tcPr>
            <w:tcW w:w="990" w:type="dxa"/>
          </w:tcPr>
          <w:p w14:paraId="40B79F48" w14:textId="17099E72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306" w:type="dxa"/>
          </w:tcPr>
          <w:p w14:paraId="5F665131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Vrijednost kolaterala koji je prihvatljiv za središnju banku</w:t>
            </w:r>
          </w:p>
          <w:p w14:paraId="507C4FE8" w14:textId="2A6E5839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Vrijednost kolaterala</w:t>
            </w:r>
            <w:r>
              <w:rPr>
                <w:sz w:val="24"/>
                <w:rFonts w:ascii="Times New Roman" w:hAnsi="Times New Roman"/>
              </w:rPr>
              <w:t xml:space="preserve"> u skladu s pravilima središnje banke za stalno raspoložive mogućnosti za određenu imovinu.</w:t>
            </w:r>
          </w:p>
          <w:p w14:paraId="4C124B93" w14:textId="0E66424F" w:rsidR="00BA0551" w:rsidRPr="0068244B" w:rsidRDefault="00B457F4" w:rsidP="0051514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imovinu iskazanu u valuti koja je uključena u Provedbenu uredbu Komisije (EU) 2015/233</w:t>
            </w:r>
            <w:r>
              <w:rPr>
                <w:sz w:val="24"/>
                <w:vertAlign w:val="superscript"/>
                <w:rFonts w:ascii="Times New Roman" w:hAnsi="Times New Roman"/>
              </w:rPr>
              <w:t xml:space="preserve">* </w:t>
            </w:r>
            <w:r>
              <w:rPr>
                <w:sz w:val="24"/>
                <w:rFonts w:ascii="Times New Roman" w:hAnsi="Times New Roman"/>
              </w:rPr>
              <w:t xml:space="preserve"> kao valuta u kojoj je prihvatljivost kod središnje banke iznimno usko definirana, institucije to polje ne popunjavaju”.</w:t>
            </w:r>
          </w:p>
        </w:tc>
      </w:tr>
    </w:tbl>
    <w:p w14:paraId="2BD524BD" w14:textId="77777777" w:rsidR="00515147" w:rsidRPr="0068244B" w:rsidRDefault="00515147" w:rsidP="00845EB1">
      <w:pPr>
        <w:pStyle w:val="InstructionsText"/>
      </w:pPr>
      <w:r>
        <w:t xml:space="preserve">______________</w:t>
      </w:r>
    </w:p>
    <w:p w14:paraId="56E0854E" w14:textId="4C352ECC" w:rsidR="00D02FE4" w:rsidRPr="00845EB1" w:rsidRDefault="00515147" w:rsidP="00515147">
      <w:pPr>
        <w:pStyle w:val="InstructionsText"/>
        <w:rPr>
          <w:rStyle w:val="InstructionsTabelleText"/>
          <w:b/>
        </w:rPr>
      </w:pPr>
      <w:r>
        <w:rPr>
          <w:vertAlign w:val="superscript"/>
        </w:rPr>
        <w:t xml:space="preserve">* </w:t>
      </w:r>
      <w:r>
        <w:t xml:space="preserve">Provedbena uredba Komisije (EU) 2015/233 оd 13. veljače 2015. o utvrđivanju provedbenih tehničkih standarda u vezi s valutama u kojima je prihvatljivost kod središnje banke iznimno usko definirana u skladu s Uredbom (EU) br. 575/2013 Europskog parlamenta i Vijeća Tekst (SL L39, 14.2.2015., str. 11.).</w:t>
      </w:r>
      <w:r>
        <w:t xml:space="preserve"> </w:t>
      </w:r>
    </w:p>
    <w:sectPr w:rsidR="00D02FE4" w:rsidRPr="00845EB1" w:rsidSect="001C50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45E02B" w16cid:durableId="25C0AF9B"/>
  <w16cid:commentId w16cid:paraId="2942CB83" w16cid:durableId="25C0AFA5"/>
  <w16cid:commentId w16cid:paraId="7D725ECE" w16cid:durableId="25C0AF9C"/>
  <w16cid:commentId w16cid:paraId="3AD63B79" w16cid:durableId="25C0B13B"/>
  <w16cid:commentId w16cid:paraId="1E98360E" w16cid:durableId="25C0AF9D"/>
  <w16cid:commentId w16cid:paraId="0F60AB7F" w16cid:durableId="25C0B3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93A16" w14:textId="77777777" w:rsidR="00191FF3" w:rsidRDefault="00191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59B7D084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EBD">
          <w:t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0316AE9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EBD">
          <w:t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5DF9F" w14:textId="3D370CD7" w:rsidR="00191FF3" w:rsidRDefault="00191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12540B02" w:rsidR="00B85053" w:rsidRDefault="00B85053" w:rsidP="00CB367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692A2ED8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53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1FF3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147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329"/>
    <w:rsid w:val="00672684"/>
    <w:rsid w:val="00672B1B"/>
    <w:rsid w:val="006761DC"/>
    <w:rsid w:val="00680437"/>
    <w:rsid w:val="00680CBC"/>
    <w:rsid w:val="00681960"/>
    <w:rsid w:val="0068244B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A5B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672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0EF6"/>
    <w:rsid w:val="00DC11B2"/>
    <w:rsid w:val="00DC139C"/>
    <w:rsid w:val="00DC1D2D"/>
    <w:rsid w:val="00DC20BD"/>
    <w:rsid w:val="00DC29A9"/>
    <w:rsid w:val="00DC652D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4EBD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1A4C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15F5D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val="hr-HR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hr-HR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hr-HR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val="hr-HR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hr-HR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hr-HR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hr-HR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hr-HR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hr-H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hr-HR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hr-HR"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hr-HR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hr-HR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hr-HR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hr-HR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hr-HR" w:eastAsia="fr-FR"/>
    </w:rPr>
  </w:style>
  <w:style w:type="table" w:styleId="TableGrid">
    <w:name w:val="Table Grid"/>
    <w:basedOn w:val="TableNormal"/>
    <w:uiPriority w:val="59"/>
    <w:rsid w:val="00E05204"/>
    <w:rPr>
      <w:lang w:val="hr-H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hr-HR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70E3E9-D91E-466F-B301-D169C30CA6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EC746B-269F-4BEB-9ADC-5B7AA263CD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EA75C3-AEE3-4FD3-9542-03CABF2CE559}"/>
</file>

<file path=customXml/itemProps4.xml><?xml version="1.0" encoding="utf-8"?>
<ds:datastoreItem xmlns:ds="http://schemas.openxmlformats.org/officeDocument/2006/customXml" ds:itemID="{9581BF38-77C4-45D1-91AE-64FE80B0D559}"/>
</file>

<file path=customXml/itemProps5.xml><?xml version="1.0" encoding="utf-8"?>
<ds:datastoreItem xmlns:ds="http://schemas.openxmlformats.org/officeDocument/2006/customXml" ds:itemID="{CD278320-4352-4532-8592-D0B7E65F2F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5351</Characters>
  <Application>Microsoft Office Word</Application>
  <DocSecurity>0</DocSecurity>
  <Lines>127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2022-10-27T13:24:00Z</dcterms:created>
  <dcterms:modified xsi:type="dcterms:W3CDTF">2022-10-27T13:24:00Z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6ba66e-8b7b-475b-ae81-4aab15d5f212_Enabled">
    <vt:lpwstr>true</vt:lpwstr>
  </property>
  <property fmtid="{D5CDD505-2E9C-101B-9397-08002B2CF9AE}" pid="3" name="MSIP_Label_e66ba66e-8b7b-475b-ae81-4aab15d5f212_SetDate">
    <vt:lpwstr>2022-03-03T13:23:18Z</vt:lpwstr>
  </property>
  <property fmtid="{D5CDD505-2E9C-101B-9397-08002B2CF9AE}" pid="4" name="MSIP_Label_e66ba66e-8b7b-475b-ae81-4aab15d5f212_Method">
    <vt:lpwstr>Privileged</vt:lpwstr>
  </property>
  <property fmtid="{D5CDD505-2E9C-101B-9397-08002B2CF9AE}" pid="5" name="MSIP_Label_e66ba66e-8b7b-475b-ae81-4aab15d5f212_Name">
    <vt:lpwstr>No Label</vt:lpwstr>
  </property>
  <property fmtid="{D5CDD505-2E9C-101B-9397-08002B2CF9AE}" pid="6" name="MSIP_Label_e66ba66e-8b7b-475b-ae81-4aab15d5f212_SiteId">
    <vt:lpwstr>3bacb4ff-f1a2-4c92-b96c-e99fec826b68</vt:lpwstr>
  </property>
  <property fmtid="{D5CDD505-2E9C-101B-9397-08002B2CF9AE}" pid="7" name="MSIP_Label_e66ba66e-8b7b-475b-ae81-4aab15d5f212_ActionId">
    <vt:lpwstr>26a8a858-45fe-4cd0-9dfa-da300a052af8</vt:lpwstr>
  </property>
  <property fmtid="{D5CDD505-2E9C-101B-9397-08002B2CF9AE}" pid="8" name="MSIP_Label_e66ba66e-8b7b-475b-ae81-4aab15d5f212_ContentBits">
    <vt:lpwstr>0</vt:lpwstr>
  </property>
  <property fmtid="{D5CDD505-2E9C-101B-9397-08002B2CF9AE}" pid="9" name="ContentTypeId">
    <vt:lpwstr>0x010100A640DC13EB184F4EBE5AA21BE9F247DB</vt:lpwstr>
  </property>
</Properties>
</file>