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3B806" w14:textId="7920D372" w:rsidR="009E7D0C" w:rsidRPr="00B3568A" w:rsidRDefault="00B3568A" w:rsidP="00B3568A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HR</w:t>
      </w:r>
    </w:p>
    <w:p w14:paraId="2704A83C" w14:textId="77777777" w:rsidR="009E7D0C" w:rsidRPr="00037E7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PRILOG II.</w:t>
      </w:r>
    </w:p>
    <w:p w14:paraId="37362007" w14:textId="6FB5EC15" w:rsidR="002648B0" w:rsidRPr="00037E7B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„PRILOG II.</w:t>
      </w:r>
    </w:p>
    <w:p w14:paraId="327777EC" w14:textId="77777777" w:rsidR="002648B0" w:rsidRPr="00037E7B" w:rsidRDefault="00D11E4C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IZVJEŠĆIVANJE O REGULATORNOM KAPITALU I KAPITALNIM ZAHTJEVIMA</w:t>
      </w:r>
    </w:p>
    <w:p w14:paraId="2C40683C" w14:textId="77777777" w:rsidR="00436204" w:rsidRPr="00037E7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037E7B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037E7B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 xml:space="preserve">DIO II.: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UPUTE ZA OBRASCE</w:t>
      </w:r>
      <w:bookmarkEnd w:id="2"/>
      <w:bookmarkEnd w:id="3"/>
      <w:bookmarkEnd w:id="4"/>
    </w:p>
    <w:p w14:paraId="76BE57B6" w14:textId="77777777" w:rsidR="00964546" w:rsidRPr="00037E7B" w:rsidRDefault="00964546" w:rsidP="00964546">
      <w:pPr>
        <w:rPr>
          <w:lang w:eastAsia="x-none"/>
        </w:rPr>
      </w:pPr>
    </w:p>
    <w:p w14:paraId="31A06314" w14:textId="70B4B7D9" w:rsidR="00964546" w:rsidRPr="00037E7B" w:rsidRDefault="00964546" w:rsidP="00964546">
      <w:r>
        <w:t xml:space="preserve">(…)</w:t>
      </w:r>
    </w:p>
    <w:p w14:paraId="607D2E45" w14:textId="2ECC5240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>
        <w:rPr>
          <w:sz w:val="24"/>
          <w:rFonts w:ascii="Times New Roman" w:hAnsi="Times New Roman"/>
        </w:rPr>
        <w:t xml:space="preserve">9.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Knjiga trgovanja i pragovi tržišnog rizika, granica između knjige trgovanja i knjige pozicija kojima se ne trguje i reklasifikacije</w:t>
      </w:r>
      <w:bookmarkEnd w:id="5"/>
    </w:p>
    <w:p w14:paraId="1FF5D1DF" w14:textId="771ED598" w:rsidR="00A4497F" w:rsidRPr="00037E7B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6" w:name="_Toc7084156"/>
      <w:bookmarkStart w:id="7" w:name="_Toc37168636"/>
      <w:bookmarkStart w:id="8" w:name="_Toc151714535"/>
      <w:r>
        <w:rPr>
          <w:sz w:val="24"/>
          <w:rFonts w:ascii="Times New Roman" w:hAnsi="Times New Roman"/>
        </w:rPr>
        <w:t xml:space="preserve">9.1</w:t>
      </w:r>
      <w:r>
        <w:rPr>
          <w:sz w:val="24"/>
          <w:rFonts w:ascii="Times New Roman" w:hAnsi="Times New Roman"/>
        </w:rPr>
        <w:tab/>
      </w:r>
      <w:bookmarkEnd w:id="6"/>
      <w:r>
        <w:t xml:space="preserve">C 90.00 – Knjiga trgovanja i pragovi tržišnog rizika </w:t>
      </w:r>
      <w:bookmarkEnd w:id="7"/>
      <w:bookmarkEnd w:id="8"/>
      <w:r>
        <w:rPr>
          <w:sz w:val="24"/>
          <w:rFonts w:ascii="Times New Roman" w:hAnsi="Times New Roman"/>
        </w:rPr>
        <w:t xml:space="preserve">T</w:t>
      </w:r>
    </w:p>
    <w:p w14:paraId="458F8B64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9" w:name="_Toc151714536"/>
      <w:r>
        <w:rPr>
          <w:u w:val="none"/>
          <w:sz w:val="24"/>
          <w:rFonts w:ascii="Times New Roman" w:hAnsi="Times New Roman"/>
        </w:rPr>
        <w:t xml:space="preserve">9.1.1</w:t>
      </w:r>
      <w:r>
        <w:rPr>
          <w:u w:val="none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Opće napomene</w:t>
      </w:r>
    </w:p>
    <w:p w14:paraId="2EE35BE9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Informacije iskazane u ovom obrascu odražavaju rezultat izračuna iz članka 94. Uredbe (EU) br. 575/2013 (Odstupanje za mali obujam poslova iz knjige trgovanja) i obujam bilančnih i izvanbilančnih poslova institucije podložnih tržišnom riziku koji se izračunava u skladu s člankom 325.a Uredbe (EU) br. 575/2013.</w:t>
      </w:r>
    </w:p>
    <w:p w14:paraId="6349D8A7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bookmarkStart w:id="10" w:name="_Toc37168638"/>
      <w:r>
        <w:rPr>
          <w:sz w:val="24"/>
          <w:u w:val="none"/>
          <w:rFonts w:ascii="Times New Roman" w:hAnsi="Times New Roman"/>
        </w:rPr>
        <w:t xml:space="preserve">9.1.2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Upute za specifične pozicije</w:t>
      </w:r>
      <w:bookmarkEnd w:id="10"/>
    </w:p>
    <w:p w14:paraId="230964CC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Rezultat izračuna iz članka 94. Uredbe (EU) br. 575/2013 i informacije o obujmu bilančnih i izvanbilančnih poslova institucije podložnih tržišnom riziku koji se izračunava u skladu s člankom 325.a Uredbe (EU) br. 575/2013 dostavljaju se zasebno za kraj svakog mjeseca u tromjesečju na koje se izvješće odnosi, u recima od 0010 do 0030.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Redak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Pravna osnova i upute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Mjesec 3.</w:t>
            </w:r>
          </w:p>
          <w:p w14:paraId="1C7E462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Podaci o stanju na zadnji dan trećeg mjeseca u tromjesečju na koje se izvješće odnosi.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Mjesec 2.</w:t>
            </w:r>
          </w:p>
          <w:p w14:paraId="7AF7462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Podaci o stanju na zadnji dan drugog mjeseca u tromjesečju na koje se izvješće odnosi.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Mjesec 1.</w:t>
            </w:r>
          </w:p>
          <w:p w14:paraId="321A7E1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Podaci o stanju na zadnji dan prvog mjeseca u tromjesečju na koje se izvješće odnosi.</w:t>
            </w:r>
          </w:p>
        </w:tc>
      </w:tr>
    </w:tbl>
    <w:p w14:paraId="55096B4D" w14:textId="77777777" w:rsidR="00F65FA6" w:rsidRPr="00037E7B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Stupac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E02007">
            <w:pPr>
              <w:pStyle w:val="BodyText"/>
              <w:spacing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Pravna osnova i upute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Bilančni i izvanbilančni poslovi podložni tržišnom riziku</w:t>
            </w:r>
          </w:p>
          <w:p w14:paraId="208FB79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 325.a stavak 2. Uredbe (EU) br. 575/2013.</w:t>
            </w:r>
          </w:p>
          <w:p w14:paraId="44825AE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Institucije iskazuju apsolutni iznos koji odražava njihove bilančne i izvanbilančne poslove podložne tržišnom riziku koji se izračunava u skladu s člankom 325.a stavkom 2. Uredbe (EU) br.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 – 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Raščlamba po knjigama</w:t>
            </w:r>
          </w:p>
          <w:p w14:paraId="014F6AA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Bilančni i izvanbilančni poslovi podložni tržišnom riziku raščlanjuju se na knjigu trgovanja i knjigu pozicija kojima se ne trguje.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0020-0040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Knjiga trgovanja</w:t>
            </w:r>
          </w:p>
          <w:p w14:paraId="6098BB5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Pozicije raspoređene u knjigu trgovanja koje su uključene u izračun iz članka 325.a stavka 2. Uredbe (EU) br. 575/2013.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 – 0040</w:t>
            </w:r>
          </w:p>
        </w:tc>
        <w:tc>
          <w:tcPr>
            <w:tcW w:w="7973" w:type="dxa"/>
          </w:tcPr>
          <w:p w14:paraId="24A21C27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poslovi iz knjige trgovanja za potrebe članka 94. Uredbe (EU) br. 575/2013</w:t>
            </w:r>
          </w:p>
          <w:p w14:paraId="7A1ECC7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94. stavak 3. Uredbe (EU) br. 575/2013.</w:t>
            </w:r>
          </w:p>
          <w:p w14:paraId="0A9722A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Kako je propisano člankom 94. stavkom 3. točkom (b) Uredbe (EU) br. 575/2013, institucije iskazuju tržišne vrijednosti od posljednjeg dana u mjesecu;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ako tržišne vrijednosti nisu dostupne, fer vrijednosti na isti datum ili, ako tržišne vrijednosti i fer vrijednosti nisu dostupne na određeni datum, posljednju tržišnu vrijednost ili fer vrijednost.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Ukupno</w:t>
            </w:r>
          </w:p>
          <w:p w14:paraId="50DBCCC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94. stavak 3. Uredbe (EU) br. 575/2013.</w:t>
            </w:r>
          </w:p>
          <w:p w14:paraId="1B4AB24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Apsolutni iznos dugih i kratkih pozicija zbraja se kako je propisano u članku 94. stavku 3. točki (c) Uredbe (EU) br. 575/2013.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 % ukupne imovine</w:t>
            </w:r>
          </w:p>
          <w:p w14:paraId="2A48E43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 94. stavak 1. točka (a) Uredbe (EU) br. 575/2013.</w:t>
            </w:r>
          </w:p>
          <w:p w14:paraId="49681B6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Obujam poslova iz knjige trgovanja za potrebe članka 94. Uredbe (EU) br. 575/2013 iskazuje se kao postotak ukupne imovine.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 – 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Knjiga pozicija kojima se ne trguje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62438A7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Pozicije raspoređene u knjigu pozicija kojima se ne trguje koje su uključene u izračun iz članka 325.a stavka 2. Uredbe (EU) br. 575/2013.</w:t>
            </w:r>
          </w:p>
          <w:p w14:paraId="5423740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Institucije iskazuju pozicije iz knjige pozicija kojima se ne trguje podložne tržišnom riziku raščlanjene na pozicije podložne valutnom riziku i pozicije podložne robnom riziku.</w:t>
            </w:r>
          </w:p>
          <w:p w14:paraId="6F2651D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Relevantni iznosi određuju se u skladu s člankom 325.a stavkom 2. točkama (d) i (e) Uredbe (EU) br. 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 % ukupne imovine</w:t>
            </w:r>
          </w:p>
          <w:p w14:paraId="6A6F8AC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 325.a stavak 1. točka (a) Uredbe (EU) br. 575/2013.</w:t>
            </w:r>
          </w:p>
          <w:p w14:paraId="542B237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Bilančni i izvanbilančni poslovi podložni tržišnom riziku iskazuju se kao postotak ukupne imovine.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E02007">
            <w:pPr>
              <w:pStyle w:val="Tabelleninhalt"/>
              <w:spacing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Ukupna imovina</w:t>
            </w:r>
          </w:p>
          <w:p w14:paraId="020AD40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94. stavak 1. točka (a) i članak 325.a stavak 1. točka (a) Uredbe (EU) br. 575/2013.</w:t>
            </w:r>
          </w:p>
        </w:tc>
      </w:tr>
    </w:tbl>
    <w:p w14:paraId="2C563A95" w14:textId="77777777" w:rsidR="00F65FA6" w:rsidRPr="00037E7B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>
        <w:rPr>
          <w:sz w:val="24"/>
          <w:rFonts w:ascii="Times New Roman" w:hAnsi="Times New Roman"/>
        </w:rPr>
        <w:t xml:space="preserve">9.2. Granica između knjige trgovanja i knjige pozicija kojima se ne trguje (BOU)</w:t>
      </w:r>
      <w:bookmarkEnd w:id="9"/>
    </w:p>
    <w:p w14:paraId="2D9236ED" w14:textId="27F33E1C" w:rsidR="009B2CA6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1" w:name="_Toc151714537"/>
      <w:r>
        <w:rPr>
          <w:sz w:val="24"/>
          <w:rFonts w:ascii="Times New Roman" w:hAnsi="Times New Roman"/>
        </w:rPr>
        <w:t xml:space="preserve">9.2.1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Opće napomene</w:t>
      </w:r>
      <w:bookmarkEnd w:id="11"/>
    </w:p>
    <w:p w14:paraId="5D51F5A4" w14:textId="105C86A5" w:rsidR="009B2CA6" w:rsidRPr="00037E7B" w:rsidRDefault="000B3833" w:rsidP="00660845">
      <w:pPr>
        <w:pStyle w:val="InstructionsText2"/>
        <w:numPr>
          <w:ilvl w:val="0"/>
          <w:numId w:val="0"/>
        </w:numPr>
      </w:pPr>
      <w:r>
        <w:t xml:space="preserve">209.a</w:t>
      </w:r>
      <w:r>
        <w:t xml:space="preserve"> </w:t>
      </w:r>
      <w:r>
        <w:t xml:space="preserve">Ovaj se obrazac upotrebljava za pružanje informacija o sastavu knjige trgovanja (BOU1) s obzirom na pretpostavke za uključivanje instrumenata u knjige utvrđene u članku 104. Uredbe (EU) br. 575/2013.</w:t>
      </w:r>
      <w:r>
        <w:t xml:space="preserve"> </w:t>
      </w:r>
    </w:p>
    <w:p w14:paraId="6EE2D450" w14:textId="77777777" w:rsidR="00015197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2" w:name="_Toc151714538"/>
      <w:r>
        <w:rPr>
          <w:sz w:val="24"/>
          <w:rFonts w:ascii="Times New Roman" w:hAnsi="Times New Roman"/>
        </w:rPr>
        <w:t xml:space="preserve">9.2.2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90.05 – Granica: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Knjiga trgovanja (BOU1)</w:t>
      </w:r>
      <w:bookmarkEnd w:id="12"/>
    </w:p>
    <w:p w14:paraId="642D4D18" w14:textId="1B329C57" w:rsidR="00015197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3" w:name="_Toc151714539"/>
      <w:r>
        <w:rPr>
          <w:sz w:val="24"/>
          <w:rFonts w:ascii="Times New Roman" w:hAnsi="Times New Roman"/>
        </w:rPr>
        <w:t xml:space="preserve">9.2.2.1. Opće napomene</w:t>
      </w:r>
      <w:bookmarkEnd w:id="13"/>
    </w:p>
    <w:p w14:paraId="4E94C71F" w14:textId="73207B56" w:rsidR="00D87969" w:rsidRPr="00037E7B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>
        <w:t xml:space="preserve">209.b</w:t>
      </w:r>
      <w:r>
        <w:t xml:space="preserve"> </w:t>
      </w:r>
      <w:r>
        <w:t xml:space="preserve">Institucije u ovom obrascu iskazuju sve pozicije raspoređene u knjigu trgovanja iz članka 4. stavka 1. točke 85. Uredbe (EU) br. 575/2013, osim instrumenata i pozicija isključenih iz izračuna praga iz članka 325.a Uredbe (EU) br. 575/2013. 209.c Odstupajući od članka 21. stavka 1. točke (a) Uredbe (EU) 2021/451, institucije iskazuju nulu u redcima 0010 i 0020, stupcima 0020 („Obvezno u knjizi trgovanja”), 0130 („Instrumenti uključeni u knjigu trgovanja uz odobrenje nadležnog tijela:</w:t>
      </w:r>
      <w:r>
        <w:t xml:space="preserve"> </w:t>
      </w:r>
      <w:r>
        <w:t xml:space="preserve">instrumenti u hedge fondovima”) odnosno 0140 („Ostali instrumenti”), ako njihova knjiga trgovanja ne uključuje nijedan instrument koji odgovara opisu odgovarajuće rubrike.</w:t>
      </w:r>
    </w:p>
    <w:p w14:paraId="032CBDD2" w14:textId="553C54FC" w:rsidR="00056154" w:rsidRPr="00037E7B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4" w:name="_Toc151714540"/>
      <w:r>
        <w:rPr>
          <w:sz w:val="24"/>
          <w:rFonts w:ascii="Times New Roman" w:hAnsi="Times New Roman"/>
        </w:rPr>
        <w:t xml:space="preserve">9.2.2.2. Upute za specifične pozicije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Stupac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Pravna osnova i upute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0010 - 0150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Knjiga trgovanja: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Agregirane pozicije: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Vrijednost učinka članka 325.a Uredbe (EU) br. 575/2013 (neto (+) pozitivna / (–) negativna tržišna vrijednost)</w:t>
            </w:r>
          </w:p>
          <w:p w14:paraId="00ABD96B" w14:textId="77777777" w:rsidR="009B2CA6" w:rsidRPr="00037E7B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4. stavak 1. točka 86., članak 104., članak 325.a stavak 2. točka (a) Uredbe (EU) br. 575/2013</w:t>
            </w:r>
          </w:p>
          <w:p w14:paraId="467A1E21" w14:textId="008DABF1" w:rsidR="0061609C" w:rsidRPr="00037E7B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t xml:space="preserve">Institucije zasebno iskazuju informacije o agregiranim dugim pozicijama i agregiranim kratkim pozicijama.</w:t>
            </w:r>
            <w:r>
              <w:t xml:space="preserve"> </w:t>
            </w:r>
            <w:r>
              <w:t xml:space="preserve">Određuju vrijednost agregirane duge (kratke) pozicije u skladu s člankom 325.a stavkom 2. Uredbe (EU) br. 575/2013, uz sljedeće odstupanje:</w:t>
            </w:r>
            <w:r>
              <w:t xml:space="preserve"> </w:t>
            </w:r>
            <w:r>
              <w:t xml:space="preserve">ako vrijednost agregirane duge (kratke) pozicije odgovara neto pozitivnoj tržišnoj vrijednosti, u ovom se obrascu iskazuje pozitivna vrijednost;</w:t>
            </w:r>
            <w:r>
              <w:t xml:space="preserve"> </w:t>
            </w:r>
            <w:r>
              <w:t xml:space="preserve">ako vrijednost agregirane duge (kratke) pozicije odgovara neto negativnoj tržišnoj vrijednosti, iskazuje se negativna vrijednost.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Agregirane pozicije – od čega: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u stranoj valuti</w:t>
            </w:r>
          </w:p>
          <w:p w14:paraId="67C375D5" w14:textId="58B41269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Instrumenti se iskazuju u ovom stupcu ako su izraženi u valuti koja nije izvještajna valuta, ako imaju odnosnu imovinu u toj valuti ili deviznu poziciju kao odnosnu imovinu.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 – 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Agregirane pozicije – obvezno u knjizi trgovanja</w:t>
            </w:r>
          </w:p>
          <w:p w14:paraId="45D126DC" w14:textId="42024198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instrument ispunjava više od jednog uvjeta za uključivanje u knjigu trgovanja, institucije ga iskazuju u stupcu koji smatraju najprikladnijim od stupaca između 0030 i 0120.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Instrumenti klasificirani sa svrhom trgovanja u skladu s računovodstvenim okvirom iskazuju se u stupcu 0120 samo ako se ne mogu rasporediti ni u jedan od stupaca od 0030 do 0110.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Obvezno u knjizi trgovanja</w:t>
            </w:r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813" w:type="dxa"/>
          </w:tcPr>
          <w:p w14:paraId="5A39CA9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u alternativnom korelacijskom portfelju namijenjenom trgovanju</w:t>
            </w:r>
          </w:p>
          <w:p w14:paraId="761EFC0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(a) Uredbe (EU) br. 575/2013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zbog kojih bi nastala neto kratka kreditna pozicija ili neto kratka pozicija u vlasničkim instrumentima u knjizi banke</w:t>
            </w:r>
          </w:p>
          <w:p w14:paraId="6B81D80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(b) Uredbe (EU) br. 575/2013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proizašli iz usluge provedbe ponude odnosno prodaje vrijednosnih papira uz obvezu otkupa</w:t>
            </w:r>
          </w:p>
          <w:p w14:paraId="0035AED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(c) Uredbe (EU) br. 575/2013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proizašli iz aktivnosti održavanja tržišta</w:t>
            </w:r>
          </w:p>
          <w:p w14:paraId="39D72E39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(e) Uredbe (EU) br. 575/2013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CIU-ovi</w:t>
            </w:r>
          </w:p>
          <w:p w14:paraId="5F0ADDDD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(f) Uredbe (EU) br. 575/2013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Uvršteni vlasnički instrumenti</w:t>
            </w:r>
          </w:p>
          <w:p w14:paraId="7373B9F6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(g) Uredbe (EU) br. 575/2013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Transakcije financiranja vrijednosnim papirima povezane s trgovanjem</w:t>
            </w:r>
          </w:p>
          <w:p w14:paraId="6D53378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(h) Uredbe (EU) br. 575/2013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0100</w:t>
            </w:r>
          </w:p>
        </w:tc>
        <w:tc>
          <w:tcPr>
            <w:tcW w:w="7813" w:type="dxa"/>
          </w:tcPr>
          <w:p w14:paraId="5611CE5C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Opcije ili druge izvedenice ugrađene u vlastite obveze institucije (podijeljene)</w:t>
            </w:r>
          </w:p>
          <w:p w14:paraId="0426719F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(i) i treći podstavak Uredbe (EU) br. 575/2013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</w:t>
            </w:r>
          </w:p>
        </w:tc>
        <w:tc>
          <w:tcPr>
            <w:tcW w:w="7813" w:type="dxa"/>
          </w:tcPr>
          <w:p w14:paraId="3F7AFD3A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Vlastite obveze institucije s ugrađenim opcijama, ili drugim izvedenicama (nisu podijeljene)</w:t>
            </w:r>
          </w:p>
          <w:p w14:paraId="6C5173C2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(i) i četvrti podstavak Uredbe (EU) br. 575/2013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0120</w:t>
            </w:r>
          </w:p>
        </w:tc>
        <w:tc>
          <w:tcPr>
            <w:tcW w:w="7813" w:type="dxa"/>
          </w:tcPr>
          <w:p w14:paraId="04C4E6C0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klasificirani sa svrhom trgovanja u skladu s računovodstvenim okvirom (koji nisu uključeni u prethodne stupce)</w:t>
            </w:r>
          </w:p>
          <w:p w14:paraId="10D50030" w14:textId="47C96D6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(d) Uredbe (EU) br. 575/2013</w:t>
            </w:r>
          </w:p>
          <w:p w14:paraId="5674D9E6" w14:textId="3DAB8DFF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Instrumenti klasificirani sa svrhom trgovanja u skladu s računovodstvenim okvirom iskazuju se u ovom stupcu samo ako već nisu iskazani u stupcima od 0030 do 0110.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13" w:type="dxa"/>
          </w:tcPr>
          <w:p w14:paraId="1958765E" w14:textId="79733BFC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Agregirane pozicije – instrumenti uključeni u knjigu trgovanja uz odobrenje nadležnog tijela: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instrumenti u hedge fondovima</w:t>
            </w:r>
          </w:p>
          <w:p w14:paraId="71C1AC7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 104. stavak 4.a Uredbe (EU) br. 575/2013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0140 - 0150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Agregirane pozicije – ostali instrumenti</w:t>
            </w:r>
          </w:p>
          <w:p w14:paraId="4AFCA133" w14:textId="3CC0563A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Instrumenti se iskazuju u ovom stupcu ako su raspoređeni u knjigu trgovanja u skladu s člankom 4. stavkom 1. točkom 85. Uredbe (EU) br. 575/2013 i nisu iskazani ni u jednom od stupaca od 0020 do 0130.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Ostali instrumenti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Ostali instrumenti – od čega: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Instrumenti u knjizi trgovanja, koji su tamo zbog nedostatka dokaza za klasifikaciju u knjigu pozicija kojima se ne trguje</w:t>
            </w:r>
          </w:p>
          <w:p w14:paraId="41653FFB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 104. stavak 6. druga rečenica Uredbe (EU) br. 575/2013</w:t>
            </w:r>
          </w:p>
        </w:tc>
      </w:tr>
    </w:tbl>
    <w:p w14:paraId="10FD81A7" w14:textId="77777777" w:rsidR="009B2CA6" w:rsidRPr="00037E7B" w:rsidRDefault="009B2CA6" w:rsidP="009B2CA6">
      <w:pPr>
        <w:pStyle w:val="body"/>
        <w:spacing w:before="0" w:after="0"/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Redak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Pravna osnova i upute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0010-0020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037E7B" w:rsidRDefault="00A17954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Svi instrumenti u knjizi trgovanja koji su uzeti u obzir u pragu iz članka 325.a Uredbe (EU) br. 575/2013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0030-0040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kojima je glavni činitelj rizika opći kamatni rizik ili rizik kreditne marže</w:t>
            </w:r>
          </w:p>
          <w:p w14:paraId="1768966A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  <w:lang w:val="en-GB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0050-0060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kojima je glavni činitelj rizika rizik vlasničkih instrumenata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0070-0080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kojima je glavni činitelj rizika valutni rizik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0090-0100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627775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Instrumenti kojima je glavni činitelj rizika robni rizik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0110-0120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037E7B" w:rsidRDefault="00D35757" w:rsidP="00A17954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Ostali instrumenti u knjizi trgovanja, uključujući instrumente kojima je glavni činitelj rizika rezidualni rizik</w:t>
            </w:r>
          </w:p>
          <w:p w14:paraId="49050F01" w14:textId="0520CC26" w:rsidR="009B2CA6" w:rsidRPr="00723BA8" w:rsidRDefault="00D35757">
            <w:pPr>
              <w:pStyle w:val="BodyText"/>
              <w:spacing w:before="120" w:after="120"/>
              <w:rPr>
                <w:rFonts w:hint="eastAsia"/>
              </w:rPr>
            </w:pPr>
            <w:r>
              <w:t xml:space="preserve">Institucije u ovim redcima iskazuju svaki instrument raspoređen u knjigu trgovanja čiji glavni činitelj rizika nije jedan od činitelja rizika iz redaka od 0030 do 0100.</w:t>
            </w:r>
            <w:r>
              <w:t xml:space="preserve"> </w:t>
            </w:r>
            <w:r>
              <w:t xml:space="preserve">Ti redci uključuju barem instrumente čiji su glavni činitelj rizika rezidualni rizici.</w:t>
            </w:r>
            <w:r>
              <w:t xml:space="preserve">  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0130-0140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Bilješka: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u w:val="single"/>
                <w:rFonts w:ascii="Times New Roman" w:hAnsi="Times New Roman"/>
              </w:rPr>
              <w:t xml:space="preserve">Instrumenti klasificirani sa svrhom trgovanja u skladu s računovodstvenim okvirom</w:t>
            </w:r>
          </w:p>
          <w:p w14:paraId="3A1B5873" w14:textId="2B81F1B6" w:rsidR="009B2CA6" w:rsidRPr="00037E7B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 stavak 2. prvi podstavak točka (d) Uredbe (EU) 575/2013</w:t>
            </w:r>
          </w:p>
        </w:tc>
      </w:tr>
    </w:tbl>
    <w:p w14:paraId="59860518" w14:textId="5FCC674D" w:rsidR="00AB3069" w:rsidRPr="00037E7B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>
        <w:rPr>
          <w:sz w:val="24"/>
          <w:rFonts w:ascii="Times New Roman" w:hAnsi="Times New Roman"/>
        </w:rPr>
        <w:t xml:space="preserve">9.3. C 24.01. – Granica knjige trgovanja – reklasifikacija među knjigama (MOV)</w:t>
      </w:r>
      <w:bookmarkEnd w:id="15"/>
    </w:p>
    <w:p w14:paraId="36E171AE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u w:val="none"/>
          <w:sz w:val="24"/>
          <w:rFonts w:ascii="Times New Roman" w:hAnsi="Times New Roman"/>
        </w:rPr>
        <w:t xml:space="preserve">9.3.1</w:t>
      </w:r>
      <w:r>
        <w:rPr>
          <w:u w:val="none"/>
          <w:rFonts w:ascii="Times New Roman" w:hAnsi="Times New Roman"/>
        </w:rPr>
        <w:tab/>
      </w:r>
      <w:r>
        <w:rPr>
          <w:u w:val="none"/>
          <w:sz w:val="24"/>
          <w:rFonts w:ascii="Times New Roman" w:hAnsi="Times New Roman"/>
        </w:rPr>
        <w:t xml:space="preserve">Opće napomene</w:t>
      </w:r>
    </w:p>
    <w:p w14:paraId="01D302B5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Ovaj se obrazac upotrebljava za dostavljanje informacija o reklasifikaciji pozicija u skladu s člankom 104.a Uredbe (EU) br. 575/2013.</w:t>
      </w:r>
      <w:r>
        <w:t xml:space="preserve"> </w:t>
      </w:r>
    </w:p>
    <w:p w14:paraId="171B977F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Reklasifikacije se u ovom predlošku iskazuju samo u sljedeća dva slučaja:</w:t>
      </w:r>
    </w:p>
    <w:p w14:paraId="188FB065" w14:textId="1E43754D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ako je nadležno tijelo odobrilo reklasifikaciju pozicije iz knjige trgovanja u poziciju iz knjige pozicija kojima se ne trguje ili obrnuto;</w:t>
      </w:r>
    </w:p>
    <w:p w14:paraId="5B6EC138" w14:textId="25B6D89E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ako reklasifikacija ispunjava uvjete iz članka 104.a stavka 6. Uredbe (EU) br. 575/2013 i može se provesti bez izričitog odobrenja nadležnog tijela.</w:t>
      </w:r>
    </w:p>
    <w:p w14:paraId="42F779D4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U obrascu se iskazuju sljedeći reklasificirani instrumenti:</w:t>
      </w:r>
    </w:p>
    <w:p w14:paraId="2B0996DA" w14:textId="3EB81158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instrumenti reklasificirani tijekom tromjesečja na koje se izvješće odnosi.</w:t>
      </w:r>
      <w:r>
        <w:t xml:space="preserve"> </w:t>
      </w:r>
      <w:r>
        <w:t xml:space="preserve">Svi instrumenti reklasificirani tijekom tromjesečja iskazuju se u obrascu, bez obzira na to dovodi li reklasifikacija do smanjenja kapitalnih zahtjeva ili ne.</w:t>
      </w:r>
      <w:r>
        <w:t xml:space="preserve"> </w:t>
      </w:r>
      <w:r>
        <w:t xml:space="preserve">Instrument reklasificiran tijekom tromjesečja iskazuje se čak i ako se instrument prestao priznavati ili je dospio između datuma reklasifikacije i referentnog datuma izvješća;</w:t>
      </w:r>
    </w:p>
    <w:p w14:paraId="29ED050F" w14:textId="56E21CB0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instrumenti reklasificirani u prethodnim izvještajnim razdobljima koji od referentnog datuma izvješća i dalje privlače kapitalni zahtjev u skladu s člankom 104.a stavkom 3. točkom (b) Uredbe (EU) br. 575/2013;</w:t>
      </w:r>
      <w:r>
        <w:t xml:space="preserve"> </w:t>
      </w:r>
    </w:p>
    <w:p w14:paraId="04E7DE74" w14:textId="0EA265BF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instrumenti reklasificirani u prethodnim izvještajnim razdobljima za koje vrijedi kapitalni zahtjev u skladu s člankom 104.a stavkom 3. točkom (b) Uredbe (EU) br. 575/2013 na prethodni referentni datum, ako odluka nadležnog tijela o dopuštanju priznavanja smanjenja kapitalnih zahtjeva proizvodi učinke tijekom tromjesečja na koje se izvješće odnosi.</w:t>
      </w:r>
    </w:p>
    <w:p w14:paraId="4E4DBEFD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Institucije iskazuju informacije o reklasifikaciji zasebno za svaki reklasificirani instrument.</w:t>
      </w:r>
    </w:p>
    <w:p w14:paraId="17A4C841" w14:textId="77777777" w:rsidR="00F65FA6" w:rsidRPr="00037E7B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U rubrici „grupa za prijeboj” navodi se grupa za prijeboj koja uključuje subjekt koji je držao poziciju od referentnog datuma ili od datuma dospijeća ili prestanka priznavanja, ovisno o slučaju.</w:t>
      </w:r>
      <w:r>
        <w:t xml:space="preserve"> </w:t>
      </w:r>
    </w:p>
    <w:p w14:paraId="27A31F03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9.3.2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u w:val="none"/>
          <w:rFonts w:ascii="Times New Roman" w:hAnsi="Times New Roman"/>
        </w:rPr>
        <w:t xml:space="preserve">Upute za specifične pozicije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Stupac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Pravna osnova i upute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Identifikacijska oznaka reklasifikacije</w:t>
            </w:r>
          </w:p>
          <w:p w14:paraId="677D77C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Interna (alfanumerička) oznaka koju subjekt koji izvješćuje upotrebljava za identificiranje reklasificiranog instrumenta ili reklasifikacije, ovisno o slučaju.</w:t>
            </w:r>
          </w:p>
          <w:p w14:paraId="5368921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Svaka reklasifikacija ima zasebnu identifikacijsku oznaku reklasifikacije.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Identifikacijska oznaka reklasifikacije dodijeljena jednoj reklasifikaciji jedinstvena je i uvijek se dosljedno koristi tijekom vremena u svim izvješćima.</w:t>
            </w:r>
          </w:p>
          <w:p w14:paraId="6DB947C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Ovo je identifikator retka koji je jedinstven za svaki redak u obrascu.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Vrsta instrumenta</w:t>
            </w:r>
          </w:p>
          <w:p w14:paraId="397FF85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Kratak opis reklasificiranog instrumenta koji omogućuje razumijevanje prirode i glavnih značajki reklasificiranog instrumenta.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D66558D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instrument koji je reklasificiran ima međunarodni identifikacijski broj vrijednosnog papira („ISIN”), oznaka ISIN uključuje se u opis, uz glavna obilježja instrumenta.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Knjiga iz koje je instrument reklasificiran</w:t>
            </w:r>
          </w:p>
          <w:p w14:paraId="74CBD9F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Navodi se jedna od sljedećih dvaju opcija:</w:t>
            </w:r>
          </w:p>
          <w:p w14:paraId="4B75926D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Knjiga trgovanja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Članak 4. stavak 1. točka 86. Uredbe (EU) br. 575/2013</w:t>
            </w:r>
          </w:p>
          <w:p w14:paraId="787F3457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Knjiga banke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Sastoji se od svih pozicija koje nisu uključene u knjigu trgovanja.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Knjiga u koju je instrument reklasificiran</w:t>
            </w:r>
          </w:p>
          <w:p w14:paraId="3021E1D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Mora se odabrati jedna od sljedećih dvaju opcija:</w:t>
            </w:r>
          </w:p>
          <w:p w14:paraId="1EE13C76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Knjiga trgovanja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Članak 4. stavak 1. točka 86. Uredbe (EU) br. 575/2013</w:t>
            </w:r>
          </w:p>
          <w:p w14:paraId="41D9486B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Knjiga banke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Sastoji se od svih pozicija koje nisu uključene u knjigu trgovanja.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Razlog za reklasifikaciju</w:t>
            </w:r>
          </w:p>
          <w:p w14:paraId="7DED50F3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Objašnjavaju se iznimne okolnosti koje dovode do reklasifikacije pozicije u knjigama.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Objašnjenje u ovoj rubrici mora biti dovoljno detaljno kako bi opravdalo zašto se reklasifikacija smatra izvanrednom okolnošću.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Prethodno odobrenje (status)</w:t>
            </w:r>
          </w:p>
          <w:p w14:paraId="56285F31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104.a stavci 2. i 6. Uredbe (EU) br. 575/2013</w:t>
            </w:r>
          </w:p>
          <w:p w14:paraId="65D8CB7E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nije potrebno prethodno odobrenje nadležnog tijela u skladu s člankom 104.a stavkom 6. Uredbe (EU) br. 575/2013, institucije u ovom stupcu navode „nije potrebno prethodno odobrenje”.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Ako je prethodno odobrenje potrebno i dobiveno, navodi se „dobiveno prethodno odobrenje”.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Datum ponovne klasifikacije</w:t>
            </w:r>
          </w:p>
          <w:p w14:paraId="230E5C22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 104.a stavci 2. i 6. prva rečenica Uredbe (EU) br. 575/2013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Neto (+) povećanje ili (–) smanjenje kapitalnih zahtjeva koje proizlazi iz reklasifikacije</w:t>
            </w:r>
          </w:p>
          <w:p w14:paraId="037647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Neto promjena iznosa kapitalnih zahtjeva koja proizlazi iz reklasifikacije pozicije, izračunana u skladu s člankom 104.a stavkom 4. Uredbe (EU) br. 575/2013.</w:t>
            </w:r>
          </w:p>
          <w:p w14:paraId="6BA75988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Povećanje kapitalnih zahtjeva koje proizlazi iz reklasifikacije iskazuje se s pozitivnim predznakom (+), a smanjenje kapitalnih zahtjeva iskazuje s negativnim (–) predznakom.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Uvećanje kapitalnih zahtjeva zbog reklasifikacije</w:t>
            </w:r>
            <w:r>
              <w:rPr>
                <w:b/>
                <w:u w:val="single"/>
                <w:rFonts w:ascii="Times New Roman" w:hAnsi="Times New Roman"/>
              </w:rPr>
              <w:t xml:space="preserve"> </w:t>
            </w:r>
          </w:p>
          <w:p w14:paraId="0820442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neto promjena iznosa kapitalnih zahtjeva koja proizlazi iz reklasifikacije pozicije, kako je izračunana u skladu s člankom 104.a stavkom 4. Uredbe (EU) br. 575/2013, predstavlja smanjenje kapitalnih zahtjeva institucije, a nadležno tijelo nije odobrilo priznavanje tog smanjenja u skladu s člankom 104.a stavkom 3. točkom (b) Uredbe (EU) br. 575/2013, iznos smanjenja iskazuje se s pozitivnim predznakom. Iznos stoga predstavlja uvećanje kapitalnih zahtjeva za predmetnu reklasifikaciju.</w:t>
            </w:r>
          </w:p>
          <w:p w14:paraId="58E348B5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je nadležno tijelo ovlašteno priznati smanjenje kapitalnih zahtjeva u skladu s člankom 104.a stavkom 3. točkom (b) Uredbe (EU) br. 575/2013, ovaj stupac ostaje prazan.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Datum dospijeća ili predviđeni prestanak priznavanja instrumenta</w:t>
            </w:r>
          </w:p>
          <w:p w14:paraId="019C730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prestanak priznavanja nije predviđen, iskazuje se dospijeće instrumenta.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9F6AC7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se predviđa prestanak priznavanja instrumenta prije njegova dospijeća, iskazuje se datum predviđenog prestanka priznavanja.</w:t>
            </w:r>
          </w:p>
          <w:p w14:paraId="3742220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su poznati samo mjesec i godina dospijeća ili prestanka priznavanja, datum dospijeća ili predviđenog prestanka priznavanja instrumenta iskazuje se kao posljednji dan u mjesecu.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Ako je poznata samo godina prestanka priznavanja, datum dospijeća ili predviđenog prestanka priznavanja iskazuje se kao 31. prosinca te godine.</w:t>
            </w:r>
          </w:p>
          <w:p w14:paraId="7F21181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se datum dospijeća ili predviđenog prestanka priznavanja instrumenta ne može utvrditi ili nije poznat, u ovaj se stupac upisuje 31. prosinca 9999.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0110</w:t>
            </w:r>
          </w:p>
        </w:tc>
        <w:tc>
          <w:tcPr>
            <w:tcW w:w="7813" w:type="dxa"/>
            <w:vAlign w:val="bottom"/>
          </w:tcPr>
          <w:p w14:paraId="441DE526" w14:textId="77777777" w:rsidR="00F65FA6" w:rsidRPr="00037E7B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b/>
                <w:u w:val="single"/>
                <w:rFonts w:ascii="Times New Roman" w:hAnsi="Times New Roman"/>
              </w:rPr>
              <w:t xml:space="preserve">Datum od kojeg nadležno tijelo dopušta priznavanje smanjenja kapitalnih zahtjeva</w:t>
            </w:r>
          </w:p>
          <w:p w14:paraId="49ECC5E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Članak 104.a stavak 3. točka (b) Uredbe (EU) br. 575/2013</w:t>
            </w:r>
          </w:p>
          <w:p w14:paraId="1B724794" w14:textId="77777777" w:rsidR="00F65FA6" w:rsidRPr="00FE3C59" w:rsidRDefault="00F65FA6" w:rsidP="00E02007">
            <w:pPr>
              <w:pStyle w:val="BodyText"/>
              <w:spacing w:before="120" w:after="120"/>
              <w:rPr>
                <w:b/>
                <w:u w:val="single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Ako je reklasifikacija dovela do neto povećanja kapitalnih zahtjeva i ako nadležno tijelo nije dopustilo priznavanje smanjenja kapitalnih zahtjeva, datum se ne iskazuje.”</w:t>
            </w:r>
          </w:p>
        </w:tc>
      </w:tr>
    </w:tbl>
    <w:p w14:paraId="0C23ABF8" w14:textId="77777777" w:rsidR="00F65FA6" w:rsidRPr="00FE3C59" w:rsidRDefault="00F65FA6" w:rsidP="00F65FA6">
      <w:pPr>
        <w:pStyle w:val="body"/>
        <w:rPr>
          <w:rFonts w:ascii="Times New Roman" w:hAnsi="Times New Roman" w:cs="Times New Roman"/>
          <w:lang w:val="en-GB"/>
        </w:rPr>
      </w:pPr>
    </w:p>
    <w:p w14:paraId="18DC5971" w14:textId="77777777" w:rsidR="00522E00" w:rsidRPr="00F65FA6" w:rsidRDefault="00522E00" w:rsidP="00F65FA6">
      <w:pPr>
        <w:pStyle w:val="body"/>
        <w:rPr>
          <w:rStyle w:val="InstructionsTabelleText"/>
          <w:rFonts w:ascii="Times New Roman" w:hAnsi="Times New Roman"/>
          <w:sz w:val="24"/>
          <w:lang w:val="en-GB"/>
        </w:rPr>
      </w:pPr>
    </w:p>
    <w:sectPr w:rsidR="00522E00" w:rsidRPr="00F65FA6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dovita upotr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dovita upotr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dovita upotr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dovita upotr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dovita upotr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dovita upotr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46C8D792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hr-HR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hr-HR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hr-HR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hr-HR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r-HR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hr-HR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hr-HR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hr-H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hr-HR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hr-HR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hr-HR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hr-HR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hr-HR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hr-HR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hr-HR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hr-HR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hr-HR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hr-H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hr-HR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hr-H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hr-HR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hr-HR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hr-H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hr-HR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r-HR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hr-HR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hr-HR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hr-HR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hr-HR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hr-HR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hr-HR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hr-HR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hr-HR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hr-HR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r-HR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hr-HR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hr-HR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hr-HR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hr-HR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hr-HR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hr-HR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hr-HR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hr-HR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hr-HR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hr-HR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hr-HR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hr-HR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hr-HR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hr-HR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hr-H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hr-HR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BD1098-F753-4263-8821-A48A73DF642C}"/>
</file>

<file path=customXml/itemProps2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2619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dcterms:created xsi:type="dcterms:W3CDTF">2024-06-19T18:09:00Z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