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HR</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PRILOG II.</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„PRILOG II.</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UPUTE ZA IZVJEŠĆIVANJE O REGULATORNOM KAPITALU I KAPITALNIM ZAHTJEVIMA</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DIO II.: UPUTE ZA OBRASCE</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rPr>
          <w:rFonts w:ascii="Times New Roman" w:hAnsi="Times New Roman"/>
          <w:sz w:val="24"/>
        </w:rPr>
        <w:tab/>
        <w:t>C 25.01 – RIZIK PRILAGODBE KREDITNOM VREDNOVANJU</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Pr>
          <w:rFonts w:ascii="Times New Roman" w:hAnsi="Times New Roman"/>
          <w:sz w:val="24"/>
          <w:u w:val="none"/>
        </w:rPr>
        <w:tab/>
      </w:r>
      <w:r>
        <w:rPr>
          <w:rFonts w:ascii="Times New Roman" w:hAnsi="Times New Roman"/>
          <w:sz w:val="24"/>
        </w:rPr>
        <w:t>Upute za specifične pozicije</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Stupci</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Vrijednost izloženosti kreditnom riziku druge ugovorne strane</w:t>
            </w:r>
          </w:p>
          <w:p w14:paraId="06BD2F33" w14:textId="77777777" w:rsidR="00680687" w:rsidRPr="002A677E" w:rsidRDefault="00680687" w:rsidP="006A3ADC">
            <w:pPr>
              <w:rPr>
                <w:rFonts w:ascii="Times New Roman" w:hAnsi="Times New Roman"/>
                <w:sz w:val="24"/>
              </w:rPr>
            </w:pPr>
            <w:r>
              <w:rPr>
                <w:rFonts w:ascii="Times New Roman" w:hAnsi="Times New Roman"/>
                <w:sz w:val="24"/>
              </w:rPr>
              <w:t>Vrijednost izloženosti kreditnom riziku druge ugovorne strane izračunana u skladu s metodama iz dijela trećeg glave II. poglavlja 4. i 6. Uredbe (EU) br. 575/2013.</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Kapitalni zahtjevi za kreditni rizik druge ugovorne strane</w:t>
            </w:r>
          </w:p>
          <w:p w14:paraId="0F0016B3" w14:textId="77777777" w:rsidR="00680687" w:rsidRPr="002A677E" w:rsidRDefault="00680687" w:rsidP="006A3ADC">
            <w:pPr>
              <w:rPr>
                <w:rFonts w:ascii="Times New Roman" w:hAnsi="Times New Roman"/>
                <w:sz w:val="24"/>
              </w:rPr>
            </w:pPr>
            <w:r>
              <w:rPr>
                <w:rFonts w:ascii="Times New Roman" w:hAnsi="Times New Roman"/>
                <w:sz w:val="24"/>
              </w:rPr>
              <w:t>Kapitalni zahtjevi za kreditni rizik druge ugovorne strane (članak 92. stavak 4. točke (a) i (g) i dio treći glava VI. Uredbe (EU) br. 575/2013).</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Zamišljeni iznos</w:t>
            </w:r>
          </w:p>
          <w:p w14:paraId="3D1812D7" w14:textId="77777777" w:rsidR="00680687" w:rsidRPr="002A677E" w:rsidRDefault="00680687" w:rsidP="006A3ADC">
            <w:pPr>
              <w:rPr>
                <w:rFonts w:ascii="Times New Roman" w:hAnsi="Times New Roman"/>
                <w:sz w:val="24"/>
              </w:rPr>
            </w:pPr>
            <w:r>
              <w:rPr>
                <w:rFonts w:ascii="Times New Roman" w:hAnsi="Times New Roman"/>
                <w:sz w:val="24"/>
              </w:rPr>
              <w:t xml:space="preserve">Zbroj zamišljenih iznosa za izvedenice prije </w:t>
            </w:r>
            <w:proofErr w:type="spellStart"/>
            <w:r>
              <w:rPr>
                <w:rFonts w:ascii="Times New Roman" w:hAnsi="Times New Roman"/>
                <w:sz w:val="24"/>
              </w:rPr>
              <w:t>netiranja</w:t>
            </w:r>
            <w:proofErr w:type="spellEnd"/>
            <w:r>
              <w:rPr>
                <w:rFonts w:ascii="Times New Roman" w:hAnsi="Times New Roman"/>
                <w:sz w:val="24"/>
              </w:rPr>
              <w:t xml:space="preserve"> i bez prilagodbi u skladu s člankom 279.b Uredbe (EU) br. 575/2013.</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Obračunati CVA</w:t>
            </w:r>
          </w:p>
          <w:p w14:paraId="736FE6AE" w14:textId="77777777" w:rsidR="00680687" w:rsidRPr="002A677E" w:rsidRDefault="00680687" w:rsidP="006A3ADC">
            <w:pPr>
              <w:rPr>
                <w:rFonts w:ascii="Times New Roman" w:hAnsi="Times New Roman"/>
                <w:sz w:val="24"/>
              </w:rPr>
            </w:pPr>
            <w:r>
              <w:rPr>
                <w:rFonts w:ascii="Times New Roman" w:hAnsi="Times New Roman"/>
                <w:sz w:val="24"/>
              </w:rPr>
              <w:t>Računovodstvene odredbe na osnovi smanjene kreditne sposobnosti drugih ugovornih strana povezanih s izvedenicama.</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Pojednostavnjeni tretman za pozicije u izvedenicama subjekata za zajednička ulaganja</w:t>
            </w:r>
          </w:p>
          <w:p w14:paraId="5D30B96B" w14:textId="77777777" w:rsidR="00680687" w:rsidRPr="002A677E" w:rsidRDefault="00680687" w:rsidP="006A3ADC">
            <w:pPr>
              <w:rPr>
                <w:rFonts w:ascii="Times New Roman" w:hAnsi="Times New Roman"/>
                <w:sz w:val="24"/>
              </w:rPr>
            </w:pPr>
            <w:r>
              <w:rPr>
                <w:rFonts w:ascii="Times New Roman" w:hAnsi="Times New Roman"/>
                <w:sz w:val="24"/>
              </w:rPr>
              <w:t>Kapitalni zahtjevi za CVA (članak 92. stavak 4. točka (d) i dio treći glava VI. Uredbe (EU) br. 575/2013) izračunani u skladu s pojednostavnjenim tretmanom za pozicije u izvedenicama subjekata za zajednička ulaganja kako je definirano u članku 132.a stavku 3., članku 152. stavku 3. i članku 325.j stavku 1. Uredbe (EU) br. 575/2013.</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Pojednostavnjeni pristup</w:t>
            </w:r>
          </w:p>
          <w:p w14:paraId="004D4F8F" w14:textId="77777777" w:rsidR="00680687" w:rsidRPr="002A677E" w:rsidRDefault="00680687" w:rsidP="006A3ADC">
            <w:pPr>
              <w:rPr>
                <w:rFonts w:ascii="Times New Roman" w:hAnsi="Times New Roman"/>
                <w:sz w:val="24"/>
              </w:rPr>
            </w:pPr>
            <w:r>
              <w:rPr>
                <w:rFonts w:ascii="Times New Roman" w:hAnsi="Times New Roman"/>
                <w:sz w:val="24"/>
              </w:rPr>
              <w:lastRenderedPageBreak/>
              <w:t>Kapitalni zahtjevi za transakcije na koje se primjenjuje pojednostavnjeni pristup iz članka 385. Uredbe (EU) br. 575/2013.</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Smanjeni osnovni pristup za CVA (BA-CVA)</w:t>
            </w:r>
          </w:p>
          <w:p w14:paraId="10567290" w14:textId="77777777" w:rsidR="00680687" w:rsidRPr="002A677E" w:rsidRDefault="00680687" w:rsidP="006A3ADC">
            <w:pPr>
              <w:rPr>
                <w:rFonts w:ascii="Times New Roman" w:hAnsi="Times New Roman"/>
                <w:sz w:val="24"/>
              </w:rPr>
            </w:pPr>
            <w:r>
              <w:rPr>
                <w:rFonts w:ascii="Times New Roman" w:hAnsi="Times New Roman"/>
                <w:sz w:val="24"/>
              </w:rPr>
              <w:t>Kapitalni zahtjevi za CVA (članak 92. stavak 4. točka (d) i dio treći glava VI. Uredbe (EU) br. 575/2013) izračunani u skladu s člankom 384. stavkom 3. za instituciju koja ispunjava uvjet iz članka 384. stavka 1. točke (b) Uredbe (EU) br. 575/2013.</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Puni osnovni pristup za CVA (BA-CVA)</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Kapitalni zahtjevi za CVA (članak 92. stavak 4. točka (d) i dio treći glava VI. Uredbe (EU) br. 575/2013) izračunani u skladu s člankom 384. stavkom 2. za instituciju koja ispunjava uvjet iz članka 384. stavka 1. točke (a) Uredbe (EU) br. 575/2013.</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Zamišljeni iznos CVA zaštita</w:t>
            </w:r>
          </w:p>
          <w:p w14:paraId="3C607DB7" w14:textId="77777777" w:rsidR="00680687" w:rsidRPr="002A677E" w:rsidRDefault="00680687" w:rsidP="006A3ADC">
            <w:pPr>
              <w:rPr>
                <w:rFonts w:ascii="Times New Roman" w:hAnsi="Times New Roman"/>
                <w:sz w:val="24"/>
              </w:rPr>
            </w:pPr>
            <w:r>
              <w:rPr>
                <w:rFonts w:ascii="Times New Roman" w:hAnsi="Times New Roman"/>
                <w:sz w:val="24"/>
              </w:rPr>
              <w:t>Zamišljeni iznos priznatih CVA zaštita (bruto iznosi) koje se priznaju u skladu s člankom 386. Uredbe (EU) br. 575/2013.</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proofErr w:type="spellStart"/>
            <w:r>
              <w:rPr>
                <w:rFonts w:ascii="Times New Roman" w:hAnsi="Times New Roman"/>
                <w:b/>
                <w:sz w:val="24"/>
                <w:u w:val="single"/>
              </w:rPr>
              <w:t>BACVA</w:t>
            </w:r>
            <w:r>
              <w:rPr>
                <w:rFonts w:ascii="Times New Roman" w:hAnsi="Times New Roman"/>
                <w:b/>
                <w:sz w:val="24"/>
                <w:vertAlign w:val="superscript"/>
              </w:rPr>
              <w:t>csr-unhedged</w:t>
            </w:r>
            <w:proofErr w:type="spellEnd"/>
          </w:p>
          <w:p w14:paraId="4A0E67ED" w14:textId="77777777" w:rsidR="00680687" w:rsidRPr="002A677E" w:rsidRDefault="00680687" w:rsidP="006A3ADC">
            <w:pPr>
              <w:rPr>
                <w:rFonts w:ascii="Times New Roman" w:hAnsi="Times New Roman"/>
                <w:sz w:val="24"/>
              </w:rPr>
            </w:pPr>
            <w:proofErr w:type="spellStart"/>
            <w:r>
              <w:rPr>
                <w:rFonts w:ascii="Times New Roman" w:hAnsi="Times New Roman"/>
                <w:sz w:val="24"/>
              </w:rPr>
              <w:t>BACVAcsr-unhedged</w:t>
            </w:r>
            <w:proofErr w:type="spellEnd"/>
            <w:r>
              <w:rPr>
                <w:rFonts w:ascii="Times New Roman" w:hAnsi="Times New Roman"/>
                <w:sz w:val="24"/>
              </w:rPr>
              <w:t xml:space="preserve"> za transakcije na koje se primjenjuje osnovni pristup kako je izračunan u skladu s člankom 384. stavkom 3. za instituciju koja ispunjava uvjet iz članka 384. stavka 1. točke (b) Uredbe (EU) br. 575/2013.</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proofErr w:type="spellStart"/>
            <w:r>
              <w:rPr>
                <w:rFonts w:ascii="Times New Roman" w:hAnsi="Times New Roman"/>
                <w:b/>
                <w:sz w:val="24"/>
                <w:u w:val="single"/>
              </w:rPr>
              <w:t>BACVA</w:t>
            </w:r>
            <w:r>
              <w:rPr>
                <w:rFonts w:ascii="Times New Roman" w:hAnsi="Times New Roman"/>
                <w:b/>
                <w:sz w:val="24"/>
                <w:vertAlign w:val="superscript"/>
              </w:rPr>
              <w:t>csr-hedged</w:t>
            </w:r>
            <w:proofErr w:type="spellEnd"/>
          </w:p>
          <w:p w14:paraId="34FB0CB6" w14:textId="77777777" w:rsidR="00680687" w:rsidRPr="002A677E" w:rsidDel="00024DEA" w:rsidRDefault="00680687" w:rsidP="006A3ADC">
            <w:pPr>
              <w:rPr>
                <w:rFonts w:ascii="Times New Roman" w:hAnsi="Times New Roman"/>
                <w:b/>
                <w:sz w:val="24"/>
                <w:u w:val="single"/>
              </w:rPr>
            </w:pPr>
            <w:proofErr w:type="spellStart"/>
            <w:r>
              <w:rPr>
                <w:rFonts w:ascii="Times New Roman" w:hAnsi="Times New Roman"/>
                <w:sz w:val="24"/>
              </w:rPr>
              <w:t>BACVAcsr-hedged</w:t>
            </w:r>
            <w:proofErr w:type="spellEnd"/>
            <w:r>
              <w:rPr>
                <w:rFonts w:ascii="Times New Roman" w:hAnsi="Times New Roman"/>
                <w:sz w:val="24"/>
              </w:rPr>
              <w:t xml:space="preserve"> za transakcije na koje se primjenjuje osnovni pristup kako je izračunan u skladu s člankom 384. stavkom 2. za instituciju koja ispunjava uvjet iz članka 384. stavka 1. točke (a) Uredbe (EU) br. 575/2013.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Kapitalni zahtjevi</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Ukupni kapitalni zahtjevi za transakcije na koje se primjenjuje puni osnovni pristup kako je izračunan u skladu s člankom 384. stavkom 2. za instituciju koja ispunjava uvjet iz članka 384. stavka 1. točke (a) Uredbe (EU) br. 575/2013</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Standardizirani pristup za CVA (SA-CVA)</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Kapitalni zahtjevi za CVA (članak 92. stavak 4. točka (d) i dio treći glava VI. Uredbe (EU) br. 575/2013) izračunani u skladu s člankom 383. za instituciju koja ispunjava uvjet iz članka 382.a stavka 1. točke (a) Uredbe (EU) br. 575/2013.</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Zamišljeni iznos CVA zaštita</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Zamišljeni iznos priznatih CVA zaštita koje se priznaju u skladu s člankom 386. Uredbe (EU) br. 575/2013.</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Broj drugih ugovornih strana</w:t>
            </w:r>
          </w:p>
          <w:p w14:paraId="10FC4FF6" w14:textId="77777777" w:rsidR="00680687" w:rsidRPr="002A677E" w:rsidRDefault="00680687" w:rsidP="006A3ADC">
            <w:pPr>
              <w:rPr>
                <w:rFonts w:ascii="Times New Roman" w:hAnsi="Times New Roman"/>
                <w:sz w:val="24"/>
              </w:rPr>
            </w:pPr>
            <w:r>
              <w:rPr>
                <w:rFonts w:ascii="Times New Roman" w:hAnsi="Times New Roman"/>
                <w:sz w:val="24"/>
              </w:rPr>
              <w:t>Članak 445.a stavak 1. točka (c) Uredbe (EU) br. 575/2013</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lastRenderedPageBreak/>
              <w:t>Broj drugih ugovornih strana kako su definirane u članku 383. stavku 1. Uredbe (EU) br. 575/2013 uključenih u izračun kapitalnih zahtjeva za SA-CVA rizik. Ukupni broj iskazuje se u retku 0010, a raščlamba prema vrsti druge ugovorne strane u redcima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 xml:space="preserve">Kapitalni zahtjevi za skupove za </w:t>
            </w:r>
            <w:proofErr w:type="spellStart"/>
            <w:r>
              <w:rPr>
                <w:rFonts w:ascii="Times New Roman" w:hAnsi="Times New Roman"/>
                <w:b/>
                <w:sz w:val="24"/>
                <w:u w:val="single"/>
              </w:rPr>
              <w:t>netiranje</w:t>
            </w:r>
            <w:proofErr w:type="spellEnd"/>
            <w:r>
              <w:rPr>
                <w:rFonts w:ascii="Times New Roman" w:hAnsi="Times New Roman"/>
                <w:b/>
                <w:sz w:val="24"/>
                <w:u w:val="single"/>
              </w:rPr>
              <w:t xml:space="preserve"> u skladu sa standardiziranim pristupom za CVA (SA-CVA)</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Kapitalni zahtjevi za SA-CVA rizik u skladu s člankom 383. Uredbe (EU) br. 575/2013, uključujući raščlambu prema kategorijama rizika kako su definirane u članku 383. stavku 2. točki 1., a za svaku kategoriju rizika kapitalni zahtjevi za delta-rizike i </w:t>
            </w:r>
            <w:proofErr w:type="spellStart"/>
            <w:r>
              <w:rPr>
                <w:rFonts w:ascii="Times New Roman" w:hAnsi="Times New Roman"/>
                <w:sz w:val="24"/>
              </w:rPr>
              <w:t>vega</w:t>
            </w:r>
            <w:proofErr w:type="spellEnd"/>
            <w:r>
              <w:rPr>
                <w:rFonts w:ascii="Times New Roman" w:hAnsi="Times New Roman"/>
                <w:sz w:val="24"/>
              </w:rPr>
              <w:t>-rizike, kako je propisano člankom 383. stavkom 3. i u skladu s člankom 383.b Uredbe (EU) br. 575/2013.</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Kapitalni zahtjevi za kamatni rizik</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Članci 383.c, 383.i, 383.j, 383.k, 383.l, 383.m Uredbe (EU) br. 575/2013.</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Kapitalni zahtjevi za valutni rizik</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Članci 383.d, 383.i, 383.j, 383.n, 383.o Uredbe (EU) br. 575/2013.</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Kapitalni zahtjevi za rizik kreditne marže druge ugovorne strane</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Članci 383.e, 383.i, 383.j, 383.p, 383.q, 383.r Uredbe (EU) br. 575/2013.</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Kapitalni zahtjevi za rizik referentne kreditne marže</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Članci 383.f, 383.i, 383.j, 383.s, 383.u Uredbe (EU) br. 575/2013.</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Kapitalni zahtjev za rizik vlasničkih instrumenata</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Članci 383.g, 383.i, 383.j, 383.v, 383.w Uredbe (EU) br. 575/2013.</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Kapitalni zahtjev za robni rizik</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Članci 383.h, 383.i, 383.j, 383.x, 383.z Uredbe (EU) br. 575/2013.</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proofErr w:type="spellStart"/>
            <w:r>
              <w:rPr>
                <w:rFonts w:ascii="Times New Roman" w:hAnsi="Times New Roman"/>
                <w:b/>
                <w:i/>
                <w:sz w:val="24"/>
                <w:u w:val="single"/>
                <w:vertAlign w:val="superscript"/>
              </w:rPr>
              <w:t>m</w:t>
            </w:r>
            <w:r>
              <w:rPr>
                <w:rFonts w:ascii="Times New Roman" w:hAnsi="Times New Roman"/>
                <w:b/>
                <w:sz w:val="24"/>
                <w:u w:val="single"/>
              </w:rPr>
              <w:t>CVA</w:t>
            </w:r>
            <w:proofErr w:type="spellEnd"/>
          </w:p>
          <w:p w14:paraId="25594EAC" w14:textId="77777777" w:rsidR="00680687" w:rsidRPr="002A677E" w:rsidDel="00024DEA" w:rsidRDefault="00680687" w:rsidP="006A3ADC">
            <w:pPr>
              <w:rPr>
                <w:rFonts w:ascii="Times New Roman" w:hAnsi="Times New Roman"/>
                <w:b/>
                <w:sz w:val="24"/>
                <w:u w:val="single"/>
              </w:rPr>
            </w:pPr>
            <w:r w:rsidRPr="002C74A4">
              <w:rPr>
                <w:rFonts w:ascii="Times New Roman" w:hAnsi="Times New Roman"/>
                <w:sz w:val="24"/>
              </w:rPr>
              <w:t xml:space="preserve">Vrijednost multiplikacijskog faktora </w:t>
            </w:r>
            <w:r w:rsidRPr="002C74A4">
              <w:rPr>
                <w:rFonts w:ascii="Cambria Math" w:hAnsi="Cambria Math" w:cs="Cambria Math"/>
                <w:sz w:val="24"/>
              </w:rPr>
              <w:t>𝑚𝐶𝑉𝐴</w:t>
            </w:r>
            <w:r w:rsidRPr="002C74A4">
              <w:rPr>
                <w:rFonts w:ascii="Times New Roman" w:hAnsi="Times New Roman"/>
                <w:sz w:val="24"/>
              </w:rPr>
              <w:t xml:space="preserve"> u skladu s člankom 383.b stavkom 8. Uredbe (EU) br. 575/2013.</w:t>
            </w:r>
            <w:r>
              <w:rPr>
                <w:rFonts w:ascii="Times New Roman" w:hAnsi="Times New Roman"/>
                <w:sz w:val="24"/>
              </w:rPr>
              <w:t xml:space="preserve"> Iskazuje se vrijednost koja se upotrebljava u izračunu kapitalnih zahtjeva (vrijednost jednaka 1 ili vrijednost koju povećavaju nadležna tijela).</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Kapitalni zahtjevi</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Kapitalni zahtjevi za transakcije na koje se primjenjuje SA-CVA izračunani u skladu s člankom 383. Uredbe (EU) br. 575/2013.</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UKUPNI KAPITALNI ZAHTJEVI</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Članak 92. stavak 4. točka (e) Uredbe (EU) br. 575/2013. </w:t>
            </w:r>
          </w:p>
          <w:p w14:paraId="424C9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Ukupni kapitalni zahtjevi za CVA rizik izračunani primjenom bilo kojeg od primjenjivih pristupa iz članka 382.a Uredbe (EU) br. 575/2013.  Ako se </w:t>
            </w:r>
            <w:r>
              <w:rPr>
                <w:rFonts w:ascii="Times New Roman" w:hAnsi="Times New Roman"/>
                <w:sz w:val="24"/>
              </w:rPr>
              <w:lastRenderedPageBreak/>
              <w:t>primjenjuje više od jednog pristupa, iskazuje se jednostavan zbroj svih kapitalnih zahtjeva za svaki pristup.</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IZNOSI UKUPNE IZLOŽENOSTI RIZIKU</w:t>
            </w:r>
          </w:p>
          <w:p w14:paraId="6B715A20" w14:textId="77777777" w:rsidR="00680687" w:rsidRPr="002A677E" w:rsidRDefault="00680687" w:rsidP="006A3ADC">
            <w:pPr>
              <w:rPr>
                <w:rFonts w:ascii="Times New Roman" w:hAnsi="Times New Roman"/>
                <w:sz w:val="24"/>
              </w:rPr>
            </w:pPr>
            <w:r>
              <w:rPr>
                <w:rFonts w:ascii="Times New Roman" w:hAnsi="Times New Roman"/>
                <w:sz w:val="24"/>
              </w:rPr>
              <w:t>Članak 92. stavak 6. Uredbe (EU) br. 575/2013.</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Kapitalni zahtjevi pomnoženi sa 12,5.</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Redci</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Transakcije obuhvaćene kapitalnim zahtjevima za CVA rizik</w:t>
            </w:r>
          </w:p>
          <w:p w14:paraId="0243C539" w14:textId="77777777" w:rsidR="00680687" w:rsidRPr="00DB28D1" w:rsidRDefault="00680687" w:rsidP="006A3ADC">
            <w:pPr>
              <w:rPr>
                <w:rFonts w:ascii="Times New Roman" w:hAnsi="Times New Roman"/>
                <w:sz w:val="24"/>
              </w:rPr>
            </w:pPr>
            <w:r>
              <w:rPr>
                <w:rFonts w:ascii="Times New Roman" w:hAnsi="Times New Roman"/>
                <w:sz w:val="24"/>
              </w:rPr>
              <w:t>Članak 382. Uredbe (EU) br. 575/2013.</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Od čega: samo izvedenice</w:t>
            </w:r>
          </w:p>
          <w:p w14:paraId="243F2835" w14:textId="77777777" w:rsidR="00680687" w:rsidRPr="002A677E" w:rsidRDefault="00680687" w:rsidP="006A3ADC">
            <w:pPr>
              <w:rPr>
                <w:rFonts w:ascii="Times New Roman" w:hAnsi="Times New Roman"/>
                <w:sz w:val="24"/>
              </w:rPr>
            </w:pPr>
            <w:r>
              <w:rPr>
                <w:rFonts w:ascii="Times New Roman" w:hAnsi="Times New Roman"/>
                <w:sz w:val="24"/>
              </w:rPr>
              <w:t>Izvedenice obuhvaćene područjem primjene članka 382. Uredbe (EU) br. 575/2013 (tj. sve transakcije iskazane u retku 0010, isključujući transakcije financiranja vrijednosnim papirima).</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Od čega:  transakcije koje su uobičajeno izuzete, a koje su institucije odlučile ponovno uključiti u izračun kapitalnih zahtjeva</w:t>
            </w:r>
          </w:p>
          <w:p w14:paraId="44419E50" w14:textId="77777777" w:rsidR="00680687" w:rsidRPr="002A677E" w:rsidRDefault="00680687" w:rsidP="006A3ADC">
            <w:pPr>
              <w:rPr>
                <w:rFonts w:ascii="Times New Roman" w:hAnsi="Times New Roman"/>
                <w:sz w:val="24"/>
              </w:rPr>
            </w:pPr>
            <w:r>
              <w:rPr>
                <w:rFonts w:ascii="Times New Roman" w:hAnsi="Times New Roman"/>
                <w:sz w:val="24"/>
              </w:rPr>
              <w:t>Članak 382. stavak 4.a Uredbe (EU) br. 575/2013.</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BILJEŠKE</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Izuzeća od CVA: dodatni učinak ponovnog uključivanja</w:t>
            </w:r>
          </w:p>
          <w:p w14:paraId="7A74B86F" w14:textId="77777777" w:rsidR="00680687" w:rsidRPr="005C217A" w:rsidRDefault="00680687" w:rsidP="006A3ADC">
            <w:pPr>
              <w:rPr>
                <w:rFonts w:ascii="Times New Roman" w:hAnsi="Times New Roman"/>
                <w:sz w:val="24"/>
              </w:rPr>
            </w:pPr>
            <w:r>
              <w:rPr>
                <w:rFonts w:ascii="Times New Roman" w:hAnsi="Times New Roman"/>
                <w:sz w:val="24"/>
              </w:rPr>
              <w:t xml:space="preserve">Dodatni učinak ponovnog uključivanja izuzeća od CVA kako je definirano u članku 382. stavcima 3. i 4. Uredbe (EU) br. 575/2013, zasebno za svako izuzeće. Dodatni učinak je razlika izražena u apsolutnom iznosu između relevantnog parametra za opseg transakcija iz retka 0010 nakon ponovnog uključivanja izuzeća i relevantnog parametra za opseg transakcija iz retka 0010. </w:t>
            </w:r>
            <w:r>
              <w:t xml:space="preserve"> </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Sve izuzete transakcije</w:t>
            </w:r>
          </w:p>
          <w:p w14:paraId="76D1F41B" w14:textId="77777777" w:rsidR="00680687" w:rsidRDefault="00680687" w:rsidP="006A3ADC">
            <w:pPr>
              <w:pStyle w:val="Default"/>
              <w:jc w:val="both"/>
              <w:rPr>
                <w:sz w:val="20"/>
                <w:szCs w:val="20"/>
              </w:rPr>
            </w:pPr>
            <w:r>
              <w:rPr>
                <w:rFonts w:ascii="Times New Roman" w:hAnsi="Times New Roman"/>
              </w:rPr>
              <w:t xml:space="preserve">Dodatni učinak ponovnog uključivanja svih izuzeća od CVA, kako je definirano u članku 382. stavcima 3. i 4. Uredbe (EU) br. 575/2013. </w:t>
            </w:r>
          </w:p>
          <w:p w14:paraId="6F8EA837" w14:textId="77777777" w:rsidR="00680687" w:rsidRPr="008A700D" w:rsidRDefault="00680687" w:rsidP="006A3ADC">
            <w:pPr>
              <w:pStyle w:val="Default"/>
              <w:rPr>
                <w:rFonts w:ascii="Times New Roman" w:hAnsi="Times New Roman"/>
              </w:rPr>
            </w:pPr>
            <w:r>
              <w:rPr>
                <w:rFonts w:ascii="Times New Roman" w:hAnsi="Times New Roman"/>
              </w:rPr>
              <w:t>Opseg transakcija trebao bi se sastojati od svih transakcija iskazanih u retku 0010, ne uzimajući u obzir izuzeća navedena u članku 382. stavcima 3. i 4. Uredbe (EU) br. 575/2013.</w:t>
            </w:r>
            <w:r>
              <w:rPr>
                <w:rFonts w:ascii="Times New Roman" w:hAnsi="Times New Roman"/>
                <w:color w:val="auto"/>
              </w:rPr>
              <w:t xml:space="preserve"> Konkretno, prethodno navedene transakcije koje su trenutačno isključene iz izračuna kapitalnih zahtjeva za CVA u skladu s tim člancima trebalo bi ponovno uključiti za potrebe ovog retka. Ukupne transakcije ponovno uključene za potrebe ovog retka jesu transakcije koje su ponovno uključene za potrebe redaka od 0050 do 0110.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Transakcije klijenta</w:t>
            </w:r>
          </w:p>
          <w:p w14:paraId="26BE71DE" w14:textId="77777777" w:rsidR="00680687" w:rsidRDefault="00680687" w:rsidP="006A3ADC">
            <w:pPr>
              <w:pStyle w:val="Default"/>
              <w:jc w:val="both"/>
              <w:rPr>
                <w:rFonts w:ascii="Times New Roman" w:hAnsi="Times New Roman"/>
              </w:rPr>
            </w:pPr>
            <w:r>
              <w:rPr>
                <w:rFonts w:ascii="Times New Roman" w:hAnsi="Times New Roman"/>
              </w:rPr>
              <w:t>Dodatni učinak ponovnog uključivanja transakcija klijenta, kako je definirano u članku 382. stavku 3. Uredbe (EU) br. 575/2013.</w:t>
            </w:r>
          </w:p>
          <w:p w14:paraId="73231515" w14:textId="77777777" w:rsidR="00680687" w:rsidRPr="005C217A" w:rsidRDefault="00680687" w:rsidP="006A3ADC">
            <w:pPr>
              <w:pStyle w:val="Default"/>
              <w:rPr>
                <w:sz w:val="20"/>
                <w:szCs w:val="20"/>
              </w:rPr>
            </w:pPr>
            <w:r>
              <w:rPr>
                <w:rFonts w:ascii="Times New Roman" w:hAnsi="Times New Roman"/>
              </w:rPr>
              <w:lastRenderedPageBreak/>
              <w:t xml:space="preserve">Dodatni učinak ponovnog uključivanja transakcija između klijenta i klirinškog člana, kad klirinški član djeluje kao posrednik između klijenta i kvalificirane središnje druge ugovorne strane, koji su na temelju članka 382. stavka 3. Uredbe (EU) br. 575/2013 izuzeti iz područja primjene retka 0010. Klijenti ne bi trebali ponovno uključivati te transakcije ako transakcija ispunjava zahtjeve iz članka 305. stavaka 2., 3. i 4. te uredbe.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lastRenderedPageBreak/>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Transakcije s nefinancijskim drugim ugovornim stranama</w:t>
            </w:r>
          </w:p>
          <w:p w14:paraId="5D14F94F" w14:textId="77777777" w:rsidR="00680687" w:rsidRPr="002A677E" w:rsidRDefault="00680687" w:rsidP="006A3ADC">
            <w:pPr>
              <w:rPr>
                <w:rFonts w:ascii="Times New Roman" w:hAnsi="Times New Roman"/>
                <w:sz w:val="24"/>
              </w:rPr>
            </w:pPr>
            <w:r>
              <w:rPr>
                <w:rFonts w:ascii="Times New Roman" w:hAnsi="Times New Roman"/>
              </w:rPr>
              <w:t>Dodatni učinak ponovnog uključivanja transakcija s nefinancijskim drugim ugovornim stranama, kako je definirano u članku 382. stavku 4. točki (a) Uredbe (EU) br. 575/2013.</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Transakcije samo s nefinancijskim drugim ugovornim stranama iz EU-a</w:t>
            </w:r>
          </w:p>
          <w:p w14:paraId="4BE3F0CA" w14:textId="77777777" w:rsidR="00680687" w:rsidRPr="002A677E" w:rsidRDefault="00680687" w:rsidP="006A3ADC">
            <w:pPr>
              <w:rPr>
                <w:rFonts w:ascii="Times New Roman" w:hAnsi="Times New Roman"/>
                <w:sz w:val="24"/>
              </w:rPr>
            </w:pPr>
            <w:r>
              <w:rPr>
                <w:rFonts w:ascii="Times New Roman" w:hAnsi="Times New Roman"/>
                <w:sz w:val="24"/>
              </w:rPr>
              <w:t>Dodatni učinak ponovnog uključivanja transakcija samo s nefinancijskim drugim ugovornim stranama iz EU-a. Opseg transakcija trebao bi se sastojati od svih transakcija iskazanih u retku 0060, umanjeno za opseg transakcija iskazanih u retku 0080.</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Transakcije samo s nefinancijskim drugim ugovornim stranama iz trećih zemalja</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 xml:space="preserve">Dodatni učinak ponovnog uključivanja transakcija samo s nefinancijskim drugim ugovornim stranama iz trećih zemalja. </w:t>
            </w:r>
            <w:r>
              <w:rPr>
                <w:rFonts w:ascii="Times New Roman" w:hAnsi="Times New Roman"/>
              </w:rPr>
              <w:t>Opseg transakcija trebao bi se sastojati od svih transakcija iskazanih u retku 0060, umanjeno za opseg transakcija iskazanih u retku 0070.</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proofErr w:type="spellStart"/>
            <w:r>
              <w:rPr>
                <w:rFonts w:ascii="Times New Roman" w:hAnsi="Times New Roman"/>
                <w:b/>
                <w:sz w:val="24"/>
                <w:u w:val="single"/>
              </w:rPr>
              <w:t>Unutargrupne</w:t>
            </w:r>
            <w:proofErr w:type="spellEnd"/>
            <w:r>
              <w:rPr>
                <w:rFonts w:ascii="Times New Roman" w:hAnsi="Times New Roman"/>
                <w:b/>
                <w:sz w:val="24"/>
                <w:u w:val="single"/>
              </w:rPr>
              <w:t xml:space="preserve"> transakcije</w:t>
            </w:r>
          </w:p>
          <w:p w14:paraId="59B1E4E8" w14:textId="77777777" w:rsidR="00680687" w:rsidRPr="002A677E" w:rsidRDefault="00680687" w:rsidP="006A3ADC">
            <w:pPr>
              <w:rPr>
                <w:rFonts w:ascii="Times New Roman" w:hAnsi="Times New Roman"/>
                <w:sz w:val="24"/>
              </w:rPr>
            </w:pPr>
            <w:r>
              <w:rPr>
                <w:rFonts w:ascii="Times New Roman" w:hAnsi="Times New Roman"/>
              </w:rPr>
              <w:t xml:space="preserve">Dodatni učinak ponovnog uključivanja </w:t>
            </w:r>
            <w:proofErr w:type="spellStart"/>
            <w:r>
              <w:rPr>
                <w:rFonts w:ascii="Times New Roman" w:hAnsi="Times New Roman"/>
              </w:rPr>
              <w:t>unutargrupnih</w:t>
            </w:r>
            <w:proofErr w:type="spellEnd"/>
            <w:r>
              <w:rPr>
                <w:rFonts w:ascii="Times New Roman" w:hAnsi="Times New Roman"/>
              </w:rPr>
              <w:t xml:space="preserve"> transakcija, kako su definirane u članku 382. stavku 4. točki (b) Uredbe (EU) br. 575/2013.</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Transakcije s drugim ugovornim stranama koje su mirovinski fondovi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Dodatni učinak ponovnog uključivanja transakcija s drugim ugovornim stranama koje su mirovinski fondovi koje su sklopljene tijekom prijelaznog razdoblja utvrđenog u članku 89. stavku 1. Uredbe (EU) br. 648/2012 i koje su izuzete od kapitalnih zahtjeva za CVA rizik u skladu s člankom 382. stavkom 4. drugim podstavkom Uredbe (EU) br. 575/2013. Transakcije navedene u članku 382. stavku 4. točki (c) koje nisu sklopljene tijekom prijelaznog razdoblja utvrđenog u članku 89. stavku 1. Uredbe (EU) br. 648/2012 ne smatraju se izuzetim transakcijama jer je prijelazno razdoblje za primjenu tog izuzeća isteklo.</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Transakcije s drugim ugovornim stranama koje su države</w:t>
            </w:r>
          </w:p>
          <w:p w14:paraId="63BD107D" w14:textId="77777777" w:rsidR="00680687" w:rsidRPr="002A677E" w:rsidRDefault="00680687" w:rsidP="006A3ADC">
            <w:pPr>
              <w:rPr>
                <w:rFonts w:ascii="Times New Roman" w:hAnsi="Times New Roman"/>
                <w:sz w:val="24"/>
              </w:rPr>
            </w:pPr>
            <w:r>
              <w:rPr>
                <w:rFonts w:ascii="Times New Roman" w:hAnsi="Times New Roman"/>
              </w:rPr>
              <w:t>Dodatni učinak ponovnog uključivanja transakcija s drugim ugovornim stranama koje su države, kako su definirane u članku 382. stavku 4. točki (d) Uredbe (EU) br. 575/2013.</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CVA zaštite izuzetih transakcija koje ne obuhvaća CVA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CVA zaštite izuzetih transakcija koje ne obuhvaćaju kapitalni zahtjevi za CVA rizik i na koje se primjenjuju kapitalni zahtjevi za tržišni rizik.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lastRenderedPageBreak/>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Ukupne transakcije financiranja vrijednosnim papirima koje ne poravnava središnja druga ugovorna strana koje se obračunavaju po fer vrijednosti u računovodstvene svrhe, isključujući izuzete transakcije </w:t>
            </w:r>
          </w:p>
          <w:p w14:paraId="6A560A0D" w14:textId="042E0D75" w:rsidR="00680687" w:rsidRPr="002A677E" w:rsidRDefault="00680687" w:rsidP="006A3ADC">
            <w:pPr>
              <w:rPr>
                <w:rFonts w:ascii="Times New Roman" w:hAnsi="Times New Roman"/>
                <w:sz w:val="24"/>
              </w:rPr>
            </w:pPr>
            <w:r>
              <w:rPr>
                <w:rFonts w:ascii="Times New Roman" w:hAnsi="Times New Roman"/>
                <w:sz w:val="24"/>
              </w:rPr>
              <w:t>Transakcije financiranja vrijednosnim papirima po fer vrijednosti za računovodstvene potrebe koje bi bile obuhvaćene kapitalnim zahtjevima za CVA rizik u skladu s člankom 382. stavkom 2. Uredbe (EU) br. 575/2013, neovisno o tome jesu li izloženosti CVA riziku koje iz njih proizlaze značajne. Transakcije financiranja vrijednosnim papirima koje su izuzete od kapitalnih zahtjeva za CVA rizik u skladu s člankom 382. stavcima 3. i 4. Uredbe (EU) br. 575/2013 trebalo bi isključiti iz izračuna, osim ako bi institucija te transakcije obuhvatila kapitalnim zahtjevima za CVA rizik u skladu s člankom 382. stavkom 4.a Uredbe (EU) br. 575/2013.</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CVA zaštite</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Članak 386. Uredbe (EU) br. 575/2013.</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Ugovor o razmjeni na osnovi nastanka statusa neispunjavanja obveza jednog subjekta</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Indeks ugovora o razmjeni na osnovi nastanka statusa neispunjavanja obveza</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Ostale izvedenice klasificirane kao zaštite od CVA rizika</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Vrste transakcija druge ugovorne strane na koje se primjenjuje pristup SA-CVA</w:t>
            </w:r>
          </w:p>
          <w:p w14:paraId="3B7F80A8" w14:textId="77777777" w:rsidR="00680687" w:rsidRDefault="00680687" w:rsidP="006A3ADC">
            <w:pPr>
              <w:rPr>
                <w:rFonts w:ascii="Times New Roman" w:hAnsi="Times New Roman"/>
                <w:sz w:val="24"/>
              </w:rPr>
            </w:pPr>
            <w:r>
              <w:rPr>
                <w:rFonts w:ascii="Times New Roman" w:hAnsi="Times New Roman"/>
                <w:sz w:val="24"/>
              </w:rPr>
              <w:t>Članak 445.a stavak 1. točka (c) Uredbe (EU) br. 575/2013.</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Za svaku drugu ugovornu stranu odabire se jedan sektor na osnovi sljedećih kategorija gospodarskih sektora financijskog izvješćivanja (vidjeti dio 3. Priloga V. ovoj Provedbenoj uredbi):</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Broj drugih ugovornih strana po sektoru iskazuje se u stupcu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Središnje banke</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Opće države</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Kreditne institucije</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Investicijska društva</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Ostala financijska društva (isključujući investicijska društva)</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Nefinancijska društva</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Agregiranje sistemskih komponenti CVA rizika</w:t>
            </w:r>
          </w:p>
          <w:p w14:paraId="62BC44EB" w14:textId="77777777" w:rsidR="00680687" w:rsidRPr="009766CF" w:rsidRDefault="00680687" w:rsidP="006A3ADC">
            <w:pPr>
              <w:rPr>
                <w:rFonts w:ascii="Times New Roman" w:hAnsi="Times New Roman"/>
                <w:sz w:val="24"/>
              </w:rPr>
            </w:pPr>
            <w:r>
              <w:rPr>
                <w:rFonts w:ascii="Times New Roman" w:hAnsi="Times New Roman"/>
                <w:sz w:val="24"/>
              </w:rPr>
              <w:t>Članak 384. stavak 3. Uredbe (EU) br. 575/2013. Kapitalni zahtjevi na temelju pretpostavke potpune korelacije (</w:t>
            </w:r>
            <w:r>
              <w:rPr>
                <w:rFonts w:ascii="Times New Roman" w:hAnsi="Times New Roman"/>
                <w:sz w:val="24"/>
              </w:rPr>
              <w:sym w:font="Symbol" w:char="F053"/>
            </w:r>
            <w:proofErr w:type="spellStart"/>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proofErr w:type="spellEnd"/>
            <w:r>
              <w:rPr>
                <w:rFonts w:ascii="Times New Roman" w:hAnsi="Times New Roman"/>
                <w:sz w:val="24"/>
                <w:vertAlign w:val="subscript"/>
              </w:rPr>
              <w:t xml:space="preserve">).  </w:t>
            </w:r>
            <w:r>
              <w:rPr>
                <w:rFonts w:ascii="Times New Roman" w:hAnsi="Times New Roman"/>
                <w:sz w:val="24"/>
              </w:rPr>
              <w:t>Ne primjenjuje se diskontni faktor od 0,65.</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lastRenderedPageBreak/>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Agregiranje </w:t>
            </w:r>
            <w:proofErr w:type="spellStart"/>
            <w:r>
              <w:rPr>
                <w:rFonts w:ascii="Times New Roman" w:hAnsi="Times New Roman"/>
                <w:b/>
                <w:sz w:val="24"/>
                <w:u w:val="single"/>
              </w:rPr>
              <w:t>idiosinkratskih</w:t>
            </w:r>
            <w:proofErr w:type="spellEnd"/>
            <w:r>
              <w:rPr>
                <w:rFonts w:ascii="Times New Roman" w:hAnsi="Times New Roman"/>
                <w:b/>
                <w:sz w:val="24"/>
                <w:u w:val="single"/>
              </w:rPr>
              <w:t xml:space="preserve"> komponenti CVA rizika</w:t>
            </w:r>
          </w:p>
          <w:p w14:paraId="7B1EBC08" w14:textId="77777777" w:rsidR="00680687" w:rsidRPr="009766CF" w:rsidRDefault="00680687" w:rsidP="006A3ADC">
            <w:pPr>
              <w:rPr>
                <w:rFonts w:ascii="Times New Roman" w:hAnsi="Times New Roman"/>
                <w:sz w:val="24"/>
              </w:rPr>
            </w:pPr>
            <w:r>
              <w:rPr>
                <w:rFonts w:ascii="Times New Roman" w:hAnsi="Times New Roman"/>
                <w:sz w:val="24"/>
              </w:rPr>
              <w:t>Članak 384. stavak 3. Uredbe (EU) br. 575/2013. Kapitalni zahtjevi na temelju pretpostavke nulte korelacije</w:t>
            </w:r>
            <w:r>
              <w:rPr>
                <w:rFonts w:ascii="Times New Roman" w:hAnsi="Times New Roman"/>
                <w:sz w:val="24"/>
                <w:vertAlign w:val="subscript"/>
              </w:rPr>
              <w:t xml:space="preserve"> (</w:t>
            </w:r>
            <w:proofErr w:type="spellStart"/>
            <w:r>
              <w:rPr>
                <w:rFonts w:ascii="Times New Roman" w:hAnsi="Times New Roman"/>
                <w:sz w:val="24"/>
                <w:vertAlign w:val="subscript"/>
              </w:rPr>
              <w:t>sqrt</w:t>
            </w:r>
            <w:proofErr w:type="spellEnd"/>
            <w:r>
              <w:rPr>
                <w:rFonts w:ascii="Times New Roman" w:hAnsi="Times New Roman"/>
                <w:sz w:val="24"/>
                <w:vertAlign w:val="subscript"/>
              </w:rPr>
              <w:t>(</w:t>
            </w:r>
            <w:r>
              <w:rPr>
                <w:rFonts w:ascii="Times New Roman" w:hAnsi="Times New Roman"/>
                <w:sz w:val="24"/>
                <w:vertAlign w:val="subscript"/>
              </w:rPr>
              <w:sym w:font="Symbol" w:char="F053"/>
            </w:r>
            <w:r>
              <w:rPr>
                <w:rFonts w:ascii="Times New Roman" w:hAnsi="Times New Roman"/>
                <w:sz w:val="24"/>
                <w:vertAlign w:val="subscript"/>
              </w:rPr>
              <w:t>cSCVAc</w:t>
            </w:r>
            <w:r>
              <w:rPr>
                <w:rFonts w:ascii="Times New Roman" w:hAnsi="Times New Roman"/>
                <w:sz w:val="24"/>
                <w:vertAlign w:val="superscript"/>
              </w:rPr>
              <w:t>2</w:t>
            </w:r>
            <w:r>
              <w:rPr>
                <w:rFonts w:ascii="Times New Roman" w:hAnsi="Times New Roman"/>
                <w:sz w:val="24"/>
                <w:vertAlign w:val="subscript"/>
              </w:rPr>
              <w:t>)).</w:t>
            </w:r>
            <w:r>
              <w:rPr>
                <w:rFonts w:ascii="Times New Roman" w:hAnsi="Times New Roman"/>
                <w:sz w:val="24"/>
              </w:rPr>
              <w:t xml:space="preserve"> Diskontni faktor od 0,65 se ne primjenjuje.</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1A2901B" id="_x0000_t202" coordsize="21600,21600" o:spt="202" path="m,l,21600r21600,l21600,xe">
              <v:stroke joinstyle="miter"/>
              <v:path gradientshapeok="t" o:connecttype="rect"/>
            </v:shapetype>
            <v:shape id="Text Box 2" o:spid="_x0000_s1026" type="#_x0000_t202" alt="Title:  - Description: EBA Redovita upotreb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98AF594" id="_x0000_t202" coordsize="21600,21600" o:spt="202" path="m,l,21600r21600,l21600,xe">
              <v:stroke joinstyle="miter"/>
              <v:path gradientshapeok="t" o:connecttype="rect"/>
            </v:shapetype>
            <v:shape id="Text Box 3" o:spid="_x0000_s1027" type="#_x0000_t202" alt="Title:  - Description: EBA Redovita upotreb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9C0A740" id="_x0000_t202" coordsize="21600,21600" o:spt="202" path="m,l,21600r21600,l21600,xe">
              <v:stroke joinstyle="miter"/>
              <v:path gradientshapeok="t" o:connecttype="rect"/>
            </v:shapetype>
            <v:shape id="Text Box 1" o:spid="_x0000_s1028" type="#_x0000_t202" alt="Title:  - Description: EBA Redovita upotreb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noProof/>
                        <w:color w:val="000000"/>
                        <w:sz w:val="24"/>
                        <w:rFonts w:ascii="Calibri" w:eastAsia="Calibri" w:hAnsi="Calibri" w:cs="Calibri"/>
                      </w:rPr>
                    </w:pPr>
                    <w:r>
                      <w:rPr>
                        <w:color w:val="000000"/>
                        <w:sz w:val="24"/>
                        <w:rFonts w:ascii="Calibri" w:hAnsi="Calibri"/>
                      </w:rPr>
                      <w:t xml:space="preserve">EBA Redovita upotreba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C74A4"/>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868EB"/>
    <w:rsid w:val="00DA6DF2"/>
    <w:rsid w:val="00DC08FB"/>
    <w:rsid w:val="00DD5030"/>
    <w:rsid w:val="00DE7233"/>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3.xml><?xml version="1.0" encoding="utf-8"?>
<ds:datastoreItem xmlns:ds="http://schemas.openxmlformats.org/officeDocument/2006/customXml" ds:itemID="{DBCCCA2C-F3D8-436F-98DF-FE0D541435AE}"/>
</file>

<file path=customXml/itemProps4.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1840</Words>
  <Characters>10694</Characters>
  <Application>Microsoft Office Word</Application>
  <DocSecurity>0</DocSecurity>
  <Lines>297</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2025-01-27T11:35:45Z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6e249f3d-a8ac-4da7-98cd-e4c9761526e8</vt:lpwstr>
  </property>
  <property fmtid="{D5CDD505-2E9C-101B-9397-08002B2CF9AE}" pid="9" name="MSIP_Label_6bd9ddd1-4d20-43f6-abfa-fc3c07406f94_ContentBits">
    <vt:lpwstr>0</vt:lpwstr>
  </property>
</Properties>
</file>