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FFA5F" w14:textId="77777777" w:rsidR="00AB3AA8" w:rsidRDefault="00AB3AA8" w:rsidP="00AB3AA8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HR</w:t>
      </w:r>
    </w:p>
    <w:p w14:paraId="21950E32" w14:textId="77777777" w:rsidR="00AB3AA8" w:rsidRDefault="00AB3AA8" w:rsidP="00AB3AA8">
      <w:pPr>
        <w:rPr>
          <w:rFonts w:asciiTheme="minorHAnsi" w:hAnsiTheme="minorHAnsi"/>
          <w:sz w:val="22"/>
        </w:rPr>
      </w:pPr>
    </w:p>
    <w:p w14:paraId="7630D4F1" w14:textId="77777777" w:rsidR="00393F1E" w:rsidRPr="00037E7B" w:rsidRDefault="00393F1E" w:rsidP="00393F1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PRILOG II.</w:t>
      </w:r>
    </w:p>
    <w:p w14:paraId="4A662760" w14:textId="77777777" w:rsidR="00393F1E" w:rsidRPr="00037E7B" w:rsidRDefault="00393F1E" w:rsidP="00393F1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„PRILOG II.</w:t>
      </w:r>
    </w:p>
    <w:p w14:paraId="4C01682A" w14:textId="77777777" w:rsidR="00393F1E" w:rsidRPr="00037E7B" w:rsidRDefault="00393F1E" w:rsidP="00393F1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UPUTE ZA IZVJEŠĆIVANJE O REGULATORNOM KAPITALU I KAPITALNIM ZAHTJEVIMA</w:t>
      </w:r>
    </w:p>
    <w:p w14:paraId="6B9B322A" w14:textId="77777777" w:rsidR="00E26A90" w:rsidRDefault="00E26A90"/>
    <w:p w14:paraId="0A62D0FD" w14:textId="77777777" w:rsidR="00626DD7" w:rsidRDefault="00626DD7" w:rsidP="00626DD7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DIO II.: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UPUTE ZA POJEDINE OBRASCE</w:t>
      </w:r>
    </w:p>
    <w:p w14:paraId="0BF83CF9" w14:textId="77777777" w:rsidR="00626DD7" w:rsidRDefault="00626DD7" w:rsidP="00626DD7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4D47E5BD" w14:textId="77777777" w:rsidR="00626DD7" w:rsidRPr="00736637" w:rsidRDefault="00626DD7" w:rsidP="00626DD7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19E744EA" w14:textId="77777777" w:rsidR="00626DD7" w:rsidRDefault="00626DD7"/>
    <w:p w14:paraId="3B628AE5" w14:textId="6F51021A" w:rsidR="00FB3D09" w:rsidRPr="002A677E" w:rsidRDefault="00582B0D" w:rsidP="00FB3D09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3.3. Kreditni rizik, kreditni rizik druge ugovorne strane i slobodne isporuke: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 pristup kapitalnim zahtjevima (CR IRB)</w:t>
      </w:r>
    </w:p>
    <w:p w14:paraId="4E7759A8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60188358"/>
      <w:bookmarkStart w:id="1" w:name="_Toc473560907"/>
      <w:bookmarkStart w:id="2" w:name="_Toc151714395"/>
      <w:r>
        <w:rPr>
          <w:sz w:val="24"/>
          <w:u w:val="none"/>
          <w:rFonts w:ascii="Times New Roman" w:hAnsi="Times New Roman"/>
        </w:rPr>
        <w:t xml:space="preserve">3.3.1.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Opseg obrasca CR IRB</w:t>
      </w:r>
      <w:bookmarkEnd w:id="0"/>
      <w:bookmarkEnd w:id="1"/>
      <w:bookmarkEnd w:id="2"/>
    </w:p>
    <w:p w14:paraId="53B757C0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>72</w:t>
      </w:r>
      <w:r>
        <w:fldChar w:fldCharType="end"/>
      </w:r>
      <w:r>
        <w:t xml:space="preserve">.</w:t>
      </w:r>
      <w:r>
        <w:tab/>
      </w:r>
      <w:r>
        <w:t xml:space="preserve">Opseg obrasca CR IRB obuhvaća:</w:t>
      </w:r>
    </w:p>
    <w:p w14:paraId="3BAE32CC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i.</w:t>
      </w:r>
      <w:r>
        <w:tab/>
      </w:r>
      <w:r>
        <w:t xml:space="preserve">kreditni rizik u knjizi pozicija kojima se ne trguje, među ostalim:</w:t>
      </w:r>
    </w:p>
    <w:p w14:paraId="24DF91FB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kreditni rizik druge ugovorne strane u knjizi pozicija kojima se ne trguje;</w:t>
      </w:r>
    </w:p>
    <w:p w14:paraId="2FF003CE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razrjeđivački rizik za otkupljena potraživanja;</w:t>
      </w:r>
    </w:p>
    <w:p w14:paraId="25CEC377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ii.</w:t>
      </w:r>
      <w:r>
        <w:tab/>
      </w:r>
      <w:r>
        <w:t xml:space="preserve">kreditni rizik druge ugovorne strane u knjizi trgovanja;</w:t>
      </w:r>
    </w:p>
    <w:p w14:paraId="082D669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iii.</w:t>
      </w:r>
      <w:r>
        <w:tab/>
      </w:r>
      <w:r>
        <w:t xml:space="preserve">slobodne isporuke koje proizlaze iz svih poslovnih aktivnosti.</w:t>
      </w:r>
    </w:p>
    <w:p w14:paraId="50C5E887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73.</w:t>
      </w:r>
      <w:r>
        <w:tab/>
      </w:r>
      <w:r>
        <w:t xml:space="preserve">Opseg obrasca odnosi se na izloženosti za koje se iznosi izloženosti ponderirani rizikom izračunavaju u skladu s dijelom trećim glavom II. poglavljem 3. člancima od 151. do 157. Uredbe (EU) 575/2013 (IRB pristup).</w:t>
      </w:r>
      <w:r>
        <w:t xml:space="preserve"> </w:t>
      </w:r>
    </w:p>
    <w:p w14:paraId="537660ED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>74</w:t>
      </w:r>
      <w:r>
        <w:fldChar w:fldCharType="end"/>
      </w:r>
      <w:r>
        <w:t xml:space="preserve">.</w:t>
      </w:r>
      <w:r>
        <w:t xml:space="preserve"> </w:t>
      </w:r>
      <w:r>
        <w:t xml:space="preserve">Obrascem CR IRB nisu obuhvaćeni sljedeći podaci:</w:t>
      </w:r>
      <w:r>
        <w:t xml:space="preserve"> </w:t>
      </w:r>
    </w:p>
    <w:p w14:paraId="7F7154C9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i.</w:t>
      </w:r>
      <w:r>
        <w:tab/>
      </w:r>
      <w:r>
        <w:t xml:space="preserve">izloženosti na osnovi vlasničkih ulaganja, koje se iskazuju u obrascu CR EQU IRB;</w:t>
      </w:r>
      <w:r>
        <w:t xml:space="preserve"> </w:t>
      </w:r>
    </w:p>
    <w:p w14:paraId="39CEAA6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ii.</w:t>
      </w:r>
      <w:r>
        <w:tab/>
      </w:r>
      <w:r>
        <w:t xml:space="preserve">sekuritizacijske pozicije, koje se iskazuju u obrascu CR SEC i/ili CR SEC detaljniji podaci;</w:t>
      </w:r>
    </w:p>
    <w:p w14:paraId="486C870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iii.</w:t>
      </w:r>
      <w:r>
        <w:tab/>
      </w:r>
      <w:r>
        <w:t xml:space="preserve"> </w:t>
      </w:r>
      <w:r>
        <w:t xml:space="preserve">„Ostala imovina bez kreditnih obveza” iz članka 147. stavka 2. točke (g) Uredbe (EU) br. 575/2013.</w:t>
      </w:r>
      <w:r>
        <w:t xml:space="preserve"> </w:t>
      </w:r>
      <w:r>
        <w:t xml:space="preserve">Ponder rizika za tu kategoriju izloženosti treba odrediti na 100 % u svakom trenutku, izuzev novca u blagajni, stavki novčanih ekvivalenata i izloženosti koje su ostatak vrijednosti imovine dane u zajam, u skladu s člankom 156. Uredbe (EU) br. 575/2013.</w:t>
      </w:r>
      <w:r>
        <w:t xml:space="preserve"> </w:t>
      </w:r>
      <w:r>
        <w:t xml:space="preserve">Iznosi izloženosti ponderirani rizikom za tu kategoriju izloženosti iskazuju se izravno u obrascu CA;</w:t>
      </w:r>
    </w:p>
    <w:p w14:paraId="06855F02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iv.</w:t>
      </w:r>
      <w:r>
        <w:tab/>
      </w:r>
      <w:r>
        <w:t xml:space="preserve">rizik prilagodbe kreditnom vrednovanju, koji se iskazuje u obrascu za CVA rizik;</w:t>
      </w:r>
    </w:p>
    <w:p w14:paraId="459A7112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Obrascem CR IRB ne propisuje se geografska raščlamba izloženosti u skladu s IRB pristupom prema boravištu druge ugovorne strane.</w:t>
      </w:r>
      <w:r>
        <w:t xml:space="preserve"> </w:t>
      </w:r>
      <w:r>
        <w:t xml:space="preserve">Ta se raščlamba iskazuje u obrascu CR GB.</w:t>
      </w:r>
      <w:r>
        <w:t xml:space="preserve"> </w:t>
      </w:r>
    </w:p>
    <w:p w14:paraId="50F092DC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Stavke i. i iii. ne primjenjuju se na obrazac CR IRB 7.</w:t>
      </w:r>
    </w:p>
    <w:p w14:paraId="383EDB2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75</w:t>
      </w:r>
      <w:r>
        <w:fldChar w:fldCharType="end"/>
      </w:r>
      <w:r>
        <w:t xml:space="preserve">.</w:t>
      </w:r>
      <w:r>
        <w:tab/>
      </w:r>
      <w:r>
        <w:t xml:space="preserve">Radi pojašnjenja koristi li institucija vlastite procjene LGD-a i/ili kreditnih konverzijskih faktora, za svaku iskazanu kategoriju izloženosti dostavljaju se sljedeće informacije:</w:t>
      </w:r>
    </w:p>
    <w:p w14:paraId="5E6A9A8B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993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„NE” = ako se koriste nadzorne procjene LGD-a i kreditnih konverzijskih faktora (osnovni IRB pristup)</w:t>
      </w:r>
    </w:p>
    <w:p w14:paraId="3AB7C0DB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993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„DA” = ako se koriste vlastite procjene LGD-a i/ili kreditnih konverzijskih faktora (napredni IRB pristup).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To uključuje sve portfelje stanovništva.</w:t>
      </w:r>
    </w:p>
    <w:p w14:paraId="366E5CCA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993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Ako institucija koristi vlastite procjene LGD-a za izračun </w:t>
      </w:r>
      <w:r>
        <w:rPr>
          <w:sz w:val="24"/>
          <w:rStyle w:val="InstructionsTabelleText"/>
          <w:rFonts w:ascii="Times New Roman" w:hAnsi="Times New Roman"/>
        </w:rPr>
        <w:t xml:space="preserve">iznosa izloženosti ponderiranih rizikom</w:t>
      </w:r>
      <w:r>
        <w:rPr>
          <w:sz w:val="24"/>
          <w:rFonts w:ascii="Times New Roman" w:hAnsi="Times New Roman"/>
        </w:rPr>
        <w:t xml:space="preserve"> za dio svojih izloženosti u skladu s IRB pristupom i nadzorne procjene LGD-a za izračun </w:t>
      </w:r>
      <w:r>
        <w:rPr>
          <w:sz w:val="24"/>
          <w:rStyle w:val="InstructionsTabelleText"/>
          <w:rFonts w:ascii="Times New Roman" w:hAnsi="Times New Roman"/>
        </w:rPr>
        <w:t xml:space="preserve">iznosa izloženosti ponderiranih rizikom</w:t>
      </w:r>
      <w:r>
        <w:rPr>
          <w:sz w:val="24"/>
          <w:rFonts w:ascii="Times New Roman" w:hAnsi="Times New Roman"/>
        </w:rPr>
        <w:t xml:space="preserve"> za drugi dio izloženosti u skladu s IRB pristupom, potrebno je iskazati obrazac s ukupnim podacima CR IRB za pozicije u skladu s osnovnim IRB pristupom i obrazac s ukupnim podacima CR IRB za pozicije u skladu s naprednim IRB pristupom.</w:t>
      </w:r>
    </w:p>
    <w:p w14:paraId="42EA72F2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3" w:name="_Toc262568037"/>
      <w:bookmarkStart w:id="4" w:name="_Toc264038435"/>
      <w:bookmarkStart w:id="5" w:name="_Toc295829865"/>
      <w:bookmarkStart w:id="6" w:name="_Toc308155142"/>
      <w:bookmarkStart w:id="7" w:name="_Toc310415028"/>
      <w:bookmarkStart w:id="8" w:name="_Toc360188359"/>
      <w:bookmarkStart w:id="9" w:name="_Toc473560908"/>
      <w:bookmarkStart w:id="10" w:name="_Toc151714396"/>
      <w:r>
        <w:rPr>
          <w:sz w:val="24"/>
          <w:u w:val="none"/>
          <w:rFonts w:ascii="Times New Roman" w:hAnsi="Times New Roman"/>
        </w:rPr>
        <w:t xml:space="preserve">3.3.2.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Raščlamba obrasca CR IRB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7488548" w14:textId="1E62BF0E" w:rsidR="00FB3D09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76</w:t>
      </w:r>
      <w:r>
        <w:fldChar w:fldCharType="end"/>
      </w:r>
      <w:r>
        <w:t xml:space="preserve">.</w:t>
      </w:r>
      <w:r>
        <w:tab/>
      </w:r>
      <w:r>
        <w:t xml:space="preserve">CR IRB čini sedam obrazaca.</w:t>
      </w:r>
      <w:r>
        <w:t xml:space="preserve"> </w:t>
      </w:r>
      <w:r>
        <w:t xml:space="preserve">CR IRB 1 sadržava opći pregled izloženosti u skladu s IRB pristupom i različite metode izračuna iznosa izloženosti ponderiranih rizikom te raščlambu ukupnih izloženosti prema vrsti izloženosti.</w:t>
      </w:r>
      <w:r>
        <w:t xml:space="preserve"> </w:t>
      </w:r>
      <w:r>
        <w:t xml:space="preserve">CR IRB 2 sadržava raščlambu ukupnih izloženosti raspoređenih u rejting-kategorije dužnika ili skupove izloženosti (izloženosti iskazane u retku 0070 CR IRB 1).</w:t>
      </w:r>
      <w:r>
        <w:t xml:space="preserve"> </w:t>
      </w:r>
      <w:r>
        <w:t xml:space="preserve">CR IRB 3 sadržava sve relevantne parametre koji su upotrijebljeni za izračun kapitalnih zahtjeva za kreditni rizik za IRB modele.</w:t>
      </w:r>
      <w:r>
        <w:t xml:space="preserve"> </w:t>
      </w:r>
      <w:r>
        <w:t xml:space="preserve">CR IRB 4 navodi izvješće o tokovima u kojem se objašnjavaju promjene u iznosima izloženosti ponderiranima rizikom utvrđenima u skladu s IRB pristupom kreditnom riziku.</w:t>
      </w:r>
      <w:r>
        <w:t xml:space="preserve"> </w:t>
      </w:r>
      <w:r>
        <w:t xml:space="preserve">CR IRB 5 sadržava informacije o rezultatima retroaktivnog testiranja PD-ova za iskazane modele.</w:t>
      </w:r>
      <w:r>
        <w:t xml:space="preserve"> </w:t>
      </w:r>
      <w:r>
        <w:t xml:space="preserve">CR IRB 6 sadržava sve relevantne parametre koji su korišteni za izračun kapitalnih zahtjeva za kreditni rizik na temelju kriterija raspoređivanja za specijalizirano financiranje.</w:t>
      </w:r>
      <w:r>
        <w:t xml:space="preserve"> </w:t>
      </w:r>
      <w:r>
        <w:t xml:space="preserve">CR IRB 7 sadržava pregled postotka vrijednosti izloženosti na koje se primjenjuju standardizirani ili IRB pristup za svaku relevantnu kategoriju izloženosti.</w:t>
      </w:r>
      <w:r>
        <w:t xml:space="preserve"> </w:t>
      </w:r>
      <w:r>
        <w:t xml:space="preserve">Obrasci CR IRB 1, CR IRB 2, CR IRB 3 i CR IRB 5 iskazuju se zasebno za sljedeće kategorije izloženosti i podizloženosti („bilješka” se iskazuje zasebno kao podkategorija izloženosti, ali nije povezana s obrascem C 02.00 i nije dio obrasca s ukupnim podacima):</w:t>
      </w:r>
    </w:p>
    <w:p w14:paraId="23A3F056" w14:textId="64EA1880" w:rsidR="00FD1A9F" w:rsidRPr="00126E51" w:rsidRDefault="006B0F8A" w:rsidP="00126E51">
      <w:pPr>
        <w:autoSpaceDE w:val="0"/>
        <w:autoSpaceDN w:val="0"/>
        <w:adjustRightInd w:val="0"/>
        <w:spacing w:before="0" w:after="0"/>
        <w:ind w:left="708"/>
        <w:jc w:val="left"/>
        <w:rPr>
          <w:u w:val="single"/>
        </w:rPr>
      </w:pPr>
      <w:r>
        <w:rPr>
          <w:sz w:val="24"/>
          <w:u w:val="single"/>
          <w:rFonts w:ascii="Times New Roman" w:hAnsi="Times New Roman"/>
        </w:rPr>
        <w:t xml:space="preserve">A) IRB pristupi kada se ne primjenjuju ni vlastite procjene LGD-a ni konverzijski faktori (osnovni IRB pristup)</w:t>
      </w:r>
    </w:p>
    <w:p w14:paraId="742DED0D" w14:textId="60DC622C" w:rsidR="00FB3D09" w:rsidRPr="00126E51" w:rsidRDefault="006B0F8A" w:rsidP="006B0F8A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A.1.)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Ukupno</w:t>
      </w:r>
    </w:p>
    <w:p w14:paraId="17E353AE" w14:textId="4D7B9170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A.2.)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Središnje banke i središnje države</w:t>
      </w:r>
      <w:r>
        <w:rPr>
          <w:sz w:val="24"/>
          <w:rFonts w:ascii="Times New Roman" w:hAnsi="Times New Roman"/>
        </w:rPr>
        <w:t xml:space="preserve"> </w:t>
      </w:r>
    </w:p>
    <w:p w14:paraId="070E0717" w14:textId="77777777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 147. stavak 2. točka (a) Uredbe (EU) br. 575/2013)</w:t>
      </w:r>
    </w:p>
    <w:p w14:paraId="4032BEC5" w14:textId="47D8D1A7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A.3.)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Jedinice područne (regionalne) ili lokalne samouprave</w:t>
      </w:r>
      <w:r>
        <w:rPr>
          <w:sz w:val="24"/>
          <w:rFonts w:ascii="Times New Roman" w:hAnsi="Times New Roman"/>
        </w:rPr>
        <w:t xml:space="preserve"> </w:t>
      </w:r>
    </w:p>
    <w:p w14:paraId="75CD54FE" w14:textId="4B4A74E8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 (aa) podtočka i. Uredbe (EU) br. 575/2013)</w:t>
      </w:r>
    </w:p>
    <w:p w14:paraId="614294C6" w14:textId="682C38BE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A.4.)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Subjekti javnog sektora</w:t>
      </w:r>
      <w:r>
        <w:rPr>
          <w:sz w:val="24"/>
          <w:rFonts w:ascii="Times New Roman" w:hAnsi="Times New Roman"/>
        </w:rPr>
        <w:t xml:space="preserve">  </w:t>
      </w:r>
    </w:p>
    <w:p w14:paraId="52525D8D" w14:textId="056FDE6F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 (aa) podtočka ii. Uredbe (EU) br. 575/2013)</w:t>
      </w:r>
    </w:p>
    <w:p w14:paraId="3CDBBA19" w14:textId="3B656C48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A.5.)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Institucije</w:t>
      </w:r>
    </w:p>
    <w:p w14:paraId="5A2EE4F2" w14:textId="3CF7CB17" w:rsidR="00FB3D09" w:rsidRDefault="00FB3D09" w:rsidP="00E13BD0">
      <w:pPr>
        <w:autoSpaceDE w:val="0"/>
        <w:autoSpaceDN w:val="0"/>
        <w:adjustRightInd w:val="0"/>
        <w:spacing w:before="0" w:after="0"/>
        <w:ind w:left="1416" w:firstLine="12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 (b) Uredbe (EU) br. 575/2013)</w:t>
      </w:r>
    </w:p>
    <w:p w14:paraId="5411EBAF" w14:textId="1E5C1A05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A.6.1.)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Trgovačka društva - Specijalizirano financiranje</w:t>
      </w:r>
    </w:p>
    <w:p w14:paraId="4E8B7543" w14:textId="4E5EF733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 (c) podtočka ii. Uredbe (EU) br. 575/2013)</w:t>
      </w:r>
    </w:p>
    <w:p w14:paraId="571E5944" w14:textId="28012B61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A.6.2.)  Trgovačka društva – Otkupljena potraživanja</w:t>
      </w:r>
    </w:p>
    <w:p w14:paraId="1A7D2649" w14:textId="4FE9E262" w:rsidR="00E13BD0" w:rsidRDefault="00FB3D09" w:rsidP="00EF2302">
      <w:pPr>
        <w:autoSpaceDE w:val="0"/>
        <w:autoSpaceDN w:val="0"/>
        <w:adjustRightInd w:val="0"/>
        <w:spacing w:before="0" w:after="0"/>
        <w:ind w:left="720" w:firstLine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 (c) podtočka iii. Uredbe (EU) br. 575/2013)</w:t>
      </w:r>
    </w:p>
    <w:p w14:paraId="77FF0C8B" w14:textId="0F260419" w:rsidR="00FB3D09" w:rsidRPr="002A677E" w:rsidRDefault="006B0F8A" w:rsidP="00E13BD0">
      <w:pPr>
        <w:autoSpaceDE w:val="0"/>
        <w:autoSpaceDN w:val="0"/>
        <w:adjustRightInd w:val="0"/>
        <w:spacing w:before="0" w:after="0"/>
        <w:ind w:left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A.6.3.)</w:t>
      </w:r>
      <w:r>
        <w:tab/>
      </w:r>
      <w:r>
        <w:rPr>
          <w:sz w:val="24"/>
          <w:rFonts w:ascii="Times New Roman" w:hAnsi="Times New Roman"/>
        </w:rPr>
        <w:t xml:space="preserve">Trgovačka društva – Ostalo</w:t>
      </w:r>
      <w:r>
        <w:rPr>
          <w:sz w:val="24"/>
          <w:rFonts w:ascii="Times New Roman" w:hAnsi="Times New Roman"/>
        </w:rPr>
        <w:t xml:space="preserve"> </w:t>
      </w:r>
    </w:p>
    <w:p w14:paraId="0E912CCE" w14:textId="24911A15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 (c) podtočka i. Uredbe (EU) br. 575/2013).</w:t>
      </w:r>
    </w:p>
    <w:p w14:paraId="486BF9E6" w14:textId="1FC1D76C" w:rsidR="0029349B" w:rsidRPr="00874942" w:rsidRDefault="0029349B" w:rsidP="0029349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A.6.4.)  Bilješka: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Trgovačka društva – Velika trgovačka društva</w:t>
      </w:r>
    </w:p>
    <w:p w14:paraId="715EBD40" w14:textId="150CC2BB" w:rsidR="0029349B" w:rsidRDefault="0029349B" w:rsidP="0029349B">
      <w:pPr>
        <w:pStyle w:val="ListParagraph"/>
        <w:autoSpaceDE w:val="0"/>
        <w:autoSpaceDN w:val="0"/>
        <w:adjustRightInd w:val="0"/>
        <w:spacing w:before="0" w:after="0"/>
        <w:ind w:left="14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 (c) Uredbe (EU) 575/2013, članak 142. stavak 1. u vezi s točkom 5.a Uredbe (EU) br. 575/2013)</w:t>
      </w:r>
    </w:p>
    <w:p w14:paraId="5A8F3224" w14:textId="4866743F" w:rsidR="0029349B" w:rsidRPr="00874942" w:rsidRDefault="0029349B" w:rsidP="0029349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A.6.5.)  Bilješka: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Trgovačka društva – MSP</w:t>
      </w:r>
    </w:p>
    <w:p w14:paraId="42836C84" w14:textId="124ED090" w:rsidR="0029349B" w:rsidRPr="00EF2302" w:rsidRDefault="0029349B" w:rsidP="00126E51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 I Uredbe (EU) 575/2013 u vezi s člankom 5. stavkom 8. Uredbe (EU) br. 575/2013)</w:t>
      </w:r>
    </w:p>
    <w:p w14:paraId="23564959" w14:textId="77777777" w:rsidR="00B949C3" w:rsidRDefault="00B949C3" w:rsidP="00FB3D09">
      <w:pPr>
        <w:autoSpaceDE w:val="0"/>
        <w:autoSpaceDN w:val="0"/>
        <w:adjustRightInd w:val="0"/>
        <w:spacing w:before="0" w:after="0"/>
        <w:ind w:left="1428"/>
        <w:jc w:val="left"/>
        <w:rPr>
          <w:rFonts w:ascii="Times New Roman" w:hAnsi="Times New Roman"/>
          <w:sz w:val="24"/>
          <w:lang w:eastAsia="de-DE"/>
        </w:rPr>
      </w:pPr>
    </w:p>
    <w:p w14:paraId="52CFD6D7" w14:textId="11403070" w:rsidR="00B949C3" w:rsidRPr="00126E51" w:rsidRDefault="006013AC" w:rsidP="00126E51">
      <w:pPr>
        <w:autoSpaceDE w:val="0"/>
        <w:autoSpaceDN w:val="0"/>
        <w:adjustRightInd w:val="0"/>
        <w:spacing w:before="0" w:after="0"/>
        <w:ind w:firstLine="708"/>
        <w:jc w:val="left"/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B) IRB pristupi kada se primjenjuju vlastite procjene LGD-a i/ili konverzijski faktori</w:t>
      </w:r>
    </w:p>
    <w:p w14:paraId="31E1DC0E" w14:textId="5BBBD0A6" w:rsidR="006013AC" w:rsidRPr="00CF47EA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B.1.)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Ukupno</w:t>
      </w:r>
    </w:p>
    <w:p w14:paraId="2607EE3C" w14:textId="4BBA570A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B.2.)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Središnje banke i središnje države</w:t>
      </w:r>
      <w:r>
        <w:rPr>
          <w:sz w:val="24"/>
          <w:rFonts w:ascii="Times New Roman" w:hAnsi="Times New Roman"/>
        </w:rPr>
        <w:t xml:space="preserve"> </w:t>
      </w:r>
    </w:p>
    <w:p w14:paraId="194B4B2A" w14:textId="77777777" w:rsidR="006013AC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 147. stavak 2. točka (a) Uredbe (EU) br. 575/2013)</w:t>
      </w:r>
    </w:p>
    <w:p w14:paraId="788F5C27" w14:textId="060EA0B3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B.3.)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Jedinice područne (regionalne) ili lokalne samouprave</w:t>
      </w:r>
      <w:r>
        <w:rPr>
          <w:sz w:val="24"/>
          <w:rFonts w:ascii="Times New Roman" w:hAnsi="Times New Roman"/>
        </w:rPr>
        <w:t xml:space="preserve"> </w:t>
      </w:r>
    </w:p>
    <w:p w14:paraId="2ECF3277" w14:textId="77777777" w:rsidR="006013AC" w:rsidRPr="002A677E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 (aa) podtočka i. Uredbe (EU) br. 575/2013)</w:t>
      </w:r>
    </w:p>
    <w:p w14:paraId="5DCFC117" w14:textId="01557B68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B.4.)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Subjekti javnog sektora</w:t>
      </w:r>
      <w:r>
        <w:rPr>
          <w:sz w:val="24"/>
          <w:rFonts w:ascii="Times New Roman" w:hAnsi="Times New Roman"/>
        </w:rPr>
        <w:t xml:space="preserve">  </w:t>
      </w:r>
    </w:p>
    <w:p w14:paraId="062F8299" w14:textId="77777777" w:rsidR="006013AC" w:rsidRPr="002A677E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 (aa) podtočka ii. Uredbe (EU) br. 575/2013)</w:t>
      </w:r>
    </w:p>
    <w:p w14:paraId="698D8E50" w14:textId="3BD81666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B.5.1.)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Trgovačka društva - Specijalizirano financiranje</w:t>
      </w:r>
    </w:p>
    <w:p w14:paraId="7699809B" w14:textId="4B162F04" w:rsidR="006013AC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 147. stavak 2. točka I. podtočka ii. Uredbe (EU) br. 575/2013)</w:t>
      </w:r>
    </w:p>
    <w:p w14:paraId="79E7A993" w14:textId="0A3A70E1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B.5.2.)  Trgovačka društva – Otkupljena potraživanja</w:t>
      </w:r>
    </w:p>
    <w:p w14:paraId="47616290" w14:textId="5372C532" w:rsidR="006013AC" w:rsidRDefault="006013AC" w:rsidP="006013AC">
      <w:pPr>
        <w:autoSpaceDE w:val="0"/>
        <w:autoSpaceDN w:val="0"/>
        <w:adjustRightInd w:val="0"/>
        <w:spacing w:before="0" w:after="0"/>
        <w:ind w:left="720" w:firstLine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 2. točka I. podtočka iii. Uredbe (EU) br. 575/2013)</w:t>
      </w:r>
    </w:p>
    <w:p w14:paraId="7E0F1962" w14:textId="1EC228E7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B.5.3.)</w:t>
      </w:r>
      <w:r>
        <w:tab/>
      </w:r>
      <w:r>
        <w:rPr>
          <w:sz w:val="24"/>
          <w:rFonts w:ascii="Times New Roman" w:hAnsi="Times New Roman"/>
        </w:rPr>
        <w:t xml:space="preserve">Trgovačka društva – Ostalo</w:t>
      </w:r>
      <w:r>
        <w:rPr>
          <w:sz w:val="24"/>
          <w:rFonts w:ascii="Times New Roman" w:hAnsi="Times New Roman"/>
        </w:rPr>
        <w:t xml:space="preserve"> </w:t>
      </w:r>
    </w:p>
    <w:p w14:paraId="7C24044A" w14:textId="31456617" w:rsidR="00CD1BFF" w:rsidRDefault="006013AC" w:rsidP="009D125A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 147. stavak 2. točka I. podtočka i. Uredbe (EU) br. 575/2013)</w:t>
      </w:r>
    </w:p>
    <w:p w14:paraId="0D9A4B56" w14:textId="3B70C431" w:rsidR="008A3C6B" w:rsidRPr="00CF47EA" w:rsidRDefault="008A3C6B" w:rsidP="008A3C6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B.5.4.)  Bilješka: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Trgovačka društva – Velika trgovačka društva</w:t>
      </w:r>
    </w:p>
    <w:p w14:paraId="7348E5D3" w14:textId="77777777" w:rsidR="008A3C6B" w:rsidRDefault="008A3C6B" w:rsidP="008A3C6B">
      <w:pPr>
        <w:pStyle w:val="ListParagraph"/>
        <w:autoSpaceDE w:val="0"/>
        <w:autoSpaceDN w:val="0"/>
        <w:adjustRightInd w:val="0"/>
        <w:spacing w:before="0" w:after="0"/>
        <w:ind w:left="14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 (c) Uredbe (EU) 575/2013, članak 142. stavak 1. u vezi s točkom 5.a Uredbe (EU) br. 575/2013)</w:t>
      </w:r>
    </w:p>
    <w:p w14:paraId="4EA5C9B6" w14:textId="568BE150" w:rsidR="008A3C6B" w:rsidRPr="00CF47EA" w:rsidRDefault="008A3C6B" w:rsidP="008A3C6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B.5.6.)  Bilješka: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Trgovačka društva – MSP</w:t>
      </w:r>
    </w:p>
    <w:p w14:paraId="327F10F1" w14:textId="086997C1" w:rsidR="008A3C6B" w:rsidRDefault="008A3C6B" w:rsidP="008A3C6B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(članak 147. stavak 2. točka (c) Uredbe (EU) 575/2013 u vezi s člankom 5. stavkom 8. Uredbe (EU) br. 575/2013)</w:t>
      </w:r>
    </w:p>
    <w:p w14:paraId="72709B7F" w14:textId="0A3CA0B0" w:rsidR="00FB3D09" w:rsidRPr="002A677E" w:rsidRDefault="009D125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B.6.1.)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Stanovništvo – Osigurano stambenom nekretninom</w:t>
      </w:r>
      <w:r>
        <w:rPr>
          <w:sz w:val="24"/>
          <w:rFonts w:ascii="Times New Roman" w:hAnsi="Times New Roman"/>
        </w:rPr>
        <w:t xml:space="preserve"> </w:t>
      </w:r>
    </w:p>
    <w:p w14:paraId="650A4DF9" w14:textId="69386974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(Izloženosti prema stanovništvu iz članka 147. stavka 2. točke (d) podtočke ii. Uredbe (EU) br. 575/2013.</w:t>
      </w:r>
    </w:p>
    <w:p w14:paraId="2ECC4965" w14:textId="776EA69B" w:rsidR="00A54B9F" w:rsidRDefault="000C3D68" w:rsidP="00E13BD0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U ovoj kategoriji.</w:t>
      </w:r>
    </w:p>
    <w:p w14:paraId="4F591501" w14:textId="3C2A575C" w:rsidR="00FB3D09" w:rsidRPr="002A677E" w:rsidRDefault="009D125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B.6.2.)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Stanovništvo – Kvalificirane obnovljive izloženosti</w:t>
      </w:r>
    </w:p>
    <w:p w14:paraId="2787B7FB" w14:textId="77777777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(izloženosti prema stanovništvu iz članka 147. stavka 2. točke (d) podtočke i. Uredbe (EU) br. 575/2013 u vezi s člankom 154. stavkom 4. te uredbe)</w:t>
      </w:r>
      <w:r>
        <w:rPr>
          <w:sz w:val="24"/>
          <w:rFonts w:ascii="Times New Roman" w:hAnsi="Times New Roman"/>
        </w:rPr>
        <w:t xml:space="preserve"> </w:t>
      </w:r>
    </w:p>
    <w:p w14:paraId="1CA9F240" w14:textId="4E5B99F0" w:rsidR="00FB3D09" w:rsidRPr="002A677E" w:rsidRDefault="00DB50A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B6.3.)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Stanovništvo – Otkupljena potraživanja</w:t>
      </w:r>
    </w:p>
    <w:p w14:paraId="3EBF4177" w14:textId="77777777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(Izloženosti prema stanovništvu iz članka 147. stavka 2. točke (d) podtočke iii. Uredbe (EU) br. 575/2013).</w:t>
      </w:r>
      <w:r>
        <w:rPr>
          <w:sz w:val="24"/>
          <w:rFonts w:ascii="Times New Roman" w:hAnsi="Times New Roman"/>
        </w:rPr>
        <w:t xml:space="preserve"> </w:t>
      </w:r>
    </w:p>
    <w:p w14:paraId="776A9653" w14:textId="274FCDDB" w:rsidR="00FB3D09" w:rsidRPr="002A677E" w:rsidRDefault="00DB50A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B.6.4.)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Stanovništvo – Ostalo</w:t>
      </w:r>
      <w:r>
        <w:rPr>
          <w:sz w:val="24"/>
          <w:rFonts w:ascii="Times New Roman" w:hAnsi="Times New Roman"/>
        </w:rPr>
        <w:t xml:space="preserve"> </w:t>
      </w:r>
    </w:p>
    <w:p w14:paraId="1CBC5EF4" w14:textId="450212A6" w:rsidR="00F61AEB" w:rsidRDefault="00FB3D09" w:rsidP="00A54B9F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(Izloženosti prema stanovništvu iz članka 147. stavka 2. točke (d) podtočke iv. Uredbe (EU) br. 575/2013).</w:t>
      </w:r>
    </w:p>
    <w:p w14:paraId="0C697B9E" w14:textId="3DDAB287" w:rsidR="00F61AEB" w:rsidRPr="00CF47EA" w:rsidRDefault="00F61AEB" w:rsidP="00F61AE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B.6.5.)  Bilješka: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Stanovništvo – izloženosti osigurane nekretninama MSP-ova</w:t>
      </w:r>
    </w:p>
    <w:p w14:paraId="45B80CE1" w14:textId="6E9AC07A" w:rsidR="00F61AEB" w:rsidRDefault="00F61AEB" w:rsidP="00F61AEB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(Izloženosti prema stanovništvu kako su definirane u članku 147. stavku 2. točki (d) Uredbe (EU) br. 575/2013, iskazane pod B.6.1. do B.6.4., koje su osigurane nekretninama kako su definirane u članku 4. stavku 1. točki 75.f podtočki (d) Uredbe (EU) br. 575/2013, u vezi s člankom 5. stavkom 8. Uredbe (EU) br. 575/2013)</w:t>
      </w:r>
    </w:p>
    <w:p w14:paraId="40D2DB38" w14:textId="4857D4AC" w:rsidR="00F61AEB" w:rsidRPr="00CF47EA" w:rsidRDefault="00F61AEB" w:rsidP="00F61AE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B.6.6.)  Bilješka: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Stanovništvo – izloženosti osigurane nekretninama osoba koje nisu MSP-ovi</w:t>
      </w:r>
    </w:p>
    <w:p w14:paraId="7430D81F" w14:textId="3488EF28" w:rsidR="00F61AEB" w:rsidRDefault="00F61AEB" w:rsidP="00F61AEB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(Izloženosti prema stanovništvu kako su definirane u članku 147. stavku 2. točki (d) Uredbe (EU) br. 575/2013, iskazane pod B.6.1. do B.6.4., koje su osigurane nekretninama kako su definirane u članku 4. stavku 1. točki 75.f podtočki (d) Uredbe (EU) br. 575/2013, ne u vezi s člankom 5. stavkom 8. Uredbe (EU) br. 575/2013)</w:t>
      </w:r>
    </w:p>
    <w:p w14:paraId="0EB53292" w14:textId="6168F897" w:rsidR="00F37042" w:rsidRPr="00CF47EA" w:rsidRDefault="00F37042" w:rsidP="00F37042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B.6.7.)  Bilješka: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Stanovništvo – ostalo, MSP</w:t>
      </w:r>
    </w:p>
    <w:p w14:paraId="5861C1A9" w14:textId="50C55B82" w:rsidR="00F37042" w:rsidRDefault="00F37042" w:rsidP="00F37042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(Izloženosti prema stanovništvu iz članka 147. stavka 2. točke (d) podtočke iv. Uredbe (EU) br. 575/2013, koje nisu iskazane u B.6.5. i B.6.6., u vezi s člankom 5. stavkom 8. Uredbe (EU) br. 575/2013)</w:t>
      </w:r>
    </w:p>
    <w:p w14:paraId="394F5A32" w14:textId="4E70921A" w:rsidR="00F37042" w:rsidRPr="00CF47EA" w:rsidRDefault="00F37042" w:rsidP="00F37042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B.6.8.)  Bilješka: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Stanovništvo – ostalo, osobe koje nisu MSP-ovi</w:t>
      </w:r>
    </w:p>
    <w:p w14:paraId="75B56F15" w14:textId="6EAC1815" w:rsidR="00F37042" w:rsidRPr="00126E51" w:rsidRDefault="00F37042" w:rsidP="00F37042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(Izloženosti prema stanovništvu iz članka 147. stavka 2. točke (d) podtočke iv. Uredbe (EU) br. 575/2013, koje nisu iskazane u B.6.5. i B.6.6., ne u vezi s člankom 5. stavkom 8. Uredbe (EU) br. 575/2013)</w:t>
      </w:r>
    </w:p>
    <w:p w14:paraId="31C5A22B" w14:textId="61C91BE4" w:rsidR="00FB3D09" w:rsidRPr="002A677E" w:rsidRDefault="00DB50AA" w:rsidP="00E13BD0">
      <w:pPr>
        <w:pStyle w:val="ListParagraph1"/>
        <w:autoSpaceDE w:val="0"/>
        <w:autoSpaceDN w:val="0"/>
        <w:adjustRightInd w:val="0"/>
        <w:spacing w:before="0" w:after="0"/>
        <w:ind w:left="0" w:firstLine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B.7.)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Subjekti za zajednička ulaganja (CIU)</w:t>
      </w:r>
    </w:p>
    <w:p w14:paraId="46A3FB56" w14:textId="38464F9F" w:rsidR="00FB3D09" w:rsidDel="00C72B5D" w:rsidRDefault="00FB3D09" w:rsidP="00126E51">
      <w:pPr>
        <w:autoSpaceDE w:val="0"/>
        <w:autoSpaceDN w:val="0"/>
        <w:adjustRightInd w:val="0"/>
        <w:spacing w:before="0" w:after="0"/>
        <w:ind w:left="1416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Izloženosti u obliku udjela ili dionica u subjektima za zajednička ulaganja („CIU-ovi”) iz članka 147. stavka 2. točke (ea) Uredbe (EU) br. 575/2013</w:t>
      </w:r>
    </w:p>
    <w:p w14:paraId="1BEDE351" w14:textId="77777777" w:rsidR="00FB3D09" w:rsidRDefault="00FB3D09" w:rsidP="00FB3D09">
      <w:pPr>
        <w:spacing w:before="0" w:after="0"/>
        <w:ind w:left="709"/>
        <w:jc w:val="left"/>
        <w:rPr>
          <w:rFonts w:ascii="Times New Roman" w:hAnsi="Times New Roman"/>
          <w:sz w:val="24"/>
          <w:lang w:eastAsia="de-DE"/>
        </w:rPr>
      </w:pPr>
    </w:p>
    <w:p w14:paraId="677C9432" w14:textId="62D96D61" w:rsidR="00FB3D09" w:rsidRDefault="00FB3D09" w:rsidP="00FB3D09">
      <w:pPr>
        <w:spacing w:before="0" w:after="2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3.3.2.a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Pojašnjenja opsega nekih posebnih kategorija izloženosti iz članka 147. Uredbe (EU) br. 575/2013</w:t>
      </w:r>
      <w:r>
        <w:rPr>
          <w:sz w:val="24"/>
          <w:rFonts w:ascii="Times New Roman" w:hAnsi="Times New Roman"/>
        </w:rPr>
        <w:t xml:space="preserve"> </w:t>
      </w:r>
    </w:p>
    <w:p w14:paraId="314E3D92" w14:textId="4C97F668" w:rsidR="00FB3D09" w:rsidRDefault="00FB3D09" w:rsidP="00FB3D09">
      <w:pPr>
        <w:spacing w:before="0" w:after="2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3.3.2.a.1. Kategorija izloženosti „subjekti za zajednička ulaganja”</w:t>
      </w:r>
    </w:p>
    <w:p w14:paraId="219CEA19" w14:textId="7C695821" w:rsidR="00FB3D09" w:rsidRDefault="00FB3D09" w:rsidP="00126E51">
      <w:pPr>
        <w:spacing w:before="0" w:after="24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76.a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Sve pojedinačne izloženosti u obliku udjela ili dionica u subjektima za zajednička ulaganja na koje se primjenjuje pristup odnosnih izloženosti ili pristup koji se temelji na mandatu (članak 152. točke 1. i 5. Uredbe (EU) br. 575/2013) te izloženosti u okviru zamjenskog pristupa razvrstavaju se u kategoriju izloženosti „Izloženosti u obliku udjela ili dionica u subjektima za zajednička ulaganja („CIU”)” i iskazuju u odjeljku RAŠČLAMBA UKUPNIH IZLOŽENOSTI PREMA PRISTUPU (CIU).</w:t>
      </w:r>
    </w:p>
    <w:p w14:paraId="1BCD95AE" w14:textId="76EFAF4A" w:rsidR="00FB3D09" w:rsidRDefault="00FC2C95" w:rsidP="00126E51">
      <w:pPr>
        <w:spacing w:before="0" w:after="24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76.b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Ako se primjenjuje pristup odnosnih izloženosti (članak 152. točka 1. Uredbe (EU) br. 575/2013), odnosne pojedinačne izloženosti razvrstavaju se (uz prethodno navedenu klasifikaciju kao „CIU”) u odgovarajuću kategoriju izloženosti i iskazuju kao bilješka u retku 0190 obrasca C 08.01, pri čemu se upućuje na pristup odnosnih izloženosti (za tu kategoriju izloženosti). Kao takva, u slučaju pristupa odnosnih izloženosti, odnosna pojedinačna izloženost nije dio ukupnih izloženosti odgovarajuće kategorije izloženosti, već se uzima u obzir u ukupnim izloženostima kategorije izloženosti CIU-a.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Ako se u konačnici na neke od odnosnih izloženosti primjenjuje standardizirani pristup (SA), te bi izloženosti trebalo iskazati u obrascu CR SA (C 07.00) u kategoriji izloženosti „Subjekti za zajednička ulaganja”.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 ovom se obrascu iskazuju samo odnosne izloženosti za koje je za izračun kapitalnih zahtjeva upotrijebljena metoda zasnovana na internim rejting-sustavima (IRB).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Unatoč tome, sljedeće se odnosne izloženosti ne iskazuju u obrascima CR IRB:</w:t>
      </w:r>
    </w:p>
    <w:p w14:paraId="38F3EA76" w14:textId="77777777" w:rsidR="00FB3D09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i.</w:t>
      </w:r>
      <w:r>
        <w:tab/>
      </w:r>
      <w:r>
        <w:t xml:space="preserve">izloženosti na osnovi vlasničkih ulaganja, koje se iskazuju u obrascu CR EQU IRB;</w:t>
      </w:r>
      <w:r>
        <w:t xml:space="preserve"> </w:t>
      </w:r>
    </w:p>
    <w:p w14:paraId="007677D4" w14:textId="77777777" w:rsidR="00FB3D09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ii.</w:t>
      </w:r>
      <w:r>
        <w:tab/>
      </w:r>
      <w:r>
        <w:t xml:space="preserve">sekuritizacijske pozicije, koje se iskazuju u obrascu CR SEC i/ili CR SEC detaljniji podaci;</w:t>
      </w:r>
    </w:p>
    <w:p w14:paraId="3868B76C" w14:textId="77777777" w:rsidR="00FB3D09" w:rsidRPr="002A677E" w:rsidRDefault="00FB3D09" w:rsidP="00FB3D09">
      <w:pPr>
        <w:spacing w:before="0" w:after="240"/>
        <w:jc w:val="left"/>
        <w:rPr>
          <w:sz w:val="24"/>
          <w:rFonts w:ascii="Times New Roman" w:hAnsi="Times New Roman"/>
        </w:rPr>
      </w:pPr>
      <w:bookmarkStart w:id="11" w:name="_Toc473560909"/>
      <w:bookmarkStart w:id="12" w:name="_Toc239157380"/>
      <w:bookmarkStart w:id="13" w:name="_Toc262568038"/>
      <w:bookmarkStart w:id="14" w:name="_Toc264038436"/>
      <w:bookmarkStart w:id="15" w:name="_Toc295829866"/>
      <w:bookmarkStart w:id="16" w:name="_Toc308155143"/>
      <w:bookmarkStart w:id="17" w:name="_Toc310415030"/>
      <w:bookmarkStart w:id="18" w:name="_Toc360188360"/>
      <w:r>
        <w:rPr>
          <w:sz w:val="24"/>
          <w:rFonts w:ascii="Times New Roman" w:hAnsi="Times New Roman"/>
        </w:rPr>
        <w:t xml:space="preserve">3.3.3.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08.01 – Kreditni rizik, kreditni rizik druge ugovorne strane i slobodne isporuke: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 pristup kapitalnim zahtjevima (CR IRB 1)</w:t>
      </w:r>
      <w:bookmarkEnd w:id="11"/>
    </w:p>
    <w:p w14:paraId="24516C06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ind w:left="709" w:hanging="720"/>
        <w:rPr>
          <w:sz w:val="24"/>
          <w:rFonts w:ascii="Times New Roman" w:hAnsi="Times New Roman" w:cs="Times New Roman"/>
        </w:rPr>
      </w:pPr>
      <w:bookmarkStart w:id="19" w:name="_Toc473560910"/>
      <w:bookmarkStart w:id="20" w:name="_Toc151714397"/>
      <w:r>
        <w:rPr>
          <w:sz w:val="24"/>
          <w:u w:val="none"/>
          <w:rFonts w:ascii="Times New Roman" w:hAnsi="Times New Roman"/>
        </w:rPr>
        <w:t xml:space="preserve">3.3.3.1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Upute za specifične pozicije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57EC16E2" w14:textId="77777777" w:rsidTr="00822842">
        <w:tc>
          <w:tcPr>
            <w:tcW w:w="1188" w:type="dxa"/>
            <w:shd w:val="clear" w:color="auto" w:fill="CCCCCC"/>
          </w:tcPr>
          <w:p w14:paraId="62A9E81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Stupci</w:t>
            </w:r>
          </w:p>
        </w:tc>
        <w:tc>
          <w:tcPr>
            <w:tcW w:w="8843" w:type="dxa"/>
            <w:shd w:val="clear" w:color="auto" w:fill="CCCCCC"/>
          </w:tcPr>
          <w:p w14:paraId="2B397F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6D2D58B3" w14:textId="77777777" w:rsidTr="00822842">
        <w:tc>
          <w:tcPr>
            <w:tcW w:w="1188" w:type="dxa"/>
          </w:tcPr>
          <w:p w14:paraId="1736B9C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</w:tcPr>
          <w:p w14:paraId="298149A1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INTERNA REJTING-SKALA / PD RASPOREĐENI U REJTING-KATEGORIJU DUŽNIKA ILI SKUP IZLOŽENOSTI (%)</w:t>
            </w:r>
          </w:p>
          <w:p w14:paraId="5FF26C8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PD raspoređen u rejting-kategoriju dužnika ili skup izloženosti koji se iskazuje temelji se na odredbama članka 180. Uredbe (EU) br. 575/2013.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Za svaku pojedinu rejting-kategoriju ili skup iskazuje se PD raspoređen u specifičnu rejting-kategoriju dužnika ili skup izloženosti.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Za vrijednosti koje odgovaraju agregiranju rejting-kategorija dužnika ili skupova izloženosti (npr. ukupne izloženosti) dostavlja se ponderirani prosjek izloženosti PD-ova raspoređenih u rejting-kategoriju dužnika ili skupove izloženosti uključen u agregiranje.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Vrijednost izloženosti (stupac 0110) koristi se za izračun izloženošću ponderiranog prosječnog PD-a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  <w:p w14:paraId="723A0BA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Za svaku pojedinu rejting-kategoriju ili skup iskazuje se PD raspoređen u specifičnu rejting-kategoriju dužnika ili skup izloženosti.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Svi iskazani parametri rizika izvode se iz parametara rizika upotrijebljenih u internoj rejting-skali koju je odobrilo nadležno tijelo.</w:t>
            </w:r>
          </w:p>
          <w:p w14:paraId="37DDB74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Rejting-skala za nadzor ne namjerava se uvesti niti je poželjna.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Ako institucija koja izvješćuje primjenjuje jedinstvenu rejting-skalu ili može izvješćivati u skladu s internom rejting-skalom, koristi se ta skala.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4FCCB57F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U suprotnom se različite rejting-skale spajaju i određuju u skladu sa sljedećim kriterijima: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rejting-kategorije dužnika različitih rejting-skala grupiraju se i određuju od nižeg PD-a raspoređenog u svaku rejting-kategoriju dužnika prema višem.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Ako institucija koristi veliki broj rejting-kategorija ili skupova, s nadležnim tijelima može se dogovoriti iskazivanje smanjenog broja rejting-kategorija ili skupova.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Isto se odnosi na kontinuirane rejting-skale: s nadležnim tijelima dogovara se iskazivanje smanjenog broja rejting-kategorija.</w:t>
            </w:r>
          </w:p>
          <w:p w14:paraId="7B5BA46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Institucije unaprijed kontaktiraju s nadležnim tijelom ako žele iskazati drukčiji broj rejting-kategorija u odnosu na interni broj rejting-kategorija.</w:t>
            </w:r>
          </w:p>
          <w:p w14:paraId="05BEC00A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Zadnja rejting-kategorija ili kategorije namijenjene su izloženostima u statusu neispunjavanja obveza s PD-om od 100 %.</w:t>
            </w:r>
          </w:p>
          <w:p w14:paraId="21058E35" w14:textId="53D6092E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Za potrebe ponderiranja prosječnog PD-a vrijednost izloženosti iskazuje se u stupcu 110.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Izloženošću ponderiran prosječni PD izračunava se uzimajući u obzir sve izloženosti iskazane u određenom retku.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U retku u kojem su iskazane samo izloženosti u statusu neispunjavanja obveza prosječni PD iznosi 100 %.</w:t>
            </w:r>
          </w:p>
        </w:tc>
      </w:tr>
      <w:tr w:rsidR="00FB3D09" w:rsidRPr="002A677E" w14:paraId="45B04E8D" w14:textId="77777777" w:rsidTr="00822842">
        <w:tc>
          <w:tcPr>
            <w:tcW w:w="1188" w:type="dxa"/>
          </w:tcPr>
          <w:p w14:paraId="7FB0CCE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</w:tcPr>
          <w:p w14:paraId="3CB0A55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ORIGINALNA IZLOŽENOST PRIJE PRIMJENE KONVERZIJSKIH FAKTORA</w:t>
            </w:r>
          </w:p>
          <w:p w14:paraId="5FC3A6B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vrijednost izloženosti prije uzimanja u obzir bilo kakvih vrijednosnih usklađenja, rezervacija, učinaka na temelju tehnika smanjenja kreditnog rizika ili kreditnih konverzijskih faktora.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FE079F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originalne izloženosti iskazuje se u skladu s člankom 24. Uredbe (EU) br. 575/2013 i člankom 166. stavcima 1., 2., 4., 5., 6. i 7. te uredbe.</w:t>
            </w:r>
          </w:p>
          <w:p w14:paraId="11B4331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Učinak koji proizlazi iz članka 166. stavka 3. Uredbe (EU) br. 575/2013 (učinak bilančnog netiranja kredita i depozita) iskazuje se zasebno kao materijalna kreditna zaštita i stoga se njime ne smanjuje originalna izloženost.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918563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izvedene instrumente, repo transakcije, transakcije pozajmljivanja vrijednosnih papira ili robe drugoj ugovornoj strani ili od druge ugovorne strane, transakcije s dugim rokom namire i maržne kredite koje su izložene kreditnom riziku druge ugovorne strane (dio treći glava II. poglavlje 4. ili poglavlje 6. Uredbe (EU) br. 575/2013), originalna izloženost odgovara vrijednosti izloženosti kreditnom riziku druge ugovorne strane (vidjeti upute za stupac 0130).</w:t>
            </w:r>
          </w:p>
        </w:tc>
      </w:tr>
      <w:tr w:rsidR="00FB3D09" w:rsidRPr="002A677E" w14:paraId="4820425A" w14:textId="77777777" w:rsidTr="00822842">
        <w:tc>
          <w:tcPr>
            <w:tcW w:w="1188" w:type="dxa"/>
          </w:tcPr>
          <w:p w14:paraId="17C2578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</w:tcPr>
          <w:p w14:paraId="15A3D95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VELIKI SUBJEKTI FINANCIJSKOG SEKTORA I NEREGULIRANI FINANCIJSKI SUBJEKTI</w:t>
            </w:r>
          </w:p>
          <w:p w14:paraId="49D6950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Raščlamba originalne izloženosti prije primjene konverzijskih faktora za sve izloženosti subjekata iz članka 142. stavka 1. točaka 4. i 5. Uredbe (EU) br. 575/2013 na koje se primjenjuje viši koeficijent korelacije određen u skladu s člankom 153. stavkom 2. te uredbe.</w:t>
            </w:r>
          </w:p>
        </w:tc>
      </w:tr>
      <w:tr w:rsidR="00FB3D09" w:rsidRPr="002A677E" w14:paraId="216A721A" w14:textId="77777777" w:rsidTr="00822842">
        <w:tc>
          <w:tcPr>
            <w:tcW w:w="1188" w:type="dxa"/>
          </w:tcPr>
          <w:p w14:paraId="189E467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0040-0080</w:t>
            </w:r>
          </w:p>
        </w:tc>
        <w:tc>
          <w:tcPr>
            <w:tcW w:w="8843" w:type="dxa"/>
          </w:tcPr>
          <w:p w14:paraId="0B033AC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TEHNIKE SMANJENJA KREDITNOG RIZIKA S UČINCIMA ZAMJENE NA IZLOŽENOST</w:t>
            </w:r>
          </w:p>
          <w:p w14:paraId="15F2801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Tehnike smanjenja kreditnog rizika kako su definirane u članku 4. stavku 1. točki 57. Uredbe (EU) br. 575/2013 kojima se kreditni rizik izloženosti smanjuje zamjenom izloženosti kako je opisano u nastavku pod „Zamjena izloženosti zbog smanjenja kreditnog rizika”.</w:t>
            </w:r>
          </w:p>
          <w:p w14:paraId="1328DB1C" w14:textId="77777777" w:rsidR="00FB3D09" w:rsidRPr="002A677E" w:rsidRDefault="00FB3D09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FB3D09" w:rsidRPr="002A677E" w14:paraId="4BD2F7DD" w14:textId="77777777" w:rsidTr="00822842">
        <w:tc>
          <w:tcPr>
            <w:tcW w:w="1188" w:type="dxa"/>
          </w:tcPr>
          <w:p w14:paraId="0BA81A6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0040-0050</w:t>
            </w:r>
          </w:p>
        </w:tc>
        <w:tc>
          <w:tcPr>
            <w:tcW w:w="8843" w:type="dxa"/>
          </w:tcPr>
          <w:p w14:paraId="4B08A0E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NEMATERIJALNA KREDITNA ZAŠTITA</w:t>
            </w:r>
          </w:p>
          <w:p w14:paraId="25128BF3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Nematerijalna kreditna zaštita kako je definirana u članku 4. stavku 1. točki 59. Uredbe (EU) br. 575/2013.</w:t>
            </w:r>
          </w:p>
          <w:p w14:paraId="538FB9A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Nematerijalnoj kreditnoj zaštiti koja utječe na izloženost (npr. koristi se za tehnike smanjenja kreditnog rizika s učincima zamjene na izloženost), gornja granica određuje se na razini vrijednosti izloženosti.</w:t>
            </w:r>
          </w:p>
        </w:tc>
      </w:tr>
      <w:tr w:rsidR="00FB3D09" w:rsidRPr="002A677E" w14:paraId="4279348F" w14:textId="77777777" w:rsidTr="00822842">
        <w:tc>
          <w:tcPr>
            <w:tcW w:w="1188" w:type="dxa"/>
          </w:tcPr>
          <w:p w14:paraId="777BC73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</w:tcPr>
          <w:p w14:paraId="629601A3" w14:textId="77777777" w:rsidR="00FB3D09" w:rsidRPr="002A677E" w:rsidRDefault="00FB3D09" w:rsidP="00822842">
            <w:pPr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JAMSTVA:</w:t>
            </w:r>
          </w:p>
          <w:p w14:paraId="2FC9ABD9" w14:textId="7C572507" w:rsidR="00FB3D09" w:rsidRPr="00E01F19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iznosi izloženosti ponderirani rizikom izračunavaju primjenom metode supstitucije u skladu s poglavljem 4. Uredbe (EU) br. 575/2013 (članak 108. stavak 2.a druga rečenica, članak 183. stavak 1.a prva rečenica, druga mogućnost, članak 235.a, članak 236., članak 236.a), dostavlja se prilagođena vrijednost (G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A</w:t>
            </w:r>
            <w:r>
              <w:rPr>
                <w:sz w:val="24"/>
                <w:rFonts w:ascii="Times New Roman" w:hAnsi="Times New Roman"/>
              </w:rPr>
              <w:t xml:space="preserve">) kako je definirana u članku 235.a stavku 1. Uredbe (EU) br. 575/2013.</w:t>
            </w:r>
          </w:p>
          <w:p w14:paraId="66D2714E" w14:textId="77777777" w:rsidR="00FB3D09" w:rsidRPr="00E01F19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primjenjuju vlastite procjene LGD-a u skladu s člankom 183. Uredbe (EU) br. 575/2013 (osim stavka 3.), iskazuje se relevantna vrijednost korištena u internom modelu.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F837DAE" w14:textId="6FB660DD" w:rsidR="00FB3D09" w:rsidRPr="002A677E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primjenjuje pristup modeliranja prilagodbe PD-a/LGD-a u skladu s člankom 108. stavkom 2.a prvom rečenicom i člankom 183. stavkom 1.a, a prilagodba se provodi u LGD-u, iznos jamstva iskazuje se u stupcu 0150.</w:t>
            </w:r>
          </w:p>
        </w:tc>
      </w:tr>
      <w:tr w:rsidR="00FB3D09" w:rsidRPr="002A677E" w14:paraId="10449AF9" w14:textId="77777777" w:rsidTr="00822842">
        <w:tc>
          <w:tcPr>
            <w:tcW w:w="1188" w:type="dxa"/>
          </w:tcPr>
          <w:p w14:paraId="3EE21C3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</w:tcPr>
          <w:p w14:paraId="0360D0F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KREDITNE IZVEDENICE:</w:t>
            </w:r>
          </w:p>
          <w:p w14:paraId="244ABC5F" w14:textId="381DD996" w:rsidR="00FB3D09" w:rsidRPr="002A677E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iznosi izloženosti ponderirani rizikom izračunavaju primjenom metode supstitucije (članak 108. stavak 2.a druga rečenica, članak 183. stavak 1.a prva rečenica, druga mogućnost, članak 235.a, članak 236. i članak 236.a Uredbe (EU) br. 575/2013), navodi se prilagođena vrijednost (GA) kako je definirana u članku 235.a stavku 1. Uredbe (EU) br. 575/2013.</w:t>
            </w:r>
          </w:p>
          <w:p w14:paraId="4A934ED8" w14:textId="104690E2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primjenjuje pristup modeliranja prilagodbe PD-a/LGD-a u skladu s člankom 108. stavkom 2.a prvom rečenicom, člankom 183. stavkom 1.a prvom rečenicom, prvom mogućnosti, i člankom 183. stavkom 3. Uredbe (EU) br. 575/2013, a prilagodba se provodi u LGD-u, iznos kreditnih izvedenica iskazuje se u stupcu 0160.</w:t>
            </w:r>
            <w:r>
              <w:rPr>
                <w:sz w:val="24"/>
                <w:color w:val="008080"/>
                <w:u w:val="single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Iskazuje se relevantna vrijednost korištena u internom modeliranju.</w:t>
            </w:r>
          </w:p>
        </w:tc>
      </w:tr>
      <w:tr w:rsidR="00FB3D09" w:rsidRPr="002A677E" w14:paraId="62414089" w14:textId="77777777" w:rsidTr="00822842">
        <w:tc>
          <w:tcPr>
            <w:tcW w:w="1188" w:type="dxa"/>
          </w:tcPr>
          <w:p w14:paraId="32FA088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</w:tcPr>
          <w:p w14:paraId="3D25836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OSTALA MATERIJALNA KREDITNA ZAŠTITA</w:t>
            </w:r>
          </w:p>
          <w:p w14:paraId="632FAD69" w14:textId="77777777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ne primjenjuju vlastite procjene LGD-a, primjenjuje se članak 232. stavak 1. Uredbe (EU) br. 575/2013.</w:t>
            </w:r>
          </w:p>
          <w:p w14:paraId="371C738E" w14:textId="77777777" w:rsidR="00FB3D09" w:rsidRPr="000059B8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iznosi izloženosti ponderirani rizikom izračunavaju primjenom metode supstitucije (članak 108. stavak 2.a druga rečenica, članak 183. stavak 1.a, prva rečenica, druga mogućnost, članak 235.a i članak 236. Uredbe (EU) br. 575/2013), navodi se prilagođena vrijednost (GA) kako je definirana u članku 235.a stavku 1. Uredbe (EU) br. 575/2013.</w:t>
            </w:r>
          </w:p>
          <w:p w14:paraId="5989E354" w14:textId="7E30FA86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Gornja vrijednost izloženosti ograničava se na vrijednost originalne izloženosti prije primjene konverzijskih faktora.</w:t>
            </w:r>
          </w:p>
          <w:p w14:paraId="74A46846" w14:textId="29D167DC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je izvršena prilagodba LGD-a u skladu s člankom 181. Uredbe (EU) br. 575/2013, taj se iznos iskazuje u stupcu 0170.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6C40B204" w14:textId="77777777" w:rsidTr="00822842">
        <w:tc>
          <w:tcPr>
            <w:tcW w:w="1188" w:type="dxa"/>
          </w:tcPr>
          <w:p w14:paraId="7C55B26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0070-0080</w:t>
            </w:r>
          </w:p>
        </w:tc>
        <w:tc>
          <w:tcPr>
            <w:tcW w:w="8843" w:type="dxa"/>
          </w:tcPr>
          <w:p w14:paraId="7EA9925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ZAMJENA IZLOŽENOSTI ZBOG SMANJENJA KREDITNOG RIZIKA</w:t>
            </w:r>
          </w:p>
          <w:p w14:paraId="4A614404" w14:textId="0D3BCE2F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Odljevi odgovaraju pokrivenom dijelu originalne izloženosti prije primjene konverzijskih faktora, koji je odbijen od kategorije izloženosti dužnika i, prema potrebi, rejting-kategorije dužnika ili skupa izloženosti te naknadno raspoređen u kategoriju izloženosti pružatelja zaštite i, ako je relevantno, rejting-kategoriju dužnika ili skup izloženosti.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Taj se iznos smatra priljevom u kategoriju izloženosti pružatelja zaštite i, ako je relevantno, rejting-kategorije dužnika ili skupove izloženosti.</w:t>
            </w:r>
          </w:p>
          <w:p w14:paraId="107B30E3" w14:textId="77777777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obzir se uzimaju i priljevi i odljevi u istoj kategoriji izloženosti i, ako je relevantno, rejting-kategorijama dužnika ili skupovima izloženosti.</w:t>
            </w:r>
          </w:p>
          <w:p w14:paraId="610F295D" w14:textId="77777777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koje proizlaze iz mogućih priljeva i odljeva iz drugih obrazaca i u druge obrasce uzimaju se u obzir.</w:t>
            </w:r>
          </w:p>
          <w:p w14:paraId="1DB2B7C5" w14:textId="3BA23E22" w:rsidR="00FB3D09" w:rsidRPr="002A677E" w:rsidRDefault="00FB3D09" w:rsidP="00822842"/>
        </w:tc>
      </w:tr>
      <w:tr w:rsidR="00FB3D09" w:rsidRPr="002A677E" w14:paraId="29952085" w14:textId="77777777" w:rsidTr="00822842">
        <w:tc>
          <w:tcPr>
            <w:tcW w:w="1188" w:type="dxa"/>
          </w:tcPr>
          <w:p w14:paraId="08FA3F2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355DD8B" w14:textId="77777777" w:rsidR="00FB3D09" w:rsidRPr="002A677E" w:rsidRDefault="00FB3D09" w:rsidP="00822842">
            <w:r>
              <w:br/>
            </w:r>
          </w:p>
          <w:p w14:paraId="1020C237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</w:tcPr>
          <w:p w14:paraId="53C76B9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IZLOŽENOST NAKON PRIMJENE TEHNIKA SMANJENJA KREDITNOG RIZIKA S UČINKOM ZAMJENE, A PRIJE PRIMJENE KONVERZIJSKIH FAKTORA</w:t>
            </w:r>
          </w:p>
          <w:p w14:paraId="2477F8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 raspoređena u odgovarajuću rejting-kategoriju dužnika ili skup izloženosti i kategoriju izloženosti nakon uzimanja u obzir odljeva i priljeva zbog tehnika smanjenja rizika s učincima zamjene na izloženost.</w:t>
            </w:r>
          </w:p>
        </w:tc>
      </w:tr>
      <w:tr w:rsidR="00FB3D09" w:rsidRPr="002A677E" w14:paraId="678E16FA" w14:textId="77777777" w:rsidTr="00822842">
        <w:tc>
          <w:tcPr>
            <w:tcW w:w="1188" w:type="dxa"/>
          </w:tcPr>
          <w:p w14:paraId="590D5D4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0100, 0120</w:t>
            </w:r>
          </w:p>
        </w:tc>
        <w:tc>
          <w:tcPr>
            <w:tcW w:w="8843" w:type="dxa"/>
          </w:tcPr>
          <w:p w14:paraId="70C0CAF4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izvanbilančne stavke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2F36E22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CR-SA</w:t>
            </w:r>
          </w:p>
        </w:tc>
      </w:tr>
      <w:tr w:rsidR="00FB3D09" w:rsidRPr="002A677E" w14:paraId="00A4DCE6" w14:textId="77777777" w:rsidTr="00822842">
        <w:tc>
          <w:tcPr>
            <w:tcW w:w="1188" w:type="dxa"/>
          </w:tcPr>
          <w:p w14:paraId="511472D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0101-0107</w:t>
            </w:r>
          </w:p>
        </w:tc>
        <w:tc>
          <w:tcPr>
            <w:tcW w:w="8843" w:type="dxa"/>
          </w:tcPr>
          <w:p w14:paraId="1886DC9B" w14:textId="77777777" w:rsidR="00FB3D09" w:rsidRPr="00B7761D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RAŠČLAMBA POTPUNO PRILAGOĐENE VRIJEDNOSTI IZLOŽENOSTI IZVANBILANČNIH STAVKI PREMA KONVERZIJSKIM FAKTORIMA</w:t>
            </w:r>
          </w:p>
          <w:p w14:paraId="08C9DDC2" w14:textId="77777777" w:rsidR="00FB3D09" w:rsidRPr="002A677E" w:rsidRDefault="00FB3D09" w:rsidP="00822842">
            <w:pPr>
              <w:pStyle w:val="InstructionsText"/>
            </w:pPr>
            <w:r>
              <w:t xml:space="preserve">Članak 166. stavak 8. u skladu sa stavcima 8.a i 8.b i članak 151. stavak 8. Uredbe (EU) br. 575/2013.</w:t>
            </w:r>
          </w:p>
          <w:p w14:paraId="434D1ED6" w14:textId="77777777" w:rsidR="00FB3D09" w:rsidRPr="00E438EB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Vrijednosti koje se iskazuju jesu potpuno prilagođene vrijednosti izloženosti prije primjene konverzijskog faktora.</w:t>
            </w:r>
          </w:p>
        </w:tc>
      </w:tr>
      <w:tr w:rsidR="00FB3D09" w:rsidRPr="002A677E" w14:paraId="56ED3146" w14:textId="77777777" w:rsidTr="00822842">
        <w:tc>
          <w:tcPr>
            <w:tcW w:w="1188" w:type="dxa"/>
          </w:tcPr>
          <w:p w14:paraId="4FBB1F46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0101</w:t>
            </w:r>
          </w:p>
        </w:tc>
        <w:tc>
          <w:tcPr>
            <w:tcW w:w="8843" w:type="dxa"/>
          </w:tcPr>
          <w:p w14:paraId="58AB915A" w14:textId="77777777" w:rsidR="00FB3D09" w:rsidRPr="00B7761D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MODELIRANI KONVERZIJSKI FAKTORI</w:t>
            </w:r>
          </w:p>
          <w:p w14:paraId="48F41598" w14:textId="77777777" w:rsidR="00FB3D09" w:rsidRPr="00E438EB" w:rsidRDefault="00FB3D09" w:rsidP="00822842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t xml:space="preserve">Članak 166. stavci 8.b i 8.c i članak 182. Uredbe (EU) br. 575/2013.</w:t>
            </w:r>
          </w:p>
        </w:tc>
      </w:tr>
      <w:tr w:rsidR="00FB3D09" w:rsidRPr="002A677E" w14:paraId="723ED349" w14:textId="77777777" w:rsidTr="00822842">
        <w:tc>
          <w:tcPr>
            <w:tcW w:w="1188" w:type="dxa"/>
          </w:tcPr>
          <w:p w14:paraId="64882817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0102-0107</w:t>
            </w:r>
          </w:p>
        </w:tc>
        <w:tc>
          <w:tcPr>
            <w:tcW w:w="8843" w:type="dxa"/>
          </w:tcPr>
          <w:p w14:paraId="5676D624" w14:textId="77777777" w:rsidR="00FB3D09" w:rsidRPr="00B7761D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STANDARDNI KONVERZIJSKI FAKTORI</w:t>
            </w:r>
          </w:p>
          <w:p w14:paraId="2802107A" w14:textId="77777777" w:rsidR="00FB3D09" w:rsidRPr="00433E67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166. stavak 8.a Uredbe (EU) br. 575/2013.</w:t>
            </w:r>
          </w:p>
        </w:tc>
      </w:tr>
      <w:tr w:rsidR="00FB3D09" w:rsidRPr="002A677E" w14:paraId="72A515B8" w14:textId="77777777" w:rsidTr="00822842">
        <w:tc>
          <w:tcPr>
            <w:tcW w:w="1188" w:type="dxa"/>
          </w:tcPr>
          <w:p w14:paraId="6F3C95D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</w:tcPr>
          <w:p w14:paraId="024D894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IZLOŽENOSTI</w:t>
            </w:r>
          </w:p>
          <w:p w14:paraId="7397AAA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Iskazuju se vrijednosti izloženosti određene u skladu s člankom 166. Uredbe (EU) br. 575/2013 i člankom 230. stavkom 1. drugom rečenicom te uredbe.</w:t>
            </w:r>
          </w:p>
          <w:p w14:paraId="1C7B98CD" w14:textId="775FF974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instrumente iz Priloga I. primjenjuju se kreditni konverzijski faktori i postotci u skladu s člankom 166. stavcima 8. i 9. Uredbe (EU) br. 575/2013, bez obzira na pristup koji je institucija odabrala.</w:t>
            </w:r>
          </w:p>
          <w:p w14:paraId="4CA1B4E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Vrijednosti izloženosti za izloženosti kreditnom riziku druge ugovorne strane jednake su onima iskazanima u stupcu 0130.</w:t>
            </w:r>
          </w:p>
        </w:tc>
      </w:tr>
      <w:tr w:rsidR="00FB3D09" w:rsidRPr="002A677E" w14:paraId="7E1EABB6" w14:textId="77777777" w:rsidTr="00822842">
        <w:tc>
          <w:tcPr>
            <w:tcW w:w="1188" w:type="dxa"/>
          </w:tcPr>
          <w:p w14:paraId="423F28F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843" w:type="dxa"/>
          </w:tcPr>
          <w:p w14:paraId="0C131540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 kreditnog rizika druge ugovorne strane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322EE5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odgovarajuće upute za obrazac CR SA u stupcu 0210.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5236CDCC" w14:textId="77777777" w:rsidTr="00822842">
        <w:tc>
          <w:tcPr>
            <w:tcW w:w="1188" w:type="dxa"/>
          </w:tcPr>
          <w:p w14:paraId="79AE6E1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843" w:type="dxa"/>
          </w:tcPr>
          <w:p w14:paraId="33C21D5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VELIKI SUBJEKTI FINANCIJSKOG SEKTORA I NEREGULIRANI FINANCIJSKI SUBJEKTI</w:t>
            </w:r>
          </w:p>
          <w:p w14:paraId="38EC098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Raščlamba vrijednosti izloženosti za sve izloženosti prema subjektima iz članka 142. stavka 1. točaka 4. i 5. Uredbe (EU) br. 575/2013 na koje se primjenjuje viši koeficijent korelacije određen u skladu s člankom 153. stavkom 2. te uredbe.</w:t>
            </w:r>
          </w:p>
        </w:tc>
      </w:tr>
      <w:tr w:rsidR="00FB3D09" w:rsidRPr="002A677E" w14:paraId="5C3F07BE" w14:textId="77777777" w:rsidTr="00822842">
        <w:trPr>
          <w:trHeight w:val="708"/>
        </w:trPr>
        <w:tc>
          <w:tcPr>
            <w:tcW w:w="1188" w:type="dxa"/>
          </w:tcPr>
          <w:p w14:paraId="1B81DCB5" w14:textId="77777777" w:rsidR="00FB3D09" w:rsidRPr="002A677E" w:rsidDel="001D4BE0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0150-0210</w:t>
            </w:r>
          </w:p>
        </w:tc>
        <w:tc>
          <w:tcPr>
            <w:tcW w:w="8843" w:type="dxa"/>
          </w:tcPr>
          <w:p w14:paraId="5FFCDE2C" w14:textId="37F1BD92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TEHNIKE SMANJENJA KREDITNOG RIZIKA UZETE U OBZIR U PROCJENAMA LGD-A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2E436B3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Tehnike smanjenja kreditnog rizika koje utječu na procjene LGD-a kao rezultat primjene učinka zamjene tehnika smanjenja kreditnog rizika ne uključuju se u ovim stupcima.</w:t>
            </w:r>
          </w:p>
          <w:p w14:paraId="0813160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Vrijednosti iskazanih kolaterala ograničavaju se na vrijednost izloženosti.</w:t>
            </w:r>
          </w:p>
          <w:p w14:paraId="5F41737F" w14:textId="02BF2E74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ne primjenjuju vlastite procjene LGD-a, uzimaju se u obzir članak 230. stavci 1., 2. i 4. i članak 231 Uredbe (EU) br. 575/2013.</w:t>
            </w:r>
          </w:p>
          <w:p w14:paraId="6CF8B54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primjenjuju vlastite procjene LGD-a: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C4E5F4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u pogledu nematerijalne kreditne zaštite, za izloženosti prema središnjoj državi i središnjim bankama, institucijama i trgovačkim društvima, uzima se u obzir članak 161. stavak 3.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izloženosti prema stanovništvu uzima se u obzir članak 164. stavak 2. Uredbe (EU) br. 575/2013.</w:t>
            </w:r>
          </w:p>
          <w:p w14:paraId="05A9C033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u pogledu materijalne kreditne zaštite, u procjenama LGD-a uzima se u obzir kolateral u skladu s člankom 181. stavkom 1. točkama (e) i (f) Uredbe (EU) br. 575/2013.</w:t>
            </w:r>
          </w:p>
        </w:tc>
      </w:tr>
      <w:tr w:rsidR="00FB3D09" w:rsidRPr="002A677E" w14:paraId="4CC8BF71" w14:textId="77777777" w:rsidTr="00822842">
        <w:trPr>
          <w:trHeight w:val="957"/>
        </w:trPr>
        <w:tc>
          <w:tcPr>
            <w:tcW w:w="1188" w:type="dxa"/>
          </w:tcPr>
          <w:p w14:paraId="7918EC1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843" w:type="dxa"/>
          </w:tcPr>
          <w:p w14:paraId="4C26606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JAMSTVA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74C7F9E" w14:textId="77777777" w:rsidR="00FB3D09" w:rsidRPr="002A677E" w:rsidRDefault="00FB3D09" w:rsidP="00822842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stupac 0040.</w:t>
            </w:r>
          </w:p>
        </w:tc>
      </w:tr>
      <w:tr w:rsidR="00FB3D09" w:rsidRPr="002A677E" w14:paraId="052C8B55" w14:textId="77777777" w:rsidTr="00822842">
        <w:tc>
          <w:tcPr>
            <w:tcW w:w="1188" w:type="dxa"/>
          </w:tcPr>
          <w:p w14:paraId="4C65336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843" w:type="dxa"/>
          </w:tcPr>
          <w:p w14:paraId="61710E9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KREDITNE IZVEDENICE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948B3F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stupac 0050.</w:t>
            </w:r>
          </w:p>
        </w:tc>
      </w:tr>
      <w:tr w:rsidR="00FB3D09" w14:paraId="66ECA0F4" w14:textId="77777777" w:rsidTr="00822842">
        <w:trPr>
          <w:trHeight w:val="300"/>
        </w:trPr>
        <w:tc>
          <w:tcPr>
            <w:tcW w:w="1188" w:type="dxa"/>
          </w:tcPr>
          <w:p w14:paraId="18EA00BE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0170-0210</w:t>
            </w:r>
          </w:p>
        </w:tc>
        <w:tc>
          <w:tcPr>
            <w:tcW w:w="8843" w:type="dxa"/>
          </w:tcPr>
          <w:p w14:paraId="642B29BA" w14:textId="77777777" w:rsidR="00FB3D09" w:rsidRDefault="00FB3D09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MATERIJALNA KREDITNA ZAŠTITA</w:t>
            </w:r>
          </w:p>
        </w:tc>
      </w:tr>
      <w:tr w:rsidR="00FB3D09" w:rsidRPr="002A677E" w14:paraId="4AF255C0" w14:textId="77777777" w:rsidTr="00822842">
        <w:tc>
          <w:tcPr>
            <w:tcW w:w="1188" w:type="dxa"/>
          </w:tcPr>
          <w:p w14:paraId="1EE7AF6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0170-0173</w:t>
            </w:r>
          </w:p>
        </w:tc>
        <w:tc>
          <w:tcPr>
            <w:tcW w:w="8843" w:type="dxa"/>
          </w:tcPr>
          <w:p w14:paraId="3941829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KORISTE SE VLASTITE PROCJENE LGD-a: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OSTALA MATERIJALNA KREDITNA ZAŠTITA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13C028C" w14:textId="77777777" w:rsidR="00FB3D09" w:rsidRPr="000059B8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Članci 181. točke e) i f) Uredbe (EU) br. 575/2013</w:t>
            </w:r>
          </w:p>
          <w:p w14:paraId="163A7BF8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Relevantna vrijednosti korištena u internim modelima institucije.</w:t>
            </w:r>
          </w:p>
          <w:p w14:paraId="5CB29B0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Faktori smanjenja kreditnog rizika koji ispunjavaju kriterije iz članka 212.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75F84050" w14:textId="77777777" w:rsidTr="00822842">
        <w:tc>
          <w:tcPr>
            <w:tcW w:w="1188" w:type="dxa"/>
          </w:tcPr>
          <w:p w14:paraId="4DD08A6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0171</w:t>
            </w:r>
          </w:p>
        </w:tc>
        <w:tc>
          <w:tcPr>
            <w:tcW w:w="8843" w:type="dxa"/>
          </w:tcPr>
          <w:p w14:paraId="545A819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GOTOVINSKI POLOG</w:t>
            </w:r>
          </w:p>
          <w:p w14:paraId="2F2A2E1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200. točka (a)</w:t>
            </w:r>
            <w:r>
              <w:rPr>
                <w:sz w:val="24"/>
                <w:rFonts w:ascii="Times New Roman" w:hAnsi="Times New Roman"/>
              </w:rPr>
              <w:t xml:space="preserve"> Uredbe (EU) br.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037C11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Gotovinski polozi kod treće institucije ili instrumenti koji se mogu smatrati novcem koje treća institucija drži u neskrbničkom odnosu i koji su dani kao zalog instituciji kreditoru.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Vrijednost iskazanog kolaterala ograničava se na vrijednost izloženosti na razini pojedinačne izloženosti.</w:t>
            </w:r>
          </w:p>
        </w:tc>
      </w:tr>
      <w:tr w:rsidR="00FB3D09" w:rsidRPr="002A677E" w14:paraId="6605DFE4" w14:textId="77777777" w:rsidTr="00822842">
        <w:tc>
          <w:tcPr>
            <w:tcW w:w="1188" w:type="dxa"/>
          </w:tcPr>
          <w:p w14:paraId="4FC8218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0172</w:t>
            </w:r>
          </w:p>
        </w:tc>
        <w:tc>
          <w:tcPr>
            <w:tcW w:w="8843" w:type="dxa"/>
          </w:tcPr>
          <w:p w14:paraId="4BBBA9B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POLICE ŽIVOTNOG OSIGURANJA</w:t>
            </w:r>
          </w:p>
          <w:p w14:paraId="796996C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200. točka (b)</w:t>
            </w:r>
            <w:r>
              <w:rPr>
                <w:sz w:val="24"/>
                <w:rFonts w:ascii="Times New Roman" w:hAnsi="Times New Roman"/>
              </w:rPr>
              <w:t xml:space="preserve"> Uredbe (EU) br.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2C977C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iskazanog kolaterala ograničava se na vrijednost izloženosti na razini pojedinačne izloženosti.</w:t>
            </w:r>
          </w:p>
        </w:tc>
      </w:tr>
      <w:tr w:rsidR="00FB3D09" w:rsidRPr="002A677E" w14:paraId="12F298DE" w14:textId="77777777" w:rsidTr="00822842">
        <w:tc>
          <w:tcPr>
            <w:tcW w:w="1188" w:type="dxa"/>
          </w:tcPr>
          <w:p w14:paraId="0A6B27A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0173</w:t>
            </w:r>
          </w:p>
        </w:tc>
        <w:tc>
          <w:tcPr>
            <w:tcW w:w="8843" w:type="dxa"/>
          </w:tcPr>
          <w:p w14:paraId="4BDD659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INSTRUMENTI KOJE DRŽI TREĆA STRANA</w:t>
            </w:r>
          </w:p>
          <w:p w14:paraId="078E707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200. točka (c) Uredbe (EU) br.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E7CC08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Obuhvaća instrumente izdane od treće institucije koje će na zahtjev otkupiti ta institucija.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Vrijednost iskazanog kolaterala ograničava se na vrijednost izloženosti na razini pojedinačne izloženosti.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ovaj se stupac ne uključuju izloženosti pokrivene instrumentima koje drži treća strana ako, u skladu s člankom 232. stavkom 4. Uredbe (EU) br. 575/2013, institucije instrumente koji će na zahtjev biti otkupljeni i mogu se priznati na temelju članka 200. točke (c) te uredbe tretira kao jamstvo institucije koja ih je izdala.</w:t>
            </w:r>
          </w:p>
        </w:tc>
      </w:tr>
      <w:tr w:rsidR="00FB3D09" w:rsidRPr="002A677E" w14:paraId="7F635CD0" w14:textId="77777777" w:rsidTr="00822842">
        <w:tc>
          <w:tcPr>
            <w:tcW w:w="1188" w:type="dxa"/>
          </w:tcPr>
          <w:p w14:paraId="7FDF3B8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843" w:type="dxa"/>
          </w:tcPr>
          <w:p w14:paraId="31FAF9A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PRIZNATI FINANCIJSKI KOLATERAL</w:t>
            </w:r>
          </w:p>
          <w:p w14:paraId="0447D58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poslove iz knjige trgovanja uključuju se financijski instrumenti i roba prihvatljivi za izloženosti iz knjige trgovanja u skladu s člankom 299. stavkom 2. točkama od (c) do (f)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Kreditni zapisi i bilančno netiranje u skladu s dijelom trećim glavom II. poglavljem 4. odjeljkom 4. Uredbe (EU) br. 575/2013 tretiraju se kao gotovinski kolateral.</w:t>
            </w:r>
          </w:p>
          <w:p w14:paraId="52D78AC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ne primjenjuju vlastite procjene LGD-a, za financijski kolateral koji se može priznati u skladu s člankom 197. Uredbe (EU) br. 575/2013 iskazuje se korigirana vrijednost (Cvam) kako je utvrđena u članku 223. stavku 2. te uredbe.</w:t>
            </w:r>
          </w:p>
          <w:p w14:paraId="31F42CB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primjenjuju vlastite procjene LGD-a, u procjenama LGD-a uzima se u obzir financijski kolateral u skladu s člankom 181. stavkom 1. točkama (e) i (f)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Iznos koji se iskazuje procijenjena je tržišna vrijednost kolaterala.</w:t>
            </w:r>
          </w:p>
        </w:tc>
      </w:tr>
      <w:tr w:rsidR="00FB3D09" w:rsidRPr="002A677E" w14:paraId="175F5CB2" w14:textId="77777777" w:rsidTr="00822842">
        <w:tc>
          <w:tcPr>
            <w:tcW w:w="1188" w:type="dxa"/>
          </w:tcPr>
          <w:p w14:paraId="21EC8197" w14:textId="77777777" w:rsidR="00FB3D09" w:rsidRPr="002A677E" w:rsidDel="001D4BE0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0190-0210</w:t>
            </w:r>
          </w:p>
        </w:tc>
        <w:tc>
          <w:tcPr>
            <w:tcW w:w="8843" w:type="dxa"/>
          </w:tcPr>
          <w:p w14:paraId="0934323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OSTALI PRIZNATI KOLATERAL</w:t>
            </w:r>
          </w:p>
          <w:p w14:paraId="3277DA0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ne primjenjuju vlastite procjene LGD-a, vrijednosti se utvrđuju u skladu s člankom 199. stavcima od 1. do 8. Uredbe (EU) br. 575/2013 i člankom 229. te uredbe.</w:t>
            </w:r>
          </w:p>
          <w:p w14:paraId="3AF3004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primjenjuju vlastite procjene LGD-a, u procjenama LGD-a uzimaju se u obzir drugi kolaterali u skladu s člankom 181. stavkom 1. točkama (e) i (f) Uredbe (EU) br. 575/2013.</w:t>
            </w:r>
          </w:p>
        </w:tc>
      </w:tr>
      <w:tr w:rsidR="00FB3D09" w:rsidRPr="002A677E" w14:paraId="57654874" w14:textId="77777777" w:rsidTr="00822842">
        <w:tc>
          <w:tcPr>
            <w:tcW w:w="1188" w:type="dxa"/>
          </w:tcPr>
          <w:p w14:paraId="4073E085" w14:textId="77777777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843" w:type="dxa"/>
          </w:tcPr>
          <w:p w14:paraId="38792F93" w14:textId="77777777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NEKRETNINA</w:t>
            </w:r>
          </w:p>
          <w:p w14:paraId="1C22EB67" w14:textId="7B65D474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ne primjenjuju vlastite procjene LGD-a, vrijednosti se utvrđuju u skladu s člankom 199. stavcima od 2. do 4.a Uredbe (EU) br. 575/2013 i iskazuju u ovom stupcu.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Uključuje se i najam nekretnine (vidjeti članak 199. stavak 7. Uredbe (EU) br. 575/2013).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Vidjeti i članak 229. Uredbe (EU) br. 575/2013.</w:t>
            </w:r>
          </w:p>
          <w:p w14:paraId="02AD8F76" w14:textId="77777777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primjenjuju vlastite procjene LGD-a, iznos koji se iskazuje procijenjena je tržišna vrijednost.</w:t>
            </w:r>
          </w:p>
        </w:tc>
      </w:tr>
      <w:tr w:rsidR="00FB3D09" w:rsidRPr="002A677E" w14:paraId="5A77D1F7" w14:textId="77777777" w:rsidTr="00822842">
        <w:tc>
          <w:tcPr>
            <w:tcW w:w="1188" w:type="dxa"/>
          </w:tcPr>
          <w:p w14:paraId="639978E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843" w:type="dxa"/>
          </w:tcPr>
          <w:p w14:paraId="11BF78C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KOLATERAL U OBLIKU OSTALE MATERIJALNE IMOVINE</w:t>
            </w:r>
          </w:p>
          <w:p w14:paraId="79893BB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ne primjenjuju vlastite procjene LGD-a, vrijednosti se utvrđuju u skladu s člankom 199. stavcima 6. i 8. Uredbe (EU) br. 575/2013 i iskazuju u ovom stupcu.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Uključuje se i najam nekretnine (vidjeti članak 199. stavak 7. Uredbe (EU) br. 575/2013).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Vidjeti i članak 229. stavak 3. Uredbe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0C5AC83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primjenjuju vlastite procjene LGD-a, iznos koji se iskazuje procijenjena je tržišna vrijednost kolaterala.</w:t>
            </w:r>
          </w:p>
        </w:tc>
      </w:tr>
      <w:tr w:rsidR="00FB3D09" w:rsidRPr="002A677E" w14:paraId="6B2A20B1" w14:textId="77777777" w:rsidTr="00822842">
        <w:tc>
          <w:tcPr>
            <w:tcW w:w="1188" w:type="dxa"/>
          </w:tcPr>
          <w:p w14:paraId="41BEC94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843" w:type="dxa"/>
          </w:tcPr>
          <w:p w14:paraId="4F3D36E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POTRAŽIVANJA</w:t>
            </w:r>
          </w:p>
          <w:p w14:paraId="7A705B5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ne primjenjuju vlastite procjene LGD-a, vrijednosti se utvrđuju u skladu s člankom 199. stavkom 5. i člankom 229. stavkom 2. Uredbe (EU) br. 575/2013 i iskazuju u ovom stupcu.</w:t>
            </w:r>
          </w:p>
          <w:p w14:paraId="436DED0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primjenjuju vlastite procjene LGD-a, iznos koji se iskazuje procijenjena je tržišna vrijednost kolaterala.</w:t>
            </w:r>
          </w:p>
        </w:tc>
      </w:tr>
      <w:tr w:rsidR="00FB3D09" w:rsidRPr="002A677E" w14:paraId="60E8AC07" w14:textId="77777777" w:rsidTr="00822842">
        <w:tc>
          <w:tcPr>
            <w:tcW w:w="1188" w:type="dxa"/>
          </w:tcPr>
          <w:p w14:paraId="5D57504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843" w:type="dxa"/>
          </w:tcPr>
          <w:p w14:paraId="79AFFD3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PROSJEČNI LGD PONDERIRAN VISINOM IZLOŽENOSTI (%)</w:t>
            </w:r>
          </w:p>
          <w:p w14:paraId="6F9170F4" w14:textId="5D91644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obzir se uzima ukupni učinak tehnika smanjenja kreditnog rizika na vrijednosti LGD-a kako je određeno u dijelu trećem glavi II. poglavljima 3. i 4.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9A7425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izloženosti u statusu neispunjavanja obveza uzima se u obzir članak 181. stavak 1. točka (h) Uredbe (EU) br. 575/2013.</w:t>
            </w:r>
          </w:p>
          <w:p w14:paraId="60A8EDA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izloženosti iz stupca 0110 koristi se za izračun izloženošću ponderiranih prosjeka.</w:t>
            </w:r>
          </w:p>
          <w:p w14:paraId="4BB1142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Uzimaju se u obzir svi učinci (tako se da učinci donje granice koja se primjenjuje na izloženosti osigurane nekretninama u skladu s člankom 164. stavkom 4. Uredbe (EU) br. 575/2013 uključe u izvješćivanje).</w:t>
            </w:r>
          </w:p>
          <w:p w14:paraId="635EEDC3" w14:textId="2DC0DF92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institucije koje primjenjuju IRB pristup, ali ne primjenjuju vlastite procjene LGD-a, učinci smanjenja rizika financijskog kolaterala odražavaju se u E*, potpuno prilagođenoj vrijednosti izloženosti, a zatim u LGD* kako je navedeno u članku 230. Uredbe (EU) br. 575/2013.</w:t>
            </w:r>
          </w:p>
          <w:p w14:paraId="4BD44AA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Prosječni LGD ponderiran visinom izloženosti povezan sa svakim PD-om raspoređenim u „rejting-kategoriju dužnika ili skup izloženosti” proizlazi iz prosjeka bonitetnih LGD-ova raspoređenih u izloženosti tog PD-a raspoređenog u rejting-kategoriju/skup, ponderiranih odgovarajućom vrijednosti izloženosti iz stupca 0110.</w:t>
            </w:r>
          </w:p>
          <w:p w14:paraId="2A3FAE7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se ne primjenjuju vlastite procjene LGD-a, uzimaju se u obzir članak 175. i članak 181. stavci 1. i 2. Uredbe (EU) br. 575/2013.</w:t>
            </w:r>
          </w:p>
          <w:p w14:paraId="0DF969B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Izračun prosječnog LGD-a ponderiranog visinom izloženosti proizlazi iz parametara koji su stvarno upotrijebljeni u internoj rejting-skali koju je odobrilo odgovarajuće nadležno tijelo.</w:t>
            </w:r>
          </w:p>
          <w:p w14:paraId="345A6D2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Podaci se ne iskazuju za izloženosti u obliku specijaliziranog financiranja iz članka 153. stavka 5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Ako se PD procjenjuje za izloženosti u obliku specijaliziranog financiranja, podaci se temelje na vlastitim procjenama LGD-ova ili regulatornih LGD-ova.</w:t>
            </w:r>
          </w:p>
          <w:p w14:paraId="0C1A1D7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i odgovarajući LGD-ovi za velike regulirane subjekte financijskog sektora i neregulirane financijske subjekte ne uključuju se u izračun stupca 0230, nego se uključuju samo u izračun stupca 0240.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6B45F6BD" w14:textId="77777777" w:rsidTr="00822842">
        <w:tc>
          <w:tcPr>
            <w:tcW w:w="1188" w:type="dxa"/>
          </w:tcPr>
          <w:p w14:paraId="591C6D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843" w:type="dxa"/>
          </w:tcPr>
          <w:p w14:paraId="32B1C75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PROSJEČNI LGD PONDERIRAN VISINOM IZLOŽENOSTI (%) ZA VELIKE SUBJEKTE FINANCIJSKOG SEKTORA I NEREGULIRANE FINANCIJSKE SUBJEKTE</w:t>
            </w:r>
          </w:p>
          <w:p w14:paraId="6939D8F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Prosječni LGD ponderiran visinom izloženosti (%) za sve izloženosti prema velikim subjektima financijskog sektora kako su definirani u članku 142. stavku 1. točki 4. Uredbe (EU) br. 575/2013 i nereguliranim subjektima financijskog sektora kako su definirani u članku 142. stavku 1. točki 5. Uredbe (EU) br. 575/2013 na koje se primjenjuje viši koeficijent korelacije određen u skladu s člankom 153. stavkom 2. Uredbe (EU) br. 575/2013.</w:t>
            </w:r>
          </w:p>
        </w:tc>
      </w:tr>
      <w:tr w:rsidR="00FB3D09" w:rsidRPr="002A677E" w14:paraId="176E6206" w14:textId="77777777" w:rsidTr="00822842">
        <w:tc>
          <w:tcPr>
            <w:tcW w:w="1188" w:type="dxa"/>
          </w:tcPr>
          <w:p w14:paraId="76179D8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8843" w:type="dxa"/>
          </w:tcPr>
          <w:p w14:paraId="0303416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PROSJEČNO DOSPIJEĆE PONDERIRANO IZNOSOM IZLOŽENOSTI (U DANIMA)</w:t>
            </w:r>
          </w:p>
          <w:p w14:paraId="2EF0BB8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koja se iskazuje utvrđuje se u skladu s člankom 162. Uredbe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Vrijednost izloženosti (stupac 0110) koristi se za izračun izloženošću ponderiranih prosjeka.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Prosječno dospijeće iskazuje se u danima.</w:t>
            </w:r>
          </w:p>
          <w:p w14:paraId="6457CD5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 se podaci ne iskazuju za vrijednosti izloženosti za koje dospijeće nije element izračuna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iznosa izloženosti ponderiranih rizikom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To znači da se ovaj stupac ne ispunjava za kategoriju izloženosti „stanovništvo”.</w:t>
            </w:r>
          </w:p>
        </w:tc>
      </w:tr>
      <w:tr w:rsidR="00FB3D09" w:rsidRPr="002A677E" w14:paraId="713A30E1" w14:textId="77777777" w:rsidTr="00822842">
        <w:tc>
          <w:tcPr>
            <w:tcW w:w="1188" w:type="dxa"/>
          </w:tcPr>
          <w:p w14:paraId="00B32F9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0255</w:t>
            </w:r>
          </w:p>
        </w:tc>
        <w:tc>
          <w:tcPr>
            <w:tcW w:w="8843" w:type="dxa"/>
          </w:tcPr>
          <w:p w14:paraId="75364CA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PRIJE PRIMJENE POMOĆNIH FAKTORA</w:t>
            </w:r>
          </w:p>
          <w:p w14:paraId="3F28CDB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središnje države i središnje banke, trgovačka društva i institucije vidjeti članak 153. stavke 1., 2., 3. i 4.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stanovništvo vidjeti članak 154. stavak 1.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B679E8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Pomoćni faktori za MSP-ove i infrastrukturu iz članaka 501. i 501.a Uredbe (EU) br. 575/2013 ne uzimaju se u obzir.</w:t>
            </w:r>
          </w:p>
        </w:tc>
      </w:tr>
      <w:tr w:rsidR="00FB3D09" w:rsidRPr="002A677E" w14:paraId="00547464" w14:textId="77777777" w:rsidTr="00822842">
        <w:tc>
          <w:tcPr>
            <w:tcW w:w="1188" w:type="dxa"/>
          </w:tcPr>
          <w:p w14:paraId="607227A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0256</w:t>
            </w:r>
          </w:p>
        </w:tc>
        <w:tc>
          <w:tcPr>
            <w:tcW w:w="8843" w:type="dxa"/>
          </w:tcPr>
          <w:p w14:paraId="16679AD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(–)  USKLAĐENJE IZNOSA IZLOŽENOSTI PONDERIRANIH RIZIKOM ZBOG POMOĆNOG FAKTORA ZA MSP-OVE</w:t>
            </w:r>
          </w:p>
          <w:p w14:paraId="1FAB0E6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Odbitak razlike iznosa izloženosti ponderiranih rizikom (RWEA) za izloženosti prema MSP-ovima koje nisu u statusu neispunjavanja obveza, koji su izračunati u skladu s dijelom trećim glavom II. poglavljem 3. Uredbe (EU) br. 575/2013, prema potrebi i RWEA* u skladu s člankom 501. te uredbe.</w:t>
            </w:r>
          </w:p>
        </w:tc>
      </w:tr>
      <w:tr w:rsidR="00FB3D09" w:rsidRPr="002A677E" w14:paraId="601EC6CE" w14:textId="77777777" w:rsidTr="00822842">
        <w:tc>
          <w:tcPr>
            <w:tcW w:w="1188" w:type="dxa"/>
          </w:tcPr>
          <w:p w14:paraId="4301D42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0257</w:t>
            </w:r>
          </w:p>
        </w:tc>
        <w:tc>
          <w:tcPr>
            <w:tcW w:w="8843" w:type="dxa"/>
          </w:tcPr>
          <w:p w14:paraId="3835B6D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(–) USKLAĐENJE IZNOSA IZLOŽENOSTI PONDERIRANOG RIZIKOM ZBOG POMOĆNOG FAKTORA ZA INFRASTRUKTURU</w:t>
            </w:r>
          </w:p>
          <w:p w14:paraId="7FB50F7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Odbitak razlike iznosa izloženosti ponderiranih rizikom za izloženosti izračunate u skladu s dijelom trećim glavom II. Uredbe (EU) br. 575/2013 prilagođenog RWEA za kreditni rizik za izloženosti prema subjektima koji financiraju fizičke strukture ili objekte, sustave i mreže za pružanje ili potporu u pružanju bitnih javnih usluga ili njima upravljaju u skladu s člankom 501.a te uredbe.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01863AFF" w14:textId="77777777" w:rsidTr="00822842">
        <w:tc>
          <w:tcPr>
            <w:tcW w:w="1188" w:type="dxa"/>
            <w:shd w:val="clear" w:color="auto" w:fill="auto"/>
          </w:tcPr>
          <w:p w14:paraId="17BDBBC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8843" w:type="dxa"/>
            <w:shd w:val="clear" w:color="auto" w:fill="auto"/>
          </w:tcPr>
          <w:p w14:paraId="64DAA80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NAKON PRIMJENE POMOĆNIH FAKTORA</w:t>
            </w:r>
          </w:p>
          <w:p w14:paraId="336DC8E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središnje države i središnje banke, trgovačka društva i institucije vidjeti članak 153. stavke 1., 2., 3. i 4.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stanovništvo vidjeti članak 154. stavak 1. Uredbe (EU) br. 575/2013.</w:t>
            </w:r>
          </w:p>
          <w:p w14:paraId="15BFFE2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Pomoćni faktori za MSP-ove i infrastrukturu iz članaka 501. i 501.a Uredbe (EU) br. 575/2013 uzimaju se u obzir.</w:t>
            </w:r>
          </w:p>
        </w:tc>
      </w:tr>
      <w:tr w:rsidR="00FB3D09" w:rsidRPr="002A677E" w14:paraId="1E25EE5D" w14:textId="77777777" w:rsidTr="00822842">
        <w:tc>
          <w:tcPr>
            <w:tcW w:w="1188" w:type="dxa"/>
            <w:shd w:val="clear" w:color="auto" w:fill="auto"/>
          </w:tcPr>
          <w:p w14:paraId="159202C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843" w:type="dxa"/>
            <w:shd w:val="clear" w:color="auto" w:fill="auto"/>
          </w:tcPr>
          <w:p w14:paraId="1D818AB3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VELIKI SUBJEKTI FINANCIJSKOG SEKTORA I NEREGULIRANI FINANCIJSKI SUBJEKTI</w:t>
            </w:r>
          </w:p>
          <w:p w14:paraId="0DB2C46B" w14:textId="77777777" w:rsidR="00FB3D09" w:rsidRPr="002A677E" w:rsidDel="005A2363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Raščlamba iznosa izloženosti ponderiranog rizikom nakon primjene pomoćnog faktora za MSP-ove za sve izloženosti prema velikim subjektima financijskog sektora kako su definirani u članku 142. stavku 1. točki 4. Uredbe (EU) br. 575/2013 i nereguliranim subjektima financijskog sektora kako su definirani u članku 142. stavku 1. točki 5. te uredbe na koje se primjenjuje viši koeficijent korelacije određen u skladu s člankom 153. stavkom 2. te uredbe.</w:t>
            </w:r>
          </w:p>
        </w:tc>
      </w:tr>
      <w:tr w:rsidR="00FB3D09" w:rsidRPr="002A677E" w14:paraId="60FB0B14" w14:textId="77777777" w:rsidTr="00822842">
        <w:tc>
          <w:tcPr>
            <w:tcW w:w="1188" w:type="dxa"/>
          </w:tcPr>
          <w:p w14:paraId="30362B6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8843" w:type="dxa"/>
          </w:tcPr>
          <w:p w14:paraId="292D01A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OČEKIVANOGA GUBITKA</w:t>
            </w:r>
          </w:p>
          <w:p w14:paraId="3EA527F7" w14:textId="77777777" w:rsidR="00FB3D09" w:rsidRPr="002A677E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definiciju očekivanoga gubitka vidjeti članak 5. stavak 3. Uredbe (EU) br. 575/2013, a za izračun iznosa očekivanoga gubitka vidjeti članak 158. te uredbe.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izloženosti u statusu neispunjavanja obveza vidjeti članak 181. stavak 1. točku (h)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Izračun očekivanog gubitka koji se iskazuje temelji se na parametrima rizika koji su stvarno upotrijebljeni u internoj rejting-skali koju je odobrilo odgovarajuće nadležno tijelo.</w:t>
            </w:r>
          </w:p>
        </w:tc>
      </w:tr>
      <w:tr w:rsidR="00FB3D09" w:rsidRPr="002A677E" w14:paraId="78AB62DA" w14:textId="77777777" w:rsidTr="00822842">
        <w:tc>
          <w:tcPr>
            <w:tcW w:w="1188" w:type="dxa"/>
          </w:tcPr>
          <w:p w14:paraId="19E4E66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8843" w:type="dxa"/>
          </w:tcPr>
          <w:p w14:paraId="7D685CC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(–) VRIJEDNOSNA USKLAĐENJA I REZERVACIJE</w:t>
            </w:r>
          </w:p>
          <w:p w14:paraId="27BC2A3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Iskazuju se vrijednosna usklađenja te specifični i opći ispravci vrijednosti za kreditni rizik u skladu s člankom 159. Uredbe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Opći</w:t>
            </w:r>
            <w:r>
              <w:rPr>
                <w:sz w:val="24"/>
                <w:b/>
                <w:i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se ispravci vrijednosti za kreditni rizik iskazuju raspoređivanjem iznosa na proporcionalnoj osnovi u skladu s očekivanim gubitkom različitih rejting-kategorija dužnika.</w:t>
            </w:r>
          </w:p>
        </w:tc>
      </w:tr>
      <w:tr w:rsidR="00FB3D09" w:rsidRPr="002A677E" w14:paraId="21C57CE6" w14:textId="77777777" w:rsidTr="00822842">
        <w:tc>
          <w:tcPr>
            <w:tcW w:w="1188" w:type="dxa"/>
          </w:tcPr>
          <w:p w14:paraId="61FC4938" w14:textId="77777777" w:rsidR="00FB3D09" w:rsidRPr="002A677E" w:rsidRDefault="00FB3D09" w:rsidP="00822842">
            <w:pPr>
              <w:ind w:right="-288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8843" w:type="dxa"/>
          </w:tcPr>
          <w:p w14:paraId="2691C548" w14:textId="77777777" w:rsidR="00FB3D09" w:rsidRPr="002A677E" w:rsidRDefault="00FB3D09" w:rsidP="00822842">
            <w:pPr>
              <w:ind w:right="-288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BROJ DUŽNIKA</w:t>
            </w:r>
          </w:p>
          <w:p w14:paraId="414A302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172. stavci 1. i 2. Uredbe (EU) br. 575/2013.</w:t>
            </w:r>
          </w:p>
          <w:p w14:paraId="562514B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sve kategorije izloženosti, izuzev kategorije izloženosti prema stanovništvu i slučajeva navedenih u članku 172. stavku 1. točki (e) drugoj rečenici Uredbe (EU) br. 575/2013, institucija iskazuje broj pravnih osoba/dužnika kojima se dodjeljuje zaseban rejting, bez obzira na broj različitih odobrenih kredita ili izloženosti.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98893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kategoriji izloženosti prema stanovništvu ili ako su različite izloženosti prema istom dužniku raspoređene u različite rejting-kategorije dužnika u skladu s člankom 172. stavkom 1. točkom (e) drugom rečenicom Uredbe (EU) br. 575/2013 u ostalim kategorijama izloženosti, institucije iskazuju broj izloženosti koje su odvojeno raspoređene u određenu rejting-kategoriju ili skup.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Ako se primjenjuje članak 172. stavak 2. Uredbe (EU) br. 575/2013, dužnik se može uzeti u obzir u više od jedne rejting-kategorije.</w:t>
            </w:r>
          </w:p>
          <w:p w14:paraId="61D41F6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Budući da je predmet ovog stupca element strukture rejting-skala, on se odnosi na originalnu izloženost prije primjene konverzijskih faktora koja je raspoređena u svaku rejting-kategoriju dužnika ili skup izloženosti, ne uzimajući u obzir učinak tehnika smanjenja kreditnog rizika (posebno učinak ponovne raspodjele).</w:t>
            </w:r>
          </w:p>
        </w:tc>
      </w:tr>
      <w:tr w:rsidR="00FB3D09" w:rsidRPr="002A677E" w14:paraId="387DE7F0" w14:textId="77777777" w:rsidTr="00822842">
        <w:tc>
          <w:tcPr>
            <w:tcW w:w="1188" w:type="dxa"/>
          </w:tcPr>
          <w:p w14:paraId="30554C29" w14:textId="77777777" w:rsidR="00FB3D09" w:rsidRPr="002A677E" w:rsidRDefault="00FB3D09" w:rsidP="00822842">
            <w:pPr>
              <w:ind w:right="-288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</w:t>
            </w:r>
          </w:p>
        </w:tc>
        <w:tc>
          <w:tcPr>
            <w:tcW w:w="8843" w:type="dxa"/>
          </w:tcPr>
          <w:p w14:paraId="53579B1B" w14:textId="77777777" w:rsidR="00FB3D09" w:rsidRPr="002A677E" w:rsidRDefault="00FB3D09" w:rsidP="00822842">
            <w:pPr>
              <w:ind w:right="-288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PREDKREDITNIH IZVEDENICA</w:t>
            </w:r>
          </w:p>
          <w:p w14:paraId="62E64F52" w14:textId="77777777" w:rsidR="00FB3D09" w:rsidRPr="002A677E" w:rsidRDefault="00FB3D09" w:rsidP="00822842">
            <w:pPr>
              <w:ind w:right="6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hipotetski iznos izloženosti ponderiran rizikom koji se izračunava kao RWEA bez priznavanja prihvatljive kreditne izvedenice kao tehnike smanjenja kreditnog rizika kako je propisano u članku 204. Uredbe (EU) br. 575/2013.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Iznosi se iskazuju u kategoriji izloženosti koja je relevantna za izloženosti originalnog dužnika.</w:t>
            </w:r>
          </w:p>
        </w:tc>
      </w:tr>
    </w:tbl>
    <w:p w14:paraId="5137B249" w14:textId="77777777" w:rsidR="00FB3D09" w:rsidRPr="002A677E" w:rsidRDefault="00FB3D09" w:rsidP="00FB3D09">
      <w:pPr>
        <w:rPr>
          <w:rFonts w:ascii="Times New Roman" w:hAnsi="Times New Roman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789"/>
      </w:tblGrid>
      <w:tr w:rsidR="00FB3D09" w:rsidRPr="002A677E" w14:paraId="182DA561" w14:textId="77777777" w:rsidTr="00822842">
        <w:tc>
          <w:tcPr>
            <w:tcW w:w="1242" w:type="dxa"/>
            <w:shd w:val="clear" w:color="auto" w:fill="CCCCCC"/>
          </w:tcPr>
          <w:p w14:paraId="60BF7B0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Redci</w:t>
            </w:r>
          </w:p>
        </w:tc>
        <w:tc>
          <w:tcPr>
            <w:tcW w:w="8789" w:type="dxa"/>
            <w:shd w:val="clear" w:color="auto" w:fill="CCCCCC"/>
          </w:tcPr>
          <w:p w14:paraId="2CDF9396" w14:textId="77777777" w:rsidR="00FB3D09" w:rsidRPr="002A677E" w:rsidRDefault="00FB3D09" w:rsidP="00822842">
            <w:pPr>
              <w:ind w:left="72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262380DA" w14:textId="77777777" w:rsidTr="00822842">
        <w:tc>
          <w:tcPr>
            <w:tcW w:w="1242" w:type="dxa"/>
          </w:tcPr>
          <w:p w14:paraId="2A2E437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789" w:type="dxa"/>
          </w:tcPr>
          <w:p w14:paraId="4BDE31A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UKUPNE IZLOŽENOSTI</w:t>
            </w:r>
          </w:p>
        </w:tc>
      </w:tr>
      <w:tr w:rsidR="00FB3D09" w:rsidRPr="002A677E" w14:paraId="510EDBE9" w14:textId="77777777" w:rsidTr="00822842">
        <w:tc>
          <w:tcPr>
            <w:tcW w:w="1242" w:type="dxa"/>
          </w:tcPr>
          <w:p w14:paraId="3B12F2F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0015</w:t>
            </w:r>
          </w:p>
        </w:tc>
        <w:tc>
          <w:tcPr>
            <w:tcW w:w="8789" w:type="dxa"/>
          </w:tcPr>
          <w:p w14:paraId="61003B1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izloženosti na koje se primjenjuje pomoćni faktor za MSP-ove</w:t>
            </w:r>
          </w:p>
          <w:p w14:paraId="60E8764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Ovdje se iskazuju samo izloženosti koje ispunjavaju zahtjeve iz članka 501. Uredbe (EU) br. 575/2013.</w:t>
            </w:r>
          </w:p>
        </w:tc>
      </w:tr>
      <w:tr w:rsidR="00FB3D09" w:rsidRPr="002A677E" w14:paraId="5CCB93AD" w14:textId="77777777" w:rsidTr="00822842">
        <w:tc>
          <w:tcPr>
            <w:tcW w:w="1242" w:type="dxa"/>
          </w:tcPr>
          <w:p w14:paraId="42174A1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0016</w:t>
            </w:r>
          </w:p>
        </w:tc>
        <w:tc>
          <w:tcPr>
            <w:tcW w:w="8789" w:type="dxa"/>
          </w:tcPr>
          <w:p w14:paraId="12833DE3" w14:textId="77777777" w:rsidR="00FB3D09" w:rsidRPr="00891B34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izloženosti na koje se primjenjuje pomoćni faktor za infrastrukturu</w:t>
            </w:r>
          </w:p>
          <w:p w14:paraId="4FE9F0E6" w14:textId="77777777" w:rsidR="00FB3D09" w:rsidRPr="00B7761D" w:rsidRDefault="00FB3D09" w:rsidP="00822842">
            <w:pPr>
              <w:rPr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Ovdje se iskazuju samo izloženosti koje ispunjavaju zahtjeve iz članka 501.a Uredbe (EU) br. 575/2013.</w:t>
            </w:r>
          </w:p>
        </w:tc>
      </w:tr>
      <w:tr w:rsidR="005E354B" w:rsidRPr="002A677E" w14:paraId="7311B76A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A309" w14:textId="77777777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659D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stambenim nekretninama – nisu IPRE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8370D9A" w14:textId="6DCA960A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koje su osigurane stambenim nekretninama kako su definirane u članku 4. stavku 1. točki 75.d Uredbe (EU) br. 575/2013 i koje ispunjavaju i definiciju iz članka 4. stavka 1. točke 75.c Uredbe (EU) br. 575/2013).</w:t>
            </w:r>
          </w:p>
        </w:tc>
      </w:tr>
      <w:tr w:rsidR="005E354B" w:rsidRPr="002A677E" w14:paraId="7285D5CE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620F" w14:textId="54E0D353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995D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stambenim nekretninama – IPRE</w:t>
            </w:r>
          </w:p>
          <w:p w14:paraId="0DF45C4E" w14:textId="0F60BC77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koje su osigurane stambenim nekretninama kako su definirane u članku 4. stavku 1. točki 75.d Uredbe (EU) br. 575/2013 i koje ispunjavaju i definiciju iz članka 4. stavka 1. točke 75.b Uredbe (EU) br. 575/2013).</w:t>
            </w:r>
          </w:p>
        </w:tc>
      </w:tr>
      <w:tr w:rsidR="005E354B" w:rsidRPr="002A677E" w14:paraId="5DC7A17D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25E4" w14:textId="6693C4F7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5E97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poslovnim nekretninama – nisu IPRE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6FFC8D0" w14:textId="77777777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koje su osigurane poslovnim nekretninama kako su definirane u članku 4. stavku 1. točki 75.e Uredbe (EU) br. 575/2013 i koje ispunjavaju i definiciju iz članka 4. stavka 1. točke 75.c Uredbe (EU) br. 575/2013).</w:t>
            </w:r>
          </w:p>
        </w:tc>
      </w:tr>
      <w:tr w:rsidR="005E354B" w:rsidRPr="002A677E" w14:paraId="5E0D933C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0EA7" w14:textId="5DEB6BED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F921" w14:textId="77777777" w:rsidR="005E354B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poslovnim nekretninama – IPRE</w:t>
            </w:r>
          </w:p>
          <w:p w14:paraId="71978D1D" w14:textId="0B94616B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koje su osigurane poslovnim nekretninama kako su definirane u članku 4. stavku 1. točki 75.e Uredbe (EU) br. 575/2013 i koje ispunjavaju i definiciju iz članka 4. stavka 1. točke 75.b Uredbe (EU) br. 575/2013).</w:t>
            </w:r>
          </w:p>
        </w:tc>
      </w:tr>
      <w:tr w:rsidR="005E354B" w:rsidRPr="002A677E" w14:paraId="2106BE7A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4ED2" w14:textId="58DFC3D7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A8F4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Stjecanje, razvoj i građenje (ADC)</w:t>
            </w:r>
          </w:p>
          <w:p w14:paraId="35087895" w14:textId="03A7A920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prema stjecanju zemljišta, razvoju i građenju („ADC izloženosti”) kako su definirane u članku 4. stavku 1. točki 78.a Uredbe (EU) 575/2013.</w:t>
            </w:r>
          </w:p>
        </w:tc>
      </w:tr>
      <w:tr w:rsidR="00FB3D09" w:rsidRPr="002A677E" w14:paraId="14B5922C" w14:textId="77777777" w:rsidTr="00822842">
        <w:tc>
          <w:tcPr>
            <w:tcW w:w="1242" w:type="dxa"/>
          </w:tcPr>
          <w:p w14:paraId="50BD948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0020-0060</w:t>
            </w:r>
          </w:p>
        </w:tc>
        <w:tc>
          <w:tcPr>
            <w:tcW w:w="8789" w:type="dxa"/>
          </w:tcPr>
          <w:p w14:paraId="13F7639F" w14:textId="77777777" w:rsidR="00FB3D09" w:rsidRPr="00B7761D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RAŠČLAMBA UKUPNIH IZLOŽENOSTI PREMA VRSTAMA IZLOŽENOSTI:</w:t>
            </w:r>
          </w:p>
        </w:tc>
      </w:tr>
      <w:tr w:rsidR="00FB3D09" w:rsidRPr="002A677E" w14:paraId="709208F4" w14:textId="77777777" w:rsidTr="00822842">
        <w:tc>
          <w:tcPr>
            <w:tcW w:w="1242" w:type="dxa"/>
          </w:tcPr>
          <w:p w14:paraId="14B5596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789" w:type="dxa"/>
          </w:tcPr>
          <w:p w14:paraId="0C34BAB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Bilančne stavke izložene kreditnom riziku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DEAB0BA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Imovina iz članka 24. Uredbe (EU) br. 575/2013 ne uključuje se u neku drugu kategoriju.</w:t>
            </w:r>
          </w:p>
          <w:p w14:paraId="0F8AB1A8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Izloženosti kreditnom riziku druge ugovorne strane iskazuju se u redcima 0040-0060 i stoga se ne iskazuju u ovom retku.</w:t>
            </w:r>
          </w:p>
          <w:p w14:paraId="3D5E954A" w14:textId="180041B5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Slobodne isporuke iz članka 379. stavka 1. Uredbe (EU) br. 575/2013 (ako nisu odbijene) nisu bilančne stavke, ali se ipak iskazuju u ovom retku.</w:t>
            </w:r>
          </w:p>
        </w:tc>
      </w:tr>
      <w:tr w:rsidR="00FB3D09" w:rsidRPr="002A677E" w14:paraId="3FC1F87B" w14:textId="77777777" w:rsidTr="00822842">
        <w:tc>
          <w:tcPr>
            <w:tcW w:w="1242" w:type="dxa"/>
          </w:tcPr>
          <w:p w14:paraId="2D6E670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789" w:type="dxa"/>
          </w:tcPr>
          <w:p w14:paraId="7F72A6F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Izvanbilančne stavke izložene kreditnom riziku</w:t>
            </w:r>
          </w:p>
          <w:p w14:paraId="6C7D545C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Izvanbilančne stavke sastoje se od stavki u skladu s člankom 166. stavkom 8. Uredbe (EU) br. 575/2013, kao i stavki navedenih u Prilogu I. toj uredbi.</w:t>
            </w:r>
          </w:p>
          <w:p w14:paraId="4AE7F57F" w14:textId="266D9AC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Izloženosti kreditnom riziku druge ugovorne strane iskazuju se u redcima 0040-0060 i stoga nisu u ovom retku.</w:t>
            </w:r>
          </w:p>
        </w:tc>
      </w:tr>
      <w:tr w:rsidR="00FB3D09" w:rsidRPr="002A677E" w14:paraId="6A82A5B3" w14:textId="77777777" w:rsidTr="00822842">
        <w:tc>
          <w:tcPr>
            <w:tcW w:w="1242" w:type="dxa"/>
          </w:tcPr>
          <w:p w14:paraId="0F665D6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0040-0060</w:t>
            </w:r>
          </w:p>
        </w:tc>
        <w:tc>
          <w:tcPr>
            <w:tcW w:w="8789" w:type="dxa"/>
          </w:tcPr>
          <w:p w14:paraId="65190BC8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Izloženosti/transakcije izložene kreditnom riziku druge ugovorne strane</w:t>
            </w:r>
          </w:p>
          <w:p w14:paraId="0CE5E4A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odgovarajuće upute za obrazac CR SA u redcima 0090-0130.</w:t>
            </w:r>
          </w:p>
        </w:tc>
      </w:tr>
      <w:tr w:rsidR="00FB3D09" w:rsidRPr="002A677E" w14:paraId="4836D530" w14:textId="77777777" w:rsidTr="00822842">
        <w:tc>
          <w:tcPr>
            <w:tcW w:w="1242" w:type="dxa"/>
          </w:tcPr>
          <w:p w14:paraId="311BB09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789" w:type="dxa"/>
          </w:tcPr>
          <w:p w14:paraId="0E52BEFE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Skupovi za netiranje transakcija financiranja vrijednosnim papirima</w:t>
            </w:r>
          </w:p>
          <w:p w14:paraId="1D8D13A1" w14:textId="4C7B9569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odgovarajuće upute za obrazac CR SA u retku 0090.</w:t>
            </w:r>
          </w:p>
        </w:tc>
      </w:tr>
      <w:tr w:rsidR="00FB3D09" w:rsidRPr="002A677E" w14:paraId="1E4C52D2" w14:textId="77777777" w:rsidTr="00822842">
        <w:tc>
          <w:tcPr>
            <w:tcW w:w="1242" w:type="dxa"/>
          </w:tcPr>
          <w:p w14:paraId="7A9D7A2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789" w:type="dxa"/>
          </w:tcPr>
          <w:p w14:paraId="0663798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Skupovi za netiranje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 izvedenica i transakcija s dugim rokom namire</w:t>
            </w:r>
          </w:p>
          <w:p w14:paraId="2C85A65F" w14:textId="5742CCE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odgovarajuće upute za obrazac CR SA u retku 0110.</w:t>
            </w:r>
          </w:p>
        </w:tc>
      </w:tr>
      <w:tr w:rsidR="00FB3D09" w:rsidRPr="002A677E" w14:paraId="325075B4" w14:textId="77777777" w:rsidTr="00822842">
        <w:tc>
          <w:tcPr>
            <w:tcW w:w="1242" w:type="dxa"/>
          </w:tcPr>
          <w:p w14:paraId="711200A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789" w:type="dxa"/>
          </w:tcPr>
          <w:p w14:paraId="5AAEFF1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 skupova za netiranje između različitih kategorija proizvoda</w:t>
            </w:r>
          </w:p>
          <w:p w14:paraId="067E31F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odgovarajuće upute za obrazac CR SA u retku 0130.</w:t>
            </w:r>
          </w:p>
        </w:tc>
      </w:tr>
      <w:tr w:rsidR="00FB3D09" w:rsidRPr="002A677E" w14:paraId="4497C028" w14:textId="77777777" w:rsidTr="00822842">
        <w:tc>
          <w:tcPr>
            <w:tcW w:w="1242" w:type="dxa"/>
          </w:tcPr>
          <w:p w14:paraId="53C0361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789" w:type="dxa"/>
          </w:tcPr>
          <w:p w14:paraId="0FE8A11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IZLOŽENOSTI RASPOREĐENE U REJTING-KATEGORIJE DUŽNIKA ILI SKUPOVE IZLOŽENOSTI: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UKUPNO</w:t>
            </w:r>
          </w:p>
          <w:p w14:paraId="6A78F62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izloženosti prema trgovačkim društvima, institucijama te središnjim državama i središnjim bankama vidjeti članak 142. stavak 1. točku 6. i članak 170. stavak 1. točku (c)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D88073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izloženosti prema stanovništvu vidjeti članak 170. stavak 3. točku (b)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izloženosti koje proizlaze iz otkupljenih potraživanja vidjeti članak 166. stavak 6.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68A9D8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za razrjeđivački rizik otkupljenih potraživanja ne iskazuju se prema rejting-kategorijama dužnika ili skupovima izloženosti i iskazuju se u retku 0180.</w:t>
            </w:r>
          </w:p>
          <w:p w14:paraId="2ECA333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institucija koristi veliki broj rejting-kategorija ili skupova, s nadležnim tijelima može se dogovoriti iskazivanje smanjenog broja rejting-kategorija ili skupova.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E1C73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 koristi se rejting-skala za nadzor.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Umjesto toga, institucije određuju skalu koju će same upotrebljavati.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1A5B7F57" w14:textId="77777777" w:rsidTr="00822842">
        <w:tc>
          <w:tcPr>
            <w:tcW w:w="1242" w:type="dxa"/>
          </w:tcPr>
          <w:p w14:paraId="0CB3AAC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789" w:type="dxa"/>
          </w:tcPr>
          <w:p w14:paraId="63AC665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PRISTUP RASPOREĐIVANJA ZA SPECIJALIZIRANO FINANCIRANJE: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UKUPNO</w:t>
            </w:r>
          </w:p>
          <w:p w14:paraId="67E0139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153. stavak 5.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Primjenjuje se samo na kategorije izloženosti prema trgovačkim društvima – specijalizirano financiranje.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56D99296" w14:textId="77777777" w:rsidTr="00822842">
        <w:tc>
          <w:tcPr>
            <w:tcW w:w="1242" w:type="dxa"/>
          </w:tcPr>
          <w:p w14:paraId="4330E20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789" w:type="dxa"/>
          </w:tcPr>
          <w:p w14:paraId="455C13F0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ALTERNATIVNI TRETMAN: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NEKRETNINOM</w:t>
            </w:r>
          </w:p>
          <w:p w14:paraId="7875BF8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193. stavci 1. i 2., članak 194. stavci od 1. do 7. i članak 230. stavak 3. Uredbe (EU) br. 575/2013.</w:t>
            </w:r>
          </w:p>
          <w:p w14:paraId="5841294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Ova je alternativa dostupna samo za institucije koje primjenjuju osnovni IRB pristup.</w:t>
            </w:r>
          </w:p>
        </w:tc>
      </w:tr>
      <w:tr w:rsidR="00FB3D09" w:rsidRPr="002A677E" w14:paraId="65DA4F0E" w14:textId="77777777" w:rsidTr="00822842">
        <w:tc>
          <w:tcPr>
            <w:tcW w:w="1242" w:type="dxa"/>
          </w:tcPr>
          <w:p w14:paraId="73D95FC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789" w:type="dxa"/>
          </w:tcPr>
          <w:p w14:paraId="753B5217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NA OSNOVI SLOBODNIH ISPORUKA ZA KOJE SE PRIMJENJUJU PONDERI RIZIKA U SKLADU S ALTERNATIVNIM PRISTUPOM ILI 100 % I OSTALE IZLOŽENOSTI NA KOJE SE PRIMJENJUJU PONDERI RIZIKA</w:t>
            </w:r>
          </w:p>
          <w:p w14:paraId="7FC93A9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na osnovi slobodnih isporuka za koje se primjenjuje alternativni tretman iz članka 379. stavka 2. prvog podstavka, zadnje rečenice Uredbe (EU) br. 575/2013 ili za koje se primjenjuje ponder rizika 100 % u skladu s člankom 379. stavkom 2. zadnjim podstavkom Uredbe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Kreditne izvedenice bez rejtinga na osnovi „n-tog” nastanka statusa neispunjavanja obveza u skladu s člankom 153. stavkom 8. Uredbe (EU) br. 575/2013 i sve ostale izloženosti na koje se primjenjuju ponderi rizika i koje nisu uključene u druge retke iskazuju se u ovom retku.</w:t>
            </w:r>
          </w:p>
        </w:tc>
      </w:tr>
      <w:tr w:rsidR="00FB3D09" w:rsidRPr="002A677E" w14:paraId="645730D7" w14:textId="77777777" w:rsidTr="00822842">
        <w:tc>
          <w:tcPr>
            <w:tcW w:w="1242" w:type="dxa"/>
          </w:tcPr>
          <w:p w14:paraId="0317CAF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789" w:type="dxa"/>
          </w:tcPr>
          <w:p w14:paraId="42D146E2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RAZRJEĐIVAČKI RIZIK: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UKUPNA OTKUPLJENA POTRAŽIVANJA</w:t>
            </w:r>
          </w:p>
          <w:p w14:paraId="1ADE7C67" w14:textId="5F3B1E00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članak 4. stavak 1. točku 53. Uredbe (EU) br. 575/2013 za definiciju razrjeđivačkog rizika.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izračun iznosa izloženosti ponderiranih razrjeđivačkim rizikom vidjeti članak 157. Uredbe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Razrjeđivački rizik iskazuje se za otkupljena potraživanja od trgovačkih društava i stanovništva.</w:t>
            </w:r>
          </w:p>
        </w:tc>
      </w:tr>
      <w:tr w:rsidR="00FB3D09" w:rsidRPr="002A677E" w14:paraId="2103336C" w14:textId="77777777" w:rsidTr="00822842">
        <w:trPr>
          <w:trHeight w:val="300"/>
        </w:trPr>
        <w:tc>
          <w:tcPr>
            <w:tcW w:w="1242" w:type="dxa"/>
          </w:tcPr>
          <w:p w14:paraId="7FF9957F" w14:textId="06F9FE7A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0190-0210</w:t>
            </w:r>
          </w:p>
        </w:tc>
        <w:tc>
          <w:tcPr>
            <w:tcW w:w="8789" w:type="dxa"/>
          </w:tcPr>
          <w:p w14:paraId="24E930D5" w14:textId="57FAC10C" w:rsidR="00FB3D09" w:rsidRPr="00B75318" w:rsidRDefault="00FB3D09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RAŠČLAMBA UKUPNIH IZLOŽENOSTI PREMA PRISTUPU (CIU):</w:t>
            </w:r>
          </w:p>
        </w:tc>
      </w:tr>
      <w:tr w:rsidR="00FB3D09" w:rsidRPr="002A677E" w14:paraId="62E31418" w14:textId="77777777" w:rsidTr="00822842">
        <w:trPr>
          <w:trHeight w:val="300"/>
        </w:trPr>
        <w:tc>
          <w:tcPr>
            <w:tcW w:w="1242" w:type="dxa"/>
          </w:tcPr>
          <w:p w14:paraId="12D87A1F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789" w:type="dxa"/>
          </w:tcPr>
          <w:p w14:paraId="15D1C078" w14:textId="3090FC4B" w:rsidR="00FB3D09" w:rsidRPr="00B75318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Pristup odnosnih izloženosti</w:t>
            </w:r>
          </w:p>
          <w:p w14:paraId="2AD180D4" w14:textId="3719286C" w:rsidR="00FB3D09" w:rsidRPr="00B75318" w:rsidRDefault="00FB3D09" w:rsidP="00822842">
            <w:pPr>
              <w:spacing w:after="160" w:line="257" w:lineRule="auto"/>
              <w:rPr>
                <w:color w:val="000000" w:themeColor="text1"/>
                <w:sz w:val="24"/>
                <w:rFonts w:ascii="Times New Roman" w:eastAsia="Calibri" w:hAnsi="Times New Roman"/>
              </w:rPr>
            </w:pP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Članak 152. stavak 1. Uredbe (EU) br. 575/2013</w:t>
            </w:r>
          </w:p>
          <w:p w14:paraId="42481890" w14:textId="79FAD87D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Ovaj se redak iskazuje za kategoriju izloženosti „Subjekti za zajednička ulaganja (CIU)” i u obrascu „Ukupno”.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Osim toga, iskazuje se kao bilješka u ostalim kategorijama izloženosti iz IRB pristupa jer se odnosne izloženosti razvrstavaju u skladu s odgovarajućom kategorijom izloženosti ako se primjenjuje IRB metoda</w:t>
            </w:r>
          </w:p>
        </w:tc>
      </w:tr>
      <w:tr w:rsidR="00FB3D09" w:rsidRPr="002A677E" w14:paraId="66E7EEA8" w14:textId="77777777" w:rsidTr="00822842">
        <w:trPr>
          <w:trHeight w:val="300"/>
        </w:trPr>
        <w:tc>
          <w:tcPr>
            <w:tcW w:w="1242" w:type="dxa"/>
          </w:tcPr>
          <w:p w14:paraId="3C86B702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789" w:type="dxa"/>
          </w:tcPr>
          <w:p w14:paraId="17279CD9" w14:textId="57707F46" w:rsidR="00FB3D09" w:rsidRPr="00B75318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Pristup koji se temelji na mandatu</w:t>
            </w:r>
          </w:p>
          <w:p w14:paraId="65B8F17E" w14:textId="77777777" w:rsidR="00FB3D09" w:rsidRPr="00B75318" w:rsidRDefault="00FB3D09" w:rsidP="00822842">
            <w:pPr>
              <w:spacing w:after="160" w:line="257" w:lineRule="auto"/>
              <w:rPr>
                <w:color w:val="000000" w:themeColor="text1"/>
                <w:sz w:val="24"/>
                <w:rFonts w:ascii="Times New Roman" w:eastAsia="Calibri" w:hAnsi="Times New Roman"/>
              </w:rPr>
            </w:pPr>
            <w:r>
              <w:rPr>
                <w:sz w:val="24"/>
                <w:color w:val="000000" w:themeColor="text1"/>
                <w:rFonts w:ascii="Times New Roman" w:hAnsi="Times New Roman"/>
              </w:rPr>
              <w:t xml:space="preserve">Članak 152. stavak 5. Uredbe (EU) br. 575/2013</w:t>
            </w:r>
          </w:p>
          <w:p w14:paraId="0315659D" w14:textId="271145EC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Ovaj se redak iskazuje samo za kategoriju izloženosti „Subjekti za zajednička ulaganja (CIU)” i u obrascu „Ukupno”.</w:t>
            </w:r>
          </w:p>
        </w:tc>
      </w:tr>
      <w:tr w:rsidR="00FB3D09" w:rsidRPr="002A677E" w14:paraId="1E5A599B" w14:textId="77777777" w:rsidTr="00822842">
        <w:trPr>
          <w:trHeight w:val="300"/>
        </w:trPr>
        <w:tc>
          <w:tcPr>
            <w:tcW w:w="1242" w:type="dxa"/>
          </w:tcPr>
          <w:p w14:paraId="6ABB8CD4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789" w:type="dxa"/>
          </w:tcPr>
          <w:p w14:paraId="3816A424" w14:textId="13F62D85" w:rsidR="00FB3D09" w:rsidRPr="00B75318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Zamjenski pristup</w:t>
            </w:r>
          </w:p>
          <w:p w14:paraId="57A3CDF9" w14:textId="77777777" w:rsidR="00FB3D09" w:rsidRPr="00B75318" w:rsidRDefault="00FB3D09" w:rsidP="00822842">
            <w:pPr>
              <w:spacing w:after="160" w:line="257" w:lineRule="auto"/>
              <w:rPr>
                <w:color w:val="000000" w:themeColor="text1"/>
                <w:sz w:val="24"/>
                <w:rFonts w:ascii="Times New Roman" w:eastAsia="Calibri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Članak 152. stavak 6. Uredbe (EU) br. 575/2013</w:t>
            </w:r>
          </w:p>
          <w:p w14:paraId="42219B94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Ovaj se redak iskazuje samo za kategoriju izloženosti „Subjekti za zajednička ulaganja (CIU)” i u obrascu „Ukupno”.</w:t>
            </w:r>
          </w:p>
        </w:tc>
      </w:tr>
    </w:tbl>
    <w:p w14:paraId="0B2C44D0" w14:textId="77777777" w:rsidR="00FB3D09" w:rsidRPr="002A677E" w:rsidRDefault="00FB3D09" w:rsidP="00FB3D09">
      <w:pPr>
        <w:autoSpaceDE w:val="0"/>
        <w:autoSpaceDN w:val="0"/>
        <w:adjustRightInd w:val="0"/>
        <w:spacing w:before="0" w:after="0"/>
        <w:ind w:left="284"/>
        <w:jc w:val="left"/>
        <w:rPr>
          <w:sz w:val="24"/>
          <w:rFonts w:ascii="Times New Roman" w:hAnsi="Times New Roman"/>
        </w:rPr>
      </w:pPr>
      <w:bookmarkStart w:id="21" w:name="_Toc120327823"/>
      <w:bookmarkStart w:id="22" w:name="_Toc120072325"/>
      <w:bookmarkStart w:id="23" w:name="_Toc294280272"/>
      <w:bookmarkStart w:id="24" w:name="_Toc294281597"/>
      <w:bookmarkStart w:id="25" w:name="_Toc294281817"/>
      <w:bookmarkStart w:id="26" w:name="_Toc294282031"/>
      <w:bookmarkStart w:id="27" w:name="_Toc294282234"/>
      <w:bookmarkStart w:id="28" w:name="_Toc294714169"/>
      <w:bookmarkStart w:id="29" w:name="_Toc295314195"/>
      <w:bookmarkStart w:id="30" w:name="_Toc295829584"/>
      <w:bookmarkStart w:id="31" w:name="_Toc295829867"/>
      <w:bookmarkStart w:id="32" w:name="_Toc301772755"/>
      <w:bookmarkStart w:id="33" w:name="_Toc301772833"/>
      <w:bookmarkStart w:id="34" w:name="_Toc302657772"/>
      <w:bookmarkStart w:id="35" w:name="_Toc302657891"/>
      <w:bookmarkStart w:id="36" w:name="_Toc294280294"/>
      <w:bookmarkStart w:id="37" w:name="_Toc294281619"/>
      <w:bookmarkStart w:id="38" w:name="_Toc294281839"/>
      <w:bookmarkStart w:id="39" w:name="_Toc294282053"/>
      <w:bookmarkStart w:id="40" w:name="_Toc294282256"/>
      <w:bookmarkStart w:id="41" w:name="_Toc294714191"/>
      <w:bookmarkStart w:id="42" w:name="_Toc295314217"/>
      <w:bookmarkStart w:id="43" w:name="_Toc295829606"/>
      <w:bookmarkStart w:id="44" w:name="_Toc295829889"/>
      <w:bookmarkStart w:id="45" w:name="_Toc301772777"/>
      <w:bookmarkStart w:id="46" w:name="_Toc301772855"/>
      <w:bookmarkStart w:id="47" w:name="_Toc302657794"/>
      <w:bookmarkStart w:id="48" w:name="_Toc302657913"/>
      <w:bookmarkStart w:id="49" w:name="_Toc294280312"/>
      <w:bookmarkStart w:id="50" w:name="_Toc294281637"/>
      <w:bookmarkStart w:id="51" w:name="_Toc294281857"/>
      <w:bookmarkStart w:id="52" w:name="_Toc294282071"/>
      <w:bookmarkStart w:id="53" w:name="_Toc294282274"/>
      <w:bookmarkStart w:id="54" w:name="_Toc294714209"/>
      <w:bookmarkStart w:id="55" w:name="_Toc295314235"/>
      <w:bookmarkStart w:id="56" w:name="_Toc295829624"/>
      <w:bookmarkStart w:id="57" w:name="_Toc295829907"/>
      <w:bookmarkStart w:id="58" w:name="_Toc301772795"/>
      <w:bookmarkStart w:id="59" w:name="_Toc301772873"/>
      <w:bookmarkStart w:id="60" w:name="_Toc302657812"/>
      <w:bookmarkStart w:id="61" w:name="_Toc302657931"/>
      <w:bookmarkStart w:id="62" w:name="_Toc294280316"/>
      <w:bookmarkStart w:id="63" w:name="_Toc294281641"/>
      <w:bookmarkStart w:id="64" w:name="_Toc294281861"/>
      <w:bookmarkStart w:id="65" w:name="_Toc294282075"/>
      <w:bookmarkStart w:id="66" w:name="_Toc294282278"/>
      <w:bookmarkStart w:id="67" w:name="_Toc294714213"/>
      <w:bookmarkStart w:id="68" w:name="_Toc295314239"/>
      <w:bookmarkStart w:id="69" w:name="_Toc295829628"/>
      <w:bookmarkStart w:id="70" w:name="_Toc295829911"/>
      <w:bookmarkStart w:id="71" w:name="_Toc301772799"/>
      <w:bookmarkStart w:id="72" w:name="_Toc301772877"/>
      <w:bookmarkStart w:id="73" w:name="_Toc302657816"/>
      <w:bookmarkStart w:id="74" w:name="_Toc302657935"/>
      <w:bookmarkStart w:id="75" w:name="_Toc294280319"/>
      <w:bookmarkStart w:id="76" w:name="_Toc294281644"/>
      <w:bookmarkStart w:id="77" w:name="_Toc294281864"/>
      <w:bookmarkStart w:id="78" w:name="_Toc294282078"/>
      <w:bookmarkStart w:id="79" w:name="_Toc294282281"/>
      <w:bookmarkStart w:id="80" w:name="_Toc294714216"/>
      <w:bookmarkStart w:id="81" w:name="_Toc295314242"/>
      <w:bookmarkStart w:id="82" w:name="_Toc295829631"/>
      <w:bookmarkStart w:id="83" w:name="_Toc295829914"/>
      <w:bookmarkStart w:id="84" w:name="_Toc301772802"/>
      <w:bookmarkStart w:id="85" w:name="_Toc301772880"/>
      <w:bookmarkStart w:id="86" w:name="_Toc302657819"/>
      <w:bookmarkStart w:id="87" w:name="_Toc302657938"/>
      <w:bookmarkStart w:id="88" w:name="_Toc294280322"/>
      <w:bookmarkStart w:id="89" w:name="_Toc294281647"/>
      <w:bookmarkStart w:id="90" w:name="_Toc294281867"/>
      <w:bookmarkStart w:id="91" w:name="_Toc294282081"/>
      <w:bookmarkStart w:id="92" w:name="_Toc294282284"/>
      <w:bookmarkStart w:id="93" w:name="_Toc294714219"/>
      <w:bookmarkStart w:id="94" w:name="_Toc295314245"/>
      <w:bookmarkStart w:id="95" w:name="_Toc295829634"/>
      <w:bookmarkStart w:id="96" w:name="_Toc295829917"/>
      <w:bookmarkStart w:id="97" w:name="_Toc301772805"/>
      <w:bookmarkStart w:id="98" w:name="_Toc301772883"/>
      <w:bookmarkStart w:id="99" w:name="_Toc302657822"/>
      <w:bookmarkStart w:id="100" w:name="_Toc302657941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3C588733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1" w:name="_Toc473560911"/>
      <w:bookmarkStart w:id="102" w:name="_Toc151714398"/>
      <w:r>
        <w:rPr>
          <w:sz w:val="24"/>
          <w:u w:val="none"/>
          <w:rFonts w:ascii="Times New Roman" w:hAnsi="Times New Roman"/>
        </w:rPr>
        <w:t xml:space="preserve">3.3.4.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08.02 – Kreditni rizik, kreditni rizik druge ugovorne strane i slobodne isporuke: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 pristup kapitalnim zahtjevima: raščlamba prema rejting-kategorijama dužnika ili skupovima izloženosti (obrazac CR IRB 2)</w:t>
      </w:r>
      <w:bookmarkEnd w:id="101"/>
      <w:bookmarkEnd w:id="10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7804"/>
      </w:tblGrid>
      <w:tr w:rsidR="00FB3D09" w:rsidRPr="002A677E" w14:paraId="56EC6AC2" w14:textId="77777777" w:rsidTr="00822842">
        <w:tc>
          <w:tcPr>
            <w:tcW w:w="2024" w:type="dxa"/>
            <w:shd w:val="clear" w:color="auto" w:fill="BFBFBF"/>
          </w:tcPr>
          <w:p w14:paraId="2B478CB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Stupac</w:t>
            </w:r>
          </w:p>
        </w:tc>
        <w:tc>
          <w:tcPr>
            <w:tcW w:w="7804" w:type="dxa"/>
            <w:shd w:val="clear" w:color="auto" w:fill="BFBFBF"/>
          </w:tcPr>
          <w:p w14:paraId="72EF06F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76358864" w14:textId="77777777" w:rsidTr="00822842">
        <w:tc>
          <w:tcPr>
            <w:tcW w:w="2024" w:type="dxa"/>
          </w:tcPr>
          <w:p w14:paraId="46C873B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7804" w:type="dxa"/>
          </w:tcPr>
          <w:p w14:paraId="130BE1C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Rejting-kategorija dužnika (identifikator retka)</w:t>
            </w:r>
          </w:p>
          <w:p w14:paraId="49E1BF9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Ovo je identifikator retka koji je jedinstven za svaki redak pojedinog lista obrasca.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Navodi se numeričkim redoslijedom 1, 2, 3 itd.</w:t>
            </w:r>
          </w:p>
          <w:p w14:paraId="748039C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Prva rejting-kategorija (ili skup) koji se iskazuje je najbolja, zatim druga najbolja i tako dalje. Zadnja iskazana rejting-kategorija ili kategorije (ili skup) su izloženosti u statusu neispunjavanja obveza.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2E9E255A" w14:textId="77777777" w:rsidTr="00822842">
        <w:tc>
          <w:tcPr>
            <w:tcW w:w="2024" w:type="dxa"/>
          </w:tcPr>
          <w:p w14:paraId="7EBE635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0010-0300</w:t>
            </w:r>
          </w:p>
        </w:tc>
        <w:tc>
          <w:tcPr>
            <w:tcW w:w="7804" w:type="dxa"/>
          </w:tcPr>
          <w:p w14:paraId="68F5893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 za svaki od ovih stupaca jednake su uputama za odgovarajuće brojevima označene stupce u obrascu CR IRB 1.</w:t>
            </w:r>
          </w:p>
        </w:tc>
      </w:tr>
    </w:tbl>
    <w:p w14:paraId="040BB8C7" w14:textId="77777777" w:rsidR="00FB3D09" w:rsidRPr="002A677E" w:rsidRDefault="00FB3D09" w:rsidP="00FB3D09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7804"/>
      </w:tblGrid>
      <w:tr w:rsidR="00FB3D09" w:rsidRPr="002A677E" w14:paraId="767C7154" w14:textId="77777777" w:rsidTr="00822842">
        <w:tc>
          <w:tcPr>
            <w:tcW w:w="2024" w:type="dxa"/>
            <w:shd w:val="pct25" w:color="auto" w:fill="auto"/>
          </w:tcPr>
          <w:p w14:paraId="50BC5D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Redak</w:t>
            </w:r>
          </w:p>
        </w:tc>
        <w:tc>
          <w:tcPr>
            <w:tcW w:w="7804" w:type="dxa"/>
            <w:shd w:val="pct25" w:color="auto" w:fill="auto"/>
          </w:tcPr>
          <w:p w14:paraId="656BDFF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4253B5F0" w14:textId="77777777" w:rsidTr="00822842">
        <w:tc>
          <w:tcPr>
            <w:tcW w:w="2024" w:type="dxa"/>
          </w:tcPr>
          <w:p w14:paraId="1F1498D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0010-0001 – 0010-NNNN</w:t>
            </w:r>
          </w:p>
        </w:tc>
        <w:tc>
          <w:tcPr>
            <w:tcW w:w="7804" w:type="dxa"/>
          </w:tcPr>
          <w:p w14:paraId="7438CE6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Vrijednosti iskazane u ovim redcima moraju se ispuniti redoslijedom koji odgovara PD-u raspoređenom u rejting-kategoriju dužnika ili skup izloženosti.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PD dužnika u statusu neispunjavanja obveza iznosi 100 %.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Izloženosti na koje se primjenjuje alternativni tretman za kolateral u obliku nekretnine (dostupan samo ako se ne koriste vlastite procjene LGD-a) ne raspoređuju se u skladu s PD-om dužnika i ne iskazuju se u ovom obrascu.</w:t>
            </w:r>
          </w:p>
        </w:tc>
      </w:tr>
    </w:tbl>
    <w:p w14:paraId="207794BA" w14:textId="77777777" w:rsidR="00FB3D09" w:rsidRPr="002A677E" w:rsidRDefault="00FB3D09" w:rsidP="00FB3D09">
      <w:pPr>
        <w:pStyle w:val="InstructionsText"/>
      </w:pPr>
    </w:p>
    <w:p w14:paraId="26916390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03" w:name="_Toc19715755"/>
      <w:bookmarkStart w:id="104" w:name="_Toc151714399"/>
      <w:r>
        <w:rPr>
          <w:sz w:val="24"/>
          <w:rFonts w:ascii="Times New Roman" w:hAnsi="Times New Roman"/>
        </w:rPr>
        <w:t xml:space="preserve">C 08.03 – Kreditni rizik i slobodne isporuke: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 pristup kapitalnim zahtjevima (raščlamba po rasponu PD-a (CR IRB 3)</w:t>
      </w:r>
      <w:bookmarkEnd w:id="103"/>
      <w:bookmarkEnd w:id="104"/>
    </w:p>
    <w:p w14:paraId="32A5436F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rPr>
          <w:sz w:val="24"/>
          <w:rFonts w:ascii="Times New Roman" w:hAnsi="Times New Roman" w:cs="Times New Roman"/>
        </w:rPr>
      </w:pPr>
      <w:bookmarkStart w:id="105" w:name="_Toc19715756"/>
      <w:bookmarkStart w:id="106" w:name="_Toc151714400"/>
      <w:r>
        <w:rPr>
          <w:sz w:val="24"/>
          <w:rFonts w:ascii="Times New Roman" w:hAnsi="Times New Roman"/>
        </w:rPr>
        <w:t xml:space="preserve">Opće napomene</w:t>
      </w:r>
      <w:bookmarkEnd w:id="105"/>
      <w:bookmarkEnd w:id="106"/>
    </w:p>
    <w:p w14:paraId="0918D50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77</w:t>
      </w:r>
      <w:r>
        <w:fldChar w:fldCharType="end"/>
      </w:r>
      <w:r>
        <w:t xml:space="preserve">.</w:t>
      </w:r>
      <w:r>
        <w:t xml:space="preserve"> </w:t>
      </w:r>
      <w:r>
        <w:t xml:space="preserve">Institucije iskazuju informacije iz ovog obrasca pri primjeni članka 452. točke (g) podtočaka od i. do v. Uredbe (EU) br. 575/2013 kako bi pružile informacije o glavnim parametrima koji su upotrijebljeni za izračun kapitalnih zahtjeva za IRB pristup.</w:t>
      </w:r>
      <w:r>
        <w:t xml:space="preserve"> </w:t>
      </w:r>
      <w:r>
        <w:t xml:space="preserve">Informacije iskazane u ovom obrascu ne uključuju podatke o specijaliziranom financiranju iz članka 153. stavka 5. Uredbe (EU) br. 575/2013 koje su uključene u obrascu C 08.06.</w:t>
      </w:r>
      <w:r>
        <w:t xml:space="preserve"> </w:t>
      </w:r>
      <w:r>
        <w:t xml:space="preserve">U ovaj se obrazac ne uključuju izloženosti kreditnom riziku druge ugovorne strane (dio treći glava II. poglavlje 6. Uredbe (EU) br. 575/2013).</w:t>
      </w:r>
    </w:p>
    <w:p w14:paraId="18B1A0B3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07" w:name="_Toc19715757"/>
      <w:bookmarkStart w:id="108" w:name="_Toc151714401"/>
      <w:r>
        <w:rPr>
          <w:sz w:val="24"/>
          <w:rFonts w:ascii="Times New Roman" w:hAnsi="Times New Roman"/>
        </w:rPr>
        <w:t xml:space="preserve">Upute za specifične pozicije</w:t>
      </w:r>
      <w:bookmarkEnd w:id="107"/>
      <w:bookmarkEnd w:id="108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1A83A24A" w14:textId="77777777" w:rsidTr="00822842">
        <w:tc>
          <w:tcPr>
            <w:tcW w:w="1188" w:type="dxa"/>
            <w:shd w:val="clear" w:color="auto" w:fill="CCCCCC"/>
          </w:tcPr>
          <w:p w14:paraId="716EB21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Stupci</w:t>
            </w:r>
          </w:p>
        </w:tc>
        <w:tc>
          <w:tcPr>
            <w:tcW w:w="8843" w:type="dxa"/>
            <w:shd w:val="clear" w:color="auto" w:fill="CCCCCC"/>
          </w:tcPr>
          <w:p w14:paraId="3EB4007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71C99AF9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B36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  <w:p w14:paraId="5AF0F519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A92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BILANČNE IZLOŽENOSTI</w:t>
            </w:r>
          </w:p>
          <w:p w14:paraId="00204A2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izloženosti izračunata u skladu s člankom 166. stavcima od 1. do 7. Uredbe (EU) br. 575/2013 ne uzimajući u obzir ispravke vrijednosti za kreditni rizik</w:t>
            </w:r>
          </w:p>
        </w:tc>
      </w:tr>
      <w:tr w:rsidR="00FB3D09" w:rsidRPr="002A677E" w14:paraId="22B6384B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365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1C2B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IZVANBILANČNE IZLOŽENOSTI PRIJE PRIMJENE KONVERZIJSKIH FAKTORA</w:t>
            </w:r>
          </w:p>
          <w:p w14:paraId="55489989" w14:textId="483DFDC9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izloženosti u skladu s člankom 166. stavcima od 1. do 7. Uredbe (EU) br. 575/2013, ne uzimajući u obzir ispravke vrijednosti za kreditni rizik i konverzijske faktore ni vlastite procjene i konverzijske faktore navedene u članku 166. stavku 8. Uredbe (EU) br. 575/2013.</w:t>
            </w:r>
          </w:p>
          <w:p w14:paraId="5D37048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Izvanbilančne izloženosti sastoje se od svih odobrenih, ali neiskorištenih iznosa i svih izvanbilančnih stavki, kako je navedeno u Prilogu I. Uredbi (EU) br. 575/2013.</w:t>
            </w:r>
          </w:p>
        </w:tc>
      </w:tr>
      <w:tr w:rsidR="00FB3D09" w:rsidRPr="002A677E" w14:paraId="5AAD700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490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325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PROSJEČNI KONVERZIJSKI FAKTORI PONDERIRANI IZNOSOM IZLOŽENOSTI</w:t>
            </w:r>
          </w:p>
          <w:p w14:paraId="69C8E2B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sve izloženosti uključene u svaki razred fiksnog raspona PD-a, prosječni konverzijski faktor koji institucije koriste u svojem izračunu iznosa izloženosti ponderiranih rizikom, ponderiran izvanbilančnom izloženosti prije primjene konverzijskih faktora kako je iskazano u stupcu 0020.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30332FF7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7A3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02FE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IZLOŽENOSTI NAKON PRIMJENE KONVERZIJSKIH FAKTORA I NAKON SMANJENJA KREDITNOG RIZIKA</w:t>
            </w:r>
          </w:p>
          <w:p w14:paraId="416A72E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izloženosti u skladu s člankom 166. Uredbe (EU) br. 575/2013</w:t>
            </w:r>
          </w:p>
          <w:p w14:paraId="2BC7EF47" w14:textId="0D3DE562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Ovaj stupac uključuje zbroj vrijednosti bilančnih i izvanbilančnih izloženosti nakon primjene konverzijskih faktora u skladu s člankom 166. stavcima 8. i 9. Uredbe (EU) br. 575/2013 i nakon tehnika smanjenja kreditnog rizika.</w:t>
            </w:r>
          </w:p>
        </w:tc>
      </w:tr>
      <w:tr w:rsidR="00FB3D09" w:rsidRPr="002A677E" w14:paraId="4E069FC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E0E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1DB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IZLOŽENOŠĆU PONDERIRAN PROSJEČNI PD (%)</w:t>
            </w:r>
          </w:p>
          <w:p w14:paraId="4DB9C65C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sve izloženosti uključene u svaki razred fiksnog raspona PD-a, prosječna procjena PD-a svakog dužnika, ponderirana vrijednošću izloženosti nakon primjene konverzijskih faktora i smanjenja kreditnog rizika kako je iskazano u stupcu 0040.</w:t>
            </w:r>
          </w:p>
          <w:p w14:paraId="6AFB841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ovom stupcu nije potrebno navesti ukupnu vrijednost za sve kategorije izloženosti.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2BC40F2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44D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05F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BROJ DUŽNIKA</w:t>
            </w:r>
          </w:p>
          <w:p w14:paraId="0F009E6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Broj pravnih subjekata ili dužnika raspoređen u svaki razred fiksnog raspona PD-a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5C904A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Broj dužnika računa se u skladu s uputama u stupcu 0300 obrasca C 08.01.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Zajednički dužnici tretiraju se jednako kao za potrebe kalibracije PD-a.</w:t>
            </w:r>
          </w:p>
        </w:tc>
      </w:tr>
      <w:tr w:rsidR="00FB3D09" w:rsidRPr="002A677E" w14:paraId="1AFC6165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08A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DA3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PROSJEČNI LGD PONDERIRAN VISINOM IZLOŽENOSTI (%)</w:t>
            </w:r>
          </w:p>
          <w:p w14:paraId="6424566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sve izloženosti uključene u svaki razred fiksnog raspona PD-a, prosječna procjena LGD-a svake izloženosti, ponderirana vrijednošću izloženosti nakon primjene konverzijskih faktora i nakon smanjenja kreditnog rizika kako je iskazano u stupcu 0040</w:t>
            </w:r>
          </w:p>
          <w:p w14:paraId="6112932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Iskazani LGD odgovara završnoj procjeni LGD-a koja je korištena u izračunu iznosa ponderiranih rizikom dobivenih nakon uzimanja u obzir svih učinaka smanjenja kreditnog rizika i okolnosti recesije ako je relevantno.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izloženosti prema stanovništvu osigurane nekretninama u iskazanom LGD-u uzima se u obzir donja granica utvrđena u članku 164. stavku 4. Uredbe (EU) br. 575/2013.</w:t>
            </w:r>
          </w:p>
          <w:p w14:paraId="4123D9EA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izloženosti u statusu neispunjavanja obveza u skladu s A-IRB pristupom, uzimaju se u obzir odredbe članka 181. stavka 1. točke (h)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Iskazani LGD odgovara procjeni LGD-a u statusu neispunjavanja obveza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u skladu s</w:t>
            </w:r>
            <w:r>
              <w:rPr>
                <w:sz w:val="24"/>
                <w:rFonts w:ascii="Times New Roman" w:hAnsi="Times New Roman"/>
              </w:rPr>
              <w:t xml:space="preserve"> primjenjivim metodologijama procjene.</w:t>
            </w:r>
          </w:p>
          <w:p w14:paraId="176BBB4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ovom stupcu nije potrebno navesti ukupnu vrijednost za sve kategorije izloženosti.</w:t>
            </w:r>
          </w:p>
        </w:tc>
      </w:tr>
      <w:tr w:rsidR="00FB3D09" w:rsidRPr="002A677E" w14:paraId="449A226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27E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667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PROSJEČNO DOSPIJEĆE PONDERIRANO IZNOSOM IZLOŽENOSTI (U GODINAMA)</w:t>
            </w:r>
          </w:p>
          <w:p w14:paraId="44C8EC5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sve izloženosti uključene u svaki razred fiksnog raspona PD-a, prosječno dospijeće svake izloženosti, ponderirano vrijednošću izloženosti nakon primjene konverzijskih faktora i smanjenja kreditnog rizika kako je iskazano u stupcu 0040</w:t>
            </w:r>
          </w:p>
          <w:p w14:paraId="6B1FFBC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Vrijednost koja se iskazuje utvrđuje se u skladu s člankom 162. Uredbe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0A0AC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Prosječno dospijeće iskazuje se u godinama.</w:t>
            </w:r>
          </w:p>
          <w:p w14:paraId="2D4B80D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 se podaci ne iskazuju za vrijednosti izloženosti za koje dospijeće nije element izračuna iznosa izloženosti ponderiranih rizikom u skladu s dijelom trećim glavom II. poglavljem 3.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To znači da se ovaj stupac ne ispunjava za kategoriju izloženosti „stanovništvo”.</w:t>
            </w:r>
          </w:p>
        </w:tc>
      </w:tr>
      <w:tr w:rsidR="00FB3D09" w:rsidRPr="002A677E" w14:paraId="6D53A25A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A326" w14:textId="77777777" w:rsidR="00FB3D09" w:rsidRPr="002A677E" w:rsidDel="00F079B2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0E6B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NAKON PRIMJENE POMOĆNIH FAKTORA</w:t>
            </w:r>
          </w:p>
          <w:p w14:paraId="62CEA76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izloženosti prema središnjim državama i središnjim bankama, institucijama i trgovačkim društvima, iznos izloženosti ponderiran rizikom koji se izračunava u skladu s člankom 153. stavcima od 1. do 4.;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izloženosti prema stanovništvu, iznos izloženosti ponderiran rizikom koji se izračunava u skladu s člankom 154. Uredbe (EU) br. 575/2013.</w:t>
            </w:r>
          </w:p>
          <w:p w14:paraId="2CF926D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Pomoćni faktori za MSP-ove i infrastrukturu iz članaka 501. i 501.a Uredbe (EU) br. 575/2013 uzimaju se u obzir.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5C992AF3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842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B09C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OČEKIVANOGA GUBITKA</w:t>
            </w:r>
          </w:p>
          <w:p w14:paraId="553224A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Iznos očekivanog gubitka izračunat u skladu s člankom 158. Uredbe (EZ) br. 575/2013</w:t>
            </w:r>
          </w:p>
          <w:p w14:paraId="7FB4F7F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Izračun iznosa očekivanoga gubitka koji se iskazuje temelji se na stvarnim parametrima rizika koji su upotrijebljeni u internoj rejting-skali koju je odobrilo odgovarajuće nadležno tijelo.</w:t>
            </w:r>
          </w:p>
        </w:tc>
      </w:tr>
      <w:tr w:rsidR="00FB3D09" w:rsidRPr="002A677E" w14:paraId="41A60CF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87E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FB7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(–) VRIJEDNOSNA USKLAĐENJA I REZERVACIJE</w:t>
            </w:r>
          </w:p>
          <w:p w14:paraId="6396EDF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Specifični i opći ispravci vrijednosti za kreditni rizik u skladu s Delegiranom uredbom Komisije (EU) br. 183/2014, dodatna vrijednosna usklađenja u skladu s člancima 34. i 110. Uredbe (EU) br. 575/2013 te smanjenja regulatornog kapitala povezana s izloženostima raspoređenima u svaki razred fiksnog raspona PD-a.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0338EC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 vrijednosna usklađenja i rezervacije oni su koji se uzimaju u obzir pri primjeni članka 159. Uredbe (EU) br. 575/2013.</w:t>
            </w:r>
          </w:p>
          <w:p w14:paraId="44F9E3D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Opće se rezervacije iskazuju raspoređivanjem iznosa na proporcionalnoj osnovi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u skladu s</w:t>
            </w:r>
            <w:r>
              <w:rPr>
                <w:sz w:val="24"/>
                <w:rFonts w:ascii="Times New Roman" w:hAnsi="Times New Roman"/>
              </w:rPr>
              <w:t xml:space="preserve"> očekivanim gubitkom različitih rejting-kategorija dužnika.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1A4B339F" w14:textId="77777777" w:rsidR="00FB3D09" w:rsidRPr="002A677E" w:rsidRDefault="00FB3D09" w:rsidP="00FB3D09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57"/>
      </w:tblGrid>
      <w:tr w:rsidR="00FB3D09" w:rsidRPr="002A677E" w14:paraId="27D32695" w14:textId="77777777" w:rsidTr="00822842">
        <w:tc>
          <w:tcPr>
            <w:tcW w:w="1271" w:type="dxa"/>
            <w:shd w:val="clear" w:color="auto" w:fill="auto"/>
          </w:tcPr>
          <w:p w14:paraId="52082BD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Redci</w:t>
            </w:r>
          </w:p>
        </w:tc>
        <w:tc>
          <w:tcPr>
            <w:tcW w:w="8557" w:type="dxa"/>
            <w:shd w:val="clear" w:color="auto" w:fill="auto"/>
          </w:tcPr>
          <w:p w14:paraId="1E8678C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45ADFC09" w14:textId="77777777" w:rsidTr="00822842">
        <w:tc>
          <w:tcPr>
            <w:tcW w:w="1271" w:type="dxa"/>
          </w:tcPr>
          <w:p w14:paraId="6A7BEAE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RASPON PD-a</w:t>
            </w:r>
          </w:p>
        </w:tc>
        <w:tc>
          <w:tcPr>
            <w:tcW w:w="8557" w:type="dxa"/>
          </w:tcPr>
          <w:p w14:paraId="2EEEC841" w14:textId="21B277A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se raspoređuju u odgovarajući razred fiksnog raspona PD-a na temelju procijenjenog PD-a za svakog dužnika koji je raspoređen u tu kategoriju izloženosti (uzimajući u obzir sve učinke zamjene zbog smanjenja kreditnog rizika).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Institucije raspoređuju izloženost po izloženost u raspon PD-a naveden u obrascu, uzimajući u obzir i kontinuirane raspone.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Sve izloženosti u statusu neispunjavanja obveza uključuju se u razred koji predstavlja PD od 100 %.</w:t>
            </w:r>
          </w:p>
          <w:p w14:paraId="19852B86" w14:textId="77777777" w:rsidR="00FB3D09" w:rsidRDefault="00FB3D09" w:rsidP="00822842">
            <w:pPr>
              <w:rPr>
                <w:rFonts w:ascii="Times New Roman" w:hAnsi="Times New Roman"/>
                <w:sz w:val="24"/>
              </w:rPr>
            </w:pPr>
          </w:p>
          <w:p w14:paraId="24E3793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{r0170, c0050} i {r0170, c0070} iskazuju se za svaku kategoriju izloženosti, ali ne iskazuju za ukupnu vrijednost svih kategorija izloženosti.</w:t>
            </w:r>
          </w:p>
        </w:tc>
      </w:tr>
    </w:tbl>
    <w:p w14:paraId="3EAAC2EE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09" w:name="_Toc19715758"/>
      <w:bookmarkStart w:id="110" w:name="_Toc151714402"/>
      <w:r>
        <w:rPr>
          <w:sz w:val="24"/>
          <w:rFonts w:ascii="Times New Roman" w:hAnsi="Times New Roman"/>
        </w:rPr>
        <w:t xml:space="preserve">C 08.04 – Kreditni rizik i slobodne isporuke: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 pristup kapitalnim zahtjevima (Izvješća o tokovima RWEA CR IRB 4)</w:t>
      </w:r>
      <w:bookmarkEnd w:id="109"/>
      <w:bookmarkEnd w:id="110"/>
    </w:p>
    <w:p w14:paraId="38050040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1" w:name="_Toc19715759"/>
      <w:bookmarkStart w:id="112" w:name="_Toc151714403"/>
      <w:r>
        <w:rPr>
          <w:sz w:val="24"/>
          <w:rFonts w:ascii="Times New Roman" w:hAnsi="Times New Roman"/>
        </w:rPr>
        <w:t xml:space="preserve">Opće napomene</w:t>
      </w:r>
      <w:bookmarkEnd w:id="111"/>
      <w:bookmarkEnd w:id="112"/>
    </w:p>
    <w:p w14:paraId="32E75E48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78</w:t>
      </w:r>
      <w:r>
        <w:fldChar w:fldCharType="end"/>
      </w:r>
      <w:r>
        <w:t xml:space="preserve">.</w:t>
      </w:r>
      <w:r>
        <w:t xml:space="preserve"> </w:t>
      </w:r>
      <w:r>
        <w:t xml:space="preserve">Institucije iskazuju informacije iz ovog obrasca pri primjeni članka 438. točke (h) Uredbe (EU) br. 575/2013.</w:t>
      </w:r>
      <w:r>
        <w:t xml:space="preserve"> </w:t>
      </w:r>
      <w:r>
        <w:t xml:space="preserve">U ovaj se obrazac ne uključuju izloženosti kreditnom riziku druge ugovorne strane (dio treći glava II. poglavlje 6. Uredbe (EU) br. 575/2013).</w:t>
      </w:r>
    </w:p>
    <w:p w14:paraId="7118D17C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 w:rsidRPr="00624117">
        <w:fldChar w:fldCharType="begin" w:dirty="true"/>
      </w:r>
      <w:r w:rsidRPr="002A677E">
        <w:instrText xml:space="preserve"> seq paragraphs </w:instrText>
      </w:r>
      <w:r w:rsidRPr="00624117">
        <w:fldChar w:fldCharType="separate"/>
      </w:r>
      <w:r>
        <w:t>79</w:t>
      </w:r>
      <w:r w:rsidRPr="00624117">
        <w:fldChar w:fldCharType="end"/>
      </w:r>
      <w:r>
        <w:t xml:space="preserve">.</w:t>
      </w:r>
      <w:r>
        <w:t xml:space="preserve"> </w:t>
      </w:r>
      <w:r>
        <w:t xml:space="preserve">Institucije iskazuju tokove RWEA kao promjene između iznosa izloženosti ponderiranih rizikom na izvještajni datum i iznosa izloženosti ponderiranih rizikom na prethodni izvještajni datum.</w:t>
      </w:r>
      <w:r>
        <w:t xml:space="preserve"> </w:t>
      </w:r>
      <w:r>
        <w:t xml:space="preserve">U slučaju tromjesečnog izvješćivanja, iskazuje se kraj tromjesečja prije tromjesečja referentnog izvještajnog datuma.</w:t>
      </w:r>
      <w:r>
        <w:t xml:space="preserve"> </w:t>
      </w:r>
    </w:p>
    <w:p w14:paraId="60298060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3" w:name="_Toc19715760"/>
      <w:bookmarkStart w:id="114" w:name="_Toc151714404"/>
      <w:r>
        <w:rPr>
          <w:sz w:val="24"/>
          <w:rFonts w:ascii="Times New Roman" w:hAnsi="Times New Roman"/>
        </w:rPr>
        <w:t xml:space="preserve">Upute za specifične pozicije</w:t>
      </w:r>
      <w:bookmarkEnd w:id="113"/>
      <w:bookmarkEnd w:id="11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0997C591" w14:textId="77777777" w:rsidTr="00822842">
        <w:tc>
          <w:tcPr>
            <w:tcW w:w="1188" w:type="dxa"/>
            <w:tcBorders>
              <w:bottom w:val="single" w:sz="4" w:space="0" w:color="auto"/>
            </w:tcBorders>
            <w:shd w:val="clear" w:color="auto" w:fill="CCCCCC"/>
          </w:tcPr>
          <w:p w14:paraId="332EC64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Stupac</w:t>
            </w:r>
          </w:p>
        </w:tc>
        <w:tc>
          <w:tcPr>
            <w:tcW w:w="8843" w:type="dxa"/>
            <w:tcBorders>
              <w:bottom w:val="single" w:sz="4" w:space="0" w:color="auto"/>
            </w:tcBorders>
            <w:shd w:val="clear" w:color="auto" w:fill="CCCCCC"/>
          </w:tcPr>
          <w:p w14:paraId="247A799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2B589794" w14:textId="77777777" w:rsidTr="00822842">
        <w:trPr>
          <w:trHeight w:val="97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FD2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  <w:p w14:paraId="2235B055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827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</w:t>
            </w:r>
          </w:p>
          <w:p w14:paraId="0E2B39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Ukupni iznos izloženosti ponderiran rizikom za kreditni rizik izračunat u skladu s IRB pristupom, uzimajući u obzir pomoćne faktore u skladu s člancima 501. i 501.a Uredbe (EU) br. 575/2013.</w:t>
            </w:r>
          </w:p>
        </w:tc>
      </w:tr>
      <w:tr w:rsidR="00FB3D09" w:rsidRPr="002A677E" w14:paraId="4E7D65E6" w14:textId="77777777" w:rsidTr="00822842">
        <w:trPr>
          <w:trHeight w:val="338"/>
        </w:trPr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BBCD24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B99B08" w14:textId="77777777" w:rsidR="00FB3D09" w:rsidRPr="002A677E" w:rsidRDefault="00FB3D09" w:rsidP="00822842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B3D09" w:rsidRPr="002A677E" w14:paraId="7ED73005" w14:textId="77777777" w:rsidTr="00822842">
        <w:tc>
          <w:tcPr>
            <w:tcW w:w="1188" w:type="dxa"/>
            <w:shd w:val="clear" w:color="auto" w:fill="CCCCCC"/>
          </w:tcPr>
          <w:p w14:paraId="3BBB0A0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Redci</w:t>
            </w:r>
          </w:p>
        </w:tc>
        <w:tc>
          <w:tcPr>
            <w:tcW w:w="8843" w:type="dxa"/>
            <w:shd w:val="clear" w:color="auto" w:fill="CCCCCC"/>
          </w:tcPr>
          <w:p w14:paraId="117CE12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1452B7A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24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B5F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NA KRAJU PRETHODNOG IZVJEŠTAJNOG RAZDOBLJA</w:t>
            </w:r>
          </w:p>
          <w:p w14:paraId="1DA9C0B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Iznos izloženosti ponderiran rizikom na kraju prethodnog izvještajnog razdoblja nakon primjene pomoćnih faktora za MSP-ove i infrastrukturu iz članaka 501. i 501.a Uredbe (EU) br. 575/2013</w:t>
            </w:r>
          </w:p>
        </w:tc>
      </w:tr>
      <w:tr w:rsidR="00FB3D09" w:rsidRPr="002A677E" w14:paraId="512A9B2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114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BC1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VISINA IMOVINE (+/-)</w:t>
            </w:r>
          </w:p>
          <w:p w14:paraId="1F51764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Promjena iznosa izloženosti ponderiranog rizikom u razdoblju od kraja prethodnog izvještajnog razdoblja do kraja tekućeg izvještajnog razdoblja, zbog visine imovine, tj. organske promjene veličine i sastava knjige (uključujući podrijetlo novih poslova i dospjelih kredita), ali ne uključujući promjene veličine knjige trgovanja uzrokovane preuzimanjem i otuđivanjem subjekata.</w:t>
            </w:r>
          </w:p>
          <w:p w14:paraId="13341C3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Povećanja iznosa izloženosti ponderiranih rizikom iskazuju se kao pozitivan iznos, a smanjenja iznosa izloženosti ponderiranih rizikom iskazuju se kao negativan iznos.</w:t>
            </w:r>
          </w:p>
        </w:tc>
      </w:tr>
      <w:tr w:rsidR="00FB3D09" w:rsidRPr="002A677E" w14:paraId="17C5A80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241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BEE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KVALITETA IMOVINE (+/-)</w:t>
            </w:r>
          </w:p>
          <w:p w14:paraId="7712664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Promjena iznosa izloženosti ponderiranog rizikom u razdoblju od kraja prethodnog izvještajnog razdoblja do kraja tekućeg izvještajnog razdoblja, zbog kvalitete imovine, tj. promjene procijenjene kvalitete imovine institucije zbog promjena u riziku dužnika, kao što su migracije rejting kategorija ili slični učinci.</w:t>
            </w:r>
          </w:p>
          <w:p w14:paraId="17EA6F8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Povećanja iznosa izloženosti ponderiranih rizikom iskazuju se kao pozitivan iznos, a smanjenja iznosa izloženosti ponderiranih rizikom iskazuju se kao negativan iznos.</w:t>
            </w:r>
          </w:p>
        </w:tc>
      </w:tr>
      <w:tr w:rsidR="00FB3D09" w:rsidRPr="002A677E" w14:paraId="6AF2D12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AC1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09B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AŽURIRANJA MODELA (+/-)</w:t>
            </w:r>
          </w:p>
          <w:p w14:paraId="44A3009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Promjena iznosa izloženosti ponderiranog rizikom u razdoblju od kraja prethodnog izvještajnog razdoblja do kraja tekućeg izvještajnog razdoblja, zbog ažuriranja modela, tj. promjene uzrokovane primjenom novih modela, promjene u modelima, promjene u području primjene modela ili druge promjene namijenjene uklanjanju slabosti modela.</w:t>
            </w:r>
          </w:p>
          <w:p w14:paraId="3C5A301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Povećanja iznosa izloženosti ponderiranih rizikom iskazuju se kao pozitivan iznos, a smanjenja iznosa izloženosti ponderiranih rizikom iskazuju se kao negativan iznos.</w:t>
            </w:r>
          </w:p>
        </w:tc>
      </w:tr>
      <w:tr w:rsidR="00FB3D09" w:rsidRPr="002A677E" w14:paraId="538C4129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E518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A73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METODOLOGIJA I POLITIKA (+/-)</w:t>
            </w:r>
          </w:p>
          <w:p w14:paraId="630D0C5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Promjena iznosa izloženosti ponderiranog rizikom u razdoblju od kraja prethodnog izvještajnog razdoblja do kraja tekućeg izvještajnog razdoblja, zbog metodologije i politike, tj. promjene uzrokovane metodološkim promjenama u izračunima koje proizlaze iz promjena regulatorne politike, uključujući revizije postojećih i novih uredbi, ne uključujući promjene u modelima koje su navedene u retku 0040.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6A06D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Povećanja iznosa izloženosti ponderiranih rizikom iskazuju se kao pozitivan iznos, a smanjenja iznosa izloženosti ponderiranih rizikom iskazuju se kao negativan iznos.</w:t>
            </w:r>
          </w:p>
        </w:tc>
      </w:tr>
      <w:tr w:rsidR="00FB3D09" w:rsidRPr="002A677E" w14:paraId="1DA64889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A6F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799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PREUZIMANJA I OTUĐIVANJA (+/-)</w:t>
            </w:r>
          </w:p>
          <w:p w14:paraId="3CDAAB1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Promjena iznosa izloženosti ponderiranog rizikom u razdoblju od kraja prethodnog izvještajnog razdoblja do kraja tekućeg izvještajnog razdoblja, zbog preuzimanja i prodaje, tj. promjene veličine knjige uzrokovane preuzimanjem i otuđivanjem subjekata.</w:t>
            </w:r>
          </w:p>
          <w:p w14:paraId="2BE224B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Povećanja iznosa izloženosti ponderiranih rizikom iskazuju se kao pozitivan iznos, a smanjenja iznosa izloženosti ponderiranih rizikom iskazuju se kao negativan iznos.</w:t>
            </w:r>
          </w:p>
        </w:tc>
      </w:tr>
      <w:tr w:rsidR="00FB3D09" w:rsidRPr="002A677E" w14:paraId="09BBCECA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9660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94C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KRETANJA STRANE VALUTE (+/-)</w:t>
            </w:r>
          </w:p>
          <w:p w14:paraId="5F574A4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Promjena iznosa izloženosti ponderiranog rizikom u razdoblju od kraja prethodnog izvještajnog razdoblja do kraja tekućeg izvještajnog razdoblja, zbog kretanja strane valute, tj. promjene koje nastaju zbog kretanja strane valute.</w:t>
            </w:r>
          </w:p>
          <w:p w14:paraId="32C9FB5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Povećanja iznosa izloženosti ponderiranih rizikom iskazuju se kao pozitivan iznos, a smanjenja iznosa izloženosti ponderiranih rizikom iskazuju se kao negativan iznos.</w:t>
            </w:r>
          </w:p>
        </w:tc>
      </w:tr>
      <w:tr w:rsidR="00FB3D09" w:rsidRPr="002A677E" w14:paraId="3535A9E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8C5D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BAF1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OSTALO (+/-)</w:t>
            </w:r>
          </w:p>
          <w:p w14:paraId="5F09C0B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Promjena iznosa izloženosti ponderiranog rizikom u razdoblju od kraja prethodnog izvještajnog razdoblja do kraja tekućeg izvještajnog razdoblja, zbog drugih uzročnika.</w:t>
            </w:r>
          </w:p>
          <w:p w14:paraId="14338D9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Ova se kategorija koristi za bilježenje promjena koje se ne mogu pripisati nijednoj drugoj kategoriji.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8CAC00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Povećanja iznosa izloženosti ponderiranih rizikom iskazuju se kao pozitivan iznos, a smanjenja iznosa izloženosti ponderiranih rizikom iskazuju se kao negativan iznos.</w:t>
            </w:r>
          </w:p>
        </w:tc>
      </w:tr>
      <w:tr w:rsidR="00FB3D09" w:rsidRPr="002A677E" w14:paraId="0BDA1D0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E93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FAA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NA KRAJU IZVJEŠTAJNOG RAZDOBLJA</w:t>
            </w:r>
          </w:p>
          <w:p w14:paraId="1FFEC50C" w14:textId="77777777" w:rsidR="00FB3D09" w:rsidRPr="002A677E" w:rsidRDefault="00FB3D09" w:rsidP="00822842">
            <w:pPr>
              <w:pStyle w:val="CommentText"/>
            </w:pPr>
            <w:r>
              <w:rPr>
                <w:sz w:val="24"/>
                <w:rFonts w:ascii="Times New Roman" w:hAnsi="Times New Roman"/>
              </w:rPr>
              <w:t xml:space="preserve">Iznos izloženosti ponderiran rizikom u izvještajnom razdoblju nakon primjene pomoćnih faktora za MSP-ove i infrastrukturu iz članaka 501. i 501.a Uredbe (EU) br. 575/2013</w:t>
            </w:r>
          </w:p>
        </w:tc>
      </w:tr>
    </w:tbl>
    <w:p w14:paraId="49993E55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15" w:name="_Toc19715761"/>
      <w:bookmarkStart w:id="116" w:name="_Toc151714405"/>
      <w:r>
        <w:rPr>
          <w:sz w:val="24"/>
          <w:rFonts w:ascii="Times New Roman" w:hAnsi="Times New Roman"/>
        </w:rPr>
        <w:t xml:space="preserve">C 08.05 – Kreditni rizik i slobodne isporuke: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 pristup kapitalnim zahtjevima (retroaktivno testiranje PD-a (CR IRB 5))</w:t>
      </w:r>
      <w:bookmarkEnd w:id="115"/>
      <w:bookmarkEnd w:id="116"/>
    </w:p>
    <w:p w14:paraId="16F92F14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7" w:name="_Toc19715762"/>
      <w:bookmarkStart w:id="118" w:name="_Toc151714406"/>
      <w:r>
        <w:rPr>
          <w:sz w:val="24"/>
          <w:rFonts w:ascii="Times New Roman" w:hAnsi="Times New Roman"/>
        </w:rPr>
        <w:t xml:space="preserve">Opće napomene</w:t>
      </w:r>
      <w:bookmarkEnd w:id="117"/>
      <w:bookmarkEnd w:id="118"/>
    </w:p>
    <w:p w14:paraId="708FD0D4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80</w:t>
      </w:r>
      <w:r>
        <w:fldChar w:fldCharType="end"/>
      </w:r>
      <w:r>
        <w:t xml:space="preserve">.</w:t>
      </w:r>
      <w:r>
        <w:t xml:space="preserve"> </w:t>
      </w:r>
      <w:r>
        <w:t xml:space="preserve">Institucije iskazuju informacije iz ovog obrasca pri primjeni članka 452. točke (h) Uredbe (EU) br. 575/2013.</w:t>
      </w:r>
      <w:r>
        <w:t xml:space="preserve"> </w:t>
      </w:r>
      <w:r>
        <w:t xml:space="preserve">Institucije uzimaju u obzir modele koji se koriste za svaku kategoriju izloženosti i objašnjavaju postotak iznosa izloženosti ponderiranog rizikom relevantne kategorije izloženosti koju pokrivaju modeli za koje se ovdje iskazuju rezultati retroaktivnog testiranja.</w:t>
      </w:r>
      <w:r>
        <w:t xml:space="preserve"> </w:t>
      </w:r>
      <w:r>
        <w:t xml:space="preserve">U ovaj se obrazac ne uključuju izloženosti kreditnom riziku druge ugovorne strane (dio treći glava II. poglavlje 6. Uredbe (EU) br. 575/2013).</w:t>
      </w:r>
    </w:p>
    <w:p w14:paraId="584B488E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9" w:name="_Toc19715763"/>
      <w:bookmarkStart w:id="120" w:name="_Toc151714407"/>
      <w:r>
        <w:rPr>
          <w:sz w:val="24"/>
          <w:rFonts w:ascii="Times New Roman" w:hAnsi="Times New Roman"/>
        </w:rPr>
        <w:t xml:space="preserve">Upute za specifične pozicije</w:t>
      </w:r>
      <w:bookmarkEnd w:id="119"/>
      <w:bookmarkEnd w:id="12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768D8734" w14:textId="77777777" w:rsidTr="00822842">
        <w:tc>
          <w:tcPr>
            <w:tcW w:w="1188" w:type="dxa"/>
            <w:shd w:val="clear" w:color="auto" w:fill="CCCCCC"/>
          </w:tcPr>
          <w:p w14:paraId="5B2B4D0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Stupci</w:t>
            </w:r>
          </w:p>
        </w:tc>
        <w:tc>
          <w:tcPr>
            <w:tcW w:w="8843" w:type="dxa"/>
            <w:shd w:val="clear" w:color="auto" w:fill="CCCCCC"/>
          </w:tcPr>
          <w:p w14:paraId="2736A61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543ACB4E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DC7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7D6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ARITMETIČKI PROSJEČNI PD (%)</w:t>
            </w:r>
          </w:p>
          <w:p w14:paraId="369D866D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Aritmetički prosječni PD na početku izvještajnog razdoblja dužnika koji se raspoređuju u razred fiksnog PD raspona i izračunava u stupcu 0020 (ponderiran prosjekom broja dužnika)</w:t>
            </w:r>
          </w:p>
        </w:tc>
      </w:tr>
      <w:tr w:rsidR="00FB3D09" w:rsidRPr="002A677E" w14:paraId="2E5C5302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42A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8004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BROJ DUŽNIKA NA KRAJU PRETHODNE GODINE</w:t>
            </w:r>
          </w:p>
          <w:p w14:paraId="1D7F3DC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Broj dužnika o kojima se izvješćuje na kraju prethodne godine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726FB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Navode se svi dužnici koji imaju kreditnu obvezu u relevantnom razdoblju.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234603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Broj dužnika računa se u skladu s uputama u stupcu 0300 obrasca C 08.01.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Zajednički dužnici tretiraju se jednako kao za potrebe kalibracije PD-a.</w:t>
            </w:r>
          </w:p>
        </w:tc>
      </w:tr>
      <w:tr w:rsidR="00FB3D09" w:rsidRPr="002A677E" w14:paraId="14CA9E03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479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BA6B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OD ČEGA: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 STATUSU NEISPUNJAVANJA OBVEZA TIJEKOM GODINE</w:t>
            </w:r>
          </w:p>
          <w:p w14:paraId="62E6E1C3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Broj dužnika koji su bili u statusu neispunjavanja obveza tijekom godine (tj. razdoblja promatranja izračuna stope neispunjavanja obveza)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E6FF3A5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Status neispunjavanja obveza utvrđuje se u skladu s člankom 178. Uredbe (EU) br.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7E2D9C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Svaki dužnik u statusu neispunjavanja obveza broji se samo jednom u brojniku i nazivniku izračuna jednogodišnje stope neispunjavanja obveza, čak i ako je dužnik tijekom relevantnog jednogodišnjeg razdoblja više puta bio u statusu neispunjavanja obveza.</w:t>
            </w:r>
          </w:p>
        </w:tc>
      </w:tr>
      <w:tr w:rsidR="00FB3D09" w:rsidRPr="002A677E" w14:paraId="5FAAFE72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9B5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AED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ZABILJEŽENA PROSJEČNA STOPA NEISPUNJAVANJA OBVEZA (%)</w:t>
            </w:r>
          </w:p>
          <w:p w14:paraId="2D64742F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Jednogodišnja stopa neispunjavanja obveza iz članka 4. stavka 1. točka 78. Uredbe (EU) br. 575/2013</w:t>
            </w:r>
          </w:p>
          <w:p w14:paraId="01C9FA62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osiguravaju:</w:t>
            </w:r>
          </w:p>
          <w:p w14:paraId="3C9723C5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 da nazivnik sadržava broj dužnika koji su na početku jednogodišnjeg razdoblja (tj. početak godine prije izvještajnog referentnog datuma) imali kreditnu obvezu i koji nisu u statusu neispunjavanja obveza;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tom kontekstu kreditna obveza odnosi se na sljedeće: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i. bilo kakve bilančne stavke, uključujući sve iznose glavnice, kamata i provizija;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ii. bilo kakve izvanbilančne stavke, uključujući jamstva koja je institucija izdala kao davatelj jamstva.</w:t>
            </w:r>
          </w:p>
          <w:p w14:paraId="0D440FD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 da brojnik uključuje sve one dužnike iz nazivnika koji su u jednogodišnjem razdoblju (godina prije referentnog izvještajnog datuma) imali najmanje jedan nastanak statusa neispunjavanja obveza.</w:t>
            </w:r>
          </w:p>
          <w:p w14:paraId="071F87D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izračun broja dužnika vidjeti stupac 0300 u obrascu C 08.01.</w:t>
            </w:r>
          </w:p>
        </w:tc>
      </w:tr>
      <w:tr w:rsidR="00FB3D09" w:rsidRPr="002A677E" w14:paraId="5135E71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563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9762" w14:textId="77777777" w:rsidR="00FB3D09" w:rsidRPr="002A677E" w:rsidRDefault="00FB3D09" w:rsidP="00822842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PROSJEČNA POVIJESNA GODIŠNJA STOPA NEISPUNJAVANJA OBVEZA (%)</w:t>
            </w:r>
          </w:p>
          <w:p w14:paraId="584459C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Minimum je jednostavni prosjek godišnje stope nastanka statusa neispunjavanja obveza u zadnjih pet godina (dužnici na početku godine koji su bili u statusu neispunjavanja obveza tijekom te godine / ukupni dužnici na početku godine).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Institucije mogu uzeti u obzir dulje povijesno razdoblje koje je u skladu sa stvarnom praksom upravljanja rizikom institucije.</w:t>
            </w:r>
          </w:p>
        </w:tc>
      </w:tr>
    </w:tbl>
    <w:p w14:paraId="1BEF1A20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57"/>
      </w:tblGrid>
      <w:tr w:rsidR="00FB3D09" w:rsidRPr="002A677E" w14:paraId="1B84D0E8" w14:textId="77777777" w:rsidTr="00822842">
        <w:tc>
          <w:tcPr>
            <w:tcW w:w="1271" w:type="dxa"/>
            <w:shd w:val="clear" w:color="auto" w:fill="auto"/>
          </w:tcPr>
          <w:p w14:paraId="3EC9FD0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Redci</w:t>
            </w:r>
          </w:p>
        </w:tc>
        <w:tc>
          <w:tcPr>
            <w:tcW w:w="8557" w:type="dxa"/>
            <w:shd w:val="clear" w:color="auto" w:fill="auto"/>
          </w:tcPr>
          <w:p w14:paraId="65FC4F8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3C8ED033" w14:textId="77777777" w:rsidTr="00822842">
        <w:tc>
          <w:tcPr>
            <w:tcW w:w="1271" w:type="dxa"/>
          </w:tcPr>
          <w:p w14:paraId="514F115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RASPON PD-a</w:t>
            </w:r>
          </w:p>
        </w:tc>
        <w:tc>
          <w:tcPr>
            <w:tcW w:w="8557" w:type="dxa"/>
          </w:tcPr>
          <w:p w14:paraId="61595E98" w14:textId="56A50A6C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se raspoređuju u odgovarajući razred fiksnog raspona PD-a na temelju procijenjenog PD-a na početku izvještajnog razdoblja za svakog dužnika koji je raspoređen u tu kategoriju izloženosti (uzimajući u obzir sve učinke zamjene zbog smanjenja kreditnog rizika).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Institucije raspoređuju izloženost po izloženost u raspon PD-a naveden u obrascu, uzimajući u obzir i kontinuirane raspone.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Sve izloženosti u statusu neispunjavanja obveza uključuju se u razred koji predstavlja PD od 100 %.</w:t>
            </w:r>
          </w:p>
        </w:tc>
      </w:tr>
    </w:tbl>
    <w:p w14:paraId="4DD60C58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21" w:name="_Toc19715764"/>
      <w:bookmarkStart w:id="122" w:name="_Toc151714408"/>
      <w:r>
        <w:rPr>
          <w:sz w:val="24"/>
          <w:rFonts w:ascii="Times New Roman" w:hAnsi="Times New Roman"/>
        </w:rPr>
        <w:t xml:space="preserve">C 08.05.1 – Kreditni rizik i slobodne isporuke: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 pristup kapitalnim zahtjevima: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Retroaktivno testiranje PD-a u skladu s člankom 180. stavkom 1. točkom (f) Uredbe (EU) br. 575/2013 (CR IRB 5B)</w:t>
      </w:r>
      <w:bookmarkEnd w:id="121"/>
      <w:bookmarkEnd w:id="122"/>
    </w:p>
    <w:p w14:paraId="27A46150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23" w:name="_Toc19715765"/>
      <w:bookmarkStart w:id="124" w:name="_Toc151714409"/>
      <w:r>
        <w:rPr>
          <w:sz w:val="24"/>
          <w:rFonts w:ascii="Times New Roman" w:hAnsi="Times New Roman"/>
        </w:rPr>
        <w:t xml:space="preserve">Upute za specifične pozicije</w:t>
      </w:r>
      <w:bookmarkEnd w:id="123"/>
      <w:bookmarkEnd w:id="124"/>
    </w:p>
    <w:p w14:paraId="68360FA1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81</w:t>
      </w:r>
      <w:r>
        <w:fldChar w:fldCharType="end"/>
      </w:r>
      <w:r>
        <w:t xml:space="preserve">.</w:t>
      </w:r>
      <w:r>
        <w:t xml:space="preserve"> </w:t>
      </w:r>
      <w:r>
        <w:t xml:space="preserve">Uz obrazac C 08.05, institucije iskazuju informacije uključene u obrazac C 08.05.1 ako primjenjuju članak 180. stavak 1. točku (f) Uredbe (EU) br. 575/2013 za procjenu PD-a i samo za procjene PD-a u skladu s istim člankom.</w:t>
      </w:r>
      <w:r>
        <w:t xml:space="preserve"> </w:t>
      </w:r>
      <w:r>
        <w:t xml:space="preserve">Upute su jednake kao za obrazac C 08.05, uz sljedeće iznimke: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1E2F3B8E" w14:textId="77777777" w:rsidTr="00822842">
        <w:tc>
          <w:tcPr>
            <w:tcW w:w="1188" w:type="dxa"/>
            <w:shd w:val="clear" w:color="auto" w:fill="CCCCCC"/>
          </w:tcPr>
          <w:p w14:paraId="7D027DF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Stupci</w:t>
            </w:r>
          </w:p>
        </w:tc>
        <w:tc>
          <w:tcPr>
            <w:tcW w:w="8843" w:type="dxa"/>
            <w:shd w:val="clear" w:color="auto" w:fill="CCCCCC"/>
          </w:tcPr>
          <w:p w14:paraId="63A7247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528697BD" w14:textId="77777777" w:rsidTr="00822842">
        <w:tc>
          <w:tcPr>
            <w:tcW w:w="1188" w:type="dxa"/>
            <w:shd w:val="clear" w:color="auto" w:fill="auto"/>
          </w:tcPr>
          <w:p w14:paraId="150C8B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8843" w:type="dxa"/>
            <w:shd w:val="clear" w:color="auto" w:fill="auto"/>
          </w:tcPr>
          <w:p w14:paraId="1D47203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RASPON PD-a</w:t>
            </w:r>
          </w:p>
          <w:p w14:paraId="4CAAE10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raspone PD-a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u skladu sa</w:t>
            </w:r>
            <w:r>
              <w:rPr>
                <w:sz w:val="24"/>
                <w:rFonts w:ascii="Times New Roman" w:hAnsi="Times New Roman"/>
              </w:rPr>
              <w:t xml:space="preserve"> svojim internim rejting kategorijama koje raspoređuju na rejting-skalu koju koristi vanjska institucija za procjenu kreditnog rizika (VIPKR), umjesto fiksnog vanjskog raspona PD-a.</w:t>
            </w:r>
          </w:p>
        </w:tc>
      </w:tr>
      <w:tr w:rsidR="00FB3D09" w:rsidRPr="002A677E" w14:paraId="64D00DA7" w14:textId="77777777" w:rsidTr="00822842">
        <w:tc>
          <w:tcPr>
            <w:tcW w:w="1188" w:type="dxa"/>
            <w:shd w:val="clear" w:color="auto" w:fill="auto"/>
          </w:tcPr>
          <w:p w14:paraId="1078063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0006</w:t>
            </w:r>
          </w:p>
        </w:tc>
        <w:tc>
          <w:tcPr>
            <w:tcW w:w="8843" w:type="dxa"/>
            <w:shd w:val="clear" w:color="auto" w:fill="auto"/>
          </w:tcPr>
          <w:p w14:paraId="6793AD5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EKVIVALENT VANJSKOG REJTINGA</w:t>
            </w:r>
          </w:p>
          <w:p w14:paraId="276EE83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ispunjavaju jedan stupac za svaki VIPKR koji se uzima u obzir u skladu s člankom 180. stavkom 1. točkom (f)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Institucije u ovim stupcima navode vanjski rejting u koji su raspoređeni njihovi interni rasponi PD-a.</w:t>
            </w:r>
          </w:p>
        </w:tc>
      </w:tr>
    </w:tbl>
    <w:p w14:paraId="1CA8A0ED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25" w:name="_Toc19715766"/>
      <w:bookmarkStart w:id="126" w:name="_Toc151714410"/>
      <w:r>
        <w:rPr>
          <w:sz w:val="24"/>
          <w:rFonts w:ascii="Times New Roman" w:hAnsi="Times New Roman"/>
        </w:rPr>
        <w:t xml:space="preserve">C 08.06 – Kreditni rizik i slobodne isporuke: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 pristup kapitalnim zahtjevima (Pristup raspoređivanja za specijalizirano financiranje (CR IRB 6))</w:t>
      </w:r>
      <w:bookmarkEnd w:id="125"/>
      <w:bookmarkEnd w:id="126"/>
    </w:p>
    <w:p w14:paraId="0C327519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27" w:name="_Toc19715767"/>
      <w:bookmarkStart w:id="128" w:name="_Toc151714411"/>
      <w:r>
        <w:rPr>
          <w:sz w:val="24"/>
          <w:rFonts w:ascii="Times New Roman" w:hAnsi="Times New Roman"/>
        </w:rPr>
        <w:t xml:space="preserve">Opće napomene</w:t>
      </w:r>
      <w:bookmarkEnd w:id="127"/>
      <w:bookmarkEnd w:id="128"/>
    </w:p>
    <w:p w14:paraId="06C30120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82</w:t>
      </w:r>
      <w:r>
        <w:fldChar w:fldCharType="end"/>
      </w:r>
      <w:r>
        <w:t xml:space="preserve">.</w:t>
      </w:r>
      <w:r>
        <w:t xml:space="preserve"> </w:t>
      </w:r>
      <w:r>
        <w:t xml:space="preserve">Institucije iskazuju informacije iz ovog obrasca pri primjeni članka 438. točke (e) Uredbe (EU) br. 575/2013.</w:t>
      </w:r>
      <w:r>
        <w:t xml:space="preserve"> </w:t>
      </w:r>
      <w:r>
        <w:t xml:space="preserve">Institucije iskazuju informacije o sljedećim vrstama izloženosti u obliku specijaliziranog financiranja iz članka 153. stavka 5. tablice 1:</w:t>
      </w:r>
    </w:p>
    <w:p w14:paraId="020ECF38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1080"/>
      </w:pPr>
      <w:r>
        <w:t xml:space="preserve">Financiranje projekata</w:t>
      </w:r>
    </w:p>
    <w:p w14:paraId="0D30395D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1080"/>
      </w:pPr>
      <w:r>
        <w:t xml:space="preserve">Nekretnine koje donose prihod i poslovne nekretnine visoke volatilnosti</w:t>
      </w:r>
    </w:p>
    <w:p w14:paraId="0E156A19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1080"/>
      </w:pPr>
      <w:r>
        <w:t xml:space="preserve">Financiranje objekata</w:t>
      </w:r>
    </w:p>
    <w:p w14:paraId="66940C39" w14:textId="77777777" w:rsidR="00FB3D09" w:rsidRPr="002A677E" w:rsidRDefault="00FB3D09" w:rsidP="00FB3D09">
      <w:pPr>
        <w:pStyle w:val="InstructionsText2"/>
        <w:numPr>
          <w:ilvl w:val="1"/>
          <w:numId w:val="15"/>
        </w:numPr>
      </w:pPr>
      <w:r>
        <w:t xml:space="preserve">Financiranje robe</w:t>
      </w:r>
    </w:p>
    <w:p w14:paraId="58A5DEC7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29" w:name="_Toc19715768"/>
      <w:bookmarkStart w:id="130" w:name="_Toc151714412"/>
      <w:r>
        <w:rPr>
          <w:sz w:val="24"/>
          <w:rFonts w:ascii="Times New Roman" w:hAnsi="Times New Roman"/>
        </w:rPr>
        <w:t xml:space="preserve">Upute za specifične pozicije</w:t>
      </w:r>
      <w:bookmarkEnd w:id="129"/>
      <w:bookmarkEnd w:id="13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7D26FD2B" w14:textId="77777777" w:rsidTr="00822842">
        <w:tc>
          <w:tcPr>
            <w:tcW w:w="1188" w:type="dxa"/>
            <w:shd w:val="clear" w:color="auto" w:fill="CCCCCC"/>
          </w:tcPr>
          <w:p w14:paraId="6E60686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Stupci</w:t>
            </w:r>
          </w:p>
        </w:tc>
        <w:tc>
          <w:tcPr>
            <w:tcW w:w="8843" w:type="dxa"/>
            <w:shd w:val="clear" w:color="auto" w:fill="CCCCCC"/>
          </w:tcPr>
          <w:p w14:paraId="03916D9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27E14697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525B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511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ORIGINALNA IZLOŽENOST PRIJE PRIMJENE KONVERZIJSKIH FAKTORA</w:t>
            </w:r>
          </w:p>
          <w:p w14:paraId="3FEAA5A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CR-IRB.</w:t>
            </w:r>
          </w:p>
        </w:tc>
      </w:tr>
      <w:tr w:rsidR="00FB3D09" w:rsidRPr="002A677E" w14:paraId="2B63E9B7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E9A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A24A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IZLOŽENOST NAKON PRIMJENE TEHNIKA SMANJENJA KREDITNOG RIZIKA S UČINKOM ZAMJENE, A PRIJE PRIMJENE KONVERZIJSKIH FAKTORA</w:t>
            </w:r>
          </w:p>
          <w:p w14:paraId="6CBD0B3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CR-IRB.</w:t>
            </w:r>
          </w:p>
        </w:tc>
      </w:tr>
      <w:tr w:rsidR="00FB3D09" w:rsidRPr="002A677E" w14:paraId="328B4A3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D5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0030, 0050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5F73" w14:textId="77777777" w:rsidR="00FB3D09" w:rsidRPr="002A677E" w:rsidRDefault="00FB3D09" w:rsidP="00822842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IZVANBILANČNE STAVKE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34DD8D8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CR-SA</w:t>
            </w:r>
          </w:p>
        </w:tc>
      </w:tr>
      <w:tr w:rsidR="00FB3D09" w:rsidRPr="002A677E" w14:paraId="08DB9921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ACF1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8A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VRIJEDNOST IZLOŽENOSTI</w:t>
            </w:r>
          </w:p>
          <w:p w14:paraId="4F68F71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CR-IRB.</w:t>
            </w:r>
          </w:p>
        </w:tc>
      </w:tr>
      <w:tr w:rsidR="00FB3D09" w:rsidRPr="002A677E" w14:paraId="0927737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38D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7BBF" w14:textId="77777777" w:rsidR="00FB3D09" w:rsidRPr="002A677E" w:rsidRDefault="00FB3D09" w:rsidP="00822842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 KREDITNOG RIZIKA DRUGE UGOVORNE STRANE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16635B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CR SA.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383531B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568B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FB93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PONDER RIZIKA</w:t>
            </w:r>
          </w:p>
          <w:p w14:paraId="5C41EA7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153. stavak 5. Uredbe (EU) br. 575/2013</w:t>
            </w:r>
          </w:p>
          <w:p w14:paraId="67CCD5D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 je fiksni stupac za informativne svrhe.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Ne smije se mijenjati.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10464D9B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0F65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6948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IZLOŽENOSTI PONDERIRAN RIZIKOM NAKON PRIMJENE POMOĆNIH FAKTORA</w:t>
            </w:r>
          </w:p>
          <w:p w14:paraId="4B6C2EA5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CR-IRB.</w:t>
            </w:r>
          </w:p>
        </w:tc>
      </w:tr>
      <w:tr w:rsidR="00FB3D09" w:rsidRPr="002A677E" w14:paraId="6070EADF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E8B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3B5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IZNOS OČEKIVANOGA GUBITKA</w:t>
            </w:r>
          </w:p>
          <w:p w14:paraId="693CE6D8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CR-IRB.</w:t>
            </w:r>
          </w:p>
        </w:tc>
      </w:tr>
      <w:tr w:rsidR="00FB3D09" w:rsidRPr="002A677E" w14:paraId="382A8A4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57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6E8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(–) VRIJEDNOSNA USKLAĐENJA I REZERVACIJE</w:t>
            </w:r>
          </w:p>
          <w:p w14:paraId="43E4B618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CR-IRB.</w:t>
            </w:r>
          </w:p>
        </w:tc>
      </w:tr>
    </w:tbl>
    <w:p w14:paraId="53071A7C" w14:textId="77777777" w:rsidR="00FB3D09" w:rsidRPr="002A677E" w:rsidRDefault="00FB3D09" w:rsidP="00FB3D09">
      <w:pPr>
        <w:pStyle w:val="body"/>
      </w:pPr>
      <w:bookmarkStart w:id="131" w:name="_Toc19715769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8931"/>
      </w:tblGrid>
      <w:tr w:rsidR="00FB3D09" w:rsidRPr="002A677E" w14:paraId="2FD73173" w14:textId="77777777" w:rsidTr="00822842">
        <w:tc>
          <w:tcPr>
            <w:tcW w:w="1129" w:type="dxa"/>
            <w:shd w:val="pct25" w:color="auto" w:fill="auto"/>
          </w:tcPr>
          <w:p w14:paraId="528FE15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Redci</w:t>
            </w:r>
          </w:p>
        </w:tc>
        <w:tc>
          <w:tcPr>
            <w:tcW w:w="8931" w:type="dxa"/>
            <w:shd w:val="pct25" w:color="auto" w:fill="auto"/>
          </w:tcPr>
          <w:p w14:paraId="74C4755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13ABD6A4" w14:textId="77777777" w:rsidTr="00822842">
        <w:tc>
          <w:tcPr>
            <w:tcW w:w="1129" w:type="dxa"/>
          </w:tcPr>
          <w:p w14:paraId="6D90D95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0010-0120</w:t>
            </w:r>
          </w:p>
        </w:tc>
        <w:tc>
          <w:tcPr>
            <w:tcW w:w="8931" w:type="dxa"/>
          </w:tcPr>
          <w:p w14:paraId="68EE291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se raspoređuju u odgovarajuću kategoriju i dospjelost u skladu s člankom153. stavkom 5. tablicom 1 Uredbe (EU) br. 575/2013.</w:t>
            </w:r>
          </w:p>
        </w:tc>
      </w:tr>
    </w:tbl>
    <w:p w14:paraId="4255FF49" w14:textId="77777777" w:rsidR="00FB3D09" w:rsidRPr="002A677E" w:rsidRDefault="00FB3D09" w:rsidP="00FB3D09">
      <w:pPr>
        <w:pStyle w:val="body"/>
      </w:pPr>
    </w:p>
    <w:p w14:paraId="782F65B6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32" w:name="_Toc151714413"/>
      <w:r>
        <w:rPr>
          <w:sz w:val="24"/>
          <w:rFonts w:ascii="Times New Roman" w:hAnsi="Times New Roman"/>
        </w:rPr>
        <w:t xml:space="preserve">C 08.07 – Kreditni rizik i slobodne isporuke: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IRB pristup kapitalnim zahtjevima (područje primjene IRB pristupa i standardiziranog pristupa (CR IRB 7))</w:t>
      </w:r>
      <w:bookmarkEnd w:id="131"/>
      <w:bookmarkEnd w:id="132"/>
    </w:p>
    <w:p w14:paraId="4D5E0149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33" w:name="_Toc19715770"/>
      <w:bookmarkStart w:id="134" w:name="_Toc151714414"/>
      <w:r>
        <w:rPr>
          <w:sz w:val="24"/>
          <w:rFonts w:ascii="Times New Roman" w:hAnsi="Times New Roman"/>
        </w:rPr>
        <w:t xml:space="preserve">Opće napomene</w:t>
      </w:r>
      <w:bookmarkEnd w:id="133"/>
      <w:bookmarkEnd w:id="134"/>
    </w:p>
    <w:p w14:paraId="2A642543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83</w:t>
      </w:r>
      <w:r>
        <w:fldChar w:fldCharType="end"/>
      </w:r>
      <w:r>
        <w:t xml:space="preserve">.</w:t>
      </w:r>
      <w:r>
        <w:t xml:space="preserve"> </w:t>
      </w:r>
      <w:r>
        <w:t xml:space="preserve">Za potrebe ovog obrasca institucije koje izračunavaju iznose izloženosti ponderirane rizikom u skladu s IRB pristupom kreditnom riziku iskazuju svoje izloženosti na koje se primjenjuje standardizirani pristup utvrđen u dijelu trećem glavi II. poglavlju 2. Uredbe (EU) br. 575/2013 ili IRB pristup utvrđen u dijelu trećem glavi II. poglavlju 3. te uredbe, kao i dio svake kategorije izloženosti na koji se primjenjuje plan uvođenja.</w:t>
      </w:r>
      <w:r>
        <w:t xml:space="preserve"> </w:t>
      </w:r>
      <w:r>
        <w:t xml:space="preserve">Institucije navode informacije iz ovog obrasca po kategorijama izloženosti, u skladu s raščlambom kategorija izloženosti navedenom u redcima obrasca.</w:t>
      </w:r>
    </w:p>
    <w:p w14:paraId="5EF649B7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84</w:t>
      </w:r>
      <w:r>
        <w:fldChar w:fldCharType="end"/>
      </w:r>
      <w:r>
        <w:t xml:space="preserve">.</w:t>
      </w:r>
      <w:r>
        <w:t xml:space="preserve"> </w:t>
      </w:r>
      <w:r>
        <w:t xml:space="preserve">Stupci 0030 i 0050 trebali bi obuhvatiti cijeli spektar izloženosti, tako da zbroj svakog retka za ta tri stupca iznosi 100 % svih kategorija izloženosti osim sekuritizacijskih i odbijenih pozicija.</w:t>
      </w:r>
    </w:p>
    <w:p w14:paraId="2976CB2C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35" w:name="_Toc19715771"/>
      <w:bookmarkStart w:id="136" w:name="_Toc151714415"/>
      <w:r>
        <w:rPr>
          <w:sz w:val="24"/>
          <w:rFonts w:ascii="Times New Roman" w:hAnsi="Times New Roman"/>
        </w:rPr>
        <w:t xml:space="preserve">Upute za specifične pozicije</w:t>
      </w:r>
      <w:bookmarkEnd w:id="135"/>
      <w:bookmarkEnd w:id="136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5A54A3CB" w14:textId="77777777" w:rsidTr="00822842">
        <w:tc>
          <w:tcPr>
            <w:tcW w:w="1188" w:type="dxa"/>
            <w:shd w:val="clear" w:color="auto" w:fill="CCCCCC"/>
          </w:tcPr>
          <w:p w14:paraId="4D5D1AB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Stupci</w:t>
            </w:r>
          </w:p>
        </w:tc>
        <w:tc>
          <w:tcPr>
            <w:tcW w:w="8843" w:type="dxa"/>
            <w:shd w:val="clear" w:color="auto" w:fill="CCCCCC"/>
          </w:tcPr>
          <w:p w14:paraId="07D6E67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1E4DCF5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C9BE7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5E21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UKUPNA VRIJEDNOST IZLOŽENOSTI KAKO JE DEFINIRANA U ČLANKU 166. UREDBE (EU) br. 575/2013</w:t>
            </w:r>
          </w:p>
          <w:p w14:paraId="411002F2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vrijednost izloženosti prije smanjenja kreditnog rizika u skladu s člankom 166. Uredbe (EU) br. 575/2013.</w:t>
            </w:r>
          </w:p>
        </w:tc>
      </w:tr>
      <w:tr w:rsidR="00FB3D09" w:rsidRPr="002A677E" w14:paraId="39F1E0F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8E74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D1CA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UKUPNA VRIJEDNOST IZLOŽENOSTI NA KOJE SE PRIMJENJUJU STANDARDIZIRANI PRISTUP I IRB PRISTUP</w:t>
            </w:r>
          </w:p>
          <w:p w14:paraId="2CF123A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za iskazivanje ukupne vrijednosti izloženosti koriste vrijednost izloženosti prije smanjenja kreditnog rizika u skladu s člankom 429. stavkom 4. Uredbe (EU) br. 575/2013, uključujući izloženosti u skladu sa standardiziranim pristupom i izloženosti u skladu s IRB pristupom.</w:t>
            </w:r>
          </w:p>
        </w:tc>
      </w:tr>
      <w:tr w:rsidR="00FB3D09" w:rsidRPr="002A677E" w14:paraId="637EC372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F292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D8C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POSTOTAK UKUPNE VRIJEDNOSTI IZLOŽENOSTI NA KOJE SE PRIMJENJUJE TRAJNO IZUZEĆE OD PRIMJENE STANDARDIZIRANOG PRISTUPA (%)</w:t>
            </w:r>
          </w:p>
          <w:p w14:paraId="4E8BC7D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Dio izloženosti svake kategorije izloženosti na koju se primjenjuje standardizirani pristup (izloženost na koju se primjenjuje standardizirani pristup prije smanjenja kreditnog rizika u odnosu na ukupnu izloženost u toj kategoriji izloženosti u stupcu 0020), uz poštovanje područja primjene odobrenja za trajno izuzeće od primjene standardiziranog pristupa dobivenog od nadležnog tijela u skladu s člankom 150. Uredbe (EU) br. 575/2013.</w:t>
            </w:r>
          </w:p>
        </w:tc>
      </w:tr>
      <w:tr w:rsidR="00FB3D09" w:rsidRPr="002A677E" w14:paraId="6D7D640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D0A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E0B5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POSTOTAK UKUPNE VRIJEDNOSTI IZLOŽENOSTI NA KOJI SE PRIMJENJUJE PLAN UVOĐENJA (%)</w:t>
            </w:r>
          </w:p>
          <w:p w14:paraId="1384B1B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Dio izloženosti svake kategorije izloženosti na koju se primjenjuje postupno uvođenje IRB pristupa u skladu s člankom 148.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To uključuje: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4A26F0D" w14:textId="77777777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na koje institucije planiraju primijeniti IRB pristup sa ili bez korištenja vlastitih procjena LGD-a i/ili konverzijskih faktora (F-IRB i A-IRB);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68B410E" w14:textId="77777777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na osnovi vlasničkih ulaganja koje nisu značajne koje nisu uključene u stupce 0020 ili 0040;</w:t>
            </w:r>
          </w:p>
          <w:p w14:paraId="674B8F2C" w14:textId="77777777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na koje se već primjenjuje F-IRB ako institucija planira u budućnosti primijeniti A-IRB;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8C08A10" w14:textId="148DB963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izloženosti u obliku specijaliziranog financiranja na koje se primjenjuje nadzorni pristup raspoređivanja koje nisu navedene u stupcu 0010.</w:t>
            </w:r>
          </w:p>
        </w:tc>
      </w:tr>
      <w:tr w:rsidR="00FB3D09" w:rsidRPr="002A677E" w14:paraId="5705D87F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113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C0A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POSTOTAK UKUPNE VRIJEDNOSTI IZLOŽENOSTI NA KOJU SE PRIMJENJUJE IRB PRISTUP (%)</w:t>
            </w:r>
          </w:p>
          <w:p w14:paraId="281F622B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Dio izloženosti svake kategorije izloženosti na koju se primjenjuje IRB pristup (izloženost na koju se primjenjuje IRB pristup prije smanjenja kreditnog rizika preko ukupne izloženosti u toj kategoriji izloženosti), u skladu s opsegom odobrenja nadležnog tijela za primjenu IRB pristupa u skladu s člankom 143.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Uključuje izloženosti za koje institucije imaju odobrenje koristiti svoje vlastite procjene LGD-a i/ili konverzijske faktore ili ga nemaju (F-IRB i A-IRB), uključujući nadzorni pristup raspoređivanja za izloženosti u obliku specijaliziranog financiranja i izloženosti na osnovi vlasničkih ulaganja u skladu s jednostavnim pristupom ponderiranja rizika kao i izloženosti iskazane u retku 0170 obrasca C 08.01.</w:t>
            </w:r>
          </w:p>
        </w:tc>
      </w:tr>
    </w:tbl>
    <w:p w14:paraId="164F67EA" w14:textId="77777777" w:rsidR="00FB3D09" w:rsidRPr="002A677E" w:rsidRDefault="00FB3D09" w:rsidP="00FB3D09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7"/>
        <w:gridCol w:w="8371"/>
      </w:tblGrid>
      <w:tr w:rsidR="00FB3D09" w:rsidRPr="002A677E" w14:paraId="0A859347" w14:textId="77777777" w:rsidTr="00822842">
        <w:tc>
          <w:tcPr>
            <w:tcW w:w="1271" w:type="dxa"/>
            <w:shd w:val="pct25" w:color="auto" w:fill="auto"/>
          </w:tcPr>
          <w:p w14:paraId="7F52456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Redci</w:t>
            </w:r>
          </w:p>
        </w:tc>
        <w:tc>
          <w:tcPr>
            <w:tcW w:w="8557" w:type="dxa"/>
            <w:shd w:val="pct25" w:color="auto" w:fill="auto"/>
          </w:tcPr>
          <w:p w14:paraId="123EB3D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Upute</w:t>
            </w:r>
          </w:p>
        </w:tc>
      </w:tr>
      <w:tr w:rsidR="00FB3D09" w:rsidRPr="002A677E" w14:paraId="39EFDE98" w14:textId="77777777" w:rsidTr="00822842">
        <w:tc>
          <w:tcPr>
            <w:tcW w:w="1271" w:type="dxa"/>
          </w:tcPr>
          <w:p w14:paraId="416FB44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KATEGORIJE IZLOŽENOSTI</w:t>
            </w:r>
          </w:p>
        </w:tc>
        <w:tc>
          <w:tcPr>
            <w:tcW w:w="8557" w:type="dxa"/>
          </w:tcPr>
          <w:p w14:paraId="7564DFF0" w14:textId="77777777" w:rsidR="00FB3D09" w:rsidRPr="002A677E" w:rsidRDefault="00FB3D09" w:rsidP="00822842">
            <w:pPr>
              <w:rPr>
                <w:sz w:val="24"/>
                <w:rFonts w:ascii="Times New Roman" w:eastAsiaTheme="minorHAns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uključuju informacije iz ovog obrasca po kategorijama izloženosti, u skladu s raščlambom kategorija izloženosti uključenih u retke obrasca.</w:t>
            </w:r>
          </w:p>
        </w:tc>
      </w:tr>
    </w:tbl>
    <w:p w14:paraId="423B2FFB" w14:textId="77777777" w:rsidR="00FB3D09" w:rsidRPr="002A677E" w:rsidRDefault="00FB3D09" w:rsidP="00FB3D09">
      <w:pPr>
        <w:pStyle w:val="InstructionsText"/>
      </w:pPr>
    </w:p>
    <w:p w14:paraId="64301D29" w14:textId="5498A6A8" w:rsidR="00FB3D09" w:rsidRPr="002A677E" w:rsidRDefault="00FB3D09" w:rsidP="003C214D">
      <w:pPr>
        <w:pStyle w:val="Instructionsberschrift2"/>
        <w:numPr>
          <w:ilvl w:val="0"/>
          <w:numId w:val="0"/>
        </w:numPr>
        <w:ind w:left="357" w:hanging="357"/>
      </w:pPr>
    </w:p>
    <w:p w14:paraId="6A9DD699" w14:textId="77777777" w:rsidR="00210485" w:rsidRDefault="00210485"/>
    <w:p w14:paraId="108DB657" w14:textId="77777777" w:rsidR="00FB3D09" w:rsidRDefault="00FB3D09"/>
    <w:p w14:paraId="31203373" w14:textId="77777777" w:rsidR="00FB3D09" w:rsidRDefault="00FB3D09"/>
    <w:p w14:paraId="32797964" w14:textId="77777777" w:rsidR="00210485" w:rsidRDefault="00210485"/>
    <w:sectPr w:rsidR="00210485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03CBD" w14:textId="77777777" w:rsidR="00CF2E8B" w:rsidRDefault="00CF2E8B" w:rsidP="00E26A90">
      <w:pPr>
        <w:spacing w:after="0"/>
      </w:pPr>
      <w:r>
        <w:separator/>
      </w:r>
    </w:p>
  </w:endnote>
  <w:endnote w:type="continuationSeparator" w:id="0">
    <w:p w14:paraId="2A814F1F" w14:textId="77777777" w:rsidR="00CF2E8B" w:rsidRDefault="00CF2E8B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8E0D9" w14:textId="77777777" w:rsidR="00CF2E8B" w:rsidRDefault="00CF2E8B" w:rsidP="00E26A90">
      <w:pPr>
        <w:spacing w:after="0"/>
      </w:pPr>
      <w:r>
        <w:separator/>
      </w:r>
    </w:p>
  </w:footnote>
  <w:footnote w:type="continuationSeparator" w:id="0">
    <w:p w14:paraId="3D573060" w14:textId="77777777" w:rsidR="00CF2E8B" w:rsidRDefault="00CF2E8B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primjen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primjen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primjen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5577"/>
    <w:multiLevelType w:val="multilevel"/>
    <w:tmpl w:val="1E16ACB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7" w15:restartNumberingAfterBreak="0">
    <w:nsid w:val="1CD55968"/>
    <w:multiLevelType w:val="multilevel"/>
    <w:tmpl w:val="6C985BE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1D2B1F86"/>
    <w:multiLevelType w:val="hybridMultilevel"/>
    <w:tmpl w:val="51A461B8"/>
    <w:lvl w:ilvl="0" w:tplc="8EFA9B40">
      <w:start w:val="1"/>
      <w:numFmt w:val="decimal"/>
      <w:lvlText w:val="%1)"/>
      <w:lvlJc w:val="left"/>
      <w:pPr>
        <w:ind w:left="1440" w:hanging="7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2F7D7F02"/>
    <w:multiLevelType w:val="multilevel"/>
    <w:tmpl w:val="0407001D"/>
    <w:numStyleLink w:val="Formatvorlage3"/>
  </w:abstractNum>
  <w:abstractNum w:abstractNumId="1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8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9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4"/>
  </w:num>
  <w:num w:numId="2" w16cid:durableId="1733112609">
    <w:abstractNumId w:val="23"/>
  </w:num>
  <w:num w:numId="3" w16cid:durableId="286200695">
    <w:abstractNumId w:val="31"/>
  </w:num>
  <w:num w:numId="4" w16cid:durableId="487287975">
    <w:abstractNumId w:val="18"/>
  </w:num>
  <w:num w:numId="5" w16cid:durableId="1754350949">
    <w:abstractNumId w:val="26"/>
  </w:num>
  <w:num w:numId="6" w16cid:durableId="1507597667">
    <w:abstractNumId w:val="16"/>
  </w:num>
  <w:num w:numId="7" w16cid:durableId="139271283">
    <w:abstractNumId w:val="30"/>
  </w:num>
  <w:num w:numId="8" w16cid:durableId="763764270">
    <w:abstractNumId w:val="8"/>
  </w:num>
  <w:num w:numId="9" w16cid:durableId="1561986968">
    <w:abstractNumId w:val="24"/>
  </w:num>
  <w:num w:numId="10" w16cid:durableId="1349260748">
    <w:abstractNumId w:val="14"/>
  </w:num>
  <w:num w:numId="11" w16cid:durableId="1097991330">
    <w:abstractNumId w:val="20"/>
  </w:num>
  <w:num w:numId="12" w16cid:durableId="858469680">
    <w:abstractNumId w:val="10"/>
  </w:num>
  <w:num w:numId="13" w16cid:durableId="1485394352">
    <w:abstractNumId w:val="25"/>
  </w:num>
  <w:num w:numId="14" w16cid:durableId="881021889">
    <w:abstractNumId w:val="22"/>
  </w:num>
  <w:num w:numId="15" w16cid:durableId="1923681300">
    <w:abstractNumId w:val="13"/>
  </w:num>
  <w:num w:numId="16" w16cid:durableId="211188018">
    <w:abstractNumId w:val="19"/>
  </w:num>
  <w:num w:numId="17" w16cid:durableId="373817584">
    <w:abstractNumId w:val="12"/>
  </w:num>
  <w:num w:numId="18" w16cid:durableId="1615165847">
    <w:abstractNumId w:val="27"/>
  </w:num>
  <w:num w:numId="19" w16cid:durableId="429467310">
    <w:abstractNumId w:val="6"/>
  </w:num>
  <w:num w:numId="20" w16cid:durableId="430467532">
    <w:abstractNumId w:val="32"/>
  </w:num>
  <w:num w:numId="21" w16cid:durableId="1464036760">
    <w:abstractNumId w:val="5"/>
  </w:num>
  <w:num w:numId="22" w16cid:durableId="1079792157">
    <w:abstractNumId w:val="17"/>
  </w:num>
  <w:num w:numId="23" w16cid:durableId="1333265662">
    <w:abstractNumId w:val="3"/>
  </w:num>
  <w:num w:numId="24" w16cid:durableId="737484550">
    <w:abstractNumId w:val="15"/>
  </w:num>
  <w:num w:numId="25" w16cid:durableId="309210531">
    <w:abstractNumId w:val="29"/>
  </w:num>
  <w:num w:numId="26" w16cid:durableId="166527561">
    <w:abstractNumId w:val="1"/>
  </w:num>
  <w:num w:numId="27" w16cid:durableId="1544101633">
    <w:abstractNumId w:val="28"/>
  </w:num>
  <w:num w:numId="28" w16cid:durableId="44380249">
    <w:abstractNumId w:val="21"/>
  </w:num>
  <w:num w:numId="29" w16cid:durableId="1838038624">
    <w:abstractNumId w:val="0"/>
  </w:num>
  <w:num w:numId="30" w16cid:durableId="1856265522">
    <w:abstractNumId w:val="11"/>
  </w:num>
  <w:num w:numId="31" w16cid:durableId="29191537">
    <w:abstractNumId w:val="9"/>
  </w:num>
  <w:num w:numId="32" w16cid:durableId="142084302">
    <w:abstractNumId w:val="2"/>
  </w:num>
  <w:num w:numId="33" w16cid:durableId="2032368279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0682E"/>
    <w:rsid w:val="000467F0"/>
    <w:rsid w:val="000A5D83"/>
    <w:rsid w:val="000C3D68"/>
    <w:rsid w:val="000C6322"/>
    <w:rsid w:val="000D5912"/>
    <w:rsid w:val="00126E51"/>
    <w:rsid w:val="001E1834"/>
    <w:rsid w:val="001F45C7"/>
    <w:rsid w:val="00210485"/>
    <w:rsid w:val="002433A6"/>
    <w:rsid w:val="0029349B"/>
    <w:rsid w:val="00393F1E"/>
    <w:rsid w:val="003C214D"/>
    <w:rsid w:val="003E076B"/>
    <w:rsid w:val="003F0844"/>
    <w:rsid w:val="0042414E"/>
    <w:rsid w:val="0057678A"/>
    <w:rsid w:val="00582B0D"/>
    <w:rsid w:val="005E354B"/>
    <w:rsid w:val="006013AC"/>
    <w:rsid w:val="00621A3F"/>
    <w:rsid w:val="00626DD7"/>
    <w:rsid w:val="00631623"/>
    <w:rsid w:val="006B0F8A"/>
    <w:rsid w:val="0074573C"/>
    <w:rsid w:val="008A3C6B"/>
    <w:rsid w:val="008A5ABF"/>
    <w:rsid w:val="008C13A4"/>
    <w:rsid w:val="008C6BB9"/>
    <w:rsid w:val="009161EF"/>
    <w:rsid w:val="0094064F"/>
    <w:rsid w:val="0096584D"/>
    <w:rsid w:val="00974C97"/>
    <w:rsid w:val="009C098A"/>
    <w:rsid w:val="009D125A"/>
    <w:rsid w:val="00A53BD9"/>
    <w:rsid w:val="00A54B9F"/>
    <w:rsid w:val="00A6002C"/>
    <w:rsid w:val="00A77E8C"/>
    <w:rsid w:val="00A816FF"/>
    <w:rsid w:val="00AB3AA8"/>
    <w:rsid w:val="00B71F25"/>
    <w:rsid w:val="00B949C3"/>
    <w:rsid w:val="00B95971"/>
    <w:rsid w:val="00CC757F"/>
    <w:rsid w:val="00CD1BFF"/>
    <w:rsid w:val="00CF2E8B"/>
    <w:rsid w:val="00DB50AA"/>
    <w:rsid w:val="00E13BD0"/>
    <w:rsid w:val="00E26A90"/>
    <w:rsid w:val="00E3648D"/>
    <w:rsid w:val="00E87394"/>
    <w:rsid w:val="00EC2C42"/>
    <w:rsid w:val="00EF07A1"/>
    <w:rsid w:val="00EF2302"/>
    <w:rsid w:val="00F211BE"/>
    <w:rsid w:val="00F35049"/>
    <w:rsid w:val="00F37042"/>
    <w:rsid w:val="00F61AEB"/>
    <w:rsid w:val="00FB3D09"/>
    <w:rsid w:val="00FC2C95"/>
    <w:rsid w:val="00FC71D2"/>
    <w:rsid w:val="00FD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D09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FB3D09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FB3D09"/>
    <w:pPr>
      <w:keepNext/>
      <w:spacing w:before="240"/>
      <w:outlineLvl w:val="1"/>
    </w:pPr>
    <w:rPr>
      <w:rFonts w:eastAsia="Arial"/>
      <w:b/>
      <w:sz w:val="24"/>
      <w:u w:val="single"/>
      <w:lang w:val="hr-HR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FB3D09"/>
    <w:pPr>
      <w:keepNext/>
      <w:spacing w:before="180"/>
      <w:outlineLvl w:val="2"/>
    </w:pPr>
    <w:rPr>
      <w:rFonts w:ascii="Arial" w:eastAsia="Arial" w:hAnsi="Arial"/>
      <w:b/>
      <w:szCs w:val="20"/>
      <w:lang w:val="hr-HR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FB3D09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FB3D09"/>
    <w:pPr>
      <w:keepNext/>
      <w:spacing w:before="140"/>
      <w:outlineLvl w:val="4"/>
    </w:pPr>
    <w:rPr>
      <w:rFonts w:ascii="Arial" w:eastAsia="Arial" w:hAnsi="Arial"/>
      <w:b/>
      <w:i/>
      <w:szCs w:val="20"/>
      <w:lang w:val="hr-HR" w:eastAsia="de-DE"/>
    </w:rPr>
  </w:style>
  <w:style w:type="paragraph" w:styleId="Heading6">
    <w:name w:val="heading 6"/>
    <w:basedOn w:val="Normal"/>
    <w:next w:val="Normal"/>
    <w:link w:val="Heading6Char"/>
    <w:qFormat/>
    <w:rsid w:val="00FB3D09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hr-HR" w:eastAsia="de-DE"/>
    </w:rPr>
  </w:style>
  <w:style w:type="paragraph" w:styleId="Heading7">
    <w:name w:val="heading 7"/>
    <w:basedOn w:val="Normal"/>
    <w:next w:val="Normal"/>
    <w:link w:val="Heading7Char"/>
    <w:qFormat/>
    <w:rsid w:val="00FB3D09"/>
    <w:pPr>
      <w:spacing w:before="240" w:after="60"/>
      <w:outlineLvl w:val="6"/>
    </w:pPr>
    <w:rPr>
      <w:rFonts w:ascii="Times New Roman" w:eastAsia="Arial" w:hAnsi="Times New Roman"/>
      <w:szCs w:val="20"/>
      <w:lang w:val="hr-HR" w:eastAsia="de-DE"/>
    </w:rPr>
  </w:style>
  <w:style w:type="paragraph" w:styleId="Heading8">
    <w:name w:val="heading 8"/>
    <w:basedOn w:val="Normal"/>
    <w:next w:val="Normal"/>
    <w:link w:val="Heading8Char"/>
    <w:qFormat/>
    <w:rsid w:val="00FB3D09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hr-HR" w:eastAsia="de-DE"/>
    </w:rPr>
  </w:style>
  <w:style w:type="paragraph" w:styleId="Heading9">
    <w:name w:val="heading 9"/>
    <w:basedOn w:val="Normal"/>
    <w:next w:val="Normal"/>
    <w:link w:val="Heading9Char"/>
    <w:qFormat/>
    <w:rsid w:val="00FB3D09"/>
    <w:pPr>
      <w:spacing w:before="240" w:after="60"/>
      <w:outlineLvl w:val="8"/>
    </w:pPr>
    <w:rPr>
      <w:rFonts w:ascii="Arial" w:eastAsia="Arial" w:hAnsi="Arial"/>
      <w:szCs w:val="20"/>
      <w:lang w:val="hr-HR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FB3D09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FB3D09"/>
    <w:rPr>
      <w:rFonts w:ascii="Verdana" w:eastAsia="Arial" w:hAnsi="Verdana" w:cs="Times New Roman"/>
      <w:b/>
      <w:kern w:val="0"/>
      <w:sz w:val="24"/>
      <w:szCs w:val="24"/>
      <w:u w:val="single"/>
      <w:lang w:val="hr-HR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FB3D0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FB3D09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FB3D09"/>
    <w:rPr>
      <w:rFonts w:ascii="Arial" w:eastAsia="Arial" w:hAnsi="Arial" w:cs="Times New Roman"/>
      <w:b/>
      <w:i/>
      <w:kern w:val="0"/>
      <w:sz w:val="20"/>
      <w:szCs w:val="20"/>
      <w:lang w:val="hr-HR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FB3D09"/>
    <w:rPr>
      <w:rFonts w:ascii="Times New Roman" w:eastAsia="Arial" w:hAnsi="Times New Roman" w:cs="Times New Roman"/>
      <w:b/>
      <w:bCs/>
      <w:kern w:val="0"/>
      <w:sz w:val="20"/>
      <w:szCs w:val="20"/>
      <w:lang w:val="hr-HR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FB3D09"/>
    <w:rPr>
      <w:rFonts w:ascii="Times New Roman" w:eastAsia="Arial" w:hAnsi="Times New Roman" w:cs="Times New Roman"/>
      <w:kern w:val="0"/>
      <w:sz w:val="20"/>
      <w:szCs w:val="20"/>
      <w:lang w:val="hr-HR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FB3D09"/>
    <w:rPr>
      <w:rFonts w:ascii="Times New Roman" w:eastAsia="Arial" w:hAnsi="Times New Roman" w:cs="Times New Roman"/>
      <w:i/>
      <w:iCs/>
      <w:kern w:val="0"/>
      <w:sz w:val="20"/>
      <w:szCs w:val="20"/>
      <w:lang w:val="hr-HR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FB3D09"/>
    <w:rPr>
      <w:rFonts w:ascii="Arial" w:eastAsia="Arial" w:hAnsi="Arial" w:cs="Times New Roman"/>
      <w:kern w:val="0"/>
      <w:sz w:val="20"/>
      <w:szCs w:val="20"/>
      <w:lang w:val="hr-HR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FB3D09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FB3D09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FB3D09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FB3D09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FB3D09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FB3D09"/>
    <w:pPr>
      <w:spacing w:line="180" w:lineRule="exact"/>
      <w:ind w:left="142" w:hanging="142"/>
    </w:pPr>
    <w:rPr>
      <w:rFonts w:ascii="Arial" w:eastAsia="Arial" w:hAnsi="Arial"/>
      <w:sz w:val="16"/>
      <w:szCs w:val="16"/>
      <w:lang w:val="hr-HR" w:eastAsia="de-DE"/>
    </w:rPr>
  </w:style>
  <w:style w:type="character" w:customStyle="1" w:styleId="FootnoteTextChar">
    <w:name w:val="Footnote Text Char"/>
    <w:basedOn w:val="DefaultParagraphFont"/>
    <w:link w:val="FootnoteText"/>
    <w:rsid w:val="00FB3D09"/>
    <w:rPr>
      <w:rFonts w:ascii="Arial" w:eastAsia="Arial" w:hAnsi="Arial" w:cs="Times New Roman"/>
      <w:kern w:val="0"/>
      <w:sz w:val="16"/>
      <w:szCs w:val="16"/>
      <w:lang w:val="hr-HR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FB3D09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FB3D09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hr-HR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B3D09"/>
    <w:rPr>
      <w:rFonts w:ascii="Arial" w:eastAsia="Arial" w:hAnsi="Arial" w:cs="Times New Roman"/>
      <w:kern w:val="0"/>
      <w:sz w:val="14"/>
      <w:szCs w:val="14"/>
      <w:lang w:val="hr-HR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FB3D09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FB3D09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FB3D09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FB3D09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FB3D09"/>
    <w:pPr>
      <w:spacing w:line="312" w:lineRule="auto"/>
      <w:ind w:left="1701" w:hanging="567"/>
    </w:pPr>
  </w:style>
  <w:style w:type="character" w:styleId="Hyperlink">
    <w:name w:val="Hyperlink"/>
    <w:uiPriority w:val="99"/>
    <w:rsid w:val="00FB3D09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FB3D09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FB3D09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FB3D09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FB3D09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FB3D09"/>
    <w:pPr>
      <w:numPr>
        <w:numId w:val="12"/>
      </w:numPr>
    </w:pPr>
  </w:style>
  <w:style w:type="character" w:styleId="PageNumber">
    <w:name w:val="page number"/>
    <w:uiPriority w:val="99"/>
    <w:rsid w:val="00FB3D09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FB3D09"/>
    <w:rPr>
      <w:rFonts w:ascii="Arial" w:eastAsia="Arial" w:hAnsi="Arial" w:cs="Times New Roman"/>
      <w:b/>
      <w:kern w:val="0"/>
      <w:sz w:val="20"/>
      <w:szCs w:val="20"/>
      <w:lang w:val="hr-HR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FB3D09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FB3D09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B3D09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FB3D09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FB3D09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FB3D09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FB3D09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FB3D09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FB3D09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FB3D09"/>
    <w:rPr>
      <w:rFonts w:ascii="Arial" w:eastAsia="Arial" w:hAnsi="Arial"/>
      <w:i/>
      <w:iCs/>
      <w:color w:val="000000"/>
      <w:szCs w:val="20"/>
      <w:lang w:val="hr-HR" w:eastAsia="de-DE"/>
    </w:rPr>
  </w:style>
  <w:style w:type="character" w:customStyle="1" w:styleId="QuoteChar">
    <w:name w:val="Quote Char"/>
    <w:basedOn w:val="DefaultParagraphFont"/>
    <w:link w:val="Quote"/>
    <w:uiPriority w:val="29"/>
    <w:rsid w:val="00FB3D09"/>
    <w:rPr>
      <w:rFonts w:ascii="Arial" w:eastAsia="Arial" w:hAnsi="Arial" w:cs="Times New Roman"/>
      <w:i/>
      <w:iCs/>
      <w:color w:val="000000"/>
      <w:kern w:val="0"/>
      <w:sz w:val="20"/>
      <w:szCs w:val="20"/>
      <w:lang w:val="hr-HR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FB3D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FB3D09"/>
    <w:pPr>
      <w:spacing w:line="180" w:lineRule="exact"/>
      <w:ind w:left="142" w:hanging="142"/>
    </w:pPr>
    <w:rPr>
      <w:rFonts w:ascii="Arial" w:eastAsia="Arial" w:hAnsi="Arial"/>
      <w:szCs w:val="20"/>
      <w:lang w:val="hr-HR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FB3D09"/>
    <w:rPr>
      <w:rFonts w:ascii="Arial" w:eastAsia="Arial" w:hAnsi="Arial" w:cs="Times New Roman"/>
      <w:kern w:val="0"/>
      <w:sz w:val="20"/>
      <w:szCs w:val="20"/>
      <w:lang w:val="hr-HR" w:eastAsia="de-DE"/>
      <w14:ligatures w14:val="none"/>
    </w:rPr>
  </w:style>
  <w:style w:type="character" w:styleId="EndnoteReference">
    <w:name w:val="endnote reference"/>
    <w:uiPriority w:val="1"/>
    <w:rsid w:val="00FB3D09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FB3D0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FB3D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B3D09"/>
    <w:rPr>
      <w:rFonts w:eastAsia="Arial"/>
      <w:szCs w:val="20"/>
      <w:lang w:val="hr-HR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D09"/>
    <w:rPr>
      <w:rFonts w:ascii="Verdana" w:eastAsia="Arial" w:hAnsi="Verdana" w:cs="Times New Roman"/>
      <w:kern w:val="0"/>
      <w:sz w:val="20"/>
      <w:szCs w:val="20"/>
      <w:lang w:val="hr-HR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FB3D09"/>
    <w:rPr>
      <w:b/>
      <w:bCs/>
    </w:rPr>
  </w:style>
  <w:style w:type="character" w:styleId="FollowedHyperlink">
    <w:name w:val="FollowedHyperlink"/>
    <w:uiPriority w:val="99"/>
    <w:rsid w:val="00FB3D09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FB3D09"/>
    <w:rPr>
      <w:rFonts w:ascii="Tahoma" w:eastAsia="Arial" w:hAnsi="Tahoma"/>
      <w:sz w:val="16"/>
      <w:szCs w:val="16"/>
      <w:lang w:val="hr-HR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B3D09"/>
    <w:rPr>
      <w:rFonts w:ascii="Tahoma" w:eastAsia="Arial" w:hAnsi="Tahoma" w:cs="Times New Roman"/>
      <w:kern w:val="0"/>
      <w:sz w:val="16"/>
      <w:szCs w:val="16"/>
      <w:lang w:val="hr-HR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3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B3D09"/>
    <w:rPr>
      <w:rFonts w:ascii="Verdana" w:eastAsia="Arial" w:hAnsi="Verdana" w:cs="Times New Roman"/>
      <w:b/>
      <w:bCs/>
      <w:kern w:val="0"/>
      <w:sz w:val="20"/>
      <w:szCs w:val="20"/>
      <w:lang w:val="hr-HR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FB3D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r-HR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B3D09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FB3D09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FB3D09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FB3D09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FB3D09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hr-HR" w:eastAsia="en-US"/>
    </w:rPr>
  </w:style>
  <w:style w:type="character" w:customStyle="1" w:styleId="Instructionsberschrift3Zchn">
    <w:name w:val="Instructions Überschrift 3 Zchn"/>
    <w:link w:val="Instructionsberschrift3"/>
    <w:locked/>
    <w:rsid w:val="00FB3D09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B3D09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FB3D09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FB3D09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FB3D09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FB3D09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FB3D09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B3D09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FB3D09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FB3D09"/>
    <w:pPr>
      <w:ind w:left="720"/>
    </w:pPr>
  </w:style>
  <w:style w:type="paragraph" w:customStyle="1" w:styleId="Prrafodelista2">
    <w:name w:val="Párrafo de lista2"/>
    <w:basedOn w:val="Normal"/>
    <w:uiPriority w:val="99"/>
    <w:rsid w:val="00FB3D09"/>
    <w:pPr>
      <w:ind w:left="708"/>
    </w:pPr>
  </w:style>
  <w:style w:type="paragraph" w:styleId="PlainText">
    <w:name w:val="Plain Text"/>
    <w:basedOn w:val="Normal"/>
    <w:link w:val="PlainTextChar"/>
    <w:uiPriority w:val="99"/>
    <w:rsid w:val="00FB3D09"/>
    <w:pPr>
      <w:spacing w:before="0" w:after="0"/>
      <w:jc w:val="left"/>
    </w:pPr>
    <w:rPr>
      <w:rFonts w:eastAsia="Arial"/>
      <w:szCs w:val="20"/>
      <w:lang w:val="hr-HR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B3D09"/>
    <w:rPr>
      <w:rFonts w:ascii="Verdana" w:eastAsia="Arial" w:hAnsi="Verdana" w:cs="Times New Roman"/>
      <w:kern w:val="0"/>
      <w:sz w:val="20"/>
      <w:szCs w:val="20"/>
      <w:lang w:val="hr-HR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FB3D09"/>
    <w:pPr>
      <w:ind w:left="708"/>
    </w:pPr>
  </w:style>
  <w:style w:type="character" w:customStyle="1" w:styleId="InstructionsTextChar">
    <w:name w:val="Instructions Text Char"/>
    <w:link w:val="InstructionsText"/>
    <w:locked/>
    <w:rsid w:val="00FB3D09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FB3D09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hr-HR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FB3D09"/>
    <w:pPr>
      <w:ind w:left="708"/>
    </w:pPr>
  </w:style>
  <w:style w:type="character" w:styleId="PlaceholderText">
    <w:name w:val="Placeholder Text"/>
    <w:uiPriority w:val="99"/>
    <w:semiHidden/>
    <w:rsid w:val="00FB3D09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FB3D09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FB3D09"/>
    <w:rPr>
      <w:rFonts w:ascii="Verdana" w:hAnsi="Verdana" w:cs="Arial"/>
      <w:b/>
      <w:bCs/>
      <w:sz w:val="26"/>
      <w:szCs w:val="26"/>
      <w:u w:val="single"/>
      <w:lang w:val="hr-HR" w:eastAsia="en-US" w:bidi="ar-SA"/>
    </w:rPr>
  </w:style>
  <w:style w:type="paragraph" w:customStyle="1" w:styleId="CM4">
    <w:name w:val="CM4"/>
    <w:basedOn w:val="Normal"/>
    <w:next w:val="Normal"/>
    <w:uiPriority w:val="99"/>
    <w:rsid w:val="00FB3D09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hr-HR"/>
    </w:rPr>
  </w:style>
  <w:style w:type="paragraph" w:styleId="DocumentMap">
    <w:name w:val="Document Map"/>
    <w:basedOn w:val="Normal"/>
    <w:link w:val="DocumentMapChar"/>
    <w:uiPriority w:val="99"/>
    <w:semiHidden/>
    <w:rsid w:val="00FB3D09"/>
    <w:pPr>
      <w:spacing w:before="0" w:after="0"/>
    </w:pPr>
    <w:rPr>
      <w:rFonts w:ascii="Tahoma" w:eastAsia="Arial" w:hAnsi="Tahoma"/>
      <w:sz w:val="16"/>
      <w:szCs w:val="16"/>
      <w:lang w:val="hr-HR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D09"/>
    <w:rPr>
      <w:rFonts w:ascii="Tahoma" w:eastAsia="Arial" w:hAnsi="Tahoma" w:cs="Times New Roman"/>
      <w:kern w:val="0"/>
      <w:sz w:val="16"/>
      <w:szCs w:val="16"/>
      <w:lang w:val="hr-HR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FB3D09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B3D09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FB3D09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FB3D09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FB3D09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FB3D09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FB3D09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FB3D09"/>
    <w:pPr>
      <w:numPr>
        <w:numId w:val="6"/>
      </w:numPr>
    </w:pPr>
  </w:style>
  <w:style w:type="numbering" w:customStyle="1" w:styleId="Formatvorlage3">
    <w:name w:val="Formatvorlage3"/>
    <w:uiPriority w:val="99"/>
    <w:rsid w:val="00FB3D09"/>
    <w:pPr>
      <w:numPr>
        <w:numId w:val="16"/>
      </w:numPr>
    </w:pPr>
  </w:style>
  <w:style w:type="numbering" w:customStyle="1" w:styleId="Formatvorlage1">
    <w:name w:val="Formatvorlage1"/>
    <w:uiPriority w:val="99"/>
    <w:rsid w:val="00FB3D09"/>
    <w:pPr>
      <w:numPr>
        <w:numId w:val="5"/>
      </w:numPr>
    </w:pPr>
  </w:style>
  <w:style w:type="numbering" w:customStyle="1" w:styleId="Formatvorlage4">
    <w:name w:val="Formatvorlage4"/>
    <w:uiPriority w:val="99"/>
    <w:rsid w:val="00FB3D09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FB3D09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FB3D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FB3D09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FB3D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FB3D09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hr-HR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FB3D09"/>
    <w:pPr>
      <w:ind w:left="708"/>
    </w:pPr>
  </w:style>
  <w:style w:type="character" w:customStyle="1" w:styleId="Platzhaltertext1">
    <w:name w:val="Platzhaltertext1"/>
    <w:uiPriority w:val="99"/>
    <w:semiHidden/>
    <w:rsid w:val="00FB3D09"/>
    <w:rPr>
      <w:color w:val="808080"/>
    </w:rPr>
  </w:style>
  <w:style w:type="paragraph" w:customStyle="1" w:styleId="Default">
    <w:name w:val="Default"/>
    <w:rsid w:val="00FB3D09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FB3D09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B3D09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FB3D09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FB3D09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FB3D09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FB3D09"/>
    <w:pPr>
      <w:spacing w:before="240" w:after="120" w:line="276" w:lineRule="auto"/>
      <w:jc w:val="both"/>
    </w:pPr>
    <w:rPr>
      <w:rFonts w:eastAsiaTheme="minorEastAsia"/>
      <w:kern w:val="0"/>
      <w:szCs w:val="24"/>
      <w:lang w:val="hr-HR"/>
      <w14:ligatures w14:val="none"/>
    </w:rPr>
  </w:style>
  <w:style w:type="paragraph" w:customStyle="1" w:styleId="Applicationdirecte">
    <w:name w:val="Application directe"/>
    <w:basedOn w:val="Normal"/>
    <w:next w:val="Fait"/>
    <w:rsid w:val="00FB3D09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FB3D09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FB3D09"/>
    <w:pPr>
      <w:numPr>
        <w:numId w:val="27"/>
      </w:numPr>
    </w:pPr>
  </w:style>
  <w:style w:type="paragraph" w:customStyle="1" w:styleId="Numberedtitlelevel2">
    <w:name w:val="Numbered title level 2"/>
    <w:basedOn w:val="Titlelevel2"/>
    <w:next w:val="body"/>
    <w:qFormat/>
    <w:rsid w:val="00FB3D09"/>
    <w:pPr>
      <w:numPr>
        <w:ilvl w:val="1"/>
        <w:numId w:val="27"/>
      </w:numPr>
    </w:pPr>
  </w:style>
  <w:style w:type="paragraph" w:customStyle="1" w:styleId="Titlelevel2">
    <w:name w:val="Title level 2"/>
    <w:qFormat/>
    <w:rsid w:val="00FB3D09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:lang w:val="hr-HR"/>
      <w14:ligatures w14:val="none"/>
    </w:rPr>
  </w:style>
  <w:style w:type="paragraph" w:customStyle="1" w:styleId="Tableheader">
    <w:name w:val="Table header"/>
    <w:next w:val="Tabledata"/>
    <w:qFormat/>
    <w:rsid w:val="00FB3D09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hr-HR"/>
      <w14:ligatures w14:val="none"/>
    </w:rPr>
  </w:style>
  <w:style w:type="paragraph" w:customStyle="1" w:styleId="Tabledata">
    <w:name w:val="Table data"/>
    <w:basedOn w:val="body"/>
    <w:qFormat/>
    <w:rsid w:val="00FB3D09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hr-HR" w:eastAsia="en-GB"/>
    </w:rPr>
  </w:style>
  <w:style w:type="paragraph" w:customStyle="1" w:styleId="List1">
    <w:name w:val="List1"/>
    <w:autoRedefine/>
    <w:qFormat/>
    <w:rsid w:val="00FB3D09"/>
    <w:pPr>
      <w:numPr>
        <w:numId w:val="25"/>
      </w:numPr>
      <w:spacing w:after="0" w:line="240" w:lineRule="auto"/>
    </w:pPr>
    <w:rPr>
      <w:rFonts w:eastAsiaTheme="minorEastAsia"/>
      <w:kern w:val="0"/>
      <w:lang w:val="hr-HR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FB3D09"/>
    <w:pPr>
      <w:spacing w:after="0" w:line="240" w:lineRule="auto"/>
    </w:pPr>
    <w:rPr>
      <w:rFonts w:eastAsiaTheme="minorEastAsia"/>
      <w:kern w:val="0"/>
      <w:sz w:val="24"/>
      <w:szCs w:val="24"/>
      <w:lang w:val="hr-HR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FB3D09"/>
    <w:pPr>
      <w:numPr>
        <w:numId w:val="26"/>
      </w:numPr>
      <w:spacing w:before="240" w:after="120" w:line="240" w:lineRule="auto"/>
      <w:contextualSpacing/>
    </w:pPr>
    <w:rPr>
      <w:rFonts w:eastAsiaTheme="minorEastAsia"/>
      <w:kern w:val="0"/>
      <w:szCs w:val="24"/>
      <w:lang w:val="hr-HR"/>
      <w14:ligatures w14:val="none"/>
    </w:rPr>
  </w:style>
  <w:style w:type="paragraph" w:customStyle="1" w:styleId="Titlelevel1">
    <w:name w:val="Title level 1"/>
    <w:autoRedefine/>
    <w:qFormat/>
    <w:rsid w:val="00FB3D09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hr-HR"/>
      <w14:ligatures w14:val="none"/>
    </w:rPr>
  </w:style>
  <w:style w:type="paragraph" w:customStyle="1" w:styleId="Titlelevel3">
    <w:name w:val="Title level 3"/>
    <w:qFormat/>
    <w:rsid w:val="00FB3D09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:lang w:val="hr-HR"/>
      <w14:ligatures w14:val="none"/>
    </w:rPr>
  </w:style>
  <w:style w:type="paragraph" w:customStyle="1" w:styleId="Titlelevel4">
    <w:name w:val="Title level 4"/>
    <w:next w:val="body"/>
    <w:qFormat/>
    <w:rsid w:val="00FB3D09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:lang w:val="hr-HR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FB3D09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hr-HR" w:eastAsia="en-GB"/>
    </w:rPr>
  </w:style>
  <w:style w:type="table" w:customStyle="1" w:styleId="EBAtable">
    <w:name w:val="EBA table"/>
    <w:basedOn w:val="TableNormal"/>
    <w:uiPriority w:val="99"/>
    <w:rsid w:val="00FB3D09"/>
    <w:pPr>
      <w:spacing w:after="0" w:line="240" w:lineRule="auto"/>
    </w:pPr>
    <w:rPr>
      <w:rFonts w:eastAsiaTheme="minorEastAsia"/>
      <w:kern w:val="0"/>
      <w:sz w:val="24"/>
      <w:szCs w:val="24"/>
      <w:lang w:val="hr-HR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FB3D09"/>
    <w:pPr>
      <w:spacing w:after="0" w:line="240" w:lineRule="auto"/>
    </w:pPr>
    <w:rPr>
      <w:rFonts w:eastAsiaTheme="minorEastAsia"/>
      <w:caps/>
      <w:kern w:val="0"/>
      <w:sz w:val="16"/>
      <w:szCs w:val="18"/>
      <w:lang w:val="hr-HR"/>
      <w14:ligatures w14:val="none"/>
    </w:rPr>
  </w:style>
  <w:style w:type="paragraph" w:customStyle="1" w:styleId="bullet1">
    <w:name w:val="bullet 1"/>
    <w:basedOn w:val="body"/>
    <w:next w:val="body"/>
    <w:qFormat/>
    <w:rsid w:val="00FB3D09"/>
    <w:pPr>
      <w:numPr>
        <w:numId w:val="23"/>
      </w:numPr>
    </w:pPr>
    <w:rPr>
      <w:szCs w:val="22"/>
    </w:rPr>
  </w:style>
  <w:style w:type="paragraph" w:customStyle="1" w:styleId="bullet2">
    <w:name w:val="bullet 2"/>
    <w:basedOn w:val="body"/>
    <w:qFormat/>
    <w:rsid w:val="00FB3D09"/>
    <w:pPr>
      <w:numPr>
        <w:numId w:val="2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FB3D09"/>
    <w:pPr>
      <w:numPr>
        <w:ilvl w:val="2"/>
        <w:numId w:val="27"/>
      </w:numPr>
    </w:pPr>
  </w:style>
  <w:style w:type="table" w:styleId="LightShading">
    <w:name w:val="Light Shading"/>
    <w:basedOn w:val="TableNormal"/>
    <w:uiPriority w:val="60"/>
    <w:rsid w:val="00FB3D09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hr-HR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B3D09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:lang w:val="hr-HR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FB3D09"/>
  </w:style>
  <w:style w:type="paragraph" w:customStyle="1" w:styleId="Numberedtitlelevel4">
    <w:name w:val="Numbered title level 4"/>
    <w:basedOn w:val="Titlelevel4"/>
    <w:qFormat/>
    <w:rsid w:val="00FB3D09"/>
    <w:pPr>
      <w:numPr>
        <w:numId w:val="24"/>
      </w:numPr>
    </w:pPr>
  </w:style>
  <w:style w:type="paragraph" w:styleId="Title">
    <w:name w:val="Title"/>
    <w:basedOn w:val="Normal"/>
    <w:next w:val="Normal"/>
    <w:link w:val="TitleChar"/>
    <w:qFormat/>
    <w:rsid w:val="00FB3D09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hr-HR"/>
    </w:rPr>
  </w:style>
  <w:style w:type="character" w:customStyle="1" w:styleId="TitleChar">
    <w:name w:val="Title Char"/>
    <w:basedOn w:val="DefaultParagraphFont"/>
    <w:link w:val="Title"/>
    <w:rsid w:val="00FB3D09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hr-HR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FB3D09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FB3D09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FB3D09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FB3D09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FB3D09"/>
    <w:rPr>
      <w:bCs/>
      <w:lang w:val="hr-HR" w:eastAsia="en-GB"/>
    </w:rPr>
  </w:style>
  <w:style w:type="paragraph" w:styleId="ListBullet">
    <w:name w:val="List Bullet"/>
    <w:basedOn w:val="Normal"/>
    <w:semiHidden/>
    <w:qFormat/>
    <w:rsid w:val="00FB3D09"/>
    <w:pPr>
      <w:numPr>
        <w:numId w:val="29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hr-HR"/>
    </w:rPr>
  </w:style>
  <w:style w:type="paragraph" w:customStyle="1" w:styleId="numberedparagraph">
    <w:name w:val="numbered paragraph"/>
    <w:basedOn w:val="body"/>
    <w:qFormat/>
    <w:rsid w:val="00FB3D09"/>
    <w:pPr>
      <w:numPr>
        <w:numId w:val="28"/>
      </w:numPr>
    </w:pPr>
  </w:style>
  <w:style w:type="character" w:customStyle="1" w:styleId="Marker">
    <w:name w:val="Marker"/>
    <w:rsid w:val="00FB3D09"/>
    <w:rPr>
      <w:color w:val="0000FF"/>
      <w:shd w:val="clear" w:color="auto" w:fill="auto"/>
    </w:rPr>
  </w:style>
  <w:style w:type="character" w:customStyle="1" w:styleId="Marker2">
    <w:name w:val="Marker2"/>
    <w:rsid w:val="00FB3D09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FB3D09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FB3D09"/>
    <w:pPr>
      <w:numPr>
        <w:numId w:val="30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FB3D09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FB3D09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FB3D09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FB3D09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FB3D09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FB3D09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FB3D09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FB3D09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FB3D09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  <w:lang w:val="hr-HR"/>
    </w:rPr>
  </w:style>
  <w:style w:type="paragraph" w:customStyle="1" w:styleId="TableNote">
    <w:name w:val="TableNote"/>
    <w:basedOn w:val="Normal"/>
    <w:rsid w:val="00FB3D09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1">
    <w:name w:val="CM3+1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13">
    <w:name w:val="CM1+3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hr-HR" w:eastAsia="en-US"/>
    </w:rPr>
  </w:style>
  <w:style w:type="paragraph" w:customStyle="1" w:styleId="CM33">
    <w:name w:val="CM3+3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hr-H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B3D09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3D0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3D09"/>
    <w:rPr>
      <w:color w:val="2B579A"/>
      <w:shd w:val="clear" w:color="auto" w:fill="E1DFDD"/>
    </w:rPr>
  </w:style>
  <w:style w:type="paragraph" w:customStyle="1" w:styleId="pf0">
    <w:name w:val="pf0"/>
    <w:basedOn w:val="Normal"/>
    <w:rsid w:val="00FB3D09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FB3D09"/>
  </w:style>
  <w:style w:type="character" w:customStyle="1" w:styleId="cf01">
    <w:name w:val="cf01"/>
    <w:basedOn w:val="DefaultParagraphFont"/>
    <w:rsid w:val="00FB3D09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FB3D09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hr-HR" w:eastAsia="zh-CN" w:bidi="hi-IN"/>
    </w:rPr>
  </w:style>
  <w:style w:type="character" w:customStyle="1" w:styleId="BodyTextChar">
    <w:name w:val="Body Text Char"/>
    <w:basedOn w:val="DefaultParagraphFont"/>
    <w:link w:val="BodyText"/>
    <w:rsid w:val="00FB3D09"/>
    <w:rPr>
      <w:rFonts w:ascii="Liberation Serif" w:eastAsia="SimSun" w:hAnsi="Liberation Serif" w:cs="Lucida Sans"/>
      <w:kern w:val="0"/>
      <w:sz w:val="24"/>
      <w:szCs w:val="24"/>
      <w:lang w:val="hr-HR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FB3D09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hr-HR" w:eastAsia="zh-CN" w:bidi="hi-IN"/>
    </w:rPr>
  </w:style>
  <w:style w:type="character" w:customStyle="1" w:styleId="cf11">
    <w:name w:val="cf11"/>
    <w:basedOn w:val="DefaultParagraphFont"/>
    <w:rsid w:val="00FB3D09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2E277B-E86C-4FFD-B2DB-2D3F103E85EB}"/>
</file>

<file path=customXml/itemProps2.xml><?xml version="1.0" encoding="utf-8"?>
<ds:datastoreItem xmlns:ds="http://schemas.openxmlformats.org/officeDocument/2006/customXml" ds:itemID="{CE515D26-D1AF-4358-A209-C917BC472C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EEAC2-429F-490C-9E25-655FD78C3A3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9193</Words>
  <Characters>52405</Characters>
  <Application>Microsoft Office Word</Application>
  <DocSecurity>0</DocSecurity>
  <Lines>436</Lines>
  <Paragraphs>122</Paragraphs>
  <ScaleCrop>false</ScaleCrop>
  <Company/>
  <LinksUpToDate>false</LinksUpToDate>
  <CharactersWithSpaces>61476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2024-06-19T17:58:00Z</dcterms:created>
  <dcterms:modified xsi:type="dcterms:W3CDTF">2024-06-21T12:19:00Z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