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A9404" w14:textId="77777777" w:rsidR="001E07DC" w:rsidRDefault="001E07DC" w:rsidP="001E07DC">
      <w:pPr>
        <w:jc w:val="center"/>
        <w:rPr>
          <w:sz w:val="24"/>
          <w:szCs w:val="22"/>
          <w:rFonts w:ascii="Times New Roman" w:hAnsi="Times New Roman"/>
        </w:rPr>
      </w:pPr>
      <w:r>
        <w:rPr>
          <w:sz w:val="24"/>
          <w:rFonts w:ascii="Times New Roman" w:hAnsi="Times New Roman"/>
        </w:rPr>
        <w:t xml:space="preserve">LV</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II PIELIKUMS</w:t>
      </w:r>
    </w:p>
    <w:p w14:paraId="68915D4A"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“II PIELIKUMS</w:t>
      </w:r>
    </w:p>
    <w:p w14:paraId="2BB4BDEB" w14:textId="77777777" w:rsidR="00992E36" w:rsidRPr="00037E7B" w:rsidRDefault="00992E36" w:rsidP="00992E36">
      <w:pPr>
        <w:jc w:val="center"/>
        <w:rPr>
          <w:b/>
          <w:sz w:val="24"/>
          <w:rFonts w:ascii="Times New Roman" w:hAnsi="Times New Roman"/>
        </w:rPr>
      </w:pPr>
      <w:r>
        <w:rPr>
          <w:b/>
          <w:sz w:val="24"/>
          <w:rFonts w:ascii="Times New Roman" w:hAnsi="Times New Roman"/>
        </w:rPr>
        <w:t xml:space="preserve">NORĀDES PĀRSKATU SNIEGŠANAI PAR PAŠU KAPITĀLU UN PAŠU KAPITĀLA PRASĪBĀM</w:t>
      </w:r>
    </w:p>
    <w:p w14:paraId="4FE6B8A3" w14:textId="77777777" w:rsidR="00992E36" w:rsidRDefault="00992E36" w:rsidP="00992E36"/>
    <w:p w14:paraId="61461E01" w14:textId="77777777" w:rsidR="00992E36" w:rsidRDefault="00992E36" w:rsidP="00992E36">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II DAĻA.</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NORĀDĪJUMI SAISTĪBĀ AR VEIDNI</w:t>
      </w:r>
    </w:p>
    <w:p w14:paraId="59F9EF91" w14:textId="77777777" w:rsidR="00992E36"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64687A65" w14:textId="77777777" w:rsidR="00992E36" w:rsidRPr="00736637"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0" w:name="_Toc117766052"/>
      <w:r>
        <w:rPr>
          <w:sz w:val="24"/>
          <w:u w:val="none"/>
          <w:rFonts w:ascii="Times New Roman" w:hAnsi="Times New Roman"/>
        </w:rPr>
        <w:t xml:space="preserve">6.</w:t>
      </w:r>
      <w:r>
        <w:rPr>
          <w:sz w:val="24"/>
          <w:u w:val="none"/>
          <w:rFonts w:ascii="Times New Roman" w:hAnsi="Times New Roman"/>
        </w:rPr>
        <w:tab/>
      </w:r>
      <w:r>
        <w:rPr>
          <w:sz w:val="24"/>
          <w:rFonts w:ascii="Times New Roman" w:hAnsi="Times New Roman"/>
        </w:rPr>
        <w:t xml:space="preserve">Piesardzīga vērtēšana (PruVal)</w:t>
      </w:r>
      <w:bookmarkEnd w:id="0"/>
    </w:p>
    <w:p w14:paraId="7BEEB49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 w:name="_Toc117766053"/>
      <w:r>
        <w:rPr>
          <w:sz w:val="24"/>
          <w:u w:val="none"/>
          <w:rFonts w:ascii="Times New Roman" w:hAnsi="Times New Roman"/>
        </w:rPr>
        <w:t xml:space="preserve">6.1.</w:t>
      </w:r>
      <w:r>
        <w:rPr>
          <w:sz w:val="24"/>
          <w:u w:val="none"/>
          <w:rFonts w:ascii="Times New Roman" w:hAnsi="Times New Roman"/>
        </w:rPr>
        <w:tab/>
      </w:r>
      <w:r>
        <w:rPr>
          <w:sz w:val="24"/>
          <w:rFonts w:ascii="Times New Roman" w:hAnsi="Times New Roman"/>
        </w:rPr>
        <w:t xml:space="preserve">C 32.01. - Piesardzīga vērtēšana:</w:t>
      </w:r>
      <w:r>
        <w:rPr>
          <w:sz w:val="24"/>
          <w:rFonts w:ascii="Times New Roman" w:hAnsi="Times New Roman"/>
        </w:rPr>
        <w:t xml:space="preserve"> </w:t>
      </w:r>
      <w:r>
        <w:rPr>
          <w:sz w:val="24"/>
          <w:rFonts w:ascii="Times New Roman" w:hAnsi="Times New Roman"/>
        </w:rPr>
        <w:t xml:space="preserve">pēc patiesās vērtības vērtēti aktīvi un saistības (PruVal 1)</w:t>
      </w:r>
      <w:bookmarkEnd w:id="1"/>
    </w:p>
    <w:p w14:paraId="0F942BAE"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2" w:name="_Toc117766054"/>
      <w:r>
        <w:rPr>
          <w:sz w:val="24"/>
          <w:u w:val="none"/>
          <w:rFonts w:ascii="Times New Roman" w:hAnsi="Times New Roman"/>
        </w:rPr>
        <w:t xml:space="preserve">6.1.1.</w:t>
      </w:r>
      <w:r>
        <w:rPr>
          <w:sz w:val="24"/>
          <w:u w:val="none"/>
          <w:rFonts w:ascii="Times New Roman" w:hAnsi="Times New Roman"/>
        </w:rPr>
        <w:tab/>
      </w:r>
      <w:r>
        <w:rPr>
          <w:sz w:val="24"/>
          <w:rFonts w:ascii="Times New Roman" w:hAnsi="Times New Roman"/>
        </w:rPr>
        <w:t xml:space="preserve">Vispārīgas piezīmes</w:t>
      </w:r>
      <w:bookmarkEnd w:id="2"/>
      <w:r>
        <w:rPr>
          <w:sz w:val="24"/>
          <w:u w:val="none"/>
          <w:rFonts w:ascii="Times New Roman" w:hAnsi="Times New Roman"/>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176</w:t>
      </w:r>
      <w:r w:rsidRPr="005B57EC">
        <w:fldChar w:fldCharType="end"/>
      </w:r>
      <w:r>
        <w:t xml:space="preserve">.</w:t>
      </w:r>
      <w:r>
        <w:t xml:space="preserve"> </w:t>
      </w:r>
      <w:r>
        <w:t xml:space="preserve">Šo veidni aizpilda visas iestādes neatkarīgi no tā, vai tās ir pieņēmušas vienkāršoto pieeju attiecībā uz papildu vērtēšanas korekciju (PVK) noteikšanu.</w:t>
      </w:r>
      <w:r>
        <w:t xml:space="preserve"> </w:t>
      </w:r>
      <w:r>
        <w:t xml:space="preserve">Šī veidne ir domāta tādu pēc patiesās vērtības vērtētu aktīvu un saistību absolūtās vērtības uzrādīšanai, kurus izmanto, lai noteiktu, vai ir izpildīti Komisijas Deleģētās regulas (ES) 2016/101</w:t>
      </w:r>
      <w:r w:rsidRPr="002A677E">
        <w:rPr>
          <w:rStyle w:val="FootnoteReference"/>
        </w:rPr>
        <w:footnoteReference w:id="1"/>
      </w:r>
      <w:r>
        <w:t xml:space="preserve"> 4. pantā minētie apstākļi attiecībā uz vienkāršotās pieejas izmantošanu PVK noteikšanai.</w:t>
      </w:r>
    </w:p>
    <w:p w14:paraId="6DB5E29B"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177</w:t>
      </w:r>
      <w:r w:rsidRPr="005B57EC">
        <w:fldChar w:fldCharType="end"/>
      </w:r>
      <w:r>
        <w:t xml:space="preserve">.</w:t>
      </w:r>
      <w:r>
        <w:t xml:space="preserve"> </w:t>
      </w:r>
      <w:r>
        <w:t xml:space="preserve">Kas attiecas uz iestādēm, kuras izmanto vienkāršoto pieeju, šajā veidnē norāda kopējās PVK, kuras atskaita no pašu kapitāla saskaņā ar Regulas (ES) Nr. 575/2013 34. un 105. pantu, kā noteikts Deleģētās regulas (ES) 2016/101 5. pantā, un uzrāda attiecīgi C 01.00 veidnes 0290. rindā.</w:t>
      </w:r>
    </w:p>
    <w:p w14:paraId="75C3540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3" w:name="_Toc117766055"/>
      <w:r>
        <w:rPr>
          <w:sz w:val="24"/>
          <w:u w:val="none"/>
          <w:rFonts w:ascii="Times New Roman" w:hAnsi="Times New Roman"/>
        </w:rPr>
        <w:t xml:space="preserve">6.1.2.</w:t>
      </w:r>
      <w:r>
        <w:rPr>
          <w:sz w:val="24"/>
          <w:u w:val="none"/>
          <w:rFonts w:ascii="Times New Roman" w:hAnsi="Times New Roman"/>
        </w:rPr>
        <w:tab/>
      </w:r>
      <w:r>
        <w:rPr>
          <w:sz w:val="24"/>
          <w:rFonts w:ascii="Times New Roman" w:hAnsi="Times New Roman"/>
        </w:rPr>
        <w:t xml:space="preserve">Norādes par konkrētām pozīcijām</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Slejas</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F7AB08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PĒC PATIESĀS VĒRTĪBAS VĒRTĒTI AKTĪVI UN SAISTĪBAS</w:t>
            </w:r>
          </w:p>
          <w:p w14:paraId="60D2FC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Pēc patiesās vērtības vērtētu aktīvu un saistību absolūtā vērtība, kas norādīta finanšu pārskatos saskaņā ar piemērojamo grāmatvedības standartu, kā minēts Deleģētās regulas (ES) 2016/101 4. panta 1. punktā, pirms jebkādas izslēgšanas saskaņā ar Deleģētās regulas (ES) 2016/101 4. panta 2. punktu.</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3FB37D1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NO KĀ:</w:t>
            </w:r>
            <w:r>
              <w:rPr>
                <w:b/>
                <w:caps/>
                <w:sz w:val="24"/>
                <w:u w:val="single"/>
                <w:rFonts w:ascii="Times New Roman" w:hAnsi="Times New Roman"/>
              </w:rPr>
              <w:t xml:space="preserve"> </w:t>
            </w:r>
            <w:r>
              <w:rPr>
                <w:b/>
                <w:caps/>
                <w:sz w:val="24"/>
                <w:u w:val="single"/>
                <w:rFonts w:ascii="Times New Roman" w:hAnsi="Times New Roman"/>
              </w:rPr>
              <w:t xml:space="preserve">tirdzniecības portfelis</w:t>
            </w:r>
          </w:p>
          <w:p w14:paraId="63D32882"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Pēc patiesās vērtības vērtētu aktīvu un saistību absolūtā vērtība, kā uzrādīts 010. slejā, kas atbilst tirdzniecības portfelī turētajām pozīcijām.</w:t>
            </w:r>
            <w:r>
              <w:rPr>
                <w:sz w:val="24"/>
                <w:rFonts w:ascii="Times New Roman" w:hAnsi="Times New Roman"/>
              </w:rPr>
              <w:t xml:space="preserve">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0030.–0070.</w:t>
            </w:r>
          </w:p>
        </w:tc>
        <w:tc>
          <w:tcPr>
            <w:tcW w:w="8190" w:type="dxa"/>
          </w:tcPr>
          <w:p w14:paraId="6AD5FDA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PĒC PATIESĀS VĒRTĪBAS VĒRTĒTI AKTĪVI UN SAISTĪBAS, KAS IR IZSLĒGTI, JO PASTĀV DAĻĒJA IETEKME UZ PIRMĀ LĪMEŅA PAMATA KAPITĀLU</w:t>
            </w:r>
          </w:p>
          <w:p w14:paraId="2E701767"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Tādu pēc patiesās vērtības vērtētu aktīvu un saistību absolūtā vērtība, kas ir izslēgti saskaņā ar Deleģētās regulas (ES) 2016/101 4. panta 2. punktu.</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46ECDCF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Pilnībā sakrītoši</w:t>
            </w:r>
          </w:p>
          <w:p w14:paraId="07E504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Pilnībā sakrītoši, izlīdzinoši pēc patiesās vērtības vērtēti aktīvi un saistības, kas izslēgti saskaņā ar Deleģētās regulas (ES) 2016/101 4. panta 2. punktu.</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0BFCB55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Riska ierobežošanas uzskaite</w:t>
            </w:r>
          </w:p>
          <w:p w14:paraId="78C493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Attiecībā uz pozīcijām, kurām saskaņā ar piemērojamo grāmatvedības standartu piemēro riska ierobežošanas uzskaiti — tādu izslēgtu pēc patiesās vērtības vērtētu aktīvu un saistību absolūtās vērtības proporcionālā attiecība pret attiecīgās vērtēšanas izmaiņu ietekmi uz pirmā līmeņa pamata kapitālu saskaņā ar Deleģētās regulas (ES) 2016/101 4. panta 2. punktu.</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6E96E9E" w14:textId="77777777" w:rsidR="001332E7" w:rsidRPr="002A677E" w:rsidRDefault="001332E7" w:rsidP="00B80002">
            <w:pPr>
              <w:spacing w:beforeLines="60" w:before="144" w:afterLines="60" w:after="144"/>
              <w:rPr>
                <w:b/>
                <w:caps/>
                <w:sz w:val="24"/>
                <w:rFonts w:ascii="Times New Roman" w:hAnsi="Times New Roman"/>
              </w:rPr>
            </w:pPr>
            <w:r>
              <w:rPr>
                <w:b/>
                <w:caps/>
                <w:sz w:val="24"/>
                <w:u w:val="single"/>
                <w:rFonts w:ascii="Times New Roman" w:hAnsi="Times New Roman"/>
              </w:rPr>
              <w:t xml:space="preserve">PRUDENCIĀLIE filtri</w:t>
            </w:r>
            <w:r>
              <w:rPr>
                <w:b/>
                <w:caps/>
                <w:sz w:val="24"/>
                <w:u w:val="single"/>
                <w:rFonts w:ascii="Times New Roman" w:hAnsi="Times New Roman"/>
              </w:rPr>
              <w:t xml:space="preserve"> </w:t>
            </w:r>
          </w:p>
          <w:p w14:paraId="44455BA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Tādu pēc patiesās vērtības vērtētu aktīvu un saistību absolūtā vērtība, kas ir izslēgti saskaņā ar Deleģētās regulas (ES) 2016/101 4. panta 2. punktu, jo ir piemēroti Regulas (ES) Nr. 575/2013 467. un 468. pantā minētie pārejas posma filtri.</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451AFAF4"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Citi</w:t>
            </w:r>
          </w:p>
          <w:p w14:paraId="371A33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Visas citas pozīcijas, kas izslēgtas saskaņā ar Deleģētās regulas (ES) 2016/101 4. panta 2. punktu, jo to uzskaites vērtības korekcijām ir tikai proporcionāla ietekme uz pirmā līmeņa pamata kapitālu.</w:t>
            </w:r>
          </w:p>
          <w:p w14:paraId="032A9C6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Šo rindu aizpilda tajos retajos gadījumos, kad elementus, kas izslēgti saskaņā ar Deleģētās regulas (ES) 2016/101 4. panta 2. punktu, nevar iedalīt šīs veidnes 0030., 0040. vai 0050. slejā.</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4A0CF15D" w14:textId="77777777" w:rsidR="001332E7" w:rsidRPr="002A677E" w:rsidRDefault="001332E7" w:rsidP="00B80002">
            <w:pPr>
              <w:spacing w:beforeLines="60" w:before="144" w:afterLines="60" w:after="144"/>
              <w:rPr>
                <w:sz w:val="24"/>
                <w:rFonts w:ascii="Times New Roman" w:hAnsi="Times New Roman"/>
              </w:rPr>
            </w:pPr>
            <w:r>
              <w:rPr>
                <w:sz w:val="24"/>
                <w:b/>
                <w:caps/>
                <w:u w:val="single"/>
                <w:rFonts w:ascii="Times New Roman" w:hAnsi="Times New Roman"/>
              </w:rPr>
              <w:t xml:space="preserve">Piezīme par sleju “Citas”</w:t>
            </w:r>
            <w:r>
              <w:rPr>
                <w:sz w:val="24"/>
                <w:rFonts w:ascii="Times New Roman" w:hAnsi="Times New Roman"/>
              </w:rPr>
              <w:t xml:space="preserve"> </w:t>
            </w:r>
          </w:p>
          <w:p w14:paraId="6D9456EC"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Norāda galvenos iemeslus, kādēļ 0060. slejā uzrādītās pozīcijas tikušas izslēgtas.</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50D6ED5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PĒC PATIESĀS VĒRTĪBAS VĒRTĒTI aktīvi un saistības, kas ir iekļauti 4. panta 1. punkta slieksnī</w:t>
            </w:r>
          </w:p>
          <w:p w14:paraId="605C7873"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Tādu pēc patiesās vērtības vērtētu aktīvu un saistību absolūtā vērtība, kas ir faktiski iekļauti sliekšņa aprēķinā saskaņā ar Deleģētās regulas (ES) 2016/101 4. panta 1. punktu.</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182B968"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NO KĀ:</w:t>
            </w:r>
            <w:r>
              <w:rPr>
                <w:b/>
                <w:caps/>
                <w:sz w:val="24"/>
                <w:u w:val="single"/>
                <w:rFonts w:ascii="Times New Roman" w:hAnsi="Times New Roman"/>
              </w:rPr>
              <w:t xml:space="preserve"> </w:t>
            </w:r>
            <w:r>
              <w:rPr>
                <w:b/>
                <w:caps/>
                <w:sz w:val="24"/>
                <w:u w:val="single"/>
                <w:rFonts w:ascii="Times New Roman" w:hAnsi="Times New Roman"/>
              </w:rPr>
              <w:t xml:space="preserve">tirdzniecības portfelis</w:t>
            </w:r>
          </w:p>
          <w:p w14:paraId="1F0F9975"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Pēc patiesās vērtības vērtētu aktīvu un saistību absolūtā vērtība, kā uzrādīts 0080. slejā, kas atbilst tirdzniecības portfelī turētajām pozīcijām.</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Rindas</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0010.–0210.</w:t>
            </w:r>
          </w:p>
        </w:tc>
        <w:tc>
          <w:tcPr>
            <w:tcW w:w="8190" w:type="dxa"/>
          </w:tcPr>
          <w:p w14:paraId="01A274C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Šo kategoriju definīcijas atbilst FINREP 1.1. un 1.2. veidnes attiecīgo rindu definīcijām.</w:t>
            </w:r>
            <w:r>
              <w:rPr>
                <w:sz w:val="24"/>
                <w:rFonts w:ascii="Times New Roman" w:hAnsi="Times New Roman"/>
              </w:rPr>
              <w:t xml:space="preserve">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4A726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KOPĒJIE PĒC PATIESĀS VĒRTĪBAS VĒRTĒTIE AKTĪVI UN SAISTĪBAS</w:t>
            </w:r>
          </w:p>
          <w:p w14:paraId="0B8DBB81"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Kopējie 0020.–0210. rindā uzrādītie pēc patiesās vērtības vērtētie aktīvi un saistības.</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003ADBC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KOPĒJIE PĒC PATIESĀS VĒRTĪBAS VĒRTĒTIE AKTĪVI</w:t>
            </w:r>
          </w:p>
          <w:p w14:paraId="6D0EA4A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Kopējie 0030.–0140. rindā uzrādītie pēc patiesās vērtības vērtētie aktīvi.</w:t>
            </w:r>
            <w:r>
              <w:rPr>
                <w:sz w:val="24"/>
                <w:rFonts w:ascii="Times New Roman" w:hAnsi="Times New Roman"/>
              </w:rPr>
              <w:t xml:space="preserve"> </w:t>
            </w:r>
          </w:p>
          <w:p w14:paraId="65CEA2E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0030.–0130. rindas attiecīgās šūnas uzrāda atbilstīgi šīs īstenošanas regulas III un IV pielikuma FINREP veidnei F 01.01 atkarībā no iestādes piemērojamajiem standartiem:</w:t>
            </w:r>
          </w:p>
          <w:p w14:paraId="434D8902"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SFPS, kurus Savienība apstiprinājusi, piemērojot Eiropas Parlamenta un Padomes Regulu (EK) Nr. 1606/2002 (“ES SPFS”)</w:t>
            </w:r>
            <w:r w:rsidRPr="002A677E">
              <w:rPr>
                <w:rStyle w:val="FootnoteReference"/>
                <w:rFonts w:ascii="Times New Roman" w:hAnsi="Times New Roman"/>
                <w:szCs w:val="20"/>
                <w:vertAlign w:val="superscript"/>
              </w:rPr>
              <w:footnoteReference w:id="2"/>
            </w:r>
            <w:r>
              <w:rPr>
                <w:sz w:val="24"/>
                <w:rFonts w:ascii="Times New Roman" w:hAnsi="Times New Roman"/>
              </w:rPr>
              <w:t xml:space="preserve">;</w:t>
            </w:r>
          </w:p>
          <w:p w14:paraId="108DF7EF"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valsts grāmatvedības standarti, kas ir saderīgi ar ES SFPS (“ar SFPS saderīgi valsts VPGP”);</w:t>
            </w:r>
            <w:r>
              <w:rPr>
                <w:sz w:val="24"/>
                <w:rFonts w:ascii="Times New Roman" w:hAnsi="Times New Roman"/>
              </w:rPr>
              <w:t xml:space="preserve"> </w:t>
            </w:r>
            <w:r>
              <w:rPr>
                <w:sz w:val="24"/>
                <w:rFonts w:ascii="Times New Roman" w:hAnsi="Times New Roman"/>
              </w:rPr>
              <w:t xml:space="preserve">vai</w:t>
            </w:r>
          </w:p>
          <w:p w14:paraId="316D360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valsts VPGP, kuru pamatā ir Padomes Direktīva 86/635/EEK (FINREP “Valsts VPGP, kuru pamatā ir Padomes Direktīva 86/635/EEK”).</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5643C6F6"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TIRDZNIECĪBAS NOLŪKĀ TURĒTI FINANŠU AKTĪVI</w:t>
            </w:r>
          </w:p>
          <w:p w14:paraId="0134A5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9. SFPS A papildinājums</w:t>
            </w:r>
          </w:p>
          <w:p w14:paraId="5BC9B2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Šajā rindā uzrādītā informācija atbilst šīs īstenošanas regulas III un IV pielikuma F 01.01 veidnes 0050. rindai.</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3AA60922"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1.1.2. TIRDZNIECĪBAS FINANŠU AKTĪVI</w:t>
            </w:r>
          </w:p>
          <w:p w14:paraId="0EB933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Padomes Direktīvas 86/635/EEK 32. un 33. pants,</w:t>
            </w:r>
            <w:r>
              <w:rPr>
                <w:sz w:val="24"/>
                <w:rFonts w:ascii="Times New Roman" w:hAnsi="Times New Roman"/>
              </w:rPr>
              <w:t xml:space="preserve"> </w:t>
            </w:r>
            <w:r>
              <w:rPr>
                <w:sz w:val="24"/>
                <w:rFonts w:ascii="Times New Roman" w:hAnsi="Times New Roman"/>
              </w:rPr>
              <w:t xml:space="preserve">Šīs īstenošanas regulas V pielikuma 1.17. daļa.</w:t>
            </w:r>
            <w:r>
              <w:rPr>
                <w:sz w:val="24"/>
                <w:rFonts w:ascii="Times New Roman" w:hAnsi="Times New Roman"/>
              </w:rPr>
              <w:t xml:space="preserve"> </w:t>
            </w:r>
          </w:p>
          <w:p w14:paraId="71FD2A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Šajā rindā uzrādītā informācija atbilst aktīviem, kas novērtēti pēc to patiesās vērtības, kuri ir ietverti šīs īstenošanas regulas III un IV pielikuma F 01.01 veidnes 0091. rindā uzrādītajā vērtībā.</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33992D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1.1.3. NETIRDZNIECĪBAS FINANŠU AKTĪVI, KAS OBLIGĀTI NOVĒRTĒJAMI PATIESAJĀ VĒRTĪBĀ AR ATSPOGUĻOJUMU PEĻŅAS VAI ZAUDĒJUMU APRĒĶINĀ</w:t>
            </w:r>
            <w:r>
              <w:rPr>
                <w:b/>
                <w:sz w:val="24"/>
                <w:u w:val="single"/>
                <w:rFonts w:ascii="Times New Roman" w:hAnsi="Times New Roman"/>
              </w:rPr>
              <w:t xml:space="preserve"> </w:t>
            </w:r>
          </w:p>
          <w:p w14:paraId="52C3E7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7. SFPS 8. punkta a) apakšpunkta ii) punkts;</w:t>
            </w:r>
            <w:r>
              <w:rPr>
                <w:sz w:val="24"/>
                <w:rFonts w:ascii="Times New Roman" w:hAnsi="Times New Roman"/>
              </w:rPr>
              <w:t xml:space="preserve"> </w:t>
            </w:r>
            <w:r>
              <w:rPr>
                <w:sz w:val="24"/>
                <w:rFonts w:ascii="Times New Roman" w:hAnsi="Times New Roman"/>
              </w:rPr>
              <w:t xml:space="preserve">9. SFPS 4.1.4. punkts.</w:t>
            </w:r>
            <w:r>
              <w:rPr>
                <w:sz w:val="24"/>
                <w:rFonts w:ascii="Times New Roman" w:hAnsi="Times New Roman"/>
              </w:rPr>
              <w:t xml:space="preserve"> </w:t>
            </w:r>
          </w:p>
          <w:p w14:paraId="409E84D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Šajā rindā uzrādītā informācija atbilst šīs īstenošanas regulas III un IV pielikuma F 01.01 veidnes 0096. rindai.</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47DC56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1.1.4. FINANŠU AKTĪVI, KAS NOVĒRTĒTI PATIESAJĀ VĒRTĪBĀ AR ATSPOGUĻOJUMU PEĻŅAS VAI ZAUDĒJUMU APRĒĶINĀ</w:t>
            </w:r>
          </w:p>
          <w:p w14:paraId="68099B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7. SFPS 8. punkta a) apakšpunkta i) punkts;</w:t>
            </w:r>
            <w:r>
              <w:rPr>
                <w:sz w:val="24"/>
                <w:rFonts w:ascii="Times New Roman" w:hAnsi="Times New Roman"/>
              </w:rPr>
              <w:t xml:space="preserve"> </w:t>
            </w:r>
            <w:r>
              <w:rPr>
                <w:sz w:val="24"/>
                <w:rFonts w:ascii="Times New Roman" w:hAnsi="Times New Roman"/>
              </w:rPr>
              <w:t xml:space="preserve">9. SFPS 4.1.5. punkts;</w:t>
            </w:r>
            <w:r>
              <w:rPr>
                <w:sz w:val="24"/>
                <w:rFonts w:ascii="Times New Roman" w:hAnsi="Times New Roman"/>
              </w:rPr>
              <w:t xml:space="preserve"> </w:t>
            </w:r>
            <w:r>
              <w:rPr>
                <w:sz w:val="24"/>
                <w:rFonts w:ascii="Times New Roman" w:hAnsi="Times New Roman"/>
              </w:rPr>
              <w:t xml:space="preserve">Direktīvas 2013/34/ES 8. panta 1. punkta a) apakšpunkts un 8. panta 6. punkts</w:t>
            </w:r>
          </w:p>
          <w:p w14:paraId="53AB4D4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Šajā rindā uzrādītā informācija atbilst šīs īstenošanas regulas III un IV pielikuma F 01.01 veidnes 0100. rindai.</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7E09967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1.1.5. FINANŠU AKTĪVI, KAS NOVĒRTĒTI PATIESAJĀ VĒRTĪBĀ AR ATSPOGUĻOJUMU PĀRĒJOS APVIENOTAJOS IENĀKUMOS</w:t>
            </w:r>
          </w:p>
          <w:p w14:paraId="50DF7B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7. SFPS 8. punkta h) apakšpunkts;</w:t>
            </w:r>
            <w:r>
              <w:rPr>
                <w:sz w:val="24"/>
                <w:rFonts w:ascii="Times New Roman" w:hAnsi="Times New Roman"/>
              </w:rPr>
              <w:t xml:space="preserve"> </w:t>
            </w:r>
            <w:r>
              <w:rPr>
                <w:sz w:val="24"/>
                <w:rFonts w:ascii="Times New Roman" w:hAnsi="Times New Roman"/>
              </w:rPr>
              <w:t xml:space="preserve">9. SFPS 4.1.2.A punkts</w:t>
            </w:r>
          </w:p>
          <w:p w14:paraId="2890B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Šajā rindā uzrādītā informācija atbilst šīs īstenošanas regulas III un IV pielikuma F 01.01 veidnes 0141. rindai.</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79BCA0A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1.1.6. NETIRDZNIECĪBAS NEATVASINĀTI FINANŠU AKTĪVI, KAS NOVĒRTĒTI PATIESAJĀ VĒRTĪBĀ AR ATSPOGUĻOJUMU PEĻŅAS VAI ZAUDĒJUMU APRĒĶINĀ</w:t>
            </w:r>
          </w:p>
          <w:p w14:paraId="546B00DA"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Padomes Direktīvas 86/635/EEK 36. panta 2. punkts. Šajā rindā uzrādītā informācija atbilst šīs īstenošanas regulas III un IV pielikuma F 01.01 veidnes 0171. rindai.</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8FE443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1.1.7. NETIRDZNIECĪBAS NEATVASINĀTI FINANŠU AKTĪVI, KAS NOVĒRTĒTI PATIESAJĀ VĒRTĪBĀ CAUR PAŠU KAPITĀLU</w:t>
            </w:r>
          </w:p>
          <w:p w14:paraId="2D8AE0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Direktīvas 2013/34/ES 8. panta 1. punkta a) apakšpunkts un 8. panta 8. punkts</w:t>
            </w:r>
            <w:r>
              <w:rPr>
                <w:sz w:val="24"/>
                <w:rFonts w:ascii="Times New Roman" w:hAnsi="Times New Roman"/>
              </w:rPr>
              <w:t xml:space="preserve"> </w:t>
            </w:r>
          </w:p>
          <w:p w14:paraId="43C0FFF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Šajā rindā uzrādītā informācija atbilst šīs īstenošanas regulas III un IV pielikuma F 01.01 veidnes 0175. rindai.</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267FACE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1.1.8. CITI NETIRDZNIECĪBAS NEATVASINĀTI FINANŠU AKTĪVI</w:t>
            </w:r>
          </w:p>
          <w:p w14:paraId="0B1963D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Padomes Direktīvas 86/635/EEK 37. pants.</w:t>
            </w:r>
            <w:r>
              <w:rPr>
                <w:sz w:val="24"/>
                <w:rFonts w:ascii="Times New Roman" w:hAnsi="Times New Roman"/>
              </w:rPr>
              <w:t xml:space="preserve"> </w:t>
            </w:r>
            <w:r>
              <w:rPr>
                <w:sz w:val="24"/>
                <w:rFonts w:ascii="Times New Roman" w:hAnsi="Times New Roman"/>
              </w:rPr>
              <w:t xml:space="preserve">Direktīvas 2013/34/ES 12. panta 7. punkts;</w:t>
            </w:r>
            <w:r>
              <w:rPr>
                <w:sz w:val="24"/>
                <w:rFonts w:ascii="Times New Roman" w:hAnsi="Times New Roman"/>
              </w:rPr>
              <w:t xml:space="preserve"> </w:t>
            </w:r>
            <w:r>
              <w:rPr>
                <w:sz w:val="24"/>
                <w:rFonts w:ascii="Times New Roman" w:hAnsi="Times New Roman"/>
              </w:rPr>
              <w:t xml:space="preserve">šīs īstenošanas regulas V pielikuma 1.20. daļa.</w:t>
            </w:r>
          </w:p>
          <w:p w14:paraId="681869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Šajā rindā uzrādītā informācija atbilst aktīviem, kas novērtēti pēc to patiesās vērtības, kuri ir ietverti šīs īstenošanas regulas III un IV pielikuma F 01.01 veidnes 0234. rindā uzrādītajā vērtībā.</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Pr>
          <w:p w14:paraId="7EF0EE18"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1.1.9. ATVASINĀTIE INSTRUMENTI – RISKA IEROBEŽOŠANAS UZSKAITE</w:t>
            </w:r>
          </w:p>
          <w:p w14:paraId="7BEB13A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9. SFPS 6.2.1. punkts;</w:t>
            </w:r>
            <w:r>
              <w:rPr>
                <w:sz w:val="24"/>
                <w:rFonts w:ascii="Times New Roman" w:hAnsi="Times New Roman"/>
              </w:rPr>
              <w:t xml:space="preserve"> </w:t>
            </w:r>
            <w:r>
              <w:rPr>
                <w:sz w:val="24"/>
                <w:rFonts w:ascii="Times New Roman" w:hAnsi="Times New Roman"/>
              </w:rPr>
              <w:t xml:space="preserve">Šīs īstenošanas regulas V pielikuma 1.22. daļa;</w:t>
            </w:r>
            <w:r>
              <w:rPr>
                <w:sz w:val="24"/>
                <w:rFonts w:ascii="Times New Roman" w:hAnsi="Times New Roman"/>
              </w:rPr>
              <w:t xml:space="preserve"> </w:t>
            </w:r>
            <w:r>
              <w:rPr>
                <w:sz w:val="24"/>
                <w:rFonts w:ascii="Times New Roman" w:hAnsi="Times New Roman"/>
              </w:rPr>
              <w:t xml:space="preserve">Direktīvas 2013/34/ES 8. panta 1. punkta a) apakšpunkts un 8. panta 6. un 8. punkts</w:t>
            </w:r>
            <w:r>
              <w:rPr>
                <w:sz w:val="24"/>
                <w:rFonts w:ascii="Times New Roman" w:hAnsi="Times New Roman"/>
              </w:rPr>
              <w:t xml:space="preserve"> </w:t>
            </w:r>
            <w:r>
              <w:rPr>
                <w:sz w:val="24"/>
                <w:rFonts w:ascii="Times New Roman" w:hAnsi="Times New Roman"/>
              </w:rPr>
              <w:t xml:space="preserve">39. SGS 9. punkts</w:t>
            </w:r>
          </w:p>
          <w:p w14:paraId="045D5D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Šajā rindā uzrādītā informācija atbilst šīs īstenošanas regulas III un IV pielikuma F 01.01 veidnes 0240. rindai.</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Pr>
          <w:p w14:paraId="68307BE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1.1.10. PRET RISKU NODROŠINĀTO POSTEŅU PATIESĀS VĒRTĪBAS IZMAIŅAS PORTFEĻA PROCENTU LIKMES RISKA IEROBEŽOŠANAS POZĪCIJAI</w:t>
            </w:r>
          </w:p>
          <w:p w14:paraId="270E8B9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39. SGS 89.A a);</w:t>
            </w:r>
            <w:r>
              <w:rPr>
                <w:sz w:val="24"/>
                <w:rFonts w:ascii="Times New Roman" w:hAnsi="Times New Roman"/>
              </w:rPr>
              <w:t xml:space="preserve"> </w:t>
            </w:r>
            <w:r>
              <w:rPr>
                <w:sz w:val="24"/>
                <w:rFonts w:ascii="Times New Roman" w:hAnsi="Times New Roman"/>
              </w:rPr>
              <w:t xml:space="preserve">9. SFPS 6.5.8. punkts;</w:t>
            </w:r>
            <w:r>
              <w:rPr>
                <w:sz w:val="24"/>
                <w:rFonts w:ascii="Times New Roman" w:hAnsi="Times New Roman"/>
              </w:rPr>
              <w:t xml:space="preserve"> </w:t>
            </w:r>
            <w:r>
              <w:rPr>
                <w:sz w:val="24"/>
                <w:rFonts w:ascii="Times New Roman" w:hAnsi="Times New Roman"/>
              </w:rPr>
              <w:t xml:space="preserve">Eiropas Parlamenta un Padomes Direktīvas 2013/34/ES 8. panta, 5. un 6. punkts</w:t>
            </w:r>
            <w:r w:rsidRPr="002A677E">
              <w:rPr>
                <w:vertAlign w:val="superscript"/>
              </w:rPr>
              <w:footnoteReference w:id="3"/>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Šajā rindā uzrādītā informācija atbilst šīs īstenošanas regulas III un IV pielikuma F 01.01 veidnes 0250. rindai.</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08DF3E6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IEGULDĪJUMI MEITASUZŅĒMUMOS, KOPUZŅĒMUMOS UN SAISTĪTAJOS UZŅĒMUMOS</w:t>
            </w:r>
          </w:p>
          <w:p w14:paraId="77693FB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1. SGS 54. punkta e) apakšpunkts;</w:t>
            </w:r>
            <w:r>
              <w:rPr>
                <w:sz w:val="24"/>
                <w:rFonts w:ascii="Times New Roman" w:hAnsi="Times New Roman"/>
              </w:rPr>
              <w:t xml:space="preserve"> </w:t>
            </w:r>
            <w:r>
              <w:rPr>
                <w:sz w:val="24"/>
                <w:rFonts w:ascii="Times New Roman" w:hAnsi="Times New Roman"/>
              </w:rPr>
              <w:t xml:space="preserve">Šīs īstenošanas regulas V pielikuma 1.21. un 2.4. daļa;</w:t>
            </w:r>
            <w:r>
              <w:rPr>
                <w:sz w:val="24"/>
                <w:rFonts w:ascii="Times New Roman" w:hAnsi="Times New Roman"/>
              </w:rPr>
              <w:t xml:space="preserve"> </w:t>
            </w:r>
            <w:r>
              <w:rPr>
                <w:sz w:val="24"/>
                <w:rFonts w:ascii="Times New Roman" w:hAnsi="Times New Roman"/>
              </w:rPr>
              <w:t xml:space="preserve">Padomes Direktīvas 86/635/EEK 4. panta 7. un 8. punkts;</w:t>
            </w:r>
            <w:r>
              <w:rPr>
                <w:sz w:val="24"/>
                <w:rFonts w:ascii="Times New Roman" w:hAnsi="Times New Roman"/>
              </w:rPr>
              <w:t xml:space="preserve"> </w:t>
            </w:r>
            <w:r>
              <w:rPr>
                <w:sz w:val="24"/>
                <w:rFonts w:ascii="Times New Roman" w:hAnsi="Times New Roman"/>
              </w:rPr>
              <w:t xml:space="preserve">Direktīvas 2013/34/ES 2. panta 2. punkts</w:t>
            </w:r>
          </w:p>
          <w:p w14:paraId="1BBD6070"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Šajā rindā uzrādītā informācija atbilst šīs īstenošanas regulas III un IV pielikuma F 01.01 veidnes 0260. rindai.</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2A1AFE5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 DISKONTI ATTIECĪBĀ UZ TIRDZNIECĪBAS AKTĪVIEM, KAS NOVĒRTĒTI PATIESAJĀ VĒRTĪBĀ</w:t>
            </w:r>
          </w:p>
          <w:p w14:paraId="689D2C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Šīs īstenošanas regulas V pielikuma 1.29. daļa.</w:t>
            </w:r>
          </w:p>
          <w:p w14:paraId="70CB6C7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Šajā rindā uzrādītā informācija atbilst šīs īstenošanas regulas III un IV pielikuma F 01.01 veidnes 0375. rindai.</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0142.</w:t>
            </w:r>
          </w:p>
        </w:tc>
        <w:tc>
          <w:tcPr>
            <w:tcW w:w="8190" w:type="dxa"/>
          </w:tcPr>
          <w:p w14:paraId="1044729B"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CITI AKTĪVI</w:t>
            </w:r>
          </w:p>
          <w:p w14:paraId="2CED6AA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Aktīvi, kas minēti šīs īstenošanas regulas V pielikuma 2. daļas 5. un 6. punktā, ciktāl tos novērtē patiesajā vērtībā.</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0143.</w:t>
            </w:r>
          </w:p>
        </w:tc>
        <w:tc>
          <w:tcPr>
            <w:tcW w:w="8190" w:type="dxa"/>
          </w:tcPr>
          <w:p w14:paraId="292EEDA0"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ILGTERMIŅA AKTĪVI UN ATSAVINĀMĀS GRUPAS, KAS KLASIFICĒTAS KĀ PĀRDOŠANAI TURĒTAS</w:t>
            </w:r>
          </w:p>
          <w:p w14:paraId="085ED9C9"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Aktīvi, kas minēti šīs īstenošanas regulas V pielikuma 2. daļas 7. punktā, ciktāl tos novērtē patiesajā vērtībā.</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406DA08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 KOPĒJĀS PĒC PATIESĀS VĒRTĪBAS VĒRTĒTAS SAISTĪBAS</w:t>
            </w:r>
            <w:r>
              <w:rPr>
                <w:b/>
                <w:sz w:val="24"/>
                <w:u w:val="single"/>
                <w:rFonts w:ascii="Times New Roman" w:hAnsi="Times New Roman"/>
              </w:rPr>
              <w:t xml:space="preserve"> </w:t>
            </w:r>
          </w:p>
          <w:p w14:paraId="48B3C6E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Kopējās 0160.–0210. rindā uzrādītās pēc patiesās vērtības vērtētās saistības.</w:t>
            </w:r>
          </w:p>
          <w:p w14:paraId="33E1D1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0150.–0190. rindas attiecīgās šūnas uzrāda atbilstīgi šīs regulas III un IV pielikuma FINREP veidnei F 01.02 atkarībā no iestādes piemērojamajiem standartiem:</w:t>
            </w:r>
            <w:r>
              <w:rPr>
                <w:sz w:val="24"/>
                <w:rFonts w:ascii="Times New Roman" w:hAnsi="Times New Roman"/>
              </w:rPr>
              <w:t xml:space="preserve"> </w:t>
            </w:r>
          </w:p>
          <w:p w14:paraId="7933B4D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SFPS, kurus Savienība apstiprinājusi, piemērojot Regulu (EK) 1606/2002 (“ES SPFS”);</w:t>
            </w:r>
          </w:p>
          <w:p w14:paraId="4FACEA5A"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valsts grāmatvedības standarti, kas ir saderīgi ar ES SFPS (“ar SFPS saderīgi valsts VPGP”);</w:t>
            </w:r>
            <w:r>
              <w:rPr>
                <w:sz w:val="24"/>
                <w:rFonts w:ascii="Times New Roman" w:hAnsi="Times New Roman"/>
              </w:rPr>
              <w:t xml:space="preserve"> </w:t>
            </w:r>
          </w:p>
          <w:p w14:paraId="37A76785"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vai valsts VPGP, kuru pamatā ir Padomes Direktīva 86/635/EEK (FINREP “Valsts VPGP, kuru pamatā ir Padomes Direktīva 86/635/EEK”).</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2226A6D5"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1.2.1. TIRDZNIECĪBAS NOLŪKĀ TURĒTAS FINANŠU SAISTĪBAS</w:t>
            </w:r>
          </w:p>
          <w:p w14:paraId="3FDAF7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7. SFPS 8. punkta e) apakšpunkta ii) punkts;</w:t>
            </w:r>
            <w:r>
              <w:rPr>
                <w:sz w:val="24"/>
                <w:rFonts w:ascii="Times New Roman" w:hAnsi="Times New Roman"/>
              </w:rPr>
              <w:t xml:space="preserve"> </w:t>
            </w:r>
            <w:r>
              <w:rPr>
                <w:sz w:val="24"/>
                <w:rFonts w:ascii="Times New Roman" w:hAnsi="Times New Roman"/>
              </w:rPr>
              <w:t xml:space="preserve">9. SFPS BA.6. punkts</w:t>
            </w:r>
          </w:p>
          <w:p w14:paraId="4E4FCD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Šajā rindā uzrādītā informācija atbilst šīs īstenošanas regulas III un IV pielikuma F 01.02 veidnes 0010. rindai.</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0831922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1.2.2. TIRDZNIECĪBAS FINANŠU SAISTĪBAS</w:t>
            </w:r>
          </w:p>
          <w:p w14:paraId="70C0A6A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Direktīvas 2013/34/ES 8. panta 1. punkta a) apakšpunkts un 8. panta 3. un 6. punkts</w:t>
            </w:r>
          </w:p>
          <w:p w14:paraId="29C62F4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Šajā rindā uzrādītā informācija atbilst šīs īstenošanas regulas III un IV pielikuma F 01.02 veidnes 0061. rindai.</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77C9400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1.2.3. FINANŠU SAISTĪBAS, KAS NOVĒRTĒTAS PATIESAJĀ VĒRTĪBĀ AR ATSPOGUĻOJUMU PEĻŅAS VAI ZAUDĒJUMU APRĒĶINĀ</w:t>
            </w:r>
          </w:p>
          <w:p w14:paraId="7EAB4E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7. SFPS 8. punkta e) apakšpunkta i) punkts;</w:t>
            </w:r>
            <w:r>
              <w:rPr>
                <w:sz w:val="24"/>
                <w:rFonts w:ascii="Times New Roman" w:hAnsi="Times New Roman"/>
              </w:rPr>
              <w:t xml:space="preserve"> </w:t>
            </w:r>
            <w:r>
              <w:rPr>
                <w:sz w:val="24"/>
                <w:rFonts w:ascii="Times New Roman" w:hAnsi="Times New Roman"/>
              </w:rPr>
              <w:t xml:space="preserve">9. SFPS 4.2.2. punkts;</w:t>
            </w:r>
            <w:r>
              <w:rPr>
                <w:sz w:val="24"/>
                <w:rFonts w:ascii="Times New Roman" w:hAnsi="Times New Roman"/>
              </w:rPr>
              <w:t xml:space="preserve"> </w:t>
            </w:r>
            <w:r>
              <w:rPr>
                <w:sz w:val="24"/>
                <w:rFonts w:ascii="Times New Roman" w:hAnsi="Times New Roman"/>
              </w:rPr>
              <w:t xml:space="preserve">Direktīvas 2013/34/ES 8. panta 1. punkta a) apakšpunkts un 8. panta 6. punkts;</w:t>
            </w:r>
            <w:r>
              <w:rPr>
                <w:sz w:val="24"/>
                <w:rFonts w:ascii="Times New Roman" w:hAnsi="Times New Roman"/>
              </w:rPr>
              <w:t xml:space="preserve"> </w:t>
            </w:r>
            <w:r>
              <w:rPr>
                <w:sz w:val="24"/>
                <w:rFonts w:ascii="Times New Roman" w:hAnsi="Times New Roman"/>
              </w:rPr>
              <w:t xml:space="preserve">39. SGS 9. punkts.</w:t>
            </w:r>
            <w:r>
              <w:rPr>
                <w:sz w:val="24"/>
                <w:rFonts w:ascii="Times New Roman" w:hAnsi="Times New Roman"/>
              </w:rPr>
              <w:t xml:space="preserve"> </w:t>
            </w:r>
          </w:p>
          <w:p w14:paraId="0CFACF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Šajā rindā uzrādītā informācija atbilst šīs īstenošanas regulas III un IV pielikuma F 01.02 veidnes 0070. rindai.</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01EC8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1.2.4. ATVASINĀTIE INSTRUMENTI – RISKA IEROBEŽOŠANAS UZSKAITE</w:t>
            </w:r>
          </w:p>
          <w:p w14:paraId="63DC87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9. SFPS 6.2.1. punkts;</w:t>
            </w:r>
            <w:r>
              <w:rPr>
                <w:sz w:val="24"/>
                <w:rFonts w:ascii="Times New Roman" w:hAnsi="Times New Roman"/>
              </w:rPr>
              <w:t xml:space="preserve"> </w:t>
            </w:r>
            <w:r>
              <w:rPr>
                <w:sz w:val="24"/>
                <w:rFonts w:ascii="Times New Roman" w:hAnsi="Times New Roman"/>
              </w:rPr>
              <w:t xml:space="preserve">Šīs īstenošanas regulas V pielikuma 1.26. daļa;</w:t>
            </w:r>
            <w:r>
              <w:rPr>
                <w:sz w:val="24"/>
                <w:rFonts w:ascii="Times New Roman" w:hAnsi="Times New Roman"/>
              </w:rPr>
              <w:t xml:space="preserve"> </w:t>
            </w:r>
            <w:r>
              <w:rPr>
                <w:sz w:val="24"/>
                <w:rFonts w:ascii="Times New Roman" w:hAnsi="Times New Roman"/>
              </w:rPr>
              <w:t xml:space="preserve">Direktīvas 2013/34/ES 8. panta 1. punkta a) apakšpunkts, 6. punkts un 8. panta a) apakšpunkts</w:t>
            </w:r>
          </w:p>
          <w:p w14:paraId="1E3AE5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Šajā rindā uzrādītā informācija atbilst šīs īstenošanas regulas III un IV pielikuma F 01.02 veidnes 0150. rindai.</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53B39DF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1.2.5. PRET RISKU NODROŠINĀTO POSTEŅU PATIESĀS VĒRTĪBAS IZMAIŅAS PORTFEĻA PROCENTU LIKMES RISKA IEROBEŽOŠANAS POZĪCIJAI</w:t>
            </w:r>
          </w:p>
          <w:p w14:paraId="2CC02D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39. SGS 89.A punkta b) apakšpunkts, 9. SFPS 6.5.8. punkts;</w:t>
            </w:r>
            <w:r>
              <w:rPr>
                <w:sz w:val="24"/>
                <w:rFonts w:ascii="Times New Roman" w:hAnsi="Times New Roman"/>
              </w:rPr>
              <w:t xml:space="preserve"> </w:t>
            </w:r>
            <w:r>
              <w:rPr>
                <w:sz w:val="24"/>
                <w:rFonts w:ascii="Times New Roman" w:hAnsi="Times New Roman"/>
              </w:rPr>
              <w:t xml:space="preserve">Direktīvas 2013/34/ES 8. panta 5. un 6. punkts;</w:t>
            </w:r>
            <w:r>
              <w:rPr>
                <w:sz w:val="24"/>
                <w:rFonts w:ascii="Times New Roman" w:hAnsi="Times New Roman"/>
              </w:rPr>
              <w:t xml:space="preserve"> </w:t>
            </w:r>
            <w:r>
              <w:rPr>
                <w:sz w:val="24"/>
                <w:rFonts w:ascii="Times New Roman" w:hAnsi="Times New Roman"/>
              </w:rPr>
              <w:t xml:space="preserve">šīs īstenošanas regulas V pielikuma 2.8. daļa.</w:t>
            </w:r>
          </w:p>
          <w:p w14:paraId="63A2461C"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Šajā rindā uzrādītā informācija atbilst šīs īstenošanas regulas III un IV pielikuma F 01.02 veidnes 0160. rindai.</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35A1D3B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1.2.6. (-) DISKONTI ATTIECĪBĀ UZ TIRDZNIECĪBAS SAISTĪBĀM, KAS NOVĒRTĒTAS PATIESAJĀ VĒRTĪBĀ</w:t>
            </w:r>
          </w:p>
          <w:p w14:paraId="1C4365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Šīs īstenošanas regulas V pielikuma 1.29. daļa.</w:t>
            </w:r>
          </w:p>
          <w:p w14:paraId="6098BEE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Šajā rindā uzrādītā informācija atbilst šīs īstenošanas regulas III un IV pielikuma F 01.02 veidnes 0295. rindai.</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A6FCCA8"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1.2.7. CITAS SAISTĪBAS</w:t>
            </w:r>
          </w:p>
          <w:p w14:paraId="4E0B0C8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Saistības, kas minētas šīs īstenošanas regulas V pielikuma 2. daļas 13. punktā, ciktāl tos novērtē patiesajā vērtībā.</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6A9AC587"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1.2.8. SAISTĪBAS, KURAS IEKĻAUTAS ATSAVINĀMAJĀS GRUPĀS, KAS KLASIFICĒTAS KĀ PĀRDOŠANAI TURĒTAS</w:t>
            </w:r>
          </w:p>
          <w:p w14:paraId="4E98CBCC"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Saistības, kas minētas šīs īstenošanas regulas V pielikuma 2. daļas 14. punktā, ciktāl tos novērtē patiesajā vērtībā.</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4" w:name="_Toc117766056"/>
      <w:r>
        <w:rPr>
          <w:sz w:val="24"/>
          <w:u w:val="none"/>
          <w:rFonts w:ascii="Times New Roman" w:hAnsi="Times New Roman"/>
        </w:rPr>
        <w:t xml:space="preserve">6.2.</w:t>
      </w:r>
      <w:r>
        <w:rPr>
          <w:sz w:val="24"/>
          <w:u w:val="none"/>
          <w:rFonts w:ascii="Times New Roman" w:hAnsi="Times New Roman"/>
        </w:rPr>
        <w:tab/>
      </w:r>
      <w:r>
        <w:rPr>
          <w:sz w:val="24"/>
          <w:rFonts w:ascii="Times New Roman" w:hAnsi="Times New Roman"/>
        </w:rPr>
        <w:t xml:space="preserve">C 32.02. - Piesardzīga vērtēšana:</w:t>
      </w:r>
      <w:r>
        <w:rPr>
          <w:sz w:val="24"/>
          <w:rFonts w:ascii="Times New Roman" w:hAnsi="Times New Roman"/>
        </w:rPr>
        <w:t xml:space="preserve"> </w:t>
      </w:r>
      <w:r>
        <w:rPr>
          <w:sz w:val="24"/>
          <w:rFonts w:ascii="Times New Roman" w:hAnsi="Times New Roman"/>
        </w:rPr>
        <w:t xml:space="preserve">pamatpieeja (PruVal 2)</w:t>
      </w:r>
      <w:bookmarkEnd w:id="4"/>
    </w:p>
    <w:p w14:paraId="2CDB5AEB"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5" w:name="_Toc117766057"/>
      <w:r>
        <w:rPr>
          <w:sz w:val="24"/>
          <w:u w:val="none"/>
          <w:rFonts w:ascii="Times New Roman" w:hAnsi="Times New Roman"/>
        </w:rPr>
        <w:t xml:space="preserve">6.2.1.</w:t>
      </w:r>
      <w:r>
        <w:rPr>
          <w:sz w:val="24"/>
          <w:u w:val="none"/>
          <w:rFonts w:ascii="Times New Roman" w:hAnsi="Times New Roman"/>
        </w:rPr>
        <w:tab/>
      </w:r>
      <w:r>
        <w:rPr>
          <w:sz w:val="24"/>
          <w:rFonts w:ascii="Times New Roman" w:hAnsi="Times New Roman"/>
        </w:rPr>
        <w:t xml:space="preserve">Vispārīgas piezīmes</w:t>
      </w:r>
      <w:bookmarkEnd w:id="5"/>
      <w:r>
        <w:rPr>
          <w:sz w:val="24"/>
          <w:u w:val="none"/>
          <w:rFonts w:ascii="Times New Roman" w:hAnsi="Times New Roman"/>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178</w:t>
      </w:r>
      <w:r w:rsidRPr="005B57EC">
        <w:fldChar w:fldCharType="end"/>
      </w:r>
      <w:r>
        <w:t xml:space="preserve">.</w:t>
      </w:r>
      <w:r>
        <w:t xml:space="preserve"> </w:t>
      </w:r>
      <w:r>
        <w:t xml:space="preserve">Šīs veidnes mērķis ir sniegt informāciju par kopējo PVK sastāvu, kuras atskaita no pašu kapitāla saskaņā ar Regulas (ES) Nr. 575/2013 34. un 105. pantu, kā arī būtisku informāciju par tādu pozīciju uzskaites vērtēšanu, kuras paredzētas PVK noteikšanai.</w:t>
      </w:r>
    </w:p>
    <w:p w14:paraId="6CF38957"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179</w:t>
      </w:r>
      <w:r w:rsidRPr="005B57EC">
        <w:fldChar w:fldCharType="end"/>
      </w:r>
      <w:r>
        <w:t xml:space="preserve">.</w:t>
      </w:r>
      <w:r>
        <w:t xml:space="preserve"> </w:t>
      </w:r>
      <w:r>
        <w:t xml:space="preserve">Šo veidni aizpilda visas iestādes:</w:t>
      </w:r>
      <w:r>
        <w:t xml:space="preserve"> </w:t>
      </w:r>
    </w:p>
    <w:p w14:paraId="55E8BBED" w14:textId="77777777" w:rsidR="001332E7" w:rsidRPr="002A677E" w:rsidRDefault="001332E7" w:rsidP="001332E7">
      <w:pPr>
        <w:pStyle w:val="InstructionsText2"/>
        <w:numPr>
          <w:ilvl w:val="0"/>
          <w:numId w:val="0"/>
        </w:numPr>
        <w:ind w:left="1353" w:hanging="360"/>
      </w:pPr>
      <w:r>
        <w:t xml:space="preserve">a) kurām ir jāizmanto pamatpieeja, jo tās vai nu individuāli, vai arī konsolidēti, kā noteikts Deleģētās regulas (ES) 2016/101 4. panta 3. punktā, pārsniedz slieksni, kas minēts Deleģētās regulas (ES) 2016/101 4. panta 1. punktā, vai</w:t>
      </w:r>
      <w:r>
        <w:t xml:space="preserve"> </w:t>
      </w:r>
      <w:r>
        <w:t xml:space="preserve">vai</w:t>
      </w:r>
    </w:p>
    <w:p w14:paraId="5C7E4D89" w14:textId="77777777" w:rsidR="001332E7" w:rsidRPr="002A677E" w:rsidRDefault="001332E7" w:rsidP="001332E7">
      <w:pPr>
        <w:pStyle w:val="InstructionsText2"/>
        <w:numPr>
          <w:ilvl w:val="0"/>
          <w:numId w:val="0"/>
        </w:numPr>
        <w:ind w:left="1353" w:hanging="360"/>
      </w:pPr>
      <w:r>
        <w:t xml:space="preserve">b) kuras ir izvēlējušās piemērot pamatpieeju, neraugoties uz to, ka slieksnis nav pārsniegts.</w:t>
      </w:r>
      <w:r>
        <w:t xml:space="preserve"> </w:t>
      </w:r>
    </w:p>
    <w:p w14:paraId="747163D2"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180</w:t>
      </w:r>
      <w:r w:rsidRPr="005B57EC">
        <w:fldChar w:fldCharType="end"/>
      </w:r>
      <w:r>
        <w:t xml:space="preserve">.</w:t>
      </w:r>
      <w:r>
        <w:t xml:space="preserve"> </w:t>
      </w:r>
      <w:r>
        <w:t xml:space="preserve">Šajā veidnē jēdziens “augšupvērsta nenoteiktība” nozīmē:</w:t>
      </w:r>
      <w:r>
        <w:t xml:space="preserve"> </w:t>
      </w:r>
      <w:r>
        <w:t xml:space="preserve">kā noteikts Deleģētās regulas (ES) 2016/101 8. panta 2. punktā, PVK aprēķina kā starpību starp patieso vērtību un piesardzīgu vērtēšanu, ko nosaka ar 90 % noteiktību, ka iestādes attiecīgajā punktā var izstāties no riska darījuma vai vēl labākā brīdī ticamu vērtību nosacītas virknes ietvaros.</w:t>
      </w:r>
      <w:r>
        <w:t xml:space="preserve"> </w:t>
      </w:r>
      <w:r>
        <w:t xml:space="preserve">Augšupvērstā vērtība vai “augšupvērstā nenoteiktība” ir pretējais punkts ticamo vērtību sadalījumā, kurā iestādēm ir tikai 10 % pārliecinātas, ka tās var izstāties no pozīcijas attiecīgajā punktā vai vēl labākā brīdī.</w:t>
      </w:r>
      <w:r>
        <w:t xml:space="preserve"> </w:t>
      </w:r>
      <w:r>
        <w:t xml:space="preserve">Augšupvērsto nenoteiktību aprēķina un apkopo tāpat kā kopējās PVK, bet aizstājot 10 % noteiktības līmeni ar 90 % līmeni, ko izmanto, nosakot kopējās PVK.</w:t>
      </w:r>
    </w:p>
    <w:p w14:paraId="3D0F7470"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6" w:name="_Toc117766058"/>
      <w:r>
        <w:rPr>
          <w:sz w:val="24"/>
          <w:u w:val="none"/>
          <w:rFonts w:ascii="Times New Roman" w:hAnsi="Times New Roman"/>
        </w:rPr>
        <w:t xml:space="preserve">6.2.2.</w:t>
      </w:r>
      <w:r>
        <w:rPr>
          <w:sz w:val="24"/>
          <w:u w:val="none"/>
          <w:rFonts w:ascii="Times New Roman" w:hAnsi="Times New Roman"/>
        </w:rPr>
        <w:tab/>
      </w:r>
      <w:r>
        <w:rPr>
          <w:sz w:val="24"/>
          <w:u w:val="none"/>
          <w:rFonts w:ascii="Times New Roman" w:hAnsi="Times New Roman"/>
        </w:rPr>
        <w:t xml:space="preserve">Norādes par konkrētām pozīcijām</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Slejas</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0010.-0100.</w:t>
            </w:r>
          </w:p>
        </w:tc>
        <w:tc>
          <w:tcPr>
            <w:tcW w:w="8190" w:type="dxa"/>
          </w:tcPr>
          <w:p w14:paraId="674DDD1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KATEGORIJU LĪMEŅA PVK</w:t>
            </w:r>
          </w:p>
          <w:p w14:paraId="3128CBD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Tirgus cenas nenoteiktības, pozīcijas slēgšanas vai likvidācijas izdevumu, modeļa riska, koncentrētu pozīciju, turpmāko administratīvo izmaksu, priekšlaicīgas darījuma izbeigšanas un operatīvā riska kategoriju līmeņa PVK aprēķina, kā aprakstīts attiecīgi Deleģētās regulas (ES) 2016/101 9., 10., 11. pantā un 14.–17. pantā.</w:t>
            </w:r>
          </w:p>
          <w:p w14:paraId="052118A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Attiecībā uz tirgus cenas nenoteiktības, pozīcijas slēgšanas vai likvidācijas izdevumu un modeļa riska kategorijām, kurām piemēro ar diversifikāciju saistītos ieguvumus, kā noteikts attiecīgi Deleģētās regulas (ES) 2016/101 9. panta 6. punktā, 10. panta 7. punktā un 11. panta 7. punktā, kategoriju līmeņa PVK, ja vien nav norādīts citādi, uzrāda kā atsevišķo PVK tiešo summu pirms ar diversifikāciju saistītajiem ieguvumiem [jo ar diversifikāciju saistītos ieguvumus, kas aprēķināti, izmantojot 1. vai 2. metodi, kura norādīta Deleģētās regulas (ES) 2016/101 pielikumā, uzrāda veidnes 1.1.2., 1.1.2.1. un 1.1.2.2. postenī].</w:t>
            </w:r>
            <w:r>
              <w:rPr>
                <w:sz w:val="24"/>
                <w:rFonts w:ascii="Times New Roman" w:hAnsi="Times New Roman"/>
              </w:rPr>
              <w:t xml:space="preserve"> </w:t>
            </w:r>
          </w:p>
          <w:p w14:paraId="61BB89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Attiecībā uz tirgus cenas nenoteiktības, pozīcijas slēgšanas vai likvidācijas izdevumu un modeļa riska kategorijām summas, kas aprēķinātas, izmantojot uz ekspertu viedokli balstītu pieeju, kā minēts Deleģētās regulas (ES) 2016/101 9. panta 5. punkta b) apakšpunktā, 10. panta 6. punkta b) apakšpunktā un 11. panta 4. punktā, uzrāda atsevišķi 0020., 0040. un 0060. slejā.</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12B55E7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TIRGUS CENAS NENOTEIKTĪBA</w:t>
            </w:r>
          </w:p>
          <w:p w14:paraId="52F61A7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Regulas (ES) Nr. 575/2013 105. panta 10. punkts.</w:t>
            </w:r>
            <w:r>
              <w:rPr>
                <w:sz w:val="24"/>
                <w:rFonts w:ascii="Times New Roman" w:hAnsi="Times New Roman"/>
              </w:rPr>
              <w:t xml:space="preserve"> </w:t>
            </w:r>
          </w:p>
          <w:p w14:paraId="4661AD7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Tirgus cenas nenoteiktības PVK aprēķinātas saskaņā ar Deleģētās regulas (ES) 2016/101 9. pantu.</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18CC881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APRĒĶINĀTAS, IZMANTOJOT UZ EKSPERTU VIEDOKLI BALSTĪTU PIEEJU</w:t>
            </w:r>
          </w:p>
          <w:p w14:paraId="798D720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Tirgus cenas nenoteiktības PVK aprēķinātas saskaņā ar Deleģētās regulas (ES) 2016/101 9. panta 5. punkta b) apakšpunktu.</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67B90D6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POZĪCIJAS SLĒGŠANAS VAI LIKVIDĀCIJAS IZDEVUMI</w:t>
            </w:r>
          </w:p>
          <w:p w14:paraId="414418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Regulas (ES) Nr. 575/2013 105. panta 10. punkts.</w:t>
            </w:r>
            <w:r>
              <w:rPr>
                <w:sz w:val="24"/>
                <w:rFonts w:ascii="Times New Roman" w:hAnsi="Times New Roman"/>
              </w:rPr>
              <w:t xml:space="preserve"> </w:t>
            </w:r>
          </w:p>
          <w:p w14:paraId="6C75C8D9"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Pozīcijas slēgšanas vai likvidācijas izdevumu PVK aprēķinātas saskaņā ar Deleģētās regulas (ES) 2016/101 10. pantu.</w:t>
            </w:r>
            <w:r>
              <w:rPr>
                <w:sz w:val="24"/>
                <w:rFonts w:ascii="Times New Roman" w:hAnsi="Times New Roman"/>
              </w:rPr>
              <w:t xml:space="preserve">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2381F73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APRĒĶINĀTAS, IZMANTOJOT UZ EKSPERTU VIEDOKLI BALSTĪTU PIEEJU</w:t>
            </w:r>
          </w:p>
          <w:p w14:paraId="4BF635CD" w14:textId="77777777" w:rsidR="001332E7" w:rsidRPr="001235ED"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Pozīcijas slēgšanas vai likvidācijas izdevumu PVK aprēķinātas saskaņā ar Deleģētās regulas (ES) 2016/101 10. panta 6. punkta b) apakšpunktu.</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7E8E458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MODEĻA RISKS</w:t>
            </w:r>
          </w:p>
          <w:p w14:paraId="330F409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Regulas (ES) Nr. 575/2013 105. panta 10. punkts.</w:t>
            </w:r>
          </w:p>
          <w:p w14:paraId="6B2D98D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Modeļa riska PVK aprēķinātas saskaņā ar Deleģētās regulas (ES) 2016/101 11. pantu.</w:t>
            </w:r>
            <w:r>
              <w:rPr>
                <w:sz w:val="24"/>
                <w:rFonts w:ascii="Times New Roman" w:hAnsi="Times New Roman"/>
              </w:rPr>
              <w:t xml:space="preserve">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DEB152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APRĒĶINĀTAS, IZMANTOJOT UZ EKSPERTU VIEDOKLI BALSTĪTU PIEEJU</w:t>
            </w:r>
          </w:p>
          <w:p w14:paraId="0E97E9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Modeļu riska PVK aprēķinātas saskaņā ar Deleģētās regulas (ES) 2016/101 11. panta 4. punktu.</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256CA0A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KONCENTRĒTAS POZĪCIJAS</w:t>
            </w:r>
          </w:p>
          <w:p w14:paraId="535C01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Regulas (ES) Nr. 575/2013 105. panta 11. punkts.</w:t>
            </w:r>
          </w:p>
          <w:p w14:paraId="0BC2EA7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Koncentrētu pozīciju PVK aprēķinātas saskaņā ar Deleģētās regulas (ES) 2016/101 14. pantu.</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31D502D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TURPMĀKAS ADMINISTRATĪVĀS IZMAKSAS</w:t>
            </w:r>
          </w:p>
          <w:p w14:paraId="53DADC9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Regulas (ES) Nr. 575/2013 105. panta 10. punkts.</w:t>
            </w:r>
          </w:p>
          <w:p w14:paraId="0E4CF7E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Turpmāku administratīvo izmaksu PVK aprēķinātas saskaņā ar Deleģētās regulas (ES) 2016/101 15. pantu.</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04BDF1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PRIEŠLAICĪGA DARĪJUMA IZBEIGŠANA</w:t>
            </w:r>
          </w:p>
          <w:p w14:paraId="05DA81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Regulas (ES) Nr. 575/2013 105. panta 10. punkts.</w:t>
            </w:r>
          </w:p>
          <w:p w14:paraId="2A9E352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Priekšlaicīgas darījuma izbeigšanas PVK aprēķinātas saskaņā ar Deleģētās regulas (ES) 2016/101 16. pantu.</w:t>
            </w:r>
            <w:r>
              <w:rPr>
                <w:sz w:val="24"/>
                <w:rFonts w:ascii="Times New Roman" w:hAnsi="Times New Roman"/>
              </w:rPr>
              <w:t xml:space="preserve">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3C8CEB6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OPERACIONĀLAIS RISKS</w:t>
            </w:r>
          </w:p>
          <w:p w14:paraId="052ED67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Regulas (ES) Nr. 575/2013 105. panta 10. punkts.</w:t>
            </w:r>
          </w:p>
          <w:p w14:paraId="70E627C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Operacionālā riska PVK aprēķinātas saskaņā ar Deleģētās regulas (ES) 2016/101 17. pantu.</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KOPĒJĀS PVK</w:t>
            </w:r>
            <w:r>
              <w:rPr>
                <w:rStyle w:val="InstructionsTabelleberschrift"/>
                <w:sz w:val="24"/>
                <w:rFonts w:ascii="Times New Roman" w:hAnsi="Times New Roman"/>
              </w:rPr>
              <w:t xml:space="preserve"> </w:t>
            </w:r>
          </w:p>
          <w:p w14:paraId="58B1D1F6"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Šīs veidnes 0010. rinda:</w:t>
            </w:r>
            <w:r>
              <w:rPr>
                <w:sz w:val="24"/>
                <w:rStyle w:val="InstructionsTabelleberschrift"/>
                <w:b w:val="0"/>
                <w:u w:val="none"/>
                <w:rFonts w:ascii="Times New Roman" w:hAnsi="Times New Roman"/>
              </w:rPr>
              <w:t xml:space="preserve"> </w:t>
            </w:r>
            <w:r>
              <w:rPr>
                <w:sz w:val="24"/>
                <w:rFonts w:ascii="Times New Roman" w:hAnsi="Times New Roman"/>
              </w:rPr>
              <w:t xml:space="preserve">kopējās PVK, kuras atskaita no pašu kapitāla saskaņā ar Regulas (ES) Nr. 575/2013 34. un 105. pantu un uzrāda attiecīgi C 01.00 veidnes 0290. rindā.</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Kopējās PVK ir 0030. un 0180. rindas summa.</w:t>
            </w:r>
            <w:r>
              <w:rPr>
                <w:sz w:val="24"/>
                <w:rStyle w:val="InstructionsTabelleberschrift"/>
                <w:b w:val="0"/>
                <w:u w:val="none"/>
                <w:rFonts w:ascii="Times New Roman" w:hAnsi="Times New Roman"/>
              </w:rPr>
              <w:t xml:space="preserve"> </w:t>
            </w:r>
          </w:p>
          <w:p w14:paraId="38D0B66A"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Šīs veidnes 0020. rinda: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kopējo PVK daļa, kas uzrādīta 0010. rindā un izriet no tirdzniecības portfeļa pozīcijām (absolūtā vērtība).</w:t>
            </w:r>
            <w:r>
              <w:rPr>
                <w:rStyle w:val="InstructionsTabelleberschrift"/>
                <w:b w:val="0"/>
                <w:sz w:val="24"/>
                <w:u w:val="none"/>
                <w:rFonts w:ascii="Times New Roman" w:hAnsi="Times New Roman"/>
              </w:rPr>
              <w:t xml:space="preserve"> </w:t>
            </w:r>
          </w:p>
          <w:p w14:paraId="39F2D780"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0030.–0160. rinda: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0010., 0030., 0050. un 0070.–0100. slejas summa.</w:t>
            </w:r>
            <w:r>
              <w:rPr>
                <w:rStyle w:val="InstructionsTabelleberschrift"/>
                <w:b w:val="0"/>
                <w:sz w:val="24"/>
                <w:u w:val="none"/>
                <w:rFonts w:ascii="Times New Roman" w:hAnsi="Times New Roman"/>
              </w:rPr>
              <w:t xml:space="preserve"> </w:t>
            </w:r>
          </w:p>
          <w:p w14:paraId="34421EE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b w:val="0"/>
                <w:u w:val="none"/>
                <w:rFonts w:ascii="Times New Roman" w:hAnsi="Times New Roman"/>
              </w:rPr>
              <w:t xml:space="preserve">0180.–0210. rinda:</w:t>
            </w:r>
            <w:r>
              <w:rPr>
                <w:rStyle w:val="InstructionsTabelleberschrift"/>
                <w:sz w:val="24"/>
                <w:b w:val="0"/>
                <w:u w:val="none"/>
                <w:rFonts w:ascii="Times New Roman" w:hAnsi="Times New Roman"/>
              </w:rPr>
              <w:t xml:space="preserve"> </w:t>
            </w:r>
            <w:r>
              <w:rPr>
                <w:rStyle w:val="InstructionsTabelleberschrift"/>
                <w:sz w:val="24"/>
                <w:b w:val="0"/>
                <w:u w:val="none"/>
                <w:rFonts w:ascii="Times New Roman" w:hAnsi="Times New Roman"/>
              </w:rPr>
              <w:t xml:space="preserve">kopējās PVK, kuras izriet no portfeļiem saskaņā ar “alternatīvu pieeju”.</w:t>
            </w:r>
            <w:r>
              <w:rPr>
                <w:rStyle w:val="InstructionsTabelleberschrift"/>
                <w:sz w:val="24"/>
                <w:rFonts w:ascii="Times New Roman" w:hAnsi="Times New Roman"/>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AUGŠUPVĒRSTA NENOTEIKTĪBA</w:t>
            </w:r>
          </w:p>
          <w:p w14:paraId="1DD986F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Deleģētās regulas (ES) 2016/101 </w:t>
            </w:r>
            <w:r>
              <w:rPr>
                <w:sz w:val="24"/>
                <w:b/>
                <w:bCs/>
                <w:u w:val="single"/>
                <w:rFonts w:ascii="Times New Roman" w:hAnsi="Times New Roman"/>
              </w:rPr>
              <w:t xml:space="preserve">8. panta 2. punkts</w:t>
            </w:r>
            <w:r>
              <w:rPr>
                <w:sz w:val="24"/>
                <w:rFonts w:ascii="Times New Roman" w:hAnsi="Times New Roman"/>
              </w:rPr>
              <w:t xml:space="preserve">.</w:t>
            </w:r>
          </w:p>
          <w:p w14:paraId="3D1B25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Augšupvērsto nenoteiktību aprēķina un apkopo tāpat kā kopējās PVK, kas aprēķinātas 0110. slejā, bet aizstājot 10 % noteiktības līmeni ar 90 % līmeni, ko izmanto, nosakot kopējās PVK</w:t>
            </w:r>
            <w:r>
              <w:rPr>
                <w:sz w:val="24"/>
                <w:rFonts w:ascii="Times New Roman" w:hAnsi="Times New Roman"/>
              </w:rPr>
              <w:t xml:space="preserve">.</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0130.-0140.</w:t>
            </w:r>
          </w:p>
        </w:tc>
        <w:tc>
          <w:tcPr>
            <w:tcW w:w="8190" w:type="dxa"/>
          </w:tcPr>
          <w:p w14:paraId="4E4A70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PĒC PATIESĀS VĒRTĪBAS VĒRTĒTI AKTĪVI UN SAISTĪBAS</w:t>
            </w:r>
          </w:p>
          <w:p w14:paraId="18BA1E1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Pēc patiesās vērtības vērtētu aktīvu un saistību absolūtā vērtība, kas atbilst 0010.–0130. rindā un 0180. rindā uzrādītajai PVK vērtībai.</w:t>
            </w:r>
            <w:r>
              <w:rPr>
                <w:sz w:val="24"/>
                <w:rFonts w:ascii="Times New Roman" w:hAnsi="Times New Roman"/>
              </w:rPr>
              <w:t xml:space="preserve"> </w:t>
            </w:r>
            <w:r>
              <w:rPr>
                <w:sz w:val="24"/>
                <w:rFonts w:ascii="Times New Roman" w:hAnsi="Times New Roman"/>
              </w:rPr>
              <w:t xml:space="preserve">Dažās rindās, jo īpaši 0090.–0130. rindā, minētās vērtības varētu būt nepieciešams noteikt aptuveni vai iedalīt, pamatojoties uz ekspertu slēdzienu.</w:t>
            </w:r>
            <w:r>
              <w:rPr>
                <w:sz w:val="24"/>
                <w:rFonts w:ascii="Times New Roman" w:hAnsi="Times New Roman"/>
              </w:rPr>
              <w:t xml:space="preserve"> </w:t>
            </w:r>
          </w:p>
          <w:p w14:paraId="3721DB29"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Šīs veidnes 0010. rinda:</w:t>
            </w:r>
            <w:r>
              <w:rPr>
                <w:sz w:val="24"/>
                <w:rFonts w:ascii="Times New Roman" w:hAnsi="Times New Roman"/>
              </w:rPr>
              <w:t xml:space="preserve"> </w:t>
            </w:r>
            <w:r>
              <w:rPr>
                <w:sz w:val="24"/>
                <w:rFonts w:ascii="Times New Roman" w:hAnsi="Times New Roman"/>
              </w:rPr>
              <w:t xml:space="preserve">tādu pēc patiesās vērtības vērtētu aktīvu un saistību absolūtā vērtība, kas ir iekļauti Deleģētās regulas (ES) 2016/101 4. panta 1. punkta sliekšņa aprēķinā.</w:t>
            </w:r>
            <w:r>
              <w:rPr>
                <w:sz w:val="24"/>
                <w:rFonts w:ascii="Times New Roman" w:hAnsi="Times New Roman"/>
              </w:rPr>
              <w:t xml:space="preserve"> </w:t>
            </w:r>
            <w:r>
              <w:rPr>
                <w:sz w:val="24"/>
                <w:rFonts w:ascii="Times New Roman" w:hAnsi="Times New Roman"/>
              </w:rPr>
              <w:t xml:space="preserve">Tas ietver tādu pēc patiesās vērtības vērtētu aktīvu un saistību absolūto vērtību, attiecībā uz kurām ir novērtēts, ka PVK ir nulles vērtība saskaņā ar Deleģētās regulas (ES) 2016/101 9. panta 2. punktu, 10. panta 2. punktu vai 10. panta 3. punktu, un kuras arī uzrāda atsevišķi 0070. un 0080. rindā.</w:t>
            </w:r>
            <w:r>
              <w:rPr>
                <w:sz w:val="24"/>
                <w:rFonts w:ascii="Times New Roman" w:hAnsi="Times New Roman"/>
              </w:rPr>
              <w:t xml:space="preserve"> </w:t>
            </w:r>
          </w:p>
          <w:p w14:paraId="28E17635"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0010. rinda ir 0030. un 0180. rindas summa.</w:t>
            </w:r>
            <w:r>
              <w:rPr>
                <w:sz w:val="24"/>
                <w:rFonts w:ascii="Times New Roman" w:hAnsi="Times New Roman"/>
              </w:rPr>
              <w:t xml:space="preserve"> </w:t>
            </w:r>
          </w:p>
          <w:p w14:paraId="6C809F9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Šīs veidnes 0020. rinda:</w:t>
            </w:r>
            <w:r>
              <w:rPr>
                <w:sz w:val="24"/>
                <w:rFonts w:ascii="Times New Roman" w:hAnsi="Times New Roman"/>
              </w:rPr>
              <w:t xml:space="preserve"> </w:t>
            </w:r>
            <w:r>
              <w:rPr>
                <w:sz w:val="24"/>
                <w:rFonts w:ascii="Times New Roman" w:hAnsi="Times New Roman"/>
              </w:rPr>
              <w:t xml:space="preserve">pēc patiesās vērtības vērtētu aktīvu un saistību kopējās absolūtās vērtības daļa, kas uzrādīta 0010. rindā un izriet no tirdzniecības portfeļa pozīcijām (absolūtā vērtība).</w:t>
            </w:r>
            <w:r>
              <w:rPr>
                <w:sz w:val="24"/>
                <w:rFonts w:ascii="Times New Roman" w:hAnsi="Times New Roman"/>
              </w:rPr>
              <w:t xml:space="preserve"> </w:t>
            </w:r>
          </w:p>
          <w:p w14:paraId="1D76BFD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Šīs veidnes 0030. rinda:</w:t>
            </w:r>
            <w:r>
              <w:rPr>
                <w:sz w:val="24"/>
                <w:rFonts w:ascii="Times New Roman" w:hAnsi="Times New Roman"/>
              </w:rPr>
              <w:t xml:space="preserve"> </w:t>
            </w:r>
            <w:r>
              <w:rPr>
                <w:sz w:val="24"/>
                <w:rFonts w:ascii="Times New Roman" w:hAnsi="Times New Roman"/>
              </w:rPr>
              <w:t xml:space="preserve">tādu pēc patiesās vērtības vērtētu aktīvu un saistību absolūtā vērtība, kas atbilst portfeļiem, kas minēti Deleģētās regulas (ES) 2016/101 9.–17. pantā.</w:t>
            </w:r>
            <w:r>
              <w:rPr>
                <w:sz w:val="24"/>
                <w:rFonts w:ascii="Times New Roman" w:hAnsi="Times New Roman"/>
              </w:rPr>
              <w:t xml:space="preserve"> </w:t>
            </w:r>
            <w:r>
              <w:rPr>
                <w:sz w:val="24"/>
                <w:rFonts w:ascii="Times New Roman" w:hAnsi="Times New Roman"/>
              </w:rPr>
              <w:t xml:space="preserve">Tas ietver tādu pēc patiesās vērtības vērtētu aktīvu un saistību absolūto vērtību, attiecībā uz kurām ir novērtēts, ka PVK ir nulles vērtība saskaņā ar Deleģētās regulas (ES) 2016/101 9. panta 2. punktu, 10. panta 2. punktu vai 10. panta 3. punktu, un kuras arī uzrāda atsevišķi 0070. un 0080. rindā.</w:t>
            </w:r>
            <w:r>
              <w:rPr>
                <w:sz w:val="24"/>
                <w:rFonts w:ascii="Times New Roman" w:hAnsi="Times New Roman"/>
              </w:rPr>
              <w:t xml:space="preserve"> </w:t>
            </w:r>
            <w:r>
              <w:rPr>
                <w:sz w:val="24"/>
                <w:rFonts w:ascii="Times New Roman" w:hAnsi="Times New Roman"/>
              </w:rPr>
              <w:t xml:space="preserve">0030. rinda ir 0090.–0130. rindas summa.</w:t>
            </w:r>
          </w:p>
          <w:p w14:paraId="6FA980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Šīs veidnes 0050. rinda:</w:t>
            </w:r>
            <w:r>
              <w:rPr>
                <w:sz w:val="24"/>
                <w:rFonts w:ascii="Times New Roman" w:hAnsi="Times New Roman"/>
              </w:rPr>
              <w:t xml:space="preserve"> </w:t>
            </w:r>
            <w:r>
              <w:rPr>
                <w:sz w:val="24"/>
                <w:rFonts w:ascii="Times New Roman" w:hAnsi="Times New Roman"/>
              </w:rPr>
              <w:t xml:space="preserve">tādu pēc patiesās vērtības vērtētu aktīvu un saistību absolūtā vērtība, kas ir iekļauti nenopelnītās peļņas no kredītu likmju starpības PVK aprēķināšanas tvērumā.</w:t>
            </w:r>
            <w:r>
              <w:rPr>
                <w:sz w:val="24"/>
                <w:rFonts w:ascii="Times New Roman" w:hAnsi="Times New Roman"/>
              </w:rPr>
              <w:t xml:space="preserve"> </w:t>
            </w:r>
            <w:r>
              <w:rPr>
                <w:sz w:val="24"/>
                <w:rFonts w:ascii="Times New Roman" w:hAnsi="Times New Roman"/>
              </w:rPr>
              <w:t xml:space="preserve">Lai aprēķinātu šo PVK, pilnīgi sakrītošus, izlīdzinošus, pēc patiesās vērtības vērtētus aktīvus un saistības, kas izslēgti no sliekšņa aprēķināšanas saskaņā ar Deleģētās regulas (ES) 2016/101 4. panta 2. punktu, vairs nedrīkst uzskatīt par pilnībā sakrītošiem, izlīdzinošiem.</w:t>
            </w:r>
            <w:r>
              <w:rPr>
                <w:sz w:val="24"/>
                <w:rFonts w:ascii="Times New Roman" w:hAnsi="Times New Roman"/>
              </w:rPr>
              <w:t xml:space="preserve"> </w:t>
            </w:r>
          </w:p>
          <w:p w14:paraId="54BA5F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Šīs veidnes 0060. rinda:</w:t>
            </w:r>
            <w:r>
              <w:rPr>
                <w:sz w:val="24"/>
                <w:rFonts w:ascii="Times New Roman" w:hAnsi="Times New Roman"/>
              </w:rPr>
              <w:t xml:space="preserve"> </w:t>
            </w:r>
            <w:r>
              <w:rPr>
                <w:sz w:val="24"/>
                <w:rFonts w:ascii="Times New Roman" w:hAnsi="Times New Roman"/>
              </w:rPr>
              <w:t xml:space="preserve">tādu pēc patiesās vērtības vērtētu aktīvu un saistību absolūtā vērtība, kas ir iekļauti ieguldījuma un finansējuma izmaksu PVK aprēķināšanas tvērumā.</w:t>
            </w:r>
            <w:r>
              <w:rPr>
                <w:sz w:val="24"/>
                <w:rFonts w:ascii="Times New Roman" w:hAnsi="Times New Roman"/>
              </w:rPr>
              <w:t xml:space="preserve"> </w:t>
            </w:r>
            <w:r>
              <w:rPr>
                <w:sz w:val="24"/>
                <w:rFonts w:ascii="Times New Roman" w:hAnsi="Times New Roman"/>
              </w:rPr>
              <w:t xml:space="preserve">Lai aprēķinātu šo PVK, pilnīgi sakrītošus, izlīdzinošus, pēc patiesās vērtības vērtētus aktīvus un saistības, kas izslēgti no sliekšņa aprēķināšanas saskaņā ar Deleģētās regulas (ES) 2016/101 4. panta 2. punktu, vairs nedrīkst uzskatīt par pilnībā sakrītošiem, izlīdzinošiem.</w:t>
            </w:r>
            <w:r>
              <w:rPr>
                <w:sz w:val="24"/>
                <w:rFonts w:ascii="Times New Roman" w:hAnsi="Times New Roman"/>
              </w:rPr>
              <w:t xml:space="preserve"> </w:t>
            </w:r>
          </w:p>
          <w:p w14:paraId="0CE295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Šīs veidnes 0070. rinda:</w:t>
            </w:r>
            <w:r>
              <w:rPr>
                <w:sz w:val="24"/>
                <w:rFonts w:ascii="Times New Roman" w:hAnsi="Times New Roman"/>
              </w:rPr>
              <w:t xml:space="preserve"> </w:t>
            </w:r>
            <w:r>
              <w:rPr>
                <w:sz w:val="24"/>
                <w:rFonts w:ascii="Times New Roman" w:hAnsi="Times New Roman"/>
              </w:rPr>
              <w:t xml:space="preserve">Tādu pēc patiesās vērtības vērtētu aktīvu un saistību absolūtā vērtība, kas atbilst vērtēšanas riska darījumiem, attiecībā uz kuriem ir novērtēts, ka PVK ir nulles vērtība, kā minēts Deleģētās regulas (ES) 2016/101 9. panta 2. punktā.</w:t>
            </w:r>
            <w:r>
              <w:rPr>
                <w:sz w:val="24"/>
                <w:rFonts w:ascii="Times New Roman" w:hAnsi="Times New Roman"/>
              </w:rPr>
              <w:t xml:space="preserve"> </w:t>
            </w:r>
          </w:p>
          <w:p w14:paraId="6B8CFF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Šīs veidnes 0080. rinda:</w:t>
            </w:r>
            <w:r>
              <w:rPr>
                <w:sz w:val="24"/>
                <w:rFonts w:ascii="Times New Roman" w:hAnsi="Times New Roman"/>
              </w:rPr>
              <w:t xml:space="preserve"> </w:t>
            </w:r>
            <w:r>
              <w:rPr>
                <w:sz w:val="24"/>
                <w:rFonts w:ascii="Times New Roman" w:hAnsi="Times New Roman"/>
              </w:rPr>
              <w:t xml:space="preserve">Tādu pēc patiesās vērtības vērtētu aktīvu un saistību absolūtā vērtība, kas atbilst vērtēšanas riska darījumiem, attiecībā uz kuriem ir novērtēts, ka PVK ir nulles vērtība, kā minēts Deleģētās regulas (ES) 2016/101 10. panta 2. un 3. punktā.</w:t>
            </w:r>
            <w:r>
              <w:rPr>
                <w:sz w:val="24"/>
                <w:rFonts w:ascii="Times New Roman" w:hAnsi="Times New Roman"/>
              </w:rPr>
              <w:t xml:space="preserve"> </w:t>
            </w:r>
          </w:p>
          <w:p w14:paraId="1B2163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0090.–0130. rinda:</w:t>
            </w:r>
            <w:r>
              <w:rPr>
                <w:sz w:val="24"/>
                <w:rFonts w:ascii="Times New Roman" w:hAnsi="Times New Roman"/>
              </w:rPr>
              <w:t xml:space="preserve"> </w:t>
            </w:r>
            <w:r>
              <w:rPr>
                <w:sz w:val="24"/>
                <w:rFonts w:ascii="Times New Roman" w:hAnsi="Times New Roman"/>
              </w:rPr>
              <w:t xml:space="preserve">tādu pēc patiesās vērtības vērtētu aktīvu un saistību absolūtā vērtība, kas iedalīta, kā norādīts turpmāk (sk. attiecīgās rindas norādes), saskaņā ar šādām riska kategorijām:</w:t>
            </w:r>
            <w:r>
              <w:rPr>
                <w:sz w:val="24"/>
                <w:rFonts w:ascii="Times New Roman" w:hAnsi="Times New Roman"/>
              </w:rPr>
              <w:t xml:space="preserve"> </w:t>
            </w:r>
            <w:r>
              <w:rPr>
                <w:sz w:val="24"/>
                <w:rFonts w:ascii="Times New Roman" w:hAnsi="Times New Roman"/>
              </w:rPr>
              <w:t xml:space="preserve">procentu likmes, ārvalstu valūtas, kredīts, kapitāla vērtspapīri, preces.</w:t>
            </w:r>
            <w:r>
              <w:rPr>
                <w:sz w:val="24"/>
                <w:rFonts w:ascii="Times New Roman" w:hAnsi="Times New Roman"/>
              </w:rPr>
              <w:t xml:space="preserve"> </w:t>
            </w:r>
            <w:r>
              <w:rPr>
                <w:sz w:val="24"/>
                <w:rFonts w:ascii="Times New Roman" w:hAnsi="Times New Roman"/>
              </w:rPr>
              <w:t xml:space="preserve">Tas ietver tādu pēc patiesās vērtības vērtētu aktīvu un saistību absolūto vērtību, attiecībā uz kurām ir novērtēts, ka PVK ir nulles vērtība saskaņā ar Deleģētās regulas (ES) 2016/101 9. panta 2. punktu, 10. panta 2. punktu vai 10. panta 3. punktu, un kuras arī uzrāda atsevišķi 0070. un 0080. rindā.</w:t>
            </w:r>
          </w:p>
          <w:p w14:paraId="6AE48E8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Šīs veidnes 0180. rinda:</w:t>
            </w:r>
            <w:r>
              <w:rPr>
                <w:sz w:val="24"/>
                <w:rFonts w:ascii="Times New Roman" w:hAnsi="Times New Roman"/>
              </w:rPr>
              <w:t xml:space="preserve"> </w:t>
            </w:r>
            <w:r>
              <w:rPr>
                <w:sz w:val="24"/>
                <w:rFonts w:ascii="Times New Roman" w:hAnsi="Times New Roman"/>
              </w:rPr>
              <w:t xml:space="preserve">tādu pēc patiesās vērtības vērtētu aktīvu un saistību absolūtā vērtība, ka atbilst portfeļiem saskaņā ar alternatīvo pieeju.</w:t>
            </w:r>
            <w:r>
              <w:rPr>
                <w:sz w:val="24"/>
                <w:rFonts w:ascii="Times New Roman" w:hAnsi="Times New Roman"/>
              </w:rPr>
              <w:t xml:space="preserve">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2B83FC3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PĒC PATIESĀS VĒRTĪBAS VĒRTĒTI AKTĪVI</w:t>
            </w:r>
          </w:p>
          <w:p w14:paraId="016F725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Tādu pēc patiesās vērtības vērtētu aktīvu absolūtā vērtība, kas atbilst dažādajām rindām, kā iepriekš skaidrots norādēs par 0130.–0140. sleju.</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PĒC PATIESĀS VĒRTĪBAS VĒRTĒTAS SAISTĪBAS</w:t>
            </w:r>
          </w:p>
          <w:p w14:paraId="35B087B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Tādu pēc patiesās vērtības vērtētu saistību absolūtā vērtība, kas atbilst dažādajām rindām, kā iepriekš skaidrots norādēs par 0130.–0140. sleju.</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0694693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CETURKŠŅA LĪDZŠINĒJIE IEŅĒMUMI</w:t>
            </w:r>
          </w:p>
          <w:p w14:paraId="0694DB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Ceturkšņa līdzšinējie ienākumi kopš pēdējā pārskata sniegšanas datuma, kas piedēvēti pēc patiesās vērtības vērtētajiem aktīviem un saistībām, kuri atbilst dažādajām rindām, kā iepriekš skaidrots norādēs par 0130.–0140. sleju, attiecīgā gadījumā iedalīti vai noteikti aptuveni, pamatojoties uz ekspertu slēdzienu.</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58A7C5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NCP STARPĪBA</w:t>
            </w:r>
          </w:p>
          <w:p w14:paraId="3741FD4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Nekoriģētas starpības vērtību (“NCP starpība”) visu pozīciju un riska faktoru summa, kas aprēķināta tā mēneša beigās, kurš ir tuvāk pārskata sniegšanas datumam, izmantojot neatkarīgo cenu pārbaudes procesu, kas veikts saskaņā ar Regulas (ES) Nr. 575/2013 105. panta 8. punktu, attiecībā uz vislabākajiem pieejamajiem neatkarīgajiem datiem par attiecīgo pozīciju vai riska faktoru.</w:t>
            </w:r>
            <w:r>
              <w:rPr>
                <w:sz w:val="24"/>
                <w:rStyle w:val="InstructionsTabelleberschrift"/>
                <w:b w:val="0"/>
                <w:u w:val="none"/>
                <w:rFonts w:ascii="Times New Roman" w:hAnsi="Times New Roman"/>
              </w:rPr>
              <w:t xml:space="preserve"> </w:t>
            </w:r>
          </w:p>
          <w:p w14:paraId="799F0793"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Nekoriģētas starpības attiecas uz nekoriģētām starpībām starp tirdzniecības sistēmas ģenerētiem vērtējumiem un vērtējumiem, kas novērtēti ikmēneša NCP procesa laikā.</w:t>
            </w:r>
            <w:r>
              <w:rPr>
                <w:rStyle w:val="InstructionsTabelleberschrift"/>
                <w:b w:val="0"/>
                <w:sz w:val="24"/>
                <w:u w:val="none"/>
                <w:rFonts w:ascii="Times New Roman" w:hAnsi="Times New Roman"/>
              </w:rPr>
              <w:t xml:space="preserve"> </w:t>
            </w:r>
          </w:p>
          <w:p w14:paraId="64F290B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NCP starpības aprēķinā neiekļauj iestādes portfeļos un reģistros koriģētas starpības summas attiecībā uz attiecīgā mēneša beigu datumu.</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0170.-0250.</w:t>
            </w:r>
          </w:p>
        </w:tc>
        <w:tc>
          <w:tcPr>
            <w:tcW w:w="8190" w:type="dxa"/>
          </w:tcPr>
          <w:p w14:paraId="754D2F5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PATIESĀS VĒRTĪBAS KOREKCIJAS</w:t>
            </w:r>
          </w:p>
          <w:p w14:paraId="2D1DF46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Patiesās vērtības korekciju (reizēm sauktas arī par “rezervēm”), kuras potenciāli piemēro iestādes uzskaitē un kuras veic ārpus uzskaites vērtības ģenerēšanai izmantotā vērtēšanas modeļa (izņēmums – pirmās dienas peļņas un zaudējumu atlikšana), un kuras var identificēt kā tādas, kas pievēršas tam pašam vērtēšanas nenoteiktības avotam kā attiecīgā PVK.</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Tās varētu atspoguļot riska faktorus, kas nav ietverti vērtēšanas metodē un kas ir riska prēmijas vai izstāšanās izmaksu formā, un atbilst patiesās vērtības definīcijai.</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Tomēr tirgus dalībnieki tās ņem vērā, nosakot cenu.</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(13. SFPS 9. punkts un 13. SFPS 88. punkts)</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3F35A681"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TIRGUS CENAS NENOTEIKTĪBA</w:t>
            </w:r>
          </w:p>
          <w:p w14:paraId="0841688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Iestādes patiesajai vērtībai piemērotā korekcija, lai atspoguļotu riska prēmiju, kura rodas no tā, ka pastāv virkne novērotu cenu līdzvērtīgiem instrumentiem vai – attiecībā uz tirgus parametra ievaddatiem vērtēšanas modelī – instrumentiem, no kuriem ievaddati ir kalibrēti, un ko tādējādi var identificēt kā tādu, kas pievēršas tam pašam vērtēšanas neskaidrības avotam kā tirgus cenas neskaidrības PVK.</w:t>
            </w:r>
            <w:r>
              <w:rPr>
                <w:rStyle w:val="InstructionsTabelleberschrift"/>
                <w:b w:val="0"/>
                <w:sz w:val="24"/>
                <w:u w:val="none"/>
                <w:rFonts w:ascii="Times New Roman" w:hAnsi="Times New Roman"/>
              </w:rPr>
              <w:t xml:space="preserve">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6A0D049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POZĪCIJAS SLĒGŠANAS VAI LIKVIDĀCIJAS IZDEVUMI</w:t>
            </w:r>
          </w:p>
          <w:p w14:paraId="10753B6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Iestādes patiesajai vērtībai piemērotā korekcija, lai koriģētu faktu, ka pozīcijas līmeņa vērtējumi neatspoguļo izstāšanās cenu attiecībā uz pozīciju vai portfeli, jo īpaši, ja šādi vērtējumi ir kalibrēti līdz tirgus viduscenai, un ko tādējādi var identificēt kā tādu, kas pievēršas tam pašam vērtēšanas neskaidrības avotam kā pozīcijas slēgšanas vai likvidācijas izdevumu PVK.</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523F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MODEĻA RISKS</w:t>
            </w:r>
          </w:p>
          <w:p w14:paraId="6D689A0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Iestādes patiesajai vērtībai piemērotā korekcija, lai atspoguļotu tirgus vai produktu faktorus, kas nav ietverti modelī, ko izmanto, lai aprēķinātu pozīcijas ikdienas vērtības un riskus (“vērtēšanas modelis”) vai lai atspoguļotu piemērotu piesardzības līmeni, ņemot vērā nenoteiktību, kas rodas no tā, ka pastāv virkne alternatīvu derīgu modeļu un modeļu kalibrāciju, un ko tādējādi var identificēt kā tādu, kas pievēršas tam pašam vērtēšanas neskaidrības avotam kā modeļa riska PVK.</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4DC122E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KONCENTRĒTAS POZĪCIJAS</w:t>
            </w:r>
          </w:p>
          <w:p w14:paraId="05646A0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Iestādes patiesajai vērtībai piemērotā korekcija, lai atspoguļotu faktu, ka iestādes kopējā turētā pozīcija ir lielāka par normālo tirdzniecības apjomu vai lielāka par pozīciju izmēriem, uz kuriem pamatojas novērojami cenu piedāvājumi vai tirdzniecības darījumi, kurus izmanto, lai kalibrētu cenas vai ievaddatus, kurus izmanto vērtēšanas modelī, un tādējādi var identificēt kā tādu, kas pievēršas tam pašam vērtēšanas neskaidrības avotam kā koncentrēto pozīciju PKV.</w:t>
            </w:r>
            <w:r>
              <w:rPr>
                <w:sz w:val="24"/>
                <w:rStyle w:val="InstructionsTabelleberschrift"/>
                <w:b w:val="0"/>
                <w:u w:val="none"/>
                <w:rFonts w:ascii="Times New Roman" w:hAnsi="Times New Roman"/>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5B594BD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NENOPELNĪTĀ PEĻŅA NO KREDĪTU LIKMJU STARPĪBAS</w:t>
            </w:r>
          </w:p>
          <w:p w14:paraId="0BBF254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Iestādes patiesajai vērtībai piemērotā korekcija, lai segtu sagaidāmos zaudējumus no darījuma partnera saistību neizpildes attiecībā uz atvasināto instrumentu pozīcijām (kopējā kredīta vērtības korekcija (CVA) iestādes līmenī).</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4D23A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IEGULDĪŠANAS UN FINANSĒJUMA IZMAKSAS</w:t>
            </w:r>
          </w:p>
          <w:p w14:paraId="600C4A2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Iestādes patiesajai vērtībai piemērotā korekcija, lai kompensētu gadījumus, kad vērtēšanas modeļi pilnībā neatspoguļo finansēšanas izmaksas, kuras tirgus dalībnieki iekļautu izstāšanās cenā attiecībā uz pozīciju vai portfeli (kopējā finansējuma vērtēšanas korekcija iestādes līmenī, ka iestāde šādu korekciju aprēķina, vai alternatīvā gadījumā – līdzvērtīga korekcija).</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24E9B11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TURPMĀKAS ADMINISTRATĪVĀS IZMAKSAS</w:t>
            </w:r>
          </w:p>
          <w:p w14:paraId="343B887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Iestādes patiesajai vērtībai piemērotā korekcija, lai atspoguļotu administratīvās izmaksas, kas radušās saistībā ar portfeli vai pozīciju, bet kas nav atspoguļotas vērtēšanas modelī vai cenās, kuras izmanto, lai kalibrētu attiecīgā modeļa ievaddatus, un ko tādējādi var identificēt kā tādu, kas pievēršas tam pašam vērtēšanas neskaidrības avotam kā turpmāko administratīvo izmaksu PVK.</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0240.</w:t>
            </w:r>
          </w:p>
        </w:tc>
        <w:tc>
          <w:tcPr>
            <w:tcW w:w="8190" w:type="dxa"/>
          </w:tcPr>
          <w:p w14:paraId="27C26C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PRIEŠLAICĪGA DARĪJUMA IZBEIGŠANA</w:t>
            </w:r>
          </w:p>
          <w:p w14:paraId="68C9A2F9"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Iestādes patiesajai vērtībai piemērotā korekcija, lai atspoguļotu līgumisku vai ārpuslīgumisku priekšlaicīgas darījuma izbeigšanas paredzamību, kas nav atspoguļota vērtēšanas modelī, un tādējādi var identificēt kā tādu, kas pievēršas tam pašam vērtēšanas neskaidrības avotam kā priekšlaicīgas darījuma izbeigšanas PVK.</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0250.</w:t>
            </w:r>
          </w:p>
        </w:tc>
        <w:tc>
          <w:tcPr>
            <w:tcW w:w="8190" w:type="dxa"/>
          </w:tcPr>
          <w:p w14:paraId="4CB4396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OPERACIONĀLAIS RISKS</w:t>
            </w:r>
          </w:p>
          <w:p w14:paraId="390AA5D8"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Iestādes patiesajai vērtībai piemērotā korekcija, lai atspoguļotu riska prēmiju, ko tirgus dalībnieki pieprasītu nolūkā kompensēt operacionālos riskus, kuri rodas no riska ierobežošanas, administrācijas un līgumu slēgšanas portfelī, un tādējādi var identificēt kā tādu, kas pievēršas tam pašam vērtēšanas neskaidrības avotam kā operacionālā riska PVK.</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0260.</w:t>
            </w:r>
          </w:p>
        </w:tc>
        <w:tc>
          <w:tcPr>
            <w:tcW w:w="8190" w:type="dxa"/>
          </w:tcPr>
          <w:p w14:paraId="7EAC139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PIRMĀS DIENAS PEĻŅA UN ZAUDĒJUMI</w:t>
            </w:r>
          </w:p>
          <w:p w14:paraId="2A79B92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Korekcijas, lai atspoguļotu gadījumus, kad vērtēšanas modelis un visas citas attiecīgās patiesās vērtības korekcijas, ko piemēro pozīcijai vai portfelim, neatspoguļo pirmās dienas atzīšanā samaksāto cenu vai saņemto cenu, proti, pirmās dienas peļņas un zaudējumu atlikšana (9. SFPS B5.1.2.A punkts).</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0270.</w:t>
            </w:r>
          </w:p>
        </w:tc>
        <w:tc>
          <w:tcPr>
            <w:tcW w:w="8190" w:type="dxa"/>
          </w:tcPr>
          <w:p w14:paraId="1152BF7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PASKAIDROJUMA APRAKSTS</w:t>
            </w:r>
          </w:p>
          <w:p w14:paraId="2E8772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Apraksts par pozīcijām, kurām piemērota pieeja saskaņā ar Deleģētās regulas (ES) 2016/101 7. panta 2. punkta b) apakšpunktu, un iemesli tam, kāpēc nav bijis iespējams piemērot minētās regulas 9.–17. pantu.</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Rindas</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4E034D5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w:t>
            </w:r>
            <w:r>
              <w:rPr>
                <w:b/>
                <w:sz w:val="24"/>
                <w:u w:val="single"/>
                <w:rFonts w:ascii="Times New Roman" w:hAnsi="Times New Roman"/>
              </w:rPr>
              <w:t xml:space="preserve"> </w:t>
            </w:r>
            <w:r>
              <w:rPr>
                <w:b/>
                <w:sz w:val="24"/>
                <w:u w:val="single"/>
                <w:rFonts w:ascii="Times New Roman" w:hAnsi="Times New Roman"/>
              </w:rPr>
              <w:t xml:space="preserve">KOPĒJĀ PAMATPIEEJA</w:t>
            </w:r>
            <w:r>
              <w:rPr>
                <w:b/>
                <w:sz w:val="24"/>
                <w:u w:val="single"/>
                <w:rFonts w:ascii="Times New Roman" w:hAnsi="Times New Roman"/>
              </w:rPr>
              <w:t xml:space="preserve"> </w:t>
            </w:r>
          </w:p>
          <w:p w14:paraId="6FBBC7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Deleģētās regulas (ES) 2016/101 7. panta 2. punkts.</w:t>
            </w:r>
          </w:p>
          <w:p w14:paraId="11E6DD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Katrai attiecīgajai PVK kategorijai, kas minēta 0010.–0110. slejā, kopējās PVK, kas aprēķinātas ar pamatpieeju, kura noteikta Deleģētās regulas (ES) 2016/101 3. nodaļā, attiecībā uz pēc patiesās vērtības vērtētiem aktīviem un saistībām, kas iekļautas sliekšņa aprēķinā saskaņā ar minētās Regulas (ES) 2016/101 4. panta 1. punktu.</w:t>
            </w:r>
            <w:r>
              <w:rPr>
                <w:sz w:val="24"/>
                <w:rFonts w:ascii="Times New Roman" w:hAnsi="Times New Roman"/>
              </w:rPr>
              <w:t xml:space="preserve"> </w:t>
            </w:r>
            <w:r>
              <w:rPr>
                <w:sz w:val="24"/>
                <w:rFonts w:ascii="Times New Roman" w:hAnsi="Times New Roman"/>
              </w:rPr>
              <w:t xml:space="preserve">Tas ietver ar diversifikāciju saistītos ieguvumus (uzrādīti 0140. rindā), kā noteikts Deleģētās regulas (ES) 2016/101 9. panta 6. punktā, 10. panta 7. punktā un 11. panta 7. punktā.</w:t>
            </w:r>
            <w:r>
              <w:rPr>
                <w:sz w:val="24"/>
                <w:rFonts w:ascii="Times New Roman" w:hAnsi="Times New Roman"/>
              </w:rPr>
              <w:t xml:space="preserve">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87" w:type="dxa"/>
          </w:tcPr>
          <w:p w14:paraId="324B5AF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TIRDZNIECĪBAS PORTFELIS</w:t>
            </w:r>
            <w:r>
              <w:rPr>
                <w:b/>
                <w:sz w:val="24"/>
                <w:u w:val="single"/>
                <w:rFonts w:ascii="Times New Roman" w:hAnsi="Times New Roman"/>
              </w:rPr>
              <w:t xml:space="preserve"> </w:t>
            </w:r>
          </w:p>
          <w:p w14:paraId="0FEC762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Deleģētās regulas (ES) 2016/101 7. panta 2. punkts.</w:t>
            </w:r>
          </w:p>
          <w:p w14:paraId="7D7D0B75"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Katrai attiecīgajai PVK kategorijai, kas minēta 0010.–0110. slejā, kopējo PVK daļa, kas uzrādīta 0010. rindā un izriet no tirdzniecības portfeļa pozīcijām (absolūtā vērtība).</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87" w:type="dxa"/>
          </w:tcPr>
          <w:p w14:paraId="617544D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PORTFEĻI SASKAŅĀ AR KOMISIJAS DELEGĒTĀS REGULAS (ES) 2016/101 9.-17. PANTU: KOPĒJAIS KATEGORIJAS LĪMENIS PĒC DIVERSIFIKĀCIJAS</w:t>
            </w:r>
            <w:r>
              <w:rPr>
                <w:b/>
                <w:sz w:val="24"/>
                <w:u w:val="single"/>
                <w:rFonts w:ascii="Times New Roman" w:hAnsi="Times New Roman"/>
              </w:rPr>
              <w:t xml:space="preserve"> </w:t>
            </w:r>
          </w:p>
          <w:p w14:paraId="6ADDDC7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Deleģētās regulas (ES) 2016/101 7. panta 2. punkta a) apakšpunkts.</w:t>
            </w:r>
          </w:p>
          <w:p w14:paraId="5C5FB9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Katrai attiecīgajai PVK kategorijai, kas minēta 0010.–0110. slejā, kopējās PVK, kas aprēķinātas saskaņā ar Deleģētās regulas (ES) 2016/101 9.–17. pantu, attiecībā uz pēc patiesās vērtības vērtētiem aktīviem un saistībām, kas iekļautas sliekšņa aprēķinā saskaņā ar minētās regulas 4. panta 1. punktu, izņemot pēc patiesās vērtības vērtētus aktīvus un saistības, kurām piemēro pieeju, kas aprakstīta Deleģētās regulas (ES) 2016/101 7. panta 2. punkta b) apakšpunktā.</w:t>
            </w:r>
            <w:r>
              <w:rPr>
                <w:sz w:val="24"/>
                <w:rFonts w:ascii="Times New Roman" w:hAnsi="Times New Roman"/>
              </w:rPr>
              <w:t xml:space="preserve"> </w:t>
            </w:r>
          </w:p>
          <w:p w14:paraId="5F5EBE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Tas ietver PVK, kas aprēķinātas saskaņā ar Deleģētās regulas (ES) 2016/101 12. un 13. pantu un kas uzrādītas 0050. un 0060. rindā, un kas ir ietvertas tirgus cenas nenoteiktības PVK, pozīcijas slēgšanas vai likvidācijas izdevumu PVK un modeļa riska PVK, kā noteikts minētās regulas (ES) 2016/101 12. panta 2. punktā un 13. panta 2. punktā.</w:t>
            </w:r>
            <w:r>
              <w:rPr>
                <w:sz w:val="24"/>
                <w:rFonts w:ascii="Times New Roman" w:hAnsi="Times New Roman"/>
              </w:rPr>
              <w:t xml:space="preserve"> </w:t>
            </w:r>
          </w:p>
          <w:p w14:paraId="50C7B1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Tas ietver ar diversifikāciju saistītos ieguvumus (uzrādīti 0140. rindā), kā noteikts Deleģētās regulas (ES) 2016/101 9. panta 6. punktā, 10. panta 7. punktā un 11. panta 7. punktā.</w:t>
            </w:r>
            <w:r>
              <w:rPr>
                <w:sz w:val="24"/>
                <w:rFonts w:ascii="Times New Roman" w:hAnsi="Times New Roman"/>
              </w:rPr>
              <w:t xml:space="preserve"> </w:t>
            </w:r>
          </w:p>
          <w:p w14:paraId="17E7A9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rinda ir 0040. un 0140. rindas starpība.</w:t>
            </w:r>
            <w:r>
              <w:rPr>
                <w:sz w:val="24"/>
                <w:rFonts w:ascii="Times New Roman" w:hAnsi="Times New Roman"/>
              </w:rPr>
              <w:t xml:space="preserve">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0040.-0130.</w:t>
            </w:r>
          </w:p>
        </w:tc>
        <w:tc>
          <w:tcPr>
            <w:tcW w:w="8187" w:type="dxa"/>
          </w:tcPr>
          <w:p w14:paraId="064BD1A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KOPĒJAIS KATEGORIJU LĪMENIS PIRMS DIVERSIFIKĀCIJAS</w:t>
            </w:r>
          </w:p>
          <w:p w14:paraId="25B7DF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Attiecībā uz 0090.–0130. rindu iestādes savus pēc patiesās vērtības vērtētos aktīvus un saistības, kas iekļauti sliekšņa aprēķinā saskaņā ar Deleģētās regulas (ES) 2016/101 4. panta 1. punktu (tirdzniecības portfeļa un netirdzniecības portfeļa), iedala šādās riska kategorijās:</w:t>
            </w:r>
            <w:r>
              <w:rPr>
                <w:sz w:val="24"/>
                <w:rFonts w:ascii="Times New Roman" w:hAnsi="Times New Roman"/>
              </w:rPr>
              <w:t xml:space="preserve"> </w:t>
            </w:r>
            <w:r>
              <w:rPr>
                <w:sz w:val="24"/>
                <w:rFonts w:ascii="Times New Roman" w:hAnsi="Times New Roman"/>
              </w:rPr>
              <w:t xml:space="preserve">procentu likmes, ārvalstu valūtas, kredīts, kapitāla vērtspapīri, preces.</w:t>
            </w:r>
            <w:r>
              <w:rPr>
                <w:sz w:val="24"/>
                <w:rFonts w:ascii="Times New Roman" w:hAnsi="Times New Roman"/>
              </w:rPr>
              <w:t xml:space="preserve"> </w:t>
            </w:r>
          </w:p>
          <w:p w14:paraId="1A152C4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Šajā nolūkā iestādes paļaujas uz savu iekšējo riska pārvaldības struktūru un pēc tam, kad, pamatojoties uz ekspertu viedokli, ir noteikts attiecinājums, iedala savas darījumu jomas vai tirdzniecības nodaļas vispiemērojamākajā riska kategorijā.</w:t>
            </w:r>
            <w:r>
              <w:rPr>
                <w:sz w:val="24"/>
                <w:rFonts w:ascii="Times New Roman" w:hAnsi="Times New Roman"/>
              </w:rPr>
              <w:t xml:space="preserve"> </w:t>
            </w:r>
            <w:r>
              <w:rPr>
                <w:sz w:val="24"/>
                <w:rFonts w:ascii="Times New Roman" w:hAnsi="Times New Roman"/>
              </w:rPr>
              <w:t xml:space="preserve">PVK, patiesās vērtības korekcijas un citu nepieciešamo informāciju, kas atbilst iedalītajām darījumu jomām vai tirdzniecības nodaļām, iedala tajā pašā attiecīgajā riska kategorijā, lai attiecībā uz katru riska kategoriju rindas līmenī sniegtu konsekventu pārskatu par korekcijām, kas veiktas gan prudenciālos, gan uzskaites nolūkos, kā arī norādi par attiecīgo pozīciju izmēru (pēc patiesās vērtības vērtētu aktīvu un saistību ziņā).</w:t>
            </w:r>
            <w:r>
              <w:rPr>
                <w:sz w:val="24"/>
                <w:rFonts w:ascii="Times New Roman" w:hAnsi="Times New Roman"/>
              </w:rPr>
              <w:t xml:space="preserve"> </w:t>
            </w:r>
            <w:r>
              <w:rPr>
                <w:sz w:val="24"/>
                <w:rFonts w:ascii="Times New Roman" w:hAnsi="Times New Roman"/>
              </w:rPr>
              <w:t xml:space="preserve">Ja PVK vai citas korekcijas aprēķina atšķirīgā apkopošanas līmenī, jo īpaši firmas līmenī, iestādes izstrādā PVK iedalījuma metodoloģiju attiecībā uz attiecīgajām pozīciju kopām.</w:t>
            </w:r>
            <w:r>
              <w:rPr>
                <w:sz w:val="24"/>
                <w:rFonts w:ascii="Times New Roman" w:hAnsi="Times New Roman"/>
              </w:rPr>
              <w:t xml:space="preserve"> </w:t>
            </w:r>
            <w:r>
              <w:rPr>
                <w:sz w:val="24"/>
                <w:rFonts w:ascii="Times New Roman" w:hAnsi="Times New Roman"/>
              </w:rPr>
              <w:t xml:space="preserve">Iedalījuma metodoloģijas rezultātā 0040. rinda ir 0050.–0130. rindas summa 0010.–0100. slejā.</w:t>
            </w:r>
            <w:r>
              <w:rPr>
                <w:sz w:val="24"/>
                <w:rFonts w:ascii="Times New Roman" w:hAnsi="Times New Roman"/>
              </w:rPr>
              <w:t xml:space="preserve"> </w:t>
            </w:r>
          </w:p>
          <w:p w14:paraId="39519D8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Neatkarīgi no piemērotās pieejas uzrādītā informācija ir pēc iespējas konsekventa rindu līmenī, jo sniegtā informācija tiks salīdzināta šajā līmenī (PVK vērtības, augšupvērstā nenoteiktība, patiesās vērtības summas un potenciālās patiesās vērtības korekcijas).</w:t>
            </w:r>
            <w:r>
              <w:rPr>
                <w:sz w:val="24"/>
                <w:rFonts w:ascii="Times New Roman" w:hAnsi="Times New Roman"/>
              </w:rPr>
              <w:t xml:space="preserve"> </w:t>
            </w:r>
          </w:p>
          <w:p w14:paraId="0B1615A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Sadalījums 0090.–0130. rindā neietver PVK, kas aprēķinātas saskaņā ar Deleģētās regulas (ES) 2016/101 12. un 13. pantu un kas uzrādītas 0050. un 0060. rindā, un kas ir ietvertas tirgus cenas nenoteiktības PVK, pozīcijas slēgšanas vai likvidācijas izdevumu PVK un modeļa riska PVK, kā noteikts minētās regulas 12. panta 2. punktā un 13. panta 2. punktā.</w:t>
            </w:r>
          </w:p>
          <w:p w14:paraId="694A2D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 diversifikāciju saistītos ieguvumus uzrāda 0140. rindā, kā noteikts Deleģētās regulas (ES) 2016/101 9. panta 6. punktā, 10. panta 7. punktā un 11. panta 7. punktā, un līdz ar to tie nav iekļauti 0040.–0130. rindā.</w:t>
            </w:r>
            <w:r>
              <w:rPr>
                <w:sz w:val="24"/>
                <w:rFonts w:ascii="Times New Roman" w:hAnsi="Times New Roman"/>
              </w:rPr>
              <w:t xml:space="preserve">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shd w:val="clear" w:color="auto" w:fill="auto"/>
          </w:tcPr>
          <w:p w14:paraId="2895C37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NENOPELNĪTĀS PEĻŅAS NO KREDĪTU LIKMJU STARPĪBAS PVK</w:t>
            </w:r>
          </w:p>
          <w:p w14:paraId="1478E2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Regulas (ES) Nr. 575/2013 105. panta 10. punkts, Deleģētās regulas (ES) 2016/101 12. pants.</w:t>
            </w:r>
          </w:p>
          <w:p w14:paraId="7CA2D21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Kopējā PVK, kas aprēķināta par nenopelnīto peļņu no kredītu likmju starpības (“PVK no CVA”), un tās iedalījums starp tirgus cenas nenoteiktības, pozīcijas slēgšanas vai likvidācijas izdevumu un modeļa riska PVK saskaņā ar Deleģētās regulas (ES) 2016/101 12. pantu.</w:t>
            </w:r>
            <w:r>
              <w:rPr>
                <w:sz w:val="24"/>
                <w:rFonts w:ascii="Times New Roman" w:hAnsi="Times New Roman"/>
              </w:rPr>
              <w:t xml:space="preserve"> </w:t>
            </w:r>
          </w:p>
          <w:p w14:paraId="0D632F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 sleja:</w:t>
            </w:r>
            <w:r>
              <w:rPr>
                <w:sz w:val="24"/>
                <w:rFonts w:ascii="Times New Roman" w:hAnsi="Times New Roman"/>
              </w:rPr>
              <w:t xml:space="preserve"> </w:t>
            </w:r>
            <w:r>
              <w:rPr>
                <w:sz w:val="24"/>
                <w:rFonts w:ascii="Times New Roman" w:hAnsi="Times New Roman"/>
              </w:rPr>
              <w:t xml:space="preserve">kopējo PVK norāda tikai informācijas nolūkos, jo tās iedalījums starp tirgus cenas nenoteiktības, pozīcijas slēgšanas vai likvidācijas izdevumu un modeļa riska PVK nozīmē to, ka tā — pēc tam, kad ņemti vērā ar diversifikāciju saistītie ieguvumi — ir iekļauta attiecīgajā kategoriju līmeņa PVK.</w:t>
            </w:r>
            <w:r>
              <w:rPr>
                <w:sz w:val="24"/>
                <w:rFonts w:ascii="Times New Roman" w:hAnsi="Times New Roman"/>
              </w:rPr>
              <w:t xml:space="preserve"> </w:t>
            </w:r>
          </w:p>
          <w:p w14:paraId="3127C5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 un 0140. sleja:</w:t>
            </w:r>
            <w:r>
              <w:rPr>
                <w:sz w:val="24"/>
                <w:rFonts w:ascii="Times New Roman" w:hAnsi="Times New Roman"/>
              </w:rPr>
              <w:t xml:space="preserve"> </w:t>
            </w:r>
            <w:r>
              <w:rPr>
                <w:sz w:val="24"/>
                <w:rFonts w:ascii="Times New Roman" w:hAnsi="Times New Roman"/>
              </w:rPr>
              <w:t xml:space="preserve">tādu pēc patiesās vērtības vērtētu aktīvu un saistību absolūtā vērtība, kas ir iekļauti nenopelnītās peļņas no kredītu likmju starpības PVK aprēķināšanas tvērumā.</w:t>
            </w:r>
            <w:r>
              <w:rPr>
                <w:sz w:val="24"/>
                <w:rFonts w:ascii="Times New Roman" w:hAnsi="Times New Roman"/>
              </w:rPr>
              <w:t xml:space="preserve"> </w:t>
            </w:r>
            <w:r>
              <w:rPr>
                <w:sz w:val="24"/>
                <w:rFonts w:ascii="Times New Roman" w:hAnsi="Times New Roman"/>
              </w:rPr>
              <w:t xml:space="preserve">Lai aprēķinātu šo PVK, pilnīgi sakrītošus, izlīdzinošus, pēc patiesās vērtības vērtētus aktīvus un saistības, kas izslēgti no sliekšņa aprēķināšanas saskaņā ar Deleģētās regulas (ES) 2016/101 4. panta 2. punktu, vairs neuzskata par pilnībā sakrītošiem, izlīdzinošiem.</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shd w:val="clear" w:color="auto" w:fill="auto"/>
          </w:tcPr>
          <w:p w14:paraId="51864F6C"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IEGULDĪJUMA UN FINANSĒJUMA IZMAKSTU PVK</w:t>
            </w:r>
            <w:r>
              <w:rPr>
                <w:b/>
                <w:sz w:val="24"/>
                <w:u w:val="single"/>
                <w:rFonts w:ascii="Times New Roman" w:hAnsi="Times New Roman"/>
              </w:rPr>
              <w:t xml:space="preserve"> </w:t>
            </w:r>
          </w:p>
          <w:p w14:paraId="28A1D10E" w14:textId="77777777" w:rsidR="001332E7" w:rsidRPr="002A677E" w:rsidRDefault="001332E7" w:rsidP="00B80002">
            <w:pPr>
              <w:spacing w:beforeLines="60" w:before="144" w:afterLines="60" w:after="144"/>
              <w:rPr>
                <w:caps/>
                <w:sz w:val="24"/>
                <w:u w:val="single"/>
                <w:rFonts w:ascii="Times New Roman" w:hAnsi="Times New Roman"/>
              </w:rPr>
            </w:pPr>
            <w:r>
              <w:rPr>
                <w:sz w:val="24"/>
                <w:rFonts w:ascii="Times New Roman" w:hAnsi="Times New Roman"/>
              </w:rPr>
              <w:t xml:space="preserve">Regulas (ES) Nr. 575/2013 105. panta 10. punkts, Deleģētās regulas (ES) 2016/101 17. pants.</w:t>
            </w:r>
          </w:p>
          <w:p w14:paraId="62DDD25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Kopējā PVK, kas aprēķināta par ieguldījumu un finansējuma izmaksām, un tās iedalījums starp tirgus cenas nenoteiktības, pozīcijas slēgšanas vai likvidācijas izdevumu un modeļa riska PVK saskaņā ar Deleģētās regulas (ES) 2016/101 13. pantu.</w:t>
            </w:r>
            <w:r>
              <w:rPr>
                <w:sz w:val="24"/>
                <w:rFonts w:ascii="Times New Roman" w:hAnsi="Times New Roman"/>
              </w:rPr>
              <w:t xml:space="preserve"> </w:t>
            </w:r>
          </w:p>
          <w:p w14:paraId="72DC102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 sleja:</w:t>
            </w:r>
            <w:r>
              <w:rPr>
                <w:sz w:val="24"/>
                <w:rFonts w:ascii="Times New Roman" w:hAnsi="Times New Roman"/>
              </w:rPr>
              <w:t xml:space="preserve"> </w:t>
            </w:r>
            <w:r>
              <w:rPr>
                <w:sz w:val="24"/>
                <w:rFonts w:ascii="Times New Roman" w:hAnsi="Times New Roman"/>
              </w:rPr>
              <w:t xml:space="preserve">kopējo PVK norāda tikai informācijas nolūkos, jo tās iedalījums starp tirgus cenas nenoteiktības, pozīcijas slēgšanas vai likvidācijas izdevumu un modeļa riska PVK nozīmē to, ka tā — pēc tam, kad ņemti vērā ar diversifikāciju saistītie ieguvumi — ir iekļauta attiecīgajā kategoriju līmeņa PVK.</w:t>
            </w:r>
            <w:r>
              <w:rPr>
                <w:sz w:val="24"/>
                <w:rFonts w:ascii="Times New Roman" w:hAnsi="Times New Roman"/>
              </w:rPr>
              <w:t xml:space="preserve"> </w:t>
            </w:r>
          </w:p>
          <w:p w14:paraId="7F6578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 un 0140. sleja:</w:t>
            </w:r>
            <w:r>
              <w:rPr>
                <w:sz w:val="24"/>
                <w:rFonts w:ascii="Times New Roman" w:hAnsi="Times New Roman"/>
              </w:rPr>
              <w:t xml:space="preserve"> </w:t>
            </w:r>
            <w:r>
              <w:rPr>
                <w:sz w:val="24"/>
                <w:rFonts w:ascii="Times New Roman" w:hAnsi="Times New Roman"/>
              </w:rPr>
              <w:t xml:space="preserve">tādu pēc patiesās vērtības vērtētu aktīvu un saistību absolūtā vērtība, kas ir iekļauti ieguldījuma un finansējuma izmaksu PVK aprēķināšanas tvērumā.</w:t>
            </w:r>
            <w:r>
              <w:rPr>
                <w:sz w:val="24"/>
                <w:rFonts w:ascii="Times New Roman" w:hAnsi="Times New Roman"/>
              </w:rPr>
              <w:t xml:space="preserve"> </w:t>
            </w:r>
            <w:r>
              <w:rPr>
                <w:sz w:val="24"/>
                <w:rFonts w:ascii="Times New Roman" w:hAnsi="Times New Roman"/>
              </w:rPr>
              <w:t xml:space="preserve">Lai aprēķinātu šo PVK, pilnīgi sakrītošus, izlīdzinošus, pēc patiesās vērtības vērtētus aktīvus un saistības, kas izslēgti no sliekšņa aprēķināšanas saskaņā ar Deleģētās regulas (ES) 2016/101 4. panta 2. punktu, vairs neuzskata par pilnībā sakrītošiem, izlīdzinošiem.</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0501E14C"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NO KĀ:</w:t>
            </w:r>
            <w:r>
              <w:rPr>
                <w:sz w:val="24"/>
                <w:b/>
                <w:u w:val="single"/>
                <w:rFonts w:ascii="Times New Roman" w:hAnsi="Times New Roman"/>
              </w:rPr>
              <w:t xml:space="preserve"> </w:t>
            </w:r>
            <w:r>
              <w:rPr>
                <w:sz w:val="24"/>
                <w:b/>
                <w:bCs/>
                <w:u w:val="single"/>
                <w:rFonts w:ascii="Times New Roman" w:hAnsi="Times New Roman"/>
              </w:rPr>
              <w:t xml:space="preserve">PVK, KURU VĒRTĪBA IR NULLE SASKAŅĀ AR 9. PANTA 2. PUNKTU </w:t>
            </w:r>
            <w:r>
              <w:rPr>
                <w:sz w:val="24"/>
                <w:b/>
                <w:bCs/>
                <w:u w:val="single"/>
                <w:u w:val="none"/>
                <w:rFonts w:ascii="Times New Roman" w:hAnsi="Times New Roman"/>
              </w:rPr>
              <w:t xml:space="preserve">Deleģētajā regulā (ES) 2016/101</w:t>
            </w:r>
          </w:p>
          <w:p w14:paraId="342CE43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Tādu pēc patiesās vērtības vērtētu aktīvu un saistību absolūtā vērtība, kas atbilst vērtēšanas riska darījumiem, attiecībā uz kuriem ir novērtēts, ka PVK ir nulles vērtība saskaņā ar Deleģētās regulas (ES) 2016/101 9. panta 2. punktu.</w:t>
            </w:r>
            <w:r>
              <w:rPr>
                <w:sz w:val="24"/>
                <w:rFonts w:ascii="Times New Roman" w:hAnsi="Times New Roman"/>
              </w:rPr>
              <w:t xml:space="preserve">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87" w:type="dxa"/>
          </w:tcPr>
          <w:p w14:paraId="7BF7EB9F"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NO KĀ:</w:t>
            </w:r>
            <w:r>
              <w:rPr>
                <w:sz w:val="24"/>
                <w:b/>
                <w:u w:val="single"/>
                <w:rFonts w:ascii="Times New Roman" w:hAnsi="Times New Roman"/>
              </w:rPr>
              <w:t xml:space="preserve"> </w:t>
            </w:r>
            <w:r>
              <w:rPr>
                <w:sz w:val="24"/>
                <w:b/>
                <w:bCs/>
                <w:u w:val="single"/>
                <w:rFonts w:ascii="Times New Roman" w:hAnsi="Times New Roman"/>
              </w:rPr>
              <w:t xml:space="preserve">PVK, KURU VĒRTĪBA IR NULLE SASKAŅĀ AR 10. PANTA 2. UN 3. PUNKTU</w:t>
            </w:r>
            <w:r>
              <w:rPr>
                <w:sz w:val="24"/>
                <w:rFonts w:ascii="Times New Roman" w:hAnsi="Times New Roman"/>
              </w:rPr>
              <w:t xml:space="preserve"> Deleģētajā regulā (ES) 2016/101</w:t>
            </w:r>
          </w:p>
          <w:p w14:paraId="71172E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Tādu pēc patiesās vērtības vērtētu aktīvu un saistību absolūtā vērtība, kas atbilst vērtēšanas riska darījumiem, attiecībā uz kuriem ir novērtēts, ka PVK ir nulles vērtība saskaņā ar Deleģētās regulas (ES) 2016/101 10. panta 2. punktu vai 10. panta 3. punktu.</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87" w:type="dxa"/>
          </w:tcPr>
          <w:p w14:paraId="6ECA4B5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PROCENTU LIKMES</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87" w:type="dxa"/>
          </w:tcPr>
          <w:p w14:paraId="7AF7273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ĀRVALSTU VALŪTAS</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87" w:type="dxa"/>
          </w:tcPr>
          <w:p w14:paraId="2B7DB9E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KREDĪTS</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87" w:type="dxa"/>
          </w:tcPr>
          <w:p w14:paraId="03FA2AB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KAPITĀLA VĒRTSPAPĪRI</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87" w:type="dxa"/>
          </w:tcPr>
          <w:p w14:paraId="139937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1.1.1.5. PRECES</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87" w:type="dxa"/>
          </w:tcPr>
          <w:p w14:paraId="625B3AE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 (−) Diversifikācijas pabalsti</w:t>
            </w:r>
          </w:p>
          <w:p w14:paraId="60EF9B1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Kopējie ar diversifikāciju saistītie ieguvumi.</w:t>
            </w:r>
            <w:r>
              <w:rPr>
                <w:sz w:val="24"/>
                <w:rFonts w:ascii="Times New Roman" w:hAnsi="Times New Roman"/>
              </w:rPr>
              <w:t xml:space="preserve"> </w:t>
            </w:r>
            <w:r>
              <w:rPr>
                <w:sz w:val="24"/>
                <w:rFonts w:ascii="Times New Roman" w:hAnsi="Times New Roman"/>
              </w:rPr>
              <w:t xml:space="preserve">Kopējie ar diversifikāciju saistītie ieguvumi 0150. un 0160. rindas summa.</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87" w:type="dxa"/>
          </w:tcPr>
          <w:p w14:paraId="7B3CDB3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1.1.2.1. (-) Ar diversifikāciju saistītie ieguvumi, kas aprēķināti, izmantojot 1. metodi</w:t>
            </w:r>
          </w:p>
          <w:p w14:paraId="68B32A5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Attiecībā uz tām PVK, kas apkopotas, izmantojot 1. metodi saskaņā ar Deleģētās regulas (ES) 2016/101 9. panta 6. punktu, 10. panta 7. punktu un 11. panta 6. punktu, starpība starp atsevišķu PVK summu un kopējām kategoriju līmeņu PVK pēc apkopošanas korekcijām.</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87" w:type="dxa"/>
          </w:tcPr>
          <w:p w14:paraId="43CB355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 Ar diversifikāciju saistītie ieguvumi, kas aprēķināti, izmantojot 2. metodi</w:t>
            </w:r>
          </w:p>
          <w:p w14:paraId="65CA13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Attiecībā uz tām PVK, kas apkopotas, izmantojot 2. metodi saskaņā ar Deleģētās regulas (ES) 2016/101 9. panta 6. punktu, 10. panta 7. punktu un 11. panta 6. punktu, starpība starp atsevišķu PVK summu un kopējām kategoriju līmeņu PVK pēc apkopošanas korekcijām.</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87" w:type="dxa"/>
          </w:tcPr>
          <w:p w14:paraId="2AFEF33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Izziņas postenis:</w:t>
            </w:r>
            <w:r>
              <w:rPr>
                <w:b/>
                <w:caps/>
                <w:sz w:val="24"/>
                <w:u w:val="single"/>
                <w:rFonts w:ascii="Times New Roman" w:hAnsi="Times New Roman"/>
              </w:rPr>
              <w:t xml:space="preserve"> </w:t>
            </w:r>
            <w:r>
              <w:rPr>
                <w:b/>
                <w:caps/>
                <w:sz w:val="24"/>
                <w:u w:val="single"/>
                <w:rFonts w:ascii="Times New Roman" w:hAnsi="Times New Roman"/>
              </w:rPr>
              <w:t xml:space="preserve">pirmsdiversifikācijas PVK, kas samazinātas par vairāk nekā 90 %, veicot diversifikāciju saskaņā ar 2. Metodi</w:t>
            </w:r>
          </w:p>
          <w:p w14:paraId="11C46EE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Saskaņā ar 2. metodi FV– PV summa visiem vērtēšanas riska darījumiem, kuru APVA &lt; 10 %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87" w:type="dxa"/>
          </w:tcPr>
          <w:p w14:paraId="1FAEFC7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 Portfeļi, kas aprēķināti saskaņā ar alternatīvo pieeju</w:t>
            </w:r>
          </w:p>
          <w:p w14:paraId="17176A9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Deleģētās regulas (ES) 2016/101 7. panta 2. punkta b) apakšpunkts.</w:t>
            </w:r>
          </w:p>
          <w:p w14:paraId="78621AF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Attiecībā uz portfeļiem, kam piemēro alternatīvo pieeju saskaņā ar Deleģētās regulas (ES) 2016/101 7. panta 2. punkta b) apakšpunktu, kopējās PVK aprēķina kā 0190., 0200. un 0210. rindas summu.</w:t>
            </w:r>
            <w:r>
              <w:rPr>
                <w:sz w:val="24"/>
                <w:rFonts w:ascii="Times New Roman" w:hAnsi="Times New Roman"/>
              </w:rPr>
              <w:t xml:space="preserve"> </w:t>
            </w:r>
          </w:p>
          <w:p w14:paraId="66B27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Attiecīgo bilances un citu konteksta informāciju sniedz 0130.–0260. slejā.</w:t>
            </w:r>
            <w:r>
              <w:rPr>
                <w:sz w:val="24"/>
                <w:rFonts w:ascii="Times New Roman" w:hAnsi="Times New Roman"/>
              </w:rPr>
              <w:t xml:space="preserve"> </w:t>
            </w:r>
            <w:r>
              <w:rPr>
                <w:sz w:val="24"/>
                <w:rFonts w:ascii="Times New Roman" w:hAnsi="Times New Roman"/>
              </w:rPr>
              <w:t xml:space="preserve">Aprakstu par pozīcijām un iemeslus tam, kāpēc nav bijis iespējams piemērot Deleģētās regulas (ES) 2016/101 9.–17. pantu, sniedz 0270. slejā.</w:t>
            </w:r>
            <w:r>
              <w:rPr>
                <w:sz w:val="24"/>
                <w:rFonts w:ascii="Times New Roman" w:hAnsi="Times New Roman"/>
              </w:rPr>
              <w:t xml:space="preserve">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87" w:type="dxa"/>
          </w:tcPr>
          <w:p w14:paraId="696330D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1.2.1. Alternatīvā pieeja;</w:t>
            </w:r>
            <w:r>
              <w:rPr>
                <w:b/>
                <w:caps/>
                <w:sz w:val="24"/>
                <w:u w:val="single"/>
                <w:rFonts w:ascii="Times New Roman" w:hAnsi="Times New Roman"/>
              </w:rPr>
              <w:t xml:space="preserve"> </w:t>
            </w:r>
            <w:r>
              <w:rPr>
                <w:b/>
                <w:caps/>
                <w:sz w:val="24"/>
                <w:u w:val="single"/>
                <w:rFonts w:ascii="Times New Roman" w:hAnsi="Times New Roman"/>
              </w:rPr>
              <w:t xml:space="preserve">100</w:t>
            </w:r>
            <w:r>
              <w:t xml:space="preserve"> </w:t>
            </w:r>
            <w:r>
              <w:rPr>
                <w:b/>
                <w:caps/>
                <w:sz w:val="24"/>
                <w:u w:val="single"/>
                <w:rFonts w:ascii="Times New Roman" w:hAnsi="Times New Roman"/>
              </w:rPr>
              <w:t xml:space="preserve">% nerealizētā peļņa</w:t>
            </w:r>
          </w:p>
          <w:p w14:paraId="1D558F8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Deleģētās regulas (ES) 2016/101 7. panta 2. punkta b) apakšpunkta i) punkts.</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87" w:type="dxa"/>
          </w:tcPr>
          <w:p w14:paraId="7DC88A2D"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1.2.2. Alternatīvā pieeja;</w:t>
            </w:r>
            <w:r>
              <w:rPr>
                <w:b/>
                <w:caps/>
                <w:sz w:val="24"/>
                <w:u w:val="single"/>
                <w:rFonts w:ascii="Times New Roman" w:hAnsi="Times New Roman"/>
              </w:rPr>
              <w:t xml:space="preserve"> </w:t>
            </w:r>
            <w:r>
              <w:rPr>
                <w:b/>
                <w:caps/>
                <w:sz w:val="24"/>
                <w:u w:val="single"/>
                <w:rFonts w:ascii="Times New Roman" w:hAnsi="Times New Roman"/>
              </w:rPr>
              <w:t xml:space="preserve">10</w:t>
            </w:r>
            <w:r>
              <w:t xml:space="preserve"> </w:t>
            </w:r>
            <w:r>
              <w:rPr>
                <w:b/>
                <w:caps/>
                <w:sz w:val="24"/>
                <w:u w:val="single"/>
                <w:rFonts w:ascii="Times New Roman" w:hAnsi="Times New Roman"/>
              </w:rPr>
              <w:t xml:space="preserve">% nosacītā vērtība</w:t>
            </w:r>
          </w:p>
          <w:p w14:paraId="1169C8C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Deleģētās regulas (ES) 2016/101 7. panta 2. punkta b) apakšpunkta ii) punkts.</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87" w:type="dxa"/>
          </w:tcPr>
          <w:p w14:paraId="5BF149DB"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1.2.3. Alternatīvā pieeja;</w:t>
            </w:r>
            <w:r>
              <w:rPr>
                <w:b/>
                <w:caps/>
                <w:sz w:val="24"/>
                <w:u w:val="single"/>
                <w:rFonts w:ascii="Times New Roman" w:hAnsi="Times New Roman"/>
              </w:rPr>
              <w:t xml:space="preserve"> </w:t>
            </w:r>
            <w:r>
              <w:rPr>
                <w:b/>
                <w:caps/>
                <w:sz w:val="24"/>
                <w:u w:val="single"/>
                <w:rFonts w:ascii="Times New Roman" w:hAnsi="Times New Roman"/>
              </w:rPr>
              <w:t xml:space="preserve">25 % sākotnējā vērtība</w:t>
            </w:r>
          </w:p>
          <w:p w14:paraId="52AB4D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Deleģētās regulas (ES) 2016/101 7. panta 2. punkta b) apakšpunkta iii) punkts.</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sz w:val="24"/>
          <w:u w:val="none"/>
          <w:rFonts w:ascii="Times New Roman" w:hAnsi="Times New Roman"/>
        </w:rPr>
      </w:pPr>
      <w:bookmarkStart w:id="7" w:name="_Toc117766059"/>
      <w:r>
        <w:rPr>
          <w:sz w:val="24"/>
          <w:u w:val="none"/>
          <w:rFonts w:ascii="Times New Roman" w:hAnsi="Times New Roman"/>
        </w:rPr>
        <w:t xml:space="preserve">6.3.</w:t>
      </w:r>
      <w:r>
        <w:rPr>
          <w:sz w:val="24"/>
          <w:u w:val="none"/>
          <w:rFonts w:ascii="Times New Roman" w:hAnsi="Times New Roman"/>
        </w:rPr>
        <w:t xml:space="preserve"> </w:t>
      </w:r>
      <w:r>
        <w:rPr>
          <w:sz w:val="24"/>
          <w:rFonts w:ascii="Times New Roman" w:hAnsi="Times New Roman"/>
        </w:rPr>
        <w:t xml:space="preserve">C 32.03 - Piesardzīga vērtēšana:</w:t>
      </w:r>
      <w:r>
        <w:rPr>
          <w:sz w:val="24"/>
          <w:rFonts w:ascii="Times New Roman" w:hAnsi="Times New Roman"/>
        </w:rPr>
        <w:t xml:space="preserve"> </w:t>
      </w:r>
      <w:r>
        <w:rPr>
          <w:sz w:val="24"/>
          <w:rFonts w:ascii="Times New Roman" w:hAnsi="Times New Roman"/>
        </w:rPr>
        <w:t xml:space="preserve">modeļa riska PVK (PruVal 3)</w:t>
      </w:r>
      <w:bookmarkEnd w:id="7"/>
    </w:p>
    <w:p w14:paraId="4633C109"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8" w:name="_Toc117766060"/>
      <w:r>
        <w:rPr>
          <w:sz w:val="24"/>
          <w:u w:val="none"/>
          <w:rFonts w:ascii="Times New Roman" w:hAnsi="Times New Roman"/>
        </w:rPr>
        <w:t xml:space="preserve">6.3.1.</w:t>
      </w:r>
      <w:r>
        <w:rPr>
          <w:sz w:val="24"/>
          <w:u w:val="none"/>
          <w:rFonts w:ascii="Times New Roman" w:hAnsi="Times New Roman"/>
        </w:rPr>
        <w:tab/>
      </w:r>
      <w:r>
        <w:rPr>
          <w:sz w:val="24"/>
          <w:rFonts w:ascii="Times New Roman" w:hAnsi="Times New Roman"/>
        </w:rPr>
        <w:t xml:space="preserve">Vispārīgas piezīmes</w:t>
      </w:r>
      <w:bookmarkEnd w:id="8"/>
      <w:r>
        <w:rPr>
          <w:sz w:val="24"/>
          <w:u w:val="none"/>
          <w:rFonts w:ascii="Times New Roman" w:hAnsi="Times New Roman"/>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181</w:t>
      </w:r>
      <w:r w:rsidRPr="005B57EC">
        <w:fldChar w:fldCharType="end"/>
      </w:r>
      <w:r>
        <w:t xml:space="preserve">.</w:t>
      </w:r>
      <w:r>
        <w:t xml:space="preserve"> </w:t>
      </w:r>
      <w:r>
        <w:t xml:space="preserve">Šo veidni aizpilda tikai tās iestādes, kas savā līmenī pārsniedz Deleģētās regulas (ES) 2016/101 4. panta 1. punktā minēto slieksni.</w:t>
      </w:r>
      <w:r>
        <w:t xml:space="preserve"> </w:t>
      </w:r>
      <w:r>
        <w:t xml:space="preserve">Iestādes, kas ir daļa no grupas, kura pārsniedz slieksni konsolidētā līmenī, šo veidni uzrāda tikai tad, ja tās arī savā līmenī pārsniedz minēto slieksni.</w:t>
      </w:r>
    </w:p>
    <w:p w14:paraId="5D109DAC"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182</w:t>
      </w:r>
      <w:r w:rsidRPr="005B57EC">
        <w:fldChar w:fldCharType="end"/>
      </w:r>
      <w:r>
        <w:t xml:space="preserve">.</w:t>
      </w:r>
      <w:r>
        <w:t xml:space="preserve"> </w:t>
      </w:r>
      <w:r>
        <w:t xml:space="preserve">Šo veidni izmanto, lai uzrādītu detalizētu informāciju par 20 lielākajām atsevišķajām modeļa riska PVK (to PVK vērtības ziņā, kuras palielina kopējo kategoriju līmeņa modeļa riska PVK, ko aprēķina saskaņā ar Deleģētās regulas (ES) 2016/101 11. pantu).</w:t>
      </w:r>
      <w:r>
        <w:t xml:space="preserve"> </w:t>
      </w:r>
      <w:r>
        <w:t xml:space="preserve">Minētā informācija atbilst C 32.02. veidnes 0050. slejā uzrādītajai informācijai.</w:t>
      </w:r>
    </w:p>
    <w:p w14:paraId="617DAF2B"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183</w:t>
      </w:r>
      <w:r w:rsidRPr="005B57EC">
        <w:fldChar w:fldCharType="end"/>
      </w:r>
      <w:r>
        <w:t xml:space="preserve">.</w:t>
      </w:r>
      <w:r>
        <w:t xml:space="preserve"> </w:t>
      </w:r>
      <w:r>
        <w:t xml:space="preserve">20 lielākās atsevišķās modeļa riska PVK un attiecīgo produkta informāciju uzrāda dilstošā secībā, sākot ar lielāko atsevišķo modeļa riska PVK.</w:t>
      </w:r>
      <w:r>
        <w:t xml:space="preserve"> </w:t>
      </w:r>
    </w:p>
    <w:p w14:paraId="2DB5DCBD"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184</w:t>
      </w:r>
      <w:r w:rsidRPr="005B57EC">
        <w:fldChar w:fldCharType="end"/>
      </w:r>
      <w:r>
        <w:t xml:space="preserve">.</w:t>
      </w:r>
      <w:r>
        <w:t xml:space="preserve"> </w:t>
      </w:r>
      <w:r>
        <w:t xml:space="preserve">Produktus, kas atbilst minētajām lielākajām atsevišķajām modeļa riska PVK, uzrāda, izmantojot produktu uzskaiti, kas pieprasīta Deleģētās regulas (ES) 2016/101 19. panta 3. punkta a) apakšpunktā.</w:t>
      </w:r>
      <w:r>
        <w:t xml:space="preserve"> </w:t>
      </w:r>
    </w:p>
    <w:p w14:paraId="34E20984"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185</w:t>
      </w:r>
      <w:r w:rsidRPr="005B57EC">
        <w:fldChar w:fldCharType="end"/>
      </w:r>
      <w:r>
        <w:t xml:space="preserve">.</w:t>
      </w:r>
      <w:r>
        <w:t xml:space="preserve"> </w:t>
      </w:r>
      <w:r>
        <w:t xml:space="preserve">Ja produkti ir pietiekami viendabīgi attiecībā uz vērtēšanas modeli un modeļa riska PVK, tos apvieno un uzrāda vienā līnijā, lai maksimāli palielinātu šīs veidnes segumu attiecībā uz iestādes kopējo kategoriju līmeņa modeļa riska PVK.</w:t>
      </w:r>
    </w:p>
    <w:p w14:paraId="5E93D209"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9" w:name="_Toc117766061"/>
      <w:r>
        <w:rPr>
          <w:sz w:val="24"/>
          <w:u w:val="none"/>
          <w:rFonts w:ascii="Times New Roman" w:hAnsi="Times New Roman"/>
        </w:rPr>
        <w:t xml:space="preserve">6.3.2.</w:t>
      </w:r>
      <w:r>
        <w:rPr>
          <w:sz w:val="24"/>
          <w:u w:val="none"/>
          <w:rFonts w:ascii="Times New Roman" w:hAnsi="Times New Roman"/>
        </w:rPr>
        <w:tab/>
      </w:r>
      <w:r>
        <w:rPr>
          <w:sz w:val="24"/>
          <w:rFonts w:ascii="Times New Roman" w:hAnsi="Times New Roman"/>
        </w:rPr>
        <w:t xml:space="preserve">Norādes par konkrētām pozīcijām</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Slejas</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221" w:type="dxa"/>
          </w:tcPr>
          <w:p w14:paraId="73C65E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RANGS</w:t>
            </w:r>
          </w:p>
          <w:p w14:paraId="1C194DD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Rangs ir rindas identifikators, un tas ir unikāls katrai veidnes rindai.</w:t>
            </w:r>
            <w:r>
              <w:rPr>
                <w:sz w:val="24"/>
                <w:rFonts w:ascii="Times New Roman" w:hAnsi="Times New Roman"/>
              </w:rPr>
              <w:t xml:space="preserve"> </w:t>
            </w:r>
            <w:r>
              <w:rPr>
                <w:sz w:val="24"/>
                <w:rFonts w:ascii="Times New Roman" w:hAnsi="Times New Roman"/>
              </w:rPr>
              <w:t xml:space="preserve">Tajā ievērota numerācijas kārība 1, 2, 3 utt., 1 piešķirot augstākajai atsevišķajai modeļa riska PVK, 2 piešķirot otrai augstākajai, utt.</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221" w:type="dxa"/>
          </w:tcPr>
          <w:p w14:paraId="171EF5F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PARAUGS</w:t>
            </w:r>
          </w:p>
          <w:p w14:paraId="19CF9E6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Iekšējais modeļa (burtciparu) nosaukums, ko iestāde izmanto, lai identificētu modeli.</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221" w:type="dxa"/>
          </w:tcPr>
          <w:p w14:paraId="3A91AB8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RISKA KATEGORIJA</w:t>
            </w:r>
          </w:p>
          <w:p w14:paraId="016E72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Riska kategorija (procentu likmes, ārvalstu valūtas, kredīta, kapitāla vērtspapīru, preču), kas vispiemērotāk raksturo produktu vai produktu grupu, kas rada modeļa riska vērtēšanas korekciju.</w:t>
            </w:r>
          </w:p>
          <w:p w14:paraId="052C4AA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Iestādes norāda šādus kodus:</w:t>
            </w:r>
          </w:p>
          <w:p w14:paraId="0F38EF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procentu likmes;</w:t>
            </w:r>
          </w:p>
          <w:p w14:paraId="1658C40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ārvalstu valūtas;</w:t>
            </w:r>
          </w:p>
          <w:p w14:paraId="6664F6D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kredīts;</w:t>
            </w:r>
          </w:p>
          <w:p w14:paraId="4A5EB89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kapitāla vērtspapīri;</w:t>
            </w:r>
          </w:p>
          <w:p w14:paraId="2EDCF33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preces.</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221" w:type="dxa"/>
          </w:tcPr>
          <w:p w14:paraId="7A52FB7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PRODUKTS</w:t>
            </w:r>
          </w:p>
          <w:p w14:paraId="5C8658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Iekšējais produkta vai produktu grupas (burtciparu) nosaukums saskaņā ar produktu uzskaiti, kas pieprasīta Deleģētās regulas (ES) 2016/101 19. panta 3. punkta a) apakšpunktā, ko vērtē, izmantojot modeli.</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221" w:type="dxa"/>
          </w:tcPr>
          <w:p w14:paraId="7ADE70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NOVĒROJAMĪBA</w:t>
            </w:r>
          </w:p>
          <w:p w14:paraId="428C9CB5" w14:textId="77777777" w:rsidR="001332E7" w:rsidRPr="002A677E" w:rsidRDefault="001332E7" w:rsidP="00B80002">
            <w:pPr>
              <w:pStyle w:val="CommentText"/>
              <w:rPr>
                <w:sz w:val="24"/>
                <w:szCs w:val="24"/>
                <w:rFonts w:ascii="Times New Roman" w:hAnsi="Times New Roman"/>
              </w:rPr>
            </w:pPr>
            <w:r>
              <w:rPr>
                <w:sz w:val="24"/>
                <w:rFonts w:ascii="Times New Roman" w:hAnsi="Times New Roman"/>
              </w:rPr>
              <w:t xml:space="preserve">Cenu novērojumu skaits attiecībā uz produktu vai produktu grupu pēdējos divpadsmit mēnešos, kas atbilst kādam no šiem kritērijiem:</w:t>
            </w:r>
          </w:p>
          <w:p w14:paraId="276496C2"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cenas novērojums ir cena, par kādu iestāde ir veikusi darījumu;</w:t>
            </w:r>
          </w:p>
          <w:p w14:paraId="58F8637F"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tā ir pārbaudāma cena par faktisku darījumu starp trešām personām;</w:t>
            </w:r>
          </w:p>
          <w:p w14:paraId="4C0DE2DE"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cenu iegūst no saistoša cenu piedāvājuma.</w:t>
            </w:r>
          </w:p>
          <w:p w14:paraId="4BC52F6C" w14:textId="77777777" w:rsidR="001332E7" w:rsidRPr="002A677E" w:rsidRDefault="001332E7" w:rsidP="00B80002">
            <w:pPr>
              <w:pStyle w:val="CommentText"/>
              <w:rPr>
                <w:rStyle w:val="InstructionsTabelleberschrift"/>
                <w:b w:val="0"/>
                <w:sz w:val="24"/>
                <w:szCs w:val="24"/>
                <w:rFonts w:ascii="Times New Roman" w:hAnsi="Times New Roman"/>
              </w:rPr>
            </w:pPr>
            <w:r>
              <w:rPr>
                <w:sz w:val="24"/>
                <w:rFonts w:ascii="Times New Roman" w:hAnsi="Times New Roman"/>
              </w:rPr>
              <w:t xml:space="preserve">Iestādes norāda vienu no šādām vērtībām:</w:t>
            </w:r>
            <w:r>
              <w:rPr>
                <w:sz w:val="24"/>
                <w:rFonts w:ascii="Times New Roman" w:hAnsi="Times New Roman"/>
              </w:rPr>
              <w:t xml:space="preserve"> </w:t>
            </w:r>
            <w:r>
              <w:rPr>
                <w:sz w:val="24"/>
                <w:rFonts w:ascii="Times New Roman" w:hAnsi="Times New Roman"/>
              </w:rPr>
              <w:t xml:space="preserve">‘nav’,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221" w:type="dxa"/>
          </w:tcPr>
          <w:p w14:paraId="411E158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MODEĻA RISKA PVK</w:t>
            </w:r>
          </w:p>
          <w:p w14:paraId="3A2BEC1A"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Deleģētās regulas (ES) 2016/101 11. panta 1. punkts.</w:t>
            </w:r>
          </w:p>
          <w:p w14:paraId="420D6D0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Atsevišķa modeļa riska PVK pirms ar diversifikāciju saistītajiem ieguvumiem, bet pēc portfeļa ieskaita, ja piemērojams.</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221" w:type="dxa"/>
          </w:tcPr>
          <w:p w14:paraId="3F49258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IZMANTOJOT UZ EKSPERTU VIEDOKLI BALSTĪTU PIEEJU</w:t>
            </w:r>
          </w:p>
          <w:p w14:paraId="74307C2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Vērtības 0050. slejā, kas aprēķinātas, izmantojot uz ekspertu viedokli balstītu pieeju, kas minēta Deleģētās regulas (ES) 2016/101 11. panta 4. punktā.</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221" w:type="dxa"/>
          </w:tcPr>
          <w:p w14:paraId="0DF47A0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APKOPOTAS, IZMANTOJOT 2. METODI</w:t>
            </w:r>
          </w:p>
          <w:p w14:paraId="76F96ED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Vērtības 0050. slejā, kas apkopotas, izmantojot 2. metodi, kura norādīta Deleģētās regulas (ES) 2016/101 pielikumā.</w:t>
            </w:r>
            <w:r>
              <w:rPr>
                <w:sz w:val="24"/>
                <w:rFonts w:ascii="Times New Roman" w:hAnsi="Times New Roman"/>
              </w:rPr>
              <w:t xml:space="preserve"> </w:t>
            </w:r>
            <w:r>
              <w:rPr>
                <w:sz w:val="24"/>
                <w:rFonts w:ascii="Times New Roman" w:hAnsi="Times New Roman"/>
              </w:rPr>
              <w:t xml:space="preserve">Minētās summas saskaņā ar minēto pielikumu atbilst FV – PV.</w:t>
            </w:r>
            <w:r>
              <w:rPr>
                <w:sz w:val="24"/>
                <w:rFonts w:ascii="Times New Roman" w:hAnsi="Times New Roman"/>
              </w:rPr>
              <w:t xml:space="preserve">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221" w:type="dxa"/>
          </w:tcPr>
          <w:p w14:paraId="0E00241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APKOPOTĀ PVK, KAS APRĒĶINĀTA SASKAŅĀ AR 2. METODI</w:t>
            </w:r>
          </w:p>
          <w:p w14:paraId="3674B61C"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Atsevišķu modeļa riska PVK, kas apkopotas, izmantojot 2. metodi, kura noteikta Deleģētās regulas (ES) 2016/101 pielikumā, pienesums kopējai kategoriju līmeņa PVK attiecībā uz modeļa risku, kā aprēķināts saskaņā ar minētās regulas 11. panta 7. punktu.</w:t>
            </w:r>
            <w:r>
              <w:rPr>
                <w:sz w:val="24"/>
                <w:rStyle w:val="InstructionsTabelleberschrift"/>
                <w:b w:val="0"/>
                <w:u w:val="none"/>
                <w:rFonts w:ascii="Times New Roman" w:hAnsi="Times New Roman"/>
              </w:rPr>
              <w:t xml:space="preserve"> </w:t>
            </w:r>
            <w:r>
              <w:rPr>
                <w:sz w:val="24"/>
                <w:rFonts w:ascii="Times New Roman" w:hAnsi="Times New Roman"/>
              </w:rPr>
              <w:t xml:space="preserve">Minētā summa saskaņā ar pielikumu atbilst APVA.</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0090.-0100.</w:t>
            </w:r>
          </w:p>
        </w:tc>
        <w:tc>
          <w:tcPr>
            <w:tcW w:w="8221" w:type="dxa"/>
          </w:tcPr>
          <w:p w14:paraId="7C26004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PĒC PATIESĀS VĒRTĪBAS VĒRTĒTI AKTĪVI UN SAISTĪBAS</w:t>
            </w:r>
          </w:p>
          <w:p w14:paraId="58E63DE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Pēc patiesās vērtības vērtētu aktīvu un saistību absolūtā vērtība, kas novērtēta, izmantojot 0010. slejā uzrādīto modeli, kā minēts finanšu pārskatos saskaņā ar piemērojamo regulējumu.</w:t>
            </w:r>
            <w:r>
              <w:rPr>
                <w:sz w:val="24"/>
                <w:rFonts w:ascii="Times New Roman" w:hAnsi="Times New Roman"/>
              </w:rPr>
              <w:t xml:space="preserve">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221" w:type="dxa"/>
          </w:tcPr>
          <w:p w14:paraId="7E8791F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PĒC PATIESĀS VĒRTĪBAS VĒRTĒTI AKTĪVI</w:t>
            </w:r>
          </w:p>
          <w:p w14:paraId="31F71B01"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Pēc patiesās vērtības vērtētu aktīvu absolūtā vērtība, kas novērtēta, izmantojot 0010. slejā uzrādīto modeli, kā minēts finanšu pārskatos saskaņā ar piemērojamo regulējumu.</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221" w:type="dxa"/>
          </w:tcPr>
          <w:p w14:paraId="7049567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PĒC PATIESĀS VĒRTĪBAS VĒRTĒTAS SAISTĪBAS</w:t>
            </w:r>
          </w:p>
          <w:p w14:paraId="4886E19B"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Pēc patiesās vērtības vērtētu saistību absolūtā vērtība, kas novērtēta, izmantojot 0010. slejā uzrādīto modeli, kā minēts finanšu pārskatos saskaņā ar piemērojamo regulējumu.</w:t>
            </w:r>
            <w:r>
              <w:rPr>
                <w:sz w:val="24"/>
                <w:rFonts w:ascii="Times New Roman" w:hAnsi="Times New Roman"/>
              </w:rPr>
              <w:t xml:space="preserve">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221" w:type="dxa"/>
          </w:tcPr>
          <w:p w14:paraId="4BCCD1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NCP STARPĪBA (IZVADDATU TESTĒŠANA)</w:t>
            </w:r>
          </w:p>
          <w:p w14:paraId="0B9BC11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Nekoriģētas starpības vērtību (“NCP starpība”) summa, kas aprēķināta tā mēneša beigās, kurš ir tuvāk pārskata sniegšanas datumam, izmantojot neatkarīgo cenu pārbaudes procesu, kas veikts saskaņā ar Regulas (ES) Nr. 575/2013 105. panta 8. punktu, attiecībā uz vislabākajiem pieejamajiem neatkarīgajiem datiem par attiecīgo produktu vai produktu grupu.</w:t>
            </w:r>
            <w:r>
              <w:rPr>
                <w:sz w:val="24"/>
                <w:rStyle w:val="InstructionsTabelleberschrift"/>
                <w:b w:val="0"/>
                <w:u w:val="none"/>
                <w:rFonts w:ascii="Times New Roman" w:hAnsi="Times New Roman"/>
              </w:rPr>
              <w:t xml:space="preserve"> </w:t>
            </w:r>
          </w:p>
          <w:p w14:paraId="714B2C80"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Nekoriģētas starpības attiecas uz nekoriģētām starpībām starp tirdzniecības sistēmas ģenerētiem vērtējumiem un vērtējumiem, kas novērtēti ikmēneša NCP procesa laikā.</w:t>
            </w:r>
          </w:p>
          <w:p w14:paraId="6BF71D9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NCP starpības aprēķinā neiekļauj iestādes portfeļos un reģistros koriģētas starpības summas attiecībā uz attiecīgā mēneša beigu datumu.</w:t>
            </w:r>
          </w:p>
          <w:p w14:paraId="023703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Šeit iekļauj tikai rezultātus, kas ir kalibrēti no tādu instrumentu cenām, kuri tiktu attiecināti uz to pašu produktu (izvaddatu testēšana).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Neiekļauj ievades testēšanas rezultātus no tirgus ievaddatiem, kas tiek testēti attiecībā pret līmeņiem, kuri kalibrēti no dažādiem produktiem.</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sz w:val="24"/>
                <w:rFonts w:ascii="Times New Roman" w:hAnsi="Times New Roman"/>
              </w:rPr>
            </w:pPr>
            <w:r>
              <w:rPr>
                <w:rStyle w:val="InstructionsTabelleberschrift"/>
                <w:sz w:val="24"/>
                <w:rFonts w:ascii="Times New Roman" w:hAnsi="Times New Roman"/>
              </w:rPr>
              <w:t xml:space="preserve">NCP SEGUMS (IZVADDATU TESTĒŠANA)</w:t>
            </w:r>
          </w:p>
          <w:p w14:paraId="17B9B985" w14:textId="77777777" w:rsidR="001332E7" w:rsidRPr="001332E7" w:rsidRDefault="001332E7" w:rsidP="00B80002">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To pozīciju procentuālā attiecība, kas attiecinātas uz modeli, kas svērts ar modeļa riska PVK, uz ko attiecas izvaddatu NCP testēšanas rezultāti, kas sniegti 0110. slejā.</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0130.–0140.</w:t>
            </w:r>
          </w:p>
        </w:tc>
        <w:tc>
          <w:tcPr>
            <w:tcW w:w="8221" w:type="dxa"/>
          </w:tcPr>
          <w:p w14:paraId="4B8E6F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PATIESĀS VĒRTĪBAS KOREKCIJAS</w:t>
            </w:r>
          </w:p>
          <w:p w14:paraId="3256309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Patiesās vērtības korekcijas, kā minēts C 32.02. veidnes 0190. un 0240. slejā un kas ir piemērotas pozīcijām, kuras attiecinātas uz modeli 0010. slejā.</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221" w:type="dxa"/>
          </w:tcPr>
          <w:p w14:paraId="52D85F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PIRMĀS DIENAS PEĻŅA UN ZAUDĒJUMI</w:t>
            </w:r>
          </w:p>
          <w:p w14:paraId="51C201AE"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Korekcijas, kas definētas C 32.02. veidnes 0260. slejā un kas ir piemērotas pozīcijām, kuras attiecinātas uz modeli 0010. slejā.</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sz w:val="24"/>
          <w:u w:val="none"/>
          <w:rFonts w:ascii="Times New Roman" w:hAnsi="Times New Roman"/>
        </w:rPr>
      </w:pPr>
      <w:bookmarkStart w:id="10" w:name="_Toc117766062"/>
      <w:r>
        <w:rPr>
          <w:sz w:val="24"/>
          <w:rFonts w:ascii="Times New Roman" w:hAnsi="Times New Roman"/>
        </w:rPr>
        <w:t xml:space="preserve">6.4. C 32.04. – PIESARDZĪGA VĒRTĒŠANA:</w:t>
      </w:r>
      <w:r>
        <w:rPr>
          <w:sz w:val="24"/>
          <w:rFonts w:ascii="Times New Roman" w:hAnsi="Times New Roman"/>
        </w:rPr>
        <w:t xml:space="preserve"> </w:t>
      </w:r>
      <w:r>
        <w:rPr>
          <w:sz w:val="24"/>
          <w:rFonts w:ascii="Times New Roman" w:hAnsi="Times New Roman"/>
        </w:rPr>
        <w:t xml:space="preserve">koncentrētu pozīciju PVK (PruVal 4)</w:t>
      </w:r>
      <w:bookmarkEnd w:id="10"/>
    </w:p>
    <w:p w14:paraId="50266F04"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1" w:name="_Toc117766063"/>
      <w:r>
        <w:rPr>
          <w:sz w:val="24"/>
          <w:u w:val="none"/>
          <w:rFonts w:ascii="Times New Roman" w:hAnsi="Times New Roman"/>
        </w:rPr>
        <w:t xml:space="preserve">6.4.1.</w:t>
      </w:r>
      <w:r>
        <w:rPr>
          <w:sz w:val="24"/>
          <w:u w:val="none"/>
          <w:rFonts w:ascii="Times New Roman" w:hAnsi="Times New Roman"/>
        </w:rPr>
        <w:tab/>
      </w:r>
      <w:r>
        <w:rPr>
          <w:sz w:val="24"/>
          <w:rFonts w:ascii="Times New Roman" w:hAnsi="Times New Roman"/>
        </w:rPr>
        <w:t xml:space="preserve">Vispārīgas piezīmes</w:t>
      </w:r>
      <w:bookmarkEnd w:id="11"/>
      <w:r>
        <w:rPr>
          <w:sz w:val="24"/>
          <w:u w:val="none"/>
          <w:rFonts w:ascii="Times New Roman" w:hAnsi="Times New Roman"/>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186</w:t>
      </w:r>
      <w:r w:rsidRPr="005B57EC">
        <w:fldChar w:fldCharType="end"/>
      </w:r>
      <w:r>
        <w:t xml:space="preserve">.</w:t>
      </w:r>
      <w:r>
        <w:t xml:space="preserve"> </w:t>
      </w:r>
      <w:r>
        <w:t xml:space="preserve">Šo veidni aizpilda tikai tās iestādes, kas pārsniedz Deleģētās regulas (ES) 2016/101 4. panta 1. punktā minēto slieksni.</w:t>
      </w:r>
      <w:r>
        <w:t xml:space="preserve"> </w:t>
      </w:r>
      <w:r>
        <w:t xml:space="preserve">Iestādes, kas ir daļa no grupas, kura pārsniedz slieksni konsolidētā līmenī, šo veidni uzrāda tikai tad, ja tās arī savā līmenī pārsniedz minēto slieksni.</w:t>
      </w:r>
    </w:p>
    <w:p w14:paraId="0D2CFCEC"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187</w:t>
      </w:r>
      <w:r w:rsidRPr="005B57EC">
        <w:fldChar w:fldCharType="end"/>
      </w:r>
      <w:r>
        <w:t xml:space="preserve">.</w:t>
      </w:r>
      <w:r>
        <w:t xml:space="preserve"> </w:t>
      </w:r>
      <w:r>
        <w:t xml:space="preserve">Šo veidni izmanto, lai uzrādītu detalizētu informāciju par 20 lielākajām atsevišķajām koncentrēto pozīciju PVK (tos PVK vērtības ziņā, kas palielina kopējo kategoriju līmeņa koncentrēto pozīciju PVK, ko aprēķina saskaņā ar Deleģētās regulas (ES) 2016/101 14. pantu).</w:t>
      </w:r>
      <w:r>
        <w:t xml:space="preserve"> </w:t>
      </w:r>
      <w:r>
        <w:t xml:space="preserve">Šī informācija atbilst C 32.02. veidnes 0070. slejā uzrādītajai informācijai.</w:t>
      </w:r>
      <w:r>
        <w:t xml:space="preserve"> </w:t>
      </w:r>
    </w:p>
    <w:p w14:paraId="11EF9CE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188</w:t>
      </w:r>
      <w:r w:rsidRPr="005B57EC">
        <w:fldChar w:fldCharType="end"/>
      </w:r>
      <w:r>
        <w:t xml:space="preserve">.</w:t>
      </w:r>
      <w:r>
        <w:t xml:space="preserve"> </w:t>
      </w:r>
      <w:r>
        <w:t xml:space="preserve">20 lielākās koncentrēto pozīciju PVK un attiecīgo produkta informāciju uzrāda dilstošā secībā, sākot ar lielāko atsevišķo koncentrēto pozīciju PVK.</w:t>
      </w:r>
    </w:p>
    <w:p w14:paraId="306372CF"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189</w:t>
      </w:r>
      <w:r w:rsidRPr="005B57EC">
        <w:fldChar w:fldCharType="end"/>
      </w:r>
      <w:r>
        <w:t xml:space="preserve">.</w:t>
      </w:r>
      <w:r>
        <w:t xml:space="preserve"> </w:t>
      </w:r>
      <w:r>
        <w:t xml:space="preserve">Produktus, kas atbilst minētajām lielākajām atsevišķajām koncentrēto pozīciju PVK, uzrāda, izmantojot produktu uzskaiti, kas pieprasīta Deleģētās regulas (ES) 2016/101 19. panta 3. punkta a) apakšpunktā.</w:t>
      </w:r>
    </w:p>
    <w:p w14:paraId="723832B5"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190</w:t>
      </w:r>
      <w:r w:rsidRPr="005B57EC">
        <w:fldChar w:fldCharType="end"/>
      </w:r>
      <w:r>
        <w:t xml:space="preserve">.</w:t>
      </w:r>
      <w:r>
        <w:t xml:space="preserve"> </w:t>
      </w:r>
      <w:r>
        <w:t xml:space="preserve">Pozīcijas, kas ir pietiekami viendabīgas attiecībā uz PVK aprēķināšanas metodiku, apkopo, ja tas ir iespējams, lai maksimāli palielinātu šīs veidnes segumu.</w:t>
      </w:r>
    </w:p>
    <w:p w14:paraId="70FE3CD7"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2" w:name="_Toc117766064"/>
      <w:r>
        <w:rPr>
          <w:sz w:val="24"/>
          <w:u w:val="none"/>
          <w:rFonts w:ascii="Times New Roman" w:hAnsi="Times New Roman"/>
        </w:rPr>
        <w:t xml:space="preserve">6.4.2.</w:t>
      </w:r>
      <w:r>
        <w:rPr>
          <w:sz w:val="24"/>
          <w:u w:val="none"/>
          <w:rFonts w:ascii="Times New Roman" w:hAnsi="Times New Roman"/>
        </w:rPr>
        <w:tab/>
      </w:r>
      <w:r>
        <w:rPr>
          <w:sz w:val="24"/>
          <w:rFonts w:ascii="Times New Roman" w:hAnsi="Times New Roman"/>
        </w:rPr>
        <w:t xml:space="preserve">Norādes par konkrētām pozīcijām</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Slejas</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004" w:type="dxa"/>
          </w:tcPr>
          <w:p w14:paraId="4723730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RANGS</w:t>
            </w:r>
          </w:p>
          <w:p w14:paraId="3600EC66" w14:textId="77777777" w:rsidR="001332E7" w:rsidRPr="002A677E" w:rsidDel="003016B5"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Rangs ir rindas identifikators, un tas ir unikāls katrai veidnes rindai.</w:t>
            </w:r>
            <w:r>
              <w:rPr>
                <w:sz w:val="24"/>
                <w:rFonts w:ascii="Times New Roman" w:hAnsi="Times New Roman"/>
              </w:rPr>
              <w:t xml:space="preserve"> </w:t>
            </w:r>
            <w:r>
              <w:rPr>
                <w:sz w:val="24"/>
                <w:rFonts w:ascii="Times New Roman" w:hAnsi="Times New Roman"/>
              </w:rPr>
              <w:t xml:space="preserve">Tajā ievērota numerācijas kārība 1, 2, 3 utt., 1 piešķirot augstākajai koncentrēto pozīciju PVK, 2 piešķirot otrai augstākajai, utt.</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11EA90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RISKA KATEGORIJA</w:t>
            </w:r>
          </w:p>
          <w:p w14:paraId="5047CF0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Riska kategorija (procentu likmes, ārvalstu valūtas, kredīta, kapitāla vērtspapīru, preču), kas vispiemērotāk raksturo pozīciju.</w:t>
            </w:r>
          </w:p>
          <w:p w14:paraId="6DDE3D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Iestādes norāda šādus kodus:</w:t>
            </w:r>
          </w:p>
          <w:p w14:paraId="01D8D8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procentu likmes;</w:t>
            </w:r>
          </w:p>
          <w:p w14:paraId="76FEB8E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ārvalstu valūtas;</w:t>
            </w:r>
          </w:p>
          <w:p w14:paraId="25092AC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kredīts;</w:t>
            </w:r>
          </w:p>
          <w:p w14:paraId="6BBAD43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kapitāla vērtspapīri;</w:t>
            </w:r>
          </w:p>
          <w:p w14:paraId="796BCCC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preces.</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59A030A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PRODUKTS</w:t>
            </w:r>
            <w:r>
              <w:rPr>
                <w:b/>
                <w:sz w:val="24"/>
                <w:u w:val="single"/>
                <w:rFonts w:ascii="Times New Roman" w:hAnsi="Times New Roman"/>
              </w:rPr>
              <w:t xml:space="preserve"> </w:t>
            </w:r>
          </w:p>
          <w:p w14:paraId="71775EBE" w14:textId="77777777" w:rsidR="001332E7" w:rsidRPr="002A677E" w:rsidRDefault="001332E7" w:rsidP="00B80002">
            <w:pPr>
              <w:spacing w:beforeLines="60" w:before="144" w:afterLines="60" w:after="144"/>
              <w:rPr>
                <w:sz w:val="24"/>
                <w:rFonts w:ascii="Times New Roman" w:hAnsi="Times New Roman"/>
              </w:rPr>
            </w:pPr>
            <w:r>
              <w:t xml:space="preserve">Iekšējais produkta vai produktu grupas nosaukums saskaņā ar produktu uzskaiti, kas pieprasīta Deleģētās regulas (ES) 2016/101 19. panta 3. punkta a) apakšpunktā.</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2A30E4A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PAMATĀ ESOŠIE AKTĪVI</w:t>
            </w:r>
          </w:p>
          <w:p w14:paraId="30C12F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Pamatā esošā aktīva vai aktīvu iekšējais nosaukums atvasināto instrumentu gadījumā, vai instrumenta nosaukums neatvasināto instrumentu gadījumā.</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49CCDD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KONCENTRĒTO POZĪCIJU IZMĒRS</w:t>
            </w:r>
          </w:p>
          <w:p w14:paraId="536B326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Atsevišķas koncentrētas vērtēšanas pozīcijas izmērs, kas noteikts saskaņā ar Deleģētās regulas (ES) 2016/101 14. panta 1. punkta a) apakšpunktu, izteikts mērvienībā, kas aprakstīta 0050. slejā.</w:t>
            </w:r>
            <w:r>
              <w:rPr>
                <w:sz w:val="24"/>
                <w:rFonts w:ascii="Times New Roman" w:hAnsi="Times New Roman"/>
              </w:rPr>
              <w:t xml:space="preserve">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1B4107A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IZMĒRA MĒRĪJUMS</w:t>
            </w:r>
          </w:p>
          <w:p w14:paraId="28CECA6A" w14:textId="77777777" w:rsidR="001332E7" w:rsidRP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Izmēra mērījuma mērvienība, ko iekšēji izmanto koncentrētas vērtēšanas pozīcijas identifikācijas ietvaros, lai aprēķinātu koncentrētā pozīcijas izmēru, kā minēts 0040. slejā.</w:t>
            </w:r>
            <w:r>
              <w:rPr>
                <w:sz w:val="24"/>
                <w:rFonts w:ascii="Times New Roman" w:hAnsi="Times New Roman"/>
              </w:rPr>
              <w:t xml:space="preserve"> </w:t>
            </w:r>
          </w:p>
          <w:p w14:paraId="203801F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Obligāciju vai kapitāla vērtspapīru pozīciju gadījumā uzrāda mērvienību, kas izmantota iekšējā riska pārvaldībā, piemēram, “obligāciju skaits”, “akciju vai kapitāldaļu skaits” vai “tirgus vērtība”.</w:t>
            </w:r>
            <w:r>
              <w:rPr>
                <w:sz w:val="24"/>
                <w:rStyle w:val="InstructionsTabelleberschrift"/>
                <w:b w:val="0"/>
                <w:u w:val="none"/>
                <w:rFonts w:ascii="Times New Roman" w:hAnsi="Times New Roman"/>
              </w:rPr>
              <w:t xml:space="preserve"> </w:t>
            </w:r>
          </w:p>
          <w:p w14:paraId="1FAF9F05"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Atvasināto instrumentu pozīciju gadījumā uzrāda mērvienību, kas izmantota iekšējā riska pārvaldībā, piemēram, “PV01;</w:t>
            </w:r>
            <w:r>
              <w:rPr>
                <w:sz w:val="24"/>
                <w:rFonts w:ascii="Times New Roman" w:hAnsi="Times New Roman"/>
              </w:rPr>
              <w:t xml:space="preserve"> </w:t>
            </w:r>
            <w:r>
              <w:rPr>
                <w:sz w:val="24"/>
                <w:rFonts w:ascii="Times New Roman" w:hAnsi="Times New Roman"/>
              </w:rPr>
              <w:t xml:space="preserve">EUR par 1 bāzes punktu paralēlā ienesīguma līknes novirzē”.</w:t>
            </w:r>
            <w:r>
              <w:rPr>
                <w:sz w:val="24"/>
                <w:rFonts w:ascii="Times New Roman" w:hAnsi="Times New Roman"/>
              </w:rPr>
              <w:t xml:space="preserve">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004" w:type="dxa"/>
          </w:tcPr>
          <w:p w14:paraId="01DC0B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TIRGUS VĒRTĪBA</w:t>
            </w:r>
          </w:p>
          <w:p w14:paraId="71B25BDB"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Pozīcijas tirgus vērtība.</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004" w:type="dxa"/>
          </w:tcPr>
          <w:p w14:paraId="50CF15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PIESARDZĪGS IZSTĀŠANĀS PERIODS</w:t>
            </w:r>
          </w:p>
          <w:p w14:paraId="336CAC47"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Piesardzīgas izstāšanās periods dienās, kas aplēsts saskaņā ar Deleģētās regulas (ES) 2016/101 14. panta 1. punkta b) apakšpunktu.</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004" w:type="dxa"/>
          </w:tcPr>
          <w:p w14:paraId="106911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KONCENTRĒTO POZĪCIJU PVK</w:t>
            </w:r>
          </w:p>
          <w:p w14:paraId="29C06589"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Koncentrēto pozīciju PVK summa, kas aprēķināta saskaņā ar Deleģētās regulas (ES) 2016/101 14. panta 1. punktu, attiecībā uz attiecīgajām atsevišķām koncentrētām vērtēšanas pozīcijām.</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004" w:type="dxa"/>
          </w:tcPr>
          <w:p w14:paraId="24250F9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KONCENTRĒTO POZĪCIJU PATIESĀS VĒRTĪBAS KOREKCIJA</w:t>
            </w:r>
          </w:p>
          <w:p w14:paraId="3CD447FC"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Patiesās vērtības korekciju summa, kas veiktas, lai atspoguļotu faktu, ka iestādes kopējā turētā pozīcija ir lielāka par normālo tirdzniecības apjomu vai lielāka par pozīciju izmēriem, uz kuriem pamatojas novērojami cenu piedāvājumi vai tirdzniecības darījumi, kurus izmanto, lai kalibrētu cenas vai ievaddatus, kurus izmanto vērtēšanas modelī.</w:t>
            </w:r>
          </w:p>
          <w:p w14:paraId="36DA5B80"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Uzrādītā vērtība atbilst vērtībai, kas piemērota attiecīgajai atsevišķai koncentrētai vērtēšanas pozīcijai.</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004" w:type="dxa"/>
          </w:tcPr>
          <w:p w14:paraId="0051BAB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NCP STARPĪBA</w:t>
            </w:r>
          </w:p>
          <w:p w14:paraId="5A7588ED"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Nekoriģētas starpības vērtību (“NCP starpība”) summa, kas aprēķināta tā mēneša beigās, kurš ir tuvāk pārskata sniegšanas datumam, izmantojot neatkarīgo cenu pārbaudes procesu, kas veikts saskaņā ar Regulas (ES) Nr. 575/2013 105. panta 8. punktu, attiecībā uz vislabākajiem pieejamajiem neatkarīgajiem datiem par attiecīgo atsevišķo koncentrēto vērtēšanas pozīciju.</w:t>
            </w:r>
            <w:r>
              <w:rPr>
                <w:sz w:val="24"/>
                <w:rStyle w:val="InstructionsTabelleberschrift"/>
                <w:b w:val="0"/>
                <w:u w:val="none"/>
                <w:rFonts w:ascii="Times New Roman" w:hAnsi="Times New Roman"/>
              </w:rPr>
              <w:t xml:space="preserve"> </w:t>
            </w:r>
          </w:p>
          <w:p w14:paraId="6A12C2A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Nekoriģētas starpības attiecas uz nekoriģētām starpībām starp tirdzniecības sistēmas ģenerētiem vērtējumiem un vērtējumiem, kas novērtēti ikmēneša NCP procesa laikā.</w:t>
            </w:r>
          </w:p>
          <w:p w14:paraId="6CC1EDE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NCP starpības aprēķinā neiekļauj iestādes portfeļos un reģistros koriģētas starpības summas attiecībā uz attiecīgā mēneša beigu datumu.</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Komisijas Deleģētā regula (ES) 2016/101 (2015. gada 26. oktobris), ar ko papildina Eiropas Parlamenta un Padomes Regulu (ES) Nr. 575/2013 attiecībā uz piesardzīgas vērtēšanas regulatīviem tehniskajiem standartiem saskaņā ar 105. panta 14. punktu (OV L 21, 28.1.2016., 54. lpp.).</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rPr>
          <w:sz w:val="20"/>
        </w:rPr>
        <w:tab/>
      </w:r>
      <w:r>
        <w:t xml:space="preserve">Eiropas Parlamenta un Padomes Regula (EK) Nr. 1606/2002 (2002. gada 19. jūlijs) par starptautisko grāmatvedības standartu piemērošanu (OV L 243, 11.9.2002., 1. lpp.).”;</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sz w:val="20"/>
          <w:szCs w:val="20"/>
          <w:rFonts w:ascii="Times New Roman" w:hAnsi="Times New Roman"/>
        </w:rPr>
      </w:pPr>
      <w:r>
        <w:rPr>
          <w:rStyle w:val="FootnoteReference"/>
          <w:rFonts w:ascii="Times New Roman" w:hAnsi="Times New Roman"/>
          <w:sz w:val="20"/>
          <w:szCs w:val="20"/>
          <w:vertAlign w:val="superscript"/>
        </w:rPr>
        <w:footnoteRef/>
      </w:r>
      <w:r>
        <w:rPr>
          <w:rStyle w:val="FootnoteReference"/>
          <w:sz w:val="20"/>
          <w:vertAlign w:val="superscript"/>
          <w:rFonts w:ascii="Times New Roman" w:hAnsi="Times New Roman"/>
        </w:rPr>
        <w:t xml:space="preserve"> </w:t>
      </w:r>
      <w:r>
        <w:rPr>
          <w:rStyle w:val="FootnoteReference"/>
          <w:sz w:val="20"/>
          <w:rFonts w:ascii="Times New Roman" w:hAnsi="Times New Roman"/>
        </w:rPr>
        <w:tab/>
      </w:r>
      <w:r>
        <w:rPr>
          <w:rStyle w:val="FootnoteReference"/>
          <w:sz w:val="20"/>
          <w:rFonts w:ascii="Times New Roman" w:hAnsi="Times New Roman"/>
        </w:rPr>
        <w:t xml:space="preserve">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AE866" w14:textId="69896133" w:rsidR="00897334" w:rsidRDefault="00897334">
    <w:pPr>
      <w:pStyle w:val="Header"/>
    </w:pPr>
    <w: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Title:  - Description: 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8EEC0" w14:textId="28A18C43" w:rsidR="00897334" w:rsidRDefault="00897334">
    <w:pPr>
      <w:pStyle w:val="Header"/>
    </w:pPr>
    <w: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Title:  - Description: 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503FC" w14:textId="3C9FE412" w:rsidR="00897334" w:rsidRDefault="00897334">
    <w:pPr>
      <w:pStyle w:val="Header"/>
    </w:pPr>
    <w: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Title:  - Description: 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92E36"/>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val="lv-LV"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lv-LV"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val="lv-LV"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lv-LV"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val="lv-LV"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lv-LV"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val="lv-LV"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lv-LV"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val="lv-LV"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lv-LV"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val="lv-LV"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lv-LV"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lv-LV"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val="lv-LV"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val="lv-LV"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val="lv-LV"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lv-LV"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lang w:val="lv-LV"/>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lv-LV"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lang w:val="lv-LV"/>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val="lv-LV"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lv-LV"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lang w:val="lv-LV"/>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lang w:val="lv-LV"/>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lang w:val="lv-LV"/>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lang w:val="lv-LV"/>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897334"/>
    <w:pPr>
      <w:numPr>
        <w:numId w:val="22"/>
      </w:numPr>
      <w:spacing w:after="0" w:line="240" w:lineRule="auto"/>
    </w:pPr>
    <w:rPr>
      <w:rFonts w:eastAsiaTheme="minorEastAsia"/>
      <w:kern w:val="0"/>
      <w:lang w:val="lv-LV"/>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lang w:val="lv-LV"/>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lang w:val="lv-LV"/>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lv-LV"/>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lang w:val="lv-LV"/>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lang w:val="lv-LV"/>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val="lv-LV"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lang w:val="lv-LV"/>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lang w:val="lv-LV"/>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lang w:val="lv-LV"/>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lang w:val="lv-LV"/>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val="lv-LV"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lang w:val="lv-LV"/>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lang w:val="lv-LV"/>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val="lv-LV"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val="lv-LV"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val="lv-LV"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val="lv-LV"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val="lv-LV"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lv-LV"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val="lv-LV"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27C264-D482-4A61-A1C3-0CA0041993EE}"/>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6847</Words>
  <Characters>39033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2024-05-28T10:37:00Z</dcterms:created>
  <dcterms:modified xsi:type="dcterms:W3CDTF">2024-06-21T12:30:00Z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