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9C87C" w14:textId="77777777" w:rsidR="00E50DD0" w:rsidRDefault="00E50DD0" w:rsidP="00E50DD0">
      <w:pPr>
        <w:jc w:val="center"/>
        <w:rPr>
          <w:sz w:val="24"/>
          <w:szCs w:val="22"/>
          <w:rFonts w:ascii="Times New Roman" w:hAnsi="Times New Roman"/>
        </w:rPr>
      </w:pPr>
      <w:r>
        <w:rPr>
          <w:sz w:val="24"/>
          <w:rFonts w:ascii="Times New Roman" w:hAnsi="Times New Roman"/>
        </w:rPr>
        <w:t xml:space="preserve">LV</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sz w:val="24"/>
          <w:rFonts w:ascii="Times New Roman" w:hAnsi="Times New Roman"/>
        </w:rPr>
      </w:pPr>
      <w:r>
        <w:rPr>
          <w:sz w:val="24"/>
          <w:rFonts w:ascii="Times New Roman" w:hAnsi="Times New Roman"/>
        </w:rPr>
        <w:t xml:space="preserve">II PIELIKUMS</w:t>
      </w:r>
    </w:p>
    <w:p w14:paraId="33BF0F02" w14:textId="77777777" w:rsidR="00DD798A" w:rsidRPr="00037E7B" w:rsidRDefault="00DD798A" w:rsidP="00DD798A">
      <w:pPr>
        <w:jc w:val="center"/>
        <w:rPr>
          <w:sz w:val="24"/>
          <w:rFonts w:ascii="Times New Roman" w:hAnsi="Times New Roman"/>
        </w:rPr>
      </w:pPr>
      <w:r>
        <w:rPr>
          <w:sz w:val="24"/>
          <w:rFonts w:ascii="Times New Roman" w:hAnsi="Times New Roman"/>
        </w:rPr>
        <w:t xml:space="preserve">“II PIELIKUMS</w:t>
      </w:r>
    </w:p>
    <w:p w14:paraId="43AF84F6" w14:textId="77777777" w:rsidR="00DD798A" w:rsidRPr="00037E7B" w:rsidRDefault="00DD798A" w:rsidP="00DD798A">
      <w:pPr>
        <w:jc w:val="center"/>
        <w:rPr>
          <w:b/>
          <w:sz w:val="24"/>
          <w:rFonts w:ascii="Times New Roman" w:hAnsi="Times New Roman"/>
        </w:rPr>
      </w:pPr>
      <w:r>
        <w:rPr>
          <w:b/>
          <w:sz w:val="24"/>
          <w:rFonts w:ascii="Times New Roman" w:hAnsi="Times New Roman"/>
        </w:rPr>
        <w:t xml:space="preserve">NORĀDES PĀRSKATU SNIEGŠANAI PAR PAŠU KAPITĀLU UN PAŠU KAPITĀLA PRASĪBĀM</w:t>
      </w:r>
    </w:p>
    <w:p w14:paraId="6B9B322A" w14:textId="77777777" w:rsidR="00E26A90" w:rsidRDefault="00E26A90"/>
    <w:p w14:paraId="2A45E9E8" w14:textId="77777777" w:rsidR="00A931D0" w:rsidRDefault="00A931D0" w:rsidP="00A931D0">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II DAĻA.</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NORĀDĪJUMI SAISTĪBĀ AR VEIDNI</w:t>
      </w:r>
    </w:p>
    <w:p w14:paraId="572B21DA" w14:textId="77777777" w:rsidR="00A931D0" w:rsidRDefault="00A931D0" w:rsidP="00A931D0">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2CBE875B" w14:textId="77777777" w:rsidR="00A931D0" w:rsidRPr="00736637" w:rsidRDefault="00A931D0" w:rsidP="00A931D0">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C 09.01. — Riska darījumu ģeogrāfiskais sadalījums pēc parādnieka rezidences vietas:</w:t>
      </w:r>
      <w:r>
        <w:rPr>
          <w:sz w:val="24"/>
          <w:rFonts w:ascii="Times New Roman" w:hAnsi="Times New Roman"/>
        </w:rPr>
        <w:t xml:space="preserve"> </w:t>
      </w:r>
      <w:r>
        <w:rPr>
          <w:sz w:val="24"/>
          <w:rFonts w:ascii="Times New Roman" w:hAnsi="Times New Roman"/>
        </w:rPr>
        <w:t xml:space="preserve">SP riska darījumi (CR GB 1)</w:t>
      </w:r>
    </w:p>
    <w:p w14:paraId="0D9A10C4"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0" w:name="_Toc360188363"/>
      <w:bookmarkStart w:id="1" w:name="_Toc473560914"/>
      <w:bookmarkStart w:id="2" w:name="_Toc151714418"/>
      <w:r>
        <w:rPr>
          <w:sz w:val="24"/>
          <w:u w:val="none"/>
          <w:rFonts w:ascii="Times New Roman" w:hAnsi="Times New Roman"/>
        </w:rPr>
        <w:t xml:space="preserve">3.4.1.1.</w:t>
      </w:r>
      <w:r>
        <w:rPr>
          <w:sz w:val="24"/>
          <w:u w:val="none"/>
          <w:rFonts w:ascii="Times New Roman" w:hAnsi="Times New Roman"/>
        </w:rPr>
        <w:tab/>
      </w:r>
      <w:r>
        <w:rPr>
          <w:sz w:val="24"/>
          <w:rFonts w:ascii="Times New Roman" w:hAnsi="Times New Roman"/>
        </w:rPr>
        <w:t xml:space="preserve">Norādes par konkrētām pozīcijām</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b/>
                <w:sz w:val="24"/>
                <w:rFonts w:ascii="Times New Roman" w:hAnsi="Times New Roman"/>
              </w:rPr>
            </w:pPr>
            <w:r>
              <w:rPr>
                <w:rStyle w:val="InstructionsTabelleText"/>
                <w:b/>
                <w:sz w:val="24"/>
                <w:rFonts w:ascii="Times New Roman" w:hAnsi="Times New Roman"/>
              </w:rPr>
              <w:t xml:space="preserve">Slejas</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640" w:type="dxa"/>
          </w:tcPr>
          <w:p w14:paraId="4841BFD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SĀKOTNĒJĀ RISKA DARĪJUMU VĒRTĪBA PIRMS KOREKCIJAS PAKĀPĒM</w:t>
            </w:r>
          </w:p>
          <w:p w14:paraId="1D6A0F00" w14:textId="77777777" w:rsidR="009D6580" w:rsidRPr="002A677E" w:rsidRDefault="009D6580" w:rsidP="00822842">
            <w:pPr>
              <w:rPr>
                <w:sz w:val="24"/>
                <w:rFonts w:ascii="Times New Roman" w:hAnsi="Times New Roman"/>
              </w:rPr>
            </w:pPr>
            <w:r>
              <w:rPr>
                <w:sz w:val="24"/>
                <w:rFonts w:ascii="Times New Roman" w:hAnsi="Times New Roman"/>
              </w:rPr>
              <w:t xml:space="preserve">Tāda pati definīcija kā CR SA veidnes 0010. slejā.</w:t>
            </w:r>
          </w:p>
        </w:tc>
      </w:tr>
      <w:tr w:rsidR="009D6580" w:rsidRPr="002A677E" w14:paraId="5F923D3B" w14:textId="77777777" w:rsidTr="00822842">
        <w:tc>
          <w:tcPr>
            <w:tcW w:w="1188" w:type="dxa"/>
          </w:tcPr>
          <w:p w14:paraId="69087815"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640" w:type="dxa"/>
          </w:tcPr>
          <w:p w14:paraId="04F3B53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Riska darījumi, kuros nav izpildītas saistības</w:t>
            </w:r>
          </w:p>
          <w:p w14:paraId="147BD4ED" w14:textId="29FBEBE8"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Sākotnējās riska darījuma vērtības pirms korekcijas pakāpēm tiem riska darījumiem, kas klasificēti kā “Riska darījumi, kuros netiek pildītas saistības”, un riska darījumiem, kuros netiek pildītas saistības un kuri iedalīti riska darījumu kategorijā “Kapitāla vērtspapīru riska darījumi”, un riska darījumiem, kuros netiek pildītas saistības un kuri iedalīti riska darījumu kategorijā “Riska darījumi kolektīvo ieguldījumu uzņēmumu (KIU) daļu vai ieguldījumu apliecību veidā”.</w:t>
            </w:r>
          </w:p>
          <w:p w14:paraId="6DA448AF" w14:textId="77777777" w:rsidR="009D6580" w:rsidRPr="002A677E" w:rsidRDefault="009D6580" w:rsidP="00822842">
            <w:pPr>
              <w:rPr>
                <w:rStyle w:val="InstructionsTabelleText"/>
                <w:sz w:val="24"/>
                <w:rFonts w:ascii="Times New Roman" w:hAnsi="Times New Roman"/>
              </w:rPr>
            </w:pPr>
            <w:r>
              <w:rPr>
                <w:sz w:val="24"/>
                <w:rStyle w:val="InstructionsTabelleText"/>
                <w:rFonts w:ascii="Times New Roman" w:hAnsi="Times New Roman"/>
              </w:rPr>
              <w:t xml:space="preserve">Šis “izziņas postenis” sniedz papildu informāciju par riska darījumu, kuros nav izpildītas saistības, parādnieka struktūru.</w:t>
            </w:r>
            <w:r>
              <w:rPr>
                <w:sz w:val="24"/>
                <w:rStyle w:val="InstructionsTabelleText"/>
                <w:rFonts w:ascii="Times New Roman" w:hAnsi="Times New Roman"/>
              </w:rPr>
              <w:t xml:space="preserve"> </w:t>
            </w:r>
            <w:r>
              <w:rPr>
                <w:sz w:val="24"/>
                <w:rFonts w:ascii="Times New Roman" w:hAnsi="Times New Roman"/>
              </w:rPr>
              <w:t xml:space="preserve">Riska darījumus, kas klasificēti kā “riska darījumi, kuros netiek pildītas saistības”, kā minēts Regulas (ES) Nr. 575/2013 112. panta j) punktā, uzrāda, ja parādnieki būtu bijuši:</w:t>
            </w:r>
            <w:r>
              <w:rPr>
                <w:sz w:val="24"/>
                <w:rStyle w:val="InstructionsTabelleText"/>
                <w:rFonts w:ascii="Times New Roman" w:hAnsi="Times New Roman"/>
              </w:rPr>
              <w:t xml:space="preserve"> </w:t>
            </w:r>
            <w:r>
              <w:rPr>
                <w:sz w:val="24"/>
                <w:rStyle w:val="InstructionsTabelleText"/>
                <w:rFonts w:ascii="Times New Roman" w:hAnsi="Times New Roman"/>
              </w:rPr>
              <w:br/>
            </w:r>
            <w:r>
              <w:rPr>
                <w:sz w:val="24"/>
                <w:rStyle w:val="InstructionsTabelleText"/>
                <w:rFonts w:ascii="Times New Roman" w:hAnsi="Times New Roman"/>
              </w:rPr>
              <w:t xml:space="preserve">uzrādīti, ja šie riska darījumi nebūtu bijuši iedalīti riska darījumu kategorijās “riska darījumi, kuros netiek pildītas saistības”.</w:t>
            </w:r>
            <w:r>
              <w:rPr>
                <w:sz w:val="24"/>
                <w:rStyle w:val="InstructionsTabelleText"/>
                <w:rFonts w:ascii="Times New Roman" w:hAnsi="Times New Roman"/>
              </w:rPr>
              <w:t xml:space="preserve"> </w:t>
            </w:r>
          </w:p>
          <w:p w14:paraId="52855171" w14:textId="65C7A920" w:rsidR="009D6580" w:rsidRPr="002A677E" w:rsidRDefault="00123FDD" w:rsidP="00822842">
            <w:pPr>
              <w:rPr>
                <w:sz w:val="24"/>
                <w:rFonts w:ascii="Times New Roman" w:hAnsi="Times New Roman"/>
              </w:rPr>
            </w:pPr>
            <w:r>
              <w:rPr>
                <w:sz w:val="24"/>
                <w:rFonts w:ascii="Times New Roman" w:hAnsi="Times New Roman"/>
              </w:rPr>
              <w:t xml:space="preserve">Šī informācija ir “izziņas postenis”, līdz ar to tas neietekmē riska darījumu riska svērtās vērtības aprēķināšanu riska darījumu kategorijām “riska darījumi, kuros netiek pildītas saistības”, “kapitāla vērtspapīru riska darījumi” vai “Riska darījumi kolektīvo ieguldījumu uzņēmumu (KIU) daļu vai ieguldījumu apliecību veidā” saskaņā ar Regulas (ES) Nr. 575/2013 112. panta j), p) vai o) punktu.</w:t>
            </w:r>
          </w:p>
        </w:tc>
      </w:tr>
      <w:tr w:rsidR="009D6580" w:rsidRPr="002A677E" w14:paraId="12737C01" w14:textId="77777777" w:rsidTr="00822842">
        <w:tc>
          <w:tcPr>
            <w:tcW w:w="1188" w:type="dxa"/>
          </w:tcPr>
          <w:p w14:paraId="0843F0D4"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640" w:type="dxa"/>
          </w:tcPr>
          <w:p w14:paraId="317ABA2D"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Novērotās jaunās saistību neizpildes konkrētajā periodā</w:t>
            </w:r>
          </w:p>
          <w:p w14:paraId="4C451CE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To riska darījumu sākotnējo vērtību, kas trīs mēnešu periodā kopš pēdējā pārskata sniegšanas atsauces datuma ir pārvietojušies uz riska darījumu kategoriju “riska darījumi, kuros netiek pildītas saistības”, uzrāda saistībā ar riska darījumu kategoriju, kurai parādnieks sākotnēji ir piederējis.</w:t>
            </w:r>
          </w:p>
        </w:tc>
      </w:tr>
      <w:tr w:rsidR="009D6580" w:rsidRPr="002A677E" w14:paraId="59173FA8" w14:textId="77777777" w:rsidTr="00822842">
        <w:tc>
          <w:tcPr>
            <w:tcW w:w="1188" w:type="dxa"/>
          </w:tcPr>
          <w:p w14:paraId="7368E5E9"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1A491AA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Vispārējās kredītriska korekcijas</w:t>
            </w:r>
          </w:p>
          <w:p w14:paraId="019027A7" w14:textId="77777777" w:rsidR="009D6580" w:rsidRPr="002A677E" w:rsidRDefault="009D6580" w:rsidP="00822842">
            <w:pPr>
              <w:rPr>
                <w:sz w:val="24"/>
                <w:rFonts w:ascii="Times New Roman" w:hAnsi="Times New Roman"/>
              </w:rPr>
            </w:pPr>
            <w:r>
              <w:rPr>
                <w:sz w:val="24"/>
                <w:rFonts w:ascii="Times New Roman" w:hAnsi="Times New Roman"/>
              </w:rPr>
              <w:t xml:space="preserve">Kredītriska korekcijas, kā minēts Regulas (ES) Nr. 575/2013 110. pantā, kā arī Regulā (ES) 183/2014.</w:t>
            </w:r>
            <w:r>
              <w:rPr>
                <w:sz w:val="24"/>
                <w:rFonts w:ascii="Times New Roman" w:hAnsi="Times New Roman"/>
              </w:rPr>
              <w:t xml:space="preserve"> </w:t>
            </w:r>
          </w:p>
          <w:p w14:paraId="124DE0E0" w14:textId="77777777" w:rsidR="009D6580" w:rsidRPr="002A677E" w:rsidRDefault="009D6580" w:rsidP="00822842">
            <w:pPr>
              <w:rPr>
                <w:sz w:val="24"/>
                <w:rFonts w:ascii="Times New Roman" w:hAnsi="Times New Roman"/>
              </w:rPr>
            </w:pPr>
            <w:r>
              <w:rPr>
                <w:sz w:val="24"/>
                <w:rFonts w:ascii="Times New Roman" w:hAnsi="Times New Roman"/>
              </w:rPr>
              <w:t xml:space="preserve">Šis postenis ietver vispārējas kredītriska korekcijas, kas ir atbilstošas iekļaušanai otrā līmeņa kapitālā, pirms Regulas (ES) Nr. 575/2013 62. panta c) punktā minētās maksimālās robežvērtības piemērošanas.</w:t>
            </w:r>
          </w:p>
          <w:p w14:paraId="50B8B57C"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Summu uzrāda, ņemot vērā nodokļu ietekmi.</w:t>
            </w:r>
          </w:p>
        </w:tc>
      </w:tr>
      <w:tr w:rsidR="009D6580" w:rsidRPr="002A677E" w14:paraId="18048AF8" w14:textId="77777777" w:rsidTr="00822842">
        <w:tc>
          <w:tcPr>
            <w:tcW w:w="1188" w:type="dxa"/>
          </w:tcPr>
          <w:p w14:paraId="6BF1FDE0"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640" w:type="dxa"/>
          </w:tcPr>
          <w:p w14:paraId="3DA55F2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Specifiskās kredītriska korekcijas</w:t>
            </w:r>
          </w:p>
          <w:p w14:paraId="0C4040D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Kredītriska korekcijas, kā minēts Regulas (ES) Nr. 575/2013 110. pantā, kā arī Regulā (ES) 183/2014.</w:t>
            </w:r>
          </w:p>
        </w:tc>
      </w:tr>
      <w:tr w:rsidR="009D6580" w:rsidRPr="002A677E" w14:paraId="1433D694" w14:textId="77777777" w:rsidTr="00822842">
        <w:tc>
          <w:tcPr>
            <w:tcW w:w="1188" w:type="dxa"/>
          </w:tcPr>
          <w:p w14:paraId="0154002C"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0E9754A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Norakstījumi</w:t>
            </w:r>
          </w:p>
          <w:p w14:paraId="5E984FA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Norakstījumi, kā minēts 9. SFPS 5.4.4. punktā un B5.4.9. punktā.</w:t>
            </w:r>
          </w:p>
        </w:tc>
      </w:tr>
      <w:tr w:rsidR="009D6580" w:rsidRPr="002A677E" w14:paraId="1CFA94CF" w14:textId="77777777" w:rsidTr="00822842">
        <w:tc>
          <w:tcPr>
            <w:tcW w:w="1188" w:type="dxa"/>
          </w:tcPr>
          <w:p w14:paraId="23BBA9F5" w14:textId="77777777" w:rsidR="009D6580" w:rsidRPr="002A677E" w:rsidRDefault="009D6580" w:rsidP="00822842">
            <w:pPr>
              <w:rPr>
                <w:sz w:val="24"/>
                <w:rFonts w:ascii="Times New Roman" w:hAnsi="Times New Roman"/>
              </w:rPr>
            </w:pPr>
            <w:r>
              <w:rPr>
                <w:sz w:val="24"/>
                <w:rFonts w:ascii="Times New Roman" w:hAnsi="Times New Roman"/>
              </w:rPr>
              <w:t xml:space="preserve">0061.</w:t>
            </w:r>
          </w:p>
        </w:tc>
        <w:tc>
          <w:tcPr>
            <w:tcW w:w="8640" w:type="dxa"/>
          </w:tcPr>
          <w:p w14:paraId="7173ECB3"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Papildu vērtības korekcijas un citi pašu kapitāla samazinājumi</w:t>
            </w:r>
          </w:p>
          <w:p w14:paraId="074C80EC"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Atbilstība Regulas (ES) Nr. 575/2013 111. pantam.</w:t>
            </w:r>
          </w:p>
        </w:tc>
      </w:tr>
      <w:tr w:rsidR="009D6580" w:rsidRPr="002A677E" w14:paraId="2939F77F" w14:textId="77777777" w:rsidTr="00822842">
        <w:tc>
          <w:tcPr>
            <w:tcW w:w="1188" w:type="dxa"/>
          </w:tcPr>
          <w:p w14:paraId="542B9015"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2643490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Kredītriska korekcijas/norakstījumi attiecībā uz novērotām jaunām saistību neizpildēm</w:t>
            </w:r>
          </w:p>
          <w:p w14:paraId="7E554B6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Kredītriska korekciju un norakstījumu summa attiecībā uz riska darījumiem, kas trīs mēnešu laika posmā kopš pēdējās datu iesniegšanas ir klasificēti kā “riska darījumi, kuros nav izpildītas saistības”.</w:t>
            </w:r>
          </w:p>
        </w:tc>
      </w:tr>
      <w:tr w:rsidR="009D6580" w:rsidRPr="002A677E" w14:paraId="2CA30DE3" w14:textId="77777777" w:rsidTr="00822842">
        <w:tc>
          <w:tcPr>
            <w:tcW w:w="1188" w:type="dxa"/>
          </w:tcPr>
          <w:p w14:paraId="2FD89795" w14:textId="77777777" w:rsidR="009D6580" w:rsidRPr="002A677E" w:rsidRDefault="009D6580" w:rsidP="00822842">
            <w:pPr>
              <w:rPr>
                <w:sz w:val="24"/>
                <w:rFonts w:ascii="Times New Roman" w:hAnsi="Times New Roman"/>
              </w:rPr>
            </w:pPr>
            <w:r>
              <w:rPr>
                <w:sz w:val="24"/>
                <w:rFonts w:ascii="Times New Roman" w:hAnsi="Times New Roman"/>
              </w:rPr>
              <w:t xml:space="preserve">0075.</w:t>
            </w:r>
          </w:p>
        </w:tc>
        <w:tc>
          <w:tcPr>
            <w:tcW w:w="8640" w:type="dxa"/>
          </w:tcPr>
          <w:p w14:paraId="233BFDC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Riska darījuma vērtība</w:t>
            </w:r>
          </w:p>
          <w:p w14:paraId="4F849709"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Tāda pati definīcija kā CR SA veidnes 0200. slejā.</w:t>
            </w:r>
          </w:p>
        </w:tc>
      </w:tr>
      <w:tr w:rsidR="009D6580" w:rsidRPr="002A677E" w14:paraId="09BD9174" w14:textId="77777777" w:rsidTr="00822842">
        <w:tc>
          <w:tcPr>
            <w:tcW w:w="1188" w:type="dxa"/>
          </w:tcPr>
          <w:p w14:paraId="06587A3C"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0B560F31" w14:textId="46CDE534"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RISKA DARĪJUMU RISKA SVĒRTĀ VĒRTĪBA PIRMS ATBALSTA FAKTORIEM UN PIRMS VALŪTU NESAKRITĪBAS</w:t>
            </w:r>
          </w:p>
          <w:p w14:paraId="7F91718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Tāda pati definīcija kā CR SA veidnes 0215. slejā.</w:t>
            </w:r>
          </w:p>
        </w:tc>
      </w:tr>
      <w:tr w:rsidR="009D6580" w:rsidRPr="002A677E" w14:paraId="172392A5" w14:textId="77777777" w:rsidTr="00822842">
        <w:tc>
          <w:tcPr>
            <w:tcW w:w="1188" w:type="dxa"/>
          </w:tcPr>
          <w:p w14:paraId="4881CC35" w14:textId="77777777" w:rsidR="009D6580" w:rsidRPr="002A677E" w:rsidRDefault="009D6580" w:rsidP="00822842">
            <w:pPr>
              <w:rPr>
                <w:sz w:val="24"/>
                <w:rFonts w:ascii="Times New Roman" w:hAnsi="Times New Roman"/>
              </w:rPr>
            </w:pPr>
            <w:r>
              <w:rPr>
                <w:sz w:val="24"/>
                <w:rFonts w:ascii="Times New Roman" w:hAnsi="Times New Roman"/>
              </w:rPr>
              <w:t xml:space="preserve">0081.</w:t>
            </w:r>
          </w:p>
        </w:tc>
        <w:tc>
          <w:tcPr>
            <w:tcW w:w="8640" w:type="dxa"/>
          </w:tcPr>
          <w:p w14:paraId="3683E884" w14:textId="77777777" w:rsidR="009D6580" w:rsidRPr="002A677E" w:rsidRDefault="009D6580" w:rsidP="00822842">
            <w:pPr>
              <w:rPr>
                <w:rStyle w:val="InstructionsTabelleberschrift"/>
                <w:sz w:val="32"/>
                <w:rFonts w:ascii="Times New Roman" w:hAnsi="Times New Roman"/>
              </w:rPr>
            </w:pPr>
            <w:r>
              <w:rPr>
                <w:rStyle w:val="InstructionsTabelleberschrift"/>
                <w:sz w:val="24"/>
                <w:rFonts w:ascii="Times New Roman" w:hAnsi="Times New Roman"/>
              </w:rPr>
              <w:t xml:space="preserve">(-) RISKA DARĪJUMU RISKA SVĒRTĀS VĒRTĪBAS KOREKCIJAS MVU ATBALSTA FAKTORA DĒĻ</w:t>
            </w:r>
          </w:p>
          <w:p w14:paraId="7D7BF2EE"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Tāda pati definīcija kā CR SA veidnes 0216. slejā.</w:t>
            </w:r>
          </w:p>
        </w:tc>
      </w:tr>
      <w:tr w:rsidR="009D6580" w:rsidRPr="002A677E" w14:paraId="7C7A5C85" w14:textId="77777777" w:rsidTr="00822842">
        <w:tc>
          <w:tcPr>
            <w:tcW w:w="1188" w:type="dxa"/>
          </w:tcPr>
          <w:p w14:paraId="4ABD72EC" w14:textId="77777777" w:rsidR="009D6580" w:rsidRPr="002A677E" w:rsidRDefault="009D6580" w:rsidP="00822842">
            <w:pPr>
              <w:rPr>
                <w:sz w:val="24"/>
                <w:rFonts w:ascii="Times New Roman" w:hAnsi="Times New Roman"/>
              </w:rPr>
            </w:pPr>
            <w:r>
              <w:rPr>
                <w:sz w:val="24"/>
                <w:rFonts w:ascii="Times New Roman" w:hAnsi="Times New Roman"/>
              </w:rPr>
              <w:t xml:space="preserve">0082.</w:t>
            </w:r>
          </w:p>
        </w:tc>
        <w:tc>
          <w:tcPr>
            <w:tcW w:w="8640" w:type="dxa"/>
          </w:tcPr>
          <w:p w14:paraId="60EE9D4D" w14:textId="77777777" w:rsidR="009D6580" w:rsidRPr="002A677E" w:rsidRDefault="009D6580" w:rsidP="00822842">
            <w:pPr>
              <w:rPr>
                <w:rStyle w:val="InstructionsTabelleberschrift"/>
                <w:sz w:val="32"/>
                <w:rFonts w:ascii="Times New Roman" w:hAnsi="Times New Roman"/>
              </w:rPr>
            </w:pPr>
            <w:r>
              <w:rPr>
                <w:rStyle w:val="InstructionsTabelleberschrift"/>
                <w:sz w:val="24"/>
                <w:rFonts w:ascii="Times New Roman" w:hAnsi="Times New Roman"/>
              </w:rPr>
              <w:t xml:space="preserve">(-) RISKA DARĪJUMU RISKA SVĒRTĀS VĒRTĪBAS KOREKCIJAS INFRASTRUKTŪRAS ATBALSTA FAKTORA DĒĻ</w:t>
            </w:r>
          </w:p>
          <w:p w14:paraId="3D157D72"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Tāda pati definīcija kā CR SA veidnes 0217. slejā.</w:t>
            </w:r>
          </w:p>
        </w:tc>
      </w:tr>
      <w:tr w:rsidR="009D6580" w:rsidRPr="002A677E" w14:paraId="2271C08F" w14:textId="77777777" w:rsidTr="00822842">
        <w:tc>
          <w:tcPr>
            <w:tcW w:w="1188" w:type="dxa"/>
          </w:tcPr>
          <w:p w14:paraId="7D3C5FE9"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tcPr>
          <w:p w14:paraId="784080AC" w14:textId="77777777" w:rsidR="00AF2BE6" w:rsidRDefault="009D6580" w:rsidP="00AF2BE6">
            <w:pPr>
              <w:rPr>
                <w:b/>
                <w:sz w:val="24"/>
                <w:u w:val="single"/>
                <w:rFonts w:ascii="Times New Roman" w:hAnsi="Times New Roman"/>
              </w:rPr>
            </w:pPr>
            <w:r>
              <w:rPr>
                <w:b/>
                <w:sz w:val="24"/>
                <w:u w:val="single"/>
                <w:rFonts w:ascii="Times New Roman" w:hAnsi="Times New Roman"/>
              </w:rPr>
              <w:t xml:space="preserve">RISKA DARĪJUMU RISKA SVĒRTĀ VĒRTĪBA PĒC ATBALSTA FAKTORIEM UN PĒC VALŪTU NESAKRITĪBAS</w:t>
            </w:r>
          </w:p>
          <w:p w14:paraId="5F17785F" w14:textId="6397E6C0" w:rsidR="009D6580" w:rsidRPr="002A677E" w:rsidRDefault="009D6580" w:rsidP="00AF2BE6">
            <w:pPr>
              <w:rPr>
                <w:b/>
                <w:sz w:val="24"/>
                <w:u w:val="single"/>
                <w:rFonts w:ascii="Times New Roman" w:hAnsi="Times New Roman"/>
              </w:rPr>
            </w:pPr>
            <w:r>
              <w:rPr>
                <w:sz w:val="24"/>
                <w:rFonts w:ascii="Times New Roman" w:hAnsi="Times New Roman"/>
              </w:rPr>
              <w:t xml:space="preserve">Tāda pati definīcija kā CR SA veidnes 0220. slejā.</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b/>
                <w:sz w:val="24"/>
                <w:rFonts w:ascii="Times New Roman" w:hAnsi="Times New Roman"/>
              </w:rPr>
            </w:pPr>
            <w:r>
              <w:rPr>
                <w:rStyle w:val="InstructionsTabelleText"/>
                <w:b/>
                <w:sz w:val="24"/>
                <w:rFonts w:ascii="Times New Roman" w:hAnsi="Times New Roman"/>
              </w:rPr>
              <w:t xml:space="preserve">Rindas</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sz w:val="24"/>
                <w:rFonts w:ascii="Times New Roman" w:hAnsi="Times New Roman"/>
              </w:rPr>
            </w:pPr>
            <w:r>
              <w:rPr>
                <w:sz w:val="24"/>
                <w:rFonts w:ascii="Times New Roman" w:hAnsi="Times New Roman"/>
              </w:rPr>
              <w:t xml:space="preserve">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Centrālās valdības vai centrālās bankas</w:t>
            </w:r>
          </w:p>
          <w:p w14:paraId="701FDDD6" w14:textId="77777777" w:rsidR="009D6580" w:rsidRPr="002A677E" w:rsidRDefault="009D6580" w:rsidP="00822842">
            <w:pPr>
              <w:ind w:left="72"/>
              <w:rPr>
                <w:rStyle w:val="InstructionsTabelleText"/>
                <w:sz w:val="24"/>
                <w:rFonts w:ascii="Times New Roman" w:hAnsi="Times New Roman"/>
              </w:rPr>
            </w:pPr>
            <w:r>
              <w:rPr>
                <w:sz w:val="24"/>
                <w:rFonts w:ascii="Times New Roman" w:hAnsi="Times New Roman"/>
              </w:rPr>
              <w:t xml:space="preserve">Regulas (ES) Nr. 575/2013 112. panta a) punkts.</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Reģionālās pašvaldības vai vietējās pašpārvaldes</w:t>
            </w:r>
          </w:p>
          <w:p w14:paraId="06578FE1"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Regulas (ES) Nr. 575/2013 112. panta b) punkts.</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Publiskā sektora struktūras</w:t>
            </w:r>
          </w:p>
          <w:p w14:paraId="451BD941"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Regulas (ES) Nr. 575/2013 112. panta c) punkts.</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Daudzpusējas attīstības bankas</w:t>
            </w:r>
          </w:p>
          <w:p w14:paraId="59A02674"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Regulas (ES) Nr. 575/2013 112. panta d) punkts.</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Starptautiskās organizācijas</w:t>
            </w:r>
          </w:p>
          <w:p w14:paraId="17C7FCF4"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Regulas (ES) Nr. 575/2013 112. panta e) punkts.</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Iestādes</w:t>
            </w:r>
          </w:p>
          <w:p w14:paraId="153928C3"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Regulas (ES) Nr. 575/2013 112. panta f) punkts.</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Komercsabiedrības</w:t>
            </w:r>
          </w:p>
          <w:p w14:paraId="2131631A"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Regulas (ES) Nr. 575/2013 112. panta g) punkts.</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sz w:val="24"/>
                <w:rFonts w:ascii="Times New Roman" w:hAnsi="Times New Roman"/>
              </w:rPr>
            </w:pPr>
            <w:r>
              <w:rPr>
                <w:sz w:val="24"/>
                <w:rFonts w:ascii="Times New Roman" w:hAnsi="Times New Roman"/>
              </w:rPr>
              <w:t xml:space="preserve">0075.</w:t>
            </w:r>
          </w:p>
        </w:tc>
        <w:tc>
          <w:tcPr>
            <w:tcW w:w="8701" w:type="dxa"/>
            <w:gridSpan w:val="2"/>
            <w:shd w:val="clear" w:color="auto" w:fill="FFFFFF"/>
          </w:tcPr>
          <w:p w14:paraId="299BAF86"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MVU</w:t>
            </w:r>
          </w:p>
          <w:p w14:paraId="54A9735B"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Tāda pati definīcija kā CR SA veidnes 0020. slejā.</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sz w:val="24"/>
                <w:rFonts w:ascii="Times New Roman" w:hAnsi="Times New Roman"/>
              </w:rPr>
            </w:pPr>
            <w:r>
              <w:rPr>
                <w:sz w:val="24"/>
                <w:rFonts w:ascii="Times New Roman" w:hAnsi="Times New Roman"/>
              </w:rPr>
              <w:t xml:space="preserve">0076.</w:t>
            </w:r>
          </w:p>
        </w:tc>
        <w:tc>
          <w:tcPr>
            <w:tcW w:w="8701" w:type="dxa"/>
            <w:gridSpan w:val="2"/>
            <w:shd w:val="clear" w:color="auto" w:fill="FFFFFF"/>
          </w:tcPr>
          <w:p w14:paraId="77F474DF" w14:textId="77777777" w:rsidR="009D6580"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Specializētā kreditēšana</w:t>
            </w:r>
          </w:p>
          <w:p w14:paraId="78348E89" w14:textId="77777777" w:rsidR="009D6580" w:rsidRPr="000059B8" w:rsidRDefault="009D6580" w:rsidP="00822842">
            <w:pPr>
              <w:ind w:left="72"/>
              <w:rPr>
                <w:rStyle w:val="InstructionsTabelleberschrift"/>
                <w:b w:val="0"/>
                <w:bCs w:val="0"/>
                <w:sz w:val="24"/>
                <w:u w:val="none"/>
                <w:rFonts w:ascii="Times New Roman" w:hAnsi="Times New Roman"/>
              </w:rPr>
            </w:pPr>
            <w:r>
              <w:rPr>
                <w:sz w:val="24"/>
                <w:rFonts w:ascii="Times New Roman" w:hAnsi="Times New Roman"/>
              </w:rPr>
              <w:t xml:space="preserve">Regulas (ES) Nr. 575/2013 122.a pants</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Privātpersonas vai MVU</w:t>
            </w:r>
          </w:p>
          <w:p w14:paraId="4C73D393"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Regulas (ES) Nr. 575/2013 112. panta h) punkts.</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sz w:val="24"/>
                <w:rFonts w:ascii="Times New Roman" w:hAnsi="Times New Roman"/>
              </w:rPr>
            </w:pPr>
            <w:r>
              <w:rPr>
                <w:sz w:val="24"/>
                <w:rFonts w:ascii="Times New Roman" w:hAnsi="Times New Roman"/>
              </w:rPr>
              <w:t xml:space="preserve">0085.</w:t>
            </w:r>
          </w:p>
        </w:tc>
        <w:tc>
          <w:tcPr>
            <w:tcW w:w="8701" w:type="dxa"/>
            <w:gridSpan w:val="2"/>
            <w:shd w:val="clear" w:color="auto" w:fill="FFFFFF"/>
          </w:tcPr>
          <w:p w14:paraId="73F494D2"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MVU</w:t>
            </w:r>
          </w:p>
          <w:p w14:paraId="08FE43D7"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Tāda pati definīcija kā CR SA veidnes 0020. slejā.</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Nodrošināti ar nekustamā īpašuma hipotēku, un </w:t>
            </w:r>
            <w:r>
              <w:rPr>
                <w:rStyle w:val="InstructionsTabelleberschrift"/>
                <w:sz w:val="24"/>
                <w:i/>
                <w:iCs/>
                <w:rFonts w:ascii="Times New Roman" w:hAnsi="Times New Roman"/>
              </w:rPr>
              <w:t xml:space="preserve">ADC</w:t>
            </w:r>
            <w:r>
              <w:rPr>
                <w:rStyle w:val="InstructionsTabelleberschrift"/>
                <w:sz w:val="24"/>
                <w:rFonts w:ascii="Times New Roman" w:hAnsi="Times New Roman"/>
              </w:rPr>
              <w:t xml:space="preserve"> riska darījumi</w:t>
            </w:r>
          </w:p>
          <w:p w14:paraId="6DD925ED" w14:textId="77777777" w:rsidR="009D6580" w:rsidRPr="002A677E" w:rsidRDefault="009D6580" w:rsidP="00822842">
            <w:pPr>
              <w:ind w:left="72"/>
              <w:rPr>
                <w:rStyle w:val="InstructionsTabelleText"/>
                <w:sz w:val="24"/>
                <w:rFonts w:ascii="Times New Roman" w:hAnsi="Times New Roman"/>
              </w:rPr>
            </w:pPr>
            <w:r>
              <w:rPr>
                <w:sz w:val="24"/>
                <w:rFonts w:ascii="Times New Roman" w:hAnsi="Times New Roman"/>
              </w:rPr>
              <w:t xml:space="preserve">Regulas (ES) Nr. 575/2013 112. panta i) punkts.</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Nodrošināti ar mājokļa nekustamā īpašuma hipotēku — ieņēmumus nenesošs (nodrošināts)</w:t>
            </w:r>
          </w:p>
          <w:p w14:paraId="5BC0E4C6" w14:textId="5F815813"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 CR SA veidni</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Nodrošināti ar mājokļa nekustamā īpašuma hipotēku — ieņēmumus nenesošs (nenodrošināts)</w:t>
            </w:r>
          </w:p>
          <w:p w14:paraId="607C903E" w14:textId="583159EA"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 CR SA veidni.</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Nodrošināti ar mājokļa nekustamā īpašuma hipotēku — Citi — ieņēmumus nenesošs</w:t>
            </w:r>
          </w:p>
          <w:p w14:paraId="311E3CF5" w14:textId="5245D766"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 CR SA veidni</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Riska darījumi, kas nodrošināti ar mājokļa nekustamā īpašuma hipotēku – ieņēmumus nesošs</w:t>
            </w:r>
          </w:p>
          <w:p w14:paraId="2090782C" w14:textId="64D92CBC"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 CR SA veidni</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Nodrošināti ar mājokļa nekustamā īpašuma hipotēku — Citi — ieņēmumus nesošs</w:t>
            </w:r>
          </w:p>
          <w:p w14:paraId="18E3F7B1" w14:textId="00D9A105"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 CR SA veidni</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Nodrošināti ar komerciāla nekustamā īpašuma hipotēku — ieņēmumus nenesošs (nodrošināts)</w:t>
            </w:r>
          </w:p>
          <w:p w14:paraId="1DD8A6CF" w14:textId="2D56F96D"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 CR SA veidni</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Nodrošināti ar komerciāla nekustamā īpašuma hipotēku — ieņēmumus nenesošs (nenodrošināts)</w:t>
            </w:r>
          </w:p>
          <w:p w14:paraId="37DA45D4" w14:textId="1AC5F0E1"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 CR SA veidni</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Nodrošināti ar komerciāla nekustamā īpašuma hipotēku — Citi — ieņēmumus nenesošs</w:t>
            </w:r>
          </w:p>
          <w:p w14:paraId="653F8A23" w14:textId="727D9E51"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 CR SA veidni</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Nodrošināti ar komerciāla nekustamā īpašuma hipotēku — ieņēmumus nesošs</w:t>
            </w:r>
          </w:p>
          <w:p w14:paraId="5C23C6C1" w14:textId="64A934FD"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 CR SA veidni</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Nodrošināti ar komerciāla nekustamā īpašuma hipotēku — Citi — ieņēmumus nesošs</w:t>
            </w:r>
          </w:p>
          <w:p w14:paraId="4CFFBC8C" w14:textId="16697C60"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 CR SA veidni</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Iegāde, attīstība un būvniecība (</w:t>
            </w:r>
            <w:r>
              <w:rPr>
                <w:rStyle w:val="InstructionsTabelleberschrift"/>
                <w:sz w:val="24"/>
                <w:i/>
                <w:iCs/>
                <w:rFonts w:ascii="Times New Roman" w:hAnsi="Times New Roman"/>
              </w:rPr>
              <w:t xml:space="preserve">ADC</w:t>
            </w:r>
            <w:r>
              <w:rPr>
                <w:rStyle w:val="InstructionsTabelleberschrift"/>
                <w:sz w:val="24"/>
                <w:rFonts w:ascii="Times New Roman" w:hAnsi="Times New Roman"/>
              </w:rPr>
              <w:t xml:space="preserve">)</w:t>
            </w:r>
          </w:p>
          <w:p w14:paraId="0CFE246E" w14:textId="00399E0A"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 CR SA veidni</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sz w:val="24"/>
                <w:rFonts w:ascii="Times New Roman" w:hAnsi="Times New Roman"/>
              </w:rPr>
            </w:pPr>
            <w:r>
              <w:rPr>
                <w:sz w:val="24"/>
                <w:rFonts w:ascii="Times New Roman" w:hAnsi="Times New Roman"/>
              </w:rPr>
              <w:t xml:space="preserve">0095.</w:t>
            </w:r>
          </w:p>
        </w:tc>
        <w:tc>
          <w:tcPr>
            <w:tcW w:w="8701" w:type="dxa"/>
            <w:gridSpan w:val="2"/>
            <w:shd w:val="clear" w:color="auto" w:fill="FFFFFF"/>
          </w:tcPr>
          <w:p w14:paraId="4DFFD2E6"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MVU</w:t>
            </w:r>
          </w:p>
          <w:p w14:paraId="6A4AA475"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Tāda pati definīcija kā CR SA veidnes 0020. slejā.</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Riska darījumi, kuros netiek pildītas saistības</w:t>
            </w:r>
          </w:p>
          <w:p w14:paraId="24E89ACE"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Regulas (ES) Nr. 575/2013 112. panta j) punkts.</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sz w:val="24"/>
                <w:rFonts w:ascii="Times New Roman" w:hAnsi="Times New Roman"/>
              </w:rPr>
            </w:pPr>
            <w:r>
              <w:rPr>
                <w:sz w:val="24"/>
                <w:rFonts w:ascii="Times New Roman" w:hAnsi="Times New Roman"/>
              </w:rPr>
              <w:t xml:space="preserve">0115.</w:t>
            </w:r>
          </w:p>
        </w:tc>
        <w:tc>
          <w:tcPr>
            <w:tcW w:w="8701" w:type="dxa"/>
            <w:gridSpan w:val="2"/>
            <w:shd w:val="clear" w:color="auto" w:fill="FFFFFF"/>
          </w:tcPr>
          <w:p w14:paraId="71EBD362" w14:textId="77777777" w:rsidR="009D6580"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Pakārtoto parāda vērtspapīru riska darījumi</w:t>
            </w:r>
          </w:p>
          <w:p w14:paraId="7F19547A" w14:textId="77777777" w:rsidR="009D6580" w:rsidRPr="000059B8" w:rsidRDefault="009D6580" w:rsidP="00822842">
            <w:pPr>
              <w:ind w:left="72"/>
              <w:rPr>
                <w:rStyle w:val="InstructionsTabelleberschrift"/>
                <w:b w:val="0"/>
                <w:bCs w:val="0"/>
                <w:sz w:val="24"/>
                <w:u w:val="none"/>
                <w:rFonts w:ascii="Times New Roman" w:hAnsi="Times New Roman"/>
              </w:rPr>
            </w:pPr>
            <w:r>
              <w:rPr>
                <w:sz w:val="24"/>
                <w:rFonts w:ascii="Times New Roman" w:hAnsi="Times New Roman"/>
              </w:rPr>
              <w:t xml:space="preserve">Regulas (ES) Nr. 575/2013 112. panta k) punkts.</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sz w:val="24"/>
                <w:rFonts w:ascii="Times New Roman" w:hAnsi="Times New Roman"/>
              </w:rPr>
            </w:pPr>
            <w:r>
              <w:rPr>
                <w:rStyle w:val="InstructionsTabelleberschrift"/>
                <w:sz w:val="24"/>
                <w:rFonts w:ascii="Times New Roman" w:hAnsi="Times New Roman"/>
              </w:rPr>
              <w:t xml:space="preserve">Riska darījumi segto obligāciju veidā</w:t>
            </w:r>
          </w:p>
          <w:p w14:paraId="68F7689A" w14:textId="77777777" w:rsidR="009D6580" w:rsidRPr="002A677E" w:rsidRDefault="009D6580" w:rsidP="00822842">
            <w:pPr>
              <w:autoSpaceDE w:val="0"/>
              <w:autoSpaceDN w:val="0"/>
              <w:adjustRightInd w:val="0"/>
              <w:spacing w:before="0"/>
              <w:ind w:left="72"/>
              <w:jc w:val="left"/>
              <w:rPr>
                <w:rStyle w:val="InstructionsTabelleText"/>
                <w:bCs/>
                <w:sz w:val="24"/>
                <w:u w:val="single"/>
                <w:rFonts w:ascii="Times New Roman" w:hAnsi="Times New Roman"/>
              </w:rPr>
            </w:pPr>
            <w:r>
              <w:rPr>
                <w:sz w:val="24"/>
                <w:rFonts w:ascii="Times New Roman" w:hAnsi="Times New Roman"/>
              </w:rPr>
              <w:t xml:space="preserve">Regulas (ES) Nr. 575/2013 112. panta l) punkts.</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bCs w:val="0"/>
                <w:sz w:val="24"/>
                <w:rFonts w:ascii="Times New Roman" w:hAnsi="Times New Roman"/>
              </w:rPr>
            </w:pPr>
            <w:r>
              <w:rPr>
                <w:rStyle w:val="InstructionsTabelleberschrift"/>
                <w:sz w:val="24"/>
                <w:rFonts w:ascii="Times New Roman" w:hAnsi="Times New Roman"/>
              </w:rPr>
              <w:t xml:space="preserve">Prasījumi pret iestādēm un komercsabiedrībām, kam ir noteikts īstermiņa kredītnovērtējums</w:t>
            </w:r>
          </w:p>
          <w:p w14:paraId="53F92677" w14:textId="77777777" w:rsidR="009D6580" w:rsidRPr="002A677E" w:rsidRDefault="009D6580" w:rsidP="00822842">
            <w:pPr>
              <w:ind w:left="72"/>
              <w:rPr>
                <w:sz w:val="24"/>
                <w:rFonts w:ascii="Times New Roman" w:hAnsi="Times New Roman"/>
              </w:rPr>
            </w:pPr>
            <w:r>
              <w:rPr>
                <w:sz w:val="24"/>
                <w:rFonts w:ascii="Times New Roman" w:hAnsi="Times New Roman"/>
              </w:rPr>
              <w:t xml:space="preserve">Regulas (ES) Nr. 575/2013 112. panta n) punkts.</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Kolektīvo ieguldījumu uzņēmumi (KIU)</w:t>
            </w:r>
          </w:p>
          <w:p w14:paraId="6BE6CAC2" w14:textId="77777777" w:rsidR="009D6580" w:rsidRPr="002A677E" w:rsidRDefault="009D6580" w:rsidP="00822842">
            <w:pPr>
              <w:ind w:left="72"/>
              <w:rPr>
                <w:bCs/>
                <w:sz w:val="24"/>
                <w:rFonts w:ascii="Times New Roman" w:hAnsi="Times New Roman"/>
              </w:rPr>
            </w:pPr>
            <w:r>
              <w:rPr>
                <w:sz w:val="24"/>
                <w:rFonts w:ascii="Times New Roman" w:hAnsi="Times New Roman"/>
              </w:rPr>
              <w:t xml:space="preserve">Regulas (ES) Nr. 575/2013 112. panta o) punkts.</w:t>
            </w:r>
          </w:p>
          <w:p w14:paraId="0FFD53A4" w14:textId="77777777" w:rsidR="009D6580" w:rsidRPr="002A677E" w:rsidRDefault="009D6580" w:rsidP="00822842">
            <w:pPr>
              <w:ind w:left="72"/>
              <w:rPr>
                <w:rStyle w:val="InstructionsTabelleberschrift"/>
                <w:b w:val="0"/>
                <w:bCs w:val="0"/>
                <w:sz w:val="24"/>
                <w:u w:val="none"/>
                <w:rFonts w:ascii="Times New Roman" w:hAnsi="Times New Roman"/>
              </w:rPr>
            </w:pPr>
            <w:r>
              <w:rPr>
                <w:sz w:val="24"/>
                <w:rFonts w:ascii="Times New Roman" w:hAnsi="Times New Roman"/>
              </w:rPr>
              <w:t xml:space="preserve">0141 līdz 0143. rindas summa</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sz w:val="24"/>
                <w:rFonts w:ascii="Times New Roman" w:hAnsi="Times New Roman"/>
              </w:rPr>
            </w:pPr>
            <w:r>
              <w:rPr>
                <w:sz w:val="24"/>
                <w:rFonts w:ascii="Times New Roman" w:hAnsi="Times New Roman"/>
              </w:rPr>
              <w:t xml:space="preserve">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Caurskatīšanas pieeja</w:t>
            </w:r>
          </w:p>
          <w:p w14:paraId="00783183"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Tāda pati definīcija kā CR SA veidnes 0281. slejā.</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sz w:val="24"/>
                <w:rFonts w:ascii="Times New Roman" w:hAnsi="Times New Roman"/>
              </w:rPr>
            </w:pPr>
            <w:r>
              <w:rPr>
                <w:sz w:val="24"/>
                <w:rFonts w:ascii="Times New Roman" w:hAnsi="Times New Roman"/>
              </w:rPr>
              <w:t xml:space="preserve">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Pilnvaru pieeja</w:t>
            </w:r>
          </w:p>
          <w:p w14:paraId="1FD38657"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Tāda pati definīcija kā CR SA veidnes 0282. slejā.</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sz w:val="24"/>
                <w:rFonts w:ascii="Times New Roman" w:hAnsi="Times New Roman"/>
              </w:rPr>
            </w:pPr>
            <w:r>
              <w:rPr>
                <w:sz w:val="24"/>
                <w:rFonts w:ascii="Times New Roman" w:hAnsi="Times New Roman"/>
              </w:rPr>
              <w:t xml:space="preserve">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Alternatīvā pieeja</w:t>
            </w:r>
          </w:p>
          <w:p w14:paraId="2EA9AADD"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Tāda pati definīcija kā CR SA veidnes 0283. slejā.</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Kapitāla vērtspapīru riska darījumi</w:t>
            </w:r>
          </w:p>
          <w:p w14:paraId="3170DAFB"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Regulas (ES) Nr. 575/2013 112. panta p) punkts.</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sz w:val="24"/>
                <w:rFonts w:ascii="Times New Roman" w:hAnsi="Times New Roman"/>
              </w:rPr>
            </w:pPr>
            <w:r>
              <w:rPr>
                <w:sz w:val="24"/>
                <w:rFonts w:ascii="Times New Roman" w:hAnsi="Times New Roman"/>
              </w:rPr>
              <w:t xml:space="preserve">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Citi riska darījumi</w:t>
            </w:r>
          </w:p>
          <w:p w14:paraId="5D708342"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Regulas (ES) Nr. 575/2013 112. panta q) punkts.</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sz w:val="24"/>
                <w:rFonts w:ascii="Times New Roman" w:hAnsi="Times New Roman"/>
              </w:rPr>
            </w:pPr>
            <w:r>
              <w:rPr>
                <w:sz w:val="24"/>
                <w:rFonts w:ascii="Times New Roman" w:hAnsi="Times New Roman"/>
              </w:rPr>
              <w:t xml:space="preserve">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Kopējie riska darījumi</w:t>
            </w:r>
          </w:p>
        </w:tc>
      </w:tr>
    </w:tbl>
    <w:p w14:paraId="2EB3E5B0" w14:textId="77777777" w:rsidR="009D6580" w:rsidRPr="002A677E" w:rsidRDefault="009D6580" w:rsidP="009D6580">
      <w:pPr>
        <w:spacing w:before="0" w:after="200" w:line="312" w:lineRule="auto"/>
        <w:jc w:val="left"/>
        <w:rPr>
          <w:sz w:val="24"/>
          <w:rFonts w:ascii="Times New Roman" w:hAnsi="Times New Roman"/>
        </w:rPr>
      </w:pPr>
      <w:bookmarkStart w:id="3" w:name="_Toc292456210"/>
    </w:p>
    <w:p w14:paraId="467F6DC6"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4" w:name="_Toc360188364"/>
      <w:bookmarkStart w:id="5" w:name="_Toc473560915"/>
      <w:bookmarkStart w:id="6" w:name="_Toc151714419"/>
      <w:r>
        <w:rPr>
          <w:sz w:val="24"/>
          <w:u w:val="none"/>
          <w:rFonts w:ascii="Times New Roman" w:hAnsi="Times New Roman"/>
        </w:rPr>
        <w:t xml:space="preserve">3.4.2.</w:t>
      </w:r>
      <w:r>
        <w:rPr>
          <w:sz w:val="24"/>
          <w:u w:val="none"/>
          <w:rFonts w:ascii="Times New Roman" w:hAnsi="Times New Roman"/>
        </w:rPr>
        <w:tab/>
      </w:r>
      <w:r>
        <w:rPr>
          <w:sz w:val="24"/>
          <w:rFonts w:ascii="Times New Roman" w:hAnsi="Times New Roman"/>
        </w:rPr>
        <w:t xml:space="preserve">C 09.02 — Riska darījumu ģeogrāfiskais sadalījums pēc parādnieka rezidences vietas:</w:t>
      </w:r>
      <w:r>
        <w:rPr>
          <w:sz w:val="24"/>
          <w:rFonts w:ascii="Times New Roman" w:hAnsi="Times New Roman"/>
        </w:rPr>
        <w:t xml:space="preserve"> </w:t>
      </w:r>
      <w:r>
        <w:t xml:space="preserve">IRB riska darījumi (CR GB 2)</w:t>
      </w:r>
      <w:bookmarkEnd w:id="4"/>
      <w:bookmarkEnd w:id="5"/>
      <w:bookmarkEnd w:id="6"/>
    </w:p>
    <w:p w14:paraId="21A320CB"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7" w:name="_Toc360188365"/>
      <w:bookmarkStart w:id="8" w:name="_Toc473560916"/>
      <w:bookmarkStart w:id="9" w:name="_Toc151714420"/>
      <w:r>
        <w:rPr>
          <w:sz w:val="24"/>
          <w:u w:val="none"/>
          <w:rFonts w:ascii="Times New Roman" w:hAnsi="Times New Roman"/>
        </w:rPr>
        <w:t xml:space="preserve">3.4.2.1.</w:t>
      </w:r>
      <w:r>
        <w:rPr>
          <w:sz w:val="24"/>
          <w:u w:val="none"/>
          <w:rFonts w:ascii="Times New Roman" w:hAnsi="Times New Roman"/>
        </w:rPr>
        <w:tab/>
      </w:r>
      <w:r>
        <w:rPr>
          <w:sz w:val="24"/>
          <w:rFonts w:ascii="Times New Roman" w:hAnsi="Times New Roman"/>
        </w:rPr>
        <w:t xml:space="preserve">Norādījumi par konkrētām pozīcijām</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b/>
                <w:sz w:val="24"/>
                <w:rFonts w:ascii="Times New Roman" w:hAnsi="Times New Roman"/>
              </w:rPr>
            </w:pPr>
            <w:r>
              <w:rPr>
                <w:b/>
                <w:sz w:val="24"/>
                <w:rFonts w:ascii="Times New Roman" w:hAnsi="Times New Roman"/>
              </w:rPr>
              <w:t xml:space="preserve">Slejas</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640" w:type="dxa"/>
          </w:tcPr>
          <w:p w14:paraId="5DA72BDB"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SĀKOTNĒJĀ RISKA DARĪJUMU VĒRTĪBA PIRMS KOREKCIJAS PAKĀPĒM</w:t>
            </w:r>
          </w:p>
          <w:p w14:paraId="714A5DA7" w14:textId="77777777" w:rsidR="009D6580" w:rsidRPr="002A677E" w:rsidRDefault="009D6580" w:rsidP="00822842">
            <w:pPr>
              <w:autoSpaceDE w:val="0"/>
              <w:autoSpaceDN w:val="0"/>
              <w:adjustRightInd w:val="0"/>
              <w:spacing w:before="0" w:after="0"/>
              <w:jc w:val="left"/>
              <w:rPr>
                <w:rStyle w:val="InstructionsTabelleText"/>
                <w:sz w:val="24"/>
                <w:rFonts w:ascii="Times New Roman" w:hAnsi="Times New Roman"/>
              </w:rPr>
            </w:pPr>
            <w:r>
              <w:rPr>
                <w:sz w:val="24"/>
                <w:rFonts w:ascii="Times New Roman" w:hAnsi="Times New Roman"/>
              </w:rPr>
              <w:t xml:space="preserve">Tāda pati definīcija kā CR IRB veidnes 0020. slejā.</w:t>
            </w:r>
          </w:p>
        </w:tc>
      </w:tr>
      <w:tr w:rsidR="009D6580" w:rsidRPr="002A677E" w14:paraId="770F3897" w14:textId="77777777" w:rsidTr="00822842">
        <w:tc>
          <w:tcPr>
            <w:tcW w:w="1188" w:type="dxa"/>
          </w:tcPr>
          <w:p w14:paraId="56E092EF"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640" w:type="dxa"/>
          </w:tcPr>
          <w:p w14:paraId="0071C394"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Tostarp ar neizpildītām saistībām</w:t>
            </w:r>
          </w:p>
          <w:p w14:paraId="2768B5B2" w14:textId="77777777" w:rsidR="009D6580" w:rsidRPr="002A677E" w:rsidRDefault="009D6580" w:rsidP="00822842">
            <w:pPr>
              <w:rPr>
                <w:rStyle w:val="InstructionsTabelleText"/>
                <w:sz w:val="24"/>
                <w:rFonts w:ascii="Times New Roman" w:hAnsi="Times New Roman"/>
              </w:rPr>
            </w:pPr>
            <w:r>
              <w:rPr>
                <w:sz w:val="24"/>
                <w:rFonts w:ascii="Times New Roman" w:hAnsi="Times New Roman"/>
              </w:rPr>
              <w:t xml:space="preserve">Sākotnējā riska darījuma vērtība tiem riska darījumiem, kas klasificēti kā “riska darījumi, kuros nav izpildītas saistības” saskaņā ar Regulas (ES) Nr. 575/2013 178. pantu.</w:t>
            </w:r>
          </w:p>
        </w:tc>
      </w:tr>
      <w:tr w:rsidR="009D6580" w:rsidRPr="002A677E" w14:paraId="7AD6E18B" w14:textId="77777777" w:rsidTr="00822842">
        <w:tc>
          <w:tcPr>
            <w:tcW w:w="1188" w:type="dxa"/>
          </w:tcPr>
          <w:p w14:paraId="1DFAF6C6"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640" w:type="dxa"/>
          </w:tcPr>
          <w:p w14:paraId="3FD9DA2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Novērotās jaunās saistību neizpildes konkrētajā periodā</w:t>
            </w:r>
          </w:p>
          <w:p w14:paraId="2393DECB"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To riska darījumu sākotnējo vērtību, kas trīs mēnešu laika posmā kopš pēdējā pārskata sniegšanas atsauces datuma ir pārvietojušies uz riska darījumu kategoriju “riska darījumi, kuros netiek pildītas saistības”, uzrāda saistībā ar riska darījumu kategoriju, kurai parādnieks sākotnēji ir piederējis.</w:t>
            </w:r>
            <w:r>
              <w:rPr>
                <w:rStyle w:val="InstructionsTabelleText"/>
                <w:sz w:val="24"/>
                <w:rFonts w:ascii="Times New Roman" w:hAnsi="Times New Roman"/>
              </w:rPr>
              <w:t xml:space="preserve"> </w:t>
            </w:r>
          </w:p>
        </w:tc>
      </w:tr>
      <w:tr w:rsidR="009D6580" w:rsidRPr="002A677E" w14:paraId="382342DD" w14:textId="77777777" w:rsidTr="00822842">
        <w:tc>
          <w:tcPr>
            <w:tcW w:w="1188" w:type="dxa"/>
          </w:tcPr>
          <w:p w14:paraId="20977C7F"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6E8FD64C"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Vispārējās kredītriska korekcijas</w:t>
            </w:r>
          </w:p>
          <w:p w14:paraId="1F1D0A5D"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Kredītriska korekcijas, kā minēts Regulas (ES) Nr. 575/2013 110. pantā, kā arī Regulā (ES) 183/2014.</w:t>
            </w:r>
          </w:p>
        </w:tc>
      </w:tr>
      <w:tr w:rsidR="009D6580" w:rsidRPr="002A677E" w14:paraId="63C2E396" w14:textId="77777777" w:rsidTr="00822842">
        <w:tc>
          <w:tcPr>
            <w:tcW w:w="1188" w:type="dxa"/>
          </w:tcPr>
          <w:p w14:paraId="3BC8F127"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640" w:type="dxa"/>
          </w:tcPr>
          <w:p w14:paraId="26D828F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Specifiskās kredītriska korekcijas</w:t>
            </w:r>
          </w:p>
          <w:p w14:paraId="4DA8E76B"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Kredītriska korekcijas, kā minēts Regulas (ES) Nr. 575/2013 110. pantā, kā arī Regulā (ES) 183/2014.</w:t>
            </w:r>
          </w:p>
        </w:tc>
      </w:tr>
      <w:tr w:rsidR="009D6580" w:rsidRPr="002A677E" w14:paraId="24582208" w14:textId="77777777" w:rsidTr="00822842">
        <w:tc>
          <w:tcPr>
            <w:tcW w:w="1188" w:type="dxa"/>
          </w:tcPr>
          <w:p w14:paraId="46A1EB07"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4CC236D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Norakstījumi</w:t>
            </w:r>
          </w:p>
          <w:p w14:paraId="51BEEB5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Norakstījumi, kā minēts 9. SFPS 5.4.4. punktā un B5.4.9. punktā.</w:t>
            </w:r>
          </w:p>
        </w:tc>
      </w:tr>
      <w:tr w:rsidR="009D6580" w:rsidRPr="002A677E" w14:paraId="615BD0D9" w14:textId="77777777" w:rsidTr="00822842">
        <w:tc>
          <w:tcPr>
            <w:tcW w:w="1188" w:type="dxa"/>
          </w:tcPr>
          <w:p w14:paraId="641E5F2D"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7C362C1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Kredītriska korekcijas/norakstījumi attiecībā uz novērotām jaunām saistību neizpildēm</w:t>
            </w:r>
          </w:p>
          <w:p w14:paraId="454774E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Kredītriska korekciju un norakstījumu summa attiecībā uz riska darījumiem, kas trīs mēnešu laika posmā kopš pēdējās datu iesniegšanas ir klasificēti kā “riska darījumi, kuros nav izpildītas saistības”.</w:t>
            </w:r>
          </w:p>
        </w:tc>
      </w:tr>
      <w:tr w:rsidR="009D6580" w:rsidRPr="002A677E" w14:paraId="4B7452D7" w14:textId="77777777" w:rsidTr="00822842">
        <w:tc>
          <w:tcPr>
            <w:tcW w:w="1188" w:type="dxa"/>
          </w:tcPr>
          <w:p w14:paraId="1A68115E"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256EF248" w14:textId="77777777" w:rsidR="009D6580" w:rsidRPr="002A677E" w:rsidRDefault="009D6580"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IEKŠĒJO REITINGU SKALA/SAISTĪBU NEPILDĪŠANAS VARBŪTĪBA (PD), KAS NOTEIKTA PARĀDNIEKU KATEGORIJAI VAI PORTFELIM (%)</w:t>
            </w:r>
          </w:p>
          <w:p w14:paraId="2C51714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Tāda pati definīcija kā CR IRB veidnes 0010. slejā.</w:t>
            </w:r>
          </w:p>
        </w:tc>
      </w:tr>
      <w:tr w:rsidR="009D6580" w:rsidRPr="002A677E" w14:paraId="18989AFE" w14:textId="77777777" w:rsidTr="00822842">
        <w:tc>
          <w:tcPr>
            <w:tcW w:w="1188" w:type="dxa"/>
          </w:tcPr>
          <w:p w14:paraId="489AE0F7"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tcPr>
          <w:p w14:paraId="78B53BE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RISKA DARĪJUMU SVĒRTIE VIDĒJIE </w:t>
            </w:r>
            <w:r>
              <w:rPr>
                <w:b/>
                <w:sz w:val="24"/>
                <w:u w:val="single"/>
                <w:i/>
                <w:iCs/>
                <w:rFonts w:ascii="Times New Roman" w:hAnsi="Times New Roman"/>
              </w:rPr>
              <w:t xml:space="preserve">LGD</w:t>
            </w:r>
            <w:r>
              <w:rPr>
                <w:b/>
                <w:sz w:val="24"/>
                <w:u w:val="single"/>
                <w:rFonts w:ascii="Times New Roman" w:hAnsi="Times New Roman"/>
              </w:rPr>
              <w:t xml:space="preserve"> (%)</w:t>
            </w:r>
          </w:p>
          <w:p w14:paraId="5BC89E8E" w14:textId="77777777" w:rsidR="009D6580" w:rsidRPr="002A677E" w:rsidRDefault="009D6580" w:rsidP="00822842">
            <w:pPr>
              <w:rPr>
                <w:rStyle w:val="InstructionsTabelleText"/>
                <w:sz w:val="24"/>
                <w:rFonts w:ascii="Times New Roman" w:hAnsi="Times New Roman"/>
              </w:rPr>
            </w:pPr>
            <w:r>
              <w:rPr>
                <w:sz w:val="24"/>
                <w:rStyle w:val="InstructionsTabelleText"/>
                <w:rFonts w:ascii="Times New Roman" w:hAnsi="Times New Roman"/>
              </w:rPr>
              <w:t xml:space="preserve">Tāda pati definīcija kā CR IRB veidnes 0230. un 0240. slejā:</w:t>
            </w:r>
            <w:r>
              <w:rPr>
                <w:sz w:val="24"/>
                <w:rStyle w:val="InstructionsTabelleText"/>
                <w:rFonts w:ascii="Times New Roman" w:hAnsi="Times New Roman"/>
              </w:rPr>
              <w:t xml:space="preserve"> </w:t>
            </w:r>
            <w:r>
              <w:rPr>
                <w:sz w:val="24"/>
                <w:rStyle w:val="InstructionsTabelleText"/>
                <w:rFonts w:ascii="Times New Roman" w:hAnsi="Times New Roman"/>
              </w:rPr>
              <w:t xml:space="preserve">riska darījumu svērtie vidējie </w:t>
            </w:r>
            <w:r>
              <w:rPr>
                <w:sz w:val="24"/>
                <w:rStyle w:val="InstructionsTabelleText"/>
                <w:i/>
                <w:iCs/>
                <w:rFonts w:ascii="Times New Roman" w:hAnsi="Times New Roman"/>
              </w:rPr>
              <w:t xml:space="preserve">LGD</w:t>
            </w:r>
            <w:r>
              <w:rPr>
                <w:sz w:val="24"/>
                <w:rStyle w:val="InstructionsTabelleText"/>
                <w:rFonts w:ascii="Times New Roman" w:hAnsi="Times New Roman"/>
              </w:rPr>
              <w:t xml:space="preserve"> (%) attiecas uz visiem riska darījumiem, tostarp riska darījumiem ar lielām finanšu sektora sabiedrībām un neregulētām finanšu sabiedrībām.</w:t>
            </w:r>
            <w:r>
              <w:rPr>
                <w:sz w:val="24"/>
                <w:rStyle w:val="InstructionsTabelleText"/>
                <w:rFonts w:ascii="Times New Roman" w:hAnsi="Times New Roman"/>
              </w:rPr>
              <w:t xml:space="preserve"> </w:t>
            </w:r>
            <w:r>
              <w:rPr>
                <w:sz w:val="24"/>
                <w:rFonts w:ascii="Times New Roman" w:hAnsi="Times New Roman"/>
              </w:rPr>
              <w:t xml:space="preserve">Piemēro Regulas (ES) Nr. 575/2013 181. panta 1. punkta h) apakšpunktu.</w:t>
            </w:r>
          </w:p>
          <w:p w14:paraId="3A7794EA"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Attiecībā uz specializētās kreditēšanas riska darījumiem, kuros ir aplēsta </w:t>
            </w:r>
            <w:r>
              <w:rPr>
                <w:sz w:val="24"/>
                <w:i/>
                <w:iCs/>
                <w:rFonts w:ascii="Times New Roman" w:hAnsi="Times New Roman"/>
              </w:rPr>
              <w:t xml:space="preserve">PD</w:t>
            </w:r>
            <w:r>
              <w:rPr>
                <w:sz w:val="24"/>
                <w:rFonts w:ascii="Times New Roman" w:hAnsi="Times New Roman"/>
              </w:rPr>
              <w:t xml:space="preserve">, uzrādītā vērtība ir vai nu aplēstie, vai regulatora noteiktie </w:t>
            </w:r>
            <w:r>
              <w:rPr>
                <w:sz w:val="24"/>
                <w:i/>
                <w:iCs/>
                <w:rFonts w:ascii="Times New Roman" w:hAnsi="Times New Roman"/>
              </w:rPr>
              <w:t xml:space="preserve">LGD</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Attiecībā uz specializētās kreditēšanas riska darījumiem, kas minēti Regulas (ES) Nr. 575/2013 153. panta 5. punktā, datus nevar uzrādīt, jo tie nav pieejami.</w:t>
            </w:r>
          </w:p>
        </w:tc>
      </w:tr>
      <w:tr w:rsidR="009D6580" w:rsidRPr="002A677E" w14:paraId="66756C12" w14:textId="77777777" w:rsidTr="00822842">
        <w:tc>
          <w:tcPr>
            <w:tcW w:w="1188" w:type="dxa"/>
          </w:tcPr>
          <w:p w14:paraId="317ECEC7"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640" w:type="dxa"/>
          </w:tcPr>
          <w:p w14:paraId="68CF6D3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ar saistību neizpildi</w:t>
            </w:r>
          </w:p>
          <w:p w14:paraId="789E281A"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Riska darījumu vidējie </w:t>
            </w:r>
            <w:r>
              <w:rPr>
                <w:sz w:val="24"/>
                <w:i/>
                <w:iCs/>
                <w:rFonts w:ascii="Times New Roman" w:hAnsi="Times New Roman"/>
              </w:rPr>
              <w:t xml:space="preserve">LGD</w:t>
            </w:r>
            <w:r>
              <w:rPr>
                <w:sz w:val="24"/>
                <w:rFonts w:ascii="Times New Roman" w:hAnsi="Times New Roman"/>
              </w:rPr>
              <w:t xml:space="preserve"> tiem riska darījumiem, kas klasificēti kā “riska darījumi, kuros nav izpildītas saistības” saskaņā ar Regulas (ES) Nr. 575/2013 178. pantu.</w:t>
            </w:r>
          </w:p>
        </w:tc>
      </w:tr>
      <w:tr w:rsidR="009D6580" w:rsidRPr="002A677E" w14:paraId="187792F5" w14:textId="77777777" w:rsidTr="00822842">
        <w:tc>
          <w:tcPr>
            <w:tcW w:w="1188" w:type="dxa"/>
          </w:tcPr>
          <w:p w14:paraId="41BFEDD8" w14:textId="77777777" w:rsidR="009D6580" w:rsidRPr="002A677E" w:rsidRDefault="009D6580" w:rsidP="00822842">
            <w:pPr>
              <w:rPr>
                <w:sz w:val="24"/>
                <w:rFonts w:ascii="Times New Roman" w:hAnsi="Times New Roman"/>
              </w:rPr>
            </w:pPr>
            <w:r>
              <w:rPr>
                <w:sz w:val="24"/>
                <w:rFonts w:ascii="Times New Roman" w:hAnsi="Times New Roman"/>
              </w:rPr>
              <w:t xml:space="preserve">0105.</w:t>
            </w:r>
          </w:p>
        </w:tc>
        <w:tc>
          <w:tcPr>
            <w:tcW w:w="8640" w:type="dxa"/>
          </w:tcPr>
          <w:p w14:paraId="7B14423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Riska darījuma vērtība</w:t>
            </w:r>
          </w:p>
          <w:p w14:paraId="533E4F5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Tāda pati definīcija kā CR IRB veidnes 0110. slejā.</w:t>
            </w:r>
          </w:p>
        </w:tc>
      </w:tr>
      <w:tr w:rsidR="009D6580" w:rsidRPr="002A677E" w14:paraId="48402149" w14:textId="77777777" w:rsidTr="00822842">
        <w:tc>
          <w:tcPr>
            <w:tcW w:w="1188" w:type="dxa"/>
          </w:tcPr>
          <w:p w14:paraId="3E4D7142"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640" w:type="dxa"/>
          </w:tcPr>
          <w:p w14:paraId="3BFEC9E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RISKA DARĪJUMU RISKA SVĒRTĀ VĒRTĪBA PIRMS ATBALSTA FAKTORIEM</w:t>
            </w:r>
          </w:p>
          <w:p w14:paraId="38950726"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Tāda pati definīcija kā CR IRB veidnes 0255. slejā.</w:t>
            </w:r>
          </w:p>
        </w:tc>
      </w:tr>
      <w:tr w:rsidR="009D6580" w:rsidRPr="002A677E" w14:paraId="321AA4CE" w14:textId="77777777" w:rsidTr="00822842">
        <w:tc>
          <w:tcPr>
            <w:tcW w:w="1188" w:type="dxa"/>
          </w:tcPr>
          <w:p w14:paraId="5F49B73F"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640" w:type="dxa"/>
          </w:tcPr>
          <w:p w14:paraId="2A07E1E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Tostarp ar neizpildītām saistībām</w:t>
            </w:r>
          </w:p>
          <w:p w14:paraId="0B72119F"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Riska darījumu riska svērtā vērtība tiem riska darījumiem, kas klasificēti kā “riska darījumi, kuros nav izpildītas saistības” saskaņā ar Regulas (ES) Nr. 575/2013 178. panta 1. punktu.</w:t>
            </w:r>
          </w:p>
        </w:tc>
      </w:tr>
      <w:tr w:rsidR="009D6580" w:rsidRPr="002A677E" w14:paraId="4F58B17C" w14:textId="77777777" w:rsidTr="00822842">
        <w:tc>
          <w:tcPr>
            <w:tcW w:w="1188" w:type="dxa"/>
          </w:tcPr>
          <w:p w14:paraId="43313479" w14:textId="77777777" w:rsidR="009D6580" w:rsidRPr="002A677E" w:rsidRDefault="009D6580" w:rsidP="00822842">
            <w:pPr>
              <w:rPr>
                <w:sz w:val="24"/>
                <w:rFonts w:ascii="Times New Roman" w:hAnsi="Times New Roman"/>
              </w:rPr>
            </w:pPr>
            <w:r>
              <w:rPr>
                <w:sz w:val="24"/>
                <w:rFonts w:ascii="Times New Roman" w:hAnsi="Times New Roman"/>
              </w:rPr>
              <w:t xml:space="preserve">0121.</w:t>
            </w:r>
          </w:p>
        </w:tc>
        <w:tc>
          <w:tcPr>
            <w:tcW w:w="8640" w:type="dxa"/>
          </w:tcPr>
          <w:p w14:paraId="51B6E44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 RISKA DARĪJUMU RISKA SVĒRTĀS VĒRTĪBAS KOREKCIJAS MVU ATBALSTA FAKTORA DĒĻ</w:t>
            </w:r>
          </w:p>
          <w:p w14:paraId="7060DF05"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Tāda pati definīcija kā CR IRB veidnes 0256. slejā.</w:t>
            </w:r>
          </w:p>
        </w:tc>
      </w:tr>
      <w:tr w:rsidR="009D6580" w:rsidRPr="002A677E" w14:paraId="6DA9FCB6" w14:textId="77777777" w:rsidTr="00822842">
        <w:tc>
          <w:tcPr>
            <w:tcW w:w="1188" w:type="dxa"/>
          </w:tcPr>
          <w:p w14:paraId="189DC6D4" w14:textId="77777777" w:rsidR="009D6580" w:rsidRPr="002A677E" w:rsidRDefault="009D6580" w:rsidP="00822842">
            <w:pPr>
              <w:rPr>
                <w:sz w:val="24"/>
                <w:rFonts w:ascii="Times New Roman" w:hAnsi="Times New Roman"/>
              </w:rPr>
            </w:pPr>
            <w:r>
              <w:rPr>
                <w:sz w:val="24"/>
                <w:rFonts w:ascii="Times New Roman" w:hAnsi="Times New Roman"/>
              </w:rPr>
              <w:t xml:space="preserve">0122.</w:t>
            </w:r>
          </w:p>
        </w:tc>
        <w:tc>
          <w:tcPr>
            <w:tcW w:w="8640" w:type="dxa"/>
          </w:tcPr>
          <w:p w14:paraId="77E17241"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 RISKA DARĪJUMU RISKA SVĒRTĀS VĒRTĪBAS KOREKCIJAS INFRASTRUKTŪRAS ATBALSTA FAKTORA DĒĻ</w:t>
            </w:r>
          </w:p>
          <w:p w14:paraId="1EE90D25"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Tāda pati definīcija kā CR IRB veidnes 0257. slejā.</w:t>
            </w:r>
          </w:p>
        </w:tc>
      </w:tr>
      <w:tr w:rsidR="009D6580" w:rsidRPr="002A677E" w14:paraId="0A79EDF4" w14:textId="77777777" w:rsidTr="00822842">
        <w:tc>
          <w:tcPr>
            <w:tcW w:w="1188" w:type="dxa"/>
          </w:tcPr>
          <w:p w14:paraId="2D50BBC4" w14:textId="77777777" w:rsidR="009D6580" w:rsidRPr="002A677E" w:rsidRDefault="009D6580" w:rsidP="00822842">
            <w:pPr>
              <w:rPr>
                <w:sz w:val="24"/>
                <w:rFonts w:ascii="Times New Roman" w:hAnsi="Times New Roman"/>
              </w:rPr>
            </w:pPr>
            <w:r>
              <w:rPr>
                <w:sz w:val="24"/>
                <w:rFonts w:ascii="Times New Roman" w:hAnsi="Times New Roman"/>
              </w:rPr>
              <w:t xml:space="preserve">0125.</w:t>
            </w:r>
          </w:p>
        </w:tc>
        <w:tc>
          <w:tcPr>
            <w:tcW w:w="8640" w:type="dxa"/>
          </w:tcPr>
          <w:p w14:paraId="0D402C8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RISKA DARĪJUMU RISKA SVĒRTĀ VĒRTĪBA PĒC ATBALSTA FAKTORIEM</w:t>
            </w:r>
          </w:p>
          <w:p w14:paraId="71F977E8"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Tāda pati definīcija kā CR IRB veidnes 0260. slejā.</w:t>
            </w:r>
          </w:p>
        </w:tc>
      </w:tr>
      <w:tr w:rsidR="009D6580" w:rsidRPr="002A677E" w14:paraId="058051CC" w14:textId="77777777" w:rsidTr="00822842">
        <w:tc>
          <w:tcPr>
            <w:tcW w:w="1188" w:type="dxa"/>
          </w:tcPr>
          <w:p w14:paraId="02AA680F"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640" w:type="dxa"/>
          </w:tcPr>
          <w:p w14:paraId="5E66C6B0"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PAREDZAMO ZAUDĒJUMU APMĒRS</w:t>
            </w:r>
          </w:p>
          <w:p w14:paraId="27E13378"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Tāda pati definīcija kā CR IRB veidnes 0280. slejā.</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b/>
                <w:sz w:val="24"/>
                <w:rFonts w:ascii="Times New Roman" w:hAnsi="Times New Roman"/>
              </w:rPr>
            </w:pPr>
            <w:r>
              <w:rPr>
                <w:b/>
                <w:sz w:val="24"/>
                <w:rFonts w:ascii="Times New Roman" w:hAnsi="Times New Roman"/>
              </w:rPr>
              <w:t xml:space="preserve">Rindas</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sz w:val="24"/>
                <w:rFonts w:ascii="Times New Roman" w:hAnsi="Times New Roman"/>
              </w:rPr>
            </w:pPr>
            <w:r>
              <w:rPr>
                <w:sz w:val="24"/>
                <w:rFonts w:ascii="Times New Roman" w:hAnsi="Times New Roman"/>
              </w:rPr>
              <w:t xml:space="preserve">0010.</w:t>
            </w:r>
          </w:p>
        </w:tc>
        <w:tc>
          <w:tcPr>
            <w:tcW w:w="8640" w:type="dxa"/>
          </w:tcPr>
          <w:p w14:paraId="349EA92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Centrālās valdības vai centrālās bankas</w:t>
            </w:r>
            <w:r>
              <w:rPr>
                <w:b/>
                <w:sz w:val="24"/>
                <w:u w:val="single"/>
                <w:rFonts w:ascii="Times New Roman" w:hAnsi="Times New Roman"/>
              </w:rPr>
              <w:t xml:space="preserve"> </w:t>
            </w:r>
          </w:p>
          <w:p w14:paraId="45CC186E" w14:textId="77777777" w:rsidR="009D6580" w:rsidRPr="002A677E" w:rsidRDefault="009D6580" w:rsidP="00822842">
            <w:pPr>
              <w:rPr>
                <w:sz w:val="24"/>
                <w:rFonts w:ascii="Times New Roman" w:hAnsi="Times New Roman"/>
              </w:rPr>
            </w:pPr>
            <w:r>
              <w:rPr>
                <w:sz w:val="24"/>
                <w:rFonts w:ascii="Times New Roman" w:hAnsi="Times New Roman"/>
              </w:rPr>
              <w:t xml:space="preserve">Regulas (ES) Nr. 575/2013 147. panta 2. punkta a) apakšpunkts</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sz w:val="24"/>
                <w:rFonts w:ascii="Times New Roman" w:hAnsi="Times New Roman"/>
              </w:rPr>
            </w:pPr>
            <w:r>
              <w:rPr>
                <w:sz w:val="24"/>
                <w:rFonts w:ascii="Times New Roman" w:hAnsi="Times New Roman"/>
              </w:rPr>
              <w:t xml:space="preserve">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Reģionālās pašvaldības vai vietējās pašpārvaldes</w:t>
            </w:r>
          </w:p>
          <w:p w14:paraId="4864E157"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Regulas (ES) Nr. 575/2013 147. panta 3.a punkts</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sz w:val="24"/>
                <w:rFonts w:ascii="Times New Roman" w:hAnsi="Times New Roman"/>
              </w:rPr>
            </w:pPr>
            <w:r>
              <w:rPr>
                <w:sz w:val="24"/>
                <w:rFonts w:ascii="Times New Roman" w:hAnsi="Times New Roman"/>
              </w:rPr>
              <w:t xml:space="preserve">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Reģionālās pašvaldības vai vietējās pašpārvaldes</w:t>
            </w:r>
          </w:p>
          <w:p w14:paraId="19FE9B53"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(Regulas (ES) Nr. 575/2013 147. panta 2. punkta a1) apakšpunkta i) punkts)</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sz w:val="24"/>
                <w:rFonts w:ascii="Times New Roman" w:hAnsi="Times New Roman"/>
              </w:rPr>
            </w:pPr>
            <w:r>
              <w:rPr>
                <w:sz w:val="24"/>
                <w:rFonts w:ascii="Times New Roman" w:hAnsi="Times New Roman"/>
              </w:rPr>
              <w:t xml:space="preserve">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Publiskā sektora struktūras</w:t>
            </w:r>
            <w:r>
              <w:rPr>
                <w:b/>
                <w:sz w:val="24"/>
                <w:u w:val="single"/>
                <w:rFonts w:ascii="Times New Roman" w:hAnsi="Times New Roman"/>
              </w:rPr>
              <w:t xml:space="preserve"> </w:t>
            </w:r>
          </w:p>
          <w:p w14:paraId="1DE1AAE7"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(Regulas (ES) Nr. 575/2013 147. panta 2. punkta a1) apakšpunkta ii) punkts)</w:t>
            </w:r>
          </w:p>
        </w:tc>
      </w:tr>
      <w:tr w:rsidR="009D6580" w:rsidRPr="002A677E" w14:paraId="0C55C95D" w14:textId="77777777" w:rsidTr="00822842">
        <w:tc>
          <w:tcPr>
            <w:tcW w:w="1188" w:type="dxa"/>
          </w:tcPr>
          <w:p w14:paraId="6C8F06FC"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640" w:type="dxa"/>
          </w:tcPr>
          <w:p w14:paraId="460BDDF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Iestādes</w:t>
            </w:r>
          </w:p>
          <w:p w14:paraId="504F46A3" w14:textId="77777777" w:rsidR="009D6580" w:rsidRPr="002A677E" w:rsidRDefault="009D6580" w:rsidP="00822842">
            <w:pPr>
              <w:rPr>
                <w:sz w:val="24"/>
                <w:rFonts w:ascii="Times New Roman" w:hAnsi="Times New Roman"/>
              </w:rPr>
            </w:pPr>
            <w:r>
              <w:rPr>
                <w:sz w:val="24"/>
                <w:rFonts w:ascii="Times New Roman" w:hAnsi="Times New Roman"/>
              </w:rPr>
              <w:t xml:space="preserve">Regulas (ES) Nr. 575/2013 147. panta 2. punkta b) apakšpunkts.</w:t>
            </w:r>
          </w:p>
        </w:tc>
      </w:tr>
      <w:tr w:rsidR="009D6580" w:rsidRPr="002A677E" w14:paraId="2B29BE20" w14:textId="77777777" w:rsidTr="00822842">
        <w:tc>
          <w:tcPr>
            <w:tcW w:w="1188" w:type="dxa"/>
          </w:tcPr>
          <w:p w14:paraId="521AA8B6"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640" w:type="dxa"/>
          </w:tcPr>
          <w:p w14:paraId="63C7233C"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Komercsabiedrības</w:t>
            </w:r>
            <w:r>
              <w:rPr>
                <w:b/>
                <w:sz w:val="24"/>
                <w:u w:val="single"/>
                <w:rFonts w:ascii="Times New Roman" w:hAnsi="Times New Roman"/>
              </w:rPr>
              <w:t xml:space="preserve"> </w:t>
            </w:r>
          </w:p>
          <w:p w14:paraId="699F9BD2"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Visi riska darījumi ar komercsabiedrībām, kā minēts Regulas (ES) Nr. 575/2013 147. panta 2. punkta c) apakšpunktā.</w:t>
            </w:r>
          </w:p>
        </w:tc>
      </w:tr>
      <w:tr w:rsidR="009D6580" w:rsidRPr="002A677E" w14:paraId="55C3FE5A" w14:textId="77777777" w:rsidTr="00822842">
        <w:tc>
          <w:tcPr>
            <w:tcW w:w="1188" w:type="dxa"/>
          </w:tcPr>
          <w:p w14:paraId="198D8F58"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66C0F4F0"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MVU</w:t>
            </w:r>
          </w:p>
          <w:p w14:paraId="13819074"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Regulas (ES) Nr. 575/2013 147. panta 2. punkta c) apakšpunkts.</w:t>
            </w:r>
          </w:p>
          <w:p w14:paraId="6C8F6FE1" w14:textId="408BCC75" w:rsidR="009D6580" w:rsidRPr="002A677E" w:rsidRDefault="009D6580"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Klasificēšanai šajā riska darījumu apakškategorijā pārskatu sniedzējas vienības izmanto MVU definīciju Regulas (ES) Nr. 575/2013 5. panta 8. punktā.</w:t>
            </w:r>
            <w:r>
              <w:rPr>
                <w:sz w:val="24"/>
                <w:rFonts w:ascii="Times New Roman" w:hAnsi="Times New Roman"/>
              </w:rPr>
              <w:t xml:space="preserve">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sz w:val="24"/>
                <w:rFonts w:ascii="Times New Roman" w:hAnsi="Times New Roman"/>
              </w:rPr>
            </w:pPr>
            <w:r>
              <w:rPr>
                <w:sz w:val="24"/>
                <w:rFonts w:ascii="Times New Roman" w:hAnsi="Times New Roman"/>
              </w:rPr>
              <w:t xml:space="preserve">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Lielas komercsabiedrības</w:t>
            </w:r>
          </w:p>
          <w:p w14:paraId="503F359E" w14:textId="77777777" w:rsidR="00B56773" w:rsidRPr="00B56773" w:rsidRDefault="00B56773" w:rsidP="00B56773">
            <w:pPr>
              <w:rPr>
                <w:bCs/>
                <w:sz w:val="24"/>
                <w:rFonts w:ascii="Times New Roman" w:hAnsi="Times New Roman"/>
              </w:rPr>
            </w:pPr>
            <w:r>
              <w:rPr>
                <w:sz w:val="24"/>
                <w:rFonts w:ascii="Times New Roman" w:hAnsi="Times New Roman"/>
              </w:rPr>
              <w:t xml:space="preserve">Regulas (ES) Nr. 575/2013 147. panta 2. punkta c) apakšpunkts.</w:t>
            </w:r>
          </w:p>
          <w:p w14:paraId="23F8CBD6" w14:textId="77777777" w:rsidR="00B56773" w:rsidRPr="00E47484" w:rsidRDefault="00B56773" w:rsidP="007400C4">
            <w:pPr>
              <w:rPr>
                <w:b/>
                <w:sz w:val="24"/>
                <w:u w:val="single"/>
                <w:rFonts w:ascii="Times New Roman" w:hAnsi="Times New Roman"/>
              </w:rPr>
            </w:pPr>
            <w:r>
              <w:rPr>
                <w:sz w:val="24"/>
                <w:rFonts w:ascii="Times New Roman" w:hAnsi="Times New Roman"/>
              </w:rPr>
              <w:t xml:space="preserve">Klasificēšanai šajā riska darījumu apakškategorijā pārskatu sniedzējas vienības izmanto Regulas (ES) Nr. 575/2013 142. panta 1. punkta 5a) apakšpunktā sniegto lielo komercsabiedrību definīciju.</w:t>
            </w:r>
            <w:r>
              <w:rPr>
                <w:sz w:val="24"/>
                <w:b/>
                <w:u w:val="single"/>
                <w:rFonts w:ascii="Times New Roman" w:hAnsi="Times New Roman"/>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sz w:val="24"/>
                <w:rFonts w:ascii="Times New Roman" w:hAnsi="Times New Roman"/>
              </w:rPr>
            </w:pPr>
            <w:r>
              <w:rPr>
                <w:sz w:val="24"/>
                <w:rFonts w:ascii="Times New Roman" w:hAnsi="Times New Roman"/>
              </w:rPr>
              <w:t xml:space="preserve">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b/>
                <w:sz w:val="24"/>
                <w:u w:val="single"/>
                <w:rFonts w:ascii="Times New Roman" w:hAnsi="Times New Roman"/>
              </w:rPr>
            </w:pPr>
            <w:r>
              <w:rPr>
                <w:b/>
                <w:sz w:val="24"/>
                <w:u w:val="single"/>
                <w:rFonts w:ascii="Times New Roman" w:hAnsi="Times New Roman"/>
              </w:rPr>
              <w:t xml:space="preserve">Specializētā kreditēšana</w:t>
            </w:r>
          </w:p>
          <w:p w14:paraId="510C1D3E" w14:textId="683EFC86" w:rsidR="00B56773" w:rsidRPr="00B56773" w:rsidDel="000306F2" w:rsidRDefault="00B56773" w:rsidP="007400C4">
            <w:pPr>
              <w:rPr>
                <w:bCs/>
                <w:sz w:val="24"/>
                <w:rFonts w:ascii="Times New Roman" w:hAnsi="Times New Roman"/>
              </w:rPr>
            </w:pPr>
            <w:r>
              <w:rPr>
                <w:sz w:val="24"/>
                <w:rFonts w:ascii="Times New Roman" w:hAnsi="Times New Roman"/>
              </w:rPr>
              <w:t xml:space="preserve">Regulas (ES) Nr. 575/2013 147. panta 2. punkta c) apakšpunkta ii) punkts.</w:t>
            </w:r>
            <w:r>
              <w:rPr>
                <w:sz w:val="24"/>
                <w:rFonts w:ascii="Times New Roman" w:hAnsi="Times New Roman"/>
              </w:rPr>
              <w:t xml:space="preserve"> </w:t>
            </w:r>
            <w:r>
              <w:rPr>
                <w:sz w:val="24"/>
                <w:rFonts w:ascii="Times New Roman" w:hAnsi="Times New Roman"/>
              </w:rPr>
              <w:t xml:space="preserve">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sz w:val="24"/>
                <w:rFonts w:ascii="Times New Roman" w:hAnsi="Times New Roman"/>
              </w:rPr>
            </w:pPr>
            <w:r>
              <w:rPr>
                <w:sz w:val="24"/>
                <w:rFonts w:ascii="Times New Roman" w:hAnsi="Times New Roman"/>
              </w:rPr>
              <w:t xml:space="preserve">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b/>
                <w:sz w:val="24"/>
                <w:rFonts w:ascii="Times New Roman" w:hAnsi="Times New Roman"/>
              </w:rPr>
            </w:pPr>
            <w:r>
              <w:rPr>
                <w:b/>
                <w:sz w:val="24"/>
                <w:u w:val="single"/>
                <w:rFonts w:ascii="Times New Roman" w:hAnsi="Times New Roman"/>
              </w:rPr>
              <w:t xml:space="preserve">Specializētie aizdevumi</w:t>
            </w:r>
            <w:r>
              <w:rPr>
                <w:b/>
                <w:sz w:val="24"/>
                <w:rFonts w:ascii="Times New Roman" w:hAnsi="Times New Roman"/>
              </w:rPr>
              <w:t xml:space="preserve"> — specializētās kreditēšanas riska darījumu veidi</w:t>
            </w:r>
          </w:p>
          <w:p w14:paraId="1E4AC942" w14:textId="49F536D6" w:rsidR="00B56773" w:rsidRPr="00F16E4D" w:rsidRDefault="00B56773" w:rsidP="00822842">
            <w:pPr>
              <w:rPr>
                <w:bCs/>
                <w:sz w:val="24"/>
                <w:rFonts w:ascii="Times New Roman" w:hAnsi="Times New Roman"/>
              </w:rPr>
            </w:pPr>
            <w:r>
              <w:rPr>
                <w:sz w:val="24"/>
                <w:rFonts w:ascii="Times New Roman" w:hAnsi="Times New Roman"/>
              </w:rPr>
              <w:t xml:space="preserve">Iestādes uzrāda 147. panta 8. punkta otrajā daļā minētos specializētās kreditēšanas riska darījumu veidus:</w:t>
            </w:r>
            <w:r>
              <w:rPr>
                <w:sz w:val="24"/>
                <w:rFonts w:ascii="Times New Roman" w:hAnsi="Times New Roman"/>
              </w:rPr>
              <w:t xml:space="preserve"> </w:t>
            </w:r>
            <w:r>
              <w:rPr>
                <w:sz w:val="24"/>
                <w:rFonts w:ascii="Times New Roman" w:hAnsi="Times New Roman"/>
              </w:rPr>
              <w:t xml:space="preserve">attiecīgajā rindā: Specializētais aizdevums “projektu finansējums”, “objektu finansējums”, “preču finansējums” un “ienākumus nesošs nekustamais īpašums” (</w:t>
            </w:r>
            <w:r>
              <w:rPr>
                <w:sz w:val="24"/>
                <w:i/>
                <w:iCs/>
                <w:rFonts w:ascii="Times New Roman" w:hAnsi="Times New Roman"/>
              </w:rPr>
              <w:t xml:space="preserve">IPRE</w:t>
            </w:r>
            <w:r>
              <w:rPr>
                <w:sz w:val="24"/>
                <w:rFonts w:ascii="Times New Roman" w:hAnsi="Times New Roman"/>
              </w:rPr>
              <w:t xml:space="preserv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sz w:val="24"/>
                <w:rFonts w:ascii="Times New Roman" w:hAnsi="Times New Roman"/>
              </w:rPr>
            </w:pPr>
            <w:r>
              <w:rPr>
                <w:sz w:val="24"/>
                <w:rFonts w:ascii="Times New Roman" w:hAnsi="Times New Roman"/>
              </w:rPr>
              <w:t xml:space="preserve">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b/>
                <w:sz w:val="24"/>
                <w:u w:val="single"/>
                <w:rFonts w:ascii="Times New Roman" w:hAnsi="Times New Roman"/>
              </w:rPr>
            </w:pPr>
            <w:r>
              <w:rPr>
                <w:b/>
                <w:sz w:val="24"/>
                <w:u w:val="single"/>
                <w:rFonts w:ascii="Times New Roman" w:hAnsi="Times New Roman"/>
              </w:rPr>
              <w:t xml:space="preserve">Nopirktie debitoru parādi</w:t>
            </w:r>
          </w:p>
          <w:p w14:paraId="40628222" w14:textId="77777777" w:rsidR="009D6580" w:rsidRPr="00E47484" w:rsidRDefault="009D6580" w:rsidP="00822842">
            <w:pPr>
              <w:rPr>
                <w:b/>
                <w:sz w:val="24"/>
                <w:u w:val="single"/>
                <w:rFonts w:ascii="Times New Roman" w:hAnsi="Times New Roman"/>
              </w:rPr>
            </w:pPr>
            <w:r>
              <w:rPr>
                <w:sz w:val="24"/>
                <w:rFonts w:ascii="Times New Roman" w:hAnsi="Times New Roman"/>
              </w:rPr>
              <w:t xml:space="preserve">Regulas (ES) Nr. 575/2013 147. panta 2. punkta c) apakšpunkta iii) punkts.</w:t>
            </w:r>
          </w:p>
        </w:tc>
      </w:tr>
      <w:tr w:rsidR="00F16E4D" w:rsidRPr="002A677E" w14:paraId="27B47EEA" w14:textId="77777777" w:rsidTr="00822842">
        <w:tc>
          <w:tcPr>
            <w:tcW w:w="1188" w:type="dxa"/>
          </w:tcPr>
          <w:p w14:paraId="329ABF25" w14:textId="3906F1E5" w:rsidR="00F16E4D" w:rsidRPr="002A677E" w:rsidRDefault="00F16E4D" w:rsidP="00822842">
            <w:pPr>
              <w:rPr>
                <w:sz w:val="24"/>
                <w:rFonts w:ascii="Times New Roman" w:hAnsi="Times New Roman"/>
              </w:rPr>
            </w:pPr>
            <w:r>
              <w:rPr>
                <w:sz w:val="24"/>
                <w:rFonts w:ascii="Times New Roman" w:hAnsi="Times New Roman"/>
              </w:rPr>
              <w:t xml:space="preserve">0058.</w:t>
            </w:r>
          </w:p>
        </w:tc>
        <w:tc>
          <w:tcPr>
            <w:tcW w:w="8640" w:type="dxa"/>
          </w:tcPr>
          <w:p w14:paraId="27CFAA09" w14:textId="513D8D7F" w:rsidR="00F16E4D" w:rsidRDefault="00F16E4D" w:rsidP="00822842">
            <w:pPr>
              <w:rPr>
                <w:b/>
                <w:sz w:val="24"/>
                <w:u w:val="single"/>
                <w:rFonts w:ascii="Times New Roman" w:hAnsi="Times New Roman"/>
              </w:rPr>
            </w:pPr>
            <w:r>
              <w:rPr>
                <w:b/>
                <w:sz w:val="24"/>
                <w:u w:val="single"/>
                <w:rFonts w:ascii="Times New Roman" w:hAnsi="Times New Roman"/>
              </w:rPr>
              <w:t xml:space="preserve">Citi</w:t>
            </w:r>
          </w:p>
          <w:p w14:paraId="75A3CB20" w14:textId="69737D7D" w:rsidR="00F16E4D" w:rsidRPr="002A677E" w:rsidRDefault="00F16E4D" w:rsidP="00822842">
            <w:pPr>
              <w:rPr>
                <w:b/>
                <w:sz w:val="24"/>
                <w:u w:val="single"/>
                <w:rFonts w:ascii="Times New Roman" w:hAnsi="Times New Roman"/>
              </w:rPr>
            </w:pPr>
            <w:r>
              <w:rPr>
                <w:sz w:val="24"/>
                <w:rFonts w:ascii="Times New Roman" w:hAnsi="Times New Roman"/>
              </w:rPr>
              <w:t xml:space="preserve">Regulas (ES) Nr. 575/2013 147. panta 2. punkta I) apakšpunkta i) punkts</w:t>
            </w:r>
          </w:p>
        </w:tc>
      </w:tr>
      <w:tr w:rsidR="009D6580" w:rsidRPr="002A677E" w14:paraId="3CAC5C4A" w14:textId="77777777" w:rsidTr="00822842">
        <w:tc>
          <w:tcPr>
            <w:tcW w:w="1188" w:type="dxa"/>
          </w:tcPr>
          <w:p w14:paraId="50AFEE21"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084F36E4"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Privātpersonas vai MVU</w:t>
            </w:r>
          </w:p>
          <w:p w14:paraId="61F98691" w14:textId="77777777" w:rsidR="009D6580" w:rsidRPr="002A677E" w:rsidRDefault="009D6580" w:rsidP="00822842">
            <w:pPr>
              <w:rPr>
                <w:sz w:val="24"/>
                <w:rFonts w:ascii="Times New Roman" w:hAnsi="Times New Roman"/>
              </w:rPr>
            </w:pPr>
            <w:r>
              <w:rPr>
                <w:sz w:val="24"/>
                <w:rFonts w:ascii="Times New Roman" w:hAnsi="Times New Roman"/>
              </w:rPr>
              <w:t xml:space="preserve">Visi riska darījumi ar privātpersonām vai MVU, kā minēts Regulas (ES) Nr. 575/2013 147. panta 2. punkta d) apakšpunktā.</w:t>
            </w:r>
          </w:p>
        </w:tc>
      </w:tr>
      <w:tr w:rsidR="009D6580" w:rsidRPr="002A677E" w14:paraId="3126FC45" w14:textId="77777777" w:rsidTr="00822842">
        <w:tc>
          <w:tcPr>
            <w:tcW w:w="1188" w:type="dxa"/>
          </w:tcPr>
          <w:p w14:paraId="3B5D6723"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094A84E8" w14:textId="1D426AD8" w:rsidR="009D6580" w:rsidRPr="002A677E" w:rsidRDefault="005B37F0" w:rsidP="00822842">
            <w:pPr>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Privātpersonas vai MVU — nodrošināti ar nekustamo īpašumu</w:t>
            </w:r>
          </w:p>
          <w:p w14:paraId="35B1F6E7" w14:textId="4962CAD8" w:rsidR="00FD0F61" w:rsidRDefault="00FD0F61" w:rsidP="00822842">
            <w:pPr>
              <w:pStyle w:val="ListParagraph"/>
              <w:ind w:left="0"/>
              <w:rPr>
                <w:sz w:val="24"/>
                <w:rFonts w:ascii="Times New Roman" w:hAnsi="Times New Roman"/>
              </w:rPr>
            </w:pPr>
            <w:r>
              <w:rPr>
                <w:sz w:val="24"/>
                <w:rFonts w:ascii="Times New Roman" w:hAnsi="Times New Roman"/>
              </w:rPr>
              <w:t xml:space="preserve">Riska darījumi ar privātpersonām vai MVU, kā definēts Regulas (ES) Nr. 575/2013 147. panta 2. punkta d) apakšpunktā, kas ir nodrošināti ar nekustamo īpašumu, kā definēts Regulas (ES) Nr. 575/2013 4. panta 1. punkta (75.f punkta d) apakšpunktā</w:t>
            </w:r>
          </w:p>
          <w:p w14:paraId="0CD06107" w14:textId="22291817" w:rsidR="009D6580" w:rsidRPr="002A677E" w:rsidRDefault="00FD0F61" w:rsidP="00822842">
            <w:pPr>
              <w:pStyle w:val="ListParagraph"/>
              <w:ind w:left="0"/>
              <w:rPr>
                <w:sz w:val="24"/>
                <w:rFonts w:ascii="Times New Roman" w:hAnsi="Times New Roman"/>
              </w:rPr>
            </w:pPr>
            <w:r>
              <w:rPr>
                <w:sz w:val="24"/>
                <w:rFonts w:ascii="Times New Roman" w:hAnsi="Times New Roman"/>
              </w:rPr>
              <w:t xml:space="preserve">.</w:t>
            </w:r>
          </w:p>
        </w:tc>
      </w:tr>
      <w:tr w:rsidR="009D6580" w:rsidRPr="002A677E" w14:paraId="49CD7917" w14:textId="77777777" w:rsidTr="00822842">
        <w:tc>
          <w:tcPr>
            <w:tcW w:w="1188" w:type="dxa"/>
          </w:tcPr>
          <w:p w14:paraId="3FA8BBC8"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4738C3E5" w14:textId="186F9DD4" w:rsidR="009D6580" w:rsidRPr="002A677E" w:rsidRDefault="00FD0F61" w:rsidP="00822842">
            <w:pPr>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MVU</w:t>
            </w:r>
          </w:p>
          <w:p w14:paraId="67BFF2AB" w14:textId="02FB7D89" w:rsidR="009D6580" w:rsidRPr="002A677E" w:rsidRDefault="00FD0F61" w:rsidP="00822842">
            <w:pPr>
              <w:pStyle w:val="ListParagraph"/>
              <w:ind w:left="0"/>
              <w:rPr>
                <w:sz w:val="24"/>
                <w:rFonts w:ascii="Times New Roman" w:hAnsi="Times New Roman"/>
              </w:rPr>
            </w:pPr>
            <w:r>
              <w:rPr>
                <w:sz w:val="24"/>
                <w:rFonts w:ascii="Times New Roman" w:hAnsi="Times New Roman"/>
              </w:rPr>
              <w:t xml:space="preserve">Riska darījumi ar privātpersonām vai MVU, kā definēts Regulas (ES) Nr. 575/2013 147. panta 2. punkta d) apakšpunktā, kas uzrādīti B.6.1. līdz B.6.4. punktā un kas ir nodrošināti ar nekustamo īpašumu, kā definēts Regulas (ES) Nr. 575/2013 4. panta 1. punkta (75.f apakšpunkta d) punktā), saistībā ar Regulas (ES) Nr. 575/2013 5. panta 8. punktu.</w:t>
            </w:r>
            <w:r>
              <w:rPr>
                <w:sz w:val="24"/>
                <w:rFonts w:ascii="Times New Roman" w:hAnsi="Times New Roman"/>
              </w:rPr>
              <w:t xml:space="preserve">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shd w:val="clear" w:color="auto" w:fill="auto"/>
          </w:tcPr>
          <w:p w14:paraId="05695520" w14:textId="39C15E5F" w:rsidR="009D6580" w:rsidRPr="00E47484" w:rsidRDefault="00837F98" w:rsidP="00822842">
            <w:pPr>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Nav MVU</w:t>
            </w:r>
          </w:p>
          <w:p w14:paraId="68647661" w14:textId="272EAD03" w:rsidR="00837F98" w:rsidRDefault="00837F98" w:rsidP="00234FB5">
            <w:pPr>
              <w:pStyle w:val="ListParagraph"/>
              <w:autoSpaceDE w:val="0"/>
              <w:autoSpaceDN w:val="0"/>
              <w:adjustRightInd w:val="0"/>
              <w:spacing w:before="0" w:after="0"/>
              <w:ind w:left="0"/>
              <w:jc w:val="left"/>
              <w:rPr>
                <w:sz w:val="24"/>
                <w:rFonts w:ascii="Times New Roman" w:hAnsi="Times New Roman"/>
              </w:rPr>
            </w:pPr>
            <w:r>
              <w:rPr>
                <w:sz w:val="24"/>
                <w:rFonts w:ascii="Times New Roman" w:hAnsi="Times New Roman"/>
              </w:rPr>
              <w:t xml:space="preserve">Riska darījumi ar privātpersonām vai MVU, kā definēts Regulas (ES) Nr. 575/2013 147. panta 2. punkta d) apakšpunktā, kas uzrādīti B.6.1. līdz B.6.4. punktā un kas ir nodrošināti ar nekustamo īpašumu, kā definēts Regulas (ES) Nr. 575/2013 4. panta 1. punkta (75.f apakšpunkta d) punktā), nevis saistībā ar Regulas (ES) Nr. 575/2013 5. panta 8. punktu.</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sz w:val="24"/>
                <w:rFonts w:ascii="Times New Roman" w:hAnsi="Times New Roman"/>
              </w:rPr>
            </w:pPr>
            <w:r>
              <w:rPr>
                <w:sz w:val="24"/>
                <w:rFonts w:ascii="Times New Roman" w:hAnsi="Times New Roman"/>
              </w:rPr>
              <w:t xml:space="preserve">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b/>
                <w:sz w:val="24"/>
                <w:u w:val="single"/>
                <w:rFonts w:ascii="Times New Roman" w:hAnsi="Times New Roman"/>
              </w:rPr>
            </w:pPr>
            <w:r>
              <w:rPr>
                <w:b/>
                <w:sz w:val="24"/>
                <w:u w:val="single"/>
                <w:rFonts w:ascii="Times New Roman" w:hAnsi="Times New Roman"/>
              </w:rPr>
              <w:t xml:space="preserve">Nodrošināti ar mājokļa nekustamo īpašumu</w:t>
            </w:r>
          </w:p>
          <w:p w14:paraId="3B8B837D" w14:textId="77777777" w:rsidR="00910F63" w:rsidRPr="00910F63" w:rsidRDefault="00910F63" w:rsidP="00910F63">
            <w:pPr>
              <w:rPr>
                <w:bCs/>
                <w:sz w:val="24"/>
                <w:rFonts w:ascii="Times New Roman" w:hAnsi="Times New Roman"/>
              </w:rPr>
            </w:pPr>
            <w:r>
              <w:rPr>
                <w:sz w:val="24"/>
                <w:rFonts w:ascii="Times New Roman" w:hAnsi="Times New Roman"/>
              </w:rPr>
              <w:t xml:space="preserve">Riska darījumi ar privātpersonām vai MVU, kā minēts Regulas (ES) Nr. 575/2013 147. panta 2. punkta d) apakšpunkta ii) punktā.</w:t>
            </w:r>
          </w:p>
          <w:p w14:paraId="7240267A" w14:textId="77777777" w:rsidR="00910F63" w:rsidRPr="002A677E" w:rsidRDefault="00910F63" w:rsidP="007400C4">
            <w:pPr>
              <w:rPr>
                <w:b/>
                <w:sz w:val="24"/>
                <w:u w:val="single"/>
                <w:rFonts w:ascii="Times New Roman" w:hAnsi="Times New Roman"/>
              </w:rPr>
            </w:pPr>
            <w:r>
              <w:rPr>
                <w:sz w:val="24"/>
                <w:rFonts w:ascii="Times New Roman" w:hAnsi="Times New Roman"/>
              </w:rPr>
              <w:t xml:space="preserve">Riska darījumus ar privātpersonām vai MVU, kuri nodrošināti ar mājokļa nekustamo īpašumu, uzskata par jebkuriem riska darījumiem ar privātpersonām vai MVU, kuri nodrošināti ar mājokļa nekustamo īpašumu, kas atzīts kā nodrošinājums, neatkarīgi no nodrošinājuma vērtības attiecības pret riska darījumu vai no aizdevuma mērķa.</w:t>
            </w:r>
          </w:p>
        </w:tc>
      </w:tr>
      <w:tr w:rsidR="009D6580" w:rsidRPr="002A677E" w14:paraId="38AD5BBA" w14:textId="77777777" w:rsidTr="00822842">
        <w:tc>
          <w:tcPr>
            <w:tcW w:w="1188" w:type="dxa"/>
          </w:tcPr>
          <w:p w14:paraId="48A5C8D2"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640" w:type="dxa"/>
          </w:tcPr>
          <w:p w14:paraId="1B160106" w14:textId="7C65E11F"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Atbilstīgi atjaunojami</w:t>
            </w:r>
          </w:p>
          <w:p w14:paraId="363209C3"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Riska darījumi ar privātpersonām vai MVU, kā minēts Regulas (ES) Nr. 575/2013 147. panta 2. punkta d) apakšpunkta i) punktā saistībā ar 154. panta 4. punktu.</w:t>
            </w:r>
          </w:p>
        </w:tc>
      </w:tr>
      <w:tr w:rsidR="009D6580" w:rsidRPr="002A677E" w14:paraId="26D0338D" w14:textId="77777777" w:rsidTr="00822842">
        <w:tc>
          <w:tcPr>
            <w:tcW w:w="1188" w:type="dxa"/>
          </w:tcPr>
          <w:p w14:paraId="6DA4B8E6" w14:textId="77777777" w:rsidR="009D6580" w:rsidRPr="002A677E" w:rsidRDefault="009D6580" w:rsidP="00822842">
            <w:pPr>
              <w:rPr>
                <w:sz w:val="24"/>
                <w:rFonts w:ascii="Times New Roman" w:hAnsi="Times New Roman"/>
              </w:rPr>
            </w:pPr>
            <w:r>
              <w:rPr>
                <w:sz w:val="24"/>
                <w:rFonts w:ascii="Times New Roman" w:hAnsi="Times New Roman"/>
              </w:rPr>
              <w:t xml:space="preserve">0105.</w:t>
            </w:r>
          </w:p>
        </w:tc>
        <w:tc>
          <w:tcPr>
            <w:tcW w:w="8640" w:type="dxa"/>
          </w:tcPr>
          <w:p w14:paraId="63563096" w14:textId="485ECEE6" w:rsidR="009D6580" w:rsidRDefault="009D6580" w:rsidP="00822842">
            <w:pPr>
              <w:rPr>
                <w:b/>
                <w:sz w:val="24"/>
                <w:u w:val="single"/>
                <w:rFonts w:ascii="Times New Roman" w:hAnsi="Times New Roman"/>
              </w:rPr>
            </w:pPr>
            <w:r>
              <w:rPr>
                <w:b/>
                <w:sz w:val="24"/>
                <w:u w:val="single"/>
                <w:rFonts w:ascii="Times New Roman" w:hAnsi="Times New Roman"/>
              </w:rPr>
              <w:t xml:space="preserve">Nopirktie debitoru parādi</w:t>
            </w:r>
          </w:p>
          <w:p w14:paraId="7C92CD05" w14:textId="77777777" w:rsidR="009D6580" w:rsidRPr="00B7761D" w:rsidRDefault="009D6580" w:rsidP="00822842">
            <w:pPr>
              <w:rPr>
                <w:sz w:val="18"/>
                <w:szCs w:val="18"/>
                <w:rFonts w:cs="Calibri"/>
              </w:rPr>
            </w:pPr>
            <w:r>
              <w:rPr>
                <w:sz w:val="24"/>
                <w:rFonts w:ascii="Times New Roman" w:hAnsi="Times New Roman"/>
              </w:rPr>
              <w:t xml:space="preserve">Riska darījumi ar privātpersonām vai MVU, kā minēts Regulas (ES) Nr. 575/2013 147. panta 2. punkta d) apakšpunkta iii) punktā.</w:t>
            </w:r>
          </w:p>
        </w:tc>
      </w:tr>
      <w:tr w:rsidR="009D6580" w:rsidRPr="002A677E" w14:paraId="551F153F" w14:textId="77777777" w:rsidTr="00822842">
        <w:tc>
          <w:tcPr>
            <w:tcW w:w="1188" w:type="dxa"/>
          </w:tcPr>
          <w:p w14:paraId="1C567015"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640" w:type="dxa"/>
          </w:tcPr>
          <w:p w14:paraId="3B169086" w14:textId="5BA51B78"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Privātpersonas vai MVU — citi</w:t>
            </w:r>
          </w:p>
          <w:p w14:paraId="6BB335AD" w14:textId="5184DC86"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Citi riska darījumi ar privātpersonām vai MVU, kā minēts Regulas (ES) Nr. 575/2013 147. panta 2. punkta d) apakšpunkta iv) punktā.</w:t>
            </w:r>
          </w:p>
        </w:tc>
      </w:tr>
      <w:tr w:rsidR="009D6580" w:rsidRPr="002A677E" w14:paraId="1879AB2D" w14:textId="77777777" w:rsidTr="00822842">
        <w:tc>
          <w:tcPr>
            <w:tcW w:w="1188" w:type="dxa"/>
          </w:tcPr>
          <w:p w14:paraId="247F0534"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640" w:type="dxa"/>
          </w:tcPr>
          <w:p w14:paraId="37F76446" w14:textId="0C2F5C96" w:rsidR="009D6580" w:rsidRPr="002A677E" w:rsidRDefault="00837F98" w:rsidP="00822842">
            <w:pPr>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MVU</w:t>
            </w:r>
          </w:p>
          <w:p w14:paraId="28CE96BD" w14:textId="7A3420F8"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Citi riska darījumi ar privātpersonām vai MVU, kā minēts Regulas (ES) Nr. 575/2013 147. panta 2. punkta d) apakšpunkta iv) punktā, saistībā ar Regulas (ES) Nr. 575/2013 5. panta 8. punktu.</w:t>
            </w:r>
            <w:r>
              <w:rPr>
                <w:sz w:val="24"/>
                <w:rFonts w:ascii="Times New Roman" w:hAnsi="Times New Roman"/>
              </w:rPr>
              <w:t xml:space="preserve"> </w:t>
            </w:r>
          </w:p>
        </w:tc>
      </w:tr>
      <w:tr w:rsidR="009D6580" w:rsidRPr="002A677E" w14:paraId="6140E6E8" w14:textId="77777777" w:rsidTr="00822842">
        <w:tc>
          <w:tcPr>
            <w:tcW w:w="1188" w:type="dxa"/>
          </w:tcPr>
          <w:p w14:paraId="4DD00789"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640" w:type="dxa"/>
          </w:tcPr>
          <w:p w14:paraId="40BDF108" w14:textId="2B96A314" w:rsidR="009D6580" w:rsidRPr="002A677E" w:rsidRDefault="00837F98" w:rsidP="00822842">
            <w:pPr>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Nav MVU</w:t>
            </w:r>
          </w:p>
          <w:p w14:paraId="51D486B6" w14:textId="251D2008" w:rsidR="009D6580" w:rsidRPr="002A677E" w:rsidRDefault="00837F98" w:rsidP="00822842">
            <w:pPr>
              <w:rPr>
                <w:sz w:val="24"/>
                <w:rFonts w:ascii="Times New Roman" w:hAnsi="Times New Roman"/>
              </w:rPr>
            </w:pPr>
            <w:r>
              <w:rPr>
                <w:sz w:val="24"/>
                <w:rFonts w:ascii="Times New Roman" w:hAnsi="Times New Roman"/>
              </w:rPr>
              <w:t xml:space="preserve">Citi riska darījumi ar privātpersonām vai MVU, kā minēts Regulas (ES) Nr. 575/2013 147. panta 2. punkta d) apakšpunkta iv) punktā, nevis saistībā ar Regulas (ES) Nr. 575/2013 5. panta 8. punktu.</w:t>
            </w:r>
          </w:p>
        </w:tc>
      </w:tr>
      <w:tr w:rsidR="009D6580" w:rsidRPr="002A677E" w14:paraId="70A29A85" w14:textId="77777777" w:rsidTr="00822842">
        <w:tc>
          <w:tcPr>
            <w:tcW w:w="1188" w:type="dxa"/>
          </w:tcPr>
          <w:p w14:paraId="5C287489" w14:textId="77777777" w:rsidR="009D6580" w:rsidRPr="002A677E" w:rsidRDefault="009D6580" w:rsidP="00822842">
            <w:pPr>
              <w:rPr>
                <w:sz w:val="24"/>
                <w:rFonts w:ascii="Times New Roman" w:hAnsi="Times New Roman"/>
              </w:rPr>
            </w:pPr>
            <w:r>
              <w:rPr>
                <w:sz w:val="24"/>
                <w:rFonts w:ascii="Times New Roman" w:hAnsi="Times New Roman"/>
              </w:rPr>
              <w:t xml:space="preserve">0132.</w:t>
            </w:r>
          </w:p>
        </w:tc>
        <w:tc>
          <w:tcPr>
            <w:tcW w:w="8640" w:type="dxa"/>
          </w:tcPr>
          <w:p w14:paraId="170B9280"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Kolektīvo ieguldījumu uzņēmumi (KIU)</w:t>
            </w:r>
          </w:p>
          <w:p w14:paraId="4237C58D" w14:textId="4E266C1C" w:rsidR="009D6580" w:rsidRDefault="009D6580" w:rsidP="00822842">
            <w:pPr>
              <w:rPr>
                <w:b/>
                <w:sz w:val="24"/>
                <w:u w:val="single"/>
                <w:rFonts w:ascii="Times New Roman" w:hAnsi="Times New Roman"/>
              </w:rPr>
            </w:pPr>
            <w:r>
              <w:t xml:space="preserve">Regulas (ES) Nr. 575/2013 147. panta 2. punkta e1) apakšpunkts</w:t>
            </w:r>
          </w:p>
        </w:tc>
      </w:tr>
      <w:tr w:rsidR="009D6580" w:rsidRPr="002A677E" w14:paraId="72EBDFDD" w14:textId="77777777" w:rsidTr="00822842">
        <w:tc>
          <w:tcPr>
            <w:tcW w:w="1188" w:type="dxa"/>
          </w:tcPr>
          <w:p w14:paraId="290EDA87" w14:textId="77777777" w:rsidR="009D6580" w:rsidRPr="002A677E" w:rsidRDefault="009D6580" w:rsidP="00822842">
            <w:pPr>
              <w:rPr>
                <w:sz w:val="24"/>
                <w:rFonts w:ascii="Times New Roman" w:hAnsi="Times New Roman"/>
              </w:rPr>
            </w:pPr>
            <w:r>
              <w:rPr>
                <w:sz w:val="24"/>
                <w:rFonts w:ascii="Times New Roman" w:hAnsi="Times New Roman"/>
              </w:rPr>
              <w:t xml:space="preserve">0133.</w:t>
            </w:r>
          </w:p>
        </w:tc>
        <w:tc>
          <w:tcPr>
            <w:tcW w:w="8640" w:type="dxa"/>
          </w:tcPr>
          <w:p w14:paraId="39E22A69"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Caurskatīšanas pieeja</w:t>
            </w:r>
          </w:p>
          <w:p w14:paraId="3481CEEB"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Tāda pati definīcija kā CR IRB veidnes 0190. slejā.</w:t>
            </w:r>
          </w:p>
        </w:tc>
      </w:tr>
      <w:tr w:rsidR="009D6580" w:rsidRPr="002A677E" w14:paraId="6520599F" w14:textId="77777777" w:rsidTr="00822842">
        <w:tc>
          <w:tcPr>
            <w:tcW w:w="1188" w:type="dxa"/>
          </w:tcPr>
          <w:p w14:paraId="5DF820F6" w14:textId="77777777" w:rsidR="009D6580" w:rsidRPr="002A677E" w:rsidRDefault="009D6580" w:rsidP="00822842">
            <w:pPr>
              <w:rPr>
                <w:sz w:val="24"/>
                <w:rFonts w:ascii="Times New Roman" w:hAnsi="Times New Roman"/>
              </w:rPr>
            </w:pPr>
            <w:r>
              <w:rPr>
                <w:sz w:val="24"/>
                <w:rFonts w:ascii="Times New Roman" w:hAnsi="Times New Roman"/>
              </w:rPr>
              <w:t xml:space="preserve">0134.</w:t>
            </w:r>
          </w:p>
        </w:tc>
        <w:tc>
          <w:tcPr>
            <w:tcW w:w="8640" w:type="dxa"/>
          </w:tcPr>
          <w:p w14:paraId="13156AFE"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Pilnvaru pieeja</w:t>
            </w:r>
          </w:p>
          <w:p w14:paraId="37B63BC9"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Tāda pati definīcija kā CR IRB veidnes 0200. slejā.</w:t>
            </w:r>
          </w:p>
        </w:tc>
      </w:tr>
      <w:tr w:rsidR="009D6580" w:rsidRPr="002A677E" w14:paraId="57B2C532" w14:textId="77777777" w:rsidTr="00822842">
        <w:tc>
          <w:tcPr>
            <w:tcW w:w="1188" w:type="dxa"/>
          </w:tcPr>
          <w:p w14:paraId="251B0D2B" w14:textId="77777777" w:rsidR="009D6580" w:rsidRPr="002A677E" w:rsidRDefault="009D6580" w:rsidP="00822842">
            <w:pPr>
              <w:rPr>
                <w:sz w:val="24"/>
                <w:rFonts w:ascii="Times New Roman" w:hAnsi="Times New Roman"/>
              </w:rPr>
            </w:pPr>
            <w:r>
              <w:rPr>
                <w:sz w:val="24"/>
                <w:rFonts w:ascii="Times New Roman" w:hAnsi="Times New Roman"/>
              </w:rPr>
              <w:t xml:space="preserve">0135.</w:t>
            </w:r>
          </w:p>
        </w:tc>
        <w:tc>
          <w:tcPr>
            <w:tcW w:w="8640" w:type="dxa"/>
          </w:tcPr>
          <w:p w14:paraId="19D4ED63"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Alternatīvā pieeja</w:t>
            </w:r>
          </w:p>
          <w:p w14:paraId="18A39C60"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Tāda pati definīcija kā CR IRB veidnes 0210. slejā.</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Kapitāla vērtspapīru riska darījumi</w:t>
            </w:r>
          </w:p>
          <w:p w14:paraId="1A033F11"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Kapitāla vērtspapīru riska darījumi, kā minēts Regulas (ES) Nr. 575/2013 147. panta 2. punkta e) apakšpunktā.</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Kopējie riska darījumi</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0" w:name="_Toc360188366"/>
      <w:bookmarkStart w:id="11" w:name="_Toc473560917"/>
      <w:bookmarkStart w:id="12" w:name="_Toc151714421"/>
      <w:r>
        <w:rPr>
          <w:sz w:val="24"/>
          <w:u w:val="none"/>
          <w:rFonts w:ascii="Times New Roman" w:hAnsi="Times New Roman"/>
        </w:rPr>
        <w:t xml:space="preserve">3.4.3.</w:t>
      </w:r>
      <w:r>
        <w:rPr>
          <w:sz w:val="24"/>
          <w:u w:val="none"/>
          <w:rFonts w:ascii="Times New Roman" w:hAnsi="Times New Roman"/>
        </w:rPr>
        <w:tab/>
      </w:r>
      <w:r>
        <w:rPr>
          <w:sz w:val="24"/>
          <w:rFonts w:ascii="Times New Roman" w:hAnsi="Times New Roman"/>
        </w:rPr>
        <w:t xml:space="preserve">C 09.04.– To kredītriska darījumu sadalījums kuri ir nozīmīgi pretciklisko rezervju aprēķināšanai, pa valstīm un iestādes specifisko pretciklisko rezervju (</w:t>
      </w:r>
      <w:r>
        <w:rPr>
          <w:sz w:val="24"/>
          <w:i/>
          <w:iCs/>
          <w:rFonts w:ascii="Times New Roman" w:hAnsi="Times New Roman"/>
        </w:rPr>
        <w:t xml:space="preserve">CCB</w:t>
      </w:r>
      <w:r>
        <w:rPr>
          <w:sz w:val="24"/>
          <w:rFonts w:ascii="Times New Roman" w:hAnsi="Times New Roman"/>
        </w:rPr>
        <w:t xml:space="preserve">) normām </w:t>
      </w:r>
      <w:bookmarkEnd w:id="10"/>
      <w:bookmarkEnd w:id="11"/>
      <w:bookmarkEnd w:id="12"/>
    </w:p>
    <w:p w14:paraId="600FC3A3"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3" w:name="_Toc360188367"/>
      <w:bookmarkStart w:id="14" w:name="_Toc473560918"/>
      <w:bookmarkStart w:id="15" w:name="_Toc151714422"/>
      <w:r>
        <w:rPr>
          <w:sz w:val="24"/>
          <w:u w:val="none"/>
          <w:rFonts w:ascii="Times New Roman" w:hAnsi="Times New Roman"/>
        </w:rPr>
        <w:t xml:space="preserve">3.4.3.1.</w:t>
      </w:r>
      <w:r>
        <w:rPr>
          <w:sz w:val="24"/>
          <w:u w:val="none"/>
          <w:rFonts w:ascii="Times New Roman" w:hAnsi="Times New Roman"/>
        </w:rPr>
        <w:tab/>
      </w:r>
      <w:r>
        <w:rPr>
          <w:sz w:val="24"/>
          <w:rFonts w:ascii="Times New Roman" w:hAnsi="Times New Roman"/>
        </w:rPr>
        <w:t xml:space="preserve">Vispārīgas piezīmes</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88</w:t>
      </w:r>
      <w:r>
        <w:fldChar w:fldCharType="end"/>
      </w:r>
      <w:r>
        <w:t xml:space="preserve">.</w:t>
      </w:r>
      <w:r>
        <w:tab/>
      </w:r>
      <w:r>
        <w:t xml:space="preserve">Šīs veidnes mērķis ir saņemt vairāk informācijas par iestādes specifisko pretciklisko kapitāla rezervju elementiem.</w:t>
      </w:r>
      <w:r>
        <w:t xml:space="preserve"> </w:t>
      </w:r>
      <w:r>
        <w:t xml:space="preserve">Pieprasītā informācija attiecas uz pašu kapitāla prasībām, kas noteiktas saskaņā ar Regulas (ES) Nr. 575/2013 Trešās daļas II un IV sadaļu, un ģeogrāfisko atrašanās vietu attiecībā uz kredītriska darījumiem, vērtspapīrošanas darījumiem un tirdzniecības portfeļa riska darījumiem, kuri ir nozīmīgi iestādes specifisko pretciklisko kapitāla rezervju (</w:t>
      </w:r>
      <w:r>
        <w:rPr>
          <w:i/>
          <w:iCs/>
        </w:rPr>
        <w:t xml:space="preserve">CCB</w:t>
      </w:r>
      <w:r>
        <w:t xml:space="preserve">) aprēķināšanai saskaņā ar Direktīvas 2013/36/ES 140. pantu (attiecīgie kredītriska darījumi).</w:t>
      </w:r>
      <w:r>
        <w:t xml:space="preserve"> </w:t>
      </w:r>
    </w:p>
    <w:p w14:paraId="10EA3DAD"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89</w:t>
      </w:r>
      <w:r>
        <w:fldChar w:fldCharType="end"/>
      </w:r>
      <w:r>
        <w:t xml:space="preserve">.</w:t>
      </w:r>
      <w:r>
        <w:tab/>
      </w:r>
      <w:r>
        <w:t xml:space="preserve">Veidnē C 09.04 uzrāda informāciju attiecībā uz attiecīgo kredītriska darījumu kopsummu visās jurisdikcijās, kurās atrodas minētie riska darījumi, un atsevišķi par katru jurisdikciju, kurā atrodas attiecīgie kredītriska darījumi.</w:t>
      </w:r>
      <w:r>
        <w:t xml:space="preserve"> </w:t>
      </w:r>
      <w:r>
        <w:t xml:space="preserve">Kopējos rādītājus, kā arī informāciju par katru jurisdikciju uzrāda atsevišķā dimensijā.</w:t>
      </w:r>
      <w:r>
        <w:t xml:space="preserve"> </w:t>
      </w:r>
    </w:p>
    <w:p w14:paraId="054CDEAF"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90</w:t>
      </w:r>
      <w:r>
        <w:fldChar w:fldCharType="end"/>
      </w:r>
      <w:r>
        <w:t xml:space="preserve">.</w:t>
      </w:r>
      <w:r>
        <w:tab/>
      </w:r>
      <w:r>
        <w:t xml:space="preserve">Slieksnis, kas noteikts šīs īstenošanas regulas 5. panta 5. punktā, neattiecas uz ziņošanu par šo sadalījumu.</w:t>
      </w:r>
    </w:p>
    <w:bookmarkStart w:id="16" w:name="_Hlk151650982"/>
    <w:p w14:paraId="710781F7" w14:textId="77777777" w:rsidR="009D6580" w:rsidRPr="002A677E" w:rsidRDefault="009D6580" w:rsidP="009D6580">
      <w:pPr>
        <w:pStyle w:val="InstructionsText2"/>
        <w:numPr>
          <w:ilvl w:val="0"/>
          <w:numId w:val="0"/>
        </w:numPr>
        <w:ind w:left="993"/>
      </w:pPr>
      <w:r>
        <w:lastRenderedPageBreak/>
        <w:fldChar w:fldCharType="begin" w:dirty="true"/>
      </w:r>
      <w:r>
        <w:instrText>seq paragraphs</w:instrText>
      </w:r>
      <w:r>
        <w:fldChar w:fldCharType="separate"/>
      </w:r>
      <w:r>
        <w:t>91</w:t>
      </w:r>
      <w:r>
        <w:fldChar w:fldCharType="end"/>
      </w:r>
      <w:r>
        <w:t xml:space="preserve">.</w:t>
      </w:r>
      <w:r>
        <w:tab/>
      </w:r>
      <w:r>
        <w:t xml:space="preserve">Lai noteiktu ģeogrāfisko atrašanās vietu, riska darījumus sadala, pamatojoties uz tūlītējo parādnieku, kā noteikts Komisijas Deleģētajā regulā (ES) Nr. 1152/2014</w:t>
      </w:r>
      <w:r w:rsidRPr="002A677E">
        <w:footnoteReference w:id="1"/>
      </w:r>
      <w:r>
        <w:t xml:space="preserve">.</w:t>
      </w:r>
      <w:r>
        <w:t xml:space="preserve"> </w:t>
      </w:r>
      <w:r>
        <w:t xml:space="preserve">Tādēļ KRM metodes nemaina riska darījuma iedalīšanu tā ģeogrāfiskajā atrašanās vietā, lai paziņotu šajā veidnē izklāstīto informāciju.</w:t>
      </w:r>
    </w:p>
    <w:p w14:paraId="4811C8E1"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7" w:name="_Toc360188368"/>
      <w:bookmarkStart w:id="18" w:name="_Toc473560919"/>
      <w:bookmarkStart w:id="19" w:name="_Toc151714423"/>
      <w:bookmarkEnd w:id="16"/>
      <w:r>
        <w:rPr>
          <w:sz w:val="24"/>
          <w:u w:val="none"/>
          <w:rFonts w:ascii="Times New Roman" w:hAnsi="Times New Roman"/>
        </w:rPr>
        <w:t xml:space="preserve">3.4.3.2.</w:t>
      </w:r>
      <w:r>
        <w:rPr>
          <w:sz w:val="24"/>
          <w:u w:val="none"/>
          <w:rFonts w:ascii="Times New Roman" w:hAnsi="Times New Roman"/>
        </w:rPr>
        <w:tab/>
      </w:r>
      <w:r>
        <w:rPr>
          <w:sz w:val="24"/>
          <w:rFonts w:ascii="Times New Roman" w:hAnsi="Times New Roman"/>
        </w:rPr>
        <w:t xml:space="preserve">Norādījumi par konkrētām pozīcijām</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b/>
                <w:sz w:val="24"/>
                <w:rFonts w:ascii="Times New Roman" w:hAnsi="Times New Roman"/>
              </w:rPr>
            </w:pPr>
            <w:r>
              <w:rPr>
                <w:b/>
                <w:sz w:val="24"/>
                <w:rFonts w:ascii="Times New Roman" w:hAnsi="Times New Roman"/>
              </w:rPr>
              <w:t xml:space="preserve">Slejas</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sz w:val="24"/>
                <w:rFonts w:ascii="Times New Roman" w:hAnsi="Times New Roman"/>
              </w:rPr>
            </w:pPr>
            <w:r>
              <w:rPr>
                <w:sz w:val="24"/>
                <w:rFonts w:ascii="Times New Roman" w:hAnsi="Times New Roman"/>
              </w:rPr>
              <w:t xml:space="preserve">0010.</w:t>
            </w:r>
          </w:p>
        </w:tc>
        <w:tc>
          <w:tcPr>
            <w:tcW w:w="8131" w:type="dxa"/>
          </w:tcPr>
          <w:p w14:paraId="6A1F53D1"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Summa</w:t>
            </w:r>
          </w:p>
          <w:p w14:paraId="4EDF643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Attiecīgo kredītriska darījumu vērtība un ar to saistītas pašu kapitāla prasības, kas noteiktas saskaņā ar norādēm attiecīgajai rindai.</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Pr>
                <w:sz w:val="24"/>
                <w:rFonts w:ascii="Times New Roman" w:hAnsi="Times New Roman"/>
              </w:rPr>
              <w:t xml:space="preserve">0020.</w:t>
            </w:r>
          </w:p>
        </w:tc>
        <w:tc>
          <w:tcPr>
            <w:tcW w:w="8131" w:type="dxa"/>
          </w:tcPr>
          <w:p w14:paraId="4133F8D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Procenti</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131" w:type="dxa"/>
          </w:tcPr>
          <w:p w14:paraId="61529C4E" w14:textId="77777777" w:rsidR="009D6580" w:rsidRPr="002A677E" w:rsidRDefault="009D6580" w:rsidP="00822842">
            <w:pPr>
              <w:autoSpaceDE w:val="0"/>
              <w:autoSpaceDN w:val="0"/>
              <w:adjustRightInd w:val="0"/>
              <w:rPr>
                <w:b/>
                <w:bCs/>
                <w:sz w:val="24"/>
                <w:u w:val="single"/>
                <w:rFonts w:ascii="Times New Roman" w:hAnsi="Times New Roman"/>
              </w:rPr>
            </w:pPr>
            <w:r>
              <w:rPr>
                <w:b/>
                <w:sz w:val="24"/>
                <w:u w:val="single"/>
                <w:rFonts w:ascii="Times New Roman" w:hAnsi="Times New Roman"/>
              </w:rPr>
              <w:t xml:space="preserve">Kvalitatīvā informācija</w:t>
            </w:r>
          </w:p>
          <w:p w14:paraId="394356B2"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Šo informāciju uzrāda tikai par iestādes rezidences valsti (jurisdikcija, kas atbilst tās piederības dalībvalstij) un visu valstu posteni “Kopā”.</w:t>
            </w:r>
            <w:r>
              <w:rPr>
                <w:sz w:val="24"/>
                <w:rFonts w:ascii="Times New Roman" w:hAnsi="Times New Roman"/>
              </w:rPr>
              <w:t xml:space="preserve"> </w:t>
            </w:r>
          </w:p>
          <w:p w14:paraId="6761B5E4"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Iestādes uzrāda {y} vai {n} saskaņā ar norādēm attiecīgajai rindai.</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b/>
                <w:sz w:val="24"/>
                <w:rFonts w:ascii="Times New Roman" w:hAnsi="Times New Roman"/>
              </w:rPr>
            </w:pPr>
            <w:r>
              <w:rPr>
                <w:b/>
                <w:sz w:val="24"/>
                <w:rFonts w:ascii="Times New Roman" w:hAnsi="Times New Roman"/>
              </w:rPr>
              <w:t xml:space="preserve">Rindas</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sz w:val="24"/>
                <w:rFonts w:ascii="Times New Roman" w:hAnsi="Times New Roman"/>
              </w:rPr>
            </w:pPr>
            <w:r>
              <w:rPr>
                <w:sz w:val="24"/>
                <w:rFonts w:ascii="Times New Roman" w:hAnsi="Times New Roman"/>
              </w:rPr>
              <w:t xml:space="preserve">0010.–0020.</w:t>
            </w:r>
          </w:p>
        </w:tc>
        <w:tc>
          <w:tcPr>
            <w:tcW w:w="8131" w:type="dxa"/>
          </w:tcPr>
          <w:p w14:paraId="3D2862F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Attiecīgie kredītriska darījumi — kredītrisks</w:t>
            </w:r>
          </w:p>
          <w:p w14:paraId="516A26FA"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Attiecīgie kredītriska darījumi, kā minēts Direktīvas 2013/36/ES 140. panta 4. punkta a) apakšpunktā.</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Pr>
                <w:sz w:val="24"/>
                <w:rFonts w:ascii="Times New Roman" w:hAnsi="Times New Roman"/>
              </w:rPr>
              <w:t xml:space="preserve">0010.</w:t>
            </w:r>
          </w:p>
        </w:tc>
        <w:tc>
          <w:tcPr>
            <w:tcW w:w="8131" w:type="dxa"/>
          </w:tcPr>
          <w:p w14:paraId="60D60C47"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Riska darījumu vērtība saskaņā ar standartizēto pieeju</w:t>
            </w:r>
          </w:p>
          <w:p w14:paraId="0EA1DD75"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Riska darījumu vērtība, kas aprēķināta saskaņā ar Regulas (ES) Nr. 575/2013 111. pantu attiecīgajiem kredītriska darījumiem, kā minēts Direktīvas 2013/36/ES 140. panta 4. punkta a) apakšpunktā.</w:t>
            </w:r>
            <w:r>
              <w:rPr>
                <w:sz w:val="24"/>
                <w:rFonts w:ascii="Times New Roman" w:hAnsi="Times New Roman"/>
              </w:rPr>
              <w:t xml:space="preserve"> </w:t>
            </w:r>
          </w:p>
          <w:p w14:paraId="72B986ED"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Pašu kapitāla prasības vērtspapīrošanas pozīcijām banku portfelī izslēdz no šīs rindas un uzrāda 0055. rindā.</w:t>
            </w:r>
          </w:p>
        </w:tc>
      </w:tr>
      <w:tr w:rsidR="009D6580" w:rsidRPr="002A677E" w14:paraId="367F78C6" w14:textId="77777777" w:rsidTr="00822842">
        <w:tc>
          <w:tcPr>
            <w:tcW w:w="1697" w:type="dxa"/>
          </w:tcPr>
          <w:p w14:paraId="3217061B"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131" w:type="dxa"/>
          </w:tcPr>
          <w:p w14:paraId="385211C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Riska darījumu vērtība saskaņā ar IRB pieeju</w:t>
            </w:r>
          </w:p>
          <w:p w14:paraId="3F80BC36"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Riska darījumu vērtība, kas aprēķināta saskaņā ar Regulas (ES) Nr. 575/2013 166. pantu attiecīgajiem kredītriska darījumiem, kā minēts Direktīvas 2013/36/ES 140. panta 4. punkta a) apakšpunktā.</w:t>
            </w:r>
            <w:r>
              <w:rPr>
                <w:sz w:val="24"/>
                <w:rFonts w:ascii="Times New Roman" w:hAnsi="Times New Roman"/>
              </w:rPr>
              <w:t xml:space="preserve"> </w:t>
            </w:r>
          </w:p>
          <w:p w14:paraId="48C130F1"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Pašu kapitāla prasības vērtspapīrošanas pozīcijām banku portfelī izslēdz no šīs rindas un uzrāda 0055. rindā.</w:t>
            </w:r>
          </w:p>
        </w:tc>
      </w:tr>
      <w:tr w:rsidR="009D6580" w:rsidRPr="002A677E" w14:paraId="613420F2" w14:textId="77777777" w:rsidTr="00822842">
        <w:tc>
          <w:tcPr>
            <w:tcW w:w="1697" w:type="dxa"/>
          </w:tcPr>
          <w:p w14:paraId="53491AFF" w14:textId="77777777" w:rsidR="009D6580" w:rsidRPr="002A677E" w:rsidRDefault="009D6580" w:rsidP="00822842">
            <w:pPr>
              <w:rPr>
                <w:sz w:val="24"/>
                <w:rFonts w:ascii="Times New Roman" w:hAnsi="Times New Roman"/>
              </w:rPr>
            </w:pPr>
            <w:r>
              <w:rPr>
                <w:sz w:val="24"/>
                <w:rFonts w:ascii="Times New Roman" w:hAnsi="Times New Roman"/>
              </w:rPr>
              <w:t xml:space="preserve">0030.–0040.</w:t>
            </w:r>
          </w:p>
        </w:tc>
        <w:tc>
          <w:tcPr>
            <w:tcW w:w="8131" w:type="dxa"/>
          </w:tcPr>
          <w:p w14:paraId="369D850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Attiecīgie kredītriska darījumi — tirgus risks</w:t>
            </w:r>
          </w:p>
          <w:p w14:paraId="54050F98"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Attiecīgie kredītriska darījumi, kā minēts Direktīvas 2013/36/ES 140. panta 4. punkta b) apakšpunktā.</w:t>
            </w:r>
          </w:p>
        </w:tc>
      </w:tr>
      <w:tr w:rsidR="009D6580" w:rsidRPr="002A677E" w14:paraId="670769C5" w14:textId="77777777" w:rsidTr="00822842">
        <w:tc>
          <w:tcPr>
            <w:tcW w:w="1697" w:type="dxa"/>
          </w:tcPr>
          <w:p w14:paraId="27E0BEE1"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131" w:type="dxa"/>
          </w:tcPr>
          <w:p w14:paraId="740784D8"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Tirdzniecības portfeļa riska darījumu garo un īso pozīciju summa standartizētajām pieejām</w:t>
            </w:r>
          </w:p>
          <w:p w14:paraId="5F803AC4"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Neto garo un neto īso pozīciju summa saskaņā ar Regulas (ES) Nr. 575/2013 327. pantu attiecīgajiem kredītriska darījumiem, kā minēts Direktīvas 2013/36/ES 140. panta 4. punkta b) apakšpunktā, kam piemēro pašu kapitāla prasības saskaņā ar Regulas (ES) Nr. 575/2013 Trešās daļas IV sadaļas 2. nodaļu:</w:t>
            </w:r>
            <w:r>
              <w:rPr>
                <w:sz w:val="24"/>
                <w:rFonts w:ascii="Times New Roman" w:hAnsi="Times New Roman"/>
              </w:rPr>
              <w:t xml:space="preserve"> </w:t>
            </w:r>
          </w:p>
          <w:p w14:paraId="555B6B69"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riska darījumi ar parāda instrumentiem, kas nav vērtspapīrošana,</w:t>
            </w:r>
          </w:p>
          <w:p w14:paraId="2F347ECD"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riska darījumi ar vērtspapīrošanas pozīcijām tirdzniecības portfelī,</w:t>
            </w:r>
          </w:p>
          <w:p w14:paraId="0BF14848"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riska darījumi ar korelācijas tirdzniecības portfeļiem,</w:t>
            </w:r>
          </w:p>
          <w:p w14:paraId="426EA269"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riska darījumi ar kapitāla vērtspapīriem,</w:t>
            </w:r>
          </w:p>
          <w:p w14:paraId="29596F16" w14:textId="77777777" w:rsidR="009D6580" w:rsidRPr="002A677E" w:rsidRDefault="009D6580" w:rsidP="00822842">
            <w:pPr>
              <w:autoSpaceDE w:val="0"/>
              <w:autoSpaceDN w:val="0"/>
              <w:adjustRightInd w:val="0"/>
              <w:ind w:left="357" w:hanging="357"/>
              <w:contextualSpacing/>
              <w:rPr>
                <w:b/>
                <w:bCs/>
                <w:sz w:val="24"/>
                <w:u w:val="single"/>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riska darījumi ar KIU, kur kapitāla prasības aprēķinātas saskaņā ar Regulas (ES) Nr. 575/2013 348. pantu.</w:t>
            </w:r>
          </w:p>
        </w:tc>
      </w:tr>
      <w:tr w:rsidR="009D6580" w:rsidRPr="002A677E" w14:paraId="1B5F6FE5" w14:textId="77777777" w:rsidTr="00822842">
        <w:tc>
          <w:tcPr>
            <w:tcW w:w="1697" w:type="dxa"/>
          </w:tcPr>
          <w:p w14:paraId="22718F0C"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131" w:type="dxa"/>
          </w:tcPr>
          <w:p w14:paraId="7989891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Tirdzniecības portfeļa riska darījumu vērtība saskaņā ar iekšējo modeļu pieejām</w:t>
            </w:r>
          </w:p>
          <w:p w14:paraId="2C5D070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Attiecībā uz attiecīgajiem kredītriska darījumiem, kā minēts Direktīvas 2013/36/ES 140. panta 4. punkta b) apakšpunktā, kam piemēro pašu kapitāla prasības saskaņā ar Regulas (ES) Nr. 575/2013 Trešās daļas IV sadaļas 2. un 5. nodaļu, uzrāda šādu elementu summu:</w:t>
            </w:r>
          </w:p>
          <w:p w14:paraId="07E28E81"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Calibri" w:hAnsi="Calibri"/>
              </w:rPr>
              <w:t xml:space="preserve">–</w:t>
            </w:r>
            <w:r>
              <w:rPr>
                <w:sz w:val="24"/>
                <w:rFonts w:ascii="Calibri" w:hAnsi="Calibri"/>
              </w:rPr>
              <w:tab/>
            </w:r>
            <w:r>
              <w:rPr>
                <w:sz w:val="24"/>
                <w:rFonts w:ascii="Times New Roman" w:hAnsi="Times New Roman"/>
              </w:rPr>
              <w:t xml:space="preserve">to neatvasināto instrumentu pozīciju patiesā vērtība, kuras veido attiecīgos kredītriska darījumus, kā minēts Direktīvas 2013/36/ES 140. panta 4. punkta b) apakšpunktā, kuras noteiktas saskaņā ar Regulas (ES) Nr. 575/2013 104. pantu,</w:t>
            </w:r>
          </w:p>
          <w:p w14:paraId="198195E0" w14:textId="77777777" w:rsidR="009D6580" w:rsidRPr="002A677E" w:rsidRDefault="009D6580" w:rsidP="00822842">
            <w:pPr>
              <w:autoSpaceDE w:val="0"/>
              <w:autoSpaceDN w:val="0"/>
              <w:adjustRightInd w:val="0"/>
              <w:ind w:left="357" w:hanging="357"/>
              <w:contextualSpacing/>
              <w:rPr>
                <w:b/>
                <w:bCs/>
                <w:sz w:val="24"/>
                <w:u w:val="single"/>
                <w:rFonts w:ascii="Times New Roman" w:hAnsi="Times New Roman"/>
              </w:rPr>
            </w:pPr>
            <w:r>
              <w:rPr>
                <w:sz w:val="24"/>
                <w:rFonts w:ascii="Calibri" w:hAnsi="Calibri"/>
              </w:rPr>
              <w:t xml:space="preserve">–</w:t>
            </w:r>
            <w:r>
              <w:rPr>
                <w:sz w:val="24"/>
                <w:rFonts w:ascii="Calibri" w:hAnsi="Calibri"/>
              </w:rPr>
              <w:tab/>
            </w:r>
            <w:r>
              <w:rPr>
                <w:sz w:val="24"/>
                <w:rFonts w:ascii="Times New Roman" w:hAnsi="Times New Roman"/>
              </w:rPr>
              <w:t xml:space="preserve">to atvasināto instrumentu nosacītā vērtība, kuri veido attiecīgos kredītriska darījumus, kā minēts Direktīvas 2013/36/ES 140. panta 4. punkta b) apakšpunktā.</w:t>
            </w:r>
          </w:p>
        </w:tc>
      </w:tr>
      <w:tr w:rsidR="009D6580" w:rsidRPr="002A677E" w14:paraId="6BA1E71E" w14:textId="77777777" w:rsidTr="00822842">
        <w:tc>
          <w:tcPr>
            <w:tcW w:w="1697" w:type="dxa"/>
          </w:tcPr>
          <w:p w14:paraId="37545C8A"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131" w:type="dxa"/>
          </w:tcPr>
          <w:p w14:paraId="3A6EE46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Attiecīgie kredītriska darījumi – vērtspapīrošanas pozīcijas banku portfelī</w:t>
            </w:r>
          </w:p>
          <w:p w14:paraId="4B3C8407" w14:textId="77777777" w:rsidR="009D6580" w:rsidRPr="002A677E" w:rsidRDefault="009D6580" w:rsidP="00822842">
            <w:pPr>
              <w:rPr>
                <w:sz w:val="24"/>
                <w:rFonts w:ascii="Times New Roman" w:hAnsi="Times New Roman"/>
              </w:rPr>
            </w:pPr>
            <w:r>
              <w:rPr>
                <w:sz w:val="24"/>
                <w:rFonts w:ascii="Times New Roman" w:hAnsi="Times New Roman"/>
              </w:rPr>
              <w:t xml:space="preserve">Riska darījumu vērtība, kas aprēķināta saskaņā ar Regulas (ES) Nr. 575/2013 248. pantu attiecīgajiem kredītriska darījumiem, kā minēts Direktīvas 2013/36/ES 140. panta 4. punkta c) apakšpunktā.</w:t>
            </w:r>
          </w:p>
        </w:tc>
      </w:tr>
      <w:tr w:rsidR="009D6580" w:rsidRPr="002A677E" w14:paraId="2A6651FC" w14:textId="77777777" w:rsidTr="00822842">
        <w:tc>
          <w:tcPr>
            <w:tcW w:w="1697" w:type="dxa"/>
          </w:tcPr>
          <w:p w14:paraId="3D2C5D4A" w14:textId="77777777" w:rsidR="009D6580" w:rsidRPr="002A677E" w:rsidRDefault="009D6580" w:rsidP="00822842">
            <w:pPr>
              <w:rPr>
                <w:sz w:val="24"/>
                <w:rFonts w:ascii="Times New Roman" w:hAnsi="Times New Roman"/>
              </w:rPr>
            </w:pPr>
            <w:r>
              <w:rPr>
                <w:sz w:val="24"/>
                <w:rFonts w:ascii="Times New Roman" w:hAnsi="Times New Roman"/>
              </w:rPr>
              <w:t xml:space="preserve">0070.–0110.</w:t>
            </w:r>
          </w:p>
        </w:tc>
        <w:tc>
          <w:tcPr>
            <w:tcW w:w="8131" w:type="dxa"/>
          </w:tcPr>
          <w:p w14:paraId="6A03AF3B"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Pašu kapitāla prasības un svērumi</w:t>
            </w:r>
          </w:p>
        </w:tc>
      </w:tr>
      <w:tr w:rsidR="009D6580" w:rsidRPr="002A677E" w14:paraId="5C042A5F" w14:textId="77777777" w:rsidTr="00822842">
        <w:tc>
          <w:tcPr>
            <w:tcW w:w="1697" w:type="dxa"/>
          </w:tcPr>
          <w:p w14:paraId="32640B70"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131" w:type="dxa"/>
          </w:tcPr>
          <w:p w14:paraId="431787D4"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Kopējās pašu kapitāla prasības </w:t>
            </w:r>
            <w:r>
              <w:rPr>
                <w:b/>
                <w:sz w:val="24"/>
                <w:u w:val="single"/>
                <w:i/>
                <w:iCs/>
                <w:rFonts w:ascii="Times New Roman" w:hAnsi="Times New Roman"/>
              </w:rPr>
              <w:t xml:space="preserve">CCB</w:t>
            </w:r>
          </w:p>
          <w:p w14:paraId="78C29612"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0080., 0090. un 0100. rindas summa</w:t>
            </w:r>
          </w:p>
        </w:tc>
      </w:tr>
      <w:tr w:rsidR="009D6580" w:rsidRPr="002A677E" w14:paraId="7D74E37B" w14:textId="77777777" w:rsidTr="00822842">
        <w:tc>
          <w:tcPr>
            <w:tcW w:w="1697" w:type="dxa"/>
          </w:tcPr>
          <w:p w14:paraId="26DA65D7"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131" w:type="dxa"/>
          </w:tcPr>
          <w:p w14:paraId="2381AF17"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Pašu kapitāla prasības attiecīgajiem kredītriska darījumiem – kredītrisks</w:t>
            </w:r>
            <w:r>
              <w:rPr>
                <w:b/>
                <w:sz w:val="24"/>
                <w:u w:val="single"/>
                <w:rFonts w:ascii="Times New Roman" w:hAnsi="Times New Roman"/>
              </w:rPr>
              <w:t xml:space="preserve"> </w:t>
            </w:r>
          </w:p>
          <w:p w14:paraId="4126D1D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Pašu kapitāla prasības, kas aprēķinātas saskaņā ar Regulas (ES) Nr. 575/2013 Trešās daļas II sadaļas 1.–4. nodaļu un 6. nodaļu, attiecīgajiem kredītriska darījumiem, kā minēts Direktīvas 2013/36/ES 140. panta 4. punkta a) apakšpunktā, attiecīgajā valstī.</w:t>
            </w:r>
          </w:p>
          <w:p w14:paraId="094DA9D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Pašu kapitāla prasības vērtspapīrošanas pozīcijām banku portfelī izslēdz no šīs rindas un uzrāda 0100. rindā.</w:t>
            </w:r>
          </w:p>
          <w:p w14:paraId="037A1499"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Pašu kapitāla prasības ir 8 % no riska darījumu riska svērtajām vērtībām, kas noteiktas saskaņā ar Regulas (ES) Nr. 575/2013 Trešās daļas II sadaļas 1. līdz 4. nodaļas un 6. nodaļas noteikumiem.</w:t>
            </w:r>
          </w:p>
        </w:tc>
      </w:tr>
      <w:tr w:rsidR="009D6580" w:rsidRPr="002A677E" w14:paraId="6CE5DB0E" w14:textId="77777777" w:rsidTr="00822842">
        <w:tc>
          <w:tcPr>
            <w:tcW w:w="1697" w:type="dxa"/>
          </w:tcPr>
          <w:p w14:paraId="0847E4D7"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131" w:type="dxa"/>
          </w:tcPr>
          <w:p w14:paraId="4922C90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Pašu kapitāla prasības attiecīgajiem kredītriska darījumiem – tirgus risks</w:t>
            </w:r>
            <w:r>
              <w:rPr>
                <w:b/>
                <w:sz w:val="24"/>
                <w:u w:val="single"/>
                <w:rFonts w:ascii="Times New Roman" w:hAnsi="Times New Roman"/>
              </w:rPr>
              <w:t xml:space="preserve"> </w:t>
            </w:r>
          </w:p>
          <w:p w14:paraId="5686B88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Pašu kapitāla prasības, kas aprēķinātas saskaņā ar Regulas (ES) Nr. 575/2013 Trešās daļas IV sadaļas 2. nodaļu specifiskajam riskam vai saskaņā ar Regulas (ES) Nr. 575/2013 Trešās daļas IV sadaļas 5. nodaļu inkrementālajam saistību nepildīšanas un migrācijas riskam attiecīgajiem kredītriska darījumiem, kā minēts Direktīvas 2013/36/ES 140. panta 4. punkta b) apakšpunktā, attiecīgajā valstī.</w:t>
            </w:r>
            <w:r>
              <w:rPr>
                <w:sz w:val="24"/>
                <w:rFonts w:ascii="Times New Roman" w:hAnsi="Times New Roman"/>
              </w:rPr>
              <w:t xml:space="preserve"> </w:t>
            </w:r>
          </w:p>
          <w:p w14:paraId="09611817"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Pašu kapitāla prasības attiecīgajiem kredītriska darījumiem saskaņā ar tirgus riska regulējumu citstarp ietver pašu kapitāla prasības vērtspapīrošanas pozīcijām, kas aprēķinātas saskaņā ar Regulas (ES) Nr. 575/2013 Trešās daļas IV sadaļas 2. nodaļu, un pašu kapitāla prasības riska darījumiem ar kolektīvo ieguldījumu uzņēmumiem, kas noteiktas saskaņā ar minētās regulas 348. pantu.</w:t>
            </w:r>
          </w:p>
        </w:tc>
      </w:tr>
      <w:tr w:rsidR="009D6580" w:rsidRPr="002A677E" w14:paraId="655D63DC" w14:textId="77777777" w:rsidTr="00822842">
        <w:tc>
          <w:tcPr>
            <w:tcW w:w="1697" w:type="dxa"/>
          </w:tcPr>
          <w:p w14:paraId="4911AAD6"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131" w:type="dxa"/>
          </w:tcPr>
          <w:p w14:paraId="45D3AC3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Pašu kapitāla prasības attiecīgajiem kredītriska darījumiem – vērtspapīrošanas pozīcijas banku portfelī</w:t>
            </w:r>
          </w:p>
          <w:p w14:paraId="6483412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Pašu kapitāla prasības, kas aprēķinātas saskaņā ar Regulas (ES) Nr. 575/2013 Trešās daļas II sadaļas 5. nodaļu attiecīgajiem kredītriska darījumiem, kā minēts Direktīvas 2013/36/ES 140. panta 4. punkta c) apakšpunktā, attiecīgajā valstī.</w:t>
            </w:r>
          </w:p>
          <w:p w14:paraId="1A6665D5"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Pašu kapitāla prasības ir 8 % no riska darījumu riska svērtajām vērtībām, kas noteiktas saskaņā ar Regulas (ES) Nr. 575/2013 Trešās daļas II sadaļas 5. nodaļas noteikumiem.</w:t>
            </w:r>
          </w:p>
        </w:tc>
      </w:tr>
      <w:tr w:rsidR="009D6580" w:rsidRPr="002A677E" w14:paraId="4015A9D7" w14:textId="77777777" w:rsidTr="00822842">
        <w:tc>
          <w:tcPr>
            <w:tcW w:w="1697" w:type="dxa"/>
          </w:tcPr>
          <w:p w14:paraId="4ACCD3B3"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131" w:type="dxa"/>
          </w:tcPr>
          <w:p w14:paraId="2EE25FA2"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Pašu kapitāla prasību svērumi</w:t>
            </w:r>
          </w:p>
          <w:p w14:paraId="3D7B8904" w14:textId="77777777" w:rsidR="009D6580" w:rsidRPr="002A677E" w:rsidRDefault="009D6580" w:rsidP="00822842">
            <w:pPr>
              <w:rPr>
                <w:sz w:val="24"/>
                <w:rFonts w:ascii="Times New Roman" w:hAnsi="Times New Roman"/>
              </w:rPr>
            </w:pPr>
            <w:r>
              <w:rPr>
                <w:sz w:val="24"/>
                <w:rFonts w:ascii="Times New Roman" w:hAnsi="Times New Roman"/>
              </w:rPr>
              <w:t xml:space="preserve">Pretciklisko rezervju normai piemēroto riska svērumu katrā valstī aprēķina kā attiecību starp pašu kapitāla prasībām, ko nosaka šādi:</w:t>
            </w:r>
          </w:p>
          <w:p w14:paraId="47443D03" w14:textId="77777777" w:rsidR="009D6580" w:rsidRPr="002A677E" w:rsidRDefault="009D6580" w:rsidP="00822842">
            <w:pPr>
              <w:rPr>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skaitītājs:</w:t>
            </w:r>
            <w:r>
              <w:rPr>
                <w:sz w:val="24"/>
                <w:rFonts w:ascii="Times New Roman" w:hAnsi="Times New Roman"/>
              </w:rPr>
              <w:t xml:space="preserve"> </w:t>
            </w:r>
            <w:r>
              <w:rPr>
                <w:sz w:val="24"/>
                <w:rFonts w:ascii="Times New Roman" w:hAnsi="Times New Roman"/>
              </w:rPr>
              <w:t xml:space="preserve">kopējā pašu kapitāla prasības, kas attiecas uz attiecīgajiem kredītriska darījumiem konkrētajā valstī [0070.r.;</w:t>
            </w:r>
            <w:r>
              <w:rPr>
                <w:sz w:val="24"/>
                <w:rFonts w:ascii="Times New Roman" w:hAnsi="Times New Roman"/>
              </w:rPr>
              <w:t xml:space="preserve"> </w:t>
            </w:r>
            <w:r>
              <w:rPr>
                <w:sz w:val="24"/>
                <w:rFonts w:ascii="Times New Roman" w:hAnsi="Times New Roman"/>
              </w:rPr>
              <w:t xml:space="preserve">c0010.</w:t>
            </w:r>
            <w:r>
              <w:rPr>
                <w:sz w:val="24"/>
                <w:rFonts w:ascii="Times New Roman" w:hAnsi="Times New Roman"/>
              </w:rPr>
              <w:t xml:space="preserve"> </w:t>
            </w:r>
            <w:r>
              <w:rPr>
                <w:sz w:val="24"/>
                <w:rFonts w:ascii="Times New Roman" w:hAnsi="Times New Roman"/>
              </w:rPr>
              <w:t xml:space="preserve">valsts lapa].</w:t>
            </w:r>
            <w:r>
              <w:rPr>
                <w:sz w:val="24"/>
                <w:rFonts w:ascii="Times New Roman" w:hAnsi="Times New Roman"/>
              </w:rPr>
              <w:t xml:space="preserve"> </w:t>
            </w:r>
          </w:p>
          <w:p w14:paraId="1FE57EC6"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saucējs:</w:t>
            </w:r>
            <w:r>
              <w:rPr>
                <w:sz w:val="24"/>
                <w:rFonts w:ascii="Times New Roman" w:hAnsi="Times New Roman"/>
              </w:rPr>
              <w:t xml:space="preserve"> </w:t>
            </w:r>
            <w:r>
              <w:rPr>
                <w:sz w:val="24"/>
                <w:rFonts w:ascii="Times New Roman" w:hAnsi="Times New Roman"/>
              </w:rPr>
              <w:t xml:space="preserve">kopējā pašu kapitāla prasības, kas attiecas uz visiem kredītriska darījumiem, kuri ir nozīmīgi pretciklisko rezervju aprēķinam, kā minēts Direktīvas 2013/36/ES 140. panta 4. punktā [0070.r.;</w:t>
            </w:r>
            <w:r>
              <w:rPr>
                <w:sz w:val="24"/>
                <w:rFonts w:ascii="Times New Roman" w:hAnsi="Times New Roman"/>
              </w:rPr>
              <w:t xml:space="preserve"> </w:t>
            </w:r>
            <w:r>
              <w:rPr>
                <w:sz w:val="24"/>
                <w:rFonts w:ascii="Times New Roman" w:hAnsi="Times New Roman"/>
              </w:rPr>
              <w:t xml:space="preserve">0010.s.;</w:t>
            </w:r>
            <w:r>
              <w:rPr>
                <w:sz w:val="24"/>
                <w:rFonts w:ascii="Times New Roman" w:hAnsi="Times New Roman"/>
              </w:rPr>
              <w:t xml:space="preserve"> </w:t>
            </w:r>
            <w:r>
              <w:rPr>
                <w:sz w:val="24"/>
                <w:rFonts w:ascii="Times New Roman" w:hAnsi="Times New Roman"/>
              </w:rPr>
              <w:t xml:space="preserve">“Kopā”].</w:t>
            </w:r>
          </w:p>
          <w:p w14:paraId="423D2DDF"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Informāciju par pašu kapitāla prasību riska svērumiem neuzrāda visu valstu postenim “Kopā”.</w:t>
            </w:r>
          </w:p>
        </w:tc>
      </w:tr>
      <w:tr w:rsidR="009D6580" w:rsidRPr="002A677E" w14:paraId="5C4BC14D" w14:textId="77777777" w:rsidTr="00822842">
        <w:tc>
          <w:tcPr>
            <w:tcW w:w="1697" w:type="dxa"/>
          </w:tcPr>
          <w:p w14:paraId="1A21712D" w14:textId="77777777" w:rsidR="009D6580" w:rsidRPr="002A677E" w:rsidRDefault="009D6580" w:rsidP="00822842">
            <w:pPr>
              <w:rPr>
                <w:sz w:val="24"/>
                <w:rFonts w:ascii="Times New Roman" w:hAnsi="Times New Roman"/>
              </w:rPr>
            </w:pPr>
            <w:r>
              <w:rPr>
                <w:sz w:val="24"/>
                <w:rFonts w:ascii="Times New Roman" w:hAnsi="Times New Roman"/>
              </w:rPr>
              <w:t xml:space="preserve">0120.–0140.</w:t>
            </w:r>
          </w:p>
        </w:tc>
        <w:tc>
          <w:tcPr>
            <w:tcW w:w="8131" w:type="dxa"/>
          </w:tcPr>
          <w:p w14:paraId="0FFF9D8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Pretciklisko rezervju normas</w:t>
            </w:r>
          </w:p>
        </w:tc>
      </w:tr>
      <w:tr w:rsidR="009D6580" w:rsidRPr="002A677E" w14:paraId="3D2AE883" w14:textId="77777777" w:rsidTr="00822842">
        <w:tc>
          <w:tcPr>
            <w:tcW w:w="1697" w:type="dxa"/>
          </w:tcPr>
          <w:p w14:paraId="61437EB6"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131" w:type="dxa"/>
          </w:tcPr>
          <w:p w14:paraId="756100DA"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Pretciklisko kapitāla rezervju norma, ko noteikusi izraudzīta iestāde</w:t>
            </w:r>
          </w:p>
          <w:p w14:paraId="256AAB4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Pretciklisko kapitāla rezervju norma, ko attiecīgajai valstij noteikusi tās izraudzītā iestāde saskaņā ar Direktīvas 2013/36/ES 136., 137., 139. pantu, 140. panta 2. punkta a) un c) apakšpunktu un 140. panta 3. punkta b) apakšpunktu.</w:t>
            </w:r>
          </w:p>
          <w:p w14:paraId="08387A1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Šo rindu atstāj tukšu, ja attiecīgajai valstij tās izraudzītā iestāde nav noteikusi pretciklisko rezervju normu.</w:t>
            </w:r>
          </w:p>
          <w:p w14:paraId="79AF7A0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Neuzrāda tās pretickisko kapitāla rezervju normas, kuras bija noteikusi izraudzītā iestāde, bet kuras pārskata sniegšanas atsauces datumā attiecīgajā valstī vēl nav piemērojamas.</w:t>
            </w:r>
          </w:p>
          <w:p w14:paraId="5BEA0E13"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Informāciju par preticklisko kapitāla rezervju normu, ko noteikusi izraudzītā iestāde, neuzrāda visu valstu postenim “Kopā”.</w:t>
            </w:r>
            <w:r>
              <w:rPr>
                <w:sz w:val="24"/>
                <w:rFonts w:ascii="Times New Roman" w:hAnsi="Times New Roman"/>
              </w:rPr>
              <w:t xml:space="preserve"> </w:t>
            </w:r>
          </w:p>
        </w:tc>
      </w:tr>
      <w:tr w:rsidR="009D6580" w:rsidRPr="002A677E" w14:paraId="01E6253D" w14:textId="77777777" w:rsidTr="00822842">
        <w:tc>
          <w:tcPr>
            <w:tcW w:w="1697" w:type="dxa"/>
          </w:tcPr>
          <w:p w14:paraId="3226BBDD"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131" w:type="dxa"/>
          </w:tcPr>
          <w:p w14:paraId="1301D1B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Pretciklisko kapitāla rezervju norma, ko piemēro attiecīgās iestādes valstij</w:t>
            </w:r>
          </w:p>
          <w:p w14:paraId="47D66D49"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Pretciklisko kapitāla rezervju norma, kas piemērojama attiecīgajai valstij un ko noteikusi iestādes rezidences valsts izraudzītā iestāde saskaņā ar Direktīvas 2013/36/ES 137., 138., 139. pantu un 140. panta 2. punkta b) apakšpunktu un 140. panta 3. punkta a) apakšpunktu.</w:t>
            </w:r>
            <w:r>
              <w:rPr>
                <w:sz w:val="24"/>
                <w:rFonts w:ascii="Times New Roman" w:hAnsi="Times New Roman"/>
              </w:rPr>
              <w:t xml:space="preserve"> </w:t>
            </w:r>
            <w:r>
              <w:rPr>
                <w:sz w:val="24"/>
                <w:rFonts w:ascii="Times New Roman" w:hAnsi="Times New Roman"/>
              </w:rPr>
              <w:t xml:space="preserve">Neuzrāda pretciklisko kapitāla rezervju normas, kas vēl nav piemērojamas pārskata sniegšanas atsauces datumā.</w:t>
            </w:r>
          </w:p>
          <w:p w14:paraId="082B5846"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Informāciju par preticklisko kapitāla rezervju normu, kas piemērojama iestādes valstī, neuzrāda visu valstu postenim “Kopā”.</w:t>
            </w:r>
          </w:p>
        </w:tc>
      </w:tr>
      <w:tr w:rsidR="009D6580" w:rsidRPr="002A677E" w14:paraId="3FF424DB" w14:textId="77777777" w:rsidTr="00822842">
        <w:tc>
          <w:tcPr>
            <w:tcW w:w="1697" w:type="dxa"/>
          </w:tcPr>
          <w:p w14:paraId="752F444A"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131" w:type="dxa"/>
          </w:tcPr>
          <w:p w14:paraId="315BAE64"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Iestādes specifisko pretciklisko kapitāla rezervju norma</w:t>
            </w:r>
            <w:r>
              <w:rPr>
                <w:b/>
                <w:sz w:val="24"/>
                <w:u w:val="single"/>
                <w:rFonts w:ascii="Times New Roman" w:hAnsi="Times New Roman"/>
              </w:rPr>
              <w:t xml:space="preserve"> </w:t>
            </w:r>
          </w:p>
          <w:p w14:paraId="253E0547"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Iestādes specifisko pretciklisko kapitāla rezervju norma, kas aprēķināta saskaņā ar Direktīvas 2013/36/ES 140. panta 1. punktu.</w:t>
            </w:r>
            <w:r>
              <w:rPr>
                <w:sz w:val="24"/>
                <w:rFonts w:ascii="Times New Roman" w:hAnsi="Times New Roman"/>
              </w:rPr>
              <w:t xml:space="preserve"> </w:t>
            </w:r>
          </w:p>
          <w:p w14:paraId="575D2B3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Iestāžu specifisko pretciklisko kapitāla rezervju normu aprēķina kā pretciklisko rezervju normu svērto vidējo rādītāju, kas piemērojamas jurisdikcijās, kurās iestāde veic attiecīgos kredītriska darījumus, vai ko piemēro 140. panta vajadzībām, pamatojoties uz Direktīvas 2013/36/ES 140. panta 2. vai 3. punktu.</w:t>
            </w:r>
            <w:r>
              <w:rPr>
                <w:sz w:val="24"/>
                <w:rFonts w:ascii="Times New Roman" w:hAnsi="Times New Roman"/>
              </w:rPr>
              <w:t xml:space="preserve"> </w:t>
            </w:r>
            <w:r>
              <w:rPr>
                <w:sz w:val="24"/>
                <w:rFonts w:ascii="Times New Roman" w:hAnsi="Times New Roman"/>
              </w:rPr>
              <w:t xml:space="preserve">Attiecīgo pretciklisko rezervju normu uzrāda [120.r.;</w:t>
            </w:r>
            <w:r>
              <w:rPr>
                <w:sz w:val="24"/>
                <w:rFonts w:ascii="Times New Roman" w:hAnsi="Times New Roman"/>
              </w:rPr>
              <w:t xml:space="preserve"> </w:t>
            </w:r>
            <w:r>
              <w:rPr>
                <w:sz w:val="24"/>
                <w:rFonts w:ascii="Times New Roman" w:hAnsi="Times New Roman"/>
              </w:rPr>
              <w:t xml:space="preserve">0020.s.;</w:t>
            </w:r>
            <w:r>
              <w:rPr>
                <w:sz w:val="24"/>
                <w:rFonts w:ascii="Times New Roman" w:hAnsi="Times New Roman"/>
              </w:rPr>
              <w:t xml:space="preserve"> </w:t>
            </w:r>
            <w:r>
              <w:rPr>
                <w:sz w:val="24"/>
                <w:rFonts w:ascii="Times New Roman" w:hAnsi="Times New Roman"/>
              </w:rPr>
              <w:t xml:space="preserve">valsts lapa] vai [0130.r.;</w:t>
            </w:r>
            <w:r>
              <w:rPr>
                <w:sz w:val="24"/>
                <w:rFonts w:ascii="Times New Roman" w:hAnsi="Times New Roman"/>
              </w:rPr>
              <w:t xml:space="preserve"> </w:t>
            </w:r>
            <w:r>
              <w:rPr>
                <w:sz w:val="24"/>
                <w:rFonts w:ascii="Times New Roman" w:hAnsi="Times New Roman"/>
              </w:rPr>
              <w:t xml:space="preserve">0020.s.;</w:t>
            </w:r>
            <w:r>
              <w:rPr>
                <w:sz w:val="24"/>
                <w:rFonts w:ascii="Times New Roman" w:hAnsi="Times New Roman"/>
              </w:rPr>
              <w:t xml:space="preserve"> </w:t>
            </w:r>
            <w:r>
              <w:rPr>
                <w:sz w:val="24"/>
                <w:rFonts w:ascii="Times New Roman" w:hAnsi="Times New Roman"/>
              </w:rPr>
              <w:t xml:space="preserve">valsts lapa], kā piemērojams.</w:t>
            </w:r>
          </w:p>
          <w:p w14:paraId="2C4ECBB2" w14:textId="77777777" w:rsidR="009D6580" w:rsidRPr="002A677E" w:rsidRDefault="009D6580" w:rsidP="00822842">
            <w:pPr>
              <w:autoSpaceDE w:val="0"/>
              <w:autoSpaceDN w:val="0"/>
              <w:adjustRightInd w:val="0"/>
              <w:rPr>
                <w:b/>
                <w:strike/>
                <w:sz w:val="24"/>
                <w:rFonts w:ascii="Times New Roman" w:hAnsi="Times New Roman"/>
              </w:rPr>
            </w:pPr>
            <w:r>
              <w:rPr>
                <w:sz w:val="24"/>
                <w:rFonts w:ascii="Times New Roman" w:hAnsi="Times New Roman"/>
              </w:rPr>
              <w:t xml:space="preserve">Katrā valstī pretciklisko rezervju normai piemērotais riska svērums ir pašu kapitāla prasību daļa no kopējā pašu kapitāla prasībām un to uzrāda [r110;</w:t>
            </w:r>
            <w:r>
              <w:rPr>
                <w:sz w:val="24"/>
                <w:rFonts w:ascii="Times New Roman" w:hAnsi="Times New Roman"/>
              </w:rPr>
              <w:t xml:space="preserve"> </w:t>
            </w:r>
            <w:r>
              <w:rPr>
                <w:sz w:val="24"/>
                <w:rFonts w:ascii="Times New Roman" w:hAnsi="Times New Roman"/>
              </w:rPr>
              <w:t xml:space="preserve">0020.s.;</w:t>
            </w:r>
            <w:r>
              <w:rPr>
                <w:sz w:val="24"/>
                <w:rFonts w:ascii="Times New Roman" w:hAnsi="Times New Roman"/>
              </w:rPr>
              <w:t xml:space="preserve"> </w:t>
            </w:r>
            <w:r>
              <w:rPr>
                <w:sz w:val="24"/>
                <w:rFonts w:ascii="Times New Roman" w:hAnsi="Times New Roman"/>
              </w:rPr>
              <w:t xml:space="preserve">valsts lapa].</w:t>
            </w:r>
            <w:r>
              <w:rPr>
                <w:sz w:val="24"/>
                <w:rFonts w:ascii="Times New Roman" w:hAnsi="Times New Roman"/>
              </w:rPr>
              <w:t xml:space="preserve"> </w:t>
            </w:r>
          </w:p>
          <w:p w14:paraId="65E93DC9"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Informāciju par iestādes specifisko pretciklisko kapitāla rezervju normu uzrāda tikai visu valstu postenim “Kopā”, nevis katrai valstij atsevišķi.</w:t>
            </w:r>
          </w:p>
        </w:tc>
      </w:tr>
      <w:tr w:rsidR="009D6580" w:rsidRPr="002A677E" w14:paraId="0CA64D03" w14:textId="77777777" w:rsidTr="00822842">
        <w:tc>
          <w:tcPr>
            <w:tcW w:w="1697" w:type="dxa"/>
          </w:tcPr>
          <w:p w14:paraId="1436C16C" w14:textId="77777777" w:rsidR="009D6580" w:rsidRPr="002A677E" w:rsidRDefault="009D6580" w:rsidP="00822842">
            <w:pPr>
              <w:rPr>
                <w:sz w:val="24"/>
                <w:rFonts w:ascii="Times New Roman" w:hAnsi="Times New Roman"/>
              </w:rPr>
            </w:pPr>
            <w:r>
              <w:rPr>
                <w:sz w:val="24"/>
                <w:rFonts w:ascii="Times New Roman" w:hAnsi="Times New Roman"/>
              </w:rPr>
              <w:t xml:space="preserve">0150.-0160.</w:t>
            </w:r>
          </w:p>
        </w:tc>
        <w:tc>
          <w:tcPr>
            <w:tcW w:w="8131" w:type="dxa"/>
          </w:tcPr>
          <w:p w14:paraId="13A71A3D"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2 % sliekšņa izmantošana</w:t>
            </w:r>
          </w:p>
        </w:tc>
      </w:tr>
      <w:tr w:rsidR="009D6580" w:rsidRPr="002A677E" w14:paraId="4C39701D" w14:textId="77777777" w:rsidTr="00822842">
        <w:tc>
          <w:tcPr>
            <w:tcW w:w="1697" w:type="dxa"/>
          </w:tcPr>
          <w:p w14:paraId="62E51E11"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131" w:type="dxa"/>
          </w:tcPr>
          <w:p w14:paraId="0ABF51F0" w14:textId="77777777" w:rsidR="009D6580" w:rsidRPr="002A677E" w:rsidRDefault="009D6580" w:rsidP="00822842">
            <w:pPr>
              <w:autoSpaceDE w:val="0"/>
              <w:autoSpaceDN w:val="0"/>
              <w:adjustRightInd w:val="0"/>
              <w:rPr>
                <w:sz w:val="24"/>
                <w:rFonts w:ascii="Times New Roman" w:hAnsi="Times New Roman"/>
              </w:rPr>
            </w:pPr>
            <w:r>
              <w:rPr>
                <w:sz w:val="24"/>
                <w:b/>
                <w:u w:val="single"/>
                <w:rFonts w:ascii="Times New Roman" w:hAnsi="Times New Roman"/>
              </w:rPr>
              <w:t xml:space="preserve">2 % sliekšņa izmantošana vispārēja kredītriska darījumam</w:t>
            </w:r>
            <w:r>
              <w:rPr>
                <w:sz w:val="24"/>
                <w:rFonts w:ascii="Times New Roman" w:hAnsi="Times New Roman"/>
              </w:rPr>
              <w:t xml:space="preserve"> </w:t>
            </w:r>
          </w:p>
          <w:p w14:paraId="68B71CE8"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Saskaņā ar Komisijas Deleģētās regulas (ES) Nr. 1152/2014 2. panta 5. punkta b) apakšpunktu ārvalstu vispārējos kredītriska darījumus, kuru kopējā vērtība nepārsniedz 2 % no šīs iestādes kopējiem vispārējā kredītriska darījumiem un tirdzniecības portfeļa un vērtspapīrošanas riska darījumiem, var iedalīt iestāžu piederības dalībvalstij.</w:t>
            </w:r>
            <w:r>
              <w:rPr>
                <w:sz w:val="24"/>
                <w:rFonts w:ascii="Times New Roman" w:hAnsi="Times New Roman"/>
              </w:rPr>
              <w:t xml:space="preserve"> </w:t>
            </w:r>
            <w:r>
              <w:rPr>
                <w:sz w:val="24"/>
                <w:rFonts w:ascii="Times New Roman" w:hAnsi="Times New Roman"/>
              </w:rPr>
              <w:t xml:space="preserve">Vispārējā kredītriska, tirdzniecības portfeļa un vērtspapīrošanas kopējos darījumus aprēķina, izslēdzot vispārējā kredītriska darījumus, kuru atrašanās vieta ir saskaņā ar Komisijas Deleģētās regulas (ES) Nr. 1152/2014 2. panta 5. punkta a) apakšpunktu un 2. panta 4. punktu.</w:t>
            </w:r>
          </w:p>
          <w:p w14:paraId="53DCDD6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Ja iestāde izmanto šo atkāpi, tā norāda “y” veidnē par jurisdikciju, kas atbilst tās piederības dalībvalstij, un visu valstu postenī “Kopā”.</w:t>
            </w:r>
          </w:p>
          <w:p w14:paraId="5B2597B2"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Ja iestāde neizmanto šo atkāpi, tā norāda “n” attiecīgajā šūnā.</w:t>
            </w:r>
          </w:p>
        </w:tc>
      </w:tr>
      <w:tr w:rsidR="009D6580" w:rsidRPr="002A677E" w14:paraId="7179BBF6" w14:textId="77777777" w:rsidTr="00822842">
        <w:tc>
          <w:tcPr>
            <w:tcW w:w="1697" w:type="dxa"/>
          </w:tcPr>
          <w:p w14:paraId="528EEA51" w14:textId="77777777" w:rsidR="009D6580" w:rsidRPr="002A677E" w:rsidRDefault="009D6580" w:rsidP="00822842">
            <w:pPr>
              <w:rPr>
                <w:sz w:val="24"/>
                <w:rFonts w:ascii="Times New Roman" w:hAnsi="Times New Roman"/>
              </w:rPr>
            </w:pPr>
            <w:r>
              <w:rPr>
                <w:sz w:val="24"/>
                <w:rFonts w:ascii="Times New Roman" w:hAnsi="Times New Roman"/>
              </w:rPr>
              <w:t xml:space="preserve">0160.</w:t>
            </w:r>
          </w:p>
        </w:tc>
        <w:tc>
          <w:tcPr>
            <w:tcW w:w="8131" w:type="dxa"/>
          </w:tcPr>
          <w:p w14:paraId="4FC000D6" w14:textId="77777777" w:rsidR="009D6580" w:rsidRPr="002A677E" w:rsidRDefault="009D6580" w:rsidP="00822842">
            <w:pPr>
              <w:autoSpaceDE w:val="0"/>
              <w:autoSpaceDN w:val="0"/>
              <w:adjustRightInd w:val="0"/>
              <w:rPr>
                <w:sz w:val="24"/>
                <w:rFonts w:ascii="Times New Roman" w:hAnsi="Times New Roman"/>
              </w:rPr>
            </w:pPr>
            <w:r>
              <w:rPr>
                <w:b/>
                <w:sz w:val="24"/>
                <w:u w:val="single"/>
                <w:rFonts w:ascii="Times New Roman" w:hAnsi="Times New Roman"/>
              </w:rPr>
              <w:t xml:space="preserve">2 % sliekšņa izmantošana tirdzniecības portfeļa darījumam</w:t>
            </w:r>
          </w:p>
          <w:p w14:paraId="13ED02AA"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Saskaņā ar Komisijas Deleģētās regulas (ES) Nr. 1152/2014 3. panta 3. punktu iestādes tirdzniecības portfeļa riska darījumus var iedalīt pie savas piederības dalībvalsts, ja kopējie tirdzniecības portfeļa riska darījumi nepārsniedz 2 % no to kopējiem vispārējā kredītriska darījumiem, tirdzniecības portfeļa un vērtspapīrošanas riska darījumiem.</w:t>
            </w:r>
          </w:p>
          <w:p w14:paraId="068BDCF9" w14:textId="77777777" w:rsidR="009D6580" w:rsidRPr="002A677E" w:rsidRDefault="009D6580" w:rsidP="00822842">
            <w:pPr>
              <w:rPr>
                <w:sz w:val="24"/>
                <w:rFonts w:ascii="Times New Roman" w:hAnsi="Times New Roman"/>
              </w:rPr>
            </w:pPr>
            <w:r>
              <w:rPr>
                <w:sz w:val="24"/>
                <w:rFonts w:ascii="Times New Roman" w:hAnsi="Times New Roman"/>
              </w:rPr>
              <w:t xml:space="preserve">Ja iestāde izmanto šo atkāpi, tā norāda “y” veidnē par jurisdikciju, kas atbilst tās piederības dalībvalstij, un visu valstu postenī “Kopā”.</w:t>
            </w:r>
          </w:p>
          <w:p w14:paraId="3EA8EC30"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Ja iestāde neizmanto šo atkāpi, tā norāda “n” attiecīgajā šūnā.</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sz w:val="20"/>
          <w:szCs w:val="20"/>
          <w:rFonts w:ascii="Times New Roman" w:hAnsi="Times New Roman"/>
        </w:rPr>
      </w:pPr>
      <w:r>
        <w:rPr>
          <w:rStyle w:val="FootnoteReference"/>
          <w:rFonts w:ascii="Times New Roman" w:hAnsi="Times New Roman"/>
          <w:sz w:val="20"/>
          <w:szCs w:val="20"/>
        </w:rPr>
        <w:footnoteRef/>
      </w:r>
      <w:r>
        <w:rPr>
          <w:sz w:val="20"/>
          <w:rFonts w:ascii="Times New Roman" w:hAnsi="Times New Roman"/>
        </w:rPr>
        <w:tab/>
      </w:r>
      <w:r>
        <w:rPr>
          <w:sz w:val="20"/>
          <w:color w:val="444444"/>
          <w:rFonts w:ascii="Times New Roman" w:hAnsi="Times New Roman"/>
        </w:rPr>
        <w:t xml:space="preserve">Komisijas Deleģētā Regula (ES) Nr. 1152/2014 (2014. gada 4. jūnijs), ar ko papildina Eiropas Parlamenta un Padomes Direktīvu 2013/36/ES attiecībā uz regulatīvajiem tehniskajiem standartiem par attiecīgo kredītriska darījumu ģeogrāfiskās atrašanās vietas noteikšanu iestādes specifisko pretciklisko kapitāla rezervju aprēķināšanai (OV L 309, 30.10.2014, 5.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35336C"/>
    <w:rsid w:val="00381D02"/>
    <w:rsid w:val="003C36D5"/>
    <w:rsid w:val="003D18F9"/>
    <w:rsid w:val="005644CB"/>
    <w:rsid w:val="005B37F0"/>
    <w:rsid w:val="005E7811"/>
    <w:rsid w:val="00631623"/>
    <w:rsid w:val="0064771D"/>
    <w:rsid w:val="00681B25"/>
    <w:rsid w:val="006D3385"/>
    <w:rsid w:val="007F4E89"/>
    <w:rsid w:val="00837F98"/>
    <w:rsid w:val="00910F63"/>
    <w:rsid w:val="009860C5"/>
    <w:rsid w:val="009D6580"/>
    <w:rsid w:val="00A6002C"/>
    <w:rsid w:val="00A931D0"/>
    <w:rsid w:val="00AF2BE6"/>
    <w:rsid w:val="00B3003C"/>
    <w:rsid w:val="00B56773"/>
    <w:rsid w:val="00B71F25"/>
    <w:rsid w:val="00BA13AD"/>
    <w:rsid w:val="00C04862"/>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val="lv-LV"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val="lv-LV"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val="lv-LV"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val="lv-LV"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val="lv-LV"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val="lv-LV"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val="lv-LV"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lv-LV"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lv-LV"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lv-LV"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lv-LV"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lv-LV"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lv-LV"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val="lv-LV"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lv-LV"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val="lv-LV"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lv-LV"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lv-LV"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val="lv-LV"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lv-LV"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val="lv-LV"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lv-LV"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val="lv-LV"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lv-LV"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val="lv-LV"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lv-LV"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lv-LV"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val="lv-LV"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val="lv-LV"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val="lv-LV"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lv-LV"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lang w:val="lv-LV"/>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lv-LV"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lang w:val="lv-LV"/>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val="lv-LV"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lv-LV"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lang w:val="lv-LV"/>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lang w:val="lv-LV"/>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lang w:val="lv-LV"/>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lang w:val="lv-LV"/>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val="lv-LV" w:eastAsia="en-GB"/>
    </w:rPr>
  </w:style>
  <w:style w:type="paragraph" w:customStyle="1" w:styleId="List1">
    <w:name w:val="List1"/>
    <w:autoRedefine/>
    <w:qFormat/>
    <w:rsid w:val="009D6580"/>
    <w:pPr>
      <w:numPr>
        <w:numId w:val="23"/>
      </w:numPr>
      <w:spacing w:after="0" w:line="240" w:lineRule="auto"/>
    </w:pPr>
    <w:rPr>
      <w:rFonts w:eastAsiaTheme="minorEastAsia"/>
      <w:kern w:val="0"/>
      <w:lang w:val="lv-LV"/>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lang w:val="lv-LV"/>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lang w:val="lv-LV"/>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lv-LV"/>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lang w:val="lv-LV"/>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lang w:val="lv-LV"/>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val="lv-LV"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lang w:val="lv-LV"/>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lang w:val="lv-LV"/>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lang w:val="lv-LV"/>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lang w:val="lv-LV"/>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lv-LV"/>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lv-LV"/>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val="lv-LV"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lang w:val="lv-LV"/>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lang w:val="lv-LV"/>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val="lv-LV"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val="lv-LV"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val="lv-LV"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val="lv-LV"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val="lv-LV"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lv-LV"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val="lv-LV"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B2D5B2-41BD-435F-BA3E-232D6F1F986C}"/>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3827</Words>
  <Characters>22237</Characters>
  <Application>Microsoft Office Word</Application>
  <DocSecurity>0</DocSecurity>
  <Lines>427</Lines>
  <Paragraphs>138</Paragraphs>
  <ScaleCrop>false</ScaleCrop>
  <Company/>
  <LinksUpToDate>false</LinksUpToDate>
  <CharactersWithSpaces>25926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2024-07-04T16:47:00Z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