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LV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II PIELIKUMS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“II PIELIKUMS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NORĀDES PĀRSKATU SNIEGŠANAI PAR PAŠU KAPITĀLU UN PAŠU KAPITĀLA PRASĪBĀM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Satura rādītājs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I DAĻA.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VISPĀRĪGI NORĀDĪJUMI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STRUKTŪRA UN KONVENCIJAS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STRUKTŪRA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PIEŅEMTĀ PRAKSE ATTIECĪBĀ UZ NUMERĀCIJU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PIEŅEMTĀ PRAKSE ATTIECĪBĀ UZ ZĪMĒM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II DAĻA.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NORĀDES SAISTĪBĀ AR VEIDNI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PĀRSKATS PAR KAPITĀLA PIETIEKAMĪBU (CA)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 – PAŠU KAPITĀLS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02.00 – PAŠU KAPITĀLA PRASĪBAS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 — KAPITĀLA RĀDĪTĀJI UN KAPITĀLA LĪMEŅI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 — IZZIŅAS POSTEŅI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PĀREJAS NOTEIKUMI UN INSTRUMENTI, ATTIECĪBĀ UZ KURIEM PIEMĒROTAS TIESĪBAS SAGLABĀT IEPRIEKŠ SPĒKĀ ESOŠOS NOSACĪJUMUS: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INSTRUMENTI, KAS NAV UZSKATĀMI PAR VALSTS ATBALSTU (CA 5)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 – PĀREJAS NOTEIKUMI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05.02 — INSTRUMENTI, ATTIECĪBĀ UZ KURIEM PIEMĒROTAS TIESĪBAS SAGLABĀT IEPRIEKŠ SPĒKĀ ESOŠOS NOSACĪJUMUS: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INSTRUMENTI, KAS NAV UZSKATĀMI PAR VALSTS ATBALSTU (CA5.2.)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GRUPAS MAKSĀTSPĒJA: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INFORMĀCIJA PAR SAISTĪTĀM SABIEDRĪBĀM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DETALIZĒTA INFORMĀCIJA PAR GRUPAS MAKSĀTSPĒJU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INFORMĀCIJA PAR INDIVIDUĀLU SABIEDRĪBU DEVUMU GRUPAS MAKSĀTSPĒJĀ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 – GRUPAS MAKSĀTSPĒJA: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INFORMĀCIJA PAR SAISTĪTĀM SABIEDRĪBĀM (GS KOPĀ)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 – GRUPAS MAKSĀTSPĒJA: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INFORMĀCIJA PAR SAISTĪTĀM SABIEDRĪBĀM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KREDĪTRISKA VEIDNES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PĀRSKATU SNIEGŠANA PAR KREDĪTRISKA MAZINĀŠANAS (KRM) METODĒM AR AIZSTĀŠANAS EFEKTU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PĀRSKATU SNIEGŠANA PAR DARĪJUMA PARTNERA KREDĪTRISKU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07.00 – KREDĪTRISKS UN DARĪJUMA PARTNERA KREDĪTRISKS,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STANDARTIZĒTA PIEEJA KAPITĀLA PRASĪBĀM (CR 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 SA VEIDNES TVĒRUMS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RISKA DARĪJUMU IEDALĪŠANA RISKA DARĪJUMU KATEGORIJĀS SASKAŅĀ AR STANDARTIZĒTO PIEEJU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SKAIDROJUMI PAR DAŽU TĀDU KONKRĒTU RISKA DARĪJUMU KATEGORIJU TVĒRUMU, KAS MINĒTAS REGULAS (ES) Nr. 575/2013 112. PANTĀ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RISKA DARĪJUMU KATEGORIJA “IESTĀDES”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RISKA DARĪJUMU KATEGORIJA “SEGTĀS OBLIGĀCIJAS”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RISKA DARĪJUMU KATEGORIJA “KOLEKTĪVO IEGULDĪJUMU UZŅĒMUMI”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KREDĪTRISKS UN DARĪJUMA PARTNERA KREDĪTRISKS,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PIEEJA PAŠU KAPITĀLA PRASĪBĀM (CR 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 IRB VEIDNES TVĒRUMS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 IRB VEIDNES SADALĪJUMS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08.02 – KREDĪTRISKS UN DARĪJUMA PARTNERA KREDĪTRISKS,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KREDĪTRISKS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PIEEJA KAPITĀLA PRASĪBĀM — IRB PIEEJA KAPITĀLA PRASĪBĀM – SADALĪJUMS PA PARĀDNIEKU KATEGORIJĀM VAI PORTFEĻIEM (CR IRB 2 VEIDNE)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08.03. KREDĪTRISKS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PIEEJA KAPITĀLA PRASĪBĀM (SADALĪJUMS PA PD DIAPAZONIEM (CR IRB 3))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08.04. KREDĪTRISKS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PIEEJA KAPITĀLA PRASĪBĀM (RWEA PLŪSMAS PĀRSKATI (CR IRB 4))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08.05. KREDĪTRISKS UN NEAPMAKSĀTAS PIEGĀDES: IRB PIEEJA KAPITĀLA PRASĪBĀM: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PD ATPAKAĻEJOŠAS PĀRBAUDES (CR IRB 5)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08.05.1.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KREDĪTRISKS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PIEEJA KAPITĀLA PRASĪBĀM — PD ATPAKAĻEJOŠAS PĀRBAUDES SASKAŅĀ AR REGULAS (ES) Nr. 575/2013 180. PANTA 1. PUNKTA F) APAKŠPUNKTU (CR IRB 5B).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08.06. KREDĪTRISKS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PIEEJA KAPITĀLA PRASĪBĀM (SPECIALIZĒTĀS KREDITĒŠANAS IEDALĪJUMA PIEEJA (CR IRB 6))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08.07. KREDĪTRISKS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PIEEJA KAPITĀLA PRASĪBĀM (IRB UN SP PIEEJU IZMANTOŠANAS TVĒRUMS (CR IRB 7))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KREDĪTRISKS UN DARĪJUMA PARTNERA KREDĪTRISKS,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INFORMĀCIJA AR ĢEOGRĀFISKO SADALĪJUMU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 – RISKA DARĪJUMU ĢEOGRĀFISKAIS SADALĪJUMS PĒC PARĀDNIEKA REZIDENCES VIETAS: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 RISKA DARĪJUMI (CR GB 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09.02. – RISKA DARĪJUMU ĢEOGRĀFISKAIS SADALĪJUMS PĒC PARĀDNIEKA REZIDENCES VIETAS: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RISKA DARĪJUMI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09.04. - TO KREDĪTRISKA DARĪJUMU SADALĪJUMS, KURI IR NOZĪMĪGI PRETCIKLISKO REZERVJU APRĒĶINĀŠANAI, PA VALSTĪM UN IESTĀDES SPECIFISKO PRETCIKLISKO REZERVJU (CCB) NORMĀM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10.00. – KREDĪTRISKS UN DARĪJUMA PARTNERA KREDĪTRISKS, UN NEAPMAKSĀTAS PIEGĀDES: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RISKA DARĪJUMI, KURIEM PIEMĒRO PAŠU KAPITĀLA MINIMĀLO ROBEŽVĒRTĪBU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VISPĀRĪGAS PIEZĪMES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10.01 UN C 10.02 — KAPITĀLA VĒRTSPAPĪRU RISKA DARĪJUMI ATBILSTOŠI UZ IEKŠĒJIEM REITINGIEM BALSTĪTAJAI PIEEJAI (CR EQU IRB 1 UN CR EQU IRB 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 (PIEMĒRO GAN CR EQU IRB 1, GAN CR EQU IRB 2)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11.00 — NORĒĶINU/PIEGĀDES RISKS (CR 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13.01 KREDĪTRISKS — VĒRTSPAPĪROŠANA (CR 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DETALIZĒTA INFORMĀCIJA PAR VĒRTSPAPĪROŠANU (SEC DETAILS)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SEC DETAILS VEIDNES TVĒRUMS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3.8.2. SEC DETAILS VEIDNES SADALĪJUMS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3.8.3. C 14.00. – DETALIZĒTA INFORMĀCIJA PAR VĒRTSPAPĪROŠANU (SEC DETAILS)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14.01. — DETALIZĒTA INFORMĀCIJA PAR VĒRTSPAPĪROŠANU (SEC DETAILS 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DARĪJUMA PARTNERA KREDĪTRISKS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DARĪJUMA PARTNERA KREDĪTRISKA VEIDŅU TVĒRUMS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34.01. – ATVASINĀTO INSTRUMENTU DARĪJUMU APMĒRS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34.02. - CCR RISKA DARĪJUMI DALĪJUMĀ PA PIEEJĀM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34.03 – CCR RISKA DARĪJUMI PĒC STANDARTIZĒTĀM PIEEJĀM: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SA-CCR VAI VIENKĀRŠOTĀ SA-CCR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34.04. – CCR RISKA DARĪJUMI PĒC SĀKOTNĒJĀS DARĪJUMU VĒRTĪBAS METODES (OEM)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34.05. – CCR RISKA DARĪJUMI PĒC IEKŠĒJĀ MODEĻA METODES (IMM)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34.06. – DIVDESMIT LIELĀKIE DARĪJUMA PARTNERI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34.07 - IRB PIEEJA – CCR RISKA DARĪJUMI DALĪJUMĀ PA RISKA DARĪJUMU KATEGORIJĀM UN PD DIAPAZONIEM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34.08 - CCR RISKA DARĪJUMU NODROŠINĀJUMA SASTĀVS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34.09 - KREDĪTU ATVASINĀTIE INSTRUMENTI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34.10 - RISKA DARĪJUMI AR CCP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34.11 - RISKA DARĪJUMU RISKA SVĒRTO VĒRTĪBU (RWEA) PLŪSMU PĀRSKATS PAR CCR RISKA DARĪJUMIEM SASKAŅĀ AR IMM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OPERACIONĀLĀ RISKA VEIDNES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16.00. – OPERACIONĀLAIS RISKS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OPERACIONĀLAIS RISKS: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DETALIZĒTA INFORMĀCIJA PAR ZAUDĒJUMIEM PĒDĒJĀ GADĀ (OPR DETAILS)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17.01.: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OPERACIONĀLAIS RISKS: PĒDĒJĀ GADA ZAUDĒJUMI UN ZAUDĒJUMU ATLĪDZINĀJUMI PĒC DARBĪBAS JOMĀM UN ZAUDĒJUMU NOTIKUMU VEIDIEM (OPR DETAILS 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17.02.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OPERACIONĀLAIS RISKS: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DETALIZĒTA INFORMĀCIJA PAR LIELĀKO ZAUDĒJUMU NOTIKUMIEM PĒDĒJĀ GADĀ (OPR DETAILS 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TIRGUS RISKA VEIDNES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18.00. – TIRGUS RISKS: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STANDARTIZĒTĀ PIEEJA ATTIECĪBĀ UZ POZĪCIJAS RISKIEM TIRGOTAJOS PARĀDA INSTRUMENTOS (MKR SA 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19.00. — TIRGUS RISKS: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STANDARTIZĒTĀ PIEEJA ATTIECĪBĀ UZ VĒRTSPAPĪROŠANAS SPECIFISKO RISKU (MKR SA 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20.00. — TIRGUS RISKS: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STANDARTIZĒTĀ PIEEJA ATTIECĪBĀ UZ KORELĀCIJAS TIRDZNIECĪBAS PORTFEĻA POZĪCIJU SPECIFISKO RISKU (MKR SA CTP)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21.00. — TIRGUS RISKS: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STANDARTIZĒTĀ PIEEJA ATTIECĪBĀ UZ KAPITĀLA VĒRTSPAPĪRU POZĪCIJAS RISKU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22.00. — TIRGUS RISKS: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STANDARTIZĒTĀ PIEEJA ATTIECĪBĀ UZ ĀRVALSTU VALŪTAS RISKU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23.00. — TIRGUS RISKS: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STANDARTIZĒTĀS PIEEJAS ATTIECĪBĀ UZ PRECĒM (MKR SA 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24.00. — TIRGUS RISKA IEKŠĒJAIS MODELIS (MKR 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25.00. — KREDĪTA VĒRTĪBAS KOREKCIJAS RISKS (CVA)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PIESARDZĪGA VĒRTĒŠANA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32.01 – PIESARDZĪGA VĒRTĒŠANA: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PĒC PATIESĀS VĒRTĪBAS VĒRTĒTI AKTĪVI UN SAISTĪBAS (PRUVAL 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32.02. – PIESARDZĪGA VĒRTĒŠANA: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PAMATPIEEJA (PRUVAL 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32.03. – PIESARDZĪGA VĒRTĒŠANA: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MODEĻA RISKA PVK (PRUVAL 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 C 32.04. – PIESARDZĪGA VĒRTĒŠANA: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KONCENTRĒTU POZĪCIJU PVK (PRUVAL 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33.00. – RISKA DARĪJUMI AR VISPĀRĒJĀM VALDĪBĀM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RISKA DARĪJUMU AR “VISPĀRĒJĀM VALDĪBĀM” VEIDNES TVĒRUMS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IEŅĒMUMUS NENESOŠO RISKA DARĪJUMU RADĪTO ZAUDĒJUMU SEGUMS (NPE 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35.01. – ATSKAITĪJUMU APRĒĶINS IEŅĒMUMUS NENESOŠIEM RISKA DARĪJUMIEM (NPE 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35.02. – NPE SEGUMA MINIMUMA PRASĪBAS UN VĒRTĪBAS, ATSKAITOT PĀRSKATĪTOS RISKA DARĪJUMUS, UZ KURIEM ATTIECAS REGULAS (ES) NR. 575/2013 47.C PANTA 6. PUNKTS (NPE 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35.03. – PĀRSKATĪTO INRD, UZ KURIEM ATTIECAS Regulas (ES) NR. 575/2013 47.C PANTA 6. PUNKTS, SEGUMA MINIMUMA PRASĪBAS UN VĒRTĪBAS (NPE 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NORĀDES ATTIECĪBĀ UZ KONKRĒTĀM POZĪCIJĀM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TIRDZNIECĪBAS PORTFEĻA UN TIRGUS RISKA ROBEŽVĒRTĪBAS, ROBEŽA STARP TIRDZNIECĪBAS PORTFELI UN NETIRDZNIECĪBAS PORTFELI UN PĀRKLASIFICĒŠANA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90.00. TIRDZNIECĪBAS PORTFEĻA UN TIRGUS RISKA ROBEŽVĒRTĪBAS (TBT)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 ROBEŽA STARP TIRDZNIECĪBAS PORTFELI UN NETIRDZNIECĪBAS PORTFELI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VISPĀRĪGAS PIEZĪMES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90.05. - ROBEŽA: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TIRDZNIECĪBAS PORTFELIS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9.2.2.1. VISPĀRĪGAS PIEZĪMES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9.2.2.2. NORĀDES PAR KONKRĒTĀM POZĪCIJĀM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90.06. - ROBEŽA: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NETIRDZNIECĪBAS PORTFELIS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9.2.3.1. VISPĀRĪGAS PIEZĪMES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9.2.3.2. NORĀDES PAR KONKRĒTĀM POZĪCIJĀM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 C 24.01. - TIRDZNIECĪBAS PORTFEĻA ROBEŽA - PĀRKLASIFICĒŠANA STARP PORTFEĻIEM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36.00. - RISKA DARĪJUMI AR KRIPTOAKTĪVIEM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10.1. VISPĀRĪGAS PIEZĪMES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10.2. – NORĀDES PAR KONKRĒTĀM POZĪCIJĀM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I DAĻA.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VISPĀRĪGI NORĀDĪJUMI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STRUKTŪRA UN KONVENCIJAS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STRUKTŪRA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Kopumā šis regulējums attiecas uz sešiem tematiem: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kapitāla pietiekamība, pārskats par regulējošām prasībām atbilstošu kapitālu, kopējā riska darījumu vērtība;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piesardzīga vērtēšana;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ieņēmumus nenesošo riska darījumu radīto zaudējumu segums;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grupas maksātspēja, pārskats par visu to individuālo sabiedrību maksātspējas prasību izpildi, kuras iekļautas pārskatu sniedzošās sabiedrības konsolidācijas tvērumā;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kredītrisks (tostarp darījuma partnera kredītrisks, atgūstamās vērtības samazinājuma risks un norēķinu risks);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tirgus risks (tostarp pozīcijas risks tirdzniecības portfelī, ārvalstu valūtas risks, preču risks un kredīta vērtības korekcijas (CVA) risks);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operacionālais risks;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f) vispārējo valdību riska darījumi;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g) riska darījumi ar kriptoaktīviem.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Attiecībā uz katru veidni ir sniegtas atsauces uz tiesību aktiem.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Šajā šīs īstenošanas regulas daļā ir iekļauta detalizētāka informācija par vispārīgākiem pārskatu sniegšanas aspektiem attiecībā uz katru veidņu bloku, norādes par konkrētām pozīcijām, kā arī validācijas noteikumi.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Iestādēm atkarībā no pieejas, kas izmantota, lai noteiktu pašu kapitāla prasības, ir jāiesniedz tikai tās veidnes, kuras ir būtiskas.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Numerācijas konvencijas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Atsaucoties uz veidņu slejām, rindām un šūnām, dokumentā izmanto pieņemto praksi attiecībā uz apzīmējumiem, kas norādīta 5.–8. punktā.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Minētos ciparu kodus plaši izmanto validācijas noteikumos.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Norādījumos izmantots šāds vispārējs apzīmējums: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{Veidne;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Rinda;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Sleja}.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Ja validāciju veic veidnē, kurā izmantoti tikai minētās veidnes datu punkti, apzīmējumi neattiecas uz veidni: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{Rinda;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Sleja}.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Ja veidnēs ir tikai viena sleja, atsaucas vienīgi uz rindām: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{Veidne;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Rinda}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Zvaigznītes zīmi izmanto, lai norādītu, ka validāciju veic attiecībā uz iepriekš norādītām rindām vai slejām.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Pieņemtā prakse attiecībā uz zīmēm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Jebkuru summu, kas palielina pašu kapitālu vai kapitāla prasības, uzrāda kā pozitīvu skaitli.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Turpretim summu, kas samazina kopējo pašu kapitālu vai kapitāla prasības, uzrāda kā negatīvu skaitli.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Ja pirms kāda posteņa apzīmējuma ir mīnuszīme (–), šim postenim nav paredzamas pozitīvas vērtības.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[ieraksta nav].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I oficiālai lietošanai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I oficiālai lietošanai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I oficiālai lietošanai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lv-LV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lv-LV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lv-LV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lv-LV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lv-LV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lv-LV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lv-LV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lv-LV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lv-LV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lv-LV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lv-LV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lv-LV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lv-LV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lv-LV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lv-LV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lv-LV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lv-LV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lv-LV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lv-LV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lv-LV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lv-LV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lv-LV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lv-LV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lv-LV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lv-LV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lv-LV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lv-LV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lv-LV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lv-LV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lv-LV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lv-LV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lv-LV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lv-LV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lv-LV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lv-LV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lv-LV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lv-LV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lv-LV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lv-LV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lv-LV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lv-LV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lv-LV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lv-LV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lv-LV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lv-LV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2FAAA0-E2A0-4D7C-8FB8-2BDA8FAF7AB1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