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55CEC" w14:textId="77777777" w:rsidR="004B3EB4" w:rsidRDefault="004B3EB4" w:rsidP="004B3EB4">
      <w:pPr>
        <w:jc w:val="center"/>
        <w:rPr>
          <w:rFonts w:ascii="Times New Roman" w:hAnsi="Times New Roman"/>
          <w:sz w:val="24"/>
          <w:szCs w:val="22"/>
        </w:rPr>
      </w:pPr>
      <w:bookmarkStart w:id="0" w:name="_Toc360188413"/>
      <w:bookmarkStart w:id="1" w:name="_Toc473561053"/>
      <w:bookmarkStart w:id="2" w:name="_Toc117766050"/>
      <w:r>
        <w:rPr>
          <w:rFonts w:ascii="Times New Roman" w:hAnsi="Times New Roman"/>
          <w:sz w:val="24"/>
        </w:rPr>
        <w:t>CS</w:t>
      </w:r>
    </w:p>
    <w:p w14:paraId="673AA6A5" w14:textId="77777777" w:rsidR="004B3EB4" w:rsidRDefault="004B3EB4" w:rsidP="004B3EB4">
      <w:pPr>
        <w:rPr>
          <w:rFonts w:asciiTheme="minorHAnsi" w:hAnsiTheme="minorHAnsi"/>
          <w:sz w:val="22"/>
        </w:rPr>
      </w:pPr>
    </w:p>
    <w:p w14:paraId="714F1821" w14:textId="77777777" w:rsidR="009A273F" w:rsidRPr="00037E7B" w:rsidRDefault="009A273F" w:rsidP="009A273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PŘÍLOHA II</w:t>
      </w:r>
    </w:p>
    <w:p w14:paraId="025DAC25" w14:textId="77777777" w:rsidR="009A273F" w:rsidRPr="00037E7B" w:rsidRDefault="009A273F" w:rsidP="009A273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„PŘÍLOHA II</w:t>
      </w:r>
    </w:p>
    <w:p w14:paraId="5EA1A82F" w14:textId="77777777" w:rsidR="009A273F" w:rsidRPr="00037E7B" w:rsidRDefault="009A273F" w:rsidP="009A273F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POKYNY PRO PODÁVÁNÍ ZPRÁV O KAPITÁLU A KAPITÁLOVÝCH POŽADAVCÍCH</w:t>
      </w:r>
    </w:p>
    <w:p w14:paraId="7ABDFB60" w14:textId="77777777" w:rsidR="009A273F" w:rsidRDefault="009A273F" w:rsidP="009A273F"/>
    <w:p w14:paraId="65617CB9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ČÁST II: POKYNY PRO VYPLNĚNÍ ŠABLONY</w:t>
      </w:r>
    </w:p>
    <w:p w14:paraId="67FA9FF1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49367E83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07BCB996" w14:textId="77777777" w:rsidR="009A273F" w:rsidRDefault="009A273F" w:rsidP="009A273F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</w:p>
    <w:p w14:paraId="2A449DF9" w14:textId="75B5D8AF" w:rsidR="00DD5030" w:rsidRPr="002A677E" w:rsidRDefault="00606FB5" w:rsidP="009A273F">
      <w:pPr>
        <w:spacing w:before="0" w:after="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5.8</w:t>
      </w:r>
      <w:r>
        <w:tab/>
      </w:r>
      <w:r>
        <w:rPr>
          <w:rFonts w:ascii="Times New Roman" w:hAnsi="Times New Roman"/>
          <w:sz w:val="24"/>
        </w:rPr>
        <w:t>C 25.01 – RIZIKO ÚVĚROVÝCH ÚPRAV V OCENĚNÍ</w:t>
      </w:r>
      <w:r>
        <w:t xml:space="preserve"> </w:t>
      </w:r>
      <w:bookmarkEnd w:id="0"/>
      <w:r>
        <w:rPr>
          <w:rFonts w:ascii="Times New Roman" w:hAnsi="Times New Roman"/>
          <w:sz w:val="24"/>
        </w:rPr>
        <w:t>(CVA)</w:t>
      </w:r>
      <w:bookmarkEnd w:id="1"/>
      <w:bookmarkEnd w:id="2"/>
    </w:p>
    <w:p w14:paraId="33239E01" w14:textId="77777777" w:rsidR="00606FB5" w:rsidRDefault="00606FB5" w:rsidP="00606FB5">
      <w:pPr>
        <w:pStyle w:val="Instructionsberschrift2"/>
        <w:numPr>
          <w:ilvl w:val="0"/>
          <w:numId w:val="0"/>
        </w:numPr>
        <w:ind w:left="357" w:hanging="357"/>
        <w:rPr>
          <w:rFonts w:ascii="Times New Roman" w:hAnsi="Times New Roman" w:cs="Times New Roman"/>
          <w:sz w:val="24"/>
        </w:rPr>
      </w:pPr>
      <w:bookmarkStart w:id="3" w:name="_Toc360188414"/>
      <w:bookmarkStart w:id="4" w:name="_Toc473561054"/>
      <w:bookmarkStart w:id="5" w:name="_Toc117766051"/>
      <w:bookmarkStart w:id="6" w:name="_Toc310008820"/>
      <w:r>
        <w:rPr>
          <w:rFonts w:ascii="Times New Roman" w:hAnsi="Times New Roman"/>
          <w:sz w:val="24"/>
          <w:u w:val="none"/>
        </w:rPr>
        <w:t>5.8.1</w:t>
      </w:r>
      <w:r w:rsidRPr="0055134C">
        <w:rPr>
          <w:u w:val="none"/>
        </w:rPr>
        <w:tab/>
      </w:r>
      <w:r>
        <w:rPr>
          <w:rFonts w:ascii="Times New Roman" w:hAnsi="Times New Roman"/>
          <w:sz w:val="24"/>
        </w:rPr>
        <w:t>Pokyny pro konkrétní pozice</w:t>
      </w:r>
      <w:bookmarkEnd w:id="3"/>
      <w:bookmarkEnd w:id="4"/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2"/>
        <w:gridCol w:w="7844"/>
      </w:tblGrid>
      <w:tr w:rsidR="00680687" w:rsidRPr="002A677E" w14:paraId="0110EC19" w14:textId="77777777" w:rsidTr="006A3ADC">
        <w:tc>
          <w:tcPr>
            <w:tcW w:w="9016" w:type="dxa"/>
            <w:gridSpan w:val="2"/>
            <w:shd w:val="clear" w:color="auto" w:fill="CCCCCC"/>
          </w:tcPr>
          <w:p w14:paraId="42563A8C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Sloupce</w:t>
            </w:r>
          </w:p>
        </w:tc>
      </w:tr>
      <w:tr w:rsidR="00680687" w:rsidRPr="002A677E" w14:paraId="22C86396" w14:textId="77777777" w:rsidTr="006A3ADC">
        <w:tc>
          <w:tcPr>
            <w:tcW w:w="1172" w:type="dxa"/>
          </w:tcPr>
          <w:p w14:paraId="013E2964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844" w:type="dxa"/>
          </w:tcPr>
          <w:p w14:paraId="48C69E8C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CCR hodnota expozice</w:t>
            </w:r>
          </w:p>
          <w:p w14:paraId="06BD2F33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expozice pro úvěrové riziko protistrany (CCR) vypočtená v souladu s metodami stanovenými v části třetí hlavě II kapitolách 4 a 6 nařízení (EU) č. 575/2013.</w:t>
            </w:r>
          </w:p>
        </w:tc>
      </w:tr>
      <w:tr w:rsidR="00680687" w:rsidRPr="002A677E" w14:paraId="117387BA" w14:textId="77777777" w:rsidTr="006A3ADC">
        <w:tc>
          <w:tcPr>
            <w:tcW w:w="1172" w:type="dxa"/>
          </w:tcPr>
          <w:p w14:paraId="7CA143D6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844" w:type="dxa"/>
          </w:tcPr>
          <w:p w14:paraId="51B45A7C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 pro CCR</w:t>
            </w:r>
          </w:p>
          <w:p w14:paraId="0F0016B3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Kapitálové požadavky pro CCR (čl. 92 odst. 4 písm. a) a g) a část třetí hlava VI nařízení (EU) č. 575/2013).</w:t>
            </w:r>
          </w:p>
        </w:tc>
      </w:tr>
      <w:tr w:rsidR="00680687" w:rsidRPr="002A677E" w14:paraId="5F978FE1" w14:textId="77777777" w:rsidTr="006A3ADC">
        <w:tc>
          <w:tcPr>
            <w:tcW w:w="1172" w:type="dxa"/>
          </w:tcPr>
          <w:p w14:paraId="182AB4FA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844" w:type="dxa"/>
          </w:tcPr>
          <w:p w14:paraId="396D9C75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Pomyslná hodnota</w:t>
            </w:r>
          </w:p>
          <w:p w14:paraId="3D1812D7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pomyslných hodnot derivátů před jakýmkoli započtením a bez jakýchkoli úprav v souladu s článkem 279b nařízení (EU) č. 575/2013.</w:t>
            </w:r>
          </w:p>
        </w:tc>
      </w:tr>
      <w:tr w:rsidR="00680687" w:rsidRPr="002A677E" w14:paraId="26F18ADD" w14:textId="77777777" w:rsidTr="006A3ADC">
        <w:tc>
          <w:tcPr>
            <w:tcW w:w="1172" w:type="dxa"/>
          </w:tcPr>
          <w:p w14:paraId="5477996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844" w:type="dxa"/>
          </w:tcPr>
          <w:p w14:paraId="0B450F7D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Podstoupené úvěrové úpravy v ocenění (CVA)</w:t>
            </w:r>
          </w:p>
          <w:p w14:paraId="736FE6AE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Účetní rezervy v důsledku snížené úvěruschopnosti protistran v případě derivátů.</w:t>
            </w:r>
          </w:p>
        </w:tc>
      </w:tr>
      <w:tr w:rsidR="00680687" w:rsidRPr="002A677E" w14:paraId="31462293" w14:textId="77777777" w:rsidTr="006A3ADC">
        <w:tc>
          <w:tcPr>
            <w:tcW w:w="1172" w:type="dxa"/>
          </w:tcPr>
          <w:p w14:paraId="1B68F842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844" w:type="dxa"/>
          </w:tcPr>
          <w:p w14:paraId="2508C9C1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Zjednodušené zacházení s derivátovými pozicemi subjektů kolektivního investování</w:t>
            </w:r>
          </w:p>
          <w:p w14:paraId="5D30B96B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Kapitálové požadavky pro úvěrové úpravy v ocenění (čl. 92 odst. 4 písm. d) a část třetí hlava VI nařízení (EU) č. 575/2013) vypočítané v souladu se zjednodušeným zacházením s derivátovými pozicemi subjektů kolektivního investování ve smyslu čl. 132a odst. 3, čl. 152 odst. 3 a čl. 325j odst. 1 nařízení (EU) č. 575/2013.</w:t>
            </w:r>
          </w:p>
        </w:tc>
      </w:tr>
      <w:tr w:rsidR="00680687" w:rsidRPr="002A677E" w14:paraId="30F1E0DD" w14:textId="77777777" w:rsidTr="006A3ADC">
        <w:tc>
          <w:tcPr>
            <w:tcW w:w="1172" w:type="dxa"/>
          </w:tcPr>
          <w:p w14:paraId="6AA94009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7844" w:type="dxa"/>
          </w:tcPr>
          <w:p w14:paraId="7A0A82EA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Zjednodušená metoda</w:t>
            </w:r>
          </w:p>
          <w:p w14:paraId="004D4F8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Kapitálové požadavky pro transakce, na něž se vztahuje zjednodušená metoda stanovená v článku 385 nařízení (EU) č. 575/2013.</w:t>
            </w:r>
          </w:p>
        </w:tc>
      </w:tr>
      <w:tr w:rsidR="00680687" w:rsidRPr="002A677E" w14:paraId="5F75A918" w14:textId="77777777" w:rsidTr="006A3ADC">
        <w:tc>
          <w:tcPr>
            <w:tcW w:w="1172" w:type="dxa"/>
          </w:tcPr>
          <w:p w14:paraId="4A4C55C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0070</w:t>
            </w:r>
          </w:p>
        </w:tc>
        <w:tc>
          <w:tcPr>
            <w:tcW w:w="7844" w:type="dxa"/>
          </w:tcPr>
          <w:p w14:paraId="6D8487B1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Snížený přístup BA-CVA</w:t>
            </w:r>
          </w:p>
          <w:p w14:paraId="1056729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Kapitálové požadavky pro úvěrové úpravy v ocenění (čl. 92 odst. 4 písm. d) a část třetí hlava VI nařízení (EU) č. 575/2013) vypočítané v souladu s čl. 384 odst. 3 pro instituci, která splňuje podmínku stanovenou v čl. 384 odst. 1 písm. b) nařízení (EU) č. 575/2013.</w:t>
            </w:r>
          </w:p>
        </w:tc>
      </w:tr>
      <w:tr w:rsidR="00680687" w:rsidRPr="002A677E" w14:paraId="775123CE" w14:textId="77777777" w:rsidTr="006A3ADC">
        <w:tc>
          <w:tcPr>
            <w:tcW w:w="1172" w:type="dxa"/>
          </w:tcPr>
          <w:p w14:paraId="3FE4F30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0080–0110</w:t>
            </w:r>
          </w:p>
        </w:tc>
        <w:tc>
          <w:tcPr>
            <w:tcW w:w="7844" w:type="dxa"/>
          </w:tcPr>
          <w:p w14:paraId="4D4D4B28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Úplný přístup BA-CVA</w:t>
            </w:r>
          </w:p>
          <w:p w14:paraId="29492D07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Kapitálové požadavky pro úvěrové úpravy v ocenění (čl. 92 odst. 4 písm. d) a část třetí hlava VI nařízení (EU) č. 575/2013) vypočítané v souladu s čl. 384 odst. 2 pro instituci, která splňuje podmínku stanovenou v čl. 384 odst. 1 písm. a) nařízení (EU) č. 575/2013.</w:t>
            </w:r>
          </w:p>
        </w:tc>
      </w:tr>
      <w:tr w:rsidR="00680687" w:rsidRPr="002A677E" w14:paraId="5CC39791" w14:textId="77777777" w:rsidTr="006A3ADC">
        <w:tc>
          <w:tcPr>
            <w:tcW w:w="1172" w:type="dxa"/>
          </w:tcPr>
          <w:p w14:paraId="7ED793D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844" w:type="dxa"/>
          </w:tcPr>
          <w:p w14:paraId="2F507335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Pomyslná hodnota zajištění CVA</w:t>
            </w:r>
          </w:p>
          <w:p w14:paraId="3C607DB7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Pomyslná hodnota způsobilého zajištění CVA (hrubé hodnoty) uznaná v souladu s článkem 386 nařízení (EU) č. 575/2013.</w:t>
            </w:r>
          </w:p>
        </w:tc>
      </w:tr>
      <w:tr w:rsidR="00680687" w:rsidRPr="002A677E" w14:paraId="25B5BEC0" w14:textId="77777777" w:rsidTr="006A3ADC">
        <w:tc>
          <w:tcPr>
            <w:tcW w:w="1172" w:type="dxa"/>
          </w:tcPr>
          <w:p w14:paraId="569A7775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844" w:type="dxa"/>
          </w:tcPr>
          <w:p w14:paraId="7EE59EEA" w14:textId="77777777" w:rsidR="00680687" w:rsidRPr="005C217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BACVA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csr-nezajištěno</w:t>
            </w:r>
          </w:p>
          <w:p w14:paraId="4A0E67E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BACVA csr-nezajištěno pro transakce podléhající základnímu přístupu vypočtené v souladu s čl. 384 odst. 3 pro instituci, která splňuje podmínku stanovenou v čl. 384 odst. 1 písm. b) nařízení (EU) č. 575/2013.</w:t>
            </w:r>
          </w:p>
        </w:tc>
      </w:tr>
      <w:tr w:rsidR="00680687" w:rsidRPr="002A677E" w14:paraId="1E238074" w14:textId="77777777" w:rsidTr="006A3ADC">
        <w:tc>
          <w:tcPr>
            <w:tcW w:w="1172" w:type="dxa"/>
          </w:tcPr>
          <w:p w14:paraId="48638273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844" w:type="dxa"/>
          </w:tcPr>
          <w:p w14:paraId="2C90402F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vertAlign w:val="superscript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BACVA</w:t>
            </w:r>
            <w:r>
              <w:rPr>
                <w:rFonts w:ascii="Times New Roman" w:hAnsi="Times New Roman"/>
                <w:b/>
                <w:sz w:val="24"/>
                <w:vertAlign w:val="superscript"/>
              </w:rPr>
              <w:t>csr-zajištěno</w:t>
            </w:r>
          </w:p>
          <w:p w14:paraId="34FB0CB6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BACVA csr-zajištěno pro transakce podléhající základnímu přístupu vypočtené v souladu s čl. 384 odst. 2 pro instituci, která splňuje podmínku stanovenou v čl. 384 odst. 1 písm. a) nařízení (EU) č. 575/2013. </w:t>
            </w:r>
          </w:p>
        </w:tc>
      </w:tr>
      <w:tr w:rsidR="00680687" w:rsidRPr="002A677E" w14:paraId="00FE8EDC" w14:textId="77777777" w:rsidTr="006A3ADC">
        <w:tc>
          <w:tcPr>
            <w:tcW w:w="1172" w:type="dxa"/>
          </w:tcPr>
          <w:p w14:paraId="5303AFEA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844" w:type="dxa"/>
          </w:tcPr>
          <w:p w14:paraId="4F8092AD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</w:t>
            </w:r>
          </w:p>
          <w:p w14:paraId="1287DB8E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Celkové kapitálové požadavky pro transakce podléhající úplnému základnímu přístupu vypočtené v souladu s čl. 384 odst. 2 pro instituci, která splňuje podmínku stanovenou v čl. 384 odst. 1 písm. a) nařízení (EU) č. 575/2013.</w:t>
            </w:r>
          </w:p>
        </w:tc>
      </w:tr>
      <w:tr w:rsidR="00680687" w:rsidRPr="002A677E" w14:paraId="4D9D19AA" w14:textId="77777777" w:rsidTr="006A3ADC">
        <w:tc>
          <w:tcPr>
            <w:tcW w:w="1172" w:type="dxa"/>
          </w:tcPr>
          <w:p w14:paraId="40BB5135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0120–0270</w:t>
            </w:r>
          </w:p>
        </w:tc>
        <w:tc>
          <w:tcPr>
            <w:tcW w:w="7844" w:type="dxa"/>
          </w:tcPr>
          <w:p w14:paraId="6D273C70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Přístup SA-CVA</w:t>
            </w:r>
          </w:p>
          <w:p w14:paraId="1546865B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Kapitálové požadavky pro úvěrové úpravy v ocenění (čl. 92 odst. 4 písm. d) a část třetí hlava VI nařízení (EU) č. 575/2013) vypočítané v souladu s článkem 383 pro instituci, která splňuje podmínku stanovenou v čl. 382a odst. 1 písm. a) nařízení (EU) č. 575/2013.</w:t>
            </w:r>
          </w:p>
        </w:tc>
      </w:tr>
      <w:tr w:rsidR="00680687" w:rsidRPr="002A677E" w14:paraId="25255F9B" w14:textId="77777777" w:rsidTr="006A3ADC">
        <w:tc>
          <w:tcPr>
            <w:tcW w:w="1172" w:type="dxa"/>
          </w:tcPr>
          <w:p w14:paraId="1EEE68F9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844" w:type="dxa"/>
          </w:tcPr>
          <w:p w14:paraId="3B3DE69C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Pomyslná hodnota zajištění CVA</w:t>
            </w:r>
          </w:p>
          <w:p w14:paraId="50C4B375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Pomyslná hodnota způsobilého zajištění CVA uznaná v souladu s článkem 386 nařízení (EU) č. 575/2013.</w:t>
            </w:r>
          </w:p>
        </w:tc>
      </w:tr>
      <w:tr w:rsidR="00680687" w:rsidRPr="002A677E" w14:paraId="6842E160" w14:textId="77777777" w:rsidTr="006A3ADC">
        <w:tc>
          <w:tcPr>
            <w:tcW w:w="1172" w:type="dxa"/>
          </w:tcPr>
          <w:p w14:paraId="25D17774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844" w:type="dxa"/>
          </w:tcPr>
          <w:p w14:paraId="6FE0752E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Počet protistran</w:t>
            </w:r>
          </w:p>
          <w:p w14:paraId="10FC4FF6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445a odst. 1 písm. c) nařízení (EU) č. 575/2013.</w:t>
            </w:r>
          </w:p>
          <w:p w14:paraId="3A9459B9" w14:textId="77777777" w:rsidR="00680687" w:rsidRPr="005C217A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Počet protistran ve smyslu čl. 383 odst. 1 nařízení (EU) č. 575/2013 zahrnutých do výpočtu kapitálu pro riziko SA-CVA. Celkový počet se vykazuje v řádku 0010 a členění podle druhu protistrany v řádcích 0170–0220.</w:t>
            </w:r>
          </w:p>
        </w:tc>
      </w:tr>
      <w:tr w:rsidR="00680687" w:rsidRPr="002A677E" w14:paraId="03E5B4A8" w14:textId="77777777" w:rsidTr="006A3ADC">
        <w:tc>
          <w:tcPr>
            <w:tcW w:w="1172" w:type="dxa"/>
          </w:tcPr>
          <w:p w14:paraId="68CD118A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0140–0250</w:t>
            </w:r>
          </w:p>
        </w:tc>
        <w:tc>
          <w:tcPr>
            <w:tcW w:w="7844" w:type="dxa"/>
          </w:tcPr>
          <w:p w14:paraId="1E26CA07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 pro skupiny transakcí se započtením podle přístupu SA-CVA</w:t>
            </w:r>
          </w:p>
          <w:p w14:paraId="512141CA" w14:textId="72FCFDDA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Kapitálové požadavky k riziku SA-CVA v souladu s článkem 383 nařízení (EU) č. 575/2013, včetně členění podle kategorií rizik ve smyslu čl. 383 odst. 2 bodu 1 a pro každou z kategorií rizik kapitálové požadavky k rizikům delta a vega, jak je požadováno v čl. 383 odst. 3 a v souladu s článkem 383b nařízení (EU) č. 575/2013.</w:t>
            </w:r>
          </w:p>
        </w:tc>
      </w:tr>
      <w:tr w:rsidR="00680687" w:rsidRPr="002A677E" w14:paraId="1BC8EFF8" w14:textId="77777777" w:rsidTr="006A3ADC">
        <w:tc>
          <w:tcPr>
            <w:tcW w:w="1172" w:type="dxa"/>
          </w:tcPr>
          <w:p w14:paraId="1E505571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0140–0150</w:t>
            </w:r>
          </w:p>
        </w:tc>
        <w:tc>
          <w:tcPr>
            <w:tcW w:w="7844" w:type="dxa"/>
          </w:tcPr>
          <w:p w14:paraId="0AEAA3AD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 k úrokovému riziku</w:t>
            </w:r>
          </w:p>
          <w:p w14:paraId="6695CC3B" w14:textId="01E1C8B9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Články 383c, 383i, 383j, 383k 383l, 383m nařízení (EU) č. 575/2013.</w:t>
            </w:r>
          </w:p>
        </w:tc>
      </w:tr>
      <w:tr w:rsidR="00680687" w:rsidRPr="002A677E" w14:paraId="728092B0" w14:textId="77777777" w:rsidTr="006A3ADC">
        <w:tc>
          <w:tcPr>
            <w:tcW w:w="1172" w:type="dxa"/>
          </w:tcPr>
          <w:p w14:paraId="06AAAC3A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0160–0170</w:t>
            </w:r>
          </w:p>
        </w:tc>
        <w:tc>
          <w:tcPr>
            <w:tcW w:w="7844" w:type="dxa"/>
          </w:tcPr>
          <w:p w14:paraId="5C9DEA36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 k měnovému riziku</w:t>
            </w:r>
          </w:p>
          <w:p w14:paraId="312EFBD9" w14:textId="6EA3814A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Články 383d, 383i, 383j, 383n, 383o nařízení (EU) č. 575/2013.</w:t>
            </w:r>
          </w:p>
        </w:tc>
      </w:tr>
      <w:tr w:rsidR="00680687" w:rsidRPr="002A677E" w14:paraId="2A26F3BC" w14:textId="77777777" w:rsidTr="006A3ADC">
        <w:tc>
          <w:tcPr>
            <w:tcW w:w="1172" w:type="dxa"/>
          </w:tcPr>
          <w:p w14:paraId="4988687E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0180–0190</w:t>
            </w:r>
          </w:p>
        </w:tc>
        <w:tc>
          <w:tcPr>
            <w:tcW w:w="7844" w:type="dxa"/>
          </w:tcPr>
          <w:p w14:paraId="111D7BAC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 k riziku úvěrového rozpětí protistrany</w:t>
            </w:r>
          </w:p>
          <w:p w14:paraId="331E3D6B" w14:textId="1A5FCDC3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Články 383e, 383i, 383j, 383p 383q, 383r nařízení (EU) č. 575/2013.</w:t>
            </w:r>
          </w:p>
        </w:tc>
      </w:tr>
      <w:tr w:rsidR="00680687" w:rsidRPr="002A677E" w14:paraId="589DE234" w14:textId="77777777" w:rsidTr="006A3ADC">
        <w:tc>
          <w:tcPr>
            <w:tcW w:w="1172" w:type="dxa"/>
          </w:tcPr>
          <w:p w14:paraId="3361402D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0200–0210</w:t>
            </w:r>
          </w:p>
        </w:tc>
        <w:tc>
          <w:tcPr>
            <w:tcW w:w="7844" w:type="dxa"/>
          </w:tcPr>
          <w:p w14:paraId="34E7BFC3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 k riziku referenčního úvěrového rozpětí</w:t>
            </w:r>
          </w:p>
          <w:p w14:paraId="39B46545" w14:textId="148AEA7F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Články 383f, 383i, 383j, 383s, 383u nařízení (EU) č. 575/2013.</w:t>
            </w:r>
          </w:p>
        </w:tc>
      </w:tr>
      <w:tr w:rsidR="00680687" w:rsidRPr="002A677E" w14:paraId="0AA17295" w14:textId="77777777" w:rsidTr="006A3ADC">
        <w:tc>
          <w:tcPr>
            <w:tcW w:w="1172" w:type="dxa"/>
          </w:tcPr>
          <w:p w14:paraId="3BFBD270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0220–0230</w:t>
            </w:r>
          </w:p>
        </w:tc>
        <w:tc>
          <w:tcPr>
            <w:tcW w:w="7844" w:type="dxa"/>
          </w:tcPr>
          <w:p w14:paraId="46C4DB98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 k akciovému riziku</w:t>
            </w:r>
          </w:p>
          <w:p w14:paraId="092925F2" w14:textId="74EFD749" w:rsidR="00680687" w:rsidRPr="00460424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Články 383g, 383i, 383j, 383v, 383w nařízení (EU) č. 575/2013.</w:t>
            </w:r>
          </w:p>
        </w:tc>
      </w:tr>
      <w:tr w:rsidR="00680687" w:rsidRPr="002A677E" w14:paraId="63100E64" w14:textId="77777777" w:rsidTr="006A3ADC">
        <w:tc>
          <w:tcPr>
            <w:tcW w:w="1172" w:type="dxa"/>
          </w:tcPr>
          <w:p w14:paraId="6EB58469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0240–0250</w:t>
            </w:r>
          </w:p>
        </w:tc>
        <w:tc>
          <w:tcPr>
            <w:tcW w:w="7844" w:type="dxa"/>
          </w:tcPr>
          <w:p w14:paraId="44A59885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 ke komoditnímu riziku</w:t>
            </w:r>
          </w:p>
          <w:p w14:paraId="1FD90135" w14:textId="4A1B5A40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Články 383h, 383i, 383j, 383x, 383z nařízení (EU) č. 575/2013.</w:t>
            </w:r>
          </w:p>
        </w:tc>
      </w:tr>
      <w:tr w:rsidR="00680687" w:rsidRPr="002A677E" w14:paraId="6E2BE277" w14:textId="77777777" w:rsidTr="006A3ADC">
        <w:tc>
          <w:tcPr>
            <w:tcW w:w="1172" w:type="dxa"/>
          </w:tcPr>
          <w:p w14:paraId="7A04FEBF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0260</w:t>
            </w:r>
          </w:p>
        </w:tc>
        <w:tc>
          <w:tcPr>
            <w:tcW w:w="7844" w:type="dxa"/>
          </w:tcPr>
          <w:p w14:paraId="2CADDF39" w14:textId="77777777" w:rsidR="00680687" w:rsidRPr="00D143CE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i/>
                <w:sz w:val="24"/>
                <w:u w:val="single"/>
                <w:vertAlign w:val="superscript"/>
              </w:rPr>
              <w:t>m</w:t>
            </w:r>
            <w:r>
              <w:rPr>
                <w:rFonts w:ascii="Times New Roman" w:hAnsi="Times New Roman"/>
                <w:b/>
                <w:sz w:val="24"/>
                <w:u w:val="single"/>
              </w:rPr>
              <w:t>CVA</w:t>
            </w:r>
          </w:p>
          <w:p w14:paraId="25594EAC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Hodnota multiplikátoru </w:t>
            </w:r>
            <w:r>
              <w:rPr>
                <w:rFonts w:ascii="Cambria Math" w:hAnsi="Cambria Math"/>
                <w:sz w:val="24"/>
              </w:rPr>
              <w:t>mCVA</w:t>
            </w:r>
            <w:r>
              <w:rPr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podle čl. 383b odst. 8 nařízení (EU) č. 575/2013</w:t>
            </w:r>
            <w:r>
              <w:rPr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 Vykazuje se hodnota použitá při výpočtu kapitálových požadavků (hodnota rovnající se 1 nebo hodnota zvýšená příslušnými orgány).</w:t>
            </w:r>
          </w:p>
        </w:tc>
      </w:tr>
      <w:tr w:rsidR="00680687" w:rsidRPr="002A677E" w14:paraId="0FFB4692" w14:textId="77777777" w:rsidTr="006A3ADC">
        <w:tc>
          <w:tcPr>
            <w:tcW w:w="1172" w:type="dxa"/>
          </w:tcPr>
          <w:p w14:paraId="249BE219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7844" w:type="dxa"/>
          </w:tcPr>
          <w:p w14:paraId="0B3D9E18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</w:t>
            </w:r>
          </w:p>
          <w:p w14:paraId="55E6BD5C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Kapitálové požadavky pro transakce, na něž se vztahuje SA-CVA, vypočítané podle článku 383 nařízení (EU) č. 575/2013.</w:t>
            </w:r>
          </w:p>
        </w:tc>
      </w:tr>
      <w:tr w:rsidR="00680687" w:rsidRPr="002A677E" w14:paraId="0F30E639" w14:textId="77777777" w:rsidTr="006A3ADC">
        <w:tc>
          <w:tcPr>
            <w:tcW w:w="1172" w:type="dxa"/>
          </w:tcPr>
          <w:p w14:paraId="35CF01D7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0280</w:t>
            </w:r>
          </w:p>
        </w:tc>
        <w:tc>
          <w:tcPr>
            <w:tcW w:w="7844" w:type="dxa"/>
          </w:tcPr>
          <w:p w14:paraId="618674CA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KAPITÁLOVÉ POŽADAVKY CELKEM</w:t>
            </w:r>
          </w:p>
          <w:p w14:paraId="7E3B417F" w14:textId="166217C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Ustanovení čl. 92 odst. 4 písm. e) nařízení (EU) č. 575/2013 </w:t>
            </w:r>
          </w:p>
          <w:p w14:paraId="424C965B" w14:textId="77777777" w:rsidR="00680687" w:rsidRPr="002A677E" w:rsidDel="00024DEA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Celkové kapitálové požadavky pro riziko CVA vypočítané pomocí kteréhokoli z použitelných přístupů uvedených v článku 382a nařízení (EU) č. 575/2013.  V případě, že se použije více než jeden přístup, vykáže se prostý součet všech kapitálových požadavků každého přístupu.</w:t>
            </w:r>
          </w:p>
        </w:tc>
      </w:tr>
      <w:tr w:rsidR="00680687" w:rsidRPr="002A677E" w14:paraId="460901D5" w14:textId="77777777" w:rsidTr="006A3ADC">
        <w:tc>
          <w:tcPr>
            <w:tcW w:w="1172" w:type="dxa"/>
          </w:tcPr>
          <w:p w14:paraId="61FCBEEB" w14:textId="77777777" w:rsidR="00680687" w:rsidRPr="002A677E" w:rsidDel="00024DE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0290</w:t>
            </w:r>
          </w:p>
        </w:tc>
        <w:tc>
          <w:tcPr>
            <w:tcW w:w="7844" w:type="dxa"/>
          </w:tcPr>
          <w:p w14:paraId="38352FA3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CELKOVÉ OBJEMY RIZIKOVÉ EXPOZICE</w:t>
            </w:r>
          </w:p>
          <w:p w14:paraId="6B715A2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 92 odst. 6 nařízení (EU) č. 575/2013.</w:t>
            </w:r>
          </w:p>
          <w:p w14:paraId="769B7CA0" w14:textId="77777777" w:rsidR="00680687" w:rsidRPr="005C217A" w:rsidDel="00024DEA" w:rsidRDefault="00680687" w:rsidP="006A3ADC">
            <w:pPr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Kapitálové požadavky vynásobené multiplikátorem 12,5.</w:t>
            </w:r>
          </w:p>
        </w:tc>
      </w:tr>
      <w:tr w:rsidR="00680687" w:rsidRPr="002A677E" w14:paraId="00C49743" w14:textId="77777777" w:rsidTr="006A3ADC">
        <w:tc>
          <w:tcPr>
            <w:tcW w:w="901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62981E05" w14:textId="77777777" w:rsidR="00680687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680687" w:rsidRPr="002A677E" w14:paraId="39581B57" w14:textId="77777777" w:rsidTr="006A3ADC">
        <w:tc>
          <w:tcPr>
            <w:tcW w:w="9016" w:type="dxa"/>
            <w:gridSpan w:val="2"/>
            <w:shd w:val="clear" w:color="auto" w:fill="CCCCCC"/>
          </w:tcPr>
          <w:p w14:paraId="10EB98F8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Řádky</w:t>
            </w:r>
          </w:p>
        </w:tc>
      </w:tr>
      <w:tr w:rsidR="00680687" w:rsidRPr="002A677E" w14:paraId="7CF1BC60" w14:textId="77777777" w:rsidTr="006A3ADC">
        <w:tc>
          <w:tcPr>
            <w:tcW w:w="1172" w:type="dxa"/>
          </w:tcPr>
          <w:p w14:paraId="041DB542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7844" w:type="dxa"/>
          </w:tcPr>
          <w:p w14:paraId="02BF5C47" w14:textId="77777777" w:rsidR="00680687" w:rsidRPr="00743542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Transakce v rozsahu kapitálového požadavku pro riziko CVA</w:t>
            </w:r>
          </w:p>
          <w:p w14:paraId="0243C539" w14:textId="77777777" w:rsidR="00680687" w:rsidRPr="00DB28D1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Článek 382 nařízení (EU) č. 575/2013.</w:t>
            </w:r>
          </w:p>
        </w:tc>
      </w:tr>
      <w:tr w:rsidR="00680687" w:rsidRPr="002A677E" w14:paraId="25F63C9E" w14:textId="77777777" w:rsidTr="006A3ADC">
        <w:tc>
          <w:tcPr>
            <w:tcW w:w="1172" w:type="dxa"/>
          </w:tcPr>
          <w:p w14:paraId="60D4A734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7844" w:type="dxa"/>
          </w:tcPr>
          <w:p w14:paraId="591F63A9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 toho: pouze deriváty</w:t>
            </w:r>
          </w:p>
          <w:p w14:paraId="243F2835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Deriváty spadající do oblasti působnosti článku 382 nařízení (EU) č. 575/2013 (tj. všechny transakce vykázané v řádku 0010, kromě transakcí s financováním cenných papírů).</w:t>
            </w:r>
          </w:p>
        </w:tc>
      </w:tr>
      <w:tr w:rsidR="00680687" w:rsidRPr="002A677E" w14:paraId="24634A77" w14:textId="77777777" w:rsidTr="006A3ADC">
        <w:tc>
          <w:tcPr>
            <w:tcW w:w="1172" w:type="dxa"/>
          </w:tcPr>
          <w:p w14:paraId="7280383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7844" w:type="dxa"/>
          </w:tcPr>
          <w:p w14:paraId="3BF86B85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 toho:  Transakce s jinou výjimkou, které se instituce rozhodnou opětovně začlenit do výpočtu kapitálových požadavků</w:t>
            </w:r>
          </w:p>
          <w:p w14:paraId="44419E5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382 odst. 4a nařízení (EU) č. 575/2013.</w:t>
            </w:r>
          </w:p>
        </w:tc>
      </w:tr>
      <w:tr w:rsidR="00680687" w:rsidRPr="002A677E" w14:paraId="2AF23E14" w14:textId="77777777" w:rsidTr="006A3ADC">
        <w:tc>
          <w:tcPr>
            <w:tcW w:w="1172" w:type="dxa"/>
          </w:tcPr>
          <w:p w14:paraId="102C842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0040–0220</w:t>
            </w:r>
          </w:p>
        </w:tc>
        <w:tc>
          <w:tcPr>
            <w:tcW w:w="7844" w:type="dxa"/>
          </w:tcPr>
          <w:p w14:paraId="16D7C775" w14:textId="77777777" w:rsidR="00680687" w:rsidRPr="006E1C89" w:rsidRDefault="00680687" w:rsidP="006A3ADC">
            <w:pPr>
              <w:rPr>
                <w:rFonts w:ascii="Times New Roman" w:hAnsi="Times New Roman"/>
                <w:b/>
                <w:bCs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caps/>
                <w:sz w:val="24"/>
                <w:u w:val="single"/>
              </w:rPr>
              <w:t>DOPLŇKOVÉ POLOŽKY</w:t>
            </w:r>
          </w:p>
          <w:p w14:paraId="6F0B98C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</w:p>
        </w:tc>
      </w:tr>
      <w:tr w:rsidR="00680687" w:rsidRPr="002A677E" w14:paraId="6AD4731B" w14:textId="77777777" w:rsidTr="006A3ADC">
        <w:tc>
          <w:tcPr>
            <w:tcW w:w="1172" w:type="dxa"/>
          </w:tcPr>
          <w:p w14:paraId="2A4448E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0040–0110</w:t>
            </w:r>
          </w:p>
        </w:tc>
        <w:tc>
          <w:tcPr>
            <w:tcW w:w="7844" w:type="dxa"/>
          </w:tcPr>
          <w:p w14:paraId="18AE86C3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Výjimky z CVA: marginální dopad opětovného začlenění</w:t>
            </w:r>
          </w:p>
          <w:p w14:paraId="7A74B86F" w14:textId="77777777" w:rsidR="00680687" w:rsidRPr="005C217A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Marginální dopad opětovného začlenění výjimek z CVA podle čl. 382 odst. 3 a 4 nařízení (EU) č. 575/2013, pro každou výjimku zvlášť. Marginální dopad je rozdíl, vyjádřený v absolutní hodnotě, mezi příslušnou metrikou pro rozsah transakcí z řádku 0010 po opětovném začlenění výjimky a příslušnou metrikou pro rozsah transakcí z řádku 0010. </w:t>
            </w:r>
            <w:r>
              <w:t xml:space="preserve"> </w:t>
            </w:r>
          </w:p>
        </w:tc>
      </w:tr>
      <w:tr w:rsidR="00680687" w:rsidRPr="002A677E" w14:paraId="4ED84249" w14:textId="77777777" w:rsidTr="006A3ADC">
        <w:tc>
          <w:tcPr>
            <w:tcW w:w="1172" w:type="dxa"/>
          </w:tcPr>
          <w:p w14:paraId="7350CB84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7844" w:type="dxa"/>
          </w:tcPr>
          <w:p w14:paraId="7D9C78C4" w14:textId="77777777" w:rsidR="00680687" w:rsidRPr="006E1C89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Všechny vyňaté transakce</w:t>
            </w:r>
          </w:p>
          <w:p w14:paraId="76D1F41B" w14:textId="77777777" w:rsidR="00680687" w:rsidRDefault="00680687" w:rsidP="006A3ADC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Marginální dopad opětovného začlenění všech výjimek z CVA podle čl. 382 odst. 3 a 4 nařízení (EU) č. 575/2013. </w:t>
            </w:r>
          </w:p>
          <w:p w14:paraId="6F8EA837" w14:textId="77777777" w:rsidR="00680687" w:rsidRPr="008A700D" w:rsidRDefault="00680687" w:rsidP="006A3ADC">
            <w:pPr>
              <w:pStyle w:val="Defaul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 xml:space="preserve">Rozsah transakcí by měl zahrnovat všechny transakce vykázané v řádku 0010, bez ohledu na výjimky uvedené v čl. 382 odst. 3 a 4 </w:t>
            </w:r>
            <w:r>
              <w:rPr>
                <w:rFonts w:ascii="Times New Roman" w:hAnsi="Times New Roman"/>
              </w:rPr>
              <w:t>nařízení (EU) č. 575/2013</w:t>
            </w:r>
            <w:r>
              <w:rPr>
                <w:rFonts w:ascii="Times New Roman" w:hAnsi="Times New Roman"/>
                <w:color w:val="auto"/>
              </w:rPr>
              <w:t xml:space="preserve">. Konkrétně by pro účely tohoto řádku měly být opětovně začleněny výše uvedené transakce, které jsou v současnosti vyloučeny z výpočtu kapitálových požadavků k CVA podle těchto článků. Pro účely tohoto řádku jsou celkovými opětovně začleněnými transakcemi ty transakce, které jsou opětovně začleněny pro účely řádků 0050 až 0110. </w:t>
            </w:r>
          </w:p>
        </w:tc>
      </w:tr>
      <w:tr w:rsidR="00680687" w:rsidRPr="002A677E" w14:paraId="23ECB2C1" w14:textId="77777777" w:rsidTr="006A3ADC">
        <w:tc>
          <w:tcPr>
            <w:tcW w:w="1172" w:type="dxa"/>
          </w:tcPr>
          <w:p w14:paraId="5973D18B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7844" w:type="dxa"/>
          </w:tcPr>
          <w:p w14:paraId="4B3AB855" w14:textId="77777777" w:rsidR="00680687" w:rsidRDefault="00680687" w:rsidP="006A3ADC">
            <w:pPr>
              <w:pStyle w:val="Default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</w:rPr>
            </w:pPr>
            <w:r>
              <w:rPr>
                <w:rFonts w:ascii="Times New Roman" w:hAnsi="Times New Roman"/>
                <w:b/>
                <w:color w:val="auto"/>
                <w:u w:val="single"/>
              </w:rPr>
              <w:t>Transakce klienta</w:t>
            </w:r>
          </w:p>
          <w:p w14:paraId="26BE71DE" w14:textId="2C9CF793" w:rsidR="00680687" w:rsidRDefault="00680687" w:rsidP="006A3ADC">
            <w:pPr>
              <w:pStyle w:val="Defaul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Marginální dopad opětovného začlenění transakcí klienta podle čl. 382 odst. 3 nařízení</w:t>
            </w:r>
            <w:r w:rsidR="00325362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(EU) č. 575/2013.</w:t>
            </w:r>
          </w:p>
          <w:p w14:paraId="73231515" w14:textId="77777777" w:rsidR="00680687" w:rsidRPr="005C217A" w:rsidRDefault="00680687" w:rsidP="006A3ADC">
            <w:pPr>
              <w:pStyle w:val="Default"/>
              <w:rPr>
                <w:sz w:val="20"/>
                <w:szCs w:val="20"/>
              </w:rPr>
            </w:pPr>
            <w:r>
              <w:rPr>
                <w:rFonts w:ascii="Times New Roman" w:hAnsi="Times New Roman"/>
              </w:rPr>
              <w:t xml:space="preserve">Marginální dopad opětovného začlenění transakcí mezi klientem a členem clearingového systému, pokud člen clearingového systému jedná jako zprostředkovatel mezi klientem a způsobilou ústřední protistranou, které jsou vyňaty podle čl. 382 odst. 3 nařízení (EU) č. 575/2013 z rozsahu řádku 0010. </w:t>
            </w:r>
            <w:r>
              <w:rPr>
                <w:rFonts w:ascii="Times New Roman" w:hAnsi="Times New Roman"/>
              </w:rPr>
              <w:lastRenderedPageBreak/>
              <w:t xml:space="preserve">Klienti by neměli tyto transakce znovu začlenit, pokud transakce splňuje požadavky čl. 305 odst. 2, 3 a 4 uvedeného nařízení. </w:t>
            </w:r>
          </w:p>
        </w:tc>
      </w:tr>
      <w:tr w:rsidR="00680687" w:rsidRPr="002A677E" w14:paraId="08AD2EE8" w14:textId="77777777" w:rsidTr="006A3ADC">
        <w:tc>
          <w:tcPr>
            <w:tcW w:w="1172" w:type="dxa"/>
          </w:tcPr>
          <w:p w14:paraId="4A924DC9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0060</w:t>
            </w:r>
          </w:p>
        </w:tc>
        <w:tc>
          <w:tcPr>
            <w:tcW w:w="7844" w:type="dxa"/>
          </w:tcPr>
          <w:p w14:paraId="69BEF048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Transakce s nefinančními protistranami</w:t>
            </w:r>
          </w:p>
          <w:p w14:paraId="5D14F94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Marginální dopad opětovného začlenění transakcí s nefinančními protistranami podle čl. 382 odst. 4 písm. a) nařízení (EU) č. 575/2013.</w:t>
            </w:r>
          </w:p>
        </w:tc>
      </w:tr>
      <w:tr w:rsidR="00680687" w:rsidRPr="002A677E" w14:paraId="0299633B" w14:textId="77777777" w:rsidTr="006A3ADC">
        <w:tc>
          <w:tcPr>
            <w:tcW w:w="1172" w:type="dxa"/>
          </w:tcPr>
          <w:p w14:paraId="76ED40A3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7844" w:type="dxa"/>
          </w:tcPr>
          <w:p w14:paraId="06D59C90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Pouze transakce s nefinančními protistranami z EU</w:t>
            </w:r>
          </w:p>
          <w:p w14:paraId="4BE3F0CA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Marginální dopad opětovného začlenění transakcí pouze s nefinančními protistranami z EU. Rozsah transakcí by se měl skládat ze všech transakcí vykázaných v řádku 0060 bez rozsahu transakcí vykázaných v řádku 0080.</w:t>
            </w:r>
          </w:p>
        </w:tc>
      </w:tr>
      <w:tr w:rsidR="00680687" w:rsidRPr="002A677E" w14:paraId="3731030D" w14:textId="77777777" w:rsidTr="006A3ADC">
        <w:tc>
          <w:tcPr>
            <w:tcW w:w="1172" w:type="dxa"/>
          </w:tcPr>
          <w:p w14:paraId="51808CD9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7844" w:type="dxa"/>
          </w:tcPr>
          <w:p w14:paraId="4BA84670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Pouze transakce s nefinančními protistranami ze třetích zemí</w:t>
            </w:r>
          </w:p>
          <w:p w14:paraId="11A30CDC" w14:textId="77777777" w:rsidR="00680687" w:rsidRPr="002A677E" w:rsidRDefault="00680687" w:rsidP="006A3ADC">
            <w:pPr>
              <w:rPr>
                <w:rFonts w:ascii="Times New Roman" w:hAnsi="Times New Roman"/>
                <w:b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Marginální dopad opětovného začlenění transakcí pouze s nefinančními protistranami ze třetích zemí. Rozsah transakcí by se měl skládat ze všech transakcí vykázaných v řádku 0060 bez rozsahu transakcí vykázaných v řádku 0070.</w:t>
            </w:r>
          </w:p>
        </w:tc>
      </w:tr>
      <w:tr w:rsidR="00680687" w:rsidRPr="002A677E" w14:paraId="18A77771" w14:textId="77777777" w:rsidTr="006A3ADC">
        <w:tc>
          <w:tcPr>
            <w:tcW w:w="1172" w:type="dxa"/>
          </w:tcPr>
          <w:p w14:paraId="6E4EED3A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7844" w:type="dxa"/>
          </w:tcPr>
          <w:p w14:paraId="64EFAC4D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Transakce uvnitř skupiny</w:t>
            </w:r>
          </w:p>
          <w:p w14:paraId="59B1E4E8" w14:textId="1CD28671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Marginální dopad opětovného začlenění transakcí uvnitř skupiny podle čl. 382 odst. 4 písm. b) nařízení</w:t>
            </w:r>
            <w:r w:rsidR="00325362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(EU) č. 575/2013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80687" w:rsidRPr="002A677E" w14:paraId="31EEAE35" w14:textId="77777777" w:rsidTr="006A3ADC">
        <w:tc>
          <w:tcPr>
            <w:tcW w:w="1172" w:type="dxa"/>
          </w:tcPr>
          <w:p w14:paraId="6B9DF7C0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7844" w:type="dxa"/>
          </w:tcPr>
          <w:p w14:paraId="26366874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Transakce s protistranami penzijních fondů </w:t>
            </w:r>
          </w:p>
          <w:p w14:paraId="1051EC9B" w14:textId="77777777" w:rsidR="00680687" w:rsidRPr="005C4AA2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Marginální dopad opětovného začlenění transakcí s protistranami penzijních fondů, které byly uzavřeny během přechodného období stanoveného v čl. 89 odst. 1 nařízení (EU) č. 648/2012 a které jsou osvobozeny od kapitálových požadavků k riziku CVA v souladu s čl. 382 odst. 4 druhým pododstavcem nařízení (EU) č. 575/2013. Transakce uvedené v čl. 382 odst. 4 písm. c), které nejsou uzavřeny během přechodného období stanoveného v čl. 89 odst. 1 nařízení (EU) č. 648/2012, se nepovažují za transakce, na něž se vztahuje výjimka, neboť přechodné období pro uplatňování této výjimky skončilo.</w:t>
            </w:r>
          </w:p>
        </w:tc>
      </w:tr>
      <w:tr w:rsidR="00680687" w:rsidRPr="002A677E" w14:paraId="672E6D90" w14:textId="77777777" w:rsidTr="006A3ADC">
        <w:tc>
          <w:tcPr>
            <w:tcW w:w="1172" w:type="dxa"/>
          </w:tcPr>
          <w:p w14:paraId="2C9DEE1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7844" w:type="dxa"/>
          </w:tcPr>
          <w:p w14:paraId="41C2A83D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Transakce se svrchovanými protistranami</w:t>
            </w:r>
          </w:p>
          <w:p w14:paraId="63BD107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Marginální dopad opětovného začlenění transakcí se svrchovanými protistranami podle čl. 382 odst. 4 písm. d) nařízení (EU) č. 575/2013.</w:t>
            </w:r>
          </w:p>
        </w:tc>
      </w:tr>
      <w:tr w:rsidR="00680687" w:rsidRPr="002A677E" w14:paraId="2FAF19E8" w14:textId="77777777" w:rsidTr="006A3ADC">
        <w:tc>
          <w:tcPr>
            <w:tcW w:w="1172" w:type="dxa"/>
          </w:tcPr>
          <w:p w14:paraId="7B2E2B90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7844" w:type="dxa"/>
          </w:tcPr>
          <w:p w14:paraId="354A35FD" w14:textId="77777777" w:rsidR="00680687" w:rsidRPr="00253D86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Zajištění CVA u vyňatých transakcí, které nejsou zahrnuty do rozsahu CVA </w:t>
            </w:r>
          </w:p>
          <w:p w14:paraId="7B05FC5B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Zajištění CVA u vyňatých transakcí, které nejsou zahrnuty do rozsahu kapitálových požadavků k riziku CVA a podléhají kapitálovým požadavkům k tržnímu riziku. </w:t>
            </w:r>
          </w:p>
        </w:tc>
      </w:tr>
      <w:tr w:rsidR="00680687" w:rsidRPr="002A677E" w14:paraId="01CC7562" w14:textId="77777777" w:rsidTr="006A3ADC">
        <w:tc>
          <w:tcPr>
            <w:tcW w:w="1172" w:type="dxa"/>
          </w:tcPr>
          <w:p w14:paraId="6B81B404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7844" w:type="dxa"/>
          </w:tcPr>
          <w:p w14:paraId="69E3FC61" w14:textId="77777777" w:rsidR="00680687" w:rsidRPr="00253D86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 xml:space="preserve">Celkové transakce s financováním cenných papírů, u nichž se neprovádí centrální clearing a které jsou oceňovány reálnou hodnotou pro účetní účely, kromě vyňatých transakcí </w:t>
            </w:r>
          </w:p>
          <w:p w14:paraId="6A560A0D" w14:textId="042E0D75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Transakce s financováním cenných papírů, které jsou oceňovány reálnou hodnotou pro účetní účely a které by spadaly do oblasti působnosti kapitálových požadavků k riziku CVA podle čl. 382 odst. 2 nařízení (EU) č. 575/2013, bez </w:t>
            </w:r>
            <w:r>
              <w:rPr>
                <w:rFonts w:ascii="Times New Roman" w:hAnsi="Times New Roman"/>
                <w:sz w:val="24"/>
              </w:rPr>
              <w:lastRenderedPageBreak/>
              <w:t>ohledu na to, zda jsou expozice vůči riziku CVA, které z nich vyplývají, významné. Transakce s financováním cenných papírů, které jsou osvobozeny od kapitálových požadavků k riziku CVA podle čl. 382 odst. 3 a 4 nařízení (EU) č. 575/2013, by měly být z výpočtů vyňaty, pokud by instituce tyto transakce nezahrnula do rozsahu kapitálových požadavků k riziku CVA podle čl. 382 odst. 4a nařízení (EU) č. 575/2013.</w:t>
            </w:r>
          </w:p>
        </w:tc>
      </w:tr>
      <w:tr w:rsidR="00680687" w:rsidRPr="002A677E" w14:paraId="51558923" w14:textId="77777777" w:rsidTr="006A3ADC">
        <w:tc>
          <w:tcPr>
            <w:tcW w:w="1172" w:type="dxa"/>
          </w:tcPr>
          <w:p w14:paraId="1BBFF03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0140–0160</w:t>
            </w:r>
          </w:p>
        </w:tc>
        <w:tc>
          <w:tcPr>
            <w:tcW w:w="7844" w:type="dxa"/>
          </w:tcPr>
          <w:p w14:paraId="2D6F4FFE" w14:textId="77777777" w:rsidR="00680687" w:rsidRPr="005F6CF0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Zajištění CVA</w:t>
            </w:r>
          </w:p>
          <w:p w14:paraId="225C7DDF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caps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>Článek 386 nařízení (EU) č. 575/2013.</w:t>
            </w:r>
          </w:p>
        </w:tc>
      </w:tr>
      <w:tr w:rsidR="00680687" w:rsidRPr="002A677E" w14:paraId="0F486D81" w14:textId="77777777" w:rsidTr="006A3ADC">
        <w:tc>
          <w:tcPr>
            <w:tcW w:w="1172" w:type="dxa"/>
          </w:tcPr>
          <w:p w14:paraId="597AD53C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0140</w:t>
            </w:r>
          </w:p>
        </w:tc>
        <w:tc>
          <w:tcPr>
            <w:tcW w:w="7844" w:type="dxa"/>
          </w:tcPr>
          <w:p w14:paraId="5853509D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CDS na jedno jméno</w:t>
            </w:r>
          </w:p>
        </w:tc>
      </w:tr>
      <w:tr w:rsidR="00680687" w:rsidRPr="002A677E" w14:paraId="2EFC56DA" w14:textId="77777777" w:rsidTr="006A3ADC">
        <w:tc>
          <w:tcPr>
            <w:tcW w:w="1172" w:type="dxa"/>
          </w:tcPr>
          <w:p w14:paraId="689DB8DD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7844" w:type="dxa"/>
          </w:tcPr>
          <w:p w14:paraId="05C9EFAC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CDS založený na indexu</w:t>
            </w:r>
          </w:p>
        </w:tc>
      </w:tr>
      <w:tr w:rsidR="00680687" w:rsidRPr="002A677E" w14:paraId="0756472C" w14:textId="77777777" w:rsidTr="006A3ADC">
        <w:tc>
          <w:tcPr>
            <w:tcW w:w="1172" w:type="dxa"/>
          </w:tcPr>
          <w:p w14:paraId="219CB9F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7844" w:type="dxa"/>
          </w:tcPr>
          <w:p w14:paraId="14973198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Ostatní deriváty klasifikované jako zajištění rizika CVA</w:t>
            </w:r>
          </w:p>
        </w:tc>
      </w:tr>
      <w:tr w:rsidR="00680687" w:rsidRPr="002A677E" w14:paraId="3769678C" w14:textId="77777777" w:rsidTr="006A3ADC">
        <w:tc>
          <w:tcPr>
            <w:tcW w:w="1172" w:type="dxa"/>
          </w:tcPr>
          <w:p w14:paraId="13F52A3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0170–0220</w:t>
            </w:r>
          </w:p>
        </w:tc>
        <w:tc>
          <w:tcPr>
            <w:tcW w:w="7844" w:type="dxa"/>
          </w:tcPr>
          <w:p w14:paraId="3F625C66" w14:textId="77777777" w:rsidR="00680687" w:rsidRPr="005F6CF0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Typy transakcí podle protistran podléhající přístupu SA-CVA</w:t>
            </w:r>
          </w:p>
          <w:p w14:paraId="3B7F80A8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445a odst. 1 písm. c) nařízení (EU) č. 575/2013.</w:t>
            </w:r>
          </w:p>
          <w:p w14:paraId="25779170" w14:textId="77777777" w:rsidR="00680687" w:rsidRDefault="00680687" w:rsidP="006A3ADC">
            <w:pPr>
              <w:spacing w:before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Pro každou protistranu se vybere jedno odvětví na základě následujících tříd hospodářských odvětví dle FINREP (viz příloha V část 3 tohoto prováděcího nařízení).</w:t>
            </w:r>
          </w:p>
          <w:p w14:paraId="77133872" w14:textId="77777777" w:rsidR="00680687" w:rsidRPr="002A677E" w:rsidRDefault="00680687" w:rsidP="006A3ADC">
            <w:pPr>
              <w:spacing w:before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Počet protistran na odvětví se vykazuje ve sloupci 0130.</w:t>
            </w:r>
          </w:p>
        </w:tc>
      </w:tr>
      <w:tr w:rsidR="00680687" w:rsidRPr="002A677E" w14:paraId="5B81430B" w14:textId="77777777" w:rsidTr="006A3ADC">
        <w:tc>
          <w:tcPr>
            <w:tcW w:w="1172" w:type="dxa"/>
          </w:tcPr>
          <w:p w14:paraId="61B642B2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0170</w:t>
            </w:r>
          </w:p>
        </w:tc>
        <w:tc>
          <w:tcPr>
            <w:tcW w:w="7844" w:type="dxa"/>
          </w:tcPr>
          <w:p w14:paraId="28298287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Centrální banky</w:t>
            </w:r>
          </w:p>
        </w:tc>
      </w:tr>
      <w:tr w:rsidR="00680687" w:rsidRPr="002A677E" w14:paraId="3880D5FA" w14:textId="77777777" w:rsidTr="006A3ADC">
        <w:tc>
          <w:tcPr>
            <w:tcW w:w="1172" w:type="dxa"/>
          </w:tcPr>
          <w:p w14:paraId="08F5DA36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7844" w:type="dxa"/>
          </w:tcPr>
          <w:p w14:paraId="5AC0FB98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Vládní instituce</w:t>
            </w:r>
          </w:p>
        </w:tc>
      </w:tr>
      <w:tr w:rsidR="00680687" w:rsidRPr="002A677E" w14:paraId="4826C3E9" w14:textId="77777777" w:rsidTr="006A3ADC">
        <w:tc>
          <w:tcPr>
            <w:tcW w:w="1172" w:type="dxa"/>
          </w:tcPr>
          <w:p w14:paraId="419DB6E8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7844" w:type="dxa"/>
          </w:tcPr>
          <w:p w14:paraId="5A7EA903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Úvěrové instituce</w:t>
            </w:r>
          </w:p>
        </w:tc>
      </w:tr>
      <w:tr w:rsidR="00680687" w:rsidRPr="002A677E" w14:paraId="60A5D5E9" w14:textId="77777777" w:rsidTr="006A3ADC">
        <w:tc>
          <w:tcPr>
            <w:tcW w:w="1172" w:type="dxa"/>
          </w:tcPr>
          <w:p w14:paraId="1236AA19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7844" w:type="dxa"/>
          </w:tcPr>
          <w:p w14:paraId="56283C80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Investiční podniky</w:t>
            </w:r>
          </w:p>
        </w:tc>
      </w:tr>
      <w:tr w:rsidR="00680687" w:rsidRPr="002A677E" w14:paraId="2445ED8F" w14:textId="77777777" w:rsidTr="006A3ADC">
        <w:tc>
          <w:tcPr>
            <w:tcW w:w="1172" w:type="dxa"/>
          </w:tcPr>
          <w:p w14:paraId="550C3C8F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7844" w:type="dxa"/>
          </w:tcPr>
          <w:p w14:paraId="517C2FE3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Jiné finanční instituce (kromě investičních podniků)</w:t>
            </w:r>
          </w:p>
        </w:tc>
      </w:tr>
      <w:tr w:rsidR="00680687" w:rsidRPr="002A677E" w14:paraId="167237FD" w14:textId="77777777" w:rsidTr="006A3ADC">
        <w:tc>
          <w:tcPr>
            <w:tcW w:w="1172" w:type="dxa"/>
          </w:tcPr>
          <w:p w14:paraId="29B7557A" w14:textId="77777777" w:rsidR="00680687" w:rsidRPr="002A677E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7844" w:type="dxa"/>
          </w:tcPr>
          <w:p w14:paraId="7956EA94" w14:textId="77777777" w:rsidR="00680687" w:rsidRPr="005C217A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Nefinanční podniky</w:t>
            </w:r>
          </w:p>
        </w:tc>
      </w:tr>
      <w:tr w:rsidR="00680687" w:rsidRPr="002A677E" w14:paraId="6BACE521" w14:textId="77777777" w:rsidTr="006A3ADC">
        <w:tc>
          <w:tcPr>
            <w:tcW w:w="1172" w:type="dxa"/>
          </w:tcPr>
          <w:p w14:paraId="36DAA114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0230</w:t>
            </w:r>
          </w:p>
        </w:tc>
        <w:tc>
          <w:tcPr>
            <w:tcW w:w="7844" w:type="dxa"/>
          </w:tcPr>
          <w:p w14:paraId="7C6250A2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Souhrn systematických složek rizika CVA</w:t>
            </w:r>
          </w:p>
          <w:p w14:paraId="62BC44EB" w14:textId="77777777" w:rsidR="00680687" w:rsidRPr="009766CF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384 odst. 3 nařízení (EU) č. 575/2013. Kapitálové požadavky za předpokladu dokonalé korelace (</w:t>
            </w:r>
            <w:r>
              <w:rPr>
                <w:rFonts w:ascii="Times New Roman" w:hAnsi="Times New Roman"/>
                <w:sz w:val="24"/>
              </w:rPr>
              <w:sym w:font="Symbol" w:char="F053"/>
            </w:r>
            <w:r>
              <w:rPr>
                <w:rFonts w:ascii="Times New Roman" w:hAnsi="Times New Roman"/>
                <w:sz w:val="24"/>
                <w:vertAlign w:val="subscript"/>
              </w:rPr>
              <w:t>c</w:t>
            </w:r>
            <w:r>
              <w:rPr>
                <w:rFonts w:ascii="Times New Roman" w:hAnsi="Times New Roman"/>
                <w:sz w:val="24"/>
              </w:rPr>
              <w:t>SCVA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c).  </w:t>
            </w:r>
            <w:r>
              <w:rPr>
                <w:rFonts w:ascii="Times New Roman" w:hAnsi="Times New Roman"/>
                <w:sz w:val="24"/>
              </w:rPr>
              <w:t>Diskontní faktor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0,65 se nepoužije.</w:t>
            </w:r>
          </w:p>
        </w:tc>
      </w:tr>
      <w:tr w:rsidR="00680687" w:rsidRPr="002A677E" w14:paraId="65206CF9" w14:textId="77777777" w:rsidTr="006A3ADC">
        <w:tc>
          <w:tcPr>
            <w:tcW w:w="1172" w:type="dxa"/>
          </w:tcPr>
          <w:p w14:paraId="62DF0332" w14:textId="77777777" w:rsidR="00680687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7844" w:type="dxa"/>
          </w:tcPr>
          <w:p w14:paraId="208A77B2" w14:textId="77777777" w:rsidR="00680687" w:rsidRDefault="00680687" w:rsidP="006A3ADC">
            <w:pPr>
              <w:rPr>
                <w:rFonts w:ascii="Times New Roman" w:hAnsi="Times New Roman"/>
                <w:b/>
                <w:bCs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u w:val="single"/>
              </w:rPr>
              <w:t>Souhrn idiosynkratických složek rizika CVA</w:t>
            </w:r>
          </w:p>
          <w:p w14:paraId="7B1EBC08" w14:textId="77777777" w:rsidR="00680687" w:rsidRPr="009766CF" w:rsidRDefault="00680687" w:rsidP="006A3ADC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384 odst. 3 nařízení (EU) č. 575/2013. Kapitálové požadavky za předpokladu nulové korelace (sqrt(</w:t>
            </w:r>
            <w:r>
              <w:rPr>
                <w:rFonts w:ascii="Times New Roman" w:hAnsi="Times New Roman"/>
                <w:sz w:val="24"/>
              </w:rPr>
              <w:sym w:font="Symbol" w:char="F053"/>
            </w:r>
            <w:r>
              <w:rPr>
                <w:rFonts w:ascii="Times New Roman" w:hAnsi="Times New Roman"/>
                <w:sz w:val="24"/>
                <w:vertAlign w:val="subscript"/>
              </w:rPr>
              <w:t>c</w:t>
            </w:r>
            <w:r>
              <w:rPr>
                <w:rFonts w:ascii="Times New Roman" w:hAnsi="Times New Roman"/>
                <w:sz w:val="24"/>
              </w:rPr>
              <w:t>SCVA</w:t>
            </w:r>
            <w:r>
              <w:rPr>
                <w:rFonts w:ascii="Times New Roman" w:hAnsi="Times New Roman"/>
                <w:sz w:val="24"/>
                <w:vertAlign w:val="subscript"/>
              </w:rPr>
              <w:t>c</w:t>
            </w:r>
            <w:r>
              <w:rPr>
                <w:rFonts w:ascii="Times New Roman" w:hAnsi="Times New Roman"/>
                <w:sz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</w:rPr>
              <w:t>)). Diskontní faktor</w:t>
            </w:r>
            <w:r>
              <w:rPr>
                <w:rFonts w:ascii="Times New Roman" w:hAnsi="Times New Roman"/>
                <w:sz w:val="24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0,65 se nepoužije.“</w:t>
            </w:r>
          </w:p>
        </w:tc>
      </w:tr>
      <w:bookmarkEnd w:id="6"/>
    </w:tbl>
    <w:p w14:paraId="1A587C69" w14:textId="77777777" w:rsidR="00606FB5" w:rsidRPr="00606FB5" w:rsidRDefault="00606FB5" w:rsidP="00606FB5"/>
    <w:sectPr w:rsidR="00606FB5" w:rsidRPr="00606FB5">
      <w:headerReference w:type="even" r:id="rId11"/>
      <w:head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3CAA0" w14:textId="77777777" w:rsidR="001E5355" w:rsidRDefault="001E5355" w:rsidP="007341EC">
      <w:pPr>
        <w:spacing w:before="0" w:after="0"/>
      </w:pPr>
      <w:r>
        <w:separator/>
      </w:r>
    </w:p>
  </w:endnote>
  <w:endnote w:type="continuationSeparator" w:id="0">
    <w:p w14:paraId="6E16C8BF" w14:textId="77777777" w:rsidR="001E5355" w:rsidRDefault="001E5355" w:rsidP="007341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431AE" w14:textId="77777777" w:rsidR="001E5355" w:rsidRDefault="001E5355" w:rsidP="007341EC">
      <w:pPr>
        <w:spacing w:before="0" w:after="0"/>
      </w:pPr>
      <w:r>
        <w:separator/>
      </w:r>
    </w:p>
  </w:footnote>
  <w:footnote w:type="continuationSeparator" w:id="0">
    <w:p w14:paraId="246DE660" w14:textId="77777777" w:rsidR="001E5355" w:rsidRDefault="001E5355" w:rsidP="007341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8523" w14:textId="7211D844" w:rsidR="007341EC" w:rsidRDefault="007341E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1A2901B" wp14:editId="110AB4F7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1761226336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DC1504" w14:textId="571F14F7" w:rsidR="007341EC" w:rsidRPr="007341EC" w:rsidRDefault="007341EC" w:rsidP="007341E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1A2901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35DC1504" w14:textId="571F14F7" w:rsidR="007341EC" w:rsidRPr="007341EC" w:rsidRDefault="007341EC" w:rsidP="007341EC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9F28F" w14:textId="700CE3C5" w:rsidR="007341EC" w:rsidRDefault="007341E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98AF594" wp14:editId="35C2518C">
              <wp:simplePos x="914400" y="44767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37115435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6569DF" w14:textId="009B7B50" w:rsidR="007341EC" w:rsidRPr="007341EC" w:rsidRDefault="007341EC" w:rsidP="007341E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398AF59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4F6569DF" w14:textId="009B7B50" w:rsidR="007341EC" w:rsidRPr="007341EC" w:rsidRDefault="007341EC" w:rsidP="007341EC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00BF" w14:textId="2532D275" w:rsidR="007341EC" w:rsidRDefault="007341E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9C0A740" wp14:editId="01E7D8A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3175" b="4445"/>
              <wp:wrapNone/>
              <wp:docPr id="866896340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D80B87" w14:textId="703F3572" w:rsidR="007341EC" w:rsidRPr="007341EC" w:rsidRDefault="007341EC" w:rsidP="007341E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EBA Regular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9C0A7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79D80B87" w14:textId="703F3572" w:rsidR="007341EC" w:rsidRPr="007341EC" w:rsidRDefault="007341EC" w:rsidP="007341EC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485394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1EC"/>
    <w:rsid w:val="000132CB"/>
    <w:rsid w:val="0002690B"/>
    <w:rsid w:val="00055596"/>
    <w:rsid w:val="000723D6"/>
    <w:rsid w:val="000C03DF"/>
    <w:rsid w:val="001054E6"/>
    <w:rsid w:val="001131E4"/>
    <w:rsid w:val="0012244E"/>
    <w:rsid w:val="0017758E"/>
    <w:rsid w:val="001A3FFF"/>
    <w:rsid w:val="001C580A"/>
    <w:rsid w:val="001E5355"/>
    <w:rsid w:val="00253D86"/>
    <w:rsid w:val="002815CB"/>
    <w:rsid w:val="00284184"/>
    <w:rsid w:val="00296DF0"/>
    <w:rsid w:val="002C6F9F"/>
    <w:rsid w:val="002E0330"/>
    <w:rsid w:val="002F5025"/>
    <w:rsid w:val="00314DFD"/>
    <w:rsid w:val="00325362"/>
    <w:rsid w:val="00327F8D"/>
    <w:rsid w:val="00340689"/>
    <w:rsid w:val="00375D7F"/>
    <w:rsid w:val="0039256B"/>
    <w:rsid w:val="00401970"/>
    <w:rsid w:val="0043596C"/>
    <w:rsid w:val="00473D32"/>
    <w:rsid w:val="004A2E7A"/>
    <w:rsid w:val="004A37E9"/>
    <w:rsid w:val="004B3EB4"/>
    <w:rsid w:val="004F79C2"/>
    <w:rsid w:val="00510AE9"/>
    <w:rsid w:val="00532B0C"/>
    <w:rsid w:val="0055134C"/>
    <w:rsid w:val="005542E7"/>
    <w:rsid w:val="00594522"/>
    <w:rsid w:val="005B137C"/>
    <w:rsid w:val="005F6CF0"/>
    <w:rsid w:val="00606FB5"/>
    <w:rsid w:val="0061351B"/>
    <w:rsid w:val="00631623"/>
    <w:rsid w:val="00641472"/>
    <w:rsid w:val="00654BBD"/>
    <w:rsid w:val="0066047B"/>
    <w:rsid w:val="00671212"/>
    <w:rsid w:val="00680687"/>
    <w:rsid w:val="0068259C"/>
    <w:rsid w:val="006A3ADC"/>
    <w:rsid w:val="006E2916"/>
    <w:rsid w:val="006E5C38"/>
    <w:rsid w:val="007341EC"/>
    <w:rsid w:val="007342FB"/>
    <w:rsid w:val="00742164"/>
    <w:rsid w:val="00743542"/>
    <w:rsid w:val="00776A2E"/>
    <w:rsid w:val="00777E96"/>
    <w:rsid w:val="00782F57"/>
    <w:rsid w:val="00785909"/>
    <w:rsid w:val="007A4D29"/>
    <w:rsid w:val="007F3AF3"/>
    <w:rsid w:val="00820CB4"/>
    <w:rsid w:val="00832D39"/>
    <w:rsid w:val="00856733"/>
    <w:rsid w:val="00873B6E"/>
    <w:rsid w:val="00881267"/>
    <w:rsid w:val="008836E9"/>
    <w:rsid w:val="00890325"/>
    <w:rsid w:val="008C42A8"/>
    <w:rsid w:val="008D194E"/>
    <w:rsid w:val="00920C10"/>
    <w:rsid w:val="00927398"/>
    <w:rsid w:val="00942DF7"/>
    <w:rsid w:val="00955924"/>
    <w:rsid w:val="0099335D"/>
    <w:rsid w:val="009A273F"/>
    <w:rsid w:val="009C0384"/>
    <w:rsid w:val="009E64FB"/>
    <w:rsid w:val="00A3337B"/>
    <w:rsid w:val="00A432C8"/>
    <w:rsid w:val="00A6002C"/>
    <w:rsid w:val="00A67864"/>
    <w:rsid w:val="00A90A72"/>
    <w:rsid w:val="00AA1613"/>
    <w:rsid w:val="00AB0BA2"/>
    <w:rsid w:val="00AB6A6C"/>
    <w:rsid w:val="00AD0956"/>
    <w:rsid w:val="00AD1D5D"/>
    <w:rsid w:val="00AD72B8"/>
    <w:rsid w:val="00B411CC"/>
    <w:rsid w:val="00B71F25"/>
    <w:rsid w:val="00BC79BB"/>
    <w:rsid w:val="00BF0CDE"/>
    <w:rsid w:val="00C63973"/>
    <w:rsid w:val="00C73E12"/>
    <w:rsid w:val="00C95377"/>
    <w:rsid w:val="00CB2E9C"/>
    <w:rsid w:val="00CC08BC"/>
    <w:rsid w:val="00CC1BE6"/>
    <w:rsid w:val="00CF011F"/>
    <w:rsid w:val="00CF1050"/>
    <w:rsid w:val="00D15003"/>
    <w:rsid w:val="00D868EB"/>
    <w:rsid w:val="00DA6DF2"/>
    <w:rsid w:val="00DC08FB"/>
    <w:rsid w:val="00DD5030"/>
    <w:rsid w:val="00DE7233"/>
    <w:rsid w:val="00E36E3E"/>
    <w:rsid w:val="00EB0DF5"/>
    <w:rsid w:val="00EE169C"/>
    <w:rsid w:val="00EF07A1"/>
    <w:rsid w:val="00EF3DFB"/>
    <w:rsid w:val="00F12CDB"/>
    <w:rsid w:val="00F16125"/>
    <w:rsid w:val="00F3074A"/>
    <w:rsid w:val="00F42BE7"/>
    <w:rsid w:val="00F60A6C"/>
    <w:rsid w:val="00F732F3"/>
    <w:rsid w:val="00F82BD2"/>
    <w:rsid w:val="00FB4148"/>
    <w:rsid w:val="00FB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22754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1EC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41E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341EC"/>
    <w:pPr>
      <w:autoSpaceDE w:val="0"/>
      <w:autoSpaceDN w:val="0"/>
      <w:adjustRightInd w:val="0"/>
      <w:spacing w:after="0" w:line="240" w:lineRule="auto"/>
    </w:pPr>
    <w:rPr>
      <w:rFonts w:ascii="Arial" w:eastAsia="Arial" w:hAnsi="Arial" w:cs="Arial"/>
      <w:color w:val="000000"/>
      <w:kern w:val="0"/>
      <w:sz w:val="24"/>
      <w:szCs w:val="24"/>
      <w:lang w:eastAsia="en-GB"/>
      <w14:ligatures w14:val="none"/>
    </w:rPr>
  </w:style>
  <w:style w:type="paragraph" w:customStyle="1" w:styleId="Instructionsberschrift2">
    <w:name w:val="Instructions Überschrift 2"/>
    <w:basedOn w:val="Heading2"/>
    <w:rsid w:val="007341EC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41EC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341E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7341E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Revision">
    <w:name w:val="Revision"/>
    <w:hidden/>
    <w:uiPriority w:val="99"/>
    <w:semiHidden/>
    <w:rsid w:val="00641472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E0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E0330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E0330"/>
    <w:rPr>
      <w:rFonts w:ascii="Verdana" w:eastAsia="Times New Roman" w:hAnsi="Verdana" w:cs="Times New Roman"/>
      <w:kern w:val="0"/>
      <w:sz w:val="20"/>
      <w:szCs w:val="20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0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0330"/>
    <w:rPr>
      <w:rFonts w:ascii="Verdana" w:eastAsia="Times New Roman" w:hAnsi="Verdana" w:cs="Times New Roman"/>
      <w:b/>
      <w:bCs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B6A6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B6A6C"/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customStyle="1" w:styleId="InstructionsTabelleText">
    <w:name w:val="Instructions Tabelle Text"/>
    <w:rsid w:val="00606FB5"/>
    <w:rPr>
      <w:rFonts w:ascii="Verdana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8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A18682-79BD-48F4-95AC-9ED16581AF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29BCE0-7D27-4457-90C4-C4BF0ABB7149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3.xml><?xml version="1.0" encoding="utf-8"?>
<ds:datastoreItem xmlns:ds="http://schemas.openxmlformats.org/officeDocument/2006/customXml" ds:itemID="{B5D16264-0095-49B9-B6D2-A7314B92954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4568DA-D61F-4BA3-948C-F7B7631BFB45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1739</Words>
  <Characters>9821</Characters>
  <Application>Microsoft Office Word</Application>
  <DocSecurity>0</DocSecurity>
  <Lines>283</Lines>
  <Paragraphs>169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2024-06-20T09:40:00Z</dcterms:created>
  <dcterms:modified xsi:type="dcterms:W3CDTF">2025-01-07T11:32:00Z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2025-01-07T10:53:37Z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fc0ef7f2-daf1-4c1e-8958-0d0a6894da25</vt:lpwstr>
  </property>
  <property fmtid="{D5CDD505-2E9C-101B-9397-08002B2CF9AE}" pid="9" name="MSIP_Label_6bd9ddd1-4d20-43f6-abfa-fc3c07406f94_ContentBits">
    <vt:lpwstr>0</vt:lpwstr>
  </property>
</Properties>
</file>