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7C06" w14:textId="3CC8DBCE" w:rsidR="00845EB1" w:rsidRPr="009475BC" w:rsidRDefault="00845EB1" w:rsidP="00845EB1">
      <w:pPr>
        <w:jc w:val="center"/>
        <w:rPr>
          <w:rFonts w:ascii="Times New Roman" w:hAnsi="Times New Roman"/>
          <w:b/>
          <w:sz w:val="24"/>
        </w:rPr>
      </w:pPr>
      <w:r w:rsidRPr="009475BC">
        <w:rPr>
          <w:rFonts w:ascii="Times New Roman" w:hAnsi="Times New Roman"/>
          <w:b/>
          <w:sz w:val="24"/>
        </w:rPr>
        <w:t>ET</w:t>
      </w:r>
      <w:r w:rsidRPr="009475BC">
        <w:t xml:space="preserve"> </w:t>
      </w:r>
      <w:r w:rsidRPr="009475BC">
        <w:br/>
      </w:r>
      <w:r w:rsidRPr="009475BC">
        <w:rPr>
          <w:rFonts w:ascii="Times New Roman" w:hAnsi="Times New Roman"/>
          <w:b/>
          <w:sz w:val="24"/>
        </w:rPr>
        <w:t>VIII LISA</w:t>
      </w:r>
    </w:p>
    <w:p w14:paraId="7586364F" w14:textId="77777777" w:rsidR="00923A16" w:rsidRPr="009475BC" w:rsidRDefault="00923A16" w:rsidP="00845EB1">
      <w:pPr>
        <w:jc w:val="center"/>
        <w:rPr>
          <w:rFonts w:ascii="Times New Roman" w:hAnsi="Times New Roman"/>
          <w:b/>
          <w:sz w:val="24"/>
        </w:rPr>
      </w:pPr>
    </w:p>
    <w:p w14:paraId="38DE6923" w14:textId="77777777" w:rsidR="00923A16" w:rsidRPr="009475BC" w:rsidRDefault="00923A16" w:rsidP="00845EB1">
      <w:pPr>
        <w:jc w:val="center"/>
        <w:rPr>
          <w:rFonts w:ascii="Times New Roman" w:hAnsi="Times New Roman"/>
          <w:b/>
          <w:sz w:val="24"/>
        </w:rPr>
      </w:pPr>
    </w:p>
    <w:p w14:paraId="60311301" w14:textId="6E170F77" w:rsidR="0040604D" w:rsidRPr="009475BC" w:rsidRDefault="00515147" w:rsidP="00845EB1">
      <w:pPr>
        <w:jc w:val="center"/>
        <w:rPr>
          <w:b/>
          <w:u w:val="single"/>
        </w:rPr>
      </w:pPr>
      <w:r w:rsidRPr="009475BC">
        <w:rPr>
          <w:b/>
          <w:u w:val="single"/>
        </w:rPr>
        <w:t>„XXI LISA</w:t>
      </w:r>
    </w:p>
    <w:p w14:paraId="55B2E7E1" w14:textId="45F1B4D9" w:rsidR="0040604D" w:rsidRPr="009475BC" w:rsidRDefault="0040604D" w:rsidP="00D02291">
      <w:pPr>
        <w:jc w:val="center"/>
        <w:rPr>
          <w:b/>
        </w:rPr>
      </w:pPr>
      <w:r w:rsidRPr="009475BC">
        <w:rPr>
          <w:b/>
        </w:rPr>
        <w:t>JUHISED XX LISAS ESITATUD TASAKAALUSTAMISSUUTLIKKUSE KONTSENTRATSIOONI VORMI (C 71.00) TÄITMISEKS</w:t>
      </w:r>
    </w:p>
    <w:p w14:paraId="4B767D67" w14:textId="77777777" w:rsidR="0040604D" w:rsidRPr="009475BC" w:rsidRDefault="0040604D" w:rsidP="00845EB1">
      <w:pPr>
        <w:pStyle w:val="InstructionsText"/>
      </w:pPr>
    </w:p>
    <w:p w14:paraId="1BB5AA04" w14:textId="77777777" w:rsidR="00E05204" w:rsidRPr="009475BC" w:rsidRDefault="00E05204" w:rsidP="00E05204">
      <w:pPr>
        <w:rPr>
          <w:rFonts w:ascii="Times New Roman" w:hAnsi="Times New Roman"/>
          <w:sz w:val="24"/>
          <w:u w:val="single"/>
        </w:rPr>
      </w:pPr>
      <w:r w:rsidRPr="009475BC">
        <w:rPr>
          <w:rFonts w:ascii="Times New Roman" w:hAnsi="Times New Roman"/>
          <w:sz w:val="24"/>
          <w:u w:val="single"/>
        </w:rPr>
        <w:t>Tasakaalustamissuutlikkuse kontsentratsioon emitentide/vastaspoolte kaupa (C 71.00)</w:t>
      </w:r>
    </w:p>
    <w:p w14:paraId="23482DE0" w14:textId="77777777" w:rsidR="00111A31" w:rsidRPr="009475BC" w:rsidRDefault="00111A31" w:rsidP="00845EB1">
      <w:pPr>
        <w:pStyle w:val="InstructionsText"/>
      </w:pPr>
    </w:p>
    <w:p w14:paraId="2314BCB9" w14:textId="3D6E6875" w:rsidR="00B1719D" w:rsidRPr="009475BC" w:rsidRDefault="00292B75" w:rsidP="00292B75">
      <w:pPr>
        <w:widowControl w:val="0"/>
        <w:spacing w:before="0" w:after="0" w:line="280" w:lineRule="atLeast"/>
        <w:ind w:left="714" w:hanging="357"/>
        <w:rPr>
          <w:rFonts w:ascii="Times New Roman" w:hAnsi="Times New Roman"/>
          <w:sz w:val="24"/>
        </w:rPr>
      </w:pPr>
      <w:r w:rsidRPr="009475BC">
        <w:rPr>
          <w:rFonts w:ascii="Times New Roman" w:hAnsi="Times New Roman"/>
        </w:rPr>
        <w:t>1.</w:t>
      </w:r>
      <w:r w:rsidRPr="009475BC">
        <w:tab/>
      </w:r>
      <w:r w:rsidRPr="009475BC">
        <w:rPr>
          <w:rFonts w:ascii="Times New Roman" w:hAnsi="Times New Roman"/>
          <w:sz w:val="24"/>
        </w:rPr>
        <w:t>Selleks et saaks vormi C 71.00 alusel koguda teavet aruandva finantsinstitutsiooni tasakaalustamissuutlikkuse kontsentratsiooni kohta kümne suurima tema hoitava vara või talle selleks võimaldatud likviidsusliini kaupa, peavad finantsinstitutsioonid kohaldama käesolevas lisas sisalduvaid juhiseid.</w:t>
      </w:r>
    </w:p>
    <w:p w14:paraId="6D98D095" w14:textId="6A747233" w:rsidR="00672B1B" w:rsidRPr="009475BC" w:rsidRDefault="00292B75" w:rsidP="00292B75">
      <w:pPr>
        <w:widowControl w:val="0"/>
        <w:spacing w:before="0" w:after="0" w:line="280" w:lineRule="atLeast"/>
        <w:ind w:left="714" w:hanging="357"/>
        <w:rPr>
          <w:rFonts w:ascii="Times New Roman" w:hAnsi="Times New Roman"/>
          <w:sz w:val="24"/>
        </w:rPr>
      </w:pPr>
      <w:r w:rsidRPr="009475BC">
        <w:rPr>
          <w:rFonts w:ascii="Times New Roman" w:hAnsi="Times New Roman"/>
          <w:sz w:val="24"/>
        </w:rPr>
        <w:t>2.</w:t>
      </w:r>
      <w:r w:rsidRPr="009475BC">
        <w:tab/>
      </w:r>
      <w:r w:rsidRPr="009475BC">
        <w:rPr>
          <w:rFonts w:ascii="Times New Roman" w:hAnsi="Times New Roman"/>
          <w:sz w:val="24"/>
        </w:rPr>
        <w:t xml:space="preserve">Kui emitendile või vastaspoolele määratakse rohkem kui üks tooteliik, valuuta või krediidikvaliteedi aste, esitatakse kogusumma. Kajastada tuleb tooteliik, valuuta või krediidikvaliteedi aste, mis on seotud tasakaalustamissuutlikkuse kontsentratsiooni suurima osaga. </w:t>
      </w:r>
    </w:p>
    <w:p w14:paraId="1A86D9FE" w14:textId="2D9CE2DF" w:rsidR="00FF4741" w:rsidRPr="009475BC" w:rsidRDefault="00292B75" w:rsidP="00292B75">
      <w:pPr>
        <w:widowControl w:val="0"/>
        <w:spacing w:before="0" w:after="0" w:line="280" w:lineRule="atLeast"/>
        <w:ind w:left="714" w:hanging="357"/>
        <w:rPr>
          <w:rFonts w:ascii="Times New Roman" w:hAnsi="Times New Roman"/>
          <w:sz w:val="24"/>
        </w:rPr>
      </w:pPr>
      <w:r w:rsidRPr="009475BC">
        <w:rPr>
          <w:rFonts w:ascii="Times New Roman" w:hAnsi="Times New Roman"/>
          <w:sz w:val="24"/>
        </w:rPr>
        <w:t>3.</w:t>
      </w:r>
      <w:r w:rsidRPr="009475BC">
        <w:tab/>
      </w:r>
      <w:r w:rsidRPr="009475BC">
        <w:rPr>
          <w:rFonts w:ascii="Times New Roman" w:hAnsi="Times New Roman"/>
          <w:sz w:val="24"/>
        </w:rPr>
        <w:t>Tasakaalustamissuutlikkus vormis C 71.00 on sama, mis vormis C 66.01, kuid vormis C 71.00 tasakaalustamissuutlikkusena kajastatud varad on koormamata, et finantsinstitutsioonil oleks võimalik need aruandekuupäeval raha vastu vahetada.</w:t>
      </w:r>
    </w:p>
    <w:p w14:paraId="52C95F92" w14:textId="76B8503D" w:rsidR="00EF029F" w:rsidRPr="009475BC" w:rsidRDefault="00292B75" w:rsidP="00292B75">
      <w:pPr>
        <w:widowControl w:val="0"/>
        <w:spacing w:before="0" w:after="0" w:line="280" w:lineRule="atLeast"/>
        <w:ind w:left="714" w:hanging="357"/>
        <w:rPr>
          <w:rFonts w:ascii="Times New Roman" w:hAnsi="Times New Roman"/>
          <w:sz w:val="24"/>
        </w:rPr>
      </w:pPr>
      <w:r w:rsidRPr="009475BC">
        <w:rPr>
          <w:rFonts w:ascii="Times New Roman" w:hAnsi="Times New Roman"/>
          <w:sz w:val="24"/>
        </w:rPr>
        <w:t>4.</w:t>
      </w:r>
      <w:r w:rsidRPr="009475BC">
        <w:tab/>
      </w:r>
      <w:r w:rsidRPr="009475BC">
        <w:rPr>
          <w:rFonts w:ascii="Times New Roman" w:hAnsi="Times New Roman"/>
          <w:sz w:val="24"/>
        </w:rPr>
        <w:t>Kontsentratsioonide arvutamisel, et esitada vormis C 71.00 teavet olulise valuuta kaupa, kasutavad finantsinstitutsioonid kontsentratsioone kõigis valuutades.</w:t>
      </w:r>
    </w:p>
    <w:p w14:paraId="5D592CDE" w14:textId="137C55E0" w:rsidR="0005633D" w:rsidRPr="009475BC" w:rsidRDefault="00292B75" w:rsidP="00292B75">
      <w:pPr>
        <w:widowControl w:val="0"/>
        <w:spacing w:before="0" w:after="0" w:line="280" w:lineRule="atLeast"/>
        <w:ind w:left="714" w:hanging="357"/>
        <w:rPr>
          <w:rFonts w:ascii="Times New Roman" w:hAnsi="Times New Roman"/>
          <w:sz w:val="24"/>
        </w:rPr>
      </w:pPr>
      <w:r w:rsidRPr="009475BC">
        <w:rPr>
          <w:rFonts w:ascii="Times New Roman" w:hAnsi="Times New Roman"/>
          <w:sz w:val="24"/>
        </w:rPr>
        <w:t>5.</w:t>
      </w:r>
      <w:r w:rsidRPr="009475BC">
        <w:tab/>
      </w:r>
      <w:r w:rsidRPr="009475BC">
        <w:rPr>
          <w:rFonts w:ascii="Times New Roman" w:hAnsi="Times New Roman"/>
          <w:sz w:val="24"/>
        </w:rPr>
        <w:t>Kui emitent või vastaspool kuulub mitmesse omavahel seotud klientide rühma, kajastatakse teda ainult üks kord rühmas, mille tasakaalustamissuutlikkuse kontsentratsioon on suurem.</w:t>
      </w:r>
    </w:p>
    <w:p w14:paraId="2C0B2260" w14:textId="45FF6BEE" w:rsidR="00CB05F9" w:rsidRPr="009475BC" w:rsidRDefault="00292B75" w:rsidP="008C0F1F">
      <w:pPr>
        <w:widowControl w:val="0"/>
        <w:spacing w:before="0" w:after="0" w:line="280" w:lineRule="atLeast"/>
        <w:ind w:left="714" w:hanging="357"/>
        <w:rPr>
          <w:rFonts w:ascii="Times New Roman" w:hAnsi="Times New Roman"/>
          <w:sz w:val="24"/>
        </w:rPr>
      </w:pPr>
      <w:r w:rsidRPr="009475BC">
        <w:rPr>
          <w:rFonts w:ascii="Times New Roman" w:hAnsi="Times New Roman"/>
          <w:sz w:val="24"/>
        </w:rPr>
        <w:t>6.</w:t>
      </w:r>
      <w:r w:rsidRPr="009475BC">
        <w:tab/>
      </w:r>
      <w:r w:rsidRPr="009475BC">
        <w:rPr>
          <w:rFonts w:ascii="Times New Roman" w:hAnsi="Times New Roman"/>
          <w:sz w:val="24"/>
        </w:rPr>
        <w:t>Kui välja arvata rida 0120, siis tasakaalustamissuutlikkuse kontsentratsioone emitendis või vastaspooles, milleks on keskpank, käesolevas vormis ei kajastata. Kui finantsinstitutsioonil on eelnevalt keskpankadesse paigutatud varasid tavapäraste likviidsusoperatsioonide jaoks ja kui need varad kuuluvad koormamata tasakaalustamissuutlikkuse kümne suurima emitendi või vastaspoole alla, esitab finantsinstitutsioon teabe algse emitendi ja algse tooteliigi kohta.</w:t>
      </w:r>
    </w:p>
    <w:p w14:paraId="423289FA" w14:textId="77777777" w:rsidR="00E05204" w:rsidRPr="009475BC"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9475BC" w14:paraId="4310E2B4" w14:textId="77777777" w:rsidTr="00845EB1">
        <w:tc>
          <w:tcPr>
            <w:tcW w:w="990" w:type="dxa"/>
            <w:shd w:val="clear" w:color="auto" w:fill="EEECE1" w:themeFill="background2"/>
          </w:tcPr>
          <w:p w14:paraId="27E41224" w14:textId="77777777" w:rsidR="00E05204" w:rsidRPr="009475BC" w:rsidRDefault="00E05204" w:rsidP="00E31CAF">
            <w:pPr>
              <w:rPr>
                <w:rFonts w:ascii="Times New Roman" w:hAnsi="Times New Roman"/>
                <w:sz w:val="24"/>
              </w:rPr>
            </w:pPr>
            <w:r w:rsidRPr="009475BC">
              <w:rPr>
                <w:rFonts w:ascii="Times New Roman" w:hAnsi="Times New Roman"/>
                <w:sz w:val="24"/>
              </w:rPr>
              <w:t>Veerg</w:t>
            </w:r>
          </w:p>
        </w:tc>
        <w:tc>
          <w:tcPr>
            <w:tcW w:w="7306" w:type="dxa"/>
            <w:shd w:val="clear" w:color="auto" w:fill="EEECE1" w:themeFill="background2"/>
          </w:tcPr>
          <w:p w14:paraId="7398AC24" w14:textId="77777777" w:rsidR="00E05204" w:rsidRPr="009475BC" w:rsidRDefault="00E05204" w:rsidP="00E31CAF">
            <w:pPr>
              <w:rPr>
                <w:rFonts w:ascii="Times New Roman" w:hAnsi="Times New Roman"/>
                <w:sz w:val="24"/>
              </w:rPr>
            </w:pPr>
            <w:r w:rsidRPr="009475BC">
              <w:rPr>
                <w:rFonts w:ascii="Times New Roman" w:hAnsi="Times New Roman"/>
                <w:sz w:val="24"/>
              </w:rPr>
              <w:t>Viited õigussätetele ja juhised</w:t>
            </w:r>
          </w:p>
        </w:tc>
      </w:tr>
      <w:tr w:rsidR="00E05204" w:rsidRPr="009475BC" w14:paraId="32AA40F1" w14:textId="77777777" w:rsidTr="00845EB1">
        <w:tc>
          <w:tcPr>
            <w:tcW w:w="990" w:type="dxa"/>
          </w:tcPr>
          <w:p w14:paraId="79D5F65E" w14:textId="172F12E8" w:rsidR="00E05204" w:rsidRPr="009475BC" w:rsidRDefault="00D47672" w:rsidP="00047ECB">
            <w:pPr>
              <w:rPr>
                <w:rFonts w:ascii="Times New Roman" w:hAnsi="Times New Roman"/>
                <w:sz w:val="24"/>
              </w:rPr>
            </w:pPr>
            <w:r w:rsidRPr="009475BC">
              <w:rPr>
                <w:rFonts w:ascii="Times New Roman" w:hAnsi="Times New Roman"/>
                <w:sz w:val="24"/>
              </w:rPr>
              <w:t>0010</w:t>
            </w:r>
          </w:p>
        </w:tc>
        <w:tc>
          <w:tcPr>
            <w:tcW w:w="7306" w:type="dxa"/>
          </w:tcPr>
          <w:p w14:paraId="20597254" w14:textId="73E89BCB" w:rsidR="00E05204" w:rsidRPr="009475BC" w:rsidRDefault="004C1638" w:rsidP="00D665FC">
            <w:pPr>
              <w:rPr>
                <w:rFonts w:ascii="Times New Roman" w:hAnsi="Times New Roman"/>
                <w:b/>
                <w:sz w:val="24"/>
                <w:u w:val="single"/>
              </w:rPr>
            </w:pPr>
            <w:r w:rsidRPr="009475BC">
              <w:rPr>
                <w:rFonts w:ascii="Times New Roman" w:hAnsi="Times New Roman"/>
                <w:b/>
                <w:sz w:val="24"/>
                <w:u w:val="single"/>
              </w:rPr>
              <w:t>Emitendi nimi</w:t>
            </w:r>
          </w:p>
          <w:p w14:paraId="36B02E7E" w14:textId="3FDFB966" w:rsidR="00E05204" w:rsidRPr="009475BC" w:rsidRDefault="00E05204" w:rsidP="00D665FC">
            <w:pPr>
              <w:rPr>
                <w:rFonts w:ascii="Times New Roman" w:hAnsi="Times New Roman"/>
                <w:sz w:val="24"/>
              </w:rPr>
            </w:pPr>
            <w:r w:rsidRPr="009475BC">
              <w:rPr>
                <w:rFonts w:ascii="Times New Roman" w:hAnsi="Times New Roman"/>
                <w:sz w:val="24"/>
              </w:rPr>
              <w:t>Veerus 0010 esitatakse kahanevas järjekorras kümne olulisima koormamata vara emitendi või finantsinstitutsioonile võimaldatud kasutamata likviidsusliini vastaspoole nimed. Suurim kanne kajastatakse kirjes 1.01, suuruselt teine kirjes 1.02 jne.</w:t>
            </w:r>
            <w:r w:rsidRPr="009475BC">
              <w:t xml:space="preserve"> </w:t>
            </w:r>
            <w:r w:rsidRPr="009475BC">
              <w:rPr>
                <w:rFonts w:ascii="Times New Roman" w:hAnsi="Times New Roman"/>
                <w:sz w:val="24"/>
              </w:rPr>
              <w:t xml:space="preserve">Omavahel seotud klientide </w:t>
            </w:r>
            <w:r w:rsidRPr="009475BC">
              <w:rPr>
                <w:rFonts w:ascii="Times New Roman" w:hAnsi="Times New Roman"/>
                <w:sz w:val="24"/>
              </w:rPr>
              <w:lastRenderedPageBreak/>
              <w:t>rühma moodustavaid emitente ja vastaspooli kajastatakse üheainsa kontsentratsioonina.</w:t>
            </w:r>
          </w:p>
          <w:p w14:paraId="4E01B5DA" w14:textId="4F0E946D" w:rsidR="00E05204" w:rsidRPr="009475BC" w:rsidRDefault="00E05204" w:rsidP="00C05CCA">
            <w:pPr>
              <w:rPr>
                <w:rFonts w:ascii="Times New Roman" w:hAnsi="Times New Roman"/>
                <w:sz w:val="24"/>
              </w:rPr>
            </w:pPr>
            <w:r w:rsidRPr="009475BC">
              <w:rPr>
                <w:rFonts w:ascii="Times New Roman" w:hAnsi="Times New Roman"/>
                <w:sz w:val="24"/>
              </w:rPr>
              <w:t>Kajastatav emitendi/vastaspoole nimi peab olema varad emiteerinud või likviidsusliinid võimaldanud juriidilise isiku täielik nimi, sh viited äriühingu liigile riigi äriühinguõiguse kohaselt.</w:t>
            </w:r>
          </w:p>
        </w:tc>
      </w:tr>
      <w:tr w:rsidR="00E05204" w:rsidRPr="009475BC" w14:paraId="5485249F" w14:textId="77777777" w:rsidTr="00845EB1">
        <w:tc>
          <w:tcPr>
            <w:tcW w:w="990" w:type="dxa"/>
          </w:tcPr>
          <w:p w14:paraId="488A21BC" w14:textId="3FB00318" w:rsidR="00E05204" w:rsidRPr="009475BC" w:rsidRDefault="00125C48" w:rsidP="00047ECB">
            <w:pPr>
              <w:rPr>
                <w:rFonts w:ascii="Times New Roman" w:hAnsi="Times New Roman"/>
                <w:sz w:val="24"/>
              </w:rPr>
            </w:pPr>
            <w:r w:rsidRPr="009475BC">
              <w:rPr>
                <w:rFonts w:ascii="Times New Roman" w:hAnsi="Times New Roman"/>
                <w:sz w:val="24"/>
              </w:rPr>
              <w:lastRenderedPageBreak/>
              <w:t>0020</w:t>
            </w:r>
          </w:p>
        </w:tc>
        <w:tc>
          <w:tcPr>
            <w:tcW w:w="7306" w:type="dxa"/>
          </w:tcPr>
          <w:p w14:paraId="763D0E5F" w14:textId="77777777" w:rsidR="00E05204" w:rsidRPr="009475BC" w:rsidRDefault="00E05204" w:rsidP="00C05CCA">
            <w:pPr>
              <w:rPr>
                <w:rStyle w:val="InstructionsTabelleberschrift"/>
                <w:rFonts w:ascii="Times New Roman" w:hAnsi="Times New Roman"/>
                <w:sz w:val="24"/>
              </w:rPr>
            </w:pPr>
            <w:r w:rsidRPr="009475BC">
              <w:rPr>
                <w:rStyle w:val="InstructionsTabelleberschrift"/>
                <w:rFonts w:ascii="Times New Roman" w:hAnsi="Times New Roman"/>
                <w:sz w:val="24"/>
              </w:rPr>
              <w:t>LEI</w:t>
            </w:r>
          </w:p>
          <w:p w14:paraId="7861A1B2" w14:textId="0A8A8B52" w:rsidR="00E05204" w:rsidRPr="009475BC" w:rsidRDefault="00E05204" w:rsidP="00C05CCA">
            <w:pPr>
              <w:rPr>
                <w:b/>
                <w:sz w:val="24"/>
              </w:rPr>
            </w:pPr>
            <w:r w:rsidRPr="009475BC">
              <w:rPr>
                <w:rFonts w:ascii="Times New Roman" w:hAnsi="Times New Roman"/>
                <w:sz w:val="24"/>
              </w:rPr>
              <w:t xml:space="preserve">Vastaspoole juriidilise isiku tunnuskood </w:t>
            </w:r>
          </w:p>
        </w:tc>
      </w:tr>
      <w:tr w:rsidR="00E05204" w:rsidRPr="009475BC" w14:paraId="2B1BAA00" w14:textId="77777777" w:rsidTr="00845EB1">
        <w:tc>
          <w:tcPr>
            <w:tcW w:w="990" w:type="dxa"/>
          </w:tcPr>
          <w:p w14:paraId="12DAC473" w14:textId="0D9F5636" w:rsidR="00E05204" w:rsidRPr="009475BC" w:rsidRDefault="00125C48" w:rsidP="00047ECB">
            <w:pPr>
              <w:rPr>
                <w:rFonts w:ascii="Times New Roman" w:hAnsi="Times New Roman"/>
                <w:sz w:val="24"/>
              </w:rPr>
            </w:pPr>
            <w:r w:rsidRPr="009475BC">
              <w:rPr>
                <w:rFonts w:ascii="Times New Roman" w:hAnsi="Times New Roman"/>
                <w:sz w:val="24"/>
              </w:rPr>
              <w:t>0030</w:t>
            </w:r>
          </w:p>
        </w:tc>
        <w:tc>
          <w:tcPr>
            <w:tcW w:w="7306" w:type="dxa"/>
          </w:tcPr>
          <w:p w14:paraId="6DAF3DB3" w14:textId="4B8E1486" w:rsidR="00E05204" w:rsidRPr="009475BC" w:rsidRDefault="004C1638" w:rsidP="00D665FC">
            <w:pPr>
              <w:rPr>
                <w:rFonts w:ascii="Times New Roman" w:hAnsi="Times New Roman"/>
                <w:b/>
                <w:sz w:val="24"/>
                <w:u w:val="single"/>
              </w:rPr>
            </w:pPr>
            <w:r w:rsidRPr="009475BC">
              <w:rPr>
                <w:rFonts w:ascii="Times New Roman" w:hAnsi="Times New Roman"/>
                <w:b/>
                <w:sz w:val="24"/>
                <w:u w:val="single"/>
              </w:rPr>
              <w:t>Emitendi majandussektor</w:t>
            </w:r>
          </w:p>
          <w:p w14:paraId="62F53B63" w14:textId="5D0C886D" w:rsidR="00E05204" w:rsidRPr="009475BC" w:rsidRDefault="00E05204" w:rsidP="00845EB1">
            <w:pPr>
              <w:pStyle w:val="InstructionsText"/>
              <w:rPr>
                <w:rStyle w:val="FormatvorlageInstructionsTabelleText"/>
                <w:rFonts w:ascii="Times New Roman" w:hAnsi="Times New Roman"/>
                <w:sz w:val="24"/>
              </w:rPr>
            </w:pPr>
            <w:r w:rsidRPr="009475BC">
              <w:rPr>
                <w:rStyle w:val="FormatvorlageInstructionsTabelleText"/>
                <w:rFonts w:ascii="Times New Roman" w:hAnsi="Times New Roman"/>
                <w:sz w:val="24"/>
              </w:rPr>
              <w:t>Iga emitent või vastaspool liigitatakse ühe majandussektori alla lähtuvalt järgmistest finantsaruandluse (FINREP) majandussektorite klassidest (käesoleva rakendusmääruse V lisa 1. osa):</w:t>
            </w:r>
          </w:p>
          <w:p w14:paraId="563180C8" w14:textId="0D02EFEA" w:rsidR="00E05204" w:rsidRPr="009475BC" w:rsidRDefault="00E05204" w:rsidP="00845EB1">
            <w:pPr>
              <w:pStyle w:val="InstructionsText"/>
              <w:rPr>
                <w:rStyle w:val="FormatvorlageInstructionsTabelleText"/>
                <w:rFonts w:ascii="Times New Roman" w:hAnsi="Times New Roman"/>
                <w:sz w:val="24"/>
              </w:rPr>
            </w:pPr>
            <w:r w:rsidRPr="009475BC">
              <w:rPr>
                <w:rStyle w:val="FormatvorlageInstructionsTabelleText"/>
                <w:rFonts w:ascii="Times New Roman" w:hAnsi="Times New Roman"/>
                <w:sz w:val="24"/>
              </w:rPr>
              <w:t>i) valitsemissektor; ii) krediidiasutus; iii) muu finantssektori äriühing, iv)</w:t>
            </w:r>
            <w:r w:rsidR="009475BC">
              <w:rPr>
                <w:rStyle w:val="FormatvorlageInstructionsTabelleText"/>
                <w:rFonts w:ascii="Times New Roman" w:hAnsi="Times New Roman"/>
                <w:sz w:val="24"/>
              </w:rPr>
              <w:t> </w:t>
            </w:r>
            <w:r w:rsidRPr="009475BC">
              <w:rPr>
                <w:rStyle w:val="FormatvorlageInstructionsTabelleText"/>
                <w:rFonts w:ascii="Times New Roman" w:hAnsi="Times New Roman"/>
                <w:sz w:val="24"/>
              </w:rPr>
              <w:t xml:space="preserve">finantssektoriväline äriühing, v) kodumajapidamine. </w:t>
            </w:r>
          </w:p>
          <w:p w14:paraId="3E53ACDF" w14:textId="14712E31" w:rsidR="00E05204" w:rsidRPr="009475BC" w:rsidRDefault="00E05204" w:rsidP="008C0F1F">
            <w:pPr>
              <w:rPr>
                <w:rFonts w:ascii="Times New Roman" w:hAnsi="Times New Roman"/>
                <w:sz w:val="24"/>
              </w:rPr>
            </w:pPr>
            <w:r w:rsidRPr="009475BC">
              <w:rPr>
                <w:rStyle w:val="FormatvorlageInstructionsTabelleText"/>
                <w:rFonts w:ascii="Times New Roman" w:hAnsi="Times New Roman"/>
                <w:sz w:val="24"/>
              </w:rPr>
              <w:t>Omavahel</w:t>
            </w:r>
            <w:r w:rsidRPr="009475BC">
              <w:rPr>
                <w:rFonts w:ascii="Times New Roman" w:hAnsi="Times New Roman"/>
                <w:sz w:val="24"/>
              </w:rPr>
              <w:t xml:space="preserve"> seotud </w:t>
            </w:r>
            <w:r w:rsidRPr="009475BC">
              <w:rPr>
                <w:rStyle w:val="FormatvorlageInstructionsTabelleText"/>
                <w:rFonts w:ascii="Times New Roman" w:hAnsi="Times New Roman"/>
                <w:sz w:val="24"/>
              </w:rPr>
              <w:t xml:space="preserve">klientide rühmade puhul majandussektorit ei märgita. </w:t>
            </w:r>
          </w:p>
        </w:tc>
      </w:tr>
      <w:tr w:rsidR="00E05204" w:rsidRPr="009475BC" w14:paraId="66F40C8E" w14:textId="77777777" w:rsidTr="00845EB1">
        <w:tc>
          <w:tcPr>
            <w:tcW w:w="990" w:type="dxa"/>
          </w:tcPr>
          <w:p w14:paraId="5F55844F" w14:textId="059AC78A" w:rsidR="00E05204" w:rsidRPr="009475BC" w:rsidRDefault="00125C48" w:rsidP="00047ECB">
            <w:pPr>
              <w:rPr>
                <w:rFonts w:ascii="Times New Roman" w:hAnsi="Times New Roman"/>
                <w:sz w:val="24"/>
              </w:rPr>
            </w:pPr>
            <w:r w:rsidRPr="009475BC">
              <w:rPr>
                <w:rFonts w:ascii="Times New Roman" w:hAnsi="Times New Roman"/>
                <w:sz w:val="24"/>
              </w:rPr>
              <w:t>0040</w:t>
            </w:r>
          </w:p>
        </w:tc>
        <w:tc>
          <w:tcPr>
            <w:tcW w:w="7306" w:type="dxa"/>
          </w:tcPr>
          <w:p w14:paraId="6EC1C162" w14:textId="488287EA" w:rsidR="00E05204" w:rsidRPr="009475BC" w:rsidRDefault="00E05204" w:rsidP="00D665FC">
            <w:pPr>
              <w:rPr>
                <w:rFonts w:ascii="Times New Roman" w:hAnsi="Times New Roman"/>
                <w:b/>
                <w:sz w:val="24"/>
                <w:u w:val="single"/>
              </w:rPr>
            </w:pPr>
            <w:r w:rsidRPr="009475BC">
              <w:rPr>
                <w:rFonts w:ascii="Times New Roman" w:hAnsi="Times New Roman"/>
                <w:b/>
                <w:sz w:val="24"/>
                <w:u w:val="single"/>
              </w:rPr>
              <w:t xml:space="preserve">Emitendi residentsus </w:t>
            </w:r>
          </w:p>
          <w:p w14:paraId="0F33DF35" w14:textId="52A4F552" w:rsidR="00E05204" w:rsidRPr="009475BC" w:rsidRDefault="00E05204" w:rsidP="00C05CCA">
            <w:pPr>
              <w:rPr>
                <w:rStyle w:val="FormatvorlageInstructionsTabelleText"/>
                <w:rFonts w:ascii="Times New Roman" w:hAnsi="Times New Roman"/>
                <w:sz w:val="24"/>
              </w:rPr>
            </w:pPr>
            <w:r w:rsidRPr="009475BC">
              <w:rPr>
                <w:rStyle w:val="FormatvorlageInstructionsTabelleText"/>
                <w:rFonts w:ascii="Times New Roman" w:hAnsi="Times New Roman"/>
                <w:sz w:val="24"/>
              </w:rPr>
              <w:t>Kasutatakse riigi, kus emitent või vastaspool on asutatud, ISO koodi 3166-1-alfa-2 (sealhulgas rahvusvaheliste organisatsioonide pseudo-ISO koodid</w:t>
            </w:r>
            <w:r w:rsidRPr="009475BC">
              <w:rPr>
                <w:rFonts w:ascii="Times New Roman" w:hAnsi="Times New Roman"/>
                <w:sz w:val="24"/>
              </w:rPr>
              <w:t>, mis on kättesaadavad Eurostati maksebilansi käsiraamatu viimases väljaandes)</w:t>
            </w:r>
            <w:r w:rsidRPr="009475BC">
              <w:rPr>
                <w:rStyle w:val="FormatvorlageInstructionsTabelleText"/>
                <w:rFonts w:ascii="Times New Roman" w:hAnsi="Times New Roman"/>
                <w:sz w:val="24"/>
              </w:rPr>
              <w:t xml:space="preserve">. </w:t>
            </w:r>
          </w:p>
          <w:p w14:paraId="60598FF1" w14:textId="5505D19C" w:rsidR="00E05204" w:rsidRPr="009475BC" w:rsidRDefault="00E05204" w:rsidP="00C05CCA">
            <w:pPr>
              <w:rPr>
                <w:rFonts w:ascii="Times New Roman" w:hAnsi="Times New Roman"/>
                <w:sz w:val="24"/>
              </w:rPr>
            </w:pPr>
            <w:r w:rsidRPr="009475BC">
              <w:rPr>
                <w:rStyle w:val="FormatvorlageInstructionsTabelleText"/>
                <w:rFonts w:ascii="Times New Roman" w:hAnsi="Times New Roman"/>
                <w:sz w:val="24"/>
              </w:rPr>
              <w:t xml:space="preserve">Omavahel seotud klientide rühmade puhul riiki ei märgita. </w:t>
            </w:r>
          </w:p>
        </w:tc>
      </w:tr>
      <w:tr w:rsidR="00E05204" w:rsidRPr="009475BC" w14:paraId="0F08D697" w14:textId="77777777" w:rsidTr="00845EB1">
        <w:tc>
          <w:tcPr>
            <w:tcW w:w="990" w:type="dxa"/>
          </w:tcPr>
          <w:p w14:paraId="3B929507" w14:textId="2C8459FF" w:rsidR="00E05204" w:rsidRPr="009475BC" w:rsidRDefault="00D47672" w:rsidP="00047ECB">
            <w:pPr>
              <w:rPr>
                <w:rFonts w:ascii="Times New Roman" w:hAnsi="Times New Roman"/>
                <w:sz w:val="24"/>
              </w:rPr>
            </w:pPr>
            <w:r w:rsidRPr="009475BC">
              <w:rPr>
                <w:rFonts w:ascii="Times New Roman" w:hAnsi="Times New Roman"/>
                <w:sz w:val="24"/>
              </w:rPr>
              <w:t>0050</w:t>
            </w:r>
          </w:p>
        </w:tc>
        <w:tc>
          <w:tcPr>
            <w:tcW w:w="7306" w:type="dxa"/>
          </w:tcPr>
          <w:p w14:paraId="016C0789" w14:textId="77777777" w:rsidR="00E05204" w:rsidRPr="009475BC" w:rsidRDefault="00E05204" w:rsidP="00D665FC">
            <w:pPr>
              <w:rPr>
                <w:rFonts w:ascii="Times New Roman" w:hAnsi="Times New Roman"/>
                <w:b/>
                <w:sz w:val="24"/>
                <w:u w:val="single"/>
              </w:rPr>
            </w:pPr>
            <w:r w:rsidRPr="009475BC">
              <w:rPr>
                <w:rFonts w:ascii="Times New Roman" w:hAnsi="Times New Roman"/>
                <w:b/>
                <w:sz w:val="24"/>
                <w:u w:val="single"/>
              </w:rPr>
              <w:t>Tooteliik</w:t>
            </w:r>
          </w:p>
          <w:p w14:paraId="7DC48699" w14:textId="4D5DEEF0" w:rsidR="00E05204" w:rsidRPr="009475BC" w:rsidRDefault="00E05204" w:rsidP="00D665FC">
            <w:pPr>
              <w:rPr>
                <w:rFonts w:ascii="Times New Roman" w:hAnsi="Times New Roman"/>
                <w:sz w:val="24"/>
              </w:rPr>
            </w:pPr>
            <w:r w:rsidRPr="009475BC">
              <w:rPr>
                <w:rFonts w:ascii="Times New Roman" w:hAnsi="Times New Roman"/>
                <w:sz w:val="24"/>
              </w:rPr>
              <w:t xml:space="preserve">Veerus 0010 loetletud emitentidele/vastaspooltele määratakse toote liik, mis </w:t>
            </w:r>
            <w:r w:rsidRPr="009475BC">
              <w:rPr>
                <w:rStyle w:val="FormatvorlageInstructionsTabelleText"/>
                <w:rFonts w:ascii="Times New Roman" w:hAnsi="Times New Roman"/>
                <w:sz w:val="24"/>
              </w:rPr>
              <w:t>vastab</w:t>
            </w:r>
            <w:r w:rsidRPr="009475BC">
              <w:rPr>
                <w:rFonts w:ascii="Times New Roman" w:hAnsi="Times New Roman"/>
                <w:sz w:val="24"/>
              </w:rPr>
              <w:t xml:space="preserve"> tootele, milles vara hoitakse või milles ootel likviidsuslimiit on saadud, kasutades järgmisi rasvases kirjas näidatud koode:</w:t>
            </w:r>
          </w:p>
          <w:p w14:paraId="1CB9AEA2" w14:textId="77777777" w:rsidR="00E05204" w:rsidRPr="009475BC" w:rsidRDefault="00E05204" w:rsidP="00D665FC">
            <w:pPr>
              <w:rPr>
                <w:rFonts w:ascii="Times New Roman" w:hAnsi="Times New Roman"/>
                <w:sz w:val="24"/>
              </w:rPr>
            </w:pPr>
            <w:bookmarkStart w:id="0" w:name="OLE_LINK1"/>
            <w:r w:rsidRPr="009475BC">
              <w:rPr>
                <w:rFonts w:ascii="Times New Roman" w:hAnsi="Times New Roman"/>
                <w:b/>
                <w:sz w:val="24"/>
              </w:rPr>
              <w:t>SrB</w:t>
            </w:r>
            <w:r w:rsidRPr="009475BC">
              <w:rPr>
                <w:rFonts w:ascii="Times New Roman" w:hAnsi="Times New Roman"/>
                <w:sz w:val="24"/>
              </w:rPr>
              <w:t xml:space="preserve"> (</w:t>
            </w:r>
            <w:r w:rsidRPr="009475BC">
              <w:rPr>
                <w:rStyle w:val="FormatvorlageInstructionsTabelleText"/>
                <w:rFonts w:ascii="Times New Roman" w:hAnsi="Times New Roman"/>
                <w:i/>
                <w:iCs/>
                <w:sz w:val="24"/>
              </w:rPr>
              <w:t>Senior</w:t>
            </w:r>
            <w:r w:rsidRPr="009475BC">
              <w:rPr>
                <w:rFonts w:ascii="Times New Roman" w:hAnsi="Times New Roman"/>
                <w:i/>
                <w:iCs/>
                <w:sz w:val="24"/>
              </w:rPr>
              <w:t xml:space="preserve"> Bond</w:t>
            </w:r>
            <w:r w:rsidRPr="009475BC">
              <w:rPr>
                <w:rFonts w:ascii="Times New Roman" w:hAnsi="Times New Roman"/>
                <w:sz w:val="24"/>
              </w:rPr>
              <w:t xml:space="preserve">) – kõrgema nõudeõiguse järgu võlakiri </w:t>
            </w:r>
          </w:p>
          <w:p w14:paraId="6ADB0D10" w14:textId="77777777" w:rsidR="00E05204" w:rsidRPr="009475BC" w:rsidRDefault="00E05204" w:rsidP="00D665FC">
            <w:pPr>
              <w:rPr>
                <w:rFonts w:ascii="Times New Roman" w:hAnsi="Times New Roman"/>
                <w:sz w:val="24"/>
              </w:rPr>
            </w:pPr>
            <w:r w:rsidRPr="009475BC">
              <w:rPr>
                <w:rFonts w:ascii="Times New Roman" w:hAnsi="Times New Roman"/>
                <w:b/>
                <w:sz w:val="24"/>
              </w:rPr>
              <w:t>SubB</w:t>
            </w:r>
            <w:r w:rsidRPr="009475BC">
              <w:rPr>
                <w:rFonts w:ascii="Times New Roman" w:hAnsi="Times New Roman"/>
                <w:sz w:val="24"/>
              </w:rPr>
              <w:t xml:space="preserve"> (</w:t>
            </w:r>
            <w:r w:rsidRPr="009475BC">
              <w:rPr>
                <w:rStyle w:val="FormatvorlageInstructionsTabelleText"/>
                <w:rFonts w:ascii="Times New Roman" w:hAnsi="Times New Roman"/>
                <w:i/>
                <w:iCs/>
                <w:sz w:val="24"/>
              </w:rPr>
              <w:t>Subordinated Bond</w:t>
            </w:r>
            <w:r w:rsidRPr="009475BC">
              <w:rPr>
                <w:rFonts w:ascii="Times New Roman" w:hAnsi="Times New Roman"/>
                <w:sz w:val="24"/>
              </w:rPr>
              <w:t>) – allutatud võlakiri</w:t>
            </w:r>
          </w:p>
          <w:p w14:paraId="08EFBEC2" w14:textId="77777777" w:rsidR="00E05204" w:rsidRPr="009475BC" w:rsidRDefault="00E05204" w:rsidP="00A36F2D">
            <w:pPr>
              <w:rPr>
                <w:rFonts w:ascii="Times New Roman" w:hAnsi="Times New Roman"/>
                <w:sz w:val="24"/>
              </w:rPr>
            </w:pPr>
            <w:r w:rsidRPr="009475BC">
              <w:rPr>
                <w:rFonts w:ascii="Times New Roman" w:hAnsi="Times New Roman"/>
                <w:b/>
                <w:sz w:val="24"/>
              </w:rPr>
              <w:t>CP</w:t>
            </w:r>
            <w:r w:rsidRPr="009475BC">
              <w:rPr>
                <w:rFonts w:ascii="Times New Roman" w:hAnsi="Times New Roman"/>
                <w:sz w:val="24"/>
              </w:rPr>
              <w:t xml:space="preserve"> (</w:t>
            </w:r>
            <w:r w:rsidRPr="009475BC">
              <w:rPr>
                <w:rStyle w:val="FormatvorlageInstructionsTabelleText"/>
                <w:rFonts w:ascii="Times New Roman" w:hAnsi="Times New Roman"/>
                <w:i/>
                <w:iCs/>
                <w:sz w:val="24"/>
              </w:rPr>
              <w:t>Commercial Paper</w:t>
            </w:r>
            <w:r w:rsidRPr="009475BC">
              <w:rPr>
                <w:rFonts w:ascii="Times New Roman" w:hAnsi="Times New Roman"/>
                <w:sz w:val="24"/>
              </w:rPr>
              <w:t>) – kommertsväärtpaber</w:t>
            </w:r>
          </w:p>
          <w:p w14:paraId="71AB267C" w14:textId="77777777" w:rsidR="00E05204" w:rsidRPr="009475BC" w:rsidRDefault="00E05204">
            <w:pPr>
              <w:rPr>
                <w:rFonts w:ascii="Times New Roman" w:hAnsi="Times New Roman"/>
                <w:sz w:val="24"/>
              </w:rPr>
            </w:pPr>
            <w:r w:rsidRPr="009475BC">
              <w:rPr>
                <w:rFonts w:ascii="Times New Roman" w:hAnsi="Times New Roman"/>
                <w:b/>
                <w:sz w:val="24"/>
              </w:rPr>
              <w:t>CB</w:t>
            </w:r>
            <w:r w:rsidRPr="009475BC">
              <w:rPr>
                <w:rFonts w:ascii="Times New Roman" w:hAnsi="Times New Roman"/>
                <w:sz w:val="24"/>
              </w:rPr>
              <w:t xml:space="preserve"> (</w:t>
            </w:r>
            <w:r w:rsidRPr="009475BC">
              <w:rPr>
                <w:rStyle w:val="FormatvorlageInstructionsTabelleText"/>
                <w:rFonts w:ascii="Times New Roman" w:hAnsi="Times New Roman"/>
                <w:i/>
                <w:iCs/>
                <w:sz w:val="24"/>
              </w:rPr>
              <w:t>Covered Bond</w:t>
            </w:r>
            <w:r w:rsidRPr="009475BC">
              <w:rPr>
                <w:rFonts w:ascii="Times New Roman" w:hAnsi="Times New Roman"/>
                <w:sz w:val="24"/>
              </w:rPr>
              <w:t xml:space="preserve">) – pandikiri </w:t>
            </w:r>
          </w:p>
          <w:p w14:paraId="16004F55" w14:textId="644C50DD" w:rsidR="00E05204" w:rsidRPr="009475BC" w:rsidRDefault="00E05204">
            <w:pPr>
              <w:rPr>
                <w:rFonts w:ascii="Times New Roman" w:hAnsi="Times New Roman"/>
                <w:sz w:val="24"/>
              </w:rPr>
            </w:pPr>
            <w:r w:rsidRPr="009475BC">
              <w:rPr>
                <w:rFonts w:ascii="Times New Roman" w:hAnsi="Times New Roman"/>
                <w:b/>
                <w:sz w:val="24"/>
              </w:rPr>
              <w:t>US</w:t>
            </w:r>
            <w:r w:rsidRPr="009475BC">
              <w:rPr>
                <w:rFonts w:ascii="Times New Roman" w:hAnsi="Times New Roman"/>
                <w:sz w:val="24"/>
              </w:rPr>
              <w:t xml:space="preserve"> (</w:t>
            </w:r>
            <w:r w:rsidRPr="009475BC">
              <w:rPr>
                <w:rStyle w:val="FormatvorlageInstructionsTabelleText"/>
                <w:rFonts w:ascii="Times New Roman" w:hAnsi="Times New Roman"/>
                <w:i/>
                <w:iCs/>
                <w:sz w:val="24"/>
              </w:rPr>
              <w:t>UCITS-security</w:t>
            </w:r>
            <w:r w:rsidRPr="009475BC">
              <w:rPr>
                <w:rFonts w:ascii="Times New Roman" w:hAnsi="Times New Roman"/>
                <w:sz w:val="24"/>
              </w:rPr>
              <w:t>) – eurofondide väärtpaberid, st finantsinstrumendid, mis kujutavad endast osalust vabalt võõrandatavatesse väärtpaberitesse ühiseks investeerimiseks loodud ettevõtjas (eurofondis) või mille eurofond on välja lasknud</w:t>
            </w:r>
          </w:p>
          <w:p w14:paraId="2E54EB88" w14:textId="77777777" w:rsidR="00E05204" w:rsidRPr="009475BC" w:rsidRDefault="00E05204">
            <w:pPr>
              <w:rPr>
                <w:rFonts w:ascii="Times New Roman" w:hAnsi="Times New Roman"/>
                <w:sz w:val="24"/>
              </w:rPr>
            </w:pPr>
            <w:r w:rsidRPr="009475BC">
              <w:rPr>
                <w:rFonts w:ascii="Times New Roman" w:hAnsi="Times New Roman"/>
                <w:b/>
                <w:sz w:val="24"/>
              </w:rPr>
              <w:t xml:space="preserve">ABS </w:t>
            </w:r>
            <w:r w:rsidRPr="009475BC">
              <w:rPr>
                <w:rFonts w:ascii="Times New Roman" w:hAnsi="Times New Roman"/>
                <w:sz w:val="24"/>
              </w:rPr>
              <w:t>(</w:t>
            </w:r>
            <w:r w:rsidRPr="009475BC">
              <w:rPr>
                <w:rFonts w:ascii="Times New Roman" w:hAnsi="Times New Roman"/>
                <w:i/>
                <w:iCs/>
                <w:sz w:val="24"/>
              </w:rPr>
              <w:t>Asset Backed Security</w:t>
            </w:r>
            <w:r w:rsidRPr="009475BC">
              <w:rPr>
                <w:rFonts w:ascii="Times New Roman" w:hAnsi="Times New Roman"/>
                <w:sz w:val="24"/>
              </w:rPr>
              <w:t>) – varaga tagatud väärtpaber</w:t>
            </w:r>
          </w:p>
          <w:p w14:paraId="47B806DE" w14:textId="77777777" w:rsidR="00E05204" w:rsidRPr="009475BC" w:rsidRDefault="00E05204">
            <w:pPr>
              <w:rPr>
                <w:rFonts w:ascii="Times New Roman" w:hAnsi="Times New Roman"/>
                <w:sz w:val="24"/>
              </w:rPr>
            </w:pPr>
            <w:r w:rsidRPr="009475BC">
              <w:rPr>
                <w:rFonts w:ascii="Times New Roman" w:hAnsi="Times New Roman"/>
                <w:b/>
                <w:sz w:val="24"/>
              </w:rPr>
              <w:t>CrCl</w:t>
            </w:r>
            <w:r w:rsidRPr="009475BC">
              <w:rPr>
                <w:rFonts w:ascii="Times New Roman" w:hAnsi="Times New Roman"/>
                <w:sz w:val="24"/>
              </w:rPr>
              <w:t xml:space="preserve"> (</w:t>
            </w:r>
            <w:r w:rsidRPr="009475BC">
              <w:rPr>
                <w:rStyle w:val="FormatvorlageInstructionsTabelleText"/>
                <w:rFonts w:ascii="Times New Roman" w:hAnsi="Times New Roman"/>
                <w:i/>
                <w:iCs/>
                <w:sz w:val="24"/>
              </w:rPr>
              <w:t>Credit Claim</w:t>
            </w:r>
            <w:r w:rsidRPr="009475BC">
              <w:rPr>
                <w:rFonts w:ascii="Times New Roman" w:hAnsi="Times New Roman"/>
                <w:sz w:val="24"/>
              </w:rPr>
              <w:t>) – krediidinõue</w:t>
            </w:r>
          </w:p>
          <w:p w14:paraId="77F497F4" w14:textId="77777777" w:rsidR="00E05204" w:rsidRPr="009475BC" w:rsidRDefault="00E05204">
            <w:pPr>
              <w:rPr>
                <w:rFonts w:ascii="Times New Roman" w:hAnsi="Times New Roman"/>
                <w:sz w:val="24"/>
              </w:rPr>
            </w:pPr>
            <w:r w:rsidRPr="009475BC">
              <w:rPr>
                <w:rFonts w:ascii="Times New Roman" w:hAnsi="Times New Roman"/>
                <w:b/>
                <w:sz w:val="24"/>
              </w:rPr>
              <w:t>Eq</w:t>
            </w:r>
            <w:r w:rsidRPr="009475BC">
              <w:rPr>
                <w:rFonts w:ascii="Times New Roman" w:hAnsi="Times New Roman"/>
                <w:sz w:val="24"/>
              </w:rPr>
              <w:t xml:space="preserve"> (</w:t>
            </w:r>
            <w:r w:rsidRPr="009475BC">
              <w:rPr>
                <w:rStyle w:val="FormatvorlageInstructionsTabelleText"/>
                <w:rFonts w:ascii="Times New Roman" w:hAnsi="Times New Roman"/>
                <w:i/>
                <w:iCs/>
                <w:sz w:val="24"/>
              </w:rPr>
              <w:t>Equity</w:t>
            </w:r>
            <w:r w:rsidRPr="009475BC">
              <w:rPr>
                <w:rFonts w:ascii="Times New Roman" w:hAnsi="Times New Roman"/>
                <w:sz w:val="24"/>
              </w:rPr>
              <w:t>) – aktsia</w:t>
            </w:r>
          </w:p>
          <w:p w14:paraId="3F4E3AAB" w14:textId="396B9AF6" w:rsidR="00E05204" w:rsidRPr="009475BC" w:rsidRDefault="00E05204">
            <w:pPr>
              <w:rPr>
                <w:rFonts w:ascii="Times New Roman" w:hAnsi="Times New Roman"/>
                <w:b/>
                <w:sz w:val="24"/>
              </w:rPr>
            </w:pPr>
            <w:r w:rsidRPr="009475BC">
              <w:rPr>
                <w:rFonts w:ascii="Times New Roman" w:hAnsi="Times New Roman"/>
                <w:b/>
                <w:sz w:val="24"/>
              </w:rPr>
              <w:t>Gold (kui tegemist on füüsilise kullaga, mida saab käsitada ühe vastaspoolena)</w:t>
            </w:r>
          </w:p>
          <w:p w14:paraId="6AE61C73" w14:textId="77777777" w:rsidR="00E05204" w:rsidRPr="009475BC" w:rsidRDefault="00E05204">
            <w:pPr>
              <w:rPr>
                <w:rFonts w:ascii="Times New Roman" w:hAnsi="Times New Roman"/>
                <w:sz w:val="24"/>
              </w:rPr>
            </w:pPr>
            <w:r w:rsidRPr="009475BC">
              <w:rPr>
                <w:rFonts w:ascii="Times New Roman" w:hAnsi="Times New Roman"/>
                <w:b/>
                <w:sz w:val="24"/>
              </w:rPr>
              <w:lastRenderedPageBreak/>
              <w:t>LiqL</w:t>
            </w:r>
            <w:r w:rsidRPr="009475BC">
              <w:rPr>
                <w:rFonts w:ascii="Times New Roman" w:hAnsi="Times New Roman"/>
                <w:sz w:val="24"/>
              </w:rPr>
              <w:t xml:space="preserve"> (</w:t>
            </w:r>
            <w:r w:rsidRPr="009475BC">
              <w:rPr>
                <w:rStyle w:val="FormatvorlageInstructionsTabelleText"/>
                <w:rFonts w:ascii="Times New Roman" w:hAnsi="Times New Roman"/>
                <w:i/>
                <w:iCs/>
                <w:sz w:val="24"/>
              </w:rPr>
              <w:t>Liquidity Line</w:t>
            </w:r>
            <w:r w:rsidRPr="009475BC">
              <w:rPr>
                <w:rFonts w:ascii="Times New Roman" w:hAnsi="Times New Roman"/>
                <w:sz w:val="24"/>
              </w:rPr>
              <w:t>) – finantsinstitutsioonile võimaldatud kasutamata likviidsusliin</w:t>
            </w:r>
          </w:p>
          <w:p w14:paraId="23B5C30F" w14:textId="77777777" w:rsidR="00E05204" w:rsidRPr="009475BC" w:rsidRDefault="00E05204">
            <w:pPr>
              <w:rPr>
                <w:rFonts w:ascii="Times New Roman" w:hAnsi="Times New Roman"/>
                <w:b/>
                <w:sz w:val="24"/>
              </w:rPr>
            </w:pPr>
            <w:r w:rsidRPr="009475BC">
              <w:rPr>
                <w:rFonts w:ascii="Times New Roman" w:hAnsi="Times New Roman"/>
                <w:b/>
                <w:sz w:val="24"/>
              </w:rPr>
              <w:t xml:space="preserve">OPT </w:t>
            </w:r>
            <w:r w:rsidRPr="009475BC">
              <w:rPr>
                <w:rFonts w:ascii="Times New Roman" w:hAnsi="Times New Roman"/>
                <w:sz w:val="24"/>
              </w:rPr>
              <w:t>(</w:t>
            </w:r>
            <w:r w:rsidRPr="009475BC">
              <w:rPr>
                <w:rStyle w:val="FormatvorlageInstructionsTabelleText"/>
                <w:rFonts w:ascii="Times New Roman" w:hAnsi="Times New Roman"/>
                <w:i/>
                <w:iCs/>
                <w:sz w:val="24"/>
              </w:rPr>
              <w:t>Other</w:t>
            </w:r>
            <w:r w:rsidRPr="009475BC">
              <w:rPr>
                <w:rFonts w:ascii="Times New Roman" w:hAnsi="Times New Roman"/>
                <w:i/>
                <w:iCs/>
                <w:sz w:val="24"/>
              </w:rPr>
              <w:t xml:space="preserve"> product type</w:t>
            </w:r>
            <w:r w:rsidRPr="009475BC">
              <w:rPr>
                <w:rFonts w:ascii="Times New Roman" w:hAnsi="Times New Roman"/>
                <w:sz w:val="24"/>
              </w:rPr>
              <w:t>) – muu tooteliik</w:t>
            </w:r>
            <w:bookmarkEnd w:id="0"/>
          </w:p>
        </w:tc>
      </w:tr>
      <w:tr w:rsidR="00E05204" w:rsidRPr="009475BC" w14:paraId="4C932A7E" w14:textId="77777777" w:rsidTr="00845EB1">
        <w:tc>
          <w:tcPr>
            <w:tcW w:w="990" w:type="dxa"/>
          </w:tcPr>
          <w:p w14:paraId="611D24E9" w14:textId="2F1E489F" w:rsidR="00E05204" w:rsidRPr="009475BC" w:rsidRDefault="00125C48" w:rsidP="00047ECB">
            <w:pPr>
              <w:rPr>
                <w:rFonts w:ascii="Times New Roman" w:hAnsi="Times New Roman"/>
                <w:sz w:val="24"/>
              </w:rPr>
            </w:pPr>
            <w:r w:rsidRPr="009475BC">
              <w:rPr>
                <w:rFonts w:ascii="Times New Roman" w:hAnsi="Times New Roman"/>
                <w:sz w:val="24"/>
              </w:rPr>
              <w:lastRenderedPageBreak/>
              <w:t>0060</w:t>
            </w:r>
          </w:p>
        </w:tc>
        <w:tc>
          <w:tcPr>
            <w:tcW w:w="7306" w:type="dxa"/>
          </w:tcPr>
          <w:p w14:paraId="361DF87B" w14:textId="77777777" w:rsidR="00E05204" w:rsidRPr="009475BC" w:rsidRDefault="00E05204" w:rsidP="00D665FC">
            <w:pPr>
              <w:rPr>
                <w:rFonts w:ascii="Times New Roman" w:hAnsi="Times New Roman"/>
                <w:b/>
                <w:sz w:val="24"/>
                <w:u w:val="single"/>
              </w:rPr>
            </w:pPr>
            <w:r w:rsidRPr="009475BC">
              <w:rPr>
                <w:rFonts w:ascii="Times New Roman" w:hAnsi="Times New Roman"/>
                <w:b/>
                <w:sz w:val="24"/>
                <w:u w:val="single"/>
              </w:rPr>
              <w:t>Valuuta</w:t>
            </w:r>
          </w:p>
          <w:p w14:paraId="1D458B95" w14:textId="577715DC" w:rsidR="00C05CCA" w:rsidRPr="009475BC" w:rsidRDefault="004C1638" w:rsidP="00D665FC">
            <w:pPr>
              <w:rPr>
                <w:rFonts w:ascii="Times New Roman" w:hAnsi="Times New Roman"/>
                <w:sz w:val="24"/>
              </w:rPr>
            </w:pPr>
            <w:r w:rsidRPr="009475BC">
              <w:rPr>
                <w:rFonts w:ascii="Times New Roman" w:hAnsi="Times New Roman"/>
                <w:sz w:val="24"/>
              </w:rPr>
              <w:t>Veerus 0010 loetletud emitendile või vastaspooltele määratakse veerus 0060 selle valuuta ISO kood, milles saadud vara või finantsinstitutsioonile võimaldatud kasutamata likviidsusliin on nomineeritud. Märgitakse ISO</w:t>
            </w:r>
            <w:r w:rsidR="009475BC">
              <w:rPr>
                <w:rFonts w:ascii="Times New Roman" w:hAnsi="Times New Roman"/>
                <w:sz w:val="24"/>
              </w:rPr>
              <w:t> </w:t>
            </w:r>
            <w:r w:rsidRPr="009475BC">
              <w:rPr>
                <w:rFonts w:ascii="Times New Roman" w:hAnsi="Times New Roman"/>
                <w:sz w:val="24"/>
              </w:rPr>
              <w:t xml:space="preserve">4217 kohane kolmetäheline valuutakood. </w:t>
            </w:r>
          </w:p>
          <w:p w14:paraId="74611C9A" w14:textId="7CC928F5" w:rsidR="00774708" w:rsidRPr="009475BC" w:rsidRDefault="00047ECB" w:rsidP="00BC5835">
            <w:pPr>
              <w:rPr>
                <w:rFonts w:ascii="Times New Roman" w:hAnsi="Times New Roman"/>
                <w:sz w:val="24"/>
              </w:rPr>
            </w:pPr>
            <w:r w:rsidRPr="009475BC">
              <w:rPr>
                <w:rFonts w:ascii="Times New Roman" w:hAnsi="Times New Roman"/>
                <w:sz w:val="24"/>
              </w:rPr>
              <w:t>Kui tasakaalustamissuutlikkuse kontsentratsiooni osa on mitut valuutat hõlmav liin, võetakse seda liini arvesse valuutas, mis on ülejäänud kontsentratsiooni puhul domineeriv. Seoses eraldi kajastamisega olulistes valuutades, nagu on sätestatud määruse (EL) nr 575/2013 artikli 415 artiklis 2, hindavad finantsinstitutsioonid valuutat, milles rahavoog tõenäoliselt toimub, ja kajastavad kirjet üksnes selles olulises valuutas kooskõlas oluliste valuutade eraldi kajastamise juhistega likviidsuskatte nõuete puhul vastavalt määrusele (EL) 2021/451.</w:t>
            </w:r>
          </w:p>
        </w:tc>
      </w:tr>
      <w:tr w:rsidR="00E05204" w:rsidRPr="009475BC" w14:paraId="73A43F51" w14:textId="77777777" w:rsidTr="00845EB1">
        <w:tc>
          <w:tcPr>
            <w:tcW w:w="990" w:type="dxa"/>
          </w:tcPr>
          <w:p w14:paraId="44D208DA" w14:textId="23F6D9FD" w:rsidR="00E05204" w:rsidRPr="009475BC" w:rsidRDefault="00125C48" w:rsidP="00047ECB">
            <w:pPr>
              <w:rPr>
                <w:rFonts w:ascii="Times New Roman" w:hAnsi="Times New Roman"/>
                <w:sz w:val="24"/>
              </w:rPr>
            </w:pPr>
            <w:r w:rsidRPr="009475BC">
              <w:rPr>
                <w:rFonts w:ascii="Times New Roman" w:hAnsi="Times New Roman"/>
                <w:sz w:val="24"/>
              </w:rPr>
              <w:t>0070</w:t>
            </w:r>
          </w:p>
        </w:tc>
        <w:tc>
          <w:tcPr>
            <w:tcW w:w="7306" w:type="dxa"/>
          </w:tcPr>
          <w:p w14:paraId="48AA6E4F" w14:textId="77777777" w:rsidR="00E05204" w:rsidRPr="009475BC" w:rsidRDefault="00E05204" w:rsidP="00047ECB">
            <w:pPr>
              <w:rPr>
                <w:rFonts w:ascii="Times New Roman" w:hAnsi="Times New Roman"/>
                <w:b/>
                <w:sz w:val="24"/>
                <w:u w:val="single"/>
              </w:rPr>
            </w:pPr>
            <w:r w:rsidRPr="009475BC">
              <w:rPr>
                <w:rFonts w:ascii="Times New Roman" w:hAnsi="Times New Roman"/>
                <w:b/>
                <w:sz w:val="24"/>
                <w:u w:val="single"/>
              </w:rPr>
              <w:t>Krediidikvaliteedi aste</w:t>
            </w:r>
          </w:p>
          <w:p w14:paraId="692CB839" w14:textId="76307C3A" w:rsidR="00E05204" w:rsidRPr="009475BC" w:rsidRDefault="00966F82" w:rsidP="00C05CCA">
            <w:pPr>
              <w:rPr>
                <w:rFonts w:ascii="Times New Roman" w:hAnsi="Times New Roman"/>
                <w:sz w:val="24"/>
                <w:u w:val="single"/>
              </w:rPr>
            </w:pPr>
            <w:r w:rsidRPr="009475BC">
              <w:rPr>
                <w:rFonts w:ascii="Times New Roman" w:hAnsi="Times New Roman"/>
                <w:sz w:val="24"/>
              </w:rPr>
              <w:t>Asjakohane krediidikvaliteedi aste määratakse määruse (EL) nr 575/2013 kohaselt ja see on sama, mis lõpptähtaegade jaotuses kajastatud kirjetel. Kui reitingut ei ole, määratakse aste „reitinguta“.</w:t>
            </w:r>
          </w:p>
        </w:tc>
      </w:tr>
      <w:tr w:rsidR="00E05204" w:rsidRPr="009475BC" w14:paraId="2461383F" w14:textId="77777777" w:rsidTr="00845EB1">
        <w:tc>
          <w:tcPr>
            <w:tcW w:w="990" w:type="dxa"/>
          </w:tcPr>
          <w:p w14:paraId="7F1DF3BE" w14:textId="04859E06" w:rsidR="00E05204" w:rsidRPr="009475BC" w:rsidRDefault="00125C48" w:rsidP="00047ECB">
            <w:pPr>
              <w:rPr>
                <w:rFonts w:ascii="Times New Roman" w:hAnsi="Times New Roman"/>
                <w:sz w:val="24"/>
              </w:rPr>
            </w:pPr>
            <w:r w:rsidRPr="009475BC">
              <w:rPr>
                <w:rFonts w:ascii="Times New Roman" w:hAnsi="Times New Roman"/>
                <w:sz w:val="24"/>
              </w:rPr>
              <w:t>0080</w:t>
            </w:r>
          </w:p>
        </w:tc>
        <w:tc>
          <w:tcPr>
            <w:tcW w:w="7306" w:type="dxa"/>
          </w:tcPr>
          <w:p w14:paraId="3B1CC0D3" w14:textId="77777777" w:rsidR="00E05204" w:rsidRPr="009475BC" w:rsidRDefault="00E05204" w:rsidP="00047ECB">
            <w:pPr>
              <w:rPr>
                <w:rFonts w:ascii="Times New Roman" w:hAnsi="Times New Roman"/>
                <w:b/>
                <w:sz w:val="24"/>
                <w:u w:val="single"/>
              </w:rPr>
            </w:pPr>
            <w:r w:rsidRPr="009475BC">
              <w:rPr>
                <w:rFonts w:ascii="Times New Roman" w:hAnsi="Times New Roman"/>
                <w:b/>
                <w:sz w:val="24"/>
                <w:u w:val="single"/>
              </w:rPr>
              <w:t>Turuväärtus/nimiväärtus</w:t>
            </w:r>
          </w:p>
          <w:p w14:paraId="78CE7B68" w14:textId="6F7E8537" w:rsidR="00E05204" w:rsidRPr="009475BC" w:rsidRDefault="00E05204" w:rsidP="00047ECB">
            <w:pPr>
              <w:rPr>
                <w:rFonts w:ascii="Times New Roman" w:hAnsi="Times New Roman"/>
                <w:sz w:val="24"/>
              </w:rPr>
            </w:pPr>
            <w:r w:rsidRPr="009475BC">
              <w:rPr>
                <w:rFonts w:ascii="Times New Roman" w:hAnsi="Times New Roman"/>
                <w:sz w:val="24"/>
              </w:rPr>
              <w:t xml:space="preserve">Varade turuväärtus või õiglane väärtus, või kui see on kohaldatav, siis finantsinstitutsioonile võimaldatud kasutamata likviidsusliini nimiväärtus. </w:t>
            </w:r>
          </w:p>
        </w:tc>
      </w:tr>
      <w:tr w:rsidR="00E05204" w:rsidRPr="009475BC" w14:paraId="74EA2D80" w14:textId="77777777" w:rsidTr="00845EB1">
        <w:tc>
          <w:tcPr>
            <w:tcW w:w="990" w:type="dxa"/>
          </w:tcPr>
          <w:p w14:paraId="40B79F48" w14:textId="17099E72" w:rsidR="00E05204" w:rsidRPr="009475BC" w:rsidRDefault="00125C48" w:rsidP="00047ECB">
            <w:pPr>
              <w:rPr>
                <w:rFonts w:ascii="Times New Roman" w:hAnsi="Times New Roman"/>
                <w:sz w:val="24"/>
              </w:rPr>
            </w:pPr>
            <w:r w:rsidRPr="009475BC">
              <w:rPr>
                <w:rFonts w:ascii="Times New Roman" w:hAnsi="Times New Roman"/>
                <w:sz w:val="24"/>
              </w:rPr>
              <w:t>0090</w:t>
            </w:r>
          </w:p>
        </w:tc>
        <w:tc>
          <w:tcPr>
            <w:tcW w:w="7306" w:type="dxa"/>
          </w:tcPr>
          <w:p w14:paraId="5F665131" w14:textId="77777777" w:rsidR="00E05204" w:rsidRPr="009475BC" w:rsidRDefault="00E05204" w:rsidP="00047ECB">
            <w:pPr>
              <w:rPr>
                <w:rFonts w:ascii="Times New Roman" w:hAnsi="Times New Roman"/>
                <w:b/>
                <w:sz w:val="24"/>
                <w:u w:val="single"/>
              </w:rPr>
            </w:pPr>
            <w:r w:rsidRPr="009475BC">
              <w:rPr>
                <w:rFonts w:ascii="Times New Roman" w:hAnsi="Times New Roman"/>
                <w:b/>
                <w:sz w:val="24"/>
                <w:u w:val="single"/>
              </w:rPr>
              <w:t>Keskpanga seisukohalt aktsepteeritava tagatise väärtus</w:t>
            </w:r>
          </w:p>
          <w:p w14:paraId="507C4FE8" w14:textId="2A6E5839" w:rsidR="00E05204" w:rsidRPr="009475BC" w:rsidRDefault="00E05204" w:rsidP="00047ECB">
            <w:pPr>
              <w:rPr>
                <w:rFonts w:ascii="Times New Roman" w:hAnsi="Times New Roman"/>
                <w:sz w:val="24"/>
              </w:rPr>
            </w:pPr>
            <w:r w:rsidRPr="009475BC">
              <w:rPr>
                <w:rStyle w:val="FormatvorlageInstructionsTabelleText"/>
                <w:rFonts w:ascii="Times New Roman" w:hAnsi="Times New Roman"/>
                <w:sz w:val="24"/>
              </w:rPr>
              <w:t>Tagatise</w:t>
            </w:r>
            <w:r w:rsidRPr="009475BC">
              <w:rPr>
                <w:rFonts w:ascii="Times New Roman" w:hAnsi="Times New Roman"/>
                <w:sz w:val="24"/>
              </w:rPr>
              <w:t xml:space="preserve"> väärtus vastavalt püsivõimalusi käsitlevatele keskpanga eeskirjadele, mis on kohaldatavad konkreetse vara suhtes.</w:t>
            </w:r>
          </w:p>
          <w:p w14:paraId="4C124B93" w14:textId="24071768" w:rsidR="00BA0551" w:rsidRPr="009475BC" w:rsidRDefault="00B457F4" w:rsidP="00515147">
            <w:pPr>
              <w:rPr>
                <w:rFonts w:ascii="Times New Roman" w:hAnsi="Times New Roman"/>
                <w:sz w:val="24"/>
              </w:rPr>
            </w:pPr>
            <w:r w:rsidRPr="009475BC">
              <w:rPr>
                <w:rFonts w:ascii="Times New Roman" w:hAnsi="Times New Roman"/>
                <w:sz w:val="24"/>
              </w:rPr>
              <w:t>Varade puhul, mis on nomineeritud valuutas, mis on lisatud komisjoni rakendusmäärusesse (EL) nr 2015/233</w:t>
            </w:r>
            <w:r w:rsidRPr="009475BC">
              <w:rPr>
                <w:rFonts w:ascii="Times New Roman" w:hAnsi="Times New Roman"/>
                <w:sz w:val="24"/>
                <w:vertAlign w:val="superscript"/>
              </w:rPr>
              <w:t xml:space="preserve">* </w:t>
            </w:r>
            <w:r w:rsidRPr="009475BC">
              <w:rPr>
                <w:rFonts w:ascii="Times New Roman" w:hAnsi="Times New Roman"/>
                <w:sz w:val="24"/>
              </w:rPr>
              <w:t>valuutana, mille puhul on keskpanga aktsepteeritavad tagatised määratletud väga kitsalt, jätavad finantsinstitutsioonid selle lahtri tühjaks.“</w:t>
            </w:r>
          </w:p>
        </w:tc>
      </w:tr>
    </w:tbl>
    <w:p w14:paraId="2BD524BD" w14:textId="77777777" w:rsidR="00515147" w:rsidRPr="009475BC" w:rsidRDefault="00515147" w:rsidP="00845EB1">
      <w:pPr>
        <w:pStyle w:val="InstructionsText"/>
      </w:pPr>
      <w:r w:rsidRPr="009475BC">
        <w:t>______________</w:t>
      </w:r>
    </w:p>
    <w:p w14:paraId="56E0854E" w14:textId="4C352ECC" w:rsidR="00D02FE4" w:rsidRPr="009475BC" w:rsidRDefault="00515147" w:rsidP="00515147">
      <w:pPr>
        <w:pStyle w:val="InstructionsText"/>
        <w:rPr>
          <w:rStyle w:val="InstructionsTabelleText"/>
          <w:b/>
        </w:rPr>
      </w:pPr>
      <w:r w:rsidRPr="009475BC">
        <w:rPr>
          <w:vertAlign w:val="superscript"/>
        </w:rPr>
        <w:t xml:space="preserve">* </w:t>
      </w:r>
      <w:r w:rsidRPr="009475BC">
        <w:t xml:space="preserve">Komisjoni 13. veebruari 2015. aasta rakendusmäärus (EL) 2015/233, milles sätestatakse rakenduslikud tehnilised standardid seoses valuutadega, mille puhul on vastavalt Euroopa Parlamendi ja nõukogu määrusele (EL) nr 575/2013 keskpanga aktsepteeritavad tagatised määratletud väga kitsalt (ELT L 39, 14.2.2015, lk 11). </w:t>
      </w:r>
    </w:p>
    <w:sectPr w:rsidR="00D02FE4" w:rsidRPr="009475BC"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16cid:durableId="623803800">
    <w:abstractNumId w:val="2"/>
  </w:num>
  <w:num w:numId="2" w16cid:durableId="1074547814">
    <w:abstractNumId w:val="1"/>
  </w:num>
  <w:num w:numId="3" w16cid:durableId="136282309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4624"/>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475BC"/>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5FF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t-E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t-EE"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t-EE"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t-EE" w:eastAsia="en-US" w:bidi="ar-SA"/>
    </w:rPr>
  </w:style>
  <w:style w:type="character" w:customStyle="1" w:styleId="FunoteChar">
    <w:name w:val="Fußnote Char"/>
    <w:aliases w:val=" Char Char Char"/>
    <w:semiHidden/>
    <w:rsid w:val="009D253B"/>
    <w:rPr>
      <w:rFonts w:ascii="Arial" w:hAnsi="Arial"/>
      <w:sz w:val="18"/>
      <w:lang w:val="et-E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t-E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t-E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t-EE"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t-EE"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t-EE"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et-EE"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2.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3.xml><?xml version="1.0" encoding="utf-8"?>
<ds:datastoreItem xmlns:ds="http://schemas.openxmlformats.org/officeDocument/2006/customXml" ds:itemID="{0F127AE2-5E58-4CBB-98C1-4034455DEF2E}"/>
</file>

<file path=customXml/itemProps4.xml><?xml version="1.0" encoding="utf-8"?>
<ds:datastoreItem xmlns:ds="http://schemas.openxmlformats.org/officeDocument/2006/customXml" ds:itemID="{62C13589-E642-4648-867D-68C8F7A4CEFA}"/>
</file>

<file path=customXml/itemProps5.xml><?xml version="1.0" encoding="utf-8"?>
<ds:datastoreItem xmlns:ds="http://schemas.openxmlformats.org/officeDocument/2006/customXml" ds:itemID="{5253E2C1-0977-4B7F-AE00-0821BE2F44E2}"/>
</file>

<file path=docProps/app.xml><?xml version="1.0" encoding="utf-8"?>
<Properties xmlns="http://schemas.openxmlformats.org/officeDocument/2006/extended-properties" xmlns:vt="http://schemas.openxmlformats.org/officeDocument/2006/docPropsVTypes">
  <Template>Normal.dotm</Template>
  <TotalTime>0</TotalTime>
  <Pages>3</Pages>
  <Words>693</Words>
  <Characters>5472</Characters>
  <Application>Microsoft Office Word</Application>
  <DocSecurity>0</DocSecurity>
  <Lines>127</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2025-01-26T21:39:00Z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2025-01-26T21:39:51Z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5bb7c98d-23a1-4a42-bca1-94b3a9d712e8</vt:lpwstr>
  </property>
  <property fmtid="{D5CDD505-2E9C-101B-9397-08002B2CF9AE}" pid="15" name="MSIP_Label_6bd9ddd1-4d20-43f6-abfa-fc3c07406f94_ContentBits">
    <vt:lpwstr>0</vt:lpwstr>
  </property>
  <property fmtid="{D5CDD505-2E9C-101B-9397-08002B2CF9AE}" pid="16" name="ContentTypeId">
    <vt:lpwstr>0x010100A640DC13EB184F4EBE5AA21BE9F247DB</vt:lpwstr>
  </property>
</Properties>
</file>