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GA</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IARSCRÍBHINN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‘IARSCRÍBHINN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CUID II: TREORACHA A BHAINEANN LE TEIMPLÉID</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Riosca Creidmheasa – Urrúsúcháin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tab/>
      </w:r>
      <w:r>
        <w:rPr>
          <w:rFonts w:ascii="Times New Roman" w:hAnsi="Times New Roman"/>
          <w:sz w:val="24"/>
        </w:rPr>
        <w:t>Barúlacha ginearálta</w:t>
      </w:r>
      <w:bookmarkEnd w:id="0"/>
      <w:bookmarkEnd w:id="1"/>
    </w:p>
    <w:p w14:paraId="4565BDE6" w14:textId="5428DCC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I gcás ina ngníomhaíonn institiúid mar thionscnóir, beidh an fhaisnéis sa teimpléad seo riachtanach le haghaidh gach urrúsúchán a</w:t>
      </w:r>
      <w:r w:rsidR="00152E3D">
        <w:t xml:space="preserve"> n</w:t>
      </w:r>
      <w:r w:rsidR="00152E3D">
        <w:noBreakHyphen/>
      </w:r>
      <w:r>
        <w:t xml:space="preserve">aithnítear aistriú riosca suntasach ina leith. I gcás ina ngníomhaíonn an institiúid mar infheisteoir, tuairisceofar gach neamhchosaint.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Beidh an fhaisnéis a bheidh le tuairisciú ag brath ar ról na hinstitiúide sa phróiseas urrúsúcháin. Dá réir sin, beidh ítimí tuairiscithe sonracha infheidhme le haghaidh tionscnóirí, urraitheoirí agus infheisteoirí.</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Baileofar sa teimpléad seo faisnéis chomhpháirteach ar urrúsúcháin thraidisiúnta agus ar urrúsúcháin shintéiseacha araon a shealbhaítear sa leabhar baincéireachta.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tab/>
      </w:r>
      <w:r>
        <w:rPr>
          <w:rFonts w:ascii="Times New Roman" w:hAnsi="Times New Roman"/>
          <w:sz w:val="24"/>
        </w:rPr>
        <w:t>Treoracha a bhaineann le suíomhanna sonracha</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MÉID IOMLÁN NA NEAMHCHOSAINTÍ URRÚSÚCHÁIN A TIONSCNAÍODH</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Tuairisceoidh institiúidí tionscnóra an méid atá gan íoc ag an dáta tuairiscithe de gach neamhchosaint urrúsúcháin reatha a tionscnaíodh san idirbheart urrúsúcháin, gan beann ar an té a shealbhaíonn na suíomhanna. Dá réir sin, tuairisceofar neamhchosaintí urrúsúcháin laistigh den chlár comhardaithe (e.g. bannaí, iasachtaí fo-ordaithe) chomh maith le neamhchosaintí agus díorthaigh lasmuigh den chlár comhardaithe (e.g. línte creidmheasa fo-ordaithe, saoráidí leachtachta, babhtálacha rátaí úis, babhtálacha mainneachtana creidmheasa, etc.) a tionscnaíodh san urrúsúchán.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3F1A8D0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I gcás urrúsúcháin thraidisiúnta i gcás nach bhfuil aon suíomh á shealbhú ag an tionscnóir, ní bhreithneoidh an tionscnóir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 sin sa tuairisciú ar an teimpléad seo. Chun na críche sin, áireofar le suíomhanna urrúsúcháin atá á sealbhú ag an tionscnóir forálacha i ndáil le luathamúchadh, mar a shainmhínítear in Airteagal 242(16) de Rialachán (AE) Uimh. 575/2013, in urrúsúchán neamhchosaintí imrothlacha.</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URRÚSÚCHÁIN SHINTÉISEACHA: COSAINT CREIDMHEASA MAIDIR LEIS NA NEAMHCHOSAINTÍ URRÚSÚCHÁIN</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Airteagail 251 agus 252 de Rialachán (AE) Uimh.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Ní chuirfear neamhréireanna aibíochta san áireamh i luach coigeartaithe na dteicnící um maolú riosca creidmheasa a bhaineann leis an struchtúr urrúsúcháin.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COSAINT CREIDMHEASA CHISTITHE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Leagtar síos in Airteagal 223(2) de Rialachán (AE) Uimh. 575/2013 an nós imeachta mionsonraithe chun luach na comhthaobhachta arna choigeartú de réir na luaineachta (C</w:t>
            </w:r>
            <w:r>
              <w:rPr>
                <w:rFonts w:ascii="Times New Roman" w:hAnsi="Times New Roman"/>
                <w:sz w:val="24"/>
                <w:vertAlign w:val="subscript"/>
              </w:rPr>
              <w:t>VA</w:t>
            </w:r>
            <w:r>
              <w:rPr>
                <w:rFonts w:ascii="Times New Roman" w:hAnsi="Times New Roman"/>
                <w:sz w:val="24"/>
              </w:rPr>
              <w:t>) a thuairisceofar sa cholún seo.</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EIS-SREAFAÍ IOMLÁNA: LUACHANNA COIGEARTAITHE NA COSANTA CREIDMHEASA NEAMHCHISTITHE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673E177E" w:rsidR="00933ADA" w:rsidRPr="002A677E" w:rsidRDefault="00933ADA" w:rsidP="00822842">
            <w:pPr>
              <w:spacing w:before="0" w:after="0"/>
              <w:rPr>
                <w:rFonts w:ascii="Times New Roman" w:hAnsi="Times New Roman"/>
                <w:sz w:val="24"/>
              </w:rPr>
            </w:pPr>
            <w:r>
              <w:rPr>
                <w:rFonts w:ascii="Times New Roman" w:hAnsi="Times New Roman"/>
                <w:sz w:val="24"/>
              </w:rPr>
              <w:t>I gcomhréir leis an riail ghinearálta maidir le ‘hinsreafaí’ agus ‘eis-sreafaí’, beidh na méideanna a thuairisceofar faoin gcolún seo le feiceáil mar ‘insreafaí’ sa teimpléad comhfhreagrach maidir le riosca creidmheasa (CR SA nó CR IRB) agus san aicme neamhchosanta ar a leithdháileann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 an soláthraí cosanta (i.e. an tríú páirtí chuig 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aistrítear an tráinse trí bhíthin cosaint creidmheasa neamhchistithe).</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Leagtar síos in Airteagal 233(3) de Rialachán (AE) Uimh. 575/2013 an nós imeachta chun méid ainmniúil na cosanta creidmheasa (G*) arna choigeartú de réir an riosca malairte eachtraí a ríomh.</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BARÚLACH NA COSANTA CREIDMHEASA ARNA CHOIMEÁD NÓ ARNA ATHCHEANNACH</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gach tráinse a coinníodh nó a ceannaíodh ar ais, e.g. suíomhanna céadchaillteanais coinnithe, in éineacht lena méid ainmniúil.</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chuirfear san áireamh éifeacht caolchorrlach maoirseachta sa chosaint creidmheasa agus méid coinnithe nó athcheannaithe na cosanta creidmheasa á ríomh.</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SUÍOMHANNA URRÚSÚCHÁIN: AN NEAMHCHOSAINT TOSAIGH ROIMH CHUR I bhFEIDHM NA bhFACHTÓIRÍ COINBHÉARTACHTA </w:t>
            </w:r>
          </w:p>
          <w:p w14:paraId="1BD0E65D" w14:textId="77777777" w:rsidR="00933ADA" w:rsidRPr="002A677E" w:rsidRDefault="00933ADA" w:rsidP="00822842">
            <w:pPr>
              <w:spacing w:before="0" w:after="0"/>
              <w:jc w:val="left"/>
              <w:rPr>
                <w:rFonts w:ascii="Times New Roman" w:hAnsi="Times New Roman"/>
                <w:sz w:val="24"/>
              </w:rPr>
            </w:pPr>
          </w:p>
          <w:p w14:paraId="38224AF6" w14:textId="5B706F5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Áireofar sa cholún seo na luachanna neamhchosanta ar shuíomhanna urrúsúcháin atá á sealbhú ag an institiúid tuairiscithe, arna ríomh i gcomhréir le hAirteagal 248, míreanna 1 agus 2, de Rialachán (AE) Uimh. 575/2013, gan fachtóirí coinbhéartachta creidmheasa, comhlán na gcoigeartuithe luacha agus forálacha, agus aon lascaine neamh-inaisíoctha ar an bpraghas ceannaigh a chur i bhfeidhm maidir leis na neamhchosaintí urrúsaithe dá dtagraítear in Airteagal 248(1), pointe (d), de Rialachán (AE) Uimh. 575/2013, agus lena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comhlán na gcoigeartuithe luacha agus forálacha maidir leis an suíomh urrúsúcháin.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Ní bheidh glanluacháil ábhartha ach amháin i dtaca le hilchonarthaí díorthacha a sholáthraítear don SSPE céanna, a chuimsítear le comhaontú glanluachála incháilithe.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 urrúsúcháin shintéiseacha, is é a bheidh sna suíomhanna arna sealbhú ag an tionscnóir i bhfoirm ítimí laistigh den chlár comhardaithe agus/nó ús infheisteora toradh an chomhiomlánaithe de cholúin 0010 go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COIGEARTUITHE LUACHA AGUS FORÁLACHA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Airteagal 248 de Rialachán (AE) Uimh. 575/2013. Maidir le coigeartuithe luacha agus forálacha a thuairisceofar sa cholún seo, ní thagróidh siad ach do shuíomhanna urrúsúcháin amháin. Ní bhreithneofar coigeartuithe luacha i leith neamhchosaintí urrúsaithe.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NEAMHCHOSAINT GLAN AR CHOIGEARTUITHE LUACHA AGUS FORÁLACHA</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040572FA"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Áireofar sa cholún seo na luachanna neamhchosanta ar shuíomhanna urrúsúcháin arna ríomh i gcomhréir le míreanna 1 agus 2 d’Airteagal 248 de Rialachán (AE) Uimh. 575/2013, glan ar choigeartuithe luacha agus forálacha, gan fachtóirí coinbhéartachta a chur i bhfeidhm agus lena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airítear aon lascaine neamh-inaisíoctha ar an bpraghas ceannaigh maidir leis na neamhchosaintí urrúsaithe dá dtagraítear i bpointe (d) d’Airteagal 248(1) de Rialachán (AE) Uimh. 575/2013, agus glan ar choigeartuithe luacha agus forálacha maidir leis an suíomh urrúsúcháin.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TEICNÍCÍ UM MAOLÚ RIOSCA CREIDMHEASA LENA nGABHANN IARMHAIRTÍ AR IONADÚ AR AN NEAMHCHOSAINT</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Airteagal 4(1), pointe (57), Cuid a Trí, Teideal II, Caibidil 4 agus Airteagal 249 de Rialachán (AE) Uimh.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Tuairisceoidh institiúidí sna colúin seo faisnéis ar theicnící um maolú riosca creidmheasa lena laghdaítear riosca creidmheasa neamhchosanta nó neamhchosaintí trí ionadú neamhchosaintí (mar a léirítear thíos le haghaidh Insreafaí agus Eis-sreafaí).</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lastRenderedPageBreak/>
              <w:t>Déanfar comhthaobhacht a théann i bhfeidhm ar luach neamhchosanta (e.g. má úsáidtear í le haghaidh teicnící um maolú riosca creidmheasa lena ngabhann iarmhairtí ar ionadú ar an neamhchosaint) a uasteorannú ag an luach neamhchosanta.</w:t>
            </w:r>
          </w:p>
          <w:p w14:paraId="3EDD5442" w14:textId="77777777" w:rsidR="00933ADA" w:rsidRPr="002A677E" w:rsidRDefault="00933ADA" w:rsidP="00822842">
            <w:pPr>
              <w:pStyle w:val="InstructionsText"/>
            </w:pPr>
            <w:r>
              <w:t>Ítimí le tuairisciú anseo:</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comhthaobhacht, a chorpraítear i gcomhréir le hAirteagal 222 de Rialachán (AE) Uimh. 575/2013 (an Modh Simplí Comhthaobhach Airgeadais);</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cosaint creidmheasa neamhchistithe incháilithe.</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COSAINT CREIDMHEASA NEAMHCHISTITHE: LUACHANNA COIGEARTAITHE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Cosaint creidmheasa neamhchistithe mar a shainmhínítear in Airteagal 4(1), pointe (59) agus Airteagail 234 go 236 de Rialachán (AE) Uimh.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COSAINT CREIDMHEASA CHISTITHE</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Cosaint creidmheasa chistithe mar a shainmhínítear in Airteagal 4(1), pointe (58), de Rialachán (AE) Uimh. 575/2013, dá dtagraítear sa chéad fhomhír d’Airteagal 249(2) den Rialachán sin agus mar a rialaítear in Airteagail 195, 197 agus 200 den Rialachán sin.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Is mar chomhthaobhacht in airgead tirim a láimhseálfar nótaí creidmheas-nasctha agus glanluacháil laistigh den chlár comhardaithe dá dtagraítear in Airteagail 218 agus 219 de Rialachán (AE) Uimh. 575/2013.</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IONADÚ NA NEAMHCHOSANTA I nGEALL AR CRM: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insreafaí agus eis-sreafaí laistigh de na haicmí neamhchosanta céanna agus, i gcás inarb ábhartha, ualuithe riosca nó gráid féichiúnaí freisin.</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EIS-SREAFAÍ IOMLÁNA</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Airteagal 222(3), Airteagal 235, míreanna 1 agus 2 agus Airteagal 236 de Rialachán (AE) Uimh.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Comhfhreagróidh na heis-sreafaí don chuid chumhdaithe den ‘Neamhchosaint glan ar choigeartuithe luacha agus forálacha’ a asbhaintear as aicme neamhchosanta agus, i gcás inarb ábhartha, as ualú riosca nó as grád féichiúnaí an fhéichiúnaí, agus a shanntar ina dhiaidh sin d’aicme neamhchosanta agus, i gcás inarb ábhartha, d’ualú riosca nó do ghrád féichiúnaí an tsoláthraí cosanta.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Measfar an méid sin mar Insreabhadh isteach chuig aicme neamhchosanta agus, i gcás inarb ábhartha, chuig ualuithe riosca nó chuig gráid féichiúnaí an tsoláthraí cosanta.</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INSREAFAÍ IOMLÁNA</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5D86B416" w:rsidR="00933ADA" w:rsidRPr="002A677E" w:rsidRDefault="00933ADA" w:rsidP="00822842">
            <w:pPr>
              <w:spacing w:before="0" w:after="0"/>
              <w:rPr>
                <w:rFonts w:ascii="Times New Roman" w:hAnsi="Times New Roman"/>
                <w:sz w:val="24"/>
              </w:rPr>
            </w:pPr>
            <w:r>
              <w:rPr>
                <w:rFonts w:ascii="Times New Roman" w:hAnsi="Times New Roman"/>
                <w:sz w:val="24"/>
              </w:rPr>
              <w:t>Tuairisceofar mar insreafaí sa cholún seo suíomhanna urrúsúcháin arb urrúis fiachais iad agus 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úsáidtear iad mar chomhthaobhacht airgeadais incháilithe i gcomhréir le hAirteagal 197(1) de Rialachán (AE) Uimh. 575/2013 agus i gcás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úsáidtear an Modh Simplí Comhthaobhach Airgeadais.</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NEAMHCHOSAINT GHLAN TAR ÉIS IARMHAIRTÍ AR IONADÚ AR MHAOLÚ RIOSCA CREIDMHEASA ROIMH CHUR I bhFEIDHM NA bhFACHTÓIRÍ COINBHÉARTACHTA</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Áireofar sa cholún seo na neamhchosaintí a shanntar san ualú riosca comhfhreagrach agus san aicme neamhchosanta chomhfhreagrach tar éis eis-sreafaí agus insreafaí i ngeall ar ‘Theicnící um maolú riosca creidmheasa lena mbaineann iarmhairtí ar ionadú ar an neamhchosaint’ a chur san áireamh.</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TEICNÍCÍ UM MAOLÚ RIOSCA CREIDMHEASA A DHÉANANN DIFEAR DO MHÉID NA NEAMHCHOSANTA: LUACH COIGEARTAITHE NA COSANTA CREIDMHEASA CISTITHE DE RÉIR AN MHODHA CHUIMSITHIGH CHOMHTHAOBHAIGH AIRGEADAIS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Airteagail 223 go 228 de Rialachán (AE) Uimh. 575/2013 </w:t>
            </w:r>
          </w:p>
          <w:p w14:paraId="169BAC4D" w14:textId="77777777" w:rsidR="00933ADA" w:rsidRPr="002A677E" w:rsidRDefault="00933ADA" w:rsidP="00822842">
            <w:pPr>
              <w:pStyle w:val="InstructionsText"/>
            </w:pPr>
            <w:r>
              <w:t>Áirítear sa mhéid a thuairiscítear freisin nótaí creidmheas-nasctha (Airteagal 218 de Rialachán (AE) Uimh.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LUACH NA NEAMHCHOSANTA LÁNCHOIGEARTAITHE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Luach neamhchosanta na suíomhanna urrúsúcháin arna ríomh i gcomhréir le hAirteagal 248 de Rialachán (AE) Uimh. 575/2013, ach gan na fachtóirí coinbhéartachta a leagtar síos in Airteagal 248(1), pointe (b), den Rialachán sin a chur i bhfeidhm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LENA nÁIRÍTEAR: FAOI RÉIR CCF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Airteagal 248(1), pointe (b), de Rialachán (AE) Uimh.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ndáil leis an méid sin, sainítear fachtóir coinbhéartachta in Airteagal 4(1), pointe (56), de Rialachán (AE) Uimh.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Chun críocha tuairiscithe, tuairisceofar luachanna na neamhchosanta lánchoigeartaithe (E*) le haghaidh fhachtóir coinbhéartachta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LASCAINE NEAMH-INAISÍOCTHA AR AN bPRAGHAS CEANNAIGH</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I gcomhréir le hAirteagal 248(1), pointe (d), de Rialachán (AE) Uimh. 575/2013, féadfaidh institiúid tionscnóra aon lascaine neamh-inaisíoctha ar an bpraghas ceannaigh atá nasctha le neamhchosaintí foluiteacha den sórt sin a asbhaint as luach neamhchosanta suímh urrúsúcháin a bhfuil ualú riosca 1 250 % sannta dó, a mhéid a bhí lascainí den sórt sin ina gcúis le laghdú ar chistí dílse.</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COIGEARTUITHE SONRACHA I LEITH RIOSCA CREIDMHEASA AR NEAMHCHOSAINTÍ FOLUITEACHA</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I gcomhréir le hAirteagal 248(1), pointe (d), de Rialachán (AE) Uimh. 575/2013, féadfaidh institiúid tionscnóra méid na gcoigeartuithe sonracha i leith na riosca creidmheasa ar na neamhchosaintí foluiteacha a chinntear i gcomhréir le hAirteagal 110 de Rialachán (AE) Uimh. 575/2013 a asbhaint as luach neamhchosanta suímh urrúsúcháin a bhfuil ualú riosca 1 250 % sannta dó nó a asbhaintear as Caipiteal Ghnáthchothromas Leibhéal 1.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LUACH NA NEAMHCHOSANTA</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Luach neamhchosanta na suíomhanna urrúsúcháin a ríomhtar i gcomhréir le hAirteagal 248 de Rialachán (AE) Uimh.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LUACH NEAMHCHOSANTA ASBHAINTE AS CISTÍ DÍLSE</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I gcomhréir le hAirteagal 244(1), pointe (b), Airteagal 245(1), pointe (b), agus Airteagal 253(1) de Rialachán (AE) Uimh. 575/2013, i gcás suíomh urrúsúcháin a bhfuil ualú riosca 1 250 % i bhfeidhm ina leith, féadfaidh institiúidí luach neamhchosanta an tsuímh a asbhaint as cistí dílse mar mhalairt ar an suíomh a áireamh le linn dóibh méideanna neamhchosanta atá ualaithe de réir riosca a ríomh.</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LUACH NEAMHCHOSANTA FAOI RÉIR UALUITHE RIOSCA</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Luach neamhchosanta lúide an luach neamhchosanta arna asbhaint as cistí dílse.</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254(1), pointe (a), de Rialachán (AE) Uimh.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MIONDEALÚ DE RÉIR BANDAÍ UALAITHE RIOSCA</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Neamhchosaintí SEC-IRBA arna miondealú de réir bandaí ualaithe riosca.</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LENA nÁIRÍTEAR: A RÍOMHTAR FAOI AIRTEAGAL 255(4) (EARRAÍ INFHAIGHTE CEANNAITHE)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255(4) de Rialachán (AE) Uimh.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Chun críocha an cholúin seo, láimhseálfar neamhchosaintí miondíola amhail earraí infhaighte miondíola ceannaithe agus láimhseálfar neamhchosaintí neamh-mhiondíola mar earraí infhaighte corparáideacha ceannaithe.</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Airteagal 254(1), pointe (b), de Rialachán (AE) Uimh.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MIONDEALÚ DE RÉIR BANDAÍ UALAITHE RIOSCA</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Neamhchosaintí SEC-SA arna miondealú de réir bandaí ualaithe riosca.</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3DE5B727" w:rsidR="00933ADA" w:rsidRPr="002A677E" w:rsidRDefault="00933ADA" w:rsidP="00822842">
            <w:pPr>
              <w:spacing w:before="0" w:after="0"/>
              <w:jc w:val="left"/>
              <w:rPr>
                <w:rFonts w:ascii="Times New Roman" w:hAnsi="Times New Roman"/>
                <w:sz w:val="24"/>
              </w:rPr>
            </w:pPr>
            <w:r>
              <w:rPr>
                <w:rFonts w:ascii="Times New Roman" w:hAnsi="Times New Roman"/>
                <w:sz w:val="24"/>
              </w:rPr>
              <w:t>I gcás inarb é 1 250 % atá san ualú riosca (ní heol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ualú), sonraítear in Airteagal 261(2), pointe (b), an ceathrú mír, de Rialachán (AE) Uimh. 575/2013 go mbeidh ualú riosca 1 250 % leis an suíomh san urrúsúchán i gcás nach eol don institiúid stádas faillí níos mó ná 5 % de na neamhchosaintí foluiteacha sa chomhthiomsú.</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Airteagal 254(1), pointe (c), de Rialachán (AE) Uimh.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MIONDEALÚ DE RÉIR CÉIMEANNA CÁILÍOCHTA CREIDMHEASA (CÉIMEANNA CÁILÍOCHTA CREIDMHEASA GEARRTHÉARMACHA/FADTÉARMACHA)</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Airteagal 263 de Rialachán (AE) Uimh.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Maidir le suíomhanna urrúsúcháin SEC-ERBA lena mbaineann rátáil bunaithe ar thátal dá dtagraítear in Airteagal 254(2) de Rialachán (AE) Uimh. 575/2013, tuairisceofar iad mar shuíomhanna a mbaineann rátáil leo.</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Maidir le luachanna neamhchosanta atá faoi réir ualuithe riosca, déanfar iad a mhiondealú de réir céimeanna cáilíochta creidmheasa gearrthéarmacha agus fadtéarmacha mar a leagtar síos in Airteagal 263, Táblaí 1 agus 2, agus in Airteagal 264, Táblaí 3 agus 4, de Rialachán (AE) Uimh.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MIONDEALÚ DE RÉIR CÚISE MAIDIR LE CUR I bhFEIDHM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Maidir le gach suíomh urrúsúcháin, breithneoidh institiúidí ceann amháin de na roghanna seo a leanas i gcolúin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IASACHTAÍ LE hAGHAIDH GLUAISTEÁIN, LÉASANNA LE hAGHAIDH GLUAISTEÁIN AGUS LÉASANNA LE hAGHAIDH TREALAIMH</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Airteagal 254(2), pointe (c), de Rialachán (AE) Uimh.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lastRenderedPageBreak/>
              <w:t>Tuairisceofar sa cholún seo gach iasacht le haghaidh gluaisteáin, gach léas le haghaidh gluaisteáin agus gach léas le haghaidh trealaimh, fiú más rud é go gcáilíonn siad le haghaidh Airteagal 254(2), pointe (a) nó (b), de Rialachán (AE) Uimh.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ROGHA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Airteagal 254(3) de Rialachán (AE) Uimh.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SUÍOMHANNA FAOI RÉIR AIRTEAGAL 254(2), POINTE (a), DE RIALACHÁN (AE) Uimh.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Airteagal 254(2), pointe (a), de Rialachán (AE) Uimh.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SUÍOMHANNA FAOI RÉIR AIRTEAGAL 254(2), POINTE (b), DE RIALACHÁN (AE) Uimh.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Airteagal 254(2), pointe (b), de Rialachán (AE) Uimh.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SUÍOMHANNA FAOI RÉIR AIRTEAGAIL 254(4) AGUS AIRTEAGAL 258(2) DE RIALACHÁN (AE) Uimh.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Suíomhanna urrúsúcháin faoi réir SEC-ERBA, i gcás inar chuir na húdaráis inniúla bac ar chur i bhfeidhm SEC-IRBA nó SEC-SA i gcomhréir le hAirteagal 254(4) nó Airteagal 258(2) de Rialachán (AE) Uimh.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ORDLATHAS NA gCUR CHUIGE A LEANÚINT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Suíomhanna urrúsúcháin ina gcuirtear SEC-ERBA i bhfeidhm tríd an ordlathas cur chuige a leagtar síos in Airteagal 254(1) de Rialachán (AE) Uimh. 575/2013 a leanúint</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CUR CHUIGE BUNAITHE AR MHEASÚNÚ INMHEÁNACH</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Airteagal 254(5) </w:t>
            </w:r>
            <w:bookmarkStart w:id="4" w:name="_Hlk73564575"/>
            <w:r>
              <w:rPr>
                <w:rFonts w:ascii="Times New Roman" w:hAnsi="Times New Roman"/>
                <w:sz w:val="24"/>
              </w:rPr>
              <w:t xml:space="preserve">de Rialachán (AE) Uimh. 575/2013 </w:t>
            </w:r>
            <w:bookmarkEnd w:id="4"/>
            <w:r>
              <w:rPr>
                <w:rFonts w:ascii="Times New Roman" w:hAnsi="Times New Roman"/>
                <w:sz w:val="24"/>
              </w:rPr>
              <w:t>maidir le ‘Cur chuige an Mheasúnaithe Inmheánaigh’ le haghaidh suíomhanna i gcláir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MIONDEALÚ DE RÉIR BANDAÍ UALAITHE RIOSCA</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Neamhchosaintí Chur Chuige an Mheasúnaithe Inmheánaigh arna miondealú de réir bandaí ualaithe riosca</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LÁIMHSEÁIL SHONRACH LE hAGHAIDH TRÁINSÍ SINSEARACHA D’URRÚSÚCHÁIN NEAMHCHOSAINTÍ NEAMHTHUILLMHEACHA CHÁILITHEACHA</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269a(3) de Rialachán (AE) Uimh.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EILE (UALÚ RIOSCA = 1 250</w:t>
            </w:r>
            <w:r>
              <w:t> </w:t>
            </w:r>
            <w:r>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I gcás nach gcuirtear aon cheann de na cineálacha cur chuige thuas i bhfeidhm, sannfar ualú riosca 1 250 % do shuíomhanna urrúsúcháin i gcomhréir le hAirteagal 254(7) de Rialachán (AE) Uimh.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ATÁ UALAITHE DE RÉIR RIOSCA</w:t>
            </w:r>
          </w:p>
          <w:p w14:paraId="281A1F00" w14:textId="77777777" w:rsidR="00933ADA" w:rsidRPr="002A677E" w:rsidRDefault="00933ADA" w:rsidP="00822842">
            <w:pPr>
              <w:spacing w:before="0" w:after="0"/>
              <w:jc w:val="left"/>
              <w:rPr>
                <w:rFonts w:ascii="Times New Roman" w:hAnsi="Times New Roman"/>
                <w:sz w:val="24"/>
              </w:rPr>
            </w:pPr>
          </w:p>
          <w:p w14:paraId="0D23F92D" w14:textId="07908F9E" w:rsidR="00933ADA" w:rsidRPr="002A677E" w:rsidRDefault="00933ADA" w:rsidP="00822842">
            <w:pPr>
              <w:spacing w:before="0" w:after="0"/>
              <w:rPr>
                <w:rFonts w:ascii="Times New Roman" w:hAnsi="Times New Roman"/>
                <w:sz w:val="24"/>
              </w:rPr>
            </w:pPr>
            <w:r>
              <w:rPr>
                <w:rFonts w:ascii="Times New Roman" w:hAnsi="Times New Roman"/>
                <w:sz w:val="24"/>
              </w:rPr>
              <w:t>Méid iomlán na neamhchosanta atá ualaithe de réir riosca arna ríomh i gcomhréir le Roinn 3 de Chuid a Trí, Teideal II, Caibidil 5, de Rialachán (AE) Uimh. 575/2013, roimh choigeartuithe mar thoradh ar neamhréireanna aibíochta nó sárú ar na forálacha maidir le dícheall cuí, agus gan aon mhéid neamhchosanta atá ualaithe de réir riosca a chomhfhreagraíonn do neamhchosaintí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 xml:space="preserve">athdháileadh trí eis-sreabha chuig teimpléad eile a chur san áireamh.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CUR CHUIGE BUNAITHE AR MHEASÚNÚ INMHEÁNACH: MEÁNUALÚ RIOSCA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Tuairisceofar sa cholún seo na meánualuithe riosca atá ualaithe ó thaobh neamhchosanta de na suíomhanna urrúsúcháin.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MNCUR AR A bhFUIL: URRÚSÚCHÁIN SHINTÉISEACHA</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Maidir le hurrúsúcháin shintéiseacha lena mbaineann neamhréireanna aibíochta, déanfar neamhaird sa mhéid a thuairisceofar sa cholún seo d’aon neamhréir aibíochta.</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COIGEARTÚ AR AN MÉID NEAMHCHOSANTA ATÁ UALAITHE DE RÉIR RIOSCA I nGEALL AR NEAMHRÉIREACHA AIBÍOCHTA</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394283D7" w:rsidR="00933ADA" w:rsidRPr="002A677E" w:rsidRDefault="00933ADA" w:rsidP="00822842">
            <w:pPr>
              <w:spacing w:before="0" w:after="0"/>
              <w:rPr>
                <w:rFonts w:ascii="Times New Roman" w:hAnsi="Times New Roman"/>
                <w:sz w:val="24"/>
              </w:rPr>
            </w:pPr>
            <w:r>
              <w:rPr>
                <w:rFonts w:ascii="Times New Roman" w:hAnsi="Times New Roman"/>
                <w:sz w:val="24"/>
              </w:rPr>
              <w:t>Áireofar neamhréireanna aibíochta in urrúsúcháin shintéiseacha RW*-RW(SP), mar a ríomhtar i gcomhréir le hAirteagal 252 de Rialachán (AE) Uimh. 575/2013, ach amháin i gcás tráinsí faoi réir ualú riosca 1 250 % inarb é nialas an méid a thuairisceofar. Ní hamháin go</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áireofar na méideanna neamhchosanta atá ualaithe de réir riosca a thuairiscítear faoi cholún 0650 le RW(SP), ach áireofar freisin na méideanna neamhchosanta atá ualaithe de réir riosca a chomhfhreagraíonn do neamhchosaintí a leithdháiltear trí eis-sreafaí chuig teimpléid eile.</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ÉIFEACHT FHORIOMLÁN (COIGEARTÚ) I nGEALL AR SHÁRÚ CHAIBIDIL 2 DE RIALACHÁN (AE)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I gcomhréir le hAirteagal 270a de Rialachán (AE) Uimh. 575/2013, nuair nach gcomhlíonann an institiúid ceanglais áirithe, forchuirfidh údaráis </w:t>
            </w:r>
            <w:r>
              <w:rPr>
                <w:rFonts w:ascii="Times New Roman" w:hAnsi="Times New Roman"/>
                <w:sz w:val="24"/>
              </w:rPr>
              <w:lastRenderedPageBreak/>
              <w:t xml:space="preserve">inniúla ualú riosca breise comhréireach nach lú ná 250 % den ualú riosca (agus tairseach 1 250 % leis) a mbeadh feidhm aige maidir leis na suíomhanna urrúsúcháin ábhartha faoi Chuid a Trí, Teideal II, Caibidil 5, Roinn 3, de Rialachán (AE) Uimh.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MÉID IOMLÁN NA NEAMHCHOSANTA ATÁ UALAITHE DE RÉIR RIOSCA</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Méideanna iomlán na neamhchosanta atá ualaithe de réir riosca a ríomhtar i gcomhréir le Roinn 3 de Chuid a Trí, Teideal II, Caibidil 5, de Rialachán (AE)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ROIMH AN UASTEORAINN</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Méid iomlán na neamhchosanta atá ualaithe de réir riosca arna ríomh i gcomhréir le Cuid a Trí, Teideal II, Caibidil 5, Roinn 3, de Rialachán (AE) Uimh. 575/2013, sula gcuirfear i bhfeidhm na teorainneacha a shonraítear in Airteagail 267 agus 268 den Rialachán sin nó i gcás urrúsúcháin neamhchosanta neamhthuillmheacha thraidisiúnta cháilitheacha sula gcuirfear Airteagal 269a de Rialachán (AE) Uimh. 575/2013 i bhfeidhm.</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AR UALÚ RIOSCA</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073C624" w:rsidR="00933ADA" w:rsidRPr="002A677E" w:rsidRDefault="00933ADA" w:rsidP="00822842">
            <w:pPr>
              <w:spacing w:before="0" w:after="0"/>
              <w:jc w:val="left"/>
              <w:rPr>
                <w:rFonts w:ascii="Times New Roman" w:hAnsi="Times New Roman"/>
                <w:sz w:val="24"/>
              </w:rPr>
            </w:pPr>
            <w:r>
              <w:rPr>
                <w:rFonts w:ascii="Times New Roman" w:hAnsi="Times New Roman"/>
                <w:sz w:val="24"/>
              </w:rPr>
              <w:t>I gcomhréir le hAirteagal 267 de Rialachán (AE) Uimh. 575/2013, féadfaidh institiúid, a bhfuil comhdhéanamh na neamhchosaintí foluiteacha ar eolas aici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am ar fad, ualú riosca uasta a shannadh don suíomh urrúsúcháin sinsearach atá cothrom leis an meánualú riosca atá ualaithe ó thaobh neamhchosanta a bheadh infheidhme maidir leis na neamhchosaintí foluiteacha amhail is nach ndearnadh na neamhchosaintí foluiteacha a urrúsú. I gcás urrúsúcháin neamhchosanta neamhthuillmheacha thraidisiúnta cháilitheacha, cuirfear Airteagal 269a de Rialachán (AE) Uimh. 575/2013, agus go háirithe mír (6) agus (7) de, i bhfeidhm.</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FHORIOMLÁN</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 gcomhréir le hAirteagal 268 de Rialachán (AE) Uimh. 575/2013, féadfaidh institiúid tionscnóra, institiúid is urraitheoir nó institiúid eile a úsáideann SEC-IRBA, nó institiúid tionscnóra nó institiúid is urraitheoir a úsáideann SEC-SA nó SEC-ERBA, ceanglas caipitil uasta a chur i bhfeidhm le haghaidh an tsuímh urrúsúcháin a shealbhaíonn sí atá cothrom leis na ceanglais chaipitil a ríomhfaí faoi Chaibidlí 2 nó 3 de Theideal II de Chuid a Trí de Rialachán (AE) Uimh. 575/2013 i ndáil leis na neamhchosaintí forluiteacha amhail is nach ndearnadh iad a urrúsú. I gcás urrúsúcháin neamhchosanta neamhthuillmheacha thraidisiúnta cháilitheacha, cuirfear Airteagal 269a de Rialachán (AE) Uimh. 575/2013, agus go háirithe míreanna (5) agus (7) de, i bhfeidhm.</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IOMLÁN NA NEAMHCHOSANTA ATÁ UALAITHE DE RÉIR RIOSCA</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2571F59A"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Méid iomlán na neamhchosanta atá ualaithe de réir riosca arna ríomh i gcomhréir le Cuid a Trí, Teideal II, Caibidil 5, Roinn 3, de Rialachán (AE) Uimh. 575/2013, agus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ualú riosca iomlán mar atá sonraithe in Airteagal 247(6) den Rialachán sin á chur san áireamh.</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MINCR CAIGHDEÁNAITHE AN BHUNLEIBHÉIL ASCHUIR</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t>I gcás institiúidí atá faoi réir an bhunleibhéil aschuir de réir Airteagal 92(3) de Rialachán (AE) Uimh. 575/2013, tuairisceoidh siad méid iomlán caighdeánaithe na neamhchosanta ar riosca (MINCR Caighdeánaithe) arna ríomh i gcomhréir le hAirteagal 92(5).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ROIMH AN UASTEORAINN</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MINCR Caighdeánaithe sula gcuirfear na teorainneacha a shonraítear in Airteagail 267 agus 268 den Rialachán sin i bhfeidhm nó i gcás urrúsúcháin neamhchosanta neamhthuillmheacha thraidisiúnta cháilitheacha sula gcuirfear Airteagal 269a de Rialachán (AE) Uimh. 575/2013 i bhfeidhm.</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AR UALÚ RIOSCA</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Laghdú ar MINCR Caighdeánaithe mar gheall ar an uasteorainn ar ualú riosca i gcomhréir le hAirteagal 267 de Rialachán (AE) Uimh. 575/2013, agus Airteagal 269a de Rialachán (AE) Uimh. 575/2013, agus go háirithe míreanna (6) agus (7) de.</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FHORIOMLÁN</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Laghdú ar MINCR Caighdeánaithe mar gheall ar an uasteorainn fhoriomlán i gcomhréir le hAirteagal 268 de Rialachán (AE) Uimh. 575/2013, agus Airteagal 269a de Rialachán (AE) Uimh. 575/2013, agus go háirithe míreanna (5) agus (7) de.</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TAR ÉIS NA hUASTEORANN</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Méid MINCR Caighdeánaithe tar éis na huasteorann foriomláine.</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MÍREANNA MEABHRÁIN</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ATÁ UALAITHE DE RÉIR RIOSCA A CHOMHFHREAGRAÍONN DO NA hEIS-SREAFAÍ Ó URRÚSÚCHÁIN AR AICMÍ NEAMHCHOSANTA EILE</w:t>
            </w:r>
          </w:p>
          <w:p w14:paraId="5D7D7E17" w14:textId="77777777" w:rsidR="00933ADA" w:rsidRPr="002A677E" w:rsidRDefault="00933ADA" w:rsidP="00822842">
            <w:pPr>
              <w:spacing w:before="0" w:after="0"/>
              <w:jc w:val="left"/>
              <w:rPr>
                <w:rFonts w:ascii="Times New Roman" w:hAnsi="Times New Roman"/>
                <w:sz w:val="24"/>
              </w:rPr>
            </w:pPr>
          </w:p>
          <w:p w14:paraId="325B127F" w14:textId="4FED601C" w:rsidR="00933ADA" w:rsidRPr="002A677E" w:rsidRDefault="00933ADA" w:rsidP="00822842">
            <w:pPr>
              <w:spacing w:before="0" w:after="0"/>
              <w:rPr>
                <w:rFonts w:ascii="Times New Roman" w:hAnsi="Times New Roman"/>
                <w:sz w:val="24"/>
              </w:rPr>
            </w:pPr>
            <w:r>
              <w:rPr>
                <w:rFonts w:ascii="Times New Roman" w:hAnsi="Times New Roman"/>
                <w:sz w:val="24"/>
              </w:rPr>
              <w:t>Méid neamhchosanta atá ualaithe de réir riosca a eascraíonn ó neamhchosaintí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athdháileadh ar sholáthraí an mhaolaitheora riosca, agus arna ríomh dá bhrí sin sa teimpléad comhfhreagrach, arna mbreithniú agus an uasteorainn á ríomh le haghaidh suíomhanna urrúsúcháin.</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BUNLEIBHÉAL ASCHUIR; MNCUR A BHAINEANN LEIS AN TIONCHAR A BHÍONN AG CUR I bhFEIDHM AIRTEAGAL 465(7) DE RIALACHÁN (AE) UIMH.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An difríocht idir méid an MNCUR gan na forálacha idirthréimhseacha a chur i bhfeidhm agus méid an MNCUR agus na forálacha </w:t>
            </w:r>
            <w:r>
              <w:rPr>
                <w:rFonts w:ascii="Times New Roman" w:hAnsi="Times New Roman"/>
                <w:sz w:val="24"/>
              </w:rPr>
              <w:lastRenderedPageBreak/>
              <w:t>idirthréimhseacha á gcur i bhfeidhm, tuairisceofar í le haghaidh gach ceann de na trí chur chuige: SEC-IRBA, cur chuige an mheasúnaithe inmheánaigh agus láimhseáil shonrach tráinsí sinsearacha in urrúsúcháin SPE cáilitheacha.</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Déantar an teimpléad a roinnt ina thrí bhloc mhóra de rónna lena mbailítear sonraí ar na neamhchosaintí a thionscnaíonn / a urraíonn / a choinníonn nó a cheannaíonn tionscnóirí, infheisteoirí agus urraitheoirí. Le haghaidh gach ceann díobh, déanfar an fhaisnéis a mhiondealú de réir ítimí laistigh den chlár comhardaithe agus ítimí lasmuigh den chlár comhardaithe agus de réir na ndíorthach, agus chomh maith leis sin, má tá an fhaisnéis faoi réir láimhseáil dhifreáilte caipitil nó nach bhfuil.</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Maidir le suíomhanna a dhéantar a láimhseáil i gcomhréir le suíomhanna SEC-ERBA agus na suíomhanna gan rátáil (neamhchosaintí tráth an dáta tuairiscithe), déanfar iad a mhiondealú i gcomhréir leis na céimeanna cáilíochta creidmheasa a chuirtear i bhfeidhm tráth an tionscanta (bloc deireanach rónna). Tuairisceoidh tionscnóirí agus urraitheoirí, chomh maith le hinfheisteoirí, an fhaisnéis sin.</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Rónna</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NEAMHCHOSAINTÍ IOMLÁNA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Tagraíonn neamhchosaintí iomlána don mhéid iomlán urrúsúchán agus ath-urrúsúchán gan íoc. Tugtar achoimre leis an ró seo ar an bhfaisnéis uile a thuairiscíonn tionscnóirí, urraitheoirí agus infheisteoirí i rónna dá éis sin.</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URRÚSÚCHÁIN</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gan íoc, mar a shainmhínítear in Airteagal 4(1), pointe (62), de Rialachán (AE) Uimh. 575/2013, nach ath-urrúsúcháin iad mar a shainmhínítear in Airteagal 4(1), pointe (63), de Rialachán (AE) Uimh.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IAD SIÚD A CHÁILÍONN DON LÁIMHSEÁIL DHIFREÁILTE CAIPITIL</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lena gcomhlíontar critéir Airteagail 243, 270 nó 494c de Rialachán (AE) Uimh. 575/2013 agus a cháilíonn dá bhrí sin don láimhseáil dhifreáilte caipitil.</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NEAMHCHOSAINTÍ IN URRÚSUITHE TRAIDISIÚNTA STS ABCP AGUS NEAMH-ABCP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STS lena gcomhlíontar na ceanglais a leagtar amach in Airteagal 243 de Rialachán (AE) Uimh.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SUÍOMH SINSEARACH MARTHANAITHE IN URRÚSÚCHÁIN SHINTÉISEACHA FBManna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sinsearach marthanaithe in FBManna lena gcomhlíontar na coinníollacha a leagtar amach in Airteagal 494c de Rialachán (AE) Uimh.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SINSEARACHA IN URRÚSUITHE STS LAISTIGH DEN CHLÁR COMHARDAITHE</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sinsearacha in urrúsúcháin STS laistigh den chlár comhardaithe a chomhlíonann na coinníollacha a leagtar amach in Airteagal 270 de Rialachán (AE) Uimh.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agus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IAD SIÚD NACH gCÁILÍONN DON LÁIMHSEÁIL DHIFREÁILTE CAIPITIL</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Airteagal 254, míreanna 1, 4, 5 agus 6 agus Airteagail 259, 261, 263, 265, 266 agus 269 de Rialachán (AE) Uimh.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suíomhanna urrúsúcháin nach gcáilíonn don láimhseáil dhifreáilte caipitil.</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agus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SUÍOMHANNA ATH-URRÚSÚCHÁIN</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Méid iomlán na suíomhanna ath-urrúsúcháin gan íoc mar a shainmhínítear in Airteagal 4(1), pointe (64), de Rialachán (AE) Uimh.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TIONSCNÓIR: NEAMHCHOSAINTÍ IOMLÁNA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182D4D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Tugtar achoimre leis an ró seo ar fhaisnéis ar ítimí laistigh den chlár comhardaithe agus ar ítimí lasmuigh den chlár comhardaithe agus ar dhíorthaigh na suíomhanna urrúsúcháin agus ath-urrúsúcháin sin dá</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imríonn an institiúid ról an tionscnóra, mar a shainmhínítear in Airteagal 4(1), pointe (13), de Rialachán (AE) Uimh.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agus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SUÍOMHANNA URRÚSÚCHÁIN: ÍTIMÍ ATÁ LAISTIGH DEN CHLÁR COMHARDAITHE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gcomhréir le pointe (a) d’Airteagal 248(1) de Rialachán (AE) Uimh. 575/2013, is é a bheidh i luach neamhchosanta suímh urrúsúcháin atá laistigh den chlár comhardaithe a luach de réir na leabhar a bheidh fágtha tar éis aon choigeartú ábhartha sonrach i leith riosca creidmheasa a chur i bhfeidhm ar an suíomh urrúsúcháin, ar coigeartuithe iad arna gcur i bhfeidhm i gcomhréir le hAirteagal 110 de Rialachán (AE) Uimh.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Déanfar ítimí laistigh den chlár comhardaithe a mhiondealú chun faisnéis a ghabháil maidir le cur i bhfeidhm na láimhseála difreáilte caipitil, dá dtagraítear in Airteagal 243 de Rialachán (AE) Uimh. 575/2013, i rónna 0100 agus 0120 agus ar mhéid iomlán na suíomhanna urrúsúcháin sinsearacha, mar a shainmhínítear in Airteagal 242(6) den Rialachán sin, i rónna 0110 agus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 0220 agus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IAD SIÚD A CHÁILÍONN DON LÁIMHSEÁIL DHIFREÁILTE CAIPITIL</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lena gcomhlíontar critéir Airteagal 243 de Rialachán (AE) Uimh. 575/2013 agus a cháilíonn dá bhrí sin don láimhseáil dhifreáilte caipitil.</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agus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LENA nÁIRÍTEAR: NEAMHCHOSAINTÍ SINSEARACHA</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sinsearacha mar a shainmhínítear in Airteagal 242(6) de Rialachán (AE) Uimh.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agus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NEAMHCHOSAINTÍ IN URRÚSÚCHÁIN NACH URRÚSÚCHÁIN NEAMHCHOSAINTÍ NEAMHTHUILLMHEACHA IAD</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neamhchosaintí nach gcomhlíonann na coinníollacha a leagtar amach in Airteagal 269a (1), pointe (a), de Rialachán (AE) Uimh.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agus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NEAMHCHOSAINTÍ IN URRÚSÚCHÁIN NEAMHCHOSAINTÍ NEAMHTHUILLMHEACHA</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Méid iomlán na neamhchosaintí a chomhlíonann na coinníollacha a leagtar amach in Airteagal 269a (1), pointe (a), de Rialachán (AE) Uimh.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agus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LENA nÁIRÍTEAR: NEAMHCHOSAINTÍ SINSEARACHA IN URRÚSÚCHÁIN NEAMHCHOSAINTÍ NEAMHTHUILLMHEACHA THRAIDISIÚNTA CHÁILITHEACHA</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Méid iomlán na neamhchosaintí a chomhlíonann na coinníollacha a leagtar amach in Airteagal 269a (1), pointe (b), de Rialachán (AE) Uimh.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agus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LENA nÁIRÍTEAR: NEAMHCHOSAINTÍ SINSEARACHA IN URRÚSÚCHÁIN NEAMHCHOSAINTÍ NEAMHTHUILLMHEACHA THRAIDISIÚNTA NEAMHCHÁILITHEACHA</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iomlán na neamhchosaintí nach gcomhlíonann na coinníollacha a leagtar amach in Airteagal 269a (1), pointe (b), de Rialachán (AE) Uimh. 575/2013.</w:t>
            </w:r>
          </w:p>
          <w:p w14:paraId="0FBF377F" w14:textId="77777777" w:rsidR="00933ADA" w:rsidRPr="00152E3D"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agus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LENA nÁIRÍTEAR: NEAMHCHOSAINTÍ NEAMHSHINSEARACHA IN URRÚSÚCHÁIN NEAMHCHOSAINTÍ NEAMHTHUILLMHEACHA THRAIDISIÚNTA CHÁILITHEACHA</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Méid iomlán na neamhchosaintí a chomhlíonann na coinníollacha a leagtar amach in Airteagal 269a (1), pointe (a), de Rialachán (AE) Uimh. 575/2013 agus nach gcomhlíonann na coinníollacha a leagtar amach in Airteagal 269a (1), pointe (b), de Rialachán (AE) Uimh.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0140-0180, 0260-0300 agus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SUÍOMHANNA URRÚSÚCHÁIN: ÍTIMÍ LASMUIGH DEN CHLÁR COMHARDAITHE AGUS DÍORTHAIGH</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Leis na rónna seo déanfar faisnéis a bhailiú ar ítimí lasmuigh den chlár comhardaithe agus ar dhíorthaigh de shuíomhanna urrúsúcháin faoi réir fachtóir coinbhéartachta faoin gcreat urrúsúcháin. Beidh luach neamhchosanta suímh urrúsúcháin lasmuigh den chlár comhardaithe cothrom lena luach ainmniúil, lúide aon choigeartú sonrach i leith riosca creidmheasa ar an suíomh urrúsúcháin sin, iolraithe faoi fhachtóir coinbhéartachta 100 % mura sonraítear a mhalairt.</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Maidir le suíomhanna urrúsúcháin lasmuigh den chlár comhardaithe a eascraíonn ó ionstraim dhíorthach a liostaítear in Iarscríbhinn II a ghabhann le Rialachán (AE) Uimh. 575/2013, déanfar iad a chinneadh i gcomhréir le Cuid a Trí, Teideal II, Caibidil 6, de Rialachán (AE) Uimh. 575/2013. Déanfar luach na neamhchosanta ar riosca creidmheasa an chontrapháirtí i gcás ionstraime díorthaí a liostaítear in Iarscríbhinn II a ghabhann le Rialachán (AE) Uimh. 575/2013 a chinneadh i gcomhréir le Cuid a Trí, Teideal II, Caibidil 6, de Rialachán (AE) Uimh. 575/2013.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saoráidí leachtachta, saoráidí creidmheasa agus airleacain airgid seirbhíseoirí, soláthróidh institiúidí an méid neamhtharraingthe.</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babhtálacha rátaí úis agus airgeadra, soláthrófar luach na neamhchosanta (a ríomhfar i gcomhréir le hAirteagal 248(1) de Rialachán (AE) Uimh.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Déanfar ítimí lasmuigh den chlár comhardaithe agus díorthaigh a mhiondealú chun faisnéis a ghabháil maidir le cur i bhfeidhm na láimhseála difreáilte caipitil, dá dtagraítear in Airteagal 270 de Rialachán (AE) Uimh. 575/2013, i rónna 0150 agus 0170 agus ar mhéid iomlán na suíomhanna urrúsúcháin sinsearacha, mar a shainmhínítear in Airteagal 242(6) de Rialachán (AE) Uimh. 575/2013, i rónna 0160 agus 0180. Beidh feidhm ag na tagairtí dlí céanna agus a bheidh maidir le rónna 0100 go dtí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 0270 agus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IAD SIÚD A CHÁILÍONN DON LÁIMHSEÁIL DHIFREÁILTE CAIPITIL</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iomlán na suíomhanna urrúsúcháin lena gcomhlíontar critéir Airteagal 243 de Rialachán (AE) Uimh. 575/2013 nó, i gcás tionscnóirí amháin, Airteagal 270 nó Airteagal 494c de Rialachán (AE) Uimh. 575/2013 agus a cháilíonn dá bhrí sin don láimhseáil dhifreáilte caipitil.</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INFHEISTEOIR: NEAMHCHOSAINTÍ IOMLÁNA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38927BCA"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Tugtar achoimre leis an ró seo ar fhaisnéis ar ítimí laistigh den chlár comhardaithe agus lasmuigh den chlár comhardaithe agus ar dhíorthaigh na suíomhanna urrúsúcháin agus ath-urrúsúcháin sin dá</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imríonn an institiúid ról an infheisteora.</w:t>
            </w:r>
            <w:r>
              <w:rPr>
                <w:rStyle w:val="FormatvorlageInstructionsTabelleText"/>
                <w:rFonts w:ascii="Times New Roman" w:hAnsi="Times New Roman"/>
                <w:sz w:val="24"/>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Chun críocha an teimpléid seo, tuigfear gurb ionann infheisteoir agus institiúid ag a bhfuil suíomh urrúsúcháin in idirbheart urrúsúcháin nach bhfuil sí ina tionscnóir ná ina hurraitheoir dó.</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URRAITHEOIR: NEAMHCHOSAINTÍ IOMLÁNA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33090AF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Tugtar achoimre leis an ró seo ar fhaisnéis ar ítimí laistigh agus lasmuigh den chlár comhardaithe agus ar dhíorthaigh na suíomhanna urrúsúcháin agus ath-urrúsúcháin sin dá</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imríonn an institiúid ról an urraitheora, mar a shainmhínítear in Airteagal 4(1), pointe (14), de Rialachán (AE) Uimh. 575/2013. Má tá urraitheoir ag urrúsú a shócmhainní féin freisin, líonfaidh sé isteach rónna an tionscnóra leis an bhfaisnéis maidir lena shócmhainní urrúsaithe féin.</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MIONDEALÚ AR SHUÍOMHANNA GAN ÍOC DE RÉIR CÉIM CÁILÍOCHTA CREIDMHEASA TRÁTH AN TIONSCANTA</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na rónna seo ar shuíomhanna gan íoc (tráth an dáta tuairiscithe) dá cinneadh céim cáilíochta creidmheasa (CQS) (mar a leagtar síos in Airteagal 263, Táblaí 1 agus 2, agus in Airteagal 264, Táblaí 3 agus 4, de Rialachán (AE) Uimh. 575/2013) ar dháta an túsphointe (an dáta tionscanta). I gcás suíomhanna urrúsúcháin a dhéantar a láimhseáil faoi Chur chuige an Mheasúnaithe Inmheánaigh (IAA), is í an CQS tráth a sannadh rátáil IAA den chéad uair a bheidh sa CQS. In éagmais na faisnéise sin, is iad na sonraí is luaithe dá bhfuil le fáil atá coibhéiseach le CQS na sonraí a thuairisceofar.</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thuairisceofar na rónna sin ach amháin le haghaidh na gcolún 0180-0210, 0280, 0350-0640, 0700-0720, 0740, 0760-0830 agus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tab/>
      </w:r>
      <w:bookmarkEnd w:id="5"/>
      <w:r>
        <w:rPr>
          <w:rFonts w:ascii="Times New Roman" w:hAnsi="Times New Roman"/>
          <w:sz w:val="24"/>
        </w:rPr>
        <w:t>Faisnéis mhionsonraithe at urrúsúcháin</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tab/>
      </w:r>
      <w:r>
        <w:rPr>
          <w:rFonts w:ascii="Times New Roman" w:hAnsi="Times New Roman"/>
          <w:sz w:val="24"/>
          <w:u w:val="none"/>
        </w:rPr>
        <w:t>Raon feidhme theimpléad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Leis na teimpléid sin, déantar faisnéis a bhailiú ar bhonn idirbhirt (i gcomparáid leis an bhfaisnéis chomhiomlán a thuairiscítear i dteimpléid CR SEC, MKR SA SEC, MKR SA CTP, CA1 agus CA2) ar na hurrúsúcháin uile ina bhfuil an institiúid tuairiscithe páirteach. Tuairisceofar príomhghnéithe gach urrúsúcháin, amhail cineál an chomhthiomsaithe fholuitigh agus na ceanglais cistí dílse.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Tá na teimpléid seo le tuairisciú le haghaidh na nithe seo a leanas:</w:t>
      </w:r>
    </w:p>
    <w:p w14:paraId="24BF3BDE" w14:textId="02D44431" w:rsidR="00933ADA" w:rsidRPr="002A677E" w:rsidRDefault="00933ADA" w:rsidP="00933ADA">
      <w:pPr>
        <w:pStyle w:val="InstructionsText2"/>
        <w:numPr>
          <w:ilvl w:val="0"/>
          <w:numId w:val="0"/>
        </w:numPr>
        <w:ind w:left="993"/>
      </w:pPr>
      <w:r>
        <w:t>a.</w:t>
      </w:r>
      <w:r>
        <w:tab/>
        <w:t>Urrúsúcháin a thionscnaíonn / a urraíonn an institiúid tuairiscithe, lena</w:t>
      </w:r>
      <w:r w:rsidR="00152E3D">
        <w:t xml:space="preserve"> n</w:t>
      </w:r>
      <w:r w:rsidR="00152E3D">
        <w:noBreakHyphen/>
      </w:r>
      <w:r>
        <w:t xml:space="preserve">áirítear cásanna nach bhfuil aon suíomh san urrúsúchán ina seilbh aici. I gcásanna ina bhfuil </w:t>
      </w:r>
      <w:r>
        <w:lastRenderedPageBreak/>
        <w:t>suíomh amháin ar a laghad á shealbhú ag institiúidí san urrúsúchán, is cuma má tharla aistriú riosca suntasach nó nár tharla, tuairisceoidh institiúidí faisnéis ar na suíomhanna uile a shealbhaíonn siad (cibé acu sa leabhar baincéireachta nó sa leabhar trádála). Áirítear leis na suíomhanna a shealbhaítear na suíomhanna sin a choinnítear i ngeall ar Airteagal 6 de Rialachán (AE) 2017/2402 agus, i gcás ina bhfuil feidhm ag Airteagal 43(6) den Rialachán sin, Airteagal 405 de Rialachán (AE) Uimh. 575/2013 sa leagan sin is infheidhme an 31 Nollaig 2018.</w:t>
      </w:r>
    </w:p>
    <w:p w14:paraId="57687CA1" w14:textId="1651D34C" w:rsidR="00933ADA" w:rsidRPr="002A677E" w:rsidRDefault="00933ADA" w:rsidP="00933ADA">
      <w:pPr>
        <w:pStyle w:val="InstructionsText2"/>
        <w:numPr>
          <w:ilvl w:val="0"/>
          <w:numId w:val="0"/>
        </w:numPr>
        <w:ind w:left="993"/>
      </w:pPr>
      <w:r>
        <w:t>b.</w:t>
      </w:r>
      <w:r>
        <w:tab/>
        <w:t>Urrúsúcháin, arb iad dliteanais airgeadais a eisíonn an institiúid tuairiscithe ar dtús agus a bhfaightear (go páirteach) le meán urrúsúcháin, nithe foluiteacha na</w:t>
      </w:r>
      <w:r w:rsidR="00152E3D">
        <w:t xml:space="preserve"> n</w:t>
      </w:r>
      <w:r w:rsidR="00152E3D">
        <w:noBreakHyphen/>
      </w:r>
      <w:r>
        <w:t>urrúsúchán sin sa deireadh. D’fhéadfadh bannaí faoi chumhdach nó dliteanais eile a bheith san áireamh sna nithe foluiteacha sin agus sainaithneofar amhlaidh iad i gcolún 0160.</w:t>
      </w:r>
    </w:p>
    <w:p w14:paraId="5E82032E" w14:textId="77777777" w:rsidR="00933ADA" w:rsidRPr="002A677E" w:rsidRDefault="00933ADA" w:rsidP="00933ADA">
      <w:pPr>
        <w:pStyle w:val="InstructionsText2"/>
        <w:numPr>
          <w:ilvl w:val="0"/>
          <w:numId w:val="0"/>
        </w:numPr>
        <w:ind w:left="993"/>
      </w:pPr>
      <w:r>
        <w:t>c.</w:t>
      </w:r>
      <w:r>
        <w:tab/>
        <w:t>Suíomhanna a choinnítear in urrúsúcháin i gcás nach bhfuil an institiúid tuairiscithe ina tionscnóir ná ina hurraitheoir (i.e. infheisteoirí agus iasachtóirí bunaidh).</w:t>
      </w:r>
    </w:p>
    <w:p w14:paraId="3CC0DB9F" w14:textId="77777777" w:rsidR="00933ADA" w:rsidRPr="002A677E" w:rsidRDefault="00933ADA" w:rsidP="00933ADA">
      <w:pPr>
        <w:pStyle w:val="InstructionsText2"/>
        <w:numPr>
          <w:ilvl w:val="0"/>
          <w:numId w:val="0"/>
        </w:numPr>
        <w:ind w:left="993"/>
      </w:pPr>
      <w:r>
        <w:t>Ní dhéanfar teimpléad C 14.01 a thuairisciú ach amháin do na suíomhanna urrúsúcháin sin a láimhseáiltear faoin gcreat urrúsúcháin.</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Déanfaidh grúpaí comhdhlúite agus institiúidí neamhspleácha</w:t>
      </w:r>
      <w:r>
        <w:rPr>
          <w:rStyle w:val="FootnoteReference"/>
        </w:rPr>
        <w:footnoteReference w:id="2"/>
      </w:r>
      <w:r>
        <w:t xml:space="preserve"> atá lonnaithe sa tír chéanna ina bhfuil siad faoi réir ceanglais cistí dílse na teimpléid sin a thuairisciú. Institiúidí atá mar chuid de ghrúpa sa tír chéanna ina bhfuil siad faoi réir ceanglais cistí dílse, díolmhófar iad ó thuairisciú na dteimpléad sin. I gcás urrúsúchán ina bhfuil breis agus aon eintiteas amháin den ghrúpa comhdhlúite céanna páirteach, soláthrófar miondealú na mionsonraí de réir gach eintitis.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Mar gheall ar Airteagal 5 de Rialachán (AE) 2017/2402, lena suitear go bhfaighidh institiúidí a infheistíonn i suíomhanna urrúsúcháin méid mór faisnéise orthu chun ceanglais maidir le dícheall cuí a chomhlíonadh, cuirfear raon feidhme tuairiscithe an teimpléid i bhfeidhm go feadh méid áirithe maidir le hinfheisteoirí. Tuairisceoidh siad go háirithe colúin 0010-0040; 0070-0110; 0160; 0181; 0190; 0223; 0230-0285; 0290-0300; 0310-0470.</w:t>
      </w:r>
    </w:p>
    <w:p w14:paraId="5723EFC7" w14:textId="2EEDD03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Maidir le hinfheisteoirí ag a bhfuil ról na</w:t>
      </w:r>
      <w:r w:rsidR="00152E3D">
        <w:t xml:space="preserve"> n</w:t>
      </w:r>
      <w:r w:rsidR="00152E3D">
        <w:noBreakHyphen/>
      </w:r>
      <w:r>
        <w:t>iasachtóirí bunaidh (nach bhfeidhmíonn ról na dtionscnóirí ná ról na</w:t>
      </w:r>
      <w:r w:rsidR="00152E3D">
        <w:t xml:space="preserve"> n</w:t>
      </w:r>
      <w:r w:rsidR="00152E3D">
        <w:noBreakHyphen/>
      </w:r>
      <w:r>
        <w:t>urraitheoirí san urrúsúchán céanna freisin), tuairisceoidh siad an méid céanna den teimpléad i gcoitinne agus a thuairisceoidh infheisteoirí.</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Miondealú ar theimpléad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Tá dhá theimpléad i gceist le SEC DETAILS. Tá forléargas ginearálta ar na hurrúsúcháin le fáil in SEC DETAILS. In SEC DETAILS 2 tugtar miondealú ar na suíomhanna urrúsúcháin atá faoi réir ceanglas cistí dílse i gcomhréir le Cuid a Trí, Teideal II, Caibidil 5, Roinn 3, de Rialachán (AE) Uimh. 575/2013 de réir cur chuige a chuirtear i bhfeidhm. </w:t>
      </w:r>
    </w:p>
    <w:p w14:paraId="07FC3F88" w14:textId="1B9BB66A" w:rsidR="00933ADA" w:rsidRPr="002A677E" w:rsidRDefault="00933ADA" w:rsidP="00933ADA">
      <w:pPr>
        <w:pStyle w:val="InstructionsText2"/>
        <w:numPr>
          <w:ilvl w:val="0"/>
          <w:numId w:val="0"/>
        </w:numPr>
        <w:ind w:left="993"/>
      </w:pPr>
      <w:r>
        <w:lastRenderedPageBreak/>
        <w:fldChar w:fldCharType="begin"/>
      </w:r>
      <w:r>
        <w:instrText>seq paragraphs</w:instrText>
      </w:r>
      <w:r>
        <w:fldChar w:fldCharType="separate"/>
      </w:r>
      <w:r>
        <w:t>117</w:t>
      </w:r>
      <w:r>
        <w:fldChar w:fldCharType="end"/>
      </w:r>
      <w:r>
        <w:t>. Ní dhéanfar suíomhanna urrúsúcháin sa leabhar trádála a thuairisciú ach amháin i gcolúin 0010-0020, 0420, 0430, 0431, 0432, 0440 agus 0450-0470. Le haghaidh na gcolún 0420, 0430 agus 0440, cuirfidh institiúidí san áireamh an</w:t>
      </w:r>
      <w:r w:rsidR="00152E3D">
        <w:t xml:space="preserve"> t</w:t>
      </w:r>
      <w:r w:rsidR="00152E3D">
        <w:noBreakHyphen/>
      </w:r>
      <w:r>
        <w:t xml:space="preserve">ualú riosca a chomhfhreagraíonn don cheanglas cistí dílse a bhaineann leis an nglansuíomh.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Faisnéis mhionsonraithe ar urrúsúcháin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 INMHEÁNACH</w:t>
            </w:r>
          </w:p>
          <w:p w14:paraId="349173E2" w14:textId="77777777" w:rsidR="00933ADA" w:rsidRPr="002A677E" w:rsidRDefault="00933ADA" w:rsidP="00822842">
            <w:pPr>
              <w:spacing w:before="0" w:after="0"/>
              <w:jc w:val="left"/>
              <w:rPr>
                <w:rFonts w:ascii="Times New Roman" w:hAnsi="Times New Roman"/>
                <w:sz w:val="24"/>
              </w:rPr>
            </w:pPr>
          </w:p>
          <w:p w14:paraId="4B177CEB" w14:textId="63A2FBF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 inmheánach (alfa-uimhriúil) a úsáideann an institiúid chun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 a shainaithint.</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Déanfar an cód inmheánach a chomhcheangal le haitheantóir an idirbhirt urrúsúcháin.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AITHEANTÓIR UATHÚIL</w:t>
            </w:r>
          </w:p>
          <w:p w14:paraId="6D2F0987" w14:textId="77777777" w:rsidR="00933ADA" w:rsidRDefault="00933ADA" w:rsidP="00822842">
            <w:pPr>
              <w:spacing w:before="0" w:after="0"/>
              <w:jc w:val="left"/>
              <w:rPr>
                <w:rFonts w:ascii="Times New Roman" w:hAnsi="Times New Roman"/>
                <w:b/>
                <w:sz w:val="24"/>
                <w:u w:val="single"/>
              </w:rPr>
            </w:pPr>
          </w:p>
          <w:p w14:paraId="408D6CB0" w14:textId="3E1EF4F6" w:rsidR="00933ADA" w:rsidRPr="003A06D5" w:rsidRDefault="00933ADA" w:rsidP="00822842">
            <w:pPr>
              <w:spacing w:before="0" w:after="0"/>
              <w:jc w:val="left"/>
              <w:rPr>
                <w:rFonts w:ascii="Times New Roman" w:hAnsi="Times New Roman"/>
                <w:sz w:val="24"/>
              </w:rPr>
            </w:pPr>
            <w:r>
              <w:rPr>
                <w:rFonts w:ascii="Times New Roman" w:hAnsi="Times New Roman"/>
                <w:sz w:val="24"/>
              </w:rPr>
              <w:t>Maidir le hurrúsúcháin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eisiúint an 1 Eanáir 2019 nó ina dhiaidh sin, tuairisceoidh institiúidí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mar a shainmhínítear in Airteagal 11(1) de Rialachán Tarmligthe (AE) 2020/1224 ón gCoimisiún.</w:t>
            </w:r>
          </w:p>
          <w:p w14:paraId="2AED1FA3" w14:textId="102E0C05" w:rsidR="003A06D5" w:rsidRPr="003A06D5" w:rsidRDefault="003A06D5" w:rsidP="00822842">
            <w:pPr>
              <w:spacing w:before="0" w:after="0"/>
              <w:jc w:val="left"/>
              <w:rPr>
                <w:rFonts w:ascii="Times New Roman" w:hAnsi="Times New Roman"/>
                <w:sz w:val="24"/>
              </w:rPr>
            </w:pPr>
            <w:r>
              <w:rPr>
                <w:rFonts w:ascii="Times New Roman" w:hAnsi="Times New Roman"/>
                <w:sz w:val="24"/>
              </w:rPr>
              <w:t>Tuairisceofar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le haghaidh shuíomhanna an tionscnóra/an urraitheora agus an infheisteora araon agus níl coinne leis go</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athróidh sé ag brath ar leibhéal an tuairiscithe (comhdhlúite vs. foghrúpaí). De réir phointe (a) d’Airteagal 11(1)(a) agus 11(2)(a), sainmhínítear LEI (an chéad mhír den aitheantóir uathúil) go soiléir mar cheann de na ‘heintitis tuairiscithe’ mar a shainmhínítear in Airteagal 7(2) de Rialachán (AE) 2017/2402. I gcásanna áirithe, is é an ‘t-eintiteas tuairiscithe’ an institiúid a thuairiscíonn teimpléid COREP (e.g. más é an tionscnóir nó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urraitheoir é), i gcásanna áirithe ní hamhlaidh atá. De réir Airteagal 11(3) de Rialachán Tarmligthe (AE) 2020/1224 ón gCoimisiún, ní féidir leis an eintiteas tuairiscithe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a leasú, rud a thugann le tuiscint nach féidir é a leasú chun críoch an tuairiscithe i dteimpléid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URRÚSÚCHÁIN</w:t>
            </w:r>
          </w:p>
          <w:p w14:paraId="715E4B5B" w14:textId="77777777" w:rsidR="00933ADA" w:rsidRPr="002A677E" w:rsidRDefault="00933ADA" w:rsidP="00822842">
            <w:pPr>
              <w:spacing w:before="0" w:after="0"/>
              <w:jc w:val="left"/>
              <w:rPr>
                <w:rFonts w:ascii="Times New Roman" w:hAnsi="Times New Roman"/>
                <w:sz w:val="24"/>
              </w:rPr>
            </w:pPr>
          </w:p>
          <w:p w14:paraId="497DC5CA" w14:textId="79D3ED0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 a úsáidtear chun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idirbheart urrúsúcháin a chlárú go dlíthiúil nó, mura bhfuil sé le fáil,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 xml:space="preserve">ainm a thugtar ar an idirbheart urrúsúcháin sa mhargadh, nó laistigh den institiúid i gcás urrúsúchán inmheánach nó príobháideach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ina mbeidh an Uimhir Aitheantais Urrús Idirnáisiúnta – ISIN – le fáil (i.e. le haghaidh idirbhearta poiblí), déanfar na carachtair is coiteann do gach tráinse den urrúsúchán a thuairisciú sa cholún sin.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INGHRÚPA, PRÍOBHÁIDEACH NÓ POIBLÍ?</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0544AB8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Sainaithnítear sa cholún seo cibé acu an urrúsúchán inghrúpa, príobháideach nó poiblí é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ceann amháin díobh seo a leanas:</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Láithriú príobháideach;</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Inghrúpa;</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Láithriú poiblí.</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RÓL NA hINSTITIÚIDE (TIONSCNÓIR/URRAITHEOIR/IASACHTÓIR BUNAIDH/INFHEISTEOIR)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Tuairisceoidh institiúidí ceann amháin díobh seo a leanas: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Tionscnóir;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Urraitheoir;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Infheisteoir;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Iasachtóir Bunaidh.</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Tionscnóir mar a shainmhínítear in Airteagal 4(1), pointe (13), de Rialachán (AE) Uimh. 575/2013 agus Urraitheoir mar a shainmhínítear in Airteagal 4(1), pointe (14), den Rialachán sin. Maidir le hinfheisteoirí, glactar leis gurb iad sin na hinstitiúidí a bhfuil feidhm ag Airteagal 5 de Rialachán (AE) 2017/2402 maidir leo. I gcás ina bhfuil feidhm ag Airteagal 43(5) de Rialachán (AE) 2017/2402, beidh feidhm ag Airteagail 406 agus 407 de Rialachán (AE) Uimh. 575/2013 sa leagan is infheidhme an 31 Nollaig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TIONSCNÓRA</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4665F88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Is é an cód LEI is infheidhme maidir leis an tionscnóir, nó, mura bhfuil sé le fáil, an cód a thugann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údarás maoirseachta don tionscnóir nó, mura bhfuil sé sin le fáil, is é ainm na hinstitiúide féin a thuairisceofar sa cholún seo.</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62CDF6A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urrúsúcháin ildíoltóirí ina bhfuil an institiúid tuairiscithe páirteach mar thionscnóir, urraitheoir nó iasachtóir bunaidh, soláthróidh an institiúid tuairiscithe aitheantóir 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eintiteas uile laistigh dá grúpa comhdhlúite atá páirteach (mar thionscnóir, urraitheoir nó iasachtóir bunaidh) san idirbheart. Mura bhfuil an cód le fáil nó murab eol an cód don institiúid tuairiscithe, tuairisceofar ainm na hinstitiúide.</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3867834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 gcás urrúsúcháin ildíoltóirí ina bhfuil suíomh ag an institiúid tuairiscithe san urrúsúchán mar infheisteoir, soláthróidh an institiúid tuairiscithe aitheantóir na dtionscnóirí éagsúla uile atá páirteach san urrúsúchán, nó mura bhfuil sé sin le fáil, ainmneacha na dtionscnóirí éagsúla. I gcás nach eol na hainmneacha don institiúid tuairiscithe, tuairisceoidh an institiúid tuairiscithe gur urrúsúchán </w:t>
            </w:r>
            <w:r w:rsidR="00152E3D">
              <w:rPr>
                <w:rFonts w:ascii="Times New Roman" w:hAnsi="Times New Roman"/>
                <w:sz w:val="24"/>
              </w:rPr>
              <w:t>‘</w:t>
            </w:r>
            <w:r>
              <w:rPr>
                <w:rFonts w:ascii="Times New Roman" w:hAnsi="Times New Roman"/>
                <w:sz w:val="24"/>
              </w:rPr>
              <w:t>ildíoltóirí’ é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CINEÁL URRÚSÚCHÁIN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ceann amháin díobh seo a leanas:</w:t>
            </w:r>
            <w:r>
              <w:t xml:space="preserve"> </w:t>
            </w:r>
            <w:r>
              <w:br/>
            </w:r>
            <w:r>
              <w:rPr>
                <w:rFonts w:ascii="Times New Roman" w:hAnsi="Times New Roman"/>
                <w:sz w:val="24"/>
              </w:rPr>
              <w:t>- Clár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Idirbheart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Urrúsúcháin thraidisiúnta seachas urrúsúcháin neamhchosaintí neamhthuillmheacha;</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Urrúsúcháin neamhchosaintí neamhthuillmheacha neamhcháilitheacha;</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Urrúsúcháin neamhchosaintí neamhthuillmheacha cháilitheacha;</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Idirbheart sintéiseach;</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Soláthraítear na sainmhínithe ar ‘Clár Páipéar Tráchtála Sócmhainn-Bhunaithe’, ‘Idirbheart Páipéar Tráchtála Sócmhainn-Bhunaithe’, ‘urrúsúchán traidisiúnta’ agus ‘urrúsúchán sintéiseach’ in Airteagal 242, pointí (11) go (14), de Rialachán (AE) Uimh. 575/2013; Tugtar na sainmhínithe ar ‘urrúsúcháin neamhchosaintí neamhthuillmheacha thraidisiúnta cháilitheacha’ agus ar ‘urrúsúcháin neamhchosaintí neamhthuillmheacha’ in Airteagal 269a(1) de Rialachán (AE) Uimh.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CUR CHUIGE CUNTASAÍOCHTA: COINNÍTEAR NEAMHCHOSAINTÍ URRÚSAITHE AR AN gCLÁR COMHARDAITHE NÓ BAINTEAR IAD?</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Tuairisceoidh institiúidí mar thionscnóirí, urraitheoirí agus iasachtóirí bunaidh ceann amháin díobh seo a leanas:</w:t>
            </w:r>
          </w:p>
          <w:p w14:paraId="4C0FBFEA" w14:textId="7CCC82BC"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‘K – arna gcoinneáil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iomláine’, má aithnítear na neamhchosaintí urrúsaithe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iomláine fós;</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 – arna mbaint go páirteach’, má dhéantar na neamhchosaintí urrúsaithe a dhí-aithint go páirteach;</w:t>
            </w:r>
          </w:p>
          <w:p w14:paraId="6F78291C" w14:textId="5440C9AD"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 – arna mbaint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iomláine’, má dhéantar na neamhchosaintí urrúsaithe a dhí-aithint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iomláine;</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 – neamhbhainteach’, i gcás nach infheidhme.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Tugtar achoimre sa cholún seo ar an gcur chuige cuntasaíochta a bhaineann leis an idirbheart. Ní dhéanfaidh aistriú riosca suntasach faoi Airteagail 244 agus 245 de Rialachán (AE) Uimh. 575/2013 difear don chur chuige cuntasaíochta a bhaineann leis an idirbheart faoin gcreat cuntasaíochta ábhartha.</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urrúsúcháin dliteanas, ní thuairisceoidh tionscnóirí an colún seo.</w:t>
            </w:r>
          </w:p>
          <w:p w14:paraId="0DB3F002" w14:textId="2F50BEC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rogha ‘P’ (arna mbaint go páirteach) i gcás ina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aithneofar na sócmhainní urrúsaithe laistigh den chlár comhardaithe a mhéid a bheidh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 ag leanúint de bheith páirteach i gcomhréir le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LÁIMHSEÁIL SÓCMHAINNEACHTA: SUÍOMHANNA URRÚSÚCHÁIN FAOI RÉIR CEANGLAIS CISTÍ DÍLSE?</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Airteagail 109, 244 agus 245 de Rialachán (AE) Uimh.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Ní thuairisceoidh ach tionscnóirí ceann amháin díobh seo a leanas: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Gan bheith faoi réir ceanglais cistí dílse;</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Leabhar baincéireachta;</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Leabhar trádála;</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Go páirteach sa leabhar baincéireachta agus sa leabhar trádála.</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Tabharfar achoimre sa cholún seo ar láimhseáil na scéime urrúsúcháin ó thaobh na sócmhainneachta a dhéanann an tionscnóir. Tabharfar le fios ann an ríomhtar ceanglais cistí dílse ar bhonn neamhchosaintí urrúsaithe nó ar bhonn suíomhanna urrúsúcháin (leabhar baincéireachta/leabhar trádála).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344C1D8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 gcás ina mbeidh ceanglais cistí dílse bunaithe ar </w:t>
            </w:r>
            <w:r>
              <w:rPr>
                <w:rFonts w:ascii="Times New Roman" w:hAnsi="Times New Roman"/>
                <w:i/>
                <w:sz w:val="24"/>
              </w:rPr>
              <w:t>neamhchosaintí urrúsaithe</w:t>
            </w:r>
            <w:r>
              <w:rPr>
                <w:rFonts w:ascii="Times New Roman" w:hAnsi="Times New Roman"/>
                <w:sz w:val="24"/>
              </w:rPr>
              <w:t xml:space="preserve"> (toisc nár baineadh aon aistriú riosca suntasach amach) déanfar ríomh na gceanglas cistí dílse i dtaca le riosca creidmheasa a thuairisciú i dteimpléad CR SA, le haghaidh na neamhchosaintí urrúsaithe sin dá</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úsáidtear an Cur Chuige Caighdeánaithe, nó i dteimpléad CR IRB le haghaidh na neamhchosaintí urrúsaithe sin dá</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úsáideann an institiúid an Cur Chuige Bunaithe ar Rátálacha Inmheánacha.</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Os a choinne sin, i gcás ina mbeidh ceanglais cistí dílse bunaithe ar </w:t>
            </w:r>
            <w:r>
              <w:rPr>
                <w:rFonts w:ascii="Times New Roman" w:hAnsi="Times New Roman"/>
                <w:i/>
                <w:sz w:val="24"/>
              </w:rPr>
              <w:t>shuíomhanna urrúsúcháin a shealbhaítear sa leabhar baincéireachta</w:t>
            </w:r>
            <w:r>
              <w:rPr>
                <w:rFonts w:ascii="Times New Roman" w:hAnsi="Times New Roman"/>
                <w:sz w:val="24"/>
              </w:rPr>
              <w:t xml:space="preserve"> (toisc gur baineadh aistriú riosca suntasach amach), tuairisceofar an fhaisnéis ar ríomh na gceanglas cistí dílse i dtaca le riosca creidmheasa i dteimpléad CR SEC. I gcás </w:t>
            </w:r>
            <w:r>
              <w:rPr>
                <w:rFonts w:ascii="Times New Roman" w:hAnsi="Times New Roman"/>
                <w:i/>
                <w:sz w:val="24"/>
              </w:rPr>
              <w:t>suíomhanna urrúsúcháin a shealbhaítear sa leabhar trádála</w:t>
            </w:r>
            <w:r>
              <w:rPr>
                <w:rFonts w:ascii="Times New Roman" w:hAnsi="Times New Roman"/>
                <w:sz w:val="24"/>
              </w:rPr>
              <w:t>, tuairisceofar an fhaisnéis ar ríomh na gceanglas cistí dílse i dtaca le riosca margaidh i dteimpléad MKR SA TDI (riosca caighdeánaithe um shuíomh ginearálta) agus i dteimpléid MKR SA SEC nó MKR SA CTP (riosca caighdeánaithe um suíomh sonrach) nó i dteimpléad MKR IM (samhlacha inmheánacha).</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gcás urrúsúcháin dliteanas, ní thuairisceoidh tionscnóirí an colún seo.</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AISTRIÚ RIOSCA SUNTASACH</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Ní thuairisceoidh ach tionscnóirí ceann amháin díobh seo a leanas:</w:t>
            </w:r>
          </w:p>
          <w:p w14:paraId="1695E1BB" w14:textId="7521B3C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Ní chuirtear i bhfeidhm le haghaidh aistriú riosca suntasach - ualaíonn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 a neamhchosaintí urrúsaithe de réir riosca;</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Aistriú riosca suntasach arna bhaint amach faoi Airteagal 244(2), pointe (a), nó Airteagal 245(2), pointe (a), de Rialachán (AE) Uimh.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Aistriú riosca suntasach arna bhaint amach faoi Airteagal 244(2), pointe (b), nó Airteagal 245(2), pointe (b), de Rialachán (AE) Uimh.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Aistriú riosca suntasach arna bhaint amach faoi Airteagal 244(3), pointe (a), agus Airteagail 245(3), pointe (a), de Rialachán (AE) Uimh.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Ualú riosca 1 250 % a chur i bhfeidhm nó suíomhanna coinnithe a asbhaint i gcomhréir le hAirteagal 244(1), pointe (b), nó Airteagal 245(1), pointe (b), de Rialachán (AE) Uimh.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Tugtar achoimre leis an gcolún seo ar cibé acu a baineadh nó nár baineadh aistriú suntasach amach agus, má baineadh, cén bealach a rinneadh amhlaidh. Is le baint amach an aistrithe riosca shuntasaigh a chinnfear láimhseáil iomchuí sócmhainneachta an tionscnóra.</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URRÚSÚCHÁN NÓ ATH-URRÚSÚCHÁN?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 xml:space="preserve">I gcomhréir leis an sainmhíniú ar ‘urrúsúchán’ in Airteagal 4(1), pointe (61), de Rialachán (AE) Uimh. 575/2013 agus leis an sainmhíniú ar ‘ath-urrúsúchán’ in </w:t>
            </w:r>
            <w:r>
              <w:rPr>
                <w:rFonts w:ascii="Times New Roman" w:hAnsi="Times New Roman"/>
                <w:sz w:val="24"/>
              </w:rPr>
              <w:lastRenderedPageBreak/>
              <w:t>Airteagal 4(1), pointe (63), de Rialachán (AE) Uimh. 575/2013, tuairisceofar an cineál urrúsúcháin trí na giorrúcháin seo a leanas a úsáid:</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Urrúsúchán;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Ath-urrúsúchán.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URRÚSÚCHÁN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18 de Rialachán (AE)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Tuairisceoidh institiúidí ceann amháin de na giorrúcháin seo a leanas:</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Tá;</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Níl.</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URRÚSÚCHÁN A CHÁILÍONN DON LÁIMHSEÁIL DHIFREÁILTE CAIPITIL</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Airteagail 243, 270 agus 494c de Rialachán (AE) Uimh.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Tuairisceoidh institiúidí ceann amháin de na giorrúcháin seo a leanas:</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Tá;</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Níl.</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Tuairisceofar ‘Tá’ sna cásanna seo a leanas: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Urrúsúcháin STS a cháilíonn don láimhseáil dhifreáilte caipitil i gcomhréir le hAirteagal 243 de Rialachán (AE) Uimh.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Suíomhanna sinsearacha in urrúsúcháin STS laistigh den chlár comhardaithe atá incháilithe don láimhseáil sin i gcomhréir le hAirteagal 270 de Rialachán (AE) Uimh.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Urrúsúcháin shintéiseacha FBManna arna marthanú i gcomhréir le hAirteagal 494c de Rialachán (AE) Uimh.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CINEÁL BARRACHAIS AN RAON DIFRÍOCHTA</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Airteagal 2, pointe (29), de Rialachán (AE)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Tuairisceoidh institiúidí ceann amháin díobh seo a leanas:</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Gan barrachais an raon difríochta</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Barrachais an raon difríochta, méid seasta – sásra ‘úsáid é nó caill é’</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Barrachais an raon difríochta, méid seasta – sásra gaistithe</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Barrachais an raon difríochta, méid athraitheach – sásra ‘úsáid é nó caill é’</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Barrachais an raon difríochta, méid athraitheach – sásra gaistithe.</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CÓRAS AMÚCHTA</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Tuairisceoidh institiúidí ceann amháin díobh seo a leanas:</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Amúchadh seicheamhach</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Amúchadh </w:t>
            </w:r>
            <w:r>
              <w:rPr>
                <w:rFonts w:ascii="Times New Roman" w:hAnsi="Times New Roman"/>
                <w:i/>
                <w:iCs/>
                <w:sz w:val="24"/>
              </w:rPr>
              <w:t>pro rata</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 xml:space="preserve">Amúchadh </w:t>
            </w:r>
            <w:r>
              <w:rPr>
                <w:rFonts w:ascii="Times New Roman" w:hAnsi="Times New Roman"/>
                <w:i/>
                <w:iCs/>
                <w:sz w:val="24"/>
              </w:rPr>
              <w:t>pro rata</w:t>
            </w:r>
            <w:r>
              <w:rPr>
                <w:rFonts w:ascii="Times New Roman" w:hAnsi="Times New Roman"/>
                <w:sz w:val="24"/>
              </w:rPr>
              <w:t xml:space="preserve"> a athróidh go hamúchadh seicheamhach. Na critéir STS maidir le hurrúsúcháin laistigh den chlár comhardaithe a chomhlíonadh (Airteagal 26c (5) de Rialachán (AE)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Amúchadh </w:t>
            </w:r>
            <w:r>
              <w:rPr>
                <w:rFonts w:ascii="Times New Roman" w:hAnsi="Times New Roman"/>
                <w:i/>
                <w:iCs/>
                <w:sz w:val="24"/>
              </w:rPr>
              <w:t>pro rata</w:t>
            </w:r>
            <w:r>
              <w:rPr>
                <w:rFonts w:ascii="Times New Roman" w:hAnsi="Times New Roman"/>
                <w:sz w:val="24"/>
              </w:rPr>
              <w:t xml:space="preserve"> a athróidh go hamúchadh seicheamhach. Na critéir STS le haghaidh idirbhearta neamh-ABCP a chomhlíonadh (Treoirlínte maidir le critéir STS le haghaidh idirbhearta neamh-ABCP agus Airteagal 21(5) de Rialachán (AE)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Amúchadh </w:t>
            </w:r>
            <w:r>
              <w:rPr>
                <w:rFonts w:ascii="Times New Roman" w:hAnsi="Times New Roman"/>
                <w:i/>
                <w:iCs/>
                <w:sz w:val="24"/>
              </w:rPr>
              <w:t>pro rata</w:t>
            </w:r>
            <w:r>
              <w:rPr>
                <w:rFonts w:ascii="Times New Roman" w:hAnsi="Times New Roman"/>
                <w:sz w:val="24"/>
              </w:rPr>
              <w:t xml:space="preserve"> a athróidh go hamúchadh seicheamhach. Neamhchomhlíontach</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Córas amúchta eile</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ROGHANNA MAIDIR LE SOLÁTHAR URRÚIS CHOMHTHAOBHAIGH</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26e de Rialachán (AE) Uimh.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Tuairisceoidh institiúidí ceann amháin de na roghanna seo a leanas maidir le soláthar urrúis chomhthaobhaigh le haghaidh an chomhaontaithe maidir le cosaint creidmheasa:</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Comhthaobhacht i bhfoirm urrúis fiachais a bhfuil ualú riosca 0 % ag gabháil leo </w:t>
            </w:r>
            <w:r>
              <w:rPr>
                <w:rFonts w:ascii="Times New Roman" w:hAnsi="Times New Roman"/>
                <w:sz w:val="24"/>
              </w:rPr>
              <w:br/>
              <w:t>Airteagal 26e(10), an chéad fhomhír, pointe (a), de Rialachán (AE)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Comhthaobhacht i bhfoirm airgid atá á choinneáil ag institiúid creidmheasa tríú páirtí lena mbaineann céim 3 den cháilíocht chreidmheasa, nó céim níos airde</w:t>
            </w:r>
            <w:r>
              <w:t xml:space="preserve"> </w:t>
            </w:r>
            <w:r>
              <w:br/>
            </w:r>
            <w:r>
              <w:rPr>
                <w:rFonts w:ascii="Times New Roman" w:hAnsi="Times New Roman"/>
                <w:sz w:val="24"/>
              </w:rPr>
              <w:t>Airteagal 26e(10), an chéad fhomhír, pointe (b), de Rialachán (AE) Uimh.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Comhthaobhacht i bhfoirm airgead i dtaisce leis an tionscnóir, nó le cleamhnaí dá chuid, má cháilíonn an tionscnóir nó cleamhnaí dá chuid le haghaidh chéim 2 den cháilíocht chreidmheasa, nó céim níos airde</w:t>
            </w:r>
            <w:r>
              <w:t xml:space="preserve"> </w:t>
            </w:r>
            <w:r>
              <w:br/>
            </w:r>
            <w:r>
              <w:rPr>
                <w:rFonts w:ascii="Times New Roman" w:hAnsi="Times New Roman"/>
                <w:sz w:val="24"/>
              </w:rPr>
              <w:t>Airteagal 26e(10), an dara fomhír, de Rialachán (AE) Uimh.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Comhthaobhacht i bhfoirm airgead i dtaisce leis an tionscnóir, nó le cleamhnaí dá chuid, má cháilíonn an tionscnóir nó cleamhnaí dá chuid le haghaidh chéim 3 den cháilíocht chreidmheasa, nó céim níos airde</w:t>
            </w:r>
            <w:r>
              <w:t xml:space="preserve"> </w:t>
            </w:r>
            <w:r>
              <w:br/>
            </w:r>
            <w:r>
              <w:rPr>
                <w:rFonts w:ascii="Times New Roman" w:hAnsi="Times New Roman"/>
                <w:sz w:val="24"/>
              </w:rPr>
              <w:t>Airteagal 26e(10), an tríú fomhír, de Rialachán (AE) Uimh. 2017/2402</w:t>
            </w:r>
          </w:p>
          <w:p w14:paraId="1C79D687" w14:textId="6814119E"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Ceanglas arna chomhlíonadh i gcás infheistíochtaí i nótaí creidmheas-nasctha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eisiúint ag an tionscnóir</w:t>
            </w:r>
            <w:r>
              <w:t xml:space="preserve"> </w:t>
            </w:r>
            <w:r>
              <w:br/>
            </w:r>
            <w:r>
              <w:rPr>
                <w:rFonts w:ascii="Times New Roman" w:hAnsi="Times New Roman"/>
                <w:sz w:val="24"/>
              </w:rPr>
              <w:t>Airteagal 26e(10), an ceathrú fomhír, de Rialachán (AE) Uimh. 2017/2402</w:t>
            </w:r>
          </w:p>
          <w:p w14:paraId="0927AFAB" w14:textId="508710AF"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Gan aon chomhthaobhacht, cáilíonn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infheisteoir le haghaidh ualú riosca 0 %</w:t>
            </w:r>
            <w:r>
              <w:t xml:space="preserve"> </w:t>
            </w:r>
            <w:r>
              <w:br/>
            </w:r>
            <w:r>
              <w:rPr>
                <w:rFonts w:ascii="Times New Roman" w:hAnsi="Times New Roman"/>
                <w:sz w:val="24"/>
              </w:rPr>
              <w:t>Airteagal 26e(8), pointe (a), de Rialachán (AE) Uimh. 2017/2402</w:t>
            </w:r>
          </w:p>
          <w:p w14:paraId="528AF68E" w14:textId="256F5185"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Gan aon chomhthaobhacht, baineann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infheisteoir tairbhe as frithráthaíocht eintitis a cháilíonn le haghaidh ualú riosca 0 %</w:t>
            </w:r>
            <w:r>
              <w:t xml:space="preserve"> </w:t>
            </w:r>
            <w:r>
              <w:br/>
            </w:r>
            <w:r>
              <w:rPr>
                <w:rFonts w:ascii="Times New Roman" w:hAnsi="Times New Roman"/>
                <w:sz w:val="24"/>
              </w:rPr>
              <w:t>Airteagal 26e(8), pointe (b), de Rialachán (AE) Uimh.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Cineálacha eile comhthaobhachta: urrúis fiachais nach gcomhlíonann Airteagal 26e de Rialachán (AE) Uimh.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Cineálacha eile comhthaobhachta: airgead nach gcomhlíonann Airteagal 26e de Rialachán (AE) Uimh. 2017/2402 </w:t>
            </w:r>
          </w:p>
          <w:p w14:paraId="71A4FFC6" w14:textId="519222BC"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Gan aon chomhthaobhacht, ní chomhlíontar critéir STS maidir le hurrúsú laistigh den chlár comhardaithe</w:t>
            </w:r>
            <w:r>
              <w:t xml:space="preserve"> </w:t>
            </w:r>
            <w:r>
              <w:br/>
            </w:r>
            <w:r>
              <w:rPr>
                <w:rFonts w:ascii="Times New Roman" w:hAnsi="Times New Roman"/>
                <w:sz w:val="24"/>
              </w:rPr>
              <w:t>Cásanna atá éagsúil leo siúd ina bhfuil easpa comhthaobhachta, ach ina gcáilíonn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infheisteoir le haghaidh ualú riosca 0 % nó ina mbaineann sé tairbhe as frithráthaíocht eintitis a cháilíonn le haghaidh ualú riosca 0 %</w:t>
            </w:r>
          </w:p>
          <w:p w14:paraId="61F55247" w14:textId="77777777" w:rsidR="00933ADA" w:rsidRPr="002A677E" w:rsidRDefault="00933ADA" w:rsidP="00822842">
            <w:pPr>
              <w:spacing w:before="0" w:after="0"/>
              <w:jc w:val="left"/>
              <w:rPr>
                <w:rFonts w:ascii="Times New Roman" w:hAnsi="Times New Roman"/>
                <w:sz w:val="24"/>
              </w:rPr>
            </w:pPr>
          </w:p>
          <w:p w14:paraId="1B6257AB" w14:textId="499CD60D"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Ní thuairisceofar an colún seo ach amháin má thuairiscítear colún 0040 mar </w:t>
            </w:r>
            <w:r w:rsidR="00152E3D">
              <w:rPr>
                <w:rFonts w:ascii="Times New Roman" w:hAnsi="Times New Roman"/>
                <w:sz w:val="24"/>
              </w:rPr>
              <w:t>‘</w:t>
            </w:r>
            <w:r>
              <w:rPr>
                <w:rFonts w:ascii="Times New Roman" w:hAnsi="Times New Roman"/>
                <w:sz w:val="24"/>
              </w:rPr>
              <w:t>idirbheart sintéiseach’.</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COINNEÁIL</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Airteagal 6 de Rialachán (AE) Uimh. 2017/2402; i gcás ina bhfuil feidhm ag Airteagal 43(6) de Rialachán (AE) 2017/2402, Airteagal 405 de Rialachán (AE) Uimh. 575/2013 sa leagan den Rialachán sin is infheidhme an 31 Nollaig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 CINEÁL COINNEÁLA A CUIREADH I bhFEIDHM</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I gcás gach scéim urrúsúcháin a thionscnaítear, tuairisceofar cineál ábhartha na coinneála glanleasa eacnamaíoch mar a bheartaítear in Airteagal 6 de Rialachán (AE)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Slisne ingearach (suíomhanna urrúsúcháin): </w:t>
            </w:r>
            <w:r>
              <w:rPr>
                <w:rFonts w:ascii="Times New Roman" w:hAnsi="Times New Roman"/>
                <w:i/>
                <w:sz w:val="24"/>
              </w:rPr>
              <w:t>‘méid nach lú ná 5 % de luach ainmniúil gach ceann de na tráinsí a dhíoltar nó a aistrítear chuig na hinfheisteoirí a choinneáil’;</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 Slisne ingearach (neamhchosaintí urrúsaithe): méid nach lú ná 5 % de riosca creidmheasa gach ceann de na neamhchosaintí urrúsaithe a choinneáil, má bhíonn an riosca creidmheasa a choinnítear amhlaidh i leith na neamhchosaintí urrúsaithe sin i gcónaí </w:t>
            </w:r>
            <w:r>
              <w:rPr>
                <w:rFonts w:ascii="Times New Roman" w:hAnsi="Times New Roman"/>
                <w:i/>
                <w:iCs/>
                <w:sz w:val="24"/>
              </w:rPr>
              <w:t>pari passu</w:t>
            </w:r>
            <w:r>
              <w:rPr>
                <w:rFonts w:ascii="Times New Roman" w:hAnsi="Times New Roman"/>
                <w:sz w:val="24"/>
              </w:rPr>
              <w:t xml:space="preserve"> leis an riosca creidmheasa a bheidh urrúsaithe i leith na neamhchosaintí céanna sin, nó fo-ordaithe maidir leis;</w:t>
            </w:r>
          </w:p>
          <w:p w14:paraId="4403C316" w14:textId="77777777" w:rsidR="00933ADA" w:rsidRPr="002A677E" w:rsidRDefault="00933ADA" w:rsidP="00822842">
            <w:pPr>
              <w:spacing w:before="0" w:after="0"/>
              <w:rPr>
                <w:rFonts w:ascii="Times New Roman" w:hAnsi="Times New Roman"/>
                <w:sz w:val="24"/>
              </w:rPr>
            </w:pPr>
          </w:p>
          <w:p w14:paraId="5F5FF6D6" w14:textId="498E210A" w:rsidR="00933ADA" w:rsidRPr="002A677E" w:rsidRDefault="00933ADA" w:rsidP="00822842">
            <w:pPr>
              <w:spacing w:before="0" w:after="0"/>
              <w:rPr>
                <w:rFonts w:ascii="Times New Roman" w:hAnsi="Times New Roman"/>
                <w:sz w:val="24"/>
              </w:rPr>
            </w:pPr>
            <w:r>
              <w:rPr>
                <w:rFonts w:ascii="Times New Roman" w:hAnsi="Times New Roman"/>
                <w:sz w:val="24"/>
              </w:rPr>
              <w:t xml:space="preserve">B – Neamhchosaintí imrothlacha: </w:t>
            </w:r>
            <w:r w:rsidR="00152E3D">
              <w:rPr>
                <w:rFonts w:ascii="Times New Roman" w:hAnsi="Times New Roman"/>
                <w:sz w:val="24"/>
              </w:rPr>
              <w:t>‘</w:t>
            </w:r>
            <w:r>
              <w:rPr>
                <w:rFonts w:ascii="Times New Roman" w:hAnsi="Times New Roman"/>
                <w:i/>
                <w:sz w:val="24"/>
              </w:rPr>
              <w:t>i gcás urrúsú neamhchosaintí imrothlacha, leas an tionscnóra de mhéid nach lú ná 5 % de luach ainmniúil na neamhchosaintí urrúsaithe a choinneáil</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Laistigh den chlár comhardaithe: ‘</w:t>
            </w:r>
            <w:r>
              <w:rPr>
                <w:rFonts w:ascii="Times New Roman" w:hAnsi="Times New Roman"/>
                <w:i/>
                <w:sz w:val="24"/>
              </w:rPr>
              <w:t>neamhchosaintí a roghnaítear go randamach a choinneáil, neamhchosaintí atá coibhéiseach le méid nach lú ná 5 % de luach ainmniúil na neamhchosaintí urrúsaithe, i gcás ina mbeadh na neamhchosaintí sin urrúsaithe laistigh den urrúsúchán murach sin, ar choinníoll nach lú ná 100 ag an túsphointe líon na neamhchosaintí urrúsaithe féideartha</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D – Céadchaillteanas: ‘</w:t>
            </w:r>
            <w:r>
              <w:rPr>
                <w:rFonts w:ascii="Times New Roman" w:hAnsi="Times New Roman"/>
                <w:i/>
                <w:sz w:val="24"/>
              </w:rPr>
              <w:t>an tráinse céadchaillteanais a choinneáil agus, más gá, tráinsí eile a choinneáil a bhfuil an phróifíl riosca chéanna nó próifíl riosca níos déine acu ná iad sin a aistrítear chuig infheisteoirí nó a dhíoltar leo agus nach dtiocfaidh in aibíocht níos luaithe ná na cinn sin a aistrítear chuig infheisteoirí nó a dhíoltar leo níos luaithe, ionas go mbeidh an choinneáil ina hiomlán cothrom le méid nach lú ná 5 % de luach ainmniúil na neamhchosaintí urrúsaithe</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1D98F878" w:rsidR="00933ADA" w:rsidRPr="002A677E" w:rsidRDefault="00933ADA" w:rsidP="00822842">
            <w:pPr>
              <w:spacing w:before="0" w:after="0"/>
              <w:rPr>
                <w:rFonts w:ascii="Times New Roman" w:hAnsi="Times New Roman"/>
                <w:sz w:val="24"/>
              </w:rPr>
            </w:pPr>
            <w:r>
              <w:rPr>
                <w:rFonts w:ascii="Times New Roman" w:hAnsi="Times New Roman"/>
                <w:sz w:val="24"/>
              </w:rPr>
              <w:t>E – Díolmhaithe. Tuairisceofar an cód sin le haghaidh 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urrúsúchán sin a ndéanann cur i bhfeidhm Airteagal 6(6) de Rialachán (AE) 2017/2402 difear dóibh, nó a eisiatar ó raon feidhme chur i bhfeidhm an cheanglais maidir le coinneáil faoi Airteagal 43(6) de Rialachán (AE)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Sárú nó anaithnid. Tuairisceofar an cód sin i gcás nach eol don institiúid tuairiscithe go cinnte cén cineál coinneála atá á cur i bhfeidhm, nó i gcás neamhchomhlíonadh.</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DEN CHOINNEÁIL AR AN DÁTA TUAIRISCITHE</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Ní bheidh an choinneáil glanleasa eacnamaíoch ábhartha ag tionscnóir, urraitheoir nó iasachtóir bunaidh an urrúsúcháin níos lú ná 5 % (ar dháta an tionscanta).</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Ní thuairisceofar an colún seo i gcás ina dtuairisceofar cód ‘E’ (díolmhaithe) faoi cholún 0080 (An cineál coinneála a cuireadh i bhfeidhm).</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 CEANGLAS COINNEÁLA Á CHOMHLÍONADH?</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Tuairisceoidh institiúidí na giorrúcháin seo a leanas: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Tá;</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Níl.</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Ní thuairisceofar an colún seo i gcás ina dtuairisceofar cód ‘E’ (díolmhaithe) faoi cholún 0080 (An cineál coinneála a cuireadh i bhfeidhm).</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CLÁIR NEAMH-ABCP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Mar gheall ar shaintréithe speisialta chláir ABCP de thoradh roinnt suíomhanna urrúsúcháin aonair a bheith i gceist leo, beidh cláir ABCP (mar a shainmhínítear in Airteagal 242(11) de Rialachán (AE) Uimh. 575/2013) díolmhaithe ón tuairisciú i gcolúin 0120, 0121 agus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DÁTA TIONSCANTA (bbbb-mm-ll)</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Is san fhormáid seo a leanas a thuairisceofar mí agus bliain dháta tionscanta an urrúsúcháin (i.e. scoithdháta nó dáta deiridh an chomhthiomsaithe): 'mm/bbbb’.</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Le haghaidh gach scéim urrúsúcháin, ní féidir leis an dáta tionscanta athrú idir dátaí tuairiscithe. I gcás áirithe na scéimeanna urrúsúcháin atá bunaithe ar </w:t>
            </w:r>
            <w:r>
              <w:rPr>
                <w:rFonts w:ascii="Times New Roman" w:hAnsi="Times New Roman"/>
                <w:sz w:val="24"/>
              </w:rPr>
              <w:lastRenderedPageBreak/>
              <w:t xml:space="preserve">chomhthiomsuithe oscailte, is é an dáta a eiseofar na hurrúis ar dtús a bheidh i gceist leis an dáta tionscanta.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an píosa faisnéise sin fiú i gcás nach mbeidh aon suíomh á shealbhú ag an eintiteas tuairiscithe san urrúsúchán.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DÁTA NA hEISIÚNA IS DÉANAÍ (bbbb-mm-ll)</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0C7F5EEB"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Is san fhormáid seo a leanas a thuairisceofar mí agus bliain dháta na heisiúna is déanaí d’urrúis san urrúsúchán: </w:t>
            </w:r>
            <w:r w:rsidR="00152E3D">
              <w:rPr>
                <w:rFonts w:ascii="Times New Roman" w:hAnsi="Times New Roman"/>
                <w:sz w:val="24"/>
              </w:rPr>
              <w:t>‘</w:t>
            </w:r>
            <w:r>
              <w:rPr>
                <w:rFonts w:ascii="Times New Roman" w:hAnsi="Times New Roman"/>
                <w:sz w:val="24"/>
              </w:rPr>
              <w:t>bbbb-mm-ll’.</w:t>
            </w:r>
          </w:p>
          <w:p w14:paraId="4CCEF8BC" w14:textId="77777777" w:rsidR="00933ADA" w:rsidRPr="002A677E" w:rsidRDefault="00933ADA" w:rsidP="00822842">
            <w:pPr>
              <w:spacing w:before="0" w:after="0"/>
              <w:jc w:val="left"/>
              <w:rPr>
                <w:rFonts w:ascii="Times New Roman" w:hAnsi="Times New Roman"/>
                <w:sz w:val="24"/>
              </w:rPr>
            </w:pPr>
          </w:p>
          <w:p w14:paraId="3B2925C7" w14:textId="7DC90B56" w:rsidR="00933ADA" w:rsidRPr="002A677E" w:rsidRDefault="00933ADA" w:rsidP="00822842">
            <w:pPr>
              <w:spacing w:before="0" w:after="0"/>
              <w:jc w:val="left"/>
              <w:rPr>
                <w:rFonts w:ascii="Times New Roman" w:hAnsi="Times New Roman"/>
                <w:sz w:val="24"/>
              </w:rPr>
            </w:pPr>
            <w:r>
              <w:rPr>
                <w:rFonts w:ascii="Times New Roman" w:hAnsi="Times New Roman"/>
                <w:sz w:val="24"/>
              </w:rPr>
              <w:t>Ní infheidhme Rialachán (AE) 2017/2402 ach amháin maidir le hurrúsúcháin 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eisítear 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urrúis an 1 Eanáir 2019 nó dá éis sin. Is le dáta na heisiúna is déanaí d’urrúis a chinnfear cibé acu a thagann nó nach dtagann gach scéim urrúsúcháin faoi raon feidhme Rialachán (AE)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IOMLÁN NA NEAMHCHOSAINTÍ URRÚSAITHE AR AN DÁTA TIONSCANTA</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Leis an gcolún seo, bailítear méid na punainne urrúsaithe ar an dáta tionscanta (a ríomhtar ar bhonn na neamhchosaintí bunaidh roimh chur i bhfeidhm na bhfachtóirí coinbhéartachta).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5D7487B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dtaca le scéimeanna urrúsúcháin atá bunaithe ar chomhthiomsuithe oscailte, tuairisceofar an méid lena dtagraítear do dháta tionscanta na chéad eisiúna d’urrúis. I dtaca le hurrúsúcháin thraidisiúnta, ní chuirfear aon sócmhainn eile de chuid an chomhthiomsaithe urrúsúcháin san áireamh. I dtaca le scéimeanna urrúsúcháin ildíoltóirí (i.e. lena mbaineann breis agus aon tionscnóir amháin), ní thuairisceofar ach amháin an méid a chomhfhreagraíonn do ranníocaíocht an eintitis tuairiscithe sa phunann urrúsaithe. I dtaca le hurrúsúcháin dliteanas, ní thuairisceofar ach amháin na méideanna a eisíonn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NEAMHCHOSAINTÍ URRÚSAITHE</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Iarrtar faisnéis le colúin 0140 go dtí 0225 ar roinnt gnéithe den phunann urrúsaithe ón eintiteas tuairiscithe.</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IOMLÁN</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Tuairisceoidh institiúidí luach na punainne urrúsaithe ar an dáta tuairiscithe, i.e. an méid de na neamhchosaintí urrúsaithe atá gan íoc. I dtaca le hurrúsúcháin thraidisiúnta, ní áireofar aon sócmhainn eile de chuid an chomhthiomsaithe urrúsúcháin. I gcás scéimeanna urrúsúcháin ildíoltóirí (i.e. lena mbaineann breis agus aon tionscnóir amháin), ní thuairisceofar ach amháin an méid a </w:t>
            </w:r>
            <w:r>
              <w:rPr>
                <w:rFonts w:ascii="Times New Roman" w:hAnsi="Times New Roman"/>
                <w:sz w:val="24"/>
              </w:rPr>
              <w:lastRenderedPageBreak/>
              <w:t>chomhfhreagraíonn do ranníocaíocht an eintitis tuairiscithe sa phunann urrúsaithe. I gcás scéimeanna urrúsúcháin atá bunaithe ar chomhthiomsuithe dúnta (i.e. ní féidir punann na sócmhainní urrúsaithe a mhéadú tar éis an dáta tionscanta), déanfar an méid a laghdú de réir a chéile.</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SCIAR NA hINSTITIÚIDE (%)</w:t>
            </w:r>
          </w:p>
          <w:p w14:paraId="15FD4AD7" w14:textId="77777777" w:rsidR="00933ADA" w:rsidRPr="002A677E" w:rsidRDefault="00933ADA" w:rsidP="00822842">
            <w:pPr>
              <w:spacing w:before="0" w:after="0"/>
              <w:jc w:val="left"/>
              <w:rPr>
                <w:rFonts w:ascii="Times New Roman" w:hAnsi="Times New Roman"/>
                <w:sz w:val="24"/>
              </w:rPr>
            </w:pPr>
          </w:p>
          <w:p w14:paraId="312CD141" w14:textId="1E9651BE" w:rsidR="00933ADA" w:rsidRPr="002A677E" w:rsidRDefault="00933ADA" w:rsidP="00822842">
            <w:pPr>
              <w:spacing w:before="0" w:after="0"/>
              <w:rPr>
                <w:rFonts w:ascii="Times New Roman" w:hAnsi="Times New Roman"/>
                <w:sz w:val="24"/>
              </w:rPr>
            </w:pPr>
            <w:r>
              <w:rPr>
                <w:rFonts w:ascii="Times New Roman" w:hAnsi="Times New Roman"/>
                <w:sz w:val="24"/>
              </w:rPr>
              <w:t>Sciar na hinstitiúide (céatadán le dhá dheachúil) ar an dáta tuairiscithe sa phunann urrúsaithe. Is é 100 %, mar réamhshocrú, an figiúir atá le tuairisciú sa cholún seo, seachas i gcás scéimeanna urrúsúcháin ildíoltóirí. Sa chás sin, tuairisceoidh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 a ranníocaíocht reatha leis an bpunann urrúsaithe (atá coibhéiseach le colún 0140 i dtéarmaí coibhneasta).</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an fhaisnéis sin fiú i gcás nach mbeidh aon suíomh á shealbhú ag an eintiteas tuairiscithe san urrúsúchán.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CINEÁL</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an gcolún seo ar chineál sócmhainní (‘Morgáistí cónaithe’ go dtí ‘Neamhchosaintí mórdhíola eile’) nó ar chineál dliteanas (‘Bannaí faoi chumhdach’ agus ‘Dliteanais eile’) na punainne urrúsaithe. Tuairisceoidh an institiúid ceann de na roghanna seo a leanas, agus an neamhchosaint ar mhainneachtain is airde á bhreithniú:</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Miondíol: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Morgáistí cónaithe;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Infháltais cártaí creidmheasa;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Iasachtaí do thomhaltóirí;</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Iasachtaí do FBManna (a láimhseáiltear mar mhiondíol);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Neamhchosaintí eile ar mhiondíol.</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Mórdhíol:</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Morgáistí tráchtála;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Léasú;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Iasachtaí do chorparáidí;</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Iasachtaí do FBManna (a láimhseáiltear mar chorparáidí);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Infháltais trádála;</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Neamhchosaintí eile ar mhórdhíol.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Dliteanais: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Bannaí faoi chumhdach;</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Dliteanais eile.</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 gcás inar meascán de na cineálacha a liostaítear thuas é comhthiomsú na neamhchosaintí urrúsaithe, cuirfidh an institiúid an cineál is tábhachtaí in iúl. I gcás ath-urrúsúchán, tagróidh an institiúid don chomhthiomsú sócmhainní forluiteacha deiridh.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I dtaca le scéimeanna urrúsúcháin atá bunaithe ar chomhthiomsuithe dúnta, ní féidir leis an gcineál athrú idir dátaí tuairiscithe.</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Ba cheart go dtuigfí dliteanais de réir bhrí na ndliteanas a d’eisigh an institiúid tuairiscithe i dtosach (féach mír 112, pointe (b), de roinn 3.2.1 den Iarscríbhinn seo).</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 IRB SA CHUR CHUIGE A CHUIRTEAR I bhFEIDHM</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Déantar faisnéis a bhailiú leis an gcolún seo ar an gcur chuige nó na cuir chuige a chuirfeadh an institiúid i bhfeidhm ar an dáta tuairiscithe maidir leis na neamhchosaintí urrúsaithe.</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Tuairisceoidh institiúidí céatadán na neamhchosaintí urrúsaithe, a thomhaisfear de réir luach na neamhchosaintí, a bhfuil feidhm ag an gCur Chuige Bunaithe ar Rátálacha Inmheánacha maidir leo ar an dáta tuairiscithe.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Tuairisceofar an fhaisnéis sin fiú i gcás nach mbeidh aon suíomh á shealbhú ag an eintiteas tuairiscithe san urrúsúchán. Ní bheidh feidhm ag an gcolún seo maidir le hurrúsúcháin dliteanas, áfach.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 LÍON NEAMHCHOSAINTÍ</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Airteagal 259(4) de Rialachán (AE) Uimh.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2EEE0FA6"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Beidh an colún seo éigeantach le haghaidh 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institiúidí sin a úsáideann cur chuige SEC-IRBA i leith na suíomhanna urrúsúcháin (agus, dá bhrí sin, a thuairiscíonn breis is 95 % i gcolún 171). Tuairisceoidh an institiúid an líon éifeachtach neamhchosaintí.</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thuairisceofar an colún seo i gcás urrúsúchán dliteanas ná i gcás ina mbeidh na ceanglais cistí dílse bunaithe ar na neamhchosaintí urrúsaithe (i gcás urrúsúchán sócmhainní). Ní thuairisceofar an colún seo i gcás nach mbeidh aon suíomh san urrúsúchán á shealbhú ag an institiúid. Ní thuairisceoidh infheisteoirí an colún seo.</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NEAMHCHOSAINTÍ AR MAINNEACHTAIN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Airteagal 261(2) de Rialachán (AE) Uimh.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Fiú i gcás nach mbeidh cur chuige SEC-SA á chur i bhfeidhm ag an institiúid ar na suíomhanna urrúsúcháin, tuairisceoidh an institiúid fachtóir ‘W’ (a bhaineann leis na neamhchosaintí forluiteacha ar mainneachtain) atá le ríomh mar a léirítear in Airteagal 261(2) de Rialachán (AE) Uimh.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TÍR</w:t>
            </w:r>
          </w:p>
          <w:p w14:paraId="79EB0623" w14:textId="77777777" w:rsidR="00933ADA" w:rsidRPr="002A677E" w:rsidRDefault="00933ADA" w:rsidP="00822842">
            <w:pPr>
              <w:spacing w:before="0" w:after="0"/>
              <w:jc w:val="left"/>
              <w:rPr>
                <w:rFonts w:ascii="Times New Roman" w:hAnsi="Times New Roman"/>
                <w:sz w:val="24"/>
              </w:rPr>
            </w:pPr>
          </w:p>
          <w:p w14:paraId="48575CE2" w14:textId="19C3162F" w:rsidR="00933ADA" w:rsidRPr="002A677E" w:rsidRDefault="00933ADA" w:rsidP="00822842">
            <w:pPr>
              <w:spacing w:before="0" w:after="0"/>
              <w:rPr>
                <w:rFonts w:ascii="Times New Roman" w:hAnsi="Times New Roman"/>
                <w:sz w:val="24"/>
              </w:rPr>
            </w:pPr>
            <w:r>
              <w:rPr>
                <w:rFonts w:ascii="Times New Roman" w:hAnsi="Times New Roman"/>
                <w:sz w:val="24"/>
              </w:rPr>
              <w:t xml:space="preserve">Tuairisceoidh institiúidí cód (ISO 3166-1 alfa-2) thír thionscnaimh ní forluiteach deiridh an idirbhirt i.e. tír féichiúnaí láithreach na neamhchosaintí urrúsaithe bunaidh (trébhreathnú). I gcás ina mbeidh tíortha éagsúla i gceist le comhthiomsú </w:t>
            </w:r>
            <w:r>
              <w:rPr>
                <w:rFonts w:ascii="Times New Roman" w:hAnsi="Times New Roman"/>
                <w:sz w:val="24"/>
              </w:rPr>
              <w:lastRenderedPageBreak/>
              <w:t xml:space="preserve">an urrúsúcháin, cuirfidh an institiúid an tír is tábhachtaí in iúl. I gcás nach sáróidh aon tír tairseach 20 % bunaithe ar an méid sócmhainní/dliteanas, tuairisceofar </w:t>
            </w:r>
            <w:r w:rsidR="00152E3D">
              <w:rPr>
                <w:rFonts w:ascii="Times New Roman" w:hAnsi="Times New Roman"/>
                <w:sz w:val="24"/>
              </w:rPr>
              <w:t>‘</w:t>
            </w:r>
            <w:r>
              <w:rPr>
                <w:rFonts w:ascii="Times New Roman" w:hAnsi="Times New Roman"/>
                <w:sz w:val="24"/>
              </w:rPr>
              <w:t>tíortha eile’.</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thuairisceoidh ach na hinstitiúidí sin a chuireann SEC-IRBA i bhfeidhm (agus, dá bhrí sin, a thuairisceoidh 95 % nó níos mó i gcolún 0170) an meánchaillteanas i gcás mainneachtana (LGD) atá ualaithe ó thaobh neamhchosanta. Tá LGD le ríomh mar a léirítear in Airteagal 259(5) de Rialachán (AE) Uimh.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thuairisceofar an colún seo i gcás urrúsúchán dliteanas ná i gcás ina mbeidh na ceanglais cistí dílse bunaithe ar na neamhchosaintí urrúsaithe (i gcás urrúsúchán sócmhainní).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CAILLTEANAS IONCHASACH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thuairisceoidh ach na hinstitiúidí sin a chuireann SEC-IRBA i bhfeidhm (agus, dá bhrí sin, a thuairisceoidh 95 % nó níos mó i gcolún 0171) an meánchaillteanas ionchasach atá ualaithe ó thaobh neamhchosanta. I gcás sócmhainní urrúsaithe SA, is iad na coigeartuithe sonracha i leith riosca creidmheasa dá dtagraítear in Airteagal 111 de Rialachán (AE) Uimh. 575/2013 an caillteanas ionchasach a thuairisceofar. Ríomhfar an caillteanas ionchasach mar a léirítear i gCuid a Trí, Teideal II, Caibidil 3, Roinn 3, de Rialachán (AE) Uimh. 575/2013. Ní thuairisceofar an colún seo i gcás urrúsúchán dliteanas ná i gcás ina mbeidh na ceanglais cistí dílse bunaithe ar na neamhchosaintí urrúsaithe (i gcás urrúsúchán sócmhainní).</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CAILLTEANAS NEAMHIONCHASACH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thuairisceoidh ach na hinstitiúidí sin a chuireann SEC-IRBA i bhfeidhm (agus, dá bhrí sin, a thuairisceoidh 95 % nó níos mó i gcolún 0170) an meánchaillteanas neamhionchasach atá ualaithe ó thaobh neamhchosanta a bhaineann leis na sócmhainní urrúsaithe. Is ionann caillteanas neamhionchasach na sócmhainní agus an méid neamhchosanta atá ualaithe de réir riosca (MNCUR) a iolrófar faoi 8 %. Ríomhfar MNCUR mar a léirítear i gCuid a Trí, Teideal II, Caibidil 3, Roinn 2, de Rialachán (AE) Uimh. 575/2013. Ní thuairisceofar an colún seo i gcás urrúsúchán dliteanas ná i gcás ina mbeidh na ceanglais cistí dílse bunaithe ar na neamhchosaintí urrúsaithe (i gcás urrúsúchán sócmhainní).</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MEÁNAIBÍOCHT NA SÓCMHAINNÍ ATÁ UALAITHE Ó THAOBH NEAMHCHOSANTA</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Tuairisceoidh gach institiúid an mheánaibíocht atá ualaithe ó thaobh neamhchosanta a bhaineann leis na sócmhainní urrúsaithe ar an dáta tuairiscithe beag beann ar an gcur chuige a úsáidfear chun ceanglais chaipitil a ríomh. Ríomhfaidh institiúidí aibíocht gach sócmhainne i gcomhréir le hAirteagal 162(2), pointí (a) agus (f), de Rialachán (AE) Uimh. 575/2013, gan an uasteorainn 5 bliana a chur i bhfeidhm.</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COIGEARTUITHE LUACHA AGUS FORÁLACHA</w:t>
            </w:r>
          </w:p>
          <w:p w14:paraId="598F8B9A" w14:textId="77777777" w:rsidR="00933ADA" w:rsidRPr="002A677E" w:rsidRDefault="00933ADA" w:rsidP="00822842">
            <w:pPr>
              <w:spacing w:before="0" w:after="0"/>
              <w:jc w:val="left"/>
              <w:rPr>
                <w:rFonts w:ascii="Times New Roman" w:hAnsi="Times New Roman"/>
                <w:sz w:val="24"/>
              </w:rPr>
            </w:pPr>
          </w:p>
          <w:p w14:paraId="72EB71CD" w14:textId="04977C5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Coigeartuithe luacha agus forálacha (Airteagal 159 de Rialachán (AE) Uimh. 575/2013) le haghaidh caillteanais chreidmheasa arna ndéanamh i gcomhréir leis an gcreat cuntasaíochta a bhfuil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eintiteas tuairiscithe faoina réir. Áireofar le coigeartuithe luacha aon mhéid a aithnítear mar bhrabús nó mar chaillteanas i dtaca le caillteanais chreidmheasa a bhaineann le sócmhainní airgeadais ó tugadh aitheantas tosaigh dóibh sa chlár comhardaithe (lena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caillteanais mar gheall ar riosca creidmheasa a bhaineann le sócmhainní airgeadais arna dtomhas ar luach cóir nach ndéanfar a asbhaint ó luach na neamhchosanta) móide na lascainí ar shócmhainní arna gceannach agus iad ar mainneachtain dá dtagraítear in Airteagal 166(1) de Rialachán (AE) Uimh. 575/2013. Áireofar le forálacha méideanna carntha de chaillteanais chreidmheasa in ítimí lasmuigh den chlár comhardaithe.</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Leis an gcolún seo, déantar faisnéis a bhailiú ar na coigeartuithe luacha agus ar na forálacha a chuirtear i bhfeidhm maidir leis na neamhchosaintí urrúsaithe. Ní thuairisceofar an colún seo i gcás urrúsúchán dliteanas.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Tuairisceofar an fhaisnéis sin fiú i gcás nach mbeidh aon suíomh á shealbhú ag an eintiteas tuairiscithe san urrúsúchán.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CEANGLAIS CISTÍ DÍLSE ROIMH URRÚSÚCHÁN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Ní thuairisceoidh ach na hinstitiúidí sin a chuireann SEC-IRBA i bhfeidhm (agus, dá bhrí sin, a thuairisceoidh 95 % nó níos mó i gcolún 171) agus a bhailíonn faisnéis ar K</w:t>
            </w:r>
            <w:r>
              <w:rPr>
                <w:rFonts w:ascii="Times New Roman" w:hAnsi="Times New Roman"/>
                <w:sz w:val="24"/>
                <w:vertAlign w:val="subscript"/>
              </w:rPr>
              <w:t>IRB</w:t>
            </w:r>
            <w:r>
              <w:rPr>
                <w:rFonts w:ascii="Times New Roman" w:hAnsi="Times New Roman"/>
                <w:sz w:val="24"/>
              </w:rPr>
              <w:t>, dá dtagraítear in Airteagal 255 de Rialachán (AE) Uimh. 575/2013, an colún seo. Sloinnfear IRB mar chéatadán (le dhá dheachúil).</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Ní thuairisceofar an colún seo i gcás urrúsúchán dliteanas. I gcás urrúsúchán sócmhainní, tuairisceofar an fhaisnéis sin fiú i gcás nach mbeidh aon suíomh san urrúsúchán á shealbhú ag an eintiteas tuairiscithe.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 NEAMHCHOSAINTÍ MIONDÍOLA I gCOMHTHIOMSUITHE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Comhthiomsuithe IRB mar a shainmhínítear in Airteagal 242(7) de Rialachán (AE) Uimh. 575/2013, ar choinníoll go bhfuil an institiúid in ann K</w:t>
            </w:r>
            <w:r>
              <w:rPr>
                <w:rFonts w:ascii="Times New Roman" w:hAnsi="Times New Roman"/>
                <w:sz w:val="24"/>
                <w:vertAlign w:val="subscript"/>
              </w:rPr>
              <w:t>IRB</w:t>
            </w:r>
            <w:r>
              <w:rPr>
                <w:rFonts w:ascii="Times New Roman" w:hAnsi="Times New Roman"/>
                <w:sz w:val="24"/>
              </w:rPr>
              <w:t xml:space="preserve"> a ríomh i gcomhréir le Cuid a Trí, Teideal II, Caibidil 6, Roinn 3, de Rialachán (AE) Uimh. 575/2013 ar 95 % ar a laghad den mhéid neamhchosanta foluiteach (Airteagal 259(2) de Rialachán (AE) Uimh.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CEANGLAIS CISTÍ DÍLSE ROIMH URRÚSÚCHÁN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Fiú i gcás nach gcuirfidh an institiúid cur chuige SEC-SA i bhfeidhm ar na suíomhanna urrúsúcháin, tuairisceoidh an institiúid an colún seo. Déantar faisnéis a bhailiú leis an gcolún seo ar K</w:t>
            </w:r>
            <w:r>
              <w:rPr>
                <w:rFonts w:ascii="Times New Roman" w:hAnsi="Times New Roman"/>
                <w:sz w:val="24"/>
                <w:vertAlign w:val="subscript"/>
              </w:rPr>
              <w:t>SA</w:t>
            </w:r>
            <w:r>
              <w:rPr>
                <w:rFonts w:ascii="Times New Roman" w:hAnsi="Times New Roman"/>
                <w:sz w:val="24"/>
              </w:rPr>
              <w:t>, dá dtagraítear in Airteagal 255(6) de Rialachán (AE) Uimh. 575/2013. Sloinnfear K</w:t>
            </w:r>
            <w:r>
              <w:rPr>
                <w:rFonts w:ascii="Times New Roman" w:hAnsi="Times New Roman"/>
                <w:sz w:val="24"/>
                <w:vertAlign w:val="subscript"/>
              </w:rPr>
              <w:t>SA</w:t>
            </w:r>
            <w:r>
              <w:rPr>
                <w:rFonts w:ascii="Times New Roman" w:hAnsi="Times New Roman"/>
                <w:sz w:val="24"/>
              </w:rPr>
              <w:t xml:space="preserve"> mar chéatadán (le dhá dheachúil).</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Ní thuairisceofar an colún seo i gcás urrúsúchán dliteanas. I gcás urrúsúchán sócmhainní, tuairisceofar an fhaisnéis sin fiú i gcás nach mbeidh aon suíomh san urrúsúchán á shealbhú ag an eintiteas tuairiscithe.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MÍREANNA MEABHRÁIN: COIGEARTUITHE I LEITH RIOSCA CREIDMHEASA I RITH NA TRÉIMHSE REATHA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Airteagal 110 de Rialachán (AE) Uimh.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STRUCHTÚR URRÚSÚCHÁIN</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Déantar faisnéis a bhailiú leis an mbloc colún seo ar struchtúr an urrúsúcháin ar bhonn suíomhanna laistigh/lasmuigh den chlár comhardaithe, ar bhonn tráinsí (sinsearacha/mezzanine/céadchaillteanais) agus ar bhonn na haibíochta ar an dáta tuairiscithe.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I dtaca le hurrúsúcháin ildíoltóirí, ní thuairisceofar ach amháin an méid a chomhfhreagraíonn don eintiteas tuairiscithe nó an méid a chuirtear ina leith.</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ÍTIMÍ ATÁ LAISTIGH DEN CHLÁR COMHARDAITHE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Déantar faisnéis a bhailiú leis an mbloc colún seo ar ítimí laistigh den chlár comhardaithe a mhiondealaítear de réir tráinsí (sinsearacha/mezzanine/céadchaillteanais).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SINSEARACH</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Méid na suíomhanna urrúsúcháin sinsearacha mar a shainmhínítear in Airteagal 242(6) de Rialachán (AE) Uimh.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POINTE ASTAITHE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An pointe astaithe (%) dá dtagraítear in Airteagal 256(1) de Rialachán (AE) Uimh.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agus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CÉIM CÁILÍOCHTA CREIDMHEASA (CQS)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Céimeanna cáilíochta creidmheasa (CQS) mar a bheartaítear maidir le hinstitiúidí a chuireann SEC-ERBA i bhfeidhm (Airteagal 263, Táblaí 1 agus 2, agus Airteagal 264, Táblaí 3 agus 4, de Rialachán (AE) Uimh. 575/2013). Tuairisceofar na colúin seo le haghaidh gach idirbheart rátáilte gan beann ar an gcur chuige a chuirtear i bhfeidhm.</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Cuirtear an méid seo a leanas san áireamh leis an méid a bheidh le tuairisciú:</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suíomhanna urrúsúcháin mezzanine mar a shainmhínítear in Airteagal 242(18) de Rialachán (AE) Uimh.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suíomhanna urrúsúcháin breise nach iad na suíomhanna sin a shainmhínítear in Airteagal 242(6), (17) ná (18), de Rialachán (AE) Uimh. 575/2013 iad.</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 LÍON TRÁINSÍ</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An líon tráinsí mezzanine.</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AN TRÁINSE IS MÓ ATÁ FO-ORDAITHE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arna chinneadh i gcomhréir le hAirteagal 263, Tábla 2 agus Airteagal 264, Tábla 3, de Rialachán (AE) Uimh. 575/2013, den tráinse mezzanine is mó atá fo-ordaithe.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CÉADCHAILLTEANAS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Méid an tráinse céadchaillteanais mar a shainmhínítear in Airteagal 242(17) de Rialachán (AE) Uimh.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POINTE DÍ-ASTAITHE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An pointe dí-astaithe (%) dá dtagraítear in Airteagal 256(2) de Rialachán (AE) Uimh.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CÉIM CÁILÍOCHTA CREIDMHEASA (CQS)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RÓ-SHOLÁTHAIR URRÚIS CHOMHTHAOBHAIGH AGUS CUNTAIS CHÚLCHISTE CHISTITHE</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Airteagail 256(3) agus (4) de Rialachán (AE) Uimh.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Méideanna na gcuntas comhthaobhach agus cúlchiste cistithe nach gcomhlíonann an sainmhíniú ar ‘thráinse’ d’Airteagal 2(6) de Rialachán (AE) 2017/2402, ach a mheastar mar thráinsí chun pointí astaithe agus pointí dí-astaithe a ríomh i gcomhréir le hAirteagal 256(3) de Rialachán (AE) Uimh.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MÉID</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LENA nÁIRÍTEAR: LASCAINE NEAMH-INAISÍOCTHA AR AN bPRAGHAS CEANNAIGH</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Airteagal 2, pointe (31), de Rialachán (AE) Uimh.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Tabharfaidh institiúidí tuairisc ar an lascaine neamh-inaisíoctha ar an bpraghas ceannaigh i gcomhréir le hAirteagal 269a(7) de Rialachán (AE) </w:t>
            </w:r>
            <w:r>
              <w:rPr>
                <w:rFonts w:ascii="Times New Roman" w:hAnsi="Times New Roman"/>
                <w:sz w:val="24"/>
              </w:rPr>
              <w:lastRenderedPageBreak/>
              <w:t>Uimh. 575/2013 ar an dáta tuairiscithe, lascaine a choigeartófar síos agus na caillteanas réadaithe á gcur san áireamh, mar atá léirithe sa dara fomhír. Ní dhéanfar an colún seo a thuairisciú ach amháin i gcás ina dtuairiscítear colún 0040 mar ‘urrúsúchán neamhchosaintí neamhthuillmheacha cáilitheach’ nó mar ‘urrúsúchán neamhchosaintí neamhthuillmheacha neamhcháilitheach’,</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ÍTIMÍ LASMUIGH DEN CHLÁR COMHARDAITHE AGUS DÍORTHAIGH</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Bailítear leis an mbloc colún seo faisnéis maidir le hítimí lasmuigh den chlár comhardaithe agus díorthaigh roimh fhachtóirí coinbhéartachta, arna miondealú de réir tráinsí (sinsearacha/mezzanine/céadchaillteanais).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SINSEARACH/MEZZANINE/CÉADCHAILLTEANAS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Cuirfear i bhfeidhm anseo na critéir chéanna maidir le haicmiú i measc tráinsí agus sainaithint an phointe astaithe, an líon tráinsí agus an pointe dí-astaithe a úsáidtear i leith ítimí laistigh den chlár comhardaithe (féach na treoracha maidir le colúin 0230 go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BARRACHAS SINTÉISEACH AN RAOIN DIFRÍOCHTA</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Airteagail 242, pointe (20), 248(1), pointe (e) agus 256(6) de Rialachán (AE) Uimh. 575/2013. </w:t>
            </w:r>
          </w:p>
          <w:p w14:paraId="420993EF" w14:textId="77777777" w:rsidR="00933ADA" w:rsidRPr="00152E3D" w:rsidRDefault="00933ADA" w:rsidP="00822842">
            <w:pPr>
              <w:autoSpaceDE w:val="0"/>
              <w:autoSpaceDN w:val="0"/>
              <w:adjustRightInd w:val="0"/>
              <w:spacing w:before="0" w:after="0"/>
              <w:jc w:val="left"/>
              <w:rPr>
                <w:rFonts w:ascii="Times New Roman" w:hAnsi="Times New Roman"/>
                <w:sz w:val="24"/>
                <w:lang w:val="fr-BE"/>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Ní thuairisceofar an colún seo ach amháin má thuairiscítear colún 0110 mar ‘thionscnóir’.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AIBÍOCHT</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 CHÉAD DÁTA FOIRCEANNTA INTUARTHA</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42CA6208" w:rsidR="00933ADA" w:rsidRPr="002A677E" w:rsidRDefault="00933ADA" w:rsidP="00822842">
            <w:pPr>
              <w:spacing w:before="0" w:after="0"/>
              <w:jc w:val="left"/>
              <w:rPr>
                <w:rFonts w:ascii="Times New Roman" w:hAnsi="Times New Roman"/>
                <w:sz w:val="24"/>
              </w:rPr>
            </w:pPr>
            <w:r>
              <w:rPr>
                <w:rFonts w:ascii="Times New Roman" w:hAnsi="Times New Roman"/>
                <w:sz w:val="24"/>
              </w:rPr>
              <w:t>An dáta is dócha a fhoirceannfar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 xml:space="preserve">urrúsúchán ar fad i bhfianaise na gclásal conarthach a bhaineann leis agus na ndálaí airgeadais ionchasacha reatha. Go ginearálta, is é an ceann is luaithe de na dátaí seo a leanas a bheadh i gceist: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an dáta a d’fhéadfaí céadrogha ar cheannach farasbairr (mar a shainmhínítear in Airteagal 242(1) de Rialachán (AE) Uimh. 575/2013) a fheidhmiú den chéad uair, agus aibíocht na neamhchosanta forluití/neamhchosaintí forluiteacha á cur nó á gcur san áireamh mar aon lena ráta réamhíocaíochta ionchasach nó a ngníomhaíochtaí athchaibidlíochta féideartha;</w:t>
            </w:r>
          </w:p>
          <w:p w14:paraId="5A66838B" w14:textId="77777777" w:rsidR="00933ADA" w:rsidRPr="002A677E" w:rsidRDefault="00933ADA" w:rsidP="00822842">
            <w:pPr>
              <w:spacing w:before="0" w:after="0"/>
              <w:jc w:val="left"/>
              <w:rPr>
                <w:rFonts w:ascii="Times New Roman" w:hAnsi="Times New Roman"/>
                <w:sz w:val="24"/>
              </w:rPr>
            </w:pPr>
          </w:p>
          <w:p w14:paraId="29D1560C" w14:textId="7E583E8A"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an dáta a d’fhéadfadh an tionscnóir aon chéadrogha eile ar cheannach farasbairr a fheidhmiú den chéad uair, céadrogha atá leabaithe i gclásail chonarthacha an urrúsúcháin, rud lena bhfuasclófaí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 go hiomlán.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dáta, mí agus bliain an chéad dáta foirceanta ionchasaigh.</w:t>
            </w:r>
            <w:r>
              <w:rPr>
                <w:rFonts w:ascii="Times New Roman" w:hAnsi="Times New Roman"/>
              </w:rPr>
              <w:t xml:space="preserve"> </w:t>
            </w:r>
            <w:r>
              <w:rPr>
                <w:rFonts w:ascii="Times New Roman" w:hAnsi="Times New Roman"/>
                <w:sz w:val="24"/>
              </w:rPr>
              <w:t>Tuairisceofar an dáta beacht i gcás ina mbeidh an fhaisnéis sin le fáil, agus tuairisceofar an chéad lá den mhí i gcásanna eile.</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CÉADROGHANNA AN TIONSCNÓRA AR CHEANNACH SAN ÁIREAMH SAN IDIRBHEART</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An cineál céadrogha is ábhartha i gcás an chéad dáta foirceanta ionchasaigh:</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Céadrogha ar cheannach farasbairr a chomhlíonann ceanglais phointe (g) d’Airteagal 244(4) de Rialachán (AE) Uimh.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Céadrogha eile ar cheannach farasbairr;</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Cineál céadrogha eile ar cheannach.</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DÁTA AIBÍOCHTA DEIRIDH DLÍTHIÚIL</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An dáta nach mór préimh agus ús uile an urrúsúcháin a aisíoc de réir dlí (bunaithe ar dhoiciméadacht an idirbhirt).</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Tuairisceofar lá, mí agus bliain an dáta aibíochta dheiridh dhlíthiúil.</w:t>
            </w:r>
            <w:r>
              <w:rPr>
                <w:rFonts w:ascii="Times New Roman" w:hAnsi="Times New Roman"/>
              </w:rPr>
              <w:t xml:space="preserve"> </w:t>
            </w:r>
            <w:r>
              <w:rPr>
                <w:rFonts w:ascii="Times New Roman" w:hAnsi="Times New Roman"/>
                <w:sz w:val="24"/>
              </w:rPr>
              <w:t>Tuairisceofar an dáta beacht i gcás ina mbeidh an fhaisnéis sin le fáil, agus tuairisceofar an chéad lá den mhí i gcásanna eile.</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MÍREANNA MEABHRÁIN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POINTE ASTAITHE AN RIOSCA A DÍOLADH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Is iad na tionscnóirí, agus iad sin amháin, a thuairisceoidh pointe astaithe an tráinse is mó atá fo-ordaithe a dhíoltar le tríú páirtithe, i gcás urrúsúcháin thraidisiúnta, nó a gcosnaíonn tríú páirtithe é, i gcás urrúsúcháin shintéiseacha.</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POINTE DÍ-ASTAITHE AN RIOSCA A DÍOLADH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Is iad na tionscnóirí, agus iad sin amháin, a thuairisceoidh pointe dí-astaithe an tráinse is sinsearaí a dhíoltar le tríú páirtithe, i gcás urrúsúcháin thraidisiúnta, nó a gcosnaíonn tríú páirtithe é, i gcás urrúsúcháin shintéiseacha.</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AISTRIÚ RIOSCA ARNA ÉILEAMH AG AN INSTITIÚID TIONSCNÓRA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334FC243" w:rsidR="00933ADA" w:rsidRPr="002A677E" w:rsidRDefault="00933ADA" w:rsidP="00822842">
            <w:pPr>
              <w:spacing w:before="0" w:after="0"/>
              <w:jc w:val="left"/>
              <w:rPr>
                <w:rFonts w:ascii="Times New Roman" w:hAnsi="Times New Roman"/>
                <w:sz w:val="24"/>
              </w:rPr>
            </w:pPr>
            <w:r>
              <w:rPr>
                <w:rFonts w:ascii="Times New Roman" w:hAnsi="Times New Roman"/>
                <w:sz w:val="24"/>
              </w:rPr>
              <w:t>Is na tionscnóirí, agus iad sin amháin, a thuairisceoidh Caillteanas Ionchasach móide Caillteanas Neamhionchasach na sócmhainní urrúsaithe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 xml:space="preserve">aistriú chuig tríú páirtithe mar chéatadán den Chaillteanas Ionchasach iomlán móide an Caillteanas Neamhionchasach. Tuairisceofar Caillteanas Ionchasach agus Caillteanas Neamhionchasach na neamhchosaintí forluiteacha, a dhéanfar a leithdháileadh ansin tríd an gcascáid urrúsúcháin ar thráinsí an urrúsúcháin faoi seach. I gcás na mbanc SA, coigeartú sonrach i leith riosca creidmheasa na sócmhainní urrúsaithe a bheidh i gceist leis an gCaillteanas Ionchasach agus ceanglas caipitil na neamhchosaintí urrúsaithe a bheidh i gceist leis an gCaillteanas Neamhionchasach.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lastRenderedPageBreak/>
        <w:t>3.8.4.</w:t>
      </w:r>
      <w:r>
        <w:tab/>
      </w:r>
      <w:r>
        <w:rPr>
          <w:rFonts w:ascii="Times New Roman" w:hAnsi="Times New Roman"/>
          <w:sz w:val="24"/>
        </w:rPr>
        <w:t>C 14.01 – Faisnéis mhionsonraithe ar urrúsúcháin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Déanfar teimpléad SEC DETAILS 2 a thuairisciú ar leithligh le haghaidh na gcur chuige seo a leanas:</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Cur chuige bunaithe ar mheasúnú inmheánach</w:t>
      </w:r>
    </w:p>
    <w:p w14:paraId="6518AFE4" w14:textId="77777777" w:rsidR="00933ADA" w:rsidRPr="002A677E" w:rsidRDefault="00933ADA" w:rsidP="00933ADA">
      <w:pPr>
        <w:pStyle w:val="InstructionsText2"/>
        <w:numPr>
          <w:ilvl w:val="0"/>
          <w:numId w:val="0"/>
        </w:numPr>
        <w:ind w:left="993"/>
      </w:pPr>
      <w:r>
        <w:t>6) Láimhseáil shonrach le haghaidh tráinsí sinsearacha d’urrúsúcháin neamhchosaintí neamhthuillmheacha cháilitheacha.</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Colúin</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 INMHEÁNACH</w:t>
            </w:r>
          </w:p>
          <w:p w14:paraId="4B368664" w14:textId="77777777" w:rsidR="00933ADA" w:rsidRPr="002A677E" w:rsidRDefault="00933ADA" w:rsidP="00822842">
            <w:pPr>
              <w:spacing w:before="0" w:after="0"/>
              <w:jc w:val="left"/>
              <w:rPr>
                <w:rFonts w:ascii="Times New Roman" w:hAnsi="Times New Roman"/>
                <w:sz w:val="24"/>
              </w:rPr>
            </w:pPr>
          </w:p>
          <w:p w14:paraId="05CE8BE3" w14:textId="0EAEF63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 inmheánach (alfa-uimhriúil) a úsáideann an institiúid chun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urrúsúchán a shainaithint. Déanfar an cód inmheánach a chomhcheangal le haitheantóir an idirbhirt urrúsúcháin.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AITHEANTÓIR UATHÚIL</w:t>
            </w:r>
          </w:p>
          <w:p w14:paraId="47FAD02D" w14:textId="77777777" w:rsidR="00933ADA" w:rsidRDefault="00933ADA" w:rsidP="00822842">
            <w:pPr>
              <w:spacing w:before="0" w:after="0"/>
              <w:jc w:val="left"/>
              <w:rPr>
                <w:rFonts w:ascii="Times New Roman" w:hAnsi="Times New Roman"/>
                <w:b/>
                <w:sz w:val="24"/>
                <w:u w:val="single"/>
              </w:rPr>
            </w:pPr>
          </w:p>
          <w:p w14:paraId="7C11305A" w14:textId="52CF0D58" w:rsidR="00933ADA" w:rsidRDefault="00933ADA" w:rsidP="00822842">
            <w:pPr>
              <w:spacing w:before="0" w:after="0"/>
              <w:jc w:val="left"/>
              <w:rPr>
                <w:rFonts w:ascii="Times New Roman" w:hAnsi="Times New Roman"/>
                <w:sz w:val="24"/>
              </w:rPr>
            </w:pPr>
            <w:r>
              <w:rPr>
                <w:rFonts w:ascii="Times New Roman" w:hAnsi="Times New Roman"/>
                <w:sz w:val="24"/>
              </w:rPr>
              <w:t>Maidir le hurrúsúcháin arna</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eisiúint an 1 Eanáir 2019 nó ina dhiaidh sin, tuairisceoidh institiúidí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mar a shainmhínítear in Airteagal 11(1) de Rialachán Tarmligthe (AE) 2020/1224 ón gCoimisiún.</w:t>
            </w:r>
          </w:p>
          <w:p w14:paraId="539970B2" w14:textId="29EFBC3B" w:rsidR="003A06D5" w:rsidRPr="003A06D5" w:rsidRDefault="003A06D5" w:rsidP="00822842">
            <w:pPr>
              <w:spacing w:before="0" w:after="0"/>
              <w:jc w:val="left"/>
              <w:rPr>
                <w:rFonts w:ascii="Times New Roman" w:hAnsi="Times New Roman"/>
                <w:sz w:val="24"/>
              </w:rPr>
            </w:pPr>
            <w:r>
              <w:rPr>
                <w:rFonts w:ascii="Times New Roman" w:hAnsi="Times New Roman"/>
                <w:sz w:val="24"/>
              </w:rPr>
              <w:t>Tuairisceofar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le haghaidh shuíomhanna an tionscnóra/an urraitheora agus an infheisteora araon agus níl coinne leis go</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athróidh sé ag brath ar leibhéal an tuairiscithe (comhdhlúite vs. foghrúpaí). De réir phointe (a) d’Airteagal 11(1)(a) agus 11(2)(a), sainmhínítear LEI (an chéad mhír den aitheantóir uathúil) go soiléir mar cheann de na ‘heintitis tuairiscithe’ mar a shainmhínítear in Airteagal 7(2) de Rialachán (AE) 2017/2402. I gcásanna áirithe, is é an ‘t-eintiteas tuairiscithe’ an institiúid a thuairiscíonn teimpléid COREP (e.g. más é an tionscnóir nó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urraitheoir é), i gcásanna áirithe ní hamhlaidh atá. De réir Airteagal 11(3) de Rialachán Tarmligthe (AE) 2020/1224 ón gCoimisiún, ní féidir leis an eintiteas tuairiscithe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aitheantóir uathúil a leasú, rud a thugann le tuiscint nach féidir é a leasú chun críoch an tuairiscithe i dteimpléid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AITHEANTÓIR AN URRÚSÚCHÁIN</w:t>
            </w:r>
          </w:p>
          <w:p w14:paraId="2A383686" w14:textId="77777777" w:rsidR="00933ADA" w:rsidRPr="002A677E" w:rsidRDefault="00933ADA" w:rsidP="00822842">
            <w:pPr>
              <w:spacing w:before="0" w:after="0"/>
              <w:jc w:val="left"/>
              <w:rPr>
                <w:rFonts w:ascii="Times New Roman" w:hAnsi="Times New Roman"/>
                <w:sz w:val="24"/>
              </w:rPr>
            </w:pPr>
          </w:p>
          <w:p w14:paraId="49907D02" w14:textId="13E1216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 a úsáidtear chun an suíomh urrúsúcháin a chlárú go dlíthiúil, nó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idirbheart urrúsúcháin i gcás roinnt suíomhanna is féidir a thuairisciú sa ró céanna, nó, mura bhfuil sé le fáil, an</w:t>
            </w:r>
            <w:r w:rsidR="00152E3D">
              <w:rPr>
                <w:rFonts w:ascii="Times New Roman" w:hAnsi="Times New Roman"/>
                <w:sz w:val="24"/>
              </w:rPr>
              <w:t xml:space="preserve"> t</w:t>
            </w:r>
            <w:r w:rsidR="00152E3D">
              <w:rPr>
                <w:rFonts w:ascii="Times New Roman" w:hAnsi="Times New Roman"/>
                <w:sz w:val="24"/>
              </w:rPr>
              <w:noBreakHyphen/>
            </w:r>
            <w:r>
              <w:rPr>
                <w:rFonts w:ascii="Times New Roman" w:hAnsi="Times New Roman"/>
                <w:sz w:val="24"/>
              </w:rPr>
              <w:t xml:space="preserve">ainm a thugtar ar an suíomh urrúsúcháin nó ar an idirbheart urrúsúcháin sa mhargadh, nó laistigh den institiúid i gcás </w:t>
            </w:r>
            <w:r>
              <w:rPr>
                <w:rFonts w:ascii="Times New Roman" w:hAnsi="Times New Roman"/>
                <w:sz w:val="24"/>
              </w:rPr>
              <w:lastRenderedPageBreak/>
              <w:t>urrúsúchán inmheánach nó príobháideach. I gcás ina mbeidh an Uimhir Aitheantais Urrús Idirnáisiúnta – ISIN – le fáil (i.e. le haghaidh idirbhearta poiblí), déanfar na carachtair is coiteann do gach tráinse den urrúsúchán a thuairisciú sa cholún sin.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SUÍOMHANNA URRÚSÚCHÁIN: AN NEAMHCHOSAINT TOSAIGH ROIMH CHUR I bhFEIDHM NA bhFACHTÓIRÍ COINBHÉARTACHTA</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Déantar faisnéis a bhailiú leis an mbloc colún seo ar na suíomhanna urrúsúcháin a mhiondealaítear de réir suíomhanna laistigh/lasmuigh den chlár comhardaithe, de réir na dtráinsí (sinsearacha/mezzanine/céadchaillteanais) ar an dáta tuairiscithe.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ÍTIMÍ ATÁ LAISTIGH DEN CHLÁR COMHARDAITHE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Cuirfear i bhfeidhm anseo na critéir aicmithe chéanna i measc tráinsí a úsáidtear le haghaidh na gcolún 0230, 0240 agus 0250 de teimpléad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ÍTIMÍ LASMUIGH DEN CHLÁR COMHARDAITHE AGUS DÍORTHAIGH</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Cuirfear i bhfeidhm anseo na critéir aicmithe chéanna i measc tráinsí a úsáidtear le haghaidh na gcolún 0260 go 0287 de theimpléad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agus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UALÚ RIOSCA A CHOMHFHREAGRAÍONN DO SHOLÁTHRAÍ / IONSTRAIM COSANTA</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d’ualú riosca an ráthóra incháilithe nó % d’ualú riosca na hionstraime comhfhreagraí lena soláthraítear cosaint creidmheasa i gcomhréir le hAirteagal 249 de Rialachán (AE) Uimh.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BARRACHAS SINTÉISEACH AN RAOIN DIFRÍOCHTA</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Airteagail 242 (20), 248 (1), pointe (e) agus 256(6) de Rialachán (AE) Uimh.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Ní thuairisceofar an colún seo ach amháin má thuairiscítear colún 0110 mar ‘thionscnóir’.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MÍREANNA MEABHRÁIN: ÍTIMÍ LASMUIGH DEN CHLÁR COMHARDAITHE AGUS DÍORTHAIGH ROIMH CHUR I bhFEIDHM NA bhFACHTÓIRÍ COINBHÉARTACHTA</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Déantar faisnéis bhreise a bhailiú leis an mbloc colún seo ar na hítimí iomlána lasmuigh den chlár comhardaithe agus ar na díorthaigh iomlána (a thuairiscítear faoi mhiondealú difriúil i gcolúin 0340-0361 cheana féin).</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IONADAIGH CHREIDMHEASA DHÍREACHA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Is infheidhme an colún seo maidir leis na suíomhanna urrúsúcháin sin a shealbhaíonn an tionscnóir agus a rathaítear le hionadaigh chreidmheasa dhíreacha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I gcomhréir le hIarscríbhinn I a ghabhann le Rialachán (AE) Uimh. 575/2013, measfar gur DCS iad na hítimí lánriosca seo a leanas atá lasmuigh den chlár comhardaithe:</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Ráthaíochtaí de chineál ionadach creidmheasa.</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Litreacha creidmheasa teannta neamh-inchúlghairthe de chineál ionadach creidmheasa..</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BABHTÁIL RÁTA ÚIS (IRS) / BABHTÁIL RÁTA AIRGEADRA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Ciallaíonn IRS Babhtálacha Ráta Úis, agus ciallaíonn CRS Babhtálacha Ráta Airgeadra. Liostaítear na díorthaigh sin in Iarscríbhinn II a ghabhann le Rialachán (AE) Uimh.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SAORÁIDÍ LEACHTACHTA</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Saoráidí leachtachta mar a shainmhínítear in Airteagal 242(3) de Rialachán (AE) Uimh.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EILE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Ítimí eile lasmuigh den chlár comhardaithe agus atá fágtha.</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LUACH NA NEAMHCHOSANTA</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Tá dlúthbhaint idir an fhaisnéis sin agus colún 0180 i dteimpléad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LUACH NEAMHCHOSANTA ASBHAINTE AS CISTÍ DÍLSE</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Tá dlúthbhaint idir an fhaisnéis sin agus colún 0190 i dteimpléad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Tuairisceofar figiúr faoi bhun nialais sa cholún seo.</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IOMLÁN ATÁ UALAITHE DE RÉIR RIOSCA ROIMH AN UASTEORAINN</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Leis an gcolún seo, bailítear faisnéis maidir leis an méid neamhchosanta atá ualaithe de réir riosca roimh an uasteorainn is infheidhme maidir leis na suíomhanna urrúsúcháin arna ríomh i gcomhréir le Cuid a Trí, Teideal II, Caibidil 5, Roinn 3, de Rialachán (AE) Uimh.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I gcás urrúsúcháin sa leabhar trádála, tuairisceofar an méid seo a leanas:</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an MNCUR maidir leis an riosca sonrach, arna chinneadh mar mhéid atá 12.5 oiread níos mó ná an ceanglas cistí dílse mar a thuairiscítear i gcolún 0570 de MKR SA SEC, nó i gcolúin 0410 agus 0420 (an ceann is ábhartha don cheanglas cistí dílse) de MKR SA CTP, faoi seach, i gcás ina gcuireann </w:t>
            </w:r>
            <w:r>
              <w:rPr>
                <w:rFonts w:ascii="Times New Roman" w:hAnsi="Times New Roman"/>
                <w:sz w:val="24"/>
              </w:rPr>
              <w:lastRenderedPageBreak/>
              <w:t>an institiúid an Cur Chuige Caighdeánaithe Simplithe i bhfeidhm maidir le riosca margaidh,</w:t>
            </w:r>
          </w:p>
          <w:p w14:paraId="473B3456" w14:textId="4F2E5639"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suim dhearbhluach íogaireachtaí ualaithe uile an urrúsúcháin ar fhachtóirí riosca, mar a chinntear ar mhaithe leis na ceanglais cistí dílse i gcomhair an riosca raoin difríochta creidmheasa le haghaidh urrúsúcháin nach</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in ACTP a ríomh, nó an riosca raoin difríochta creidmheasa le haghaidh urrúsúcháin in ACTP, i gcás ina gcuireann an institiúid an Cur Chuige Caighdeánaithe Malartach nó Cur Chuige Malartach na Samhlacha Inmheánacha i bhfeidhm.</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AR UALÚ RIOSCA</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Airteagail 267 agus 269a de Rialachán (AE) Uimh.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FHORIOMLÁN</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Airteagail 268 agus 269a de Rialachán (AE) Uimh.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IOMLÁN ATÁ UALAITHE DE RÉIR RIOSCA TAR ÉIS NA hUASTEORANN</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Leis an gcolún seo, bailítear faisnéis maidir leis an méid neamhchosanta atá ualaithe de réir riosca tar éis uasteorainneacha is infheidhme maidir leis na suíomhanna urrúsúcháin arna ríomh i gcomhréir le Cuid a Trí, Teideal II, Caibidil 5, Roinn 3, de Rialachán (AE) Uimh.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I gcás urrúsúcháin sa leabhar trádála, tuairisceofar an méid seo a leanas:</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an MNCUR maidir leis an riosca sonrach, arna chinneadh mar mhéid atá 12.5 oiread níos mó ná an ceanglas cistí dílse mar a thuairiscítear i gcolún 0570 de MKR SA SEC, nó i gcolúin 0410 agus 0420 (an ceann is ábhartha don cheanglas cistí dílse) de MKR SA CTP, faoi seach, i gcás ina gcuireann an institiúid an Cur Chuige Caighdeánaithe Simplithe i bhfeidhm maidir le riosca margaidh,</w:t>
            </w:r>
          </w:p>
          <w:p w14:paraId="4FA7C759" w14:textId="29486A6A"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suim dhearbhluach íogaireachtaí ualaithe uile an urrúsúcháin ar fhachtóirí riosca, mar a chinntear ar mhaithe leis na ceanglais cistí dílse i gcomhair an riosca raoin difríochta creidmheasa le haghaidh urrúsúcháin nach</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in ACTP a ríomh, nó an riosca raoin difríochta creidmheasa le haghaidh urrúsúcháin in ACTP, i gcás ina gcuireann an institiúid an Cur Chuige Caighdeánaithe Malartach nó Cur Chuige Malartach na Samhlacha Inmheánacha i bhfeidhm.</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MINCR CAIGHDEÁNAITHE AN BHUNLEIBHÉIL ASCHUIR</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 gcás institiúidí atá faoi réir an bhunleibhéil aschuir de réir Airteagal 92(3) de Rialachán (AE) Uimh. 575/2013, tuairisceoidh siad méid iomlán caighdeánaithe na neamhchosanta ar riosca (MINCR Caighdeánaithe) arna ríomh i gcomhréir le hAirteagal 92(5).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ROIMH AN UASTEORAINN</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MINCR Caighdeánaithe roimh an uasteorainn is infheidhme maidir leis na suíomhanna urrúsúcháin arna ríomh i gcomhréir le Cuid a Trí, Teideal II, Caibidil 5, Roinn 3, de Rialachán (AE) Uimh.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I gcás urrúsúcháin sa leabhar trádála, tuairisceofar an méid seo a leanas:</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an MNCUR maidir leis an riosca sonrach, arna chinneadh mar mhéid atá 12.5 oiread níos mó ná an ceanglas cistí dílse mar a thuairiscítear i gcolún 0570 de MKR SA SEC, nó i gcolúin 0410 agus 0420 (an ceann is ábhartha don cheanglas cistí dílse) de MKR SA CTP, faoi seach, i gcás ina gcuireann an institiúid an Cur Chuige Caighdeánaithe Simplithe i bhfeidhm maidir le riosca margaidh,</w:t>
            </w:r>
          </w:p>
          <w:p w14:paraId="693C7CE2" w14:textId="2A066241"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suim dhearbhluach íogaireachtaí ualaithe uile an urrúsúcháin ar fhachtóirí riosca, mar a chinntear ar mhaithe leis na ceanglais cistí dílse i gcomhair an riosca raoin difríochta creidmheasa le haghaidh urrúsúcháin nach</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in ACTP a ríomh, nó an riosca raoin difríochta creidmheasa le haghaidh urrúsúcháin in ACTP, i gcás ina gcuireann an institiúid an Cur Chuige Caighdeánaithe Malartach i bhfeidhm.</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Téacs míniúcháin chun críoch comhairliúcháin</w:t>
                  </w:r>
                </w:p>
                <w:p w14:paraId="23406B96" w14:textId="1C93696C" w:rsidR="00933ADA" w:rsidRDefault="00933ADA" w:rsidP="00822842">
                  <w:pPr>
                    <w:pStyle w:val="body"/>
                  </w:pPr>
                  <w:r>
                    <w:t>Ar mhaithe le simplíocht, agus d’ainneoin nach léireoidh sí na difríochtaí idir ríomh MINCR Caighdeánaithe agus MINCR gan bunleibhéal (féach na colúin nua thíos), iarrtar ar institiúidí a chuireann an Cur Chuige Caighdeánaithe Malartach i bhfeidhm agus ar institiúidí a chuireann Cur Chuige Malartach na Samhlacha Inmheánacha i bhfeidhm suim na</w:t>
                  </w:r>
                  <w:r w:rsidR="00152E3D">
                    <w:t xml:space="preserve"> n</w:t>
                  </w:r>
                  <w:r w:rsidR="00152E3D">
                    <w:noBreakHyphen/>
                  </w:r>
                  <w:r>
                    <w:t>íogaireachtaí ualaithe arna gcinneadh ar bhonn an mhodha íogaireacht-bhunaithe le haghaidh riosca raoin difríochta creidmheasa an urrúsaithe a thuairisciú. Mar gheall ar na rialacha maidir le bunleibhéal aschuir, tá coinne leis go mbeidh an luach sin ar fáil d’institiúidí a chuireann an Cur Chuige Caighdeánaithe Malartach i bhfeidhm agus d’institiúidí a chuireann Cur Chuige Malartach na Samhlacha Inmheánacha i bhfeidhm gan iarracht bhreise a dhéanamh.</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AR UALÚ RIOSCA</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Laghdú ar MINCR Caighdeánaithe mar gheall ar an uasteorainn ar ualú riosca i gcomhréir le hAirteagail 267 agus 269a de Rialachán (AE) Uimh.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LAGHDÚ I nGEALL AR AN UASTEORAINN FHORIOMLÁN</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Laghdú ar MINCR Caighdeánaithe mar gheall ar an uasteorainn fhoriomlán i gcomhréir le hAirteagail 268 agus 269a de Rialachán (AE) Uimh.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TAR ÉIS NA hUASTEORANN</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Leis an gcolún seo, bailítear faisnéis maidir leis an MINCR Caighdeánaithe tar éis uasteorainneacha is infheidhme maidir leis na suíomhanna urrúsúcháin arna ríomh i gcomhréir le Cuid a Trí, Teideal II, Caibidil 5, Roinn 3, de Rialachán (AE) Uimh.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I gcás urrúsúcháin sa leabhar trádála, tuairisceofar an méid seo a leanas:</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an MNCUR maidir leis an riosca sonrach, arna chinneadh mar mhéid atá 12.5 oiread níos mó ná an ceanglas cistí dílse mar a thuairiscítear i gcolún </w:t>
            </w:r>
            <w:r>
              <w:rPr>
                <w:rFonts w:ascii="Times New Roman" w:hAnsi="Times New Roman"/>
                <w:sz w:val="24"/>
              </w:rPr>
              <w:lastRenderedPageBreak/>
              <w:t>0570 de MKR SA SEC, nó i gcolúin 0410 agus 0420 (an ceann is ábhartha don cheanglas cistí dílse) de MKR SA CTP, faoi seach, i gcás ina gcuireann an institiúid an Cur Chuige Caighdeánaithe Simplithe i bhfeidhm maidir le riosca margaidh,</w:t>
            </w:r>
          </w:p>
          <w:p w14:paraId="192C3CE4" w14:textId="5D967332"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suim dhearbhluach íogaireachtaí ualaithe uile an urrúsúcháin ar fhachtóirí riosca, mar a chinntear ar mhaithe leis na ceanglais cistí dílse i gcomhair an riosca raoin difríochta creidmheasa le haghaidh urrúsúcháin nach</w:t>
            </w:r>
            <w:r w:rsidR="00152E3D">
              <w:rPr>
                <w:rFonts w:ascii="Times New Roman" w:hAnsi="Times New Roman"/>
                <w:sz w:val="24"/>
              </w:rPr>
              <w:t xml:space="preserve"> n</w:t>
            </w:r>
            <w:r w:rsidR="00152E3D">
              <w:rPr>
                <w:rFonts w:ascii="Times New Roman" w:hAnsi="Times New Roman"/>
                <w:sz w:val="24"/>
              </w:rPr>
              <w:noBreakHyphen/>
            </w:r>
            <w:r>
              <w:rPr>
                <w:rFonts w:ascii="Times New Roman" w:hAnsi="Times New Roman"/>
                <w:sz w:val="24"/>
              </w:rPr>
              <w:t>áirítear in ACTP a ríomh, nó an riosca raoin difríochta creidmheasa le haghaidh urrúsúcháin in ACTP, i gcás ina gcuireann an institiúid an Cur Chuige Caighdeánaithe Malartach i bhfeidhm.</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MÍREANNA MEABHRÁIN</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ATÁ UALAITHE DE RÉIR RIOSCA FAOI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Airteagail 263 agus 264 de Rialachán (AE) Uimh. 575/2013. Ní thuairisceofar an colún seo ach amháin i dtaca le hidirbhearta rátáilte roimh an uasteorainn agus ní thuairisceofar é i dtaca le hidirbhearta faoi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MÉID NEAMHCHOSANTA ATÁ UALAITHE DE RÉIR RIOSCA FAOI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Airteagail 261 agus 262 de Rialachán (AE) Uimh. 575/2013. Tuairisceofar an colún seo roimh an uasteorainn agus ní thuairisceofar é i dtaca le hidirbhearta faoi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BUNLEIBHÉAL ASCHUIR: MNCUR A BHAINEANN LEIS AN TIONCHAR A BHÍONN AG CUR I bhFEIDHM AIRTEAGAL 465(7) DE RIALACHÁN (AE) UIMH.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An difríocht idir méid an MNCUR gan na forálacha idirthréimhseacha a chur i bhfeidhm agus méid an MNCUR agus na forálacha idirthréimhseacha á gcur i bhfeidhm, tuairisceofar í le haghaidh gach ceann de na trí chur chuige: SEC-IRBA, cur chuige an mheasúnaithe inmheánaigh agus láimhseáil shonrach tráinsí sinsearacha in urrúsúcháin SPE cáilitheacha.</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SUÍOMHANNA ATH-URRÚSÚCHÁIN – LEABHAR TRÁDÁLA</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CTP NÓ NEAMH-CTP?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Tuairisceoidh institiúidí ceann amháin díobh seo a leanas:</w:t>
            </w:r>
          </w:p>
          <w:p w14:paraId="3077C0BF" w14:textId="611764F8" w:rsidR="00933ADA" w:rsidRPr="002A677E" w:rsidRDefault="00152E3D"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933ADA">
              <w:rPr>
                <w:rStyle w:val="InstructionsTabelleText"/>
                <w:rFonts w:ascii="Times New Roman" w:hAnsi="Times New Roman"/>
                <w:sz w:val="24"/>
              </w:rPr>
              <w:t>CTP’ - Punann Trádála Comhghaoil;</w:t>
            </w:r>
          </w:p>
          <w:p w14:paraId="7D2A23A5" w14:textId="2012930D" w:rsidR="00933ADA" w:rsidRPr="002A677E" w:rsidRDefault="00152E3D"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933ADA">
              <w:rPr>
                <w:rStyle w:val="InstructionsTabelleText"/>
                <w:rFonts w:ascii="Times New Roman" w:hAnsi="Times New Roman"/>
                <w:sz w:val="24"/>
              </w:rPr>
              <w:t>neamh-CTP’.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F420" w14:textId="77777777" w:rsidR="00686A1A" w:rsidRDefault="00686A1A" w:rsidP="00E26A90">
      <w:pPr>
        <w:spacing w:after="0"/>
      </w:pPr>
      <w:r>
        <w:separator/>
      </w:r>
    </w:p>
  </w:endnote>
  <w:endnote w:type="continuationSeparator" w:id="0">
    <w:p w14:paraId="3F031E65" w14:textId="77777777" w:rsidR="00686A1A" w:rsidRDefault="00686A1A"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C6C86" w14:textId="77777777" w:rsidR="00686A1A" w:rsidRDefault="00686A1A" w:rsidP="00E26A90">
      <w:pPr>
        <w:spacing w:after="0"/>
      </w:pPr>
      <w:r>
        <w:separator/>
      </w:r>
    </w:p>
  </w:footnote>
  <w:footnote w:type="continuationSeparator" w:id="0">
    <w:p w14:paraId="16FB6ECB" w14:textId="77777777" w:rsidR="00686A1A" w:rsidRDefault="00686A1A"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Rialachán (AE) 2017/2402 ó Pharlaimint na hEorpa agus ón gComhairle an 12 Nollaig 2017 lena leagtar síos creat ginearálta maidir le hurrúsú agus lena gcruthaítear creat sonrach maidir le hurrúsú simplí trédhearcach caighdeánaithe, agus lena leasaítear Treoir 2009/65/CE, Treoir 2009/138/CE agus Treoir 2011/61/AE, agus Rialachán (CE) 1060/2009 agus Rialachán (AE) Uimh. 648/2012 (IO L 347, 28.12.2017, lch.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Ní cuid de ghrúpa iad ‘institiúidí neamhspleácha’, ná ní chomhdhlúthaíonn siad iad féin sa tír chéanna mar a bhfuil siad faoi réir ceanglais cistí dílse.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52E3D"/>
    <w:rsid w:val="001B2467"/>
    <w:rsid w:val="002020EE"/>
    <w:rsid w:val="00241455"/>
    <w:rsid w:val="003A06D5"/>
    <w:rsid w:val="003E7539"/>
    <w:rsid w:val="005754CB"/>
    <w:rsid w:val="005B58D3"/>
    <w:rsid w:val="005F3FB0"/>
    <w:rsid w:val="00631623"/>
    <w:rsid w:val="006573B5"/>
    <w:rsid w:val="00686A1A"/>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ga-I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ga-IE"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9624DF2-DD71-4D05-8684-C39F1B024F1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12858</Words>
  <Characters>74836</Characters>
  <Application>Microsoft Office Word</Application>
  <DocSecurity>0</DocSecurity>
  <Lines>2201</Lines>
  <Paragraphs>894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2025-01-24T18:13:28Z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458756e1-aeb0-4463-a258-398f8b113fb2</vt:lpwstr>
  </property>
  <property fmtid="{D5CDD505-2E9C-101B-9397-08002B2CF9AE}" pid="10" name="MSIP_Label_6bd9ddd1-4d20-43f6-abfa-fc3c07406f94_ContentBits">
    <vt:lpwstr>0</vt:lpwstr>
  </property>
</Properties>
</file>