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25433C" w:rsidRDefault="00003310" w:rsidP="00003310">
      <w:pPr>
        <w:jc w:val="center"/>
        <w:rPr>
          <w:rFonts w:asciiTheme="majorBidi" w:hAnsiTheme="majorBidi" w:cstheme="majorBidi"/>
          <w:sz w:val="24"/>
        </w:rPr>
      </w:pPr>
      <w:r w:rsidRPr="0025433C">
        <w:rPr>
          <w:rFonts w:asciiTheme="majorBidi" w:hAnsiTheme="majorBidi"/>
          <w:sz w:val="24"/>
        </w:rPr>
        <w:t>DE</w:t>
      </w:r>
    </w:p>
    <w:p w14:paraId="15E4241A" w14:textId="77777777" w:rsidR="00003310" w:rsidRPr="0025433C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25433C" w:rsidRDefault="00003310" w:rsidP="00003310">
      <w:pPr>
        <w:jc w:val="center"/>
        <w:rPr>
          <w:rFonts w:asciiTheme="majorBidi" w:hAnsiTheme="majorBidi" w:cstheme="majorBidi"/>
          <w:sz w:val="24"/>
        </w:rPr>
      </w:pPr>
      <w:r w:rsidRPr="0025433C">
        <w:rPr>
          <w:rFonts w:asciiTheme="majorBidi" w:hAnsiTheme="majorBidi"/>
          <w:sz w:val="24"/>
        </w:rPr>
        <w:t>ANHANG II</w:t>
      </w:r>
    </w:p>
    <w:p w14:paraId="60C0D3D0" w14:textId="77777777" w:rsidR="00003310" w:rsidRPr="0025433C" w:rsidRDefault="00003310" w:rsidP="00003310">
      <w:pPr>
        <w:jc w:val="center"/>
        <w:rPr>
          <w:rFonts w:asciiTheme="majorBidi" w:hAnsiTheme="majorBidi" w:cstheme="majorBidi"/>
          <w:sz w:val="24"/>
        </w:rPr>
      </w:pPr>
      <w:r w:rsidRPr="0025433C">
        <w:rPr>
          <w:rFonts w:asciiTheme="majorBidi" w:hAnsiTheme="majorBidi"/>
          <w:sz w:val="24"/>
        </w:rPr>
        <w:t>„ANHANG II</w:t>
      </w:r>
    </w:p>
    <w:p w14:paraId="608AAB5A" w14:textId="77777777" w:rsidR="00003310" w:rsidRPr="0025433C" w:rsidRDefault="00003310" w:rsidP="00003310">
      <w:pPr>
        <w:jc w:val="center"/>
        <w:rPr>
          <w:rFonts w:asciiTheme="majorBidi" w:hAnsiTheme="majorBidi" w:cstheme="majorBidi"/>
          <w:b/>
          <w:sz w:val="24"/>
        </w:rPr>
      </w:pPr>
      <w:r w:rsidRPr="0025433C">
        <w:rPr>
          <w:rFonts w:asciiTheme="majorBidi" w:hAnsiTheme="majorBidi"/>
          <w:b/>
          <w:sz w:val="24"/>
        </w:rPr>
        <w:t>ERLÄUTERUNGEN ZU DEN MELDUNGEN ÜBER EIGENMITTEL UND EIGENMITTELANFORDERUNGEN</w:t>
      </w:r>
    </w:p>
    <w:p w14:paraId="42DC7EE7" w14:textId="77777777" w:rsidR="00003310" w:rsidRPr="0025433C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25433C" w:rsidRDefault="00003310" w:rsidP="00003310">
      <w:pPr>
        <w:pStyle w:val="InstructionsText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Inhaltsverzeichnis</w:t>
      </w:r>
    </w:p>
    <w:p w14:paraId="70895CD6" w14:textId="77777777" w:rsidR="00BC0C32" w:rsidRPr="0025433C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TEIL I: ALLGEMEINE ERLÄUTERUNGEN</w:t>
      </w:r>
    </w:p>
    <w:p w14:paraId="661AAEB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</w:t>
      </w:r>
      <w:r w:rsidRPr="0025433C">
        <w:tab/>
      </w:r>
      <w:r w:rsidRPr="0025433C">
        <w:rPr>
          <w:rFonts w:asciiTheme="majorBidi" w:hAnsiTheme="majorBidi"/>
          <w:sz w:val="20"/>
        </w:rPr>
        <w:t>AUFBAU UND KONVENTIONEN</w:t>
      </w:r>
    </w:p>
    <w:p w14:paraId="28AE69FE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1.1.</w:t>
      </w:r>
      <w:r w:rsidRPr="0025433C">
        <w:tab/>
      </w:r>
      <w:r w:rsidRPr="0025433C">
        <w:rPr>
          <w:rFonts w:asciiTheme="majorBidi" w:hAnsiTheme="majorBidi"/>
          <w:sz w:val="20"/>
        </w:rPr>
        <w:t>AUFBAU</w:t>
      </w:r>
    </w:p>
    <w:p w14:paraId="46250D3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1.2.</w:t>
      </w:r>
      <w:r w:rsidRPr="0025433C">
        <w:tab/>
      </w:r>
      <w:r w:rsidRPr="0025433C">
        <w:rPr>
          <w:rFonts w:asciiTheme="majorBidi" w:hAnsiTheme="majorBidi"/>
          <w:sz w:val="20"/>
        </w:rPr>
        <w:t>NUMMERIERUNGSKONVENTION</w:t>
      </w:r>
    </w:p>
    <w:p w14:paraId="1679C071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1.3.</w:t>
      </w:r>
      <w:r w:rsidRPr="0025433C">
        <w:tab/>
      </w:r>
      <w:r w:rsidRPr="0025433C">
        <w:rPr>
          <w:rFonts w:asciiTheme="majorBidi" w:hAnsiTheme="majorBidi"/>
          <w:sz w:val="20"/>
        </w:rPr>
        <w:t>VORZEICHENKONVENTION</w:t>
      </w:r>
    </w:p>
    <w:p w14:paraId="57D87C6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TEIL II: ERLÄUTERUNGEN ZU DEN EINZELNEN MELDEBÖGEN</w:t>
      </w:r>
    </w:p>
    <w:p w14:paraId="27285A19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ANGEMESSENHEIT DER EIGENKAPITALAUSSTATTUNG (‚CA‘) </w:t>
      </w:r>
    </w:p>
    <w:p w14:paraId="5215482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57DB63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01.00 – EIGENMITTEL (CA1) </w:t>
      </w:r>
    </w:p>
    <w:p w14:paraId="12C34E3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1.2.1.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99C7AB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02.00 – EIGENMITTELANFORDERUNGEN (CA2) </w:t>
      </w:r>
    </w:p>
    <w:p w14:paraId="331C4CB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1.3.1.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FB7F5F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1.4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03.00 – KAPITALQUOTEN UND KAPITALISIERUNGEN (CA3) </w:t>
      </w:r>
    </w:p>
    <w:p w14:paraId="2F63539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1.4.1.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08A289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1.5.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04.00 – ZUSATZINFORMATIONEN (CA4) </w:t>
      </w:r>
    </w:p>
    <w:p w14:paraId="1F44CC5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1.5.1.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D5F7C52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1.6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ÜBERGANGSBESTIMMUNGEN UND UNTER BESTANDSSCHUTZ STEHENDE INSTRUMENTE: INSTRUMENTE, DIE KEINE STAATLICHEN BEIHILFEN DARSTELLEN (CA5) </w:t>
      </w:r>
    </w:p>
    <w:p w14:paraId="43312C6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1.6.1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50816AB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1.6.2.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05.01 – ÜBERGANGSBESTIMMUNGEN (CA5.1) </w:t>
      </w:r>
    </w:p>
    <w:p w14:paraId="0FE805F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1.6.2.1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33A7906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1.6.3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05.02 – BESTANDSGESCHÜTZTE INSTRUMENTE: INSTRUMENTE, DIE KEINE STAATLICHEN BEIHILFEN DARSTELLEN (CA5.2) </w:t>
      </w:r>
    </w:p>
    <w:p w14:paraId="0541CB4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1.6.3.1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48200C1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GRUPPENSOLVABILITÄT: ANGABEN ZU GRUPPENANGEHÖRIGEN UNTERNEHMEN (GS) </w:t>
      </w:r>
    </w:p>
    <w:p w14:paraId="107C385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lastRenderedPageBreak/>
        <w:t>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0889B8E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2.2.</w:t>
      </w:r>
      <w:r w:rsidRPr="0025433C">
        <w:tab/>
      </w:r>
      <w:r w:rsidRPr="0025433C">
        <w:rPr>
          <w:rFonts w:asciiTheme="majorBidi" w:hAnsiTheme="majorBidi"/>
          <w:sz w:val="20"/>
        </w:rPr>
        <w:t>DETAILLIERTE ANGABEN ZUR SOLVABILITÄT DER GRUPPE</w:t>
      </w:r>
    </w:p>
    <w:p w14:paraId="2687F760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2.3.</w:t>
      </w:r>
      <w:r w:rsidRPr="0025433C">
        <w:tab/>
      </w:r>
      <w:r w:rsidRPr="0025433C">
        <w:rPr>
          <w:rFonts w:asciiTheme="majorBidi" w:hAnsiTheme="majorBidi"/>
          <w:sz w:val="20"/>
        </w:rPr>
        <w:t>ANGABEN ZU DEN BEITRÄGEN DER EINZELNEN UNTERNEHMEN ZUR SOLVABILITÄT DER GRUPPE</w:t>
      </w:r>
    </w:p>
    <w:p w14:paraId="4929D5D9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2.4.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06.01 – GRUPPENSOLVABILITÄT: ANGABEN ZU GRUPPENANGEHÖRIGEN UNTERNEHMEN – SUMME (SUMME GS) </w:t>
      </w:r>
    </w:p>
    <w:p w14:paraId="64FDB39B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2.5.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06.02 – GRUPPENSOLVABILITÄT: ANGABEN ZU GRUPPENANGEHÖRIGEN UNTERNEHMEN (GS) </w:t>
      </w:r>
    </w:p>
    <w:p w14:paraId="73E02FF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</w:t>
      </w:r>
      <w:r w:rsidRPr="0025433C">
        <w:tab/>
      </w:r>
      <w:r w:rsidRPr="0025433C">
        <w:rPr>
          <w:rFonts w:asciiTheme="majorBidi" w:hAnsiTheme="majorBidi"/>
          <w:sz w:val="20"/>
        </w:rPr>
        <w:t>MELDEBÖGEN ZUM KREDITRISIKO</w:t>
      </w:r>
    </w:p>
    <w:p w14:paraId="7A9D6E8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04A5E951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3.1.1.</w:t>
      </w:r>
      <w:r w:rsidRPr="0025433C">
        <w:tab/>
      </w:r>
      <w:r w:rsidRPr="0025433C">
        <w:rPr>
          <w:rFonts w:asciiTheme="majorBidi" w:hAnsiTheme="majorBidi"/>
          <w:sz w:val="20"/>
        </w:rPr>
        <w:t>MELDUNG VON KREDITRISIKOMINDERUNGSTECHNIKEN MIT SUBSTITUTIONSEFFEKT</w:t>
      </w:r>
    </w:p>
    <w:p w14:paraId="6BF48BC9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3.1.2.</w:t>
      </w:r>
      <w:r w:rsidRPr="0025433C">
        <w:tab/>
      </w:r>
      <w:r w:rsidRPr="0025433C">
        <w:rPr>
          <w:rFonts w:asciiTheme="majorBidi" w:hAnsiTheme="majorBidi"/>
          <w:sz w:val="20"/>
        </w:rPr>
        <w:t>MELDUNG DES GEGENPARTEIAUSFALLRISIKOS</w:t>
      </w:r>
    </w:p>
    <w:p w14:paraId="1FA3832D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07.00 – KREDIT- UND GEGENPARTEIAUSFALLRISIKEN SOWIE VORLEISTUNGEN: STANDARDANSATZ ZUR BESTIMMUNG DER EIGENKAPITALANFORDERUNGEN (CR SA) </w:t>
      </w:r>
    </w:p>
    <w:p w14:paraId="5EEC113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15D49D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3.2.2.</w:t>
      </w:r>
      <w:r w:rsidRPr="0025433C">
        <w:tab/>
      </w:r>
      <w:r w:rsidRPr="0025433C">
        <w:rPr>
          <w:rFonts w:asciiTheme="majorBidi" w:hAnsiTheme="majorBidi"/>
          <w:sz w:val="20"/>
        </w:rPr>
        <w:t>GELTUNGSUMFANG DES MELDEBOGENS ZUM KREDITRISIKO CR SA</w:t>
      </w:r>
    </w:p>
    <w:p w14:paraId="12E6954D" w14:textId="67A01BC9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3.2.3.</w:t>
      </w:r>
      <w:r w:rsidRPr="0025433C">
        <w:tab/>
      </w:r>
      <w:r w:rsidRPr="0025433C">
        <w:rPr>
          <w:rFonts w:asciiTheme="majorBidi" w:hAnsiTheme="majorBidi"/>
          <w:sz w:val="20"/>
        </w:rPr>
        <w:t>ZUWEISUNG DER RISIKOPOSITIONEN ZU RISIKOPOSITIONSKLASSEN NACH DEM STANDARDANSATZ</w:t>
      </w:r>
    </w:p>
    <w:p w14:paraId="32FA566F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3.2.4.</w:t>
      </w:r>
      <w:r w:rsidRPr="0025433C">
        <w:tab/>
      </w:r>
      <w:r w:rsidRPr="0025433C">
        <w:rPr>
          <w:rFonts w:asciiTheme="majorBidi" w:hAnsiTheme="majorBidi"/>
          <w:sz w:val="20"/>
        </w:rPr>
        <w:t>KLARSTELLUNGEN ZUM GELTUNGSUMFANG BESTIMMTER IN ARTIKEL 112 DER VERORDNUNG (EU) Nr. 575/2013 GENANNTER RISIKOPOSITIONSKLASSEN</w:t>
      </w:r>
    </w:p>
    <w:p w14:paraId="48D2A149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3.2.4.1.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RISIKOPOSITIONSKLASSE ‚INSTITUTE‘ </w:t>
      </w:r>
    </w:p>
    <w:p w14:paraId="538259D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3.2.4.2.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RISIKOPOSITIONSKLASSE ‚GEDECKTE SCHULDVERSCHREIBUNGEN‘ </w:t>
      </w:r>
    </w:p>
    <w:p w14:paraId="4ABE662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3.2.4.3.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RISIKOPOSITIONSKLASSE ‚ORGANISMEN FÜR GEMEINSAME ANLAGEN‘ </w:t>
      </w:r>
    </w:p>
    <w:p w14:paraId="0561AB1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3.2.5.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0EEDE27C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KREDIT- UND GEGENPARTEIAUSFALLRISIKO SOWIE VORLEISTUNGEN: IRB-ANSATZ FÜR EIGENMITTELANFORDERUNGEN (CR IRB) </w:t>
      </w:r>
    </w:p>
    <w:p w14:paraId="571660F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3.3.1.</w:t>
      </w:r>
      <w:r w:rsidRPr="0025433C">
        <w:tab/>
      </w:r>
      <w:r w:rsidRPr="0025433C">
        <w:rPr>
          <w:rFonts w:asciiTheme="majorBidi" w:hAnsiTheme="majorBidi"/>
          <w:sz w:val="20"/>
        </w:rPr>
        <w:t>GELTUNGSUMFANG DES MELDEBOGENS CR IRB</w:t>
      </w:r>
    </w:p>
    <w:p w14:paraId="1092231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3.3.2.</w:t>
      </w:r>
      <w:r w:rsidRPr="0025433C">
        <w:tab/>
      </w:r>
      <w:r w:rsidRPr="0025433C">
        <w:rPr>
          <w:rFonts w:asciiTheme="majorBidi" w:hAnsiTheme="majorBidi"/>
          <w:sz w:val="20"/>
        </w:rPr>
        <w:t>AUFSCHLÜSSELUNG DES MELDEBOGENS CR IRB</w:t>
      </w:r>
    </w:p>
    <w:p w14:paraId="51582661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3.3.3.1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3DC543F6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3.3.4.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08.02 – KREDIT- UND GEGENPARTEIAUSFALLRISIKEN SOWIE VORLEISTUNGEN: IRB-ANSATZ ZUR BESTIMMUNG DER EIGENKAPITALANFORDERUNGEN: AUFSCHLÜSSELUNG NACH RATINGSTUFEN ODER RISIKOPOOLS VON SCHULDNERN (CR IRB 2) </w:t>
      </w:r>
    </w:p>
    <w:p w14:paraId="53CCFD59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3.3.1.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08.03 – KREDITRISIKO UND VORLEISTUNGEN: IRB-ANSATZ ZUR BESTIMMUNG DER EIGENKAPITALANFORDERUNGEN (AUFSCHLÜSSELUNG NACH PD-BANDBREITE (CR IRB 3)) </w:t>
      </w:r>
    </w:p>
    <w:p w14:paraId="7A20160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3.3.1.1.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3BF9C41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3.3.1.2.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77E46D02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lastRenderedPageBreak/>
        <w:t>3.3.2.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08.04 – KREDITRISIKO UND VORLEISTUNGEN: IRB-ANSATZ ZUR BESTIMMUNG DER EIGENKAPITALANFORDERUNGEN (RWEA-FLUSSRECHNUNGEN (CR IRB 4)) </w:t>
      </w:r>
    </w:p>
    <w:p w14:paraId="1136F0F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03C63A4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3.3.2.2.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6B65868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08.05 – KREDITRISIKO UND VORLEISTUNGEN: IRB-ANSATZ ZUR BESTIMMUNG DER EIGENKAPITALANFORDERUNGEN (PD-RÜCKVERGLEICHE (CR IRB 5)) </w:t>
      </w:r>
    </w:p>
    <w:p w14:paraId="7C6A8AD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E5D13A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3.3.3.2.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73C7B453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3.3.4.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08.05.1 – KREDITRISIKO UND VORLEISTUNGEN: IRB-ANSATZ ZUR BESTIMMUNG DER EIGENKAPITALANFORDERUNGEN: PD-RÜCKVERGLEICHE GEMÄSS ARTIKEL 180 ABSATZ 1 BUCHSTABE F DER VERORDNUNG (EU) Nr. 575/2013 (CR IRB 5B) </w:t>
      </w:r>
    </w:p>
    <w:p w14:paraId="4F5DB901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3.3.4.1.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98F4815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3.3.5.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08.06 – KREDITRISIKO UND VORLEISTUNGEN: IRB-ANSATZ ZUR BESTIMMUNG DER EIGENKAPITALANFORDERUNGEN (ZUORDNUNG VON SPEZIALFINANZIERUNGEN (CR IRB 6)) </w:t>
      </w:r>
    </w:p>
    <w:p w14:paraId="68CD3CF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3.3.5.1.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4A8F32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3.3.5.2.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0084D8B8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3.3.6.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08.07 – KREDITRISIKO UND VORLEISTUNGEN: IRB-ANSATZ ZUR BESTIMMUNG DER EIGENKAPITALANFORDERUNGEN (ANWENDUNGSBEREICH VON IRB- UND SA-ANSÄTZEN (CR IRB 7)) </w:t>
      </w:r>
    </w:p>
    <w:p w14:paraId="037AAB2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3.3.6.1.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404429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3.3.6.2.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027AACBF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</w:t>
      </w:r>
      <w:r w:rsidRPr="0025433C">
        <w:tab/>
      </w:r>
      <w:r w:rsidRPr="0025433C">
        <w:rPr>
          <w:rFonts w:asciiTheme="majorBidi" w:hAnsiTheme="majorBidi"/>
          <w:sz w:val="20"/>
        </w:rPr>
        <w:t>KREDIT- UND GEGENPARTEIAUSFALLRISIKO SOWIE VORLEISTUNGEN: ANGABEN MIT GEOGRAFISCHER AUFGLIEDERUNG</w:t>
      </w:r>
    </w:p>
    <w:p w14:paraId="3741DD75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3.4.1.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09.01 – GEOGRAFISCHE AUFGLIEDERUNG DER RISIKOPOSITIONEN NACH SITZLAND DES SCHULDNERS: SA-RISIKOPOSITIONEN (CR GB 1) </w:t>
      </w:r>
    </w:p>
    <w:p w14:paraId="74D994C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3.4.1.1.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A2D469F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09.02 – GEOGRAFISCHE AUFGLIEDERUNG DER RISIKOPOSITIONEN NACH SITZLAND DES SCHULDNERS: IRB-RISIKOPOSITIONEN (CR GB 2) </w:t>
      </w:r>
    </w:p>
    <w:p w14:paraId="15FB21BF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3.4.2.1.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E4A6A03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09.04 – AUFSCHLÜSSELUNG DER FÜR DIE BERECHNUNG DES ANTIZYKLISCHEN KAPITALPUFFERS NACH LÄNDERN UND DER QUOTE DES INSTITUTSSPEZIFISCHEN ANTIZYKLISCHEN KAPITALPUFFERS WESENTLICHEN KREDITRISIKOPOSITIONEN (CCB) </w:t>
      </w:r>
    </w:p>
    <w:p w14:paraId="67D1D5D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7804C63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3.4.3.2.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A35C9AE" w14:textId="12D8F698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3.5A.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C 10.00 – KREDIT- UND GEGENPARTEIAUSFALLRISIKEN SOWIE VORLEISTUNGEN: IRB-RISIKOPOSITIONEN, FÜR DIE EINE EIGENMITTELUNTERGRENZE (OUTPUT FLOOR) GILT</w:t>
      </w:r>
    </w:p>
    <w:p w14:paraId="2C8708F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3.5A.1. ALLGEMEINE BEMERKUNGEN</w:t>
      </w:r>
    </w:p>
    <w:p w14:paraId="537046D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3.5A.2. ERLÄUTERUNGEN ZU BESTIMMTEN POSITIONEN</w:t>
      </w:r>
    </w:p>
    <w:p w14:paraId="1559C4A0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lastRenderedPageBreak/>
        <w:t>3.5.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 10.01 UND C 10.02 – BETEILIGUNGSPOSITIONEN NACH DEM AUF INTERNEN RATINGS BERUHENDEN ANSATZ (CR EQU IRB 1 UND CR EQU IRB 2) </w:t>
      </w:r>
    </w:p>
    <w:p w14:paraId="2FD8FBE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3.5.1.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3244953A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3.5.2.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ERLÄUTERUNGEN ZU BESTIMMTEN POSITIONEN (GILT SOWOHL FÜR CR EQU IRB 1 ALS AUCH FÜR CR EQU IRB 2) </w:t>
      </w:r>
    </w:p>
    <w:p w14:paraId="0C1D906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3.6.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11.00 – ABWICKLUNGS- BZW. LIEFERRISIKO (CR SETT) </w:t>
      </w:r>
    </w:p>
    <w:p w14:paraId="6539EAC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3.6.1.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79F0BDF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3.6.2.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3B3A4B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3.7.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13.01 – KREDITRISIKO – VERBRIEFUNGEN (CR SEC) </w:t>
      </w:r>
    </w:p>
    <w:p w14:paraId="3DC3A69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3.7.1.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5DA2CE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3.7.2.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DFA133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3.8.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DETAILLIERTE ANGABEN ZU VERBRIEFUNGEN (SEC DETAILS) </w:t>
      </w:r>
    </w:p>
    <w:p w14:paraId="2DBF97F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3.8.1.</w:t>
      </w:r>
      <w:r w:rsidRPr="0025433C">
        <w:tab/>
      </w:r>
      <w:r w:rsidRPr="0025433C">
        <w:rPr>
          <w:rFonts w:asciiTheme="majorBidi" w:hAnsiTheme="majorBidi"/>
          <w:sz w:val="20"/>
        </w:rPr>
        <w:t>GELTUNGSUMFANG DES MELDEBOGENS SEC DETAILS</w:t>
      </w:r>
    </w:p>
    <w:p w14:paraId="2A34E1AD" w14:textId="3F7FB1F0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3.8.2.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AUFSCHLÜSSELUNG DES MELDEBOGENS SEC DETAILS</w:t>
      </w:r>
    </w:p>
    <w:p w14:paraId="49C27D9E" w14:textId="6CAD2DF8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3.8.3.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C 14.00 – DETAILLIERTE ANGABEN ZU VERBRIEFUNGEN (SEC Details) </w:t>
      </w:r>
    </w:p>
    <w:p w14:paraId="4559F31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3.8.4.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14.01 – DETAILLIERTE ANGABEN ZU VERBRIEFUNGEN (SEC DETAILS 2) </w:t>
      </w:r>
    </w:p>
    <w:p w14:paraId="26CF60E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</w:t>
      </w:r>
      <w:r w:rsidRPr="0025433C">
        <w:tab/>
      </w:r>
      <w:r w:rsidRPr="0025433C">
        <w:rPr>
          <w:rFonts w:asciiTheme="majorBidi" w:hAnsiTheme="majorBidi"/>
          <w:sz w:val="20"/>
        </w:rPr>
        <w:t>GEGENPARTEIAUSFALLRISIKO</w:t>
      </w:r>
    </w:p>
    <w:p w14:paraId="7CC5ED9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3.9.1.</w:t>
      </w:r>
      <w:r w:rsidRPr="0025433C">
        <w:tab/>
      </w:r>
      <w:r w:rsidRPr="0025433C">
        <w:rPr>
          <w:rFonts w:asciiTheme="majorBidi" w:hAnsiTheme="majorBidi"/>
          <w:sz w:val="20"/>
        </w:rPr>
        <w:t>UMFANG DER MELDEBÖGEN ZUM GEGENPARTEIAUSFALLRISIKO</w:t>
      </w:r>
    </w:p>
    <w:p w14:paraId="50397C7F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3.9.2.</w:t>
      </w:r>
      <w:r w:rsidRPr="0025433C">
        <w:tab/>
      </w:r>
      <w:r w:rsidRPr="0025433C">
        <w:rPr>
          <w:rFonts w:asciiTheme="majorBidi" w:hAnsiTheme="majorBidi"/>
          <w:sz w:val="20"/>
        </w:rPr>
        <w:t>C 34.01 – UMFANG DES DERIVATGESCHÄFTS</w:t>
      </w:r>
    </w:p>
    <w:p w14:paraId="4869F3A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3B5D7A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3.9.2.2.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21F67D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3.9.3.</w:t>
      </w:r>
      <w:r w:rsidRPr="0025433C">
        <w:tab/>
      </w:r>
      <w:r w:rsidRPr="0025433C">
        <w:rPr>
          <w:rFonts w:asciiTheme="majorBidi" w:hAnsiTheme="majorBidi"/>
          <w:sz w:val="20"/>
        </w:rPr>
        <w:t>C 34.02 – CCR-RISIKOPOSITIONEN NACH ANSATZ</w:t>
      </w:r>
    </w:p>
    <w:p w14:paraId="59E000E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018F1DD9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3.9.3.2.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A78BA56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3.9.4.</w:t>
      </w:r>
      <w:r w:rsidRPr="0025433C">
        <w:tab/>
      </w:r>
      <w:r w:rsidRPr="0025433C">
        <w:rPr>
          <w:rFonts w:asciiTheme="majorBidi" w:hAnsiTheme="majorBidi"/>
          <w:sz w:val="20"/>
        </w:rPr>
        <w:t>C 34.03 – CCR-RISIKOPOSITIONEN, BEI DENEN NACH STANDARDANSÄTZEN VERFAHREN WIRD: SA-CCR ODER VEREINFACHTER SA-CCR</w:t>
      </w:r>
    </w:p>
    <w:p w14:paraId="3491716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3.9.4.1.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4AB83A8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3.9.4.2.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8AA6380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3.9.5.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34.04 – CCR-RISIKOPOSITIONEN, BEI DENEN NACH DER URSPRUNGSRISIKOMETHODE (OEM) VERFAHREN WIRD </w:t>
      </w:r>
    </w:p>
    <w:p w14:paraId="5BB7F52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3.9.5.1.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3B448FDE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3.9.6.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34.05 – CCR-RISIKOPOSITIONEN, BEI DENEN NACH DER AUF EINEM INTERNEN MODELL BERUHENDEN METHODE (IMM) VERFAHREN WIRD </w:t>
      </w:r>
    </w:p>
    <w:p w14:paraId="5050020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3.9.6.1.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86B94B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3.9.7.</w:t>
      </w:r>
      <w:r w:rsidRPr="0025433C">
        <w:tab/>
      </w:r>
      <w:r w:rsidRPr="0025433C">
        <w:rPr>
          <w:rFonts w:asciiTheme="majorBidi" w:hAnsiTheme="majorBidi"/>
          <w:sz w:val="20"/>
        </w:rPr>
        <w:t>C 34.06 – DIE ZWANZIG BEDEUTENDSTEN GEGENPARTEIEN</w:t>
      </w:r>
    </w:p>
    <w:p w14:paraId="42355B8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3.9.7.1.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405B14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lastRenderedPageBreak/>
        <w:t>3.9.7.2.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396E92BC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3.9.8.</w:t>
      </w:r>
      <w:r w:rsidRPr="0025433C">
        <w:tab/>
      </w:r>
      <w:r w:rsidRPr="0025433C">
        <w:rPr>
          <w:rFonts w:asciiTheme="majorBidi" w:hAnsiTheme="majorBidi"/>
          <w:sz w:val="20"/>
        </w:rPr>
        <w:t>C 34.07 – IRB-ANSATZ – CCR-RISIKOPOSITIONEN NACH RISIKOPOSITIONSKLASSE UND PD-SKALA</w:t>
      </w:r>
    </w:p>
    <w:p w14:paraId="62001B0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3.9.8.1.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3918ADA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3.9.8.2.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02CA0981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3.9.9.</w:t>
      </w:r>
      <w:r w:rsidRPr="0025433C">
        <w:tab/>
      </w:r>
      <w:r w:rsidRPr="0025433C">
        <w:rPr>
          <w:rFonts w:asciiTheme="majorBidi" w:hAnsiTheme="majorBidi"/>
          <w:sz w:val="20"/>
        </w:rPr>
        <w:t>C 34.08 – ZUSAMMENSETZUNG DER SICHERHEITEN FÜR CCR-RISIKOPOSITIONEN</w:t>
      </w:r>
    </w:p>
    <w:p w14:paraId="1BDB51B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3.9.9.1.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47D98CC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3.9.9.2.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7FFA95D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3.9.10.</w:t>
      </w:r>
      <w:r w:rsidRPr="0025433C">
        <w:tab/>
      </w:r>
      <w:r w:rsidRPr="0025433C">
        <w:rPr>
          <w:rFonts w:asciiTheme="majorBidi" w:hAnsiTheme="majorBidi"/>
          <w:sz w:val="20"/>
        </w:rPr>
        <w:t>C 34.09 – RISIKOPOSITIONEN IN KREDITDERIVATEN</w:t>
      </w:r>
    </w:p>
    <w:p w14:paraId="4B535A5B" w14:textId="2CF02CB0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3.9.10.1.</w:t>
      </w:r>
      <w:r w:rsid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7BE3BA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3.9.11.</w:t>
      </w:r>
      <w:r w:rsidRPr="0025433C">
        <w:tab/>
      </w:r>
      <w:r w:rsidRPr="0025433C">
        <w:rPr>
          <w:rFonts w:asciiTheme="majorBidi" w:hAnsiTheme="majorBidi"/>
          <w:sz w:val="20"/>
        </w:rPr>
        <w:t>C 34.10 – RISIKOPOSITIONEN GEGENÜBER ZENTRALEN GEGENPARTEIEN</w:t>
      </w:r>
    </w:p>
    <w:p w14:paraId="3802A93E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3.9.11.1.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59237EDF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3.9.11.2.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41C71890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3.9.12.</w:t>
      </w:r>
      <w:r w:rsidRPr="0025433C">
        <w:tab/>
      </w:r>
      <w:r w:rsidRPr="0025433C">
        <w:rPr>
          <w:rFonts w:asciiTheme="majorBidi" w:hAnsiTheme="majorBidi"/>
          <w:sz w:val="20"/>
        </w:rPr>
        <w:t>C 34.11 – FLUSSRECHNUNGEN FÜR RISIKOGEWICHTETE POSITIONSBETRÄGE (RWEA) VON CCR-RISIKOPOSITIONEN NACH DER IMM</w:t>
      </w:r>
    </w:p>
    <w:p w14:paraId="0E06273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D1AB60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3.9.12.2.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4C616F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</w:t>
      </w:r>
      <w:r w:rsidRPr="0025433C">
        <w:tab/>
      </w:r>
      <w:r w:rsidRPr="0025433C">
        <w:rPr>
          <w:rFonts w:asciiTheme="majorBidi" w:hAnsiTheme="majorBidi"/>
          <w:sz w:val="20"/>
        </w:rPr>
        <w:t>MELDEBÖGEN ZUM OPERATIONELLEN RISIKO</w:t>
      </w:r>
    </w:p>
    <w:p w14:paraId="5E6BD533" w14:textId="14EF36C1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4.1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16.00 – OPERATIONELLES RISIKO (OPR) </w:t>
      </w:r>
    </w:p>
    <w:p w14:paraId="69DEECB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4.1.1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82B93C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4.1.2.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AD1F438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OPERATIONELLES RISIKO: DETAILLIERTE ANGABEN ZU DEN VERLUSTEN DES LETZTEN JAHRES (OPR DETAILS) </w:t>
      </w:r>
    </w:p>
    <w:p w14:paraId="5392CC8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41BD3C1F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17.01: VERLUSTE AUFGRUND VON OPERATIONELLEN RISIKEN UND RÜCKFLÜSSE DES LETZTEN JAHRES NACH GESCHÄFTSFELDERN UND VERLUSTEREIGNISKATEGORIEN (OPR DETAILS 1) </w:t>
      </w:r>
    </w:p>
    <w:p w14:paraId="13B84C61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056D3E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4.2.2.2.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3E0CBE6E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17.02: OPERATIONELLES RISIKO: DETAILLIERTE ANGABEN ZU DEN GRÖSSTEN VERLUSTEREIGNISSEN DES LETZTEN JAHRES (OPR DETAILS 2) </w:t>
      </w:r>
    </w:p>
    <w:p w14:paraId="09F2568F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30EF623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4.2.3.2.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A97057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</w:t>
      </w:r>
      <w:r w:rsidRPr="0025433C">
        <w:tab/>
      </w:r>
      <w:r w:rsidRPr="0025433C">
        <w:rPr>
          <w:rFonts w:asciiTheme="majorBidi" w:hAnsiTheme="majorBidi"/>
          <w:sz w:val="20"/>
        </w:rPr>
        <w:t>MELDEBÖGEN ZUM MARKTRISIKO</w:t>
      </w:r>
    </w:p>
    <w:p w14:paraId="3EBA4069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5.1.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18.00 – MARKTRISIKO: STANDARDANSATZ FÜR POSITIONSRISIKEN BÖRSENGEHANDELTER SCHULDTITEL (MKR SA TDI) </w:t>
      </w:r>
    </w:p>
    <w:p w14:paraId="0A45D83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5.1.1.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3485325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lastRenderedPageBreak/>
        <w:t>5.1.2.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74E90473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19.00 – MARKTRISIKO: STANDARDANSATZ FÜR SPEZIFISCHE RISIKEN IN VERBRIEFUNGEN (MKR SA SEC) </w:t>
      </w:r>
    </w:p>
    <w:p w14:paraId="2A5CAF9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40C9A2A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5.2.2.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271B63D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20.00 – MARKTRISIKO: STANDARDANSATZ FÜR DAS SPEZIFISCHE RISIKO BEI DEM KORRELATIONSHANDELSPORTFOLIO ZUGEWIESENEN POSITIONEN (MKR SA CTP) </w:t>
      </w:r>
    </w:p>
    <w:p w14:paraId="2F69064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6B22632D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5.3.2.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1439495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5.4.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21.00 – MARKTRISIKO: STANDARDANSATZ FÜR POSITIONSRISIKEN BEI AKTIENINSTRUMENTEN (MKR SA EQU) </w:t>
      </w:r>
    </w:p>
    <w:p w14:paraId="38A7ECE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5.4.1.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D37119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5.4.2.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4A98007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5.5.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22.00 – MARKTRISIKO: STANDARDANSÄTZE FÜR DAS FREMDWÄHRUNGSRISIKO (MKR SA FX) </w:t>
      </w:r>
    </w:p>
    <w:p w14:paraId="55A167A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5.5.1.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C126D1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5.5.2.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9EF51F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5.6.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23.00 – MARKTRISIKO: STANDARDANSÄTZE FÜR WARENPOSITIONEN (MKR SA COM) </w:t>
      </w:r>
    </w:p>
    <w:p w14:paraId="4D281EF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5.6.1.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7389FF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5.6.2.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725E272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5.7.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24.00 – INTERNES MARKTRISIKOMODELL (MKR IM) </w:t>
      </w:r>
    </w:p>
    <w:p w14:paraId="21106A7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5.7.1.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0DD04D4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5.7.2.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0B31DA5D" w14:textId="38144349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 xml:space="preserve">5.8. 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C 25.00 – RISIKO EINER ANPASSUNG DER KREDITBEWERTUNG (CVA): </w:t>
      </w:r>
    </w:p>
    <w:p w14:paraId="1292EA6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5.8.1.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936D88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VORSICHTIGE BEWERTUNG (PRUVAL) </w:t>
      </w:r>
    </w:p>
    <w:p w14:paraId="381E1AA6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6.1.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32.01 – VORSICHTIGE BEWERTUNG: ZEITWERTBILANZIERTE VERMÖGENSWERTE UND VERBINDLICHKEITEN (PRUVAL 1) </w:t>
      </w:r>
    </w:p>
    <w:p w14:paraId="75F1171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6.1.1.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3D0F9D7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6.1.2.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B184BB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32.02 – VORSICHTIGE BEWERTUNG: KERNANSATZ (PRUVAL 2) </w:t>
      </w:r>
    </w:p>
    <w:p w14:paraId="0E1DD738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6.2.1.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29D63F1C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6.2.2.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B3FDEC1" w14:textId="7C6611B2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 xml:space="preserve">6.3. 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C 32.03 – VORSICHTIGE BEWERTUNG: AVA FÜR DAS MODELLRISIKO (PRUVAL 3) </w:t>
      </w:r>
    </w:p>
    <w:p w14:paraId="7C5153D2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6.3.1.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5709AAF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6.3.2.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8F042A9" w14:textId="459B0473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lastRenderedPageBreak/>
        <w:t>6.4.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C 32.04 – VORSICHTIGE BEWERTUNG: AVA FÜR KONZENTRIERTE POSITIONEN (PRUVAL 4) </w:t>
      </w:r>
    </w:p>
    <w:p w14:paraId="243A1614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6.4.1.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636DB815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6.4.2.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033BEE0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7.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33.00 – RISIKOPOSITIONEN GEGENÜBER STAATEN (GOV) </w:t>
      </w:r>
    </w:p>
    <w:p w14:paraId="2D272157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7.1.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5136D32F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7.2.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UMFANG DES MELDEBOGENS ÜBER RISIKOPOSITIONEN GEGENÜBER ‚STAATEN‘ </w:t>
      </w:r>
    </w:p>
    <w:p w14:paraId="3F5094FB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7.3.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11703209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VERLUSTDECKUNG BEI NOTLEIDENDEN RISIKOPOSITIONEN (NPE LC) </w:t>
      </w:r>
    </w:p>
    <w:p w14:paraId="183C366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8.1.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58FEAFB4" w14:textId="2BC527F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8.2.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C 35.01 – BERECHNUNG DER ABZÜGE FÜR NOTLEIDENDE RISIKOPOSITIONEN (NPE LC1) </w:t>
      </w:r>
    </w:p>
    <w:p w14:paraId="3DA77A6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8.2.1.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D0EF451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8.3.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35.02 – MINDESTDECKUNGSANFORDERUNGEN UND RISIKOPOSITIONSWERTE NOTLEIDENDER RISIKOPOSITIONEN, AUSGENOMMEN GESTUNDETE RISIKOPOSITIONEN, DIE UNTER ARTIKEL 47C ABSATZ 6 DER VERORDNUNG (EU) NR. 575/2013 FALLEN (NPE LC2) </w:t>
      </w:r>
    </w:p>
    <w:p w14:paraId="21BFA4CA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8.3.1.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5021994C" w14:textId="77777777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8.4.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35.03 – MINDESTDECKUNGSANFORDERUNGEN UND RISIKOPOSITIONSWERTE NOTLEIDENDER GESTUNDETER RISIKOPOSITIONEN, DIE UNTER ARTIKEL 47C ABSATZ 6 DER VERORDNUNG (EU) NR. 575/2013 FALLEN (NPE LC3) </w:t>
      </w:r>
    </w:p>
    <w:p w14:paraId="3402D020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8.4.1.</w:t>
      </w:r>
      <w:r w:rsidRPr="0025433C"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AF73B75" w14:textId="670681D2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 xml:space="preserve">9. 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SCHWELLENWERTE FÜR HANDELSBUCH UND MARKTRISIKO, ABGRENZUNG ZWISCHEN HANDELS- UND ANLAGEBUCH UND UMGLIEDERUNGEN</w:t>
      </w:r>
    </w:p>
    <w:p w14:paraId="29B0DD8F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9.1</w:t>
      </w:r>
      <w:r w:rsidRPr="0025433C">
        <w:tab/>
      </w:r>
      <w:r w:rsidRPr="0025433C">
        <w:rPr>
          <w:rFonts w:asciiTheme="majorBidi" w:hAnsiTheme="majorBidi"/>
          <w:sz w:val="20"/>
        </w:rPr>
        <w:t>C 90.00 SCHWELLENWERTE FÜR HANDELSBUCH UND MARKTRISIKO</w:t>
      </w:r>
    </w:p>
    <w:p w14:paraId="013079B7" w14:textId="03D73B4E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ABGRENZUNG ZWISCHEN HANDELS- UND ANLAGEBUCH </w:t>
      </w:r>
    </w:p>
    <w:p w14:paraId="3BBA0EE3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9.2.1</w:t>
      </w:r>
      <w:r w:rsidRPr="0025433C"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6BD9F726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9.2.2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90.05 – ABGRENZUNG: HANDELSBUCH (BOU1) </w:t>
      </w:r>
    </w:p>
    <w:p w14:paraId="23EB6C8F" w14:textId="7F749C2E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9.2.2.1.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19B07840" w14:textId="753B18E3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9.2.2.2.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20201F9" w14:textId="7777777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9.2.3</w:t>
      </w:r>
      <w:r w:rsidRPr="0025433C">
        <w:tab/>
      </w:r>
      <w:r w:rsidRPr="0025433C">
        <w:rPr>
          <w:rFonts w:asciiTheme="majorBidi" w:hAnsiTheme="majorBidi"/>
          <w:sz w:val="20"/>
        </w:rPr>
        <w:t xml:space="preserve">C 90.06 – ABGRENZUNG: ANLAGEBUCH (BOU2) </w:t>
      </w:r>
    </w:p>
    <w:p w14:paraId="42127550" w14:textId="0821F2C5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9.2.3.1.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592B5F51" w14:textId="3C26C5F2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9.2.3.2.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6FF49DC9" w14:textId="1D0E1E52" w:rsidR="00BC0C32" w:rsidRPr="0025433C" w:rsidRDefault="00BC0C32" w:rsidP="0025433C">
      <w:pPr>
        <w:ind w:left="720" w:hanging="720"/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9.3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 xml:space="preserve">C 24.01 – ABGRENZUNG DES HANDELSBUCHS – UMGLIEDERUNGEN ZWISCHEN DEN BEIDEN BÜCHERN (MOV) </w:t>
      </w:r>
    </w:p>
    <w:p w14:paraId="16560F6C" w14:textId="47DA6F0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10.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C 36.00 – KRYPTOWERT-RISIKOPOSITIONEN</w:t>
      </w:r>
    </w:p>
    <w:p w14:paraId="7E9A6F2F" w14:textId="0104DC27" w:rsidR="00BC0C32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10.1.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ALLGEMEINE BEMERKUNGEN</w:t>
      </w:r>
    </w:p>
    <w:p w14:paraId="4A89C4C3" w14:textId="3A6A337A" w:rsidR="00003310" w:rsidRPr="0025433C" w:rsidRDefault="00BC0C32" w:rsidP="00BC0C32">
      <w:pPr>
        <w:rPr>
          <w:rFonts w:asciiTheme="majorBidi" w:hAnsiTheme="majorBidi" w:cstheme="majorBidi"/>
          <w:sz w:val="20"/>
          <w:szCs w:val="20"/>
        </w:rPr>
      </w:pPr>
      <w:r w:rsidRPr="0025433C">
        <w:rPr>
          <w:rFonts w:asciiTheme="majorBidi" w:hAnsiTheme="majorBidi"/>
          <w:sz w:val="20"/>
        </w:rPr>
        <w:t>10.2.</w:t>
      </w:r>
      <w:r w:rsidR="0025433C">
        <w:rPr>
          <w:rFonts w:asciiTheme="majorBidi" w:hAnsiTheme="majorBidi"/>
          <w:sz w:val="20"/>
        </w:rPr>
        <w:tab/>
      </w:r>
      <w:r w:rsidRPr="0025433C">
        <w:rPr>
          <w:rFonts w:asciiTheme="majorBidi" w:hAnsiTheme="majorBidi"/>
          <w:sz w:val="20"/>
        </w:rPr>
        <w:t>ERLÄUTERUNGEN ZU BESTIMMTEN POSITIONEN</w:t>
      </w:r>
    </w:p>
    <w:p w14:paraId="2E25C7F7" w14:textId="77777777" w:rsidR="00003310" w:rsidRPr="0025433C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25433C" w:rsidRDefault="00B65435" w:rsidP="00B65435">
      <w:pPr>
        <w:pStyle w:val="Heading2"/>
        <w:rPr>
          <w:rFonts w:asciiTheme="majorBidi" w:hAnsiTheme="majorBidi"/>
          <w:color w:val="000000" w:themeColor="text1"/>
          <w:sz w:val="28"/>
          <w:szCs w:val="28"/>
        </w:rPr>
      </w:pPr>
      <w:r w:rsidRPr="0025433C">
        <w:rPr>
          <w:rFonts w:asciiTheme="majorBidi" w:hAnsiTheme="majorBidi"/>
          <w:color w:val="000000" w:themeColor="text1"/>
          <w:sz w:val="28"/>
        </w:rPr>
        <w:t>TEIL I: ALLGEMEINE ERLÄUTERUNGEN</w:t>
      </w:r>
    </w:p>
    <w:p w14:paraId="7A8CC652" w14:textId="77777777" w:rsidR="00B65435" w:rsidRPr="0025433C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Theme="majorBidi" w:hAnsiTheme="majorBidi" w:cstheme="majorBidi"/>
          <w:sz w:val="24"/>
          <w:u w:val="none"/>
        </w:rPr>
      </w:pPr>
      <w:r w:rsidRPr="0025433C">
        <w:rPr>
          <w:rFonts w:asciiTheme="majorBidi" w:hAnsiTheme="majorBidi"/>
          <w:sz w:val="24"/>
          <w:u w:val="none"/>
        </w:rPr>
        <w:t>1.</w:t>
      </w:r>
      <w:r w:rsidRPr="0025433C">
        <w:tab/>
      </w:r>
      <w:r w:rsidRPr="0025433C">
        <w:rPr>
          <w:rFonts w:asciiTheme="majorBidi" w:hAnsiTheme="majorBidi"/>
          <w:sz w:val="24"/>
          <w:u w:val="none"/>
        </w:rPr>
        <w:t>AUFBAU UND KONVENTIONEN</w:t>
      </w:r>
    </w:p>
    <w:p w14:paraId="05A1293C" w14:textId="77777777" w:rsidR="00B65435" w:rsidRPr="0025433C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Theme="majorBidi" w:hAnsiTheme="majorBidi" w:cstheme="majorBidi"/>
          <w:sz w:val="24"/>
          <w:u w:val="none"/>
        </w:rPr>
      </w:pPr>
      <w:r w:rsidRPr="0025433C">
        <w:rPr>
          <w:rFonts w:asciiTheme="majorBidi" w:hAnsiTheme="majorBidi"/>
          <w:sz w:val="24"/>
          <w:u w:val="none"/>
        </w:rPr>
        <w:t>1.1.</w:t>
      </w:r>
      <w:r w:rsidRPr="0025433C">
        <w:tab/>
      </w:r>
      <w:r w:rsidRPr="0025433C">
        <w:rPr>
          <w:rFonts w:asciiTheme="majorBidi" w:hAnsiTheme="majorBidi"/>
          <w:sz w:val="24"/>
          <w:u w:val="none"/>
        </w:rPr>
        <w:t>AUFBAU</w:t>
      </w:r>
    </w:p>
    <w:p w14:paraId="12B79693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1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Insgesamt erstreckt sich der Melderahmen auf sechs Themenkomplexe:</w:t>
      </w:r>
    </w:p>
    <w:p w14:paraId="28184C96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a)</w:t>
      </w:r>
      <w:r w:rsidRPr="0025433C">
        <w:tab/>
      </w:r>
      <w:r w:rsidRPr="0025433C">
        <w:rPr>
          <w:rFonts w:asciiTheme="majorBidi" w:hAnsiTheme="majorBidi"/>
        </w:rPr>
        <w:t>angemessene Eigenkapitalausstattung, Übersicht über die aufsichtsrechtlichen Eigenmittel, Gesamtrisikobetrag, vorsichtige Bewertung, Verlustdeckung für notleidende Risikopositionen (‚NPE‘);</w:t>
      </w:r>
    </w:p>
    <w:p w14:paraId="473EDF66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b)</w:t>
      </w:r>
      <w:r w:rsidRPr="0025433C">
        <w:tab/>
      </w:r>
      <w:r w:rsidRPr="0025433C">
        <w:rPr>
          <w:rFonts w:asciiTheme="majorBidi" w:hAnsiTheme="majorBidi"/>
        </w:rPr>
        <w:t>Solvabilität der Gruppe, Übersicht über die Erfüllung der Solvabilitätsanforderungen durch sämtliche in den Konsolidierungskreis des meldenden Unternehmens einbezogene Einzelunternehmen;</w:t>
      </w:r>
    </w:p>
    <w:p w14:paraId="520D1BC7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c)</w:t>
      </w:r>
      <w:r w:rsidRPr="0025433C">
        <w:tab/>
      </w:r>
      <w:r w:rsidRPr="0025433C">
        <w:rPr>
          <w:rFonts w:asciiTheme="majorBidi" w:hAnsiTheme="majorBidi"/>
        </w:rPr>
        <w:t>Kreditrisiko (unter Einschluss des Gegenparteiausfallrisikos, des Verwässerungsrisikos und des Abwicklungsrisikos);</w:t>
      </w:r>
    </w:p>
    <w:p w14:paraId="5BEF8552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d)</w:t>
      </w:r>
      <w:r w:rsidRPr="0025433C">
        <w:tab/>
      </w:r>
      <w:r w:rsidRPr="0025433C">
        <w:rPr>
          <w:rFonts w:asciiTheme="majorBidi" w:hAnsiTheme="majorBidi"/>
        </w:rPr>
        <w:t>Marktrisiko (unter Einschluss des Positionsrisikos für das Handelsbuch, des Fremdwährungsrisikos, des Warenpositionsrisikos und des CVA-Risikos);</w:t>
      </w:r>
    </w:p>
    <w:p w14:paraId="0EDA8770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e)</w:t>
      </w:r>
      <w:r w:rsidRPr="0025433C">
        <w:tab/>
      </w:r>
      <w:r w:rsidRPr="0025433C">
        <w:rPr>
          <w:rFonts w:asciiTheme="majorBidi" w:hAnsiTheme="majorBidi"/>
        </w:rPr>
        <w:t>operationelles Risiko;</w:t>
      </w:r>
    </w:p>
    <w:p w14:paraId="74CE70F7" w14:textId="77777777" w:rsidR="006B2A2E" w:rsidRPr="0025433C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f) Risikopositionen gegenüber Staaten;</w:t>
      </w:r>
    </w:p>
    <w:p w14:paraId="708A95B2" w14:textId="403DAD5F" w:rsidR="00B65435" w:rsidRPr="0025433C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 w:rsidRPr="0025433C">
        <w:rPr>
          <w:rFonts w:asciiTheme="majorBidi" w:hAnsiTheme="majorBidi"/>
        </w:rPr>
        <w:t>g) Kryptowert-Risikopositionen.</w:t>
      </w:r>
    </w:p>
    <w:p w14:paraId="0F9DCED8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2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Zu jedem Meldebogen werden Rechtsgrundlagen angegeben. Dieser Teil der Durchführungsverordnung umfasst nähere Angaben zu allgemeineren Aspekten der Meldungen in den einzelnen Meldebogenblöcken, Erläuterungen zu bestimmten Positionen sowie Validierungsregeln.</w:t>
      </w:r>
    </w:p>
    <w:p w14:paraId="3414EDA4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3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Die Institute müssen nur die für sie relevanten Meldebögen einreichen. Hierbei ist der zur Feststellung der Eigenmittelanforderung verwendete Ansatz ausschlaggebend.</w:t>
      </w:r>
    </w:p>
    <w:p w14:paraId="21ED76C2" w14:textId="77777777" w:rsidR="00B65435" w:rsidRPr="0025433C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rFonts w:asciiTheme="majorBidi" w:hAnsiTheme="majorBidi" w:cstheme="majorBidi"/>
          <w:sz w:val="24"/>
          <w:u w:val="none"/>
        </w:rPr>
      </w:pPr>
      <w:r w:rsidRPr="0025433C">
        <w:rPr>
          <w:rFonts w:asciiTheme="majorBidi" w:hAnsiTheme="majorBidi"/>
          <w:sz w:val="24"/>
          <w:u w:val="none"/>
        </w:rPr>
        <w:t>1.2.</w:t>
      </w:r>
      <w:r w:rsidRPr="0025433C">
        <w:tab/>
      </w:r>
      <w:r w:rsidRPr="0025433C">
        <w:rPr>
          <w:rFonts w:asciiTheme="majorBidi" w:hAnsiTheme="majorBidi"/>
          <w:sz w:val="24"/>
          <w:u w:val="none"/>
        </w:rPr>
        <w:t>Nummerierungskonvention</w:t>
      </w:r>
    </w:p>
    <w:p w14:paraId="2DF1C393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4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In allen Bezugnahmen auf die Spalten, Zeilen und Zellen der Meldebögen folgt das Dokument den unter den Punkten 5 bis 8 festgelegten Kennzeichnungskonventionen. Von diesen Zahlencodes wird in den Validierungsregeln ausführlich Gebrauch gemacht.</w:t>
      </w:r>
    </w:p>
    <w:p w14:paraId="2EE8A2BD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5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In den Erläuterungen wird folgende allgemeine Notation verwendet: {Meldebogen; Zeile; Spalte}.</w:t>
      </w:r>
    </w:p>
    <w:p w14:paraId="2DB7F950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6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Wird innerhalb eines Meldebogens eine Validierung durchgeführt, bei der nur Datenpunkte des betreffenden Bogens verwendet werden, entfällt in den Notationen die Bezugnahme auf den Bogen: {Zeile; Spalte}.</w:t>
      </w:r>
    </w:p>
    <w:p w14:paraId="05E444F0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lastRenderedPageBreak/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7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Bei Meldebögen mit nur einer Spalte wird nur auf die Zeilen Bezug genommen: {Meldebogen; Zeile}</w:t>
      </w:r>
    </w:p>
    <w:p w14:paraId="21355A9F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8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Um auszudrücken, dass die Validierung für die zuvor angegebenen Zeilen oder Spalten erfolgt, wird ein Sternchen (*) verwendet.</w:t>
      </w:r>
    </w:p>
    <w:p w14:paraId="16E2386B" w14:textId="77777777" w:rsidR="00B65435" w:rsidRPr="0025433C" w:rsidRDefault="00B65435" w:rsidP="00B65435">
      <w:pPr>
        <w:pStyle w:val="Instructionsberschrift2"/>
        <w:numPr>
          <w:ilvl w:val="0"/>
          <w:numId w:val="0"/>
        </w:numPr>
        <w:rPr>
          <w:rFonts w:asciiTheme="majorBidi" w:hAnsiTheme="majorBidi" w:cstheme="majorBidi"/>
          <w:sz w:val="24"/>
          <w:u w:val="none"/>
        </w:rPr>
      </w:pPr>
      <w:r w:rsidRPr="0025433C">
        <w:rPr>
          <w:rFonts w:asciiTheme="majorBidi" w:hAnsiTheme="majorBidi"/>
          <w:sz w:val="24"/>
          <w:u w:val="none"/>
        </w:rPr>
        <w:t>1.3.</w:t>
      </w:r>
      <w:r w:rsidRPr="0025433C">
        <w:tab/>
      </w:r>
      <w:r w:rsidRPr="0025433C">
        <w:rPr>
          <w:rFonts w:asciiTheme="majorBidi" w:hAnsiTheme="majorBidi"/>
          <w:sz w:val="24"/>
          <w:u w:val="none"/>
        </w:rPr>
        <w:t>Vorzeichenkonvention</w:t>
      </w:r>
    </w:p>
    <w:p w14:paraId="7F9B0C40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9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</w:t>
      </w:r>
      <w:r w:rsidRPr="0025433C">
        <w:tab/>
      </w:r>
      <w:r w:rsidRPr="0025433C">
        <w:rPr>
          <w:rFonts w:asciiTheme="majorBidi" w:hAnsiTheme="majorBidi"/>
        </w:rPr>
        <w:t>Jeder Betrag, um den die Eigenmittel- oder Kapitalanforderungen erhöht werden, ist als Positivwert anzugeben. Beträge dagegen, um die die Eigenmittel- oder Kapitalanforderungen insgesamt vermindert werden, sind als negativer Wert auszuweisen. Steht vor der Bezeichnung einer Position ein negatives Vorzeichen (-), wird davon ausgegangen, dass für die betreffende Position kein positiver Wert ausgewiesen wird.</w:t>
      </w:r>
    </w:p>
    <w:p w14:paraId="7A31F9F8" w14:textId="77777777" w:rsidR="00B65435" w:rsidRPr="0025433C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25433C">
        <w:rPr>
          <w:rFonts w:asciiTheme="majorBidi" w:hAnsiTheme="majorBidi" w:cstheme="majorBidi"/>
        </w:rPr>
        <w:fldChar w:fldCharType="begin"/>
      </w:r>
      <w:r w:rsidRPr="0025433C">
        <w:rPr>
          <w:rFonts w:asciiTheme="majorBidi" w:hAnsiTheme="majorBidi" w:cstheme="majorBidi"/>
        </w:rPr>
        <w:instrText>seq paragraphs</w:instrText>
      </w:r>
      <w:r w:rsidRPr="0025433C">
        <w:rPr>
          <w:rFonts w:asciiTheme="majorBidi" w:hAnsiTheme="majorBidi" w:cstheme="majorBidi"/>
        </w:rPr>
        <w:fldChar w:fldCharType="separate"/>
      </w:r>
      <w:r w:rsidRPr="0025433C">
        <w:rPr>
          <w:rFonts w:asciiTheme="majorBidi" w:hAnsiTheme="majorBidi" w:cstheme="majorBidi"/>
        </w:rPr>
        <w:t>10</w:t>
      </w:r>
      <w:r w:rsidRPr="0025433C">
        <w:rPr>
          <w:rFonts w:asciiTheme="majorBidi" w:hAnsiTheme="majorBidi" w:cstheme="majorBidi"/>
        </w:rPr>
        <w:fldChar w:fldCharType="end"/>
      </w:r>
      <w:r w:rsidRPr="0025433C">
        <w:rPr>
          <w:rFonts w:asciiTheme="majorBidi" w:hAnsiTheme="majorBidi"/>
        </w:rPr>
        <w:t>. [leer]“</w:t>
      </w:r>
    </w:p>
    <w:p w14:paraId="6A4F8FB5" w14:textId="77777777" w:rsidR="00EE75F2" w:rsidRPr="0025433C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25433C" w:rsidRDefault="00B65435">
      <w:pPr>
        <w:rPr>
          <w:rFonts w:asciiTheme="majorBidi" w:hAnsiTheme="majorBidi" w:cstheme="majorBidi"/>
        </w:rPr>
      </w:pPr>
    </w:p>
    <w:sectPr w:rsidR="00B65435" w:rsidRPr="0025433C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25433C"/>
    <w:rsid w:val="003C3263"/>
    <w:rsid w:val="00475023"/>
    <w:rsid w:val="005339A8"/>
    <w:rsid w:val="005F3228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de-DE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de-DE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de-DE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de-DE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de-DE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de-DE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de-DE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de-DE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de-DE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de-DE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064F909B-CDA4-4E30-A8F7-FB3C638B946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1736</Words>
  <Characters>13318</Characters>
  <Application>Microsoft Office Word</Application>
  <DocSecurity>0</DocSecurity>
  <Lines>309</Lines>
  <Paragraphs>255</Paragraphs>
  <ScaleCrop>false</ScaleCrop>
  <Company>European Banking Authority</Company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CARTA Giuseppina (DGT)</cp:lastModifiedBy>
  <cp:revision>11</cp:revision>
  <dcterms:created xsi:type="dcterms:W3CDTF">2024-06-19T15:59:00Z</dcterms:created>
  <dcterms:modified xsi:type="dcterms:W3CDTF">2025-01-22T13:02:00Z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