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DA</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BILAG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"BILAG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INSTRUKSER VEDRØRENDE INDBERETNING MED HENBLIK PÅ IDENTIFICERING AF G-SII'ER OG TILDELING AF G-SII-BUFFERSATSER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Indholdsfortegnelse</w:t>
      </w:r>
    </w:p>
    <w:p w14:paraId="151EFFDC" w14:textId="66A54234" w:rsidR="009726F5"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528006" w:history="1">
        <w:r w:rsidR="009726F5" w:rsidRPr="00E711D9">
          <w:rPr>
            <w:rStyle w:val="Hyperlink"/>
          </w:rPr>
          <w:t>DEL I: GENERELLE INSTRUKSER</w:t>
        </w:r>
        <w:r w:rsidR="009726F5">
          <w:rPr>
            <w:webHidden/>
          </w:rPr>
          <w:tab/>
        </w:r>
        <w:r w:rsidR="009726F5">
          <w:rPr>
            <w:webHidden/>
          </w:rPr>
          <w:fldChar w:fldCharType="begin"/>
        </w:r>
        <w:r w:rsidR="009726F5">
          <w:rPr>
            <w:webHidden/>
          </w:rPr>
          <w:instrText xml:space="preserve"> PAGEREF _Toc188528006 \h </w:instrText>
        </w:r>
        <w:r w:rsidR="009726F5">
          <w:rPr>
            <w:webHidden/>
          </w:rPr>
        </w:r>
        <w:r w:rsidR="009726F5">
          <w:rPr>
            <w:webHidden/>
          </w:rPr>
          <w:fldChar w:fldCharType="separate"/>
        </w:r>
        <w:r w:rsidR="009726F5">
          <w:rPr>
            <w:webHidden/>
          </w:rPr>
          <w:t>2</w:t>
        </w:r>
        <w:r w:rsidR="009726F5">
          <w:rPr>
            <w:webHidden/>
          </w:rPr>
          <w:fldChar w:fldCharType="end"/>
        </w:r>
      </w:hyperlink>
    </w:p>
    <w:p w14:paraId="614A5DAE" w14:textId="12E6DC25"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07" w:history="1">
        <w:r w:rsidRPr="00E711D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E711D9">
          <w:rPr>
            <w:rStyle w:val="Hyperlink"/>
          </w:rPr>
          <w:t>Opbygning og konventioner</w:t>
        </w:r>
        <w:r>
          <w:rPr>
            <w:webHidden/>
          </w:rPr>
          <w:tab/>
        </w:r>
        <w:r>
          <w:rPr>
            <w:webHidden/>
          </w:rPr>
          <w:fldChar w:fldCharType="begin"/>
        </w:r>
        <w:r>
          <w:rPr>
            <w:webHidden/>
          </w:rPr>
          <w:instrText xml:space="preserve"> PAGEREF _Toc188528007 \h </w:instrText>
        </w:r>
        <w:r>
          <w:rPr>
            <w:webHidden/>
          </w:rPr>
        </w:r>
        <w:r>
          <w:rPr>
            <w:webHidden/>
          </w:rPr>
          <w:fldChar w:fldCharType="separate"/>
        </w:r>
        <w:r>
          <w:rPr>
            <w:webHidden/>
          </w:rPr>
          <w:t>2</w:t>
        </w:r>
        <w:r>
          <w:rPr>
            <w:webHidden/>
          </w:rPr>
          <w:fldChar w:fldCharType="end"/>
        </w:r>
      </w:hyperlink>
    </w:p>
    <w:p w14:paraId="7CF8D657" w14:textId="2E4BA5F7"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08" w:history="1">
        <w:r w:rsidRPr="00E711D9">
          <w:rPr>
            <w:rStyle w:val="Hyperlink"/>
          </w:rPr>
          <w:t>1.1.</w:t>
        </w:r>
        <w:r>
          <w:rPr>
            <w:rFonts w:asciiTheme="minorHAnsi" w:eastAsiaTheme="minorEastAsia" w:hAnsiTheme="minorHAnsi" w:cstheme="minorBidi"/>
            <w:b w:val="0"/>
            <w:smallCaps w:val="0"/>
            <w:kern w:val="2"/>
            <w:sz w:val="24"/>
            <w:szCs w:val="24"/>
            <w:lang w:val="en-IE" w:eastAsia="en-IE"/>
            <w14:ligatures w14:val="standardContextual"/>
          </w:rPr>
          <w:tab/>
        </w:r>
        <w:r w:rsidRPr="00E711D9">
          <w:rPr>
            <w:rStyle w:val="Hyperlink"/>
          </w:rPr>
          <w:t>Opbygning</w:t>
        </w:r>
        <w:r>
          <w:rPr>
            <w:webHidden/>
          </w:rPr>
          <w:tab/>
        </w:r>
        <w:r>
          <w:rPr>
            <w:webHidden/>
          </w:rPr>
          <w:fldChar w:fldCharType="begin"/>
        </w:r>
        <w:r>
          <w:rPr>
            <w:webHidden/>
          </w:rPr>
          <w:instrText xml:space="preserve"> PAGEREF _Toc188528008 \h </w:instrText>
        </w:r>
        <w:r>
          <w:rPr>
            <w:webHidden/>
          </w:rPr>
        </w:r>
        <w:r>
          <w:rPr>
            <w:webHidden/>
          </w:rPr>
          <w:fldChar w:fldCharType="separate"/>
        </w:r>
        <w:r>
          <w:rPr>
            <w:webHidden/>
          </w:rPr>
          <w:t>2</w:t>
        </w:r>
        <w:r>
          <w:rPr>
            <w:webHidden/>
          </w:rPr>
          <w:fldChar w:fldCharType="end"/>
        </w:r>
      </w:hyperlink>
    </w:p>
    <w:p w14:paraId="7143CAA7" w14:textId="0D1AF057"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09" w:history="1">
        <w:r w:rsidRPr="00E711D9">
          <w:rPr>
            <w:rStyle w:val="Hyperlink"/>
          </w:rPr>
          <w:t>1.2.</w:t>
        </w:r>
        <w:r>
          <w:rPr>
            <w:rFonts w:asciiTheme="minorHAnsi" w:eastAsiaTheme="minorEastAsia" w:hAnsiTheme="minorHAnsi" w:cstheme="minorBidi"/>
            <w:b w:val="0"/>
            <w:smallCaps w:val="0"/>
            <w:kern w:val="2"/>
            <w:sz w:val="24"/>
            <w:szCs w:val="24"/>
            <w:lang w:val="en-IE" w:eastAsia="en-IE"/>
            <w14:ligatures w14:val="standardContextual"/>
          </w:rPr>
          <w:tab/>
        </w:r>
        <w:r w:rsidRPr="00E711D9">
          <w:rPr>
            <w:rStyle w:val="Hyperlink"/>
          </w:rPr>
          <w:t>Nummereringskonvention</w:t>
        </w:r>
        <w:r>
          <w:rPr>
            <w:webHidden/>
          </w:rPr>
          <w:tab/>
        </w:r>
        <w:r>
          <w:rPr>
            <w:webHidden/>
          </w:rPr>
          <w:fldChar w:fldCharType="begin"/>
        </w:r>
        <w:r>
          <w:rPr>
            <w:webHidden/>
          </w:rPr>
          <w:instrText xml:space="preserve"> PAGEREF _Toc188528009 \h </w:instrText>
        </w:r>
        <w:r>
          <w:rPr>
            <w:webHidden/>
          </w:rPr>
        </w:r>
        <w:r>
          <w:rPr>
            <w:webHidden/>
          </w:rPr>
          <w:fldChar w:fldCharType="separate"/>
        </w:r>
        <w:r>
          <w:rPr>
            <w:webHidden/>
          </w:rPr>
          <w:t>2</w:t>
        </w:r>
        <w:r>
          <w:rPr>
            <w:webHidden/>
          </w:rPr>
          <w:fldChar w:fldCharType="end"/>
        </w:r>
      </w:hyperlink>
    </w:p>
    <w:p w14:paraId="50C25D08" w14:textId="15254288"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10" w:history="1">
        <w:r w:rsidRPr="00E711D9">
          <w:rPr>
            <w:rStyle w:val="Hyperlink"/>
          </w:rPr>
          <w:t>1.3.</w:t>
        </w:r>
        <w:r>
          <w:rPr>
            <w:rFonts w:asciiTheme="minorHAnsi" w:eastAsiaTheme="minorEastAsia" w:hAnsiTheme="minorHAnsi" w:cstheme="minorBidi"/>
            <w:b w:val="0"/>
            <w:smallCaps w:val="0"/>
            <w:kern w:val="2"/>
            <w:sz w:val="24"/>
            <w:szCs w:val="24"/>
            <w:lang w:val="en-IE" w:eastAsia="en-IE"/>
            <w14:ligatures w14:val="standardContextual"/>
          </w:rPr>
          <w:tab/>
        </w:r>
        <w:r w:rsidRPr="00E711D9">
          <w:rPr>
            <w:rStyle w:val="Hyperlink"/>
          </w:rPr>
          <w:t>Tegnkonvention</w:t>
        </w:r>
        <w:r>
          <w:rPr>
            <w:webHidden/>
          </w:rPr>
          <w:tab/>
        </w:r>
        <w:r>
          <w:rPr>
            <w:webHidden/>
          </w:rPr>
          <w:fldChar w:fldCharType="begin"/>
        </w:r>
        <w:r>
          <w:rPr>
            <w:webHidden/>
          </w:rPr>
          <w:instrText xml:space="preserve"> PAGEREF _Toc188528010 \h </w:instrText>
        </w:r>
        <w:r>
          <w:rPr>
            <w:webHidden/>
          </w:rPr>
        </w:r>
        <w:r>
          <w:rPr>
            <w:webHidden/>
          </w:rPr>
          <w:fldChar w:fldCharType="separate"/>
        </w:r>
        <w:r>
          <w:rPr>
            <w:webHidden/>
          </w:rPr>
          <w:t>2</w:t>
        </w:r>
        <w:r>
          <w:rPr>
            <w:webHidden/>
          </w:rPr>
          <w:fldChar w:fldCharType="end"/>
        </w:r>
      </w:hyperlink>
    </w:p>
    <w:p w14:paraId="4B77D931" w14:textId="29F5113F"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11" w:history="1">
        <w:r w:rsidRPr="00E711D9">
          <w:rPr>
            <w:rStyle w:val="Hyperlink"/>
          </w:rPr>
          <w:t>DEL II: INSTRUKSER VEDRØRENDE SKEMAER</w:t>
        </w:r>
        <w:r>
          <w:rPr>
            <w:webHidden/>
          </w:rPr>
          <w:tab/>
        </w:r>
        <w:r>
          <w:rPr>
            <w:webHidden/>
          </w:rPr>
          <w:fldChar w:fldCharType="begin"/>
        </w:r>
        <w:r>
          <w:rPr>
            <w:webHidden/>
          </w:rPr>
          <w:instrText xml:space="preserve"> PAGEREF _Toc188528011 \h </w:instrText>
        </w:r>
        <w:r>
          <w:rPr>
            <w:webHidden/>
          </w:rPr>
        </w:r>
        <w:r>
          <w:rPr>
            <w:webHidden/>
          </w:rPr>
          <w:fldChar w:fldCharType="separate"/>
        </w:r>
        <w:r>
          <w:rPr>
            <w:webHidden/>
          </w:rPr>
          <w:t>3</w:t>
        </w:r>
        <w:r>
          <w:rPr>
            <w:webHidden/>
          </w:rPr>
          <w:fldChar w:fldCharType="end"/>
        </w:r>
      </w:hyperlink>
    </w:p>
    <w:p w14:paraId="4FD40C1C" w14:textId="738AA369"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12" w:history="1">
        <w:r w:rsidRPr="00E711D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E711D9">
          <w:rPr>
            <w:rStyle w:val="Hyperlink"/>
          </w:rPr>
          <w:t>Generelle bemærkninger</w:t>
        </w:r>
        <w:r>
          <w:rPr>
            <w:webHidden/>
          </w:rPr>
          <w:tab/>
        </w:r>
        <w:r>
          <w:rPr>
            <w:webHidden/>
          </w:rPr>
          <w:fldChar w:fldCharType="begin"/>
        </w:r>
        <w:r>
          <w:rPr>
            <w:webHidden/>
          </w:rPr>
          <w:instrText xml:space="preserve"> PAGEREF _Toc188528012 \h </w:instrText>
        </w:r>
        <w:r>
          <w:rPr>
            <w:webHidden/>
          </w:rPr>
        </w:r>
        <w:r>
          <w:rPr>
            <w:webHidden/>
          </w:rPr>
          <w:fldChar w:fldCharType="separate"/>
        </w:r>
        <w:r>
          <w:rPr>
            <w:webHidden/>
          </w:rPr>
          <w:t>3</w:t>
        </w:r>
        <w:r>
          <w:rPr>
            <w:webHidden/>
          </w:rPr>
          <w:fldChar w:fldCharType="end"/>
        </w:r>
      </w:hyperlink>
    </w:p>
    <w:p w14:paraId="14E169D0" w14:textId="53420731" w:rsidR="009726F5" w:rsidRDefault="009726F5">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013" w:history="1">
        <w:r w:rsidRPr="00E711D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E711D9">
          <w:rPr>
            <w:rStyle w:val="Hyperlink"/>
          </w:rPr>
          <w:t>Instrukser vedrørende specifikke positioner</w:t>
        </w:r>
        <w:r>
          <w:rPr>
            <w:webHidden/>
          </w:rPr>
          <w:tab/>
        </w:r>
        <w:r>
          <w:rPr>
            <w:webHidden/>
          </w:rPr>
          <w:fldChar w:fldCharType="begin"/>
        </w:r>
        <w:r>
          <w:rPr>
            <w:webHidden/>
          </w:rPr>
          <w:instrText xml:space="preserve"> PAGEREF _Toc188528013 \h </w:instrText>
        </w:r>
        <w:r>
          <w:rPr>
            <w:webHidden/>
          </w:rPr>
        </w:r>
        <w:r>
          <w:rPr>
            <w:webHidden/>
          </w:rPr>
          <w:fldChar w:fldCharType="separate"/>
        </w:r>
        <w:r>
          <w:rPr>
            <w:webHidden/>
          </w:rPr>
          <w:t>3</w:t>
        </w:r>
        <w:r>
          <w:rPr>
            <w:webHidden/>
          </w:rPr>
          <w:fldChar w:fldCharType="end"/>
        </w:r>
      </w:hyperlink>
    </w:p>
    <w:p w14:paraId="7AC7042C" w14:textId="26A509A9"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528006"/>
      <w:r>
        <w:lastRenderedPageBreak/>
        <w:t>DEL I:</w:t>
      </w:r>
      <w:bookmarkEnd w:id="2"/>
      <w:r>
        <w:t xml:space="preserve"> GENERELLE INSTRUKSER</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528007"/>
      <w:r>
        <w:rPr>
          <w:sz w:val="24"/>
        </w:rPr>
        <w:t>1.</w:t>
      </w:r>
      <w:r>
        <w:tab/>
      </w:r>
      <w:r>
        <w:rPr>
          <w:sz w:val="24"/>
        </w:rPr>
        <w:t>Opbygning og konventioner</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528008"/>
      <w:r>
        <w:rPr>
          <w:sz w:val="24"/>
        </w:rPr>
        <w:t>1.1.</w:t>
      </w:r>
      <w:r>
        <w:tab/>
      </w:r>
      <w:r>
        <w:rPr>
          <w:sz w:val="24"/>
        </w:rPr>
        <w:t>Opbygning</w:t>
      </w:r>
      <w:bookmarkEnd w:id="9"/>
      <w:bookmarkEnd w:id="10"/>
      <w:bookmarkEnd w:id="13"/>
    </w:p>
    <w:p w14:paraId="6C67B776" w14:textId="4E28F620" w:rsidR="005643EA" w:rsidRPr="00B74E74" w:rsidRDefault="00125707" w:rsidP="00B26332">
      <w:pPr>
        <w:pStyle w:val="InstructionsText2"/>
        <w:ind w:left="993"/>
      </w:pPr>
      <w:r>
        <w:t>1.</w:t>
      </w:r>
      <w:r>
        <w:tab/>
        <w:t>Disse indberetningskrav, der har til formål at støtte identifikationen af globalt systemisk vigtige institutter (G-SII'er) og tildelingen af tilsvarende G-SII-buffersatser, består af et skema, der omfatter oplysninger om indikatorer af global systemisk betydning og specifikke poster, der er nødvendige med henblik på anvendelsen af EU-metoden til at identificere G-SII'er og tildele tilsvarende G-SII-buffersatser.</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528009"/>
      <w:r>
        <w:rPr>
          <w:sz w:val="24"/>
        </w:rPr>
        <w:t>1.2.</w:t>
      </w:r>
      <w:r>
        <w:tab/>
      </w:r>
      <w:r>
        <w:rPr>
          <w:sz w:val="24"/>
        </w:rPr>
        <w:t>Nummereringskonvention</w:t>
      </w:r>
      <w:bookmarkEnd w:id="14"/>
      <w:bookmarkEnd w:id="15"/>
      <w:bookmarkEnd w:id="16"/>
    </w:p>
    <w:p w14:paraId="3C0F0268" w14:textId="5212C39C" w:rsidR="002648B0" w:rsidRPr="00B74E74" w:rsidRDefault="006137FD" w:rsidP="00AB7C07">
      <w:pPr>
        <w:pStyle w:val="InstructionsText2"/>
        <w:ind w:left="993"/>
      </w:pPr>
      <w:r>
        <w:t>2.</w:t>
      </w:r>
      <w:r>
        <w:tab/>
        <w:t>Dokumentet følger de konventioner for mærkning, der er beskrevet i punkt 3 til 5, når der henvises til kolonner, rækker og celler i skemaerne. Disse numeriske koder anvendes i vid udstrækning i valideringsreglerne.</w:t>
      </w:r>
    </w:p>
    <w:p w14:paraId="26DC2799" w14:textId="2C43513E" w:rsidR="005643EA" w:rsidRPr="00B74E74" w:rsidRDefault="006137FD" w:rsidP="00AB7C07">
      <w:pPr>
        <w:pStyle w:val="InstructionsText2"/>
        <w:ind w:left="993"/>
      </w:pPr>
      <w:r>
        <w:t>3.</w:t>
      </w:r>
      <w:r>
        <w:tab/>
        <w:t>Følgende generelle notation anvendes i instrukserne: {Skema;Række;Kolonne}.</w:t>
      </w:r>
    </w:p>
    <w:p w14:paraId="6A9F72AA" w14:textId="632C824C" w:rsidR="005643EA" w:rsidRPr="00B74E74" w:rsidRDefault="006137FD" w:rsidP="00AB7C07">
      <w:pPr>
        <w:pStyle w:val="InstructionsText2"/>
        <w:ind w:left="993"/>
      </w:pPr>
      <w:r>
        <w:t>4.</w:t>
      </w:r>
      <w:r>
        <w:tab/>
        <w:t>Hvis der henvises internt i et skema, og der derfor kun anvendes datapunkter fra det pågældende skema, omfatter natationen ikke et skema: {Række;Kolonne}. Hvis skemaer kun indeholder én kolonne, henvises der kun til rækker: {Skema; Række}.</w:t>
      </w:r>
    </w:p>
    <w:p w14:paraId="01FECE3C" w14:textId="482B71E1" w:rsidR="002648B0" w:rsidRPr="00B74E74" w:rsidRDefault="006137FD" w:rsidP="00AB7C07">
      <w:pPr>
        <w:pStyle w:val="InstructionsText2"/>
        <w:ind w:left="993"/>
      </w:pPr>
      <w:r>
        <w:t>5.</w:t>
      </w:r>
      <w:r>
        <w:tab/>
        <w:t>En asterisk viser, at henvisningen omfatter de tidligere angivne rækker eller kolonner.</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528010"/>
      <w:r>
        <w:rPr>
          <w:sz w:val="24"/>
        </w:rPr>
        <w:t>1.3.</w:t>
      </w:r>
      <w:r>
        <w:tab/>
      </w:r>
      <w:r>
        <w:rPr>
          <w:sz w:val="24"/>
        </w:rPr>
        <w:t>Tegnkonvention</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Beløb, der forøger værdien af indikatoren, aktiverne, passiverne eller eksponeringerne, indberettes som et positivt tal. Beløb, der mindsker værdien af indikatoren, aktiverne, passiverne eller eksponeringerne, indberettes som et negativt tal. Hvis der er indsat et negativt fortegn (-) ved teksten ud for en post, indberettes et positivt tal ikke for den pågældende post.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528011"/>
      <w:r>
        <w:lastRenderedPageBreak/>
        <w:t>DEL II: INSTRUKSER VEDRØRENDE SKEMAER</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528012"/>
      <w:r>
        <w:rPr>
          <w:sz w:val="24"/>
        </w:rPr>
        <w:t>1.</w:t>
      </w:r>
      <w:r>
        <w:tab/>
      </w:r>
      <w:bookmarkStart w:id="27" w:name="_Toc308175819"/>
      <w:bookmarkStart w:id="28" w:name="_Toc360188324"/>
      <w:bookmarkStart w:id="29" w:name="_Toc473560872"/>
      <w:bookmarkEnd w:id="24"/>
      <w:bookmarkEnd w:id="25"/>
      <w:r>
        <w:rPr>
          <w:sz w:val="24"/>
        </w:rPr>
        <w:t>Generelle bemærkninger</w:t>
      </w:r>
      <w:bookmarkEnd w:id="27"/>
      <w:bookmarkEnd w:id="28"/>
      <w:bookmarkEnd w:id="29"/>
      <w:bookmarkEnd w:id="26"/>
    </w:p>
    <w:p w14:paraId="410557ED" w14:textId="58FCFFD9" w:rsidR="006137FD" w:rsidRPr="00B74E74" w:rsidRDefault="00004542" w:rsidP="00AB7C07">
      <w:pPr>
        <w:pStyle w:val="InstructionsText2"/>
        <w:ind w:left="993"/>
      </w:pPr>
      <w:r>
        <w:t>8.</w:t>
      </w:r>
      <w:r>
        <w:tab/>
        <w:t>Skemaet er inddelt i to afsnit. Det øvre afsnit om G-SII-indikatorer omfatter indikatorerne for at identificere globale systemisk vigtige institutter som defineret i den metode, der er udarbejdet af Baselkomitéen for Banktilsyn. Det nedre afsnit indeholder en række poster, der er nødvendige for at beregne de relevante indikatorer i overensstemmelse med den metode, der er fastsat på grundlag af artikel 131, stk. 18, i direktiv 2013/36/EU</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Hvor det er relevant, skal de oplysninger, der angives i dette skema, stemme overens med de oplysninger, der gives til de relevante myndigheder med henblik på deres indsamling af indikatorværdierne som fastsat i artikel 3, stk. 2, i Kommissionens delegerede forordning (EU) nr. 1222/2014</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528013"/>
      <w:r>
        <w:rPr>
          <w:sz w:val="24"/>
        </w:rPr>
        <w:t>2.</w:t>
      </w:r>
      <w:r>
        <w:tab/>
      </w:r>
      <w:r>
        <w:rPr>
          <w:sz w:val="24"/>
        </w:rPr>
        <w:t>Instrukser vedrørende specifikke positioner</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G-SII-indikatorer</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Definitionen på indikatorerne skal være den samme som den definition, der anvendes med henblik på at fastlægge oplysningerne i bilaget til Kommissionens delegerede forordning (EU) nr.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 tilfælde af ændringer af definitionerne i metoden skal disse ændrede definitioner i den metode, der anvendes til at bestemme indikatorværdierne ved regnskabsårets udgang ("årsudgangsmetode"), anvendes med henblik på indberetning af oplysninger ved udgangen af første, andet og tredje kvartal i samme regnskabsår. Hvis skemaet i bilag XXVI ændres i løbet af det pågældende regnskabsår, anvendes årsudgangsmetoden fra de første relevante referencedatoer efter ændringsforordningens ikrafttræden.</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Indikatorer, som måler strømme, indberettes kumulativt fra begyndelsen af regnskabsåret, hvor det er relevant.</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i alt, inkl. forsikringsdatterselskaber</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Aktiver inden for det finansielle system, inkl. forsikringsdatterselskaber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Passiver inden for det finansielle system, inkl. forsikringsdatterselskaber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Udstedte værdipapirer, inkl. værdipapirer udstedt af forsikringsdatterselskaber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Betalingsaktivitet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Aktiver i depot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Underwritingaktivitet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Omfang af transaktioner — fast indkomst</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Omfang af transaktioner — aktier og andre værdipapirer</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Fiktiv værdi af OTC-derivater, inkl. forsikringsdatterselskaber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Værdipapirer, der besiddes med handel for øje, og værdipapirer, der er disponible for salg</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Aktiver på niveau 3, inkl. forsikringsdatterselskaber</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Fordringer på tværs af jurisdiktioner</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på tværs af jurisdiktioner</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for hvilke Den Europæiske Bankunion betragtes som én jurisdiktion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Med henblik på at bestemme de nedenfor angivne poster og i mangel af specifikationer i nedenstående instrukser skal de anvendte definitioner og begreber så vidt muligt tilpasses de definitioner og begreber, der er fastsat i retningslinjerne for indberetning af de internationale BIS-bankstatistikker.</w:t>
            </w:r>
          </w:p>
          <w:p w14:paraId="624545C8" w14:textId="372F5EC2" w:rsidR="00461B95" w:rsidRPr="00B74E74" w:rsidRDefault="00461B95" w:rsidP="00B94200">
            <w:pPr>
              <w:pStyle w:val="InstructionsText2"/>
              <w:rPr>
                <w:rStyle w:val="InstructionsTabelleberschrift"/>
                <w:rFonts w:ascii="Times New Roman" w:hAnsi="Times New Roman"/>
                <w:sz w:val="24"/>
              </w:rPr>
            </w:pPr>
            <w:r>
              <w:t>Som en undtagelse fra ovennævnte skal de indberettende enheders aktiviteter i flere forskellige deltagende medlemsstater, jf. artikel 4 i Europa-Parlamentets og Rådets forordning (EU) nr. 806/2014</w:t>
            </w:r>
            <w:r>
              <w:rPr>
                <w:rStyle w:val="FootnoteReference"/>
                <w:rFonts w:ascii="Times New Roman" w:hAnsi="Times New Roman"/>
                <w:sz w:val="24"/>
                <w:szCs w:val="24"/>
                <w:vertAlign w:val="superscript"/>
              </w:rPr>
              <w:footnoteReference w:id="4"/>
            </w:r>
            <w:r>
              <w:t xml:space="preserve"> ikke medtages, dvs. deltagende medlemsstater betragtes som én jurisdiktion.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fordringer i alt på ultimativ risiko-basis</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Udenlandske fordringer i alt er summen af grænseoverskridende fordringer og lokale fordringer fra udenlandske tilknyttede selskaber i lokal eller fremmed valuta. Fordringer fra positioner i derivatkontrakter medtages ikke. "Fordringer", "grænseoverskridende fordringer" og "lokale fordringer fra udenlandske tilknyttede selskaber i fremmed og lokal valuta" har samme betydning som i retningslinjerne for indberetning af de internationale BIS-bankstatistikker.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henblik på at fastslå, om en fordring er en grænseoverskridende eller lokal fordring, betyder "på ultimativ risiko-basis", at positionen er allokeret til en tredjepart, der har indgået en kontraktlig forpligtelse til at påtage sig den primære modparts gæld eller forpligtelser, hvis modparten ikke opfylder sine forpligtelser, hvis der findes en sådan tredjepart. Denne allokering skal foretages i overensstemmelse med bestemmelserne om risikooverførsel, jf. retningslinjerne for indberetning af de internationale BIS-bankstatistikker.</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derivatfordringer på ultimativ risiko-basis</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positive dagsværdi af alle derivatfordringer, som er grænseoverskridende fordringer eller lokale fordringer i lokal eller fremmed valuta.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Derivater omfatter terminskontrakter, swaps og optioner vedrørende valuta-, rente-, aktie-, råvare- og kreditinstrumenter. Dette omfatter købte kreditderivater, som afdækker eller modregnes mod solgt kreditrisikoafdækning, eller som besiddes med handel for øje.</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tilfælde af sådanne købte kreditderivater begrænses værdien ikke til værdien af den umiddelbare fordring, den blev købt til at garantere.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positive dagsværdier af derivatkontrakter kan kun modregnes mod negative dagsværdier, hvis positionerne blev gennemført med den samme modpart under en retskraftig nettingaftale. Kun nettinggrupper med en positiv værdi medtages i denne post.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Derivatfordringerne indberettes uden indregning af kontant sikkerhed.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henblik på indberetning af oplysninger på ultimativ risiko-basis finder følgende anvendelse: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Når den endelige risiko ligger hos modparten, anses et derivat for at være udenlandsk, hvis modparten ikke befinder sig i de indberettende enheders jurisdiktion.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Når den endelige risiko ligger hos garantistilleren, anses et derivat for at være udenlandsk, hvis garantistilleren ikke befinder sig i de indberettende enheders jurisdiktion.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passiver på umiddelbar risiko-basis, herunder derivater</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Udenlandske passiver, herunder derivater, er summen af udenlandske passiver og udenlandske passiver hidrørende fra derivater. Værdipapirforpligtelser, som er omsættelige finansielle aktiver udstedt af det indberettende institut, medtages ikke i denne post.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Definitionen på derivater skal være den samme som den, der anvendes i række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negative dagsværdier af derivatkontrakter kan kun modregnes mod positive dagsværdier, hvis positionerne blev gennemført med den samme modpart under en retskraftig nettingaftale. Derivatforpligtelser indberettes uden indregning af kontant sikkerhed (kontanter og ikkekontanter).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henblik på at fastslå, om en fordring er en grænseoverskridende eller lokal fordring, betyder "på umiddelbar risiko-basis", at positionen allokeres til den direkte modpart i kontrakten.</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Europa-Parlamentets og Rådets direktiv 2013/36/EU af 26. juni 2013 om adgang til at udøve virksomhed som kreditinstitut og om tilsyn med kreditinstitutter, om ændring af direktiv 2002/87/EF og om ophævelse af direktiv 2006/48/EF og 2006/49/EF (EUT L 176 af 27.6.2013, s.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color w:val="444444"/>
        </w:rPr>
        <w:t>Kommissionens delegerede forordning (EU) nr. 1222/2014 af 8. oktober 2014 om supplerende regler til Europa-Parlamentets og Rådets direktiv 2013/36/EU for så vidt angår reguleringsmæssige tekniske standarder vedrørende den metode, der skal anvendes til identifikation af globale systemisk vigtige institutter og til fastlæggelse af underkategorier af globale systemisk vigtige institutter (EUT L 330 af 15.11.2014, s. 27).</w:t>
      </w:r>
    </w:p>
  </w:footnote>
  <w:footnote w:id="4">
    <w:p w14:paraId="7E81C75F" w14:textId="7AFAACB8" w:rsidR="00461B95" w:rsidRPr="00EF0DDB" w:rsidRDefault="00461B95">
      <w:pPr>
        <w:pStyle w:val="FootnoteText"/>
      </w:pPr>
      <w:r>
        <w:rPr>
          <w:rStyle w:val="FootnoteReference"/>
        </w:rPr>
        <w:footnoteRef/>
      </w:r>
      <w:r>
        <w:tab/>
        <w:t>Europa-Parlamentets og Rådets forordning (EU) nr. 806/2014 af 15. juli 2014 om ensartede regler og en ensartet procedure for afvikling af kreditinstitutter og visse investeringsselskaber inden for rammerne af en fælles afviklingsmekanisme og en fælles afviklingsfond og om ændring af forordning (EU) nr. 1093/2010 (EUT L 225 af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37697529">
    <w:abstractNumId w:val="0"/>
  </w:num>
  <w:num w:numId="2" w16cid:durableId="392965355">
    <w:abstractNumId w:val="13"/>
  </w:num>
  <w:num w:numId="3" w16cid:durableId="1487238004">
    <w:abstractNumId w:val="19"/>
  </w:num>
  <w:num w:numId="4" w16cid:durableId="30540248">
    <w:abstractNumId w:val="9"/>
  </w:num>
  <w:num w:numId="5" w16cid:durableId="325135879">
    <w:abstractNumId w:val="16"/>
  </w:num>
  <w:num w:numId="6" w16cid:durableId="23987780">
    <w:abstractNumId w:val="8"/>
  </w:num>
  <w:num w:numId="7" w16cid:durableId="126972838">
    <w:abstractNumId w:val="18"/>
  </w:num>
  <w:num w:numId="8" w16cid:durableId="47723889">
    <w:abstractNumId w:val="2"/>
  </w:num>
  <w:num w:numId="9" w16cid:durableId="754128956">
    <w:abstractNumId w:val="14"/>
  </w:num>
  <w:num w:numId="10" w16cid:durableId="1192111196">
    <w:abstractNumId w:val="7"/>
  </w:num>
  <w:num w:numId="11" w16cid:durableId="2035036274">
    <w:abstractNumId w:val="11"/>
  </w:num>
  <w:num w:numId="12" w16cid:durableId="844784296">
    <w:abstractNumId w:val="3"/>
  </w:num>
  <w:num w:numId="13" w16cid:durableId="1124930458">
    <w:abstractNumId w:val="15"/>
  </w:num>
  <w:num w:numId="14" w16cid:durableId="1147093018">
    <w:abstractNumId w:val="12"/>
  </w:num>
  <w:num w:numId="15" w16cid:durableId="854729043">
    <w:abstractNumId w:val="5"/>
  </w:num>
  <w:num w:numId="16" w16cid:durableId="1062948201">
    <w:abstractNumId w:val="10"/>
  </w:num>
  <w:num w:numId="17" w16cid:durableId="235743512">
    <w:abstractNumId w:val="4"/>
  </w:num>
  <w:num w:numId="18" w16cid:durableId="1461801981">
    <w:abstractNumId w:val="17"/>
  </w:num>
  <w:num w:numId="19" w16cid:durableId="89739934">
    <w:abstractNumId w:val="1"/>
  </w:num>
  <w:num w:numId="20" w16cid:durableId="1068268653">
    <w:abstractNumId w:val="6"/>
  </w:num>
  <w:num w:numId="21" w16cid:durableId="65538277">
    <w:abstractNumId w:val="5"/>
  </w:num>
  <w:num w:numId="22" w16cid:durableId="1706324400">
    <w:abstractNumId w:val="15"/>
  </w:num>
  <w:num w:numId="23" w16cid:durableId="557479947">
    <w:abstractNumId w:val="15"/>
  </w:num>
  <w:num w:numId="24" w16cid:durableId="392772094">
    <w:abstractNumId w:val="15"/>
  </w:num>
  <w:num w:numId="25" w16cid:durableId="110338351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8B3"/>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7D6"/>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6F5"/>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E09B0F2F-6060-4D6D-9D8B-A22A4C2AFC9A}"/>
</file>

<file path=customXml/itemProps3.xml><?xml version="1.0" encoding="utf-8"?>
<ds:datastoreItem xmlns:ds="http://schemas.openxmlformats.org/officeDocument/2006/customXml" ds:itemID="{28F652A6-8CFB-403D-B2E6-01DC3E5C5124}"/>
</file>

<file path=customXml/itemProps4.xml><?xml version="1.0" encoding="utf-8"?>
<ds:datastoreItem xmlns:ds="http://schemas.openxmlformats.org/officeDocument/2006/customXml" ds:itemID="{9DD6FD78-B0F3-4118-8989-95645C8C16D9}"/>
</file>

<file path=docProps/app.xml><?xml version="1.0" encoding="utf-8"?>
<Properties xmlns="http://schemas.openxmlformats.org/officeDocument/2006/extended-properties" xmlns:vt="http://schemas.openxmlformats.org/officeDocument/2006/docPropsVTypes">
  <Template>Normal.dotm</Template>
  <TotalTime>0</TotalTime>
  <Pages>5</Pages>
  <Words>1119</Words>
  <Characters>7888</Characters>
  <Application>Microsoft Office Word</Application>
  <DocSecurity>0</DocSecurity>
  <Lines>183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2025-01-23T11:33:15Z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845a4a4c-8d82-4892-b907-54cf0d75fb2c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