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DA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BILAG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"BILAG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INSTRUKSER TIL INDBERETNING AF KAPITALGRUNDLAG OG KAPITALGRUNDLAGSKRAV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Indholdsfortegnelse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DEL 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GENERELLE INSTRUKSER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tab/>
      </w:r>
      <w:r>
        <w:rPr>
          <w:sz w:val="20"/>
          <w:rFonts w:asciiTheme="majorBidi" w:hAnsiTheme="majorBidi"/>
        </w:rPr>
        <w:t xml:space="preserve">OPBYGNING OG KONVENTIONER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tab/>
      </w:r>
      <w:r>
        <w:rPr>
          <w:sz w:val="20"/>
          <w:rFonts w:asciiTheme="majorBidi" w:hAnsiTheme="majorBidi"/>
        </w:rPr>
        <w:t xml:space="preserve">OPBYGNING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tab/>
      </w:r>
      <w:r>
        <w:rPr>
          <w:sz w:val="20"/>
          <w:rFonts w:asciiTheme="majorBidi" w:hAnsiTheme="majorBidi"/>
        </w:rPr>
        <w:t xml:space="preserve">KONVENTION FOR NUMMERERING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tab/>
      </w:r>
      <w:r>
        <w:rPr>
          <w:sz w:val="20"/>
          <w:rFonts w:asciiTheme="majorBidi" w:hAnsiTheme="majorBidi"/>
        </w:rPr>
        <w:t xml:space="preserve">KONVENTION FOR TEGN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DEL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INSTRUKSER VEDRØRENDE SKEMAER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tab/>
      </w:r>
      <w:r>
        <w:rPr>
          <w:sz w:val="20"/>
          <w:rFonts w:asciiTheme="majorBidi" w:hAnsiTheme="majorBidi"/>
        </w:rPr>
        <w:t xml:space="preserve">OVERSIGT OVER KAPITALGRUNDLAG ("CA")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tab/>
      </w:r>
      <w:r>
        <w:rPr>
          <w:sz w:val="20"/>
          <w:rFonts w:asciiTheme="majorBidi" w:hAnsiTheme="majorBidi"/>
        </w:rPr>
        <w:t xml:space="preserve">C 01.00 – KAPITALGRUNDLAG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tab/>
      </w:r>
      <w:r>
        <w:rPr>
          <w:sz w:val="20"/>
          <w:rFonts w:asciiTheme="majorBidi" w:hAnsiTheme="majorBidi"/>
        </w:rPr>
        <w:t xml:space="preserve">C 02.00 – KAPITALGRUNDLAGSKRAV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</w:t>
      </w:r>
      <w:r>
        <w:tab/>
      </w:r>
      <w:r>
        <w:rPr>
          <w:sz w:val="20"/>
          <w:rFonts w:asciiTheme="majorBidi" w:hAnsiTheme="majorBidi"/>
        </w:rPr>
        <w:t xml:space="preserve">C 03.00 – KAPITALPROCENTER OG KAPITALNIVEAUER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tab/>
      </w:r>
      <w:r>
        <w:rPr>
          <w:sz w:val="20"/>
          <w:rFonts w:asciiTheme="majorBidi" w:hAnsiTheme="majorBidi"/>
        </w:rPr>
        <w:t xml:space="preserve">C 04.00 – MEMORANDUMPOSTER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</w:t>
      </w:r>
      <w:r>
        <w:tab/>
      </w:r>
      <w:r>
        <w:rPr>
          <w:sz w:val="20"/>
          <w:rFonts w:asciiTheme="majorBidi" w:hAnsiTheme="majorBidi"/>
        </w:rPr>
        <w:t xml:space="preserve">OVERGANGSBESTEMMELSER OG INSTRUMENTER OMFATTER AF OVERGANGSBESTEMMELSER: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INSTRUMENTER, DER IKKE UDGØR STATSSTØTTE (CA5</w:t>
      </w:r>
      <w:r>
        <w:rPr>
          <w:sz w:val="20"/>
          <w:rFonts w:asciiTheme="majorBidi" w:hAnsiTheme="majorBidi"/>
        </w:rPr>
        <w:t xml:space="preserve">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tab/>
      </w:r>
      <w:r>
        <w:rPr>
          <w:sz w:val="20"/>
          <w:rFonts w:asciiTheme="majorBidi" w:hAnsiTheme="majorBidi"/>
        </w:rPr>
        <w:t xml:space="preserve">C 05.01 – OVERGANGSBESTEMMELSER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</w:t>
      </w:r>
      <w:r>
        <w:tab/>
      </w:r>
      <w:r>
        <w:rPr>
          <w:sz w:val="20"/>
          <w:rFonts w:asciiTheme="majorBidi" w:hAnsiTheme="majorBidi"/>
        </w:rPr>
        <w:t xml:space="preserve">C 05.02 – INSTRUMENTER, DER ER OMFATTET AF OVERGANGSBESTEMMELSER: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INSTRUMENTER, DER IKKE UDGØR STATSSTØTTE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tab/>
      </w:r>
      <w:r>
        <w:rPr>
          <w:sz w:val="20"/>
          <w:rFonts w:asciiTheme="majorBidi" w:hAnsiTheme="majorBidi"/>
        </w:rPr>
        <w:t xml:space="preserve">KONCERNSOLVENS: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OPLYSNINGER OM TILKNYTTEDE SELSKABER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tab/>
      </w:r>
      <w:r>
        <w:rPr>
          <w:sz w:val="20"/>
          <w:rFonts w:asciiTheme="majorBidi" w:hAnsiTheme="majorBidi"/>
        </w:rPr>
        <w:t xml:space="preserve">DETALJEREDE OPLYSNINGER OM KONCERNSOLVENS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tab/>
      </w:r>
      <w:r>
        <w:rPr>
          <w:sz w:val="20"/>
          <w:rFonts w:asciiTheme="majorBidi" w:hAnsiTheme="majorBidi"/>
        </w:rPr>
        <w:t xml:space="preserve">OPLYSNINGER OM DE INDIVIDUELLE ENHEDERS BIDRAG TIL KONCERNSOLVENSEN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tab/>
      </w:r>
      <w:r>
        <w:rPr>
          <w:sz w:val="20"/>
          <w:rFonts w:asciiTheme="majorBidi" w:hAnsiTheme="majorBidi"/>
        </w:rPr>
        <w:t xml:space="preserve">C 06.01 – KONCERNSOLVENS: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OPLYSNINGER OM TILKNYTTEDE SELSKABER – I ALT (GS I ALT)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tab/>
      </w:r>
      <w:r>
        <w:rPr>
          <w:sz w:val="20"/>
          <w:rFonts w:asciiTheme="majorBidi" w:hAnsiTheme="majorBidi"/>
        </w:rPr>
        <w:t xml:space="preserve">C 06.02 – KONCERNSOLVENS: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OPLYSNINGER OM TILKNYTTEDE SELSKABER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tab/>
      </w:r>
      <w:r>
        <w:rPr>
          <w:sz w:val="20"/>
          <w:rFonts w:asciiTheme="majorBidi" w:hAnsiTheme="majorBidi"/>
        </w:rPr>
        <w:t xml:space="preserve">SKEMAER FOR KREDITRISIKO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tab/>
      </w:r>
      <w:r>
        <w:rPr>
          <w:sz w:val="20"/>
          <w:rFonts w:asciiTheme="majorBidi" w:hAnsiTheme="majorBidi"/>
        </w:rPr>
        <w:t xml:space="preserve">INDBERETNING AF KREDITRISIKOREDUKTIONSTEKNIKKER MED SUBSTITUTIONSVIRKNING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tab/>
      </w:r>
      <w:r>
        <w:rPr>
          <w:sz w:val="20"/>
          <w:rFonts w:asciiTheme="majorBidi" w:hAnsiTheme="majorBidi"/>
        </w:rPr>
        <w:t xml:space="preserve">INDBERETNING AF MODPARTSRISIKO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tab/>
      </w:r>
      <w:r>
        <w:rPr>
          <w:sz w:val="20"/>
          <w:rFonts w:asciiTheme="majorBidi" w:hAnsiTheme="majorBidi"/>
        </w:rPr>
        <w:t xml:space="preserve">C 07.00 – KREDITRISIKO, MODPARTSRISIKO OG LEVERINGSRISIKO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STANDARDMETODEN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tab/>
      </w:r>
      <w:r>
        <w:rPr>
          <w:sz w:val="20"/>
          <w:rFonts w:asciiTheme="majorBidi" w:hAnsiTheme="majorBidi"/>
        </w:rPr>
        <w:t xml:space="preserve">ANVENDELSESOMRÅDET FOR CR SA-SKEMAET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FORDELING AF EKSPONERINGER I EKSPONERINGSKLASSER EFTER STANDARDMETODEN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tab/>
      </w:r>
      <w:r>
        <w:rPr>
          <w:sz w:val="20"/>
          <w:rFonts w:asciiTheme="majorBidi" w:hAnsiTheme="majorBidi"/>
        </w:rPr>
        <w:t xml:space="preserve">PRÆCISERING AF ANVENDELSESOMRÅDET FOR SPECIFIKKE EKSPONERINGSKLASSER OMHANDLET I ARTIKEL 112 I </w:t>
      </w:r>
      <w:r>
        <w:rPr>
          <w:sz w:val="20"/>
          <w:rFonts w:asciiTheme="majorBidi" w:hAnsiTheme="majorBidi"/>
        </w:rPr>
        <w:t xml:space="preserve">FORORDNING (EU) NR. 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tab/>
      </w:r>
      <w:r>
        <w:rPr>
          <w:sz w:val="20"/>
          <w:rFonts w:asciiTheme="majorBidi" w:hAnsiTheme="majorBidi"/>
        </w:rPr>
        <w:t xml:space="preserve">EKSPONERINGSKLASSEN "INSTITUTTER"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tab/>
      </w:r>
      <w:r>
        <w:rPr>
          <w:sz w:val="20"/>
          <w:rFonts w:asciiTheme="majorBidi" w:hAnsiTheme="majorBidi"/>
        </w:rPr>
        <w:t xml:space="preserve">EKSPONERINGSKLASSEN "SÆRLIGT DÆKKEDE OBLIGATIONER OG SÆRLIGT DÆKKEDE REALKREDITOBLIGATIONER"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tab/>
      </w:r>
      <w:r>
        <w:rPr>
          <w:sz w:val="20"/>
          <w:rFonts w:asciiTheme="majorBidi" w:hAnsiTheme="majorBidi"/>
        </w:rPr>
        <w:t xml:space="preserve">EKSPONERINGSKLASSEN "CIU'er"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tab/>
      </w:r>
      <w:r>
        <w:rPr>
          <w:sz w:val="20"/>
          <w:rFonts w:asciiTheme="majorBidi" w:hAnsiTheme="majorBidi"/>
        </w:rPr>
        <w:t xml:space="preserve">KREDITRISIKO, MODPARTSRISIKO OG LEVERINGSRISIKO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KAPITALGRUNDLAGSKRAV OPGJORT EFTER IRB-METODEN</w:t>
      </w:r>
      <w:r>
        <w:rPr>
          <w:sz w:val="20"/>
          <w:rFonts w:asciiTheme="majorBidi" w:hAnsiTheme="majorBidi"/>
        </w:rPr>
        <w:t xml:space="preserve">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tab/>
      </w:r>
      <w:r>
        <w:rPr>
          <w:sz w:val="20"/>
          <w:rFonts w:asciiTheme="majorBidi" w:hAnsiTheme="majorBidi"/>
        </w:rPr>
        <w:t xml:space="preserve">ANVENDELSESOMRÅDET FOR CR IRB-SKEMAET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tab/>
      </w:r>
      <w:r>
        <w:rPr>
          <w:sz w:val="20"/>
          <w:rFonts w:asciiTheme="majorBidi" w:hAnsiTheme="majorBidi"/>
        </w:rPr>
        <w:t xml:space="preserve">OPDELING AF CR IRB-SKEMAET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tab/>
      </w:r>
      <w:r>
        <w:rPr>
          <w:sz w:val="20"/>
          <w:rFonts w:asciiTheme="majorBidi" w:hAnsiTheme="majorBidi"/>
        </w:rPr>
        <w:t xml:space="preserve">C 08.02 – KREDITRISIKO, MODPARTSRISIKO OG LEVERINGSRISIKO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OPDELING EFTER LÅNTAGERKLASSER ELLER -PULJER (CR IRB 2-SKEMAET)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tab/>
      </w:r>
      <w:r>
        <w:rPr>
          <w:sz w:val="20"/>
          <w:rFonts w:asciiTheme="majorBidi" w:hAnsiTheme="majorBidi"/>
        </w:rPr>
        <w:t xml:space="preserve">C 08.03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 (OPDELING EFTER PD-INTERVALLER (CR 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tab/>
      </w:r>
      <w:r>
        <w:rPr>
          <w:sz w:val="20"/>
          <w:rFonts w:asciiTheme="majorBidi" w:hAnsiTheme="majorBidi"/>
        </w:rPr>
        <w:t xml:space="preserve">C 08.04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 (RWEA-FLOWTABELLER (CR IRB 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tab/>
      </w:r>
      <w:r>
        <w:rPr>
          <w:sz w:val="20"/>
          <w:rFonts w:asciiTheme="majorBidi" w:hAnsiTheme="majorBidi"/>
        </w:rPr>
        <w:t xml:space="preserve">C 08.05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 (BACKTESTING AF PD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tab/>
      </w:r>
      <w:r>
        <w:rPr>
          <w:sz w:val="20"/>
          <w:rFonts w:asciiTheme="majorBidi" w:hAnsiTheme="majorBidi"/>
        </w:rPr>
        <w:t xml:space="preserve">C 08.05.1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BACKTESTING AF PD I OVERENSSTEMMELSE MED ARTIKEL 180, STK. 1, LITRA F), I FORORDNING (EU) NR. 575/2013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tab/>
      </w:r>
      <w:r>
        <w:rPr>
          <w:sz w:val="20"/>
          <w:rFonts w:asciiTheme="majorBidi" w:hAnsiTheme="majorBidi"/>
        </w:rPr>
        <w:t xml:space="preserve">C 08.06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 (KATEGORISERINGSMETODEN FOR SPECIALISERET LÅNGIVNING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tab/>
      </w:r>
      <w:r>
        <w:rPr>
          <w:sz w:val="20"/>
          <w:rFonts w:asciiTheme="majorBidi" w:hAnsiTheme="majorBidi"/>
        </w:rPr>
        <w:t xml:space="preserve">C 08.07 – KREDITRISIKO OG LEVERINGSRISICI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KAPITALKRAV OPGJORT EFTER IRB-METODEN (ANVENDELSESOMRÅDET FOR IRB- OG SA-METODEN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tab/>
      </w:r>
      <w:r>
        <w:rPr>
          <w:sz w:val="20"/>
          <w:rFonts w:asciiTheme="majorBidi" w:hAnsiTheme="majorBidi"/>
        </w:rPr>
        <w:t xml:space="preserve">KREDITRISIKO, MODPARTSRISIKO OG LEVERINGSRISIKO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OPLYSNINGER MED GEOGRAFISK OPDELING (CR GB)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tab/>
      </w:r>
      <w:r>
        <w:rPr>
          <w:sz w:val="20"/>
          <w:rFonts w:asciiTheme="majorBidi" w:hAnsiTheme="majorBidi"/>
        </w:rPr>
        <w:t xml:space="preserve">C 09.01 – GEOGRAFISK OPDELING AF EKSPONERINGER EFTER LÅNTAGERENS HJEMSTED: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EKSPONERINGER OPGJORT EFTER STANDARDMETODEN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tab/>
      </w:r>
      <w:r>
        <w:rPr>
          <w:sz w:val="20"/>
          <w:rFonts w:asciiTheme="majorBidi" w:hAnsiTheme="majorBidi"/>
        </w:rPr>
        <w:t xml:space="preserve">C 09.02 – GEOGRAFISK OPDELING AF EKSPONERINGER EFTER LÅNTAGERENS HJEMSTED: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EKSPONERINGER OPGJORT EFTER IRB-METODEN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tab/>
      </w:r>
      <w:r>
        <w:rPr>
          <w:sz w:val="20"/>
          <w:rFonts w:asciiTheme="majorBidi" w:hAnsiTheme="majorBidi"/>
        </w:rPr>
        <w:t xml:space="preserve">C 09.04 – OPDELING AF KREDITEKSPONERINGER, SOM ER RELEVANTE FOR BEREGNINGEN AF DEN KONTRACYKLISKE BUFFER, EFTER LAND OG INSTITUTSPECIFIK KONTRACYKLISK BUFFERSATS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KREDITRISIKO, MODPARTSRISIKO OG LEVERINGSRISIKO (FREE DELIVERIES):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EKSPONERINGER OPGJORT EFTER IRB-METODEN OMFATTET AF OUTPUTGULVET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GENERELLE BEMÆRKNINGER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tab/>
      </w:r>
      <w:r>
        <w:rPr>
          <w:sz w:val="20"/>
          <w:rFonts w:asciiTheme="majorBidi" w:hAnsiTheme="majorBidi"/>
        </w:rPr>
        <w:t xml:space="preserve">C 10.01 OG C 10.02 – AKTIEEKSPONERINGER OPGJORT EFTER IRB-METODEN</w:t>
      </w:r>
      <w:r>
        <w:rPr>
          <w:sz w:val="20"/>
          <w:rFonts w:asciiTheme="majorBidi" w:hAnsiTheme="majorBidi"/>
        </w:rPr>
        <w:t xml:space="preserve"> (CR EQU IRB 1 OG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  <w:r>
        <w:rPr>
          <w:sz w:val="20"/>
          <w:rFonts w:asciiTheme="majorBidi" w:hAnsiTheme="majorBidi"/>
        </w:rPr>
        <w:t xml:space="preserve"> (GÆLDER FOR BÅDE CR EQU IRB 1 OG CR EQU IRB 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tab/>
      </w:r>
      <w:r>
        <w:rPr>
          <w:sz w:val="20"/>
          <w:rFonts w:asciiTheme="majorBidi" w:hAnsiTheme="majorBidi"/>
        </w:rPr>
        <w:t xml:space="preserve">C 11.00 – AFVIKLINGSRISIKO/LEVERINGSRISIKO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tab/>
      </w:r>
      <w:r>
        <w:rPr>
          <w:sz w:val="20"/>
          <w:rFonts w:asciiTheme="majorBidi" w:hAnsiTheme="majorBidi"/>
        </w:rPr>
        <w:t xml:space="preserve">C 13.01 – KREDITRISIKO – SECURITISERINGER (CR SEC):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tab/>
      </w:r>
      <w:r>
        <w:rPr>
          <w:sz w:val="20"/>
          <w:rFonts w:asciiTheme="majorBidi" w:hAnsiTheme="majorBidi"/>
        </w:rPr>
        <w:t xml:space="preserve">DETALJEREDE OPLYSNINGER OM SECURITISERINGER</w:t>
      </w:r>
      <w:r>
        <w:rPr>
          <w:sz w:val="20"/>
          <w:rFonts w:asciiTheme="majorBidi" w:hAnsiTheme="majorBidi"/>
        </w:rPr>
        <w:t xml:space="preserve">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tab/>
      </w:r>
      <w:r>
        <w:rPr>
          <w:sz w:val="20"/>
          <w:rFonts w:asciiTheme="majorBidi" w:hAnsiTheme="majorBidi"/>
        </w:rPr>
        <w:t xml:space="preserve">ANVENDELSESOMRÅDET FOR SEC DETAILS-SKEMAET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 OPDELING AF SEC DETAILS-SKEMAET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3.8.3. C 14.00 – DETALJEREDE OPLYSNINGER OM SECURITISERINGER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tab/>
      </w:r>
      <w:r>
        <w:rPr>
          <w:sz w:val="20"/>
          <w:rFonts w:asciiTheme="majorBidi" w:hAnsiTheme="majorBidi"/>
        </w:rPr>
        <w:t xml:space="preserve">C 14.01 – DETALJEREDE OPLYSNINGER OM SECURITISERINGER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tab/>
      </w:r>
      <w:r>
        <w:rPr>
          <w:sz w:val="20"/>
          <w:rFonts w:asciiTheme="majorBidi" w:hAnsiTheme="majorBidi"/>
        </w:rPr>
        <w:t xml:space="preserve">MODPARTSRISIKO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tab/>
      </w:r>
      <w:r>
        <w:rPr>
          <w:sz w:val="20"/>
          <w:rFonts w:asciiTheme="majorBidi" w:hAnsiTheme="majorBidi"/>
        </w:rPr>
        <w:t xml:space="preserve">ANVENDELSESOMRÅDET FOR SKEMAERNE FOR MODPARTSRISIKO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tab/>
      </w:r>
      <w:r>
        <w:rPr>
          <w:sz w:val="20"/>
          <w:rFonts w:asciiTheme="majorBidi" w:hAnsiTheme="majorBidi"/>
        </w:rPr>
        <w:t xml:space="preserve">C 34.01 – OMFANGET AF DERIVATAKTIVITETER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tab/>
      </w:r>
      <w:r>
        <w:rPr>
          <w:sz w:val="20"/>
          <w:rFonts w:asciiTheme="majorBidi" w:hAnsiTheme="majorBidi"/>
        </w:rPr>
        <w:t xml:space="preserve">C 34.02 – MODPARTSRISIKOEKSPONERINGER OPGJORT EFTER METODE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tab/>
      </w:r>
      <w:r>
        <w:rPr>
          <w:sz w:val="20"/>
          <w:rFonts w:asciiTheme="majorBidi" w:hAnsiTheme="majorBidi"/>
        </w:rPr>
        <w:t xml:space="preserve">C 34.03 – MODPARTSRISIKOEKSPONERINGER, DER BEHANDLES MED STANDARDMETODER: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OG FORENKLET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tab/>
      </w:r>
      <w:r>
        <w:rPr>
          <w:sz w:val="20"/>
          <w:rFonts w:asciiTheme="majorBidi" w:hAnsiTheme="majorBidi"/>
        </w:rPr>
        <w:t xml:space="preserve">C 34.04 – MODPARTSRISIKOEKSPONERINGER, DER BEHANDLES MED DEN OPRINDELIGE EKSPONERINGSMETODE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tab/>
      </w:r>
      <w:r>
        <w:rPr>
          <w:sz w:val="20"/>
          <w:rFonts w:asciiTheme="majorBidi" w:hAnsiTheme="majorBidi"/>
        </w:rPr>
        <w:t xml:space="preserve">C 34.05 – MODPARTSRISIKOEKSPONERINGER, DER BEHANDLES MED METODEN MED INTERNE MODELLER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tab/>
      </w:r>
      <w:r>
        <w:rPr>
          <w:sz w:val="20"/>
          <w:rFonts w:asciiTheme="majorBidi" w:hAnsiTheme="majorBidi"/>
        </w:rPr>
        <w:t xml:space="preserve">C 34.06 – DE 20 STØRSTE MODPARTER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tab/>
      </w:r>
      <w:r>
        <w:rPr>
          <w:sz w:val="20"/>
          <w:rFonts w:asciiTheme="majorBidi" w:hAnsiTheme="majorBidi"/>
        </w:rPr>
        <w:t xml:space="preserve">C 34.07 – IRB-METODEN – MODPARTSRISIKOEKSPONERINGER EFTER EKSPONERINGSKLASSE OG PD-SKALA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tab/>
      </w:r>
      <w:r>
        <w:rPr>
          <w:sz w:val="20"/>
          <w:rFonts w:asciiTheme="majorBidi" w:hAnsiTheme="majorBidi"/>
        </w:rPr>
        <w:t xml:space="preserve">C 34.08 – SAMMENSÆTNINGEN AF SIKKERHEDSSTILLELSE FOR MODPARTSRISIKOEKSPONERINGER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tab/>
      </w:r>
      <w:r>
        <w:rPr>
          <w:sz w:val="20"/>
          <w:rFonts w:asciiTheme="majorBidi" w:hAnsiTheme="majorBidi"/>
        </w:rPr>
        <w:t xml:space="preserve">C 34.09 – EKSPONERING FOR KREDITDERIVATER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tab/>
      </w:r>
      <w:r>
        <w:rPr>
          <w:sz w:val="20"/>
          <w:rFonts w:asciiTheme="majorBidi" w:hAnsiTheme="majorBidi"/>
        </w:rPr>
        <w:t xml:space="preserve">C 34.10 – EKSPONERINGER MOD CCP'ER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tab/>
      </w:r>
      <w:r>
        <w:rPr>
          <w:sz w:val="20"/>
          <w:rFonts w:asciiTheme="majorBidi" w:hAnsiTheme="majorBidi"/>
        </w:rPr>
        <w:t xml:space="preserve">C 34.11 – "FLOWTABELLER" OVER RISIKOVÆGTEDE EKSPONERINGER (RWEA) FOR MODPARTSRISIKOEKSPONERINGER I HENHOLD TIL METODEN MED INTERNE MODELLER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tab/>
      </w:r>
      <w:r>
        <w:rPr>
          <w:sz w:val="20"/>
          <w:rFonts w:asciiTheme="majorBidi" w:hAnsiTheme="majorBidi"/>
        </w:rPr>
        <w:t xml:space="preserve">SKEMAER FOR OPERATIONEL RISIKO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</w:t>
      </w:r>
      <w: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OPERATIONEL RISIKO</w:t>
      </w:r>
      <w:r>
        <w:rPr>
          <w:sz w:val="20"/>
          <w:rFonts w:asciiTheme="majorBidi" w:hAnsiTheme="majorBidi"/>
        </w:rPr>
        <w:t xml:space="preserve">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tab/>
      </w:r>
      <w:r>
        <w:rPr>
          <w:sz w:val="20"/>
          <w:rFonts w:asciiTheme="majorBidi" w:hAnsiTheme="majorBidi"/>
        </w:rPr>
        <w:t xml:space="preserve">OPERATIONEL 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DETALJEREDE OPLYSNINGER OM TAB I DET FOREGÅENDE ÅR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OPERATIONEL RISIKO: TAB OG GODTGØRELSER EFTER FORRETNINGSOMRÅDER OG TYPER AF TABSHÆNDELSER I DET FOREGÅENDE ÅR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OPERATIONEL 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DETALJEREDE OPLYSNINGER OM DE STØRSTE TABSHÆNDELSER I DET FOREGÅENDE ÅR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tab/>
      </w:r>
      <w:r>
        <w:rPr>
          <w:sz w:val="20"/>
          <w:rFonts w:asciiTheme="majorBidi" w:hAnsiTheme="majorBidi"/>
        </w:rPr>
        <w:t xml:space="preserve">SKEMAER FOR MARKEDSRISIKO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tab/>
      </w:r>
      <w:r>
        <w:rPr>
          <w:sz w:val="20"/>
          <w:rFonts w:asciiTheme="majorBidi" w:hAnsiTheme="majorBidi"/>
        </w:rPr>
        <w:t xml:space="preserve">C 18.00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POSITIONSRISICI I HANDLEDE GÆLDSINSTRUMENTER OPGJORT EFTER STANDARDMETODEN</w:t>
      </w:r>
      <w:r>
        <w:rPr>
          <w:sz w:val="20"/>
          <w:rFonts w:asciiTheme="majorBidi" w:hAnsiTheme="majorBidi"/>
        </w:rPr>
        <w:t xml:space="preserve">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tab/>
      </w:r>
      <w:r>
        <w:rPr>
          <w:sz w:val="20"/>
          <w:rFonts w:asciiTheme="majorBidi" w:hAnsiTheme="majorBidi"/>
        </w:rPr>
        <w:t xml:space="preserve">C 19.00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SPECIFIK RISIKO I SECURITISERINGER OPGJORT EFTER STANDARDMETODEN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tab/>
      </w:r>
      <w:r>
        <w:rPr>
          <w:sz w:val="20"/>
          <w:rFonts w:asciiTheme="majorBidi" w:hAnsiTheme="majorBidi"/>
        </w:rPr>
        <w:t xml:space="preserve">C 20.00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SPECIFIK RISIKO FOR POSITIONER TILDELT KORRELATIONSHANDELSPORTEFØLJEN OPGJORT EFTER STANDARDMETODEN (MKR SA CTP</w:t>
      </w:r>
      <w:r>
        <w:rPr>
          <w:sz w:val="20"/>
          <w:rFonts w:asciiTheme="majorBidi" w:hAnsiTheme="majorBidi"/>
        </w:rPr>
        <w:t xml:space="preserve">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tab/>
      </w:r>
      <w:r>
        <w:rPr>
          <w:sz w:val="20"/>
          <w:rFonts w:asciiTheme="majorBidi" w:hAnsiTheme="majorBidi"/>
        </w:rPr>
        <w:t xml:space="preserve">C 21.00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POSITIONSRISIKO I AKTIER OPGJORT EFTER STANDARDMETODEN</w:t>
      </w:r>
      <w:r>
        <w:rPr>
          <w:sz w:val="20"/>
          <w:rFonts w:asciiTheme="majorBidi" w:hAnsiTheme="majorBidi"/>
        </w:rPr>
        <w:t xml:space="preserve">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tab/>
      </w:r>
      <w:r>
        <w:rPr>
          <w:sz w:val="20"/>
          <w:rFonts w:asciiTheme="majorBidi" w:hAnsiTheme="majorBidi"/>
        </w:rPr>
        <w:t xml:space="preserve">C 22.00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VALUTARISIKO OPGJORT EFTER STANDARDMETODEN</w:t>
      </w:r>
      <w:r>
        <w:rPr>
          <w:sz w:val="20"/>
          <w:rFonts w:asciiTheme="majorBidi" w:hAnsiTheme="majorBidi"/>
        </w:rPr>
        <w:t xml:space="preserve">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tab/>
      </w:r>
      <w:r>
        <w:rPr>
          <w:sz w:val="20"/>
          <w:rFonts w:asciiTheme="majorBidi" w:hAnsiTheme="majorBidi"/>
        </w:rPr>
        <w:t xml:space="preserve">C 23.00 – MARKEDSRISIKO: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RÅVARER OPGJORT EFTER STANDARDMETODEN</w:t>
      </w:r>
      <w:r>
        <w:rPr>
          <w:sz w:val="20"/>
          <w:rFonts w:asciiTheme="majorBidi" w:hAnsiTheme="majorBidi"/>
        </w:rPr>
        <w:t xml:space="preserve">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tab/>
      </w:r>
      <w:r>
        <w:rPr>
          <w:sz w:val="20"/>
          <w:rFonts w:asciiTheme="majorBidi" w:hAnsiTheme="majorBidi"/>
        </w:rPr>
        <w:t xml:space="preserve">C 24.00 – MARKEDSRISIKO OPGJORT EFTER DEN INTERNE MODEL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KREDITVÆRDIJUSTERINGSRISIKO (CVA):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tab/>
      </w:r>
      <w:r>
        <w:rPr>
          <w:sz w:val="20"/>
          <w:rFonts w:asciiTheme="majorBidi" w:hAnsiTheme="majorBidi"/>
        </w:rPr>
        <w:t xml:space="preserve">FORSIGTIG VÆRDIANSÆTTELSE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tab/>
      </w:r>
      <w:r>
        <w:rPr>
          <w:sz w:val="20"/>
          <w:rFonts w:asciiTheme="majorBidi" w:hAnsiTheme="majorBidi"/>
        </w:rPr>
        <w:t xml:space="preserve">C 32.01 – FORSIGTIG VÆRDIANSÆTTELSE: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AKTIVER OG PASSIVER TIL DAGSVÆRDI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tab/>
      </w:r>
      <w:r>
        <w:rPr>
          <w:sz w:val="20"/>
          <w:rFonts w:asciiTheme="majorBidi" w:hAnsiTheme="majorBidi"/>
        </w:rPr>
        <w:t xml:space="preserve">C 32.02 – FORSIGTIG VÆRDIANSÆTTELSE: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KERNEMETODE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– FORSIGTIG VÆRDIANSÆTTELSE: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FOR MODELRISIKO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C 32.04 – FORSIGTIG VÆRDIANSÆTTELSE: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FOR KONCENTREREDE POSITIONER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tab/>
      </w:r>
      <w:r>
        <w:rPr>
          <w:sz w:val="20"/>
          <w:rFonts w:asciiTheme="majorBidi" w:hAnsiTheme="majorBidi"/>
        </w:rPr>
        <w:t xml:space="preserve">C 33.00 – EKSPONERINGER MOD OFFENTLIG FORVALTNING OG SERVICE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tab/>
      </w:r>
      <w:r>
        <w:rPr>
          <w:sz w:val="20"/>
          <w:rFonts w:asciiTheme="majorBidi" w:hAnsiTheme="majorBidi"/>
        </w:rPr>
        <w:t xml:space="preserve">OMFANGET AF SKEMAET</w:t>
      </w:r>
      <w:r>
        <w:rPr>
          <w:sz w:val="20"/>
          <w:rFonts w:asciiTheme="majorBidi" w:hAnsiTheme="majorBidi"/>
        </w:rPr>
        <w:t xml:space="preserve"> OM EKSPONERINGER MOD "OFFENTLIG FORVALTNING OG SERVICE"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tab/>
      </w:r>
      <w:r>
        <w:rPr>
          <w:sz w:val="20"/>
          <w:rFonts w:asciiTheme="majorBidi" w:hAnsiTheme="majorBidi"/>
        </w:rPr>
        <w:t xml:space="preserve">DÆKNING AF TAB PÅ MISLIGHOLDTE EKSPONERINGER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</w:t>
      </w:r>
      <w:r>
        <w:rPr>
          <w:sz w:val="20"/>
          <w:rFonts w:asciiTheme="majorBidi" w:hAnsiTheme="majorBidi"/>
        </w:rPr>
        <w:t xml:space="preserve"> BEREGNING AF FRADRAG FOR MISLIGHOLDTE EKSPONERINGER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tab/>
      </w:r>
      <w:r>
        <w:rPr>
          <w:sz w:val="20"/>
          <w:rFonts w:asciiTheme="majorBidi" w:hAnsiTheme="majorBidi"/>
        </w:rPr>
        <w:t xml:space="preserve">C 35.02 – MINIMUMSDÆKNINGSKRAV TIL OG EKSPONERINGSVÆRDI AF MISLIGHOLDTE EKSPONERINGER UDEN KREDITLEMPELSE, SOM ER OMFATTET AF ARTIKEL 47C, STK. 6, I FORORDNING (EU) NR. 575/2013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tab/>
      </w:r>
      <w:r>
        <w:rPr>
          <w:sz w:val="20"/>
          <w:rFonts w:asciiTheme="majorBidi" w:hAnsiTheme="majorBidi"/>
        </w:rPr>
        <w:t xml:space="preserve">C 35.03 – MINIMUMSDÆKNINGSKRAV TIL OG EKSPONERINGSVÆRDI AF MISLIGHOLDTE EKSPONERINGER MED KREDITLEMPELSE, SOM ER OMFATTET AF ARTIKEL 47C, STK. 6, I FORORDNING (EU) NR. 575/2013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tab/>
      </w:r>
      <w:r>
        <w:rPr>
          <w:sz w:val="20"/>
          <w:rFonts w:asciiTheme="majorBidi" w:hAnsiTheme="majorBidi"/>
        </w:rPr>
        <w:t xml:space="preserve">INSTRUKSER VEDRØRENDE SPECIFIKKE POSITIONER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TÆRSKLER FOR HANDELSBEHOLDNING OG MARKEDSRISICI, GRÆNSEN MELLEM POSITIONER I HANDELSBEHOLDNINGEN OG POSITIONER UDEN FOR HANDELSBEHOLDNINGEN SAMT OMKLASSIFICERINGER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9.1.</w:t>
      </w:r>
      <w:r>
        <w:tab/>
      </w:r>
      <w:r>
        <w:rPr>
          <w:sz w:val="20"/>
          <w:rFonts w:asciiTheme="majorBidi" w:hAnsiTheme="majorBidi"/>
        </w:rPr>
        <w:t xml:space="preserve">C 90.00 – TÆRSKLER FOR HANDELSBEHOLDNING OG MARKEDSRISIKO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 GRÆNSEN MELLEM POSITIONER I HANDELSBEHOLDNINGEN OG POSITIONER UDEN FOR HANDELSBEHOLDNINGEN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9.2.1.</w:t>
      </w:r>
      <w:r>
        <w:tab/>
      </w:r>
      <w:r>
        <w:rPr>
          <w:sz w:val="20"/>
          <w:rFonts w:asciiTheme="majorBidi" w:hAnsiTheme="majorBidi"/>
        </w:rPr>
        <w:t xml:space="preserve">GENERELLE BEMÆRKNINGER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</w:t>
      </w:r>
      <w:r>
        <w:tab/>
      </w:r>
      <w:r>
        <w:rPr>
          <w:sz w:val="20"/>
          <w:rFonts w:asciiTheme="majorBidi" w:hAnsiTheme="majorBidi"/>
        </w:rPr>
        <w:t xml:space="preserve">C 90.05 – GRÆNSE: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POSITIONER I HANDELSBEHOLDNINGEN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9.2.2.1. GENERELLE BEMÆRKNINGER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9.2.2.2. INSTRUKSER VEDRØRENDE SPECIFIKKE POSITIONER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</w:t>
      </w:r>
      <w:r>
        <w:tab/>
      </w:r>
      <w:r>
        <w:rPr>
          <w:sz w:val="20"/>
          <w:rFonts w:asciiTheme="majorBidi" w:hAnsiTheme="majorBidi"/>
        </w:rPr>
        <w:t xml:space="preserve">C 90.06 – GRÆNSE: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POSITIONER UDEN FOR HANDELSBEHOLDNINGEN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9.2.3.1. GENERELLE BEMÆRKNINGER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9.2.3.2. – INSTRUKSER VEDRØRENDE SPECIFIKKE POSITIONER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9.3. C 24.01 – GRÆNSE MELLEM HANDELSBEHOLDNING OG ANLÆGSBEHOLDNING – OMKLASSIFICERINGER MELLEM BEHOLDNINGER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EKSPONERINGER MOD KRYPTOAKTIVER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10.1. GENERELLE BEMÆRKNINGER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– INSTRUKSER VEDRØRENDE SPECIFIKKE POSITIONER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DEL I: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GENERELLE INSTRUKSER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tab/>
      </w:r>
      <w:r>
        <w:rPr>
          <w:sz w:val="24"/>
          <w:u w:val="none"/>
          <w:rFonts w:asciiTheme="majorBidi" w:hAnsiTheme="majorBidi"/>
        </w:rPr>
        <w:t xml:space="preserve">OPBYGNING OG KONVENTIONER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tab/>
      </w:r>
      <w:r>
        <w:rPr>
          <w:sz w:val="24"/>
          <w:u w:val="none"/>
          <w:rFonts w:asciiTheme="majorBidi" w:hAnsiTheme="majorBidi"/>
        </w:rPr>
        <w:t xml:space="preserve">OPBYGNING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1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Den overordnede ramme dækker seks emner: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tab/>
      </w:r>
      <w:r>
        <w:rPr>
          <w:rFonts w:asciiTheme="majorBidi" w:hAnsiTheme="majorBidi"/>
        </w:rPr>
        <w:t xml:space="preserve">kapitalgrundlag, oversigt over lovpligtig kapital, samlet risikoeksponering, forsigtig værdiansættelse, dækning af tab for misligholdte eksponeringer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tab/>
      </w:r>
      <w:r>
        <w:rPr>
          <w:rFonts w:asciiTheme="majorBidi" w:hAnsiTheme="majorBidi"/>
        </w:rPr>
        <w:t xml:space="preserve">koncernsolvens, en oversigt over opfyldelsen af solvenskravene for alle individuelle enheder, der er omfattet af den indberettende enheds konsolidering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tab/>
      </w:r>
      <w:r>
        <w:rPr>
          <w:rFonts w:asciiTheme="majorBidi" w:hAnsiTheme="majorBidi"/>
        </w:rPr>
        <w:t xml:space="preserve">kreditrisiko (herunder modparts-, udvandings- og afviklingsrisici)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tab/>
      </w:r>
      <w:r>
        <w:rPr>
          <w:rFonts w:asciiTheme="majorBidi" w:hAnsiTheme="majorBidi"/>
        </w:rPr>
        <w:t xml:space="preserve">markedsrisiko (herunder positionsrisiko i handelsbeholdningen, valutarisiko, råvarerisiko og kreditværdijusteringsrisiko)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tab/>
      </w:r>
      <w:r>
        <w:rPr>
          <w:rFonts w:asciiTheme="majorBidi" w:hAnsiTheme="majorBidi"/>
        </w:rPr>
        <w:t xml:space="preserve">operationel risiko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eksponeringer mod offentlig forvaltning og service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eksponeringer mod kryptoaktiver.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2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For hvert skema gives der henvisninger til retsakter.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Yderligere detaljerede oplysninger om de mere generelle aspekter af indberetningen via hver blok af skemaer, instrukser vedrørende specifikke positioner samt valideringsregler findes i denne del af denne gennemførelsesforordning.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3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Institutterne skal kun indgive de skemaer, der er relevante for den anvendte metode til bestemmelse af kapitalgrundlagskravene.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tab/>
      </w:r>
      <w:r>
        <w:rPr>
          <w:sz w:val="24"/>
          <w:u w:val="none"/>
          <w:rFonts w:asciiTheme="majorBidi" w:hAnsiTheme="majorBidi"/>
        </w:rPr>
        <w:t xml:space="preserve">Konvention for nummerering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4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Dokumentet følger de konventioner for tekst, der er beskrevet i punkt 5 til 8, når der henvises til kolonner, rækker og celler i skemaerne.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Disse numeriske koder anvendes i vid udstrækning i valideringsreglerne.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5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Følgende generelle notation anvendes i instrukserne: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{Skema,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Række,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Kolonne}.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6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Ved valideringer i et skema, hvor kun datapunkter fra skemaet anvendes, henviser notationer ikke til et skema: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{Række,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Kolonne}.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7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I forbindelse med skemaer med kun én kolonne henvises der kun til rækker: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{Skema,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Række}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8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En asterisk viser, at validering udføres for de angivne rækker eller kolonner.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tab/>
      </w:r>
      <w:r>
        <w:rPr>
          <w:sz w:val="24"/>
          <w:u w:val="none"/>
          <w:rFonts w:asciiTheme="majorBidi" w:hAnsiTheme="majorBidi"/>
        </w:rPr>
        <w:t xml:space="preserve">Konvention for tegn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9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tab/>
      </w:r>
      <w:r>
        <w:rPr>
          <w:rFonts w:asciiTheme="majorBidi" w:hAnsiTheme="majorBidi"/>
        </w:rPr>
        <w:t xml:space="preserve">Beløb, der forøger kapitalgrundlaget eller kapitalkravene, indberettes som et positivt tal.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Modsat indberettes beløb, der reducerer det samlede kapitalgrundlag eller kapitalkravet, som et negativt tal.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Hvis der er indsat et negativt fortegn (-) ved teksten ud for en post, indberettes et positivt tal ikke for den pågældende post.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begin" w:dirty="true"/>
      </w:r>
      <w:r>
        <w:rPr>
          <w:rFonts w:asciiTheme="majorBidi" w:hAnsiTheme="majorBidi" w:cstheme="majorBidi"/>
        </w:rPr>
        <w:instrText>seq paragraphs</w:instrText>
      </w:r>
      <w:r>
        <w:rPr>
          <w:rFonts w:asciiTheme="majorBidi" w:hAnsiTheme="majorBidi" w:cstheme="majorBidi"/>
        </w:rPr>
        <w:fldChar w:fldCharType="separate"/>
      </w:r>
      <w:r>
        <w:rPr>
          <w:rFonts w:asciiTheme="majorBidi" w:hAnsiTheme="majorBidi" w:cstheme="majorBidi"/>
        </w:rPr>
        <w:t xml:space="preserve">10</w:t>
      </w:r>
      <w:r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[tom]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da-DK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da-DK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da-DK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da-DK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da-DK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da-DK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da-DK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da-DK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da-DK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da-DK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da-DK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da-DK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da-DK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da-DK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da-DK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da-DK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da-DK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da-DK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da-DK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da-DK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da-DK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da-DK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da-DK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da-DK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da-DK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da-DK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da-DK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da-DK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da-DK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da-DK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da-DK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da-DK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da-DK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da-DK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da-DK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da-DK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da-DK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E98BF8-2D42-4482-85DC-972BD98834B2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