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7A5804" w:rsidRDefault="007A5804">
      <w:pPr>
        <w:pStyle w:val="abbreviation"/>
      </w:pPr>
    </w:p>
    <w:p w14:paraId="7FE1B2AF" w14:textId="77777777" w:rsidR="007A5804" w:rsidRDefault="007B7723">
      <w:pPr>
        <w:pStyle w:val="P68B1DB1-ListParagraph1"/>
        <w:jc w:val="center"/>
        <w:rPr>
          <w:bCs/>
        </w:rPr>
      </w:pPr>
      <w:r>
        <w:t>Príloha II: Pokyny</w:t>
      </w:r>
    </w:p>
    <w:p w14:paraId="7FE1B2B0" w14:textId="77777777" w:rsidR="007A5804" w:rsidRDefault="007A5804">
      <w:pPr>
        <w:rPr>
          <w:rFonts w:ascii="Times New Roman" w:hAnsi="Times New Roman" w:cs="Times New Roman"/>
          <w:b/>
          <w:color w:val="000000" w:themeColor="text1"/>
          <w:sz w:val="20"/>
          <w:szCs w:val="20"/>
        </w:rPr>
      </w:pPr>
    </w:p>
    <w:p w14:paraId="7FE1B2B1" w14:textId="77777777" w:rsidR="007A5804" w:rsidRDefault="007A5804">
      <w:pPr>
        <w:rPr>
          <w:rFonts w:ascii="Times New Roman" w:hAnsi="Times New Roman" w:cs="Times New Roman"/>
          <w:b/>
          <w:color w:val="000000" w:themeColor="text1"/>
          <w:sz w:val="20"/>
          <w:szCs w:val="20"/>
        </w:rPr>
      </w:pPr>
    </w:p>
    <w:p w14:paraId="5068DA30" w14:textId="03A5DCBA" w:rsidR="007B7723" w:rsidRDefault="007B7723">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5229" w:history="1">
        <w:r w:rsidRPr="00BB293C">
          <w:rPr>
            <w:rStyle w:val="Hyperlink"/>
            <w:noProof/>
          </w:rPr>
          <w:t>I.</w:t>
        </w:r>
        <w:r>
          <w:rPr>
            <w:noProof/>
            <w:kern w:val="2"/>
            <w:sz w:val="24"/>
            <w:szCs w:val="24"/>
            <w:lang w:val="en-GB"/>
            <w14:ligatures w14:val="standardContextual"/>
          </w:rPr>
          <w:tab/>
        </w:r>
        <w:r w:rsidRPr="00BB293C">
          <w:rPr>
            <w:rStyle w:val="Hyperlink"/>
            <w:noProof/>
          </w:rPr>
          <w:t>Všeobecné pokyny</w:t>
        </w:r>
        <w:r>
          <w:rPr>
            <w:noProof/>
            <w:webHidden/>
          </w:rPr>
          <w:tab/>
        </w:r>
        <w:r>
          <w:rPr>
            <w:noProof/>
            <w:webHidden/>
          </w:rPr>
          <w:fldChar w:fldCharType="begin"/>
        </w:r>
        <w:r>
          <w:rPr>
            <w:noProof/>
            <w:webHidden/>
          </w:rPr>
          <w:instrText xml:space="preserve"> PAGEREF _Toc208245229 \h </w:instrText>
        </w:r>
        <w:r>
          <w:rPr>
            <w:noProof/>
            <w:webHidden/>
          </w:rPr>
        </w:r>
        <w:r>
          <w:rPr>
            <w:noProof/>
            <w:webHidden/>
          </w:rPr>
          <w:fldChar w:fldCharType="separate"/>
        </w:r>
        <w:r>
          <w:rPr>
            <w:noProof/>
            <w:webHidden/>
          </w:rPr>
          <w:t>3</w:t>
        </w:r>
        <w:r>
          <w:rPr>
            <w:noProof/>
            <w:webHidden/>
          </w:rPr>
          <w:fldChar w:fldCharType="end"/>
        </w:r>
      </w:hyperlink>
    </w:p>
    <w:p w14:paraId="6187472A" w14:textId="69EB28DC" w:rsidR="007B7723" w:rsidRDefault="007B7723">
      <w:pPr>
        <w:pStyle w:val="TOC2"/>
        <w:rPr>
          <w:noProof/>
          <w:kern w:val="2"/>
          <w:sz w:val="24"/>
          <w:szCs w:val="24"/>
          <w:lang w:val="en-GB"/>
          <w14:ligatures w14:val="standardContextual"/>
        </w:rPr>
      </w:pPr>
      <w:hyperlink w:anchor="_Toc208245230" w:history="1">
        <w:r w:rsidRPr="00BB293C">
          <w:rPr>
            <w:rStyle w:val="Hyperlink"/>
            <w:noProof/>
          </w:rPr>
          <w:t>I.1</w:t>
        </w:r>
        <w:r>
          <w:rPr>
            <w:noProof/>
            <w:kern w:val="2"/>
            <w:sz w:val="24"/>
            <w:szCs w:val="24"/>
            <w:lang w:val="en-GB"/>
            <w14:ligatures w14:val="standardContextual"/>
          </w:rPr>
          <w:tab/>
        </w:r>
        <w:r w:rsidR="00CB6053">
          <w:rPr>
            <w:rStyle w:val="Hyperlink"/>
            <w:noProof/>
          </w:rPr>
          <w:t>Štruktúra</w:t>
        </w:r>
        <w:r>
          <w:rPr>
            <w:noProof/>
            <w:webHidden/>
          </w:rPr>
          <w:tab/>
        </w:r>
        <w:r>
          <w:rPr>
            <w:noProof/>
            <w:webHidden/>
          </w:rPr>
          <w:fldChar w:fldCharType="begin"/>
        </w:r>
        <w:r>
          <w:rPr>
            <w:noProof/>
            <w:webHidden/>
          </w:rPr>
          <w:instrText xml:space="preserve"> PAGEREF _Toc208245230 \h </w:instrText>
        </w:r>
        <w:r>
          <w:rPr>
            <w:noProof/>
            <w:webHidden/>
          </w:rPr>
        </w:r>
        <w:r>
          <w:rPr>
            <w:noProof/>
            <w:webHidden/>
          </w:rPr>
          <w:fldChar w:fldCharType="separate"/>
        </w:r>
        <w:r>
          <w:rPr>
            <w:noProof/>
            <w:webHidden/>
          </w:rPr>
          <w:t>3</w:t>
        </w:r>
        <w:r>
          <w:rPr>
            <w:noProof/>
            <w:webHidden/>
          </w:rPr>
          <w:fldChar w:fldCharType="end"/>
        </w:r>
      </w:hyperlink>
    </w:p>
    <w:p w14:paraId="1DC20D65" w14:textId="57BC649F" w:rsidR="007B7723" w:rsidRDefault="007B7723">
      <w:pPr>
        <w:pStyle w:val="TOC2"/>
        <w:rPr>
          <w:noProof/>
          <w:kern w:val="2"/>
          <w:sz w:val="24"/>
          <w:szCs w:val="24"/>
          <w:lang w:val="en-GB"/>
          <w14:ligatures w14:val="standardContextual"/>
        </w:rPr>
      </w:pPr>
      <w:hyperlink w:anchor="_Toc208245231" w:history="1">
        <w:r w:rsidRPr="00BB293C">
          <w:rPr>
            <w:rStyle w:val="Hyperlink"/>
            <w:noProof/>
          </w:rPr>
          <w:t>I.2</w:t>
        </w:r>
        <w:r>
          <w:rPr>
            <w:noProof/>
            <w:kern w:val="2"/>
            <w:sz w:val="24"/>
            <w:szCs w:val="24"/>
            <w:lang w:val="en-GB"/>
            <w14:ligatures w14:val="standardContextual"/>
          </w:rPr>
          <w:tab/>
        </w:r>
        <w:r w:rsidRPr="00BB293C">
          <w:rPr>
            <w:rStyle w:val="Hyperlink"/>
            <w:noProof/>
          </w:rPr>
          <w:t>Referenčné čísla</w:t>
        </w:r>
        <w:r>
          <w:rPr>
            <w:noProof/>
            <w:webHidden/>
          </w:rPr>
          <w:tab/>
        </w:r>
        <w:r>
          <w:rPr>
            <w:noProof/>
            <w:webHidden/>
          </w:rPr>
          <w:fldChar w:fldCharType="begin"/>
        </w:r>
        <w:r>
          <w:rPr>
            <w:noProof/>
            <w:webHidden/>
          </w:rPr>
          <w:instrText xml:space="preserve"> PAGEREF _Toc208245231 \h </w:instrText>
        </w:r>
        <w:r>
          <w:rPr>
            <w:noProof/>
            <w:webHidden/>
          </w:rPr>
        </w:r>
        <w:r>
          <w:rPr>
            <w:noProof/>
            <w:webHidden/>
          </w:rPr>
          <w:fldChar w:fldCharType="separate"/>
        </w:r>
        <w:r>
          <w:rPr>
            <w:noProof/>
            <w:webHidden/>
          </w:rPr>
          <w:t>4</w:t>
        </w:r>
        <w:r>
          <w:rPr>
            <w:noProof/>
            <w:webHidden/>
          </w:rPr>
          <w:fldChar w:fldCharType="end"/>
        </w:r>
      </w:hyperlink>
    </w:p>
    <w:p w14:paraId="3888AE30" w14:textId="0138FC36" w:rsidR="007B7723" w:rsidRDefault="007B7723">
      <w:pPr>
        <w:pStyle w:val="TOC2"/>
        <w:rPr>
          <w:noProof/>
          <w:kern w:val="2"/>
          <w:sz w:val="24"/>
          <w:szCs w:val="24"/>
          <w:lang w:val="en-GB"/>
          <w14:ligatures w14:val="standardContextual"/>
        </w:rPr>
      </w:pPr>
      <w:hyperlink w:anchor="_Toc208245232" w:history="1">
        <w:r w:rsidRPr="00BB293C">
          <w:rPr>
            <w:rStyle w:val="Hyperlink"/>
            <w:noProof/>
          </w:rPr>
          <w:t>I.3</w:t>
        </w:r>
        <w:r>
          <w:rPr>
            <w:noProof/>
            <w:kern w:val="2"/>
            <w:sz w:val="24"/>
            <w:szCs w:val="24"/>
            <w:lang w:val="en-GB"/>
            <w14:ligatures w14:val="standardContextual"/>
          </w:rPr>
          <w:tab/>
        </w:r>
        <w:r w:rsidRPr="00BB293C">
          <w:rPr>
            <w:rStyle w:val="Hyperlink"/>
            <w:noProof/>
          </w:rPr>
          <w:t>Účtovné štandardy</w:t>
        </w:r>
        <w:r>
          <w:rPr>
            <w:noProof/>
            <w:webHidden/>
          </w:rPr>
          <w:tab/>
        </w:r>
        <w:r>
          <w:rPr>
            <w:noProof/>
            <w:webHidden/>
          </w:rPr>
          <w:fldChar w:fldCharType="begin"/>
        </w:r>
        <w:r>
          <w:rPr>
            <w:noProof/>
            <w:webHidden/>
          </w:rPr>
          <w:instrText xml:space="preserve"> PAGEREF _Toc208245232 \h </w:instrText>
        </w:r>
        <w:r>
          <w:rPr>
            <w:noProof/>
            <w:webHidden/>
          </w:rPr>
        </w:r>
        <w:r>
          <w:rPr>
            <w:noProof/>
            <w:webHidden/>
          </w:rPr>
          <w:fldChar w:fldCharType="separate"/>
        </w:r>
        <w:r>
          <w:rPr>
            <w:noProof/>
            <w:webHidden/>
          </w:rPr>
          <w:t>5</w:t>
        </w:r>
        <w:r>
          <w:rPr>
            <w:noProof/>
            <w:webHidden/>
          </w:rPr>
          <w:fldChar w:fldCharType="end"/>
        </w:r>
      </w:hyperlink>
    </w:p>
    <w:p w14:paraId="6E8F40C0" w14:textId="14087FB4" w:rsidR="007B7723" w:rsidRDefault="007B7723">
      <w:pPr>
        <w:pStyle w:val="TOC2"/>
        <w:rPr>
          <w:noProof/>
          <w:kern w:val="2"/>
          <w:sz w:val="24"/>
          <w:szCs w:val="24"/>
          <w:lang w:val="en-GB"/>
          <w14:ligatures w14:val="standardContextual"/>
        </w:rPr>
      </w:pPr>
      <w:hyperlink w:anchor="_Toc208245233" w:history="1">
        <w:r w:rsidRPr="00BB293C">
          <w:rPr>
            <w:rStyle w:val="Hyperlink"/>
            <w:noProof/>
          </w:rPr>
          <w:t>I.4</w:t>
        </w:r>
        <w:r>
          <w:rPr>
            <w:noProof/>
            <w:kern w:val="2"/>
            <w:sz w:val="24"/>
            <w:szCs w:val="24"/>
            <w:lang w:val="en-GB"/>
            <w14:ligatures w14:val="standardContextual"/>
          </w:rPr>
          <w:tab/>
        </w:r>
        <w:r w:rsidRPr="00BB293C">
          <w:rPr>
            <w:rStyle w:val="Hyperlink"/>
            <w:noProof/>
          </w:rPr>
          <w:t>Oznamovanie údajov v oblasti dohľadu</w:t>
        </w:r>
        <w:r>
          <w:rPr>
            <w:noProof/>
            <w:webHidden/>
          </w:rPr>
          <w:tab/>
        </w:r>
        <w:r>
          <w:rPr>
            <w:noProof/>
            <w:webHidden/>
          </w:rPr>
          <w:fldChar w:fldCharType="begin"/>
        </w:r>
        <w:r>
          <w:rPr>
            <w:noProof/>
            <w:webHidden/>
          </w:rPr>
          <w:instrText xml:space="preserve"> PAGEREF _Toc208245233 \h </w:instrText>
        </w:r>
        <w:r>
          <w:rPr>
            <w:noProof/>
            <w:webHidden/>
          </w:rPr>
        </w:r>
        <w:r>
          <w:rPr>
            <w:noProof/>
            <w:webHidden/>
          </w:rPr>
          <w:fldChar w:fldCharType="separate"/>
        </w:r>
        <w:r>
          <w:rPr>
            <w:noProof/>
            <w:webHidden/>
          </w:rPr>
          <w:t>5</w:t>
        </w:r>
        <w:r>
          <w:rPr>
            <w:noProof/>
            <w:webHidden/>
          </w:rPr>
          <w:fldChar w:fldCharType="end"/>
        </w:r>
      </w:hyperlink>
    </w:p>
    <w:p w14:paraId="08B3F360" w14:textId="20C89D23" w:rsidR="007B7723" w:rsidRDefault="007B7723">
      <w:pPr>
        <w:pStyle w:val="TOC2"/>
        <w:rPr>
          <w:noProof/>
          <w:kern w:val="2"/>
          <w:sz w:val="24"/>
          <w:szCs w:val="24"/>
          <w:lang w:val="en-GB"/>
          <w14:ligatures w14:val="standardContextual"/>
        </w:rPr>
      </w:pPr>
      <w:hyperlink w:anchor="_Toc208245234" w:history="1">
        <w:r w:rsidRPr="00BB293C">
          <w:rPr>
            <w:rStyle w:val="Hyperlink"/>
            <w:noProof/>
          </w:rPr>
          <w:t>I.5</w:t>
        </w:r>
        <w:r>
          <w:rPr>
            <w:noProof/>
            <w:kern w:val="2"/>
            <w:sz w:val="24"/>
            <w:szCs w:val="24"/>
            <w:lang w:val="en-GB"/>
            <w14:ligatures w14:val="standardContextual"/>
          </w:rPr>
          <w:tab/>
        </w:r>
        <w:r w:rsidRPr="00BB293C">
          <w:rPr>
            <w:rStyle w:val="Hyperlink"/>
            <w:noProof/>
          </w:rPr>
          <w:t>Rozsah konsolidácie</w:t>
        </w:r>
        <w:r>
          <w:rPr>
            <w:noProof/>
            <w:webHidden/>
          </w:rPr>
          <w:tab/>
        </w:r>
        <w:r>
          <w:rPr>
            <w:noProof/>
            <w:webHidden/>
          </w:rPr>
          <w:fldChar w:fldCharType="begin"/>
        </w:r>
        <w:r>
          <w:rPr>
            <w:noProof/>
            <w:webHidden/>
          </w:rPr>
          <w:instrText xml:space="preserve"> PAGEREF _Toc208245234 \h </w:instrText>
        </w:r>
        <w:r>
          <w:rPr>
            <w:noProof/>
            <w:webHidden/>
          </w:rPr>
        </w:r>
        <w:r>
          <w:rPr>
            <w:noProof/>
            <w:webHidden/>
          </w:rPr>
          <w:fldChar w:fldCharType="separate"/>
        </w:r>
        <w:r>
          <w:rPr>
            <w:noProof/>
            <w:webHidden/>
          </w:rPr>
          <w:t>6</w:t>
        </w:r>
        <w:r>
          <w:rPr>
            <w:noProof/>
            <w:webHidden/>
          </w:rPr>
          <w:fldChar w:fldCharType="end"/>
        </w:r>
      </w:hyperlink>
    </w:p>
    <w:p w14:paraId="7A8C5375" w14:textId="1BC6D0CD" w:rsidR="007B7723" w:rsidRDefault="007B7723">
      <w:pPr>
        <w:pStyle w:val="TOC2"/>
        <w:rPr>
          <w:noProof/>
          <w:kern w:val="2"/>
          <w:sz w:val="24"/>
          <w:szCs w:val="24"/>
          <w:lang w:val="en-GB"/>
          <w14:ligatures w14:val="standardContextual"/>
        </w:rPr>
      </w:pPr>
      <w:hyperlink w:anchor="_Toc208245235" w:history="1">
        <w:r w:rsidRPr="00BB293C">
          <w:rPr>
            <w:rStyle w:val="Hyperlink"/>
            <w:noProof/>
          </w:rPr>
          <w:t>I.6</w:t>
        </w:r>
        <w:r>
          <w:rPr>
            <w:noProof/>
            <w:kern w:val="2"/>
            <w:sz w:val="24"/>
            <w:szCs w:val="24"/>
            <w:lang w:val="en-GB"/>
            <w14:ligatures w14:val="standardContextual"/>
          </w:rPr>
          <w:tab/>
        </w:r>
        <w:r w:rsidRPr="00BB293C">
          <w:rPr>
            <w:rStyle w:val="Hyperlink"/>
            <w:noProof/>
          </w:rPr>
          <w:t>Číslovanie a iné pravidlá</w:t>
        </w:r>
        <w:r>
          <w:rPr>
            <w:noProof/>
            <w:webHidden/>
          </w:rPr>
          <w:tab/>
        </w:r>
        <w:r>
          <w:rPr>
            <w:noProof/>
            <w:webHidden/>
          </w:rPr>
          <w:fldChar w:fldCharType="begin"/>
        </w:r>
        <w:r>
          <w:rPr>
            <w:noProof/>
            <w:webHidden/>
          </w:rPr>
          <w:instrText xml:space="preserve"> PAGEREF _Toc208245235 \h </w:instrText>
        </w:r>
        <w:r>
          <w:rPr>
            <w:noProof/>
            <w:webHidden/>
          </w:rPr>
        </w:r>
        <w:r>
          <w:rPr>
            <w:noProof/>
            <w:webHidden/>
          </w:rPr>
          <w:fldChar w:fldCharType="separate"/>
        </w:r>
        <w:r>
          <w:rPr>
            <w:noProof/>
            <w:webHidden/>
          </w:rPr>
          <w:t>6</w:t>
        </w:r>
        <w:r>
          <w:rPr>
            <w:noProof/>
            <w:webHidden/>
          </w:rPr>
          <w:fldChar w:fldCharType="end"/>
        </w:r>
      </w:hyperlink>
    </w:p>
    <w:p w14:paraId="746AA86F" w14:textId="33E9BAC9" w:rsidR="007B7723" w:rsidRDefault="007B7723">
      <w:pPr>
        <w:pStyle w:val="TOC2"/>
        <w:rPr>
          <w:noProof/>
          <w:kern w:val="2"/>
          <w:sz w:val="24"/>
          <w:szCs w:val="24"/>
          <w:lang w:val="en-GB"/>
          <w14:ligatures w14:val="standardContextual"/>
        </w:rPr>
      </w:pPr>
      <w:hyperlink w:anchor="_Toc208245236" w:history="1">
        <w:r w:rsidRPr="00BB293C">
          <w:rPr>
            <w:rStyle w:val="Hyperlink"/>
            <w:noProof/>
          </w:rPr>
          <w:t>II.</w:t>
        </w:r>
        <w:r>
          <w:rPr>
            <w:noProof/>
            <w:kern w:val="2"/>
            <w:sz w:val="24"/>
            <w:szCs w:val="24"/>
            <w:lang w:val="en-GB"/>
            <w14:ligatures w14:val="standardContextual"/>
          </w:rPr>
          <w:tab/>
        </w:r>
        <w:r w:rsidRPr="00BB293C">
          <w:rPr>
            <w:rStyle w:val="Hyperlink"/>
            <w:noProof/>
          </w:rPr>
          <w:t>Pokyny týkajúce sa vzorov</w:t>
        </w:r>
        <w:r>
          <w:rPr>
            <w:noProof/>
            <w:webHidden/>
          </w:rPr>
          <w:tab/>
        </w:r>
        <w:r>
          <w:rPr>
            <w:noProof/>
            <w:webHidden/>
          </w:rPr>
          <w:fldChar w:fldCharType="begin"/>
        </w:r>
        <w:r>
          <w:rPr>
            <w:noProof/>
            <w:webHidden/>
          </w:rPr>
          <w:instrText xml:space="preserve"> PAGEREF _Toc208245236 \h </w:instrText>
        </w:r>
        <w:r>
          <w:rPr>
            <w:noProof/>
            <w:webHidden/>
          </w:rPr>
        </w:r>
        <w:r>
          <w:rPr>
            <w:noProof/>
            <w:webHidden/>
          </w:rPr>
          <w:fldChar w:fldCharType="separate"/>
        </w:r>
        <w:r>
          <w:rPr>
            <w:noProof/>
            <w:webHidden/>
          </w:rPr>
          <w:t>6</w:t>
        </w:r>
        <w:r>
          <w:rPr>
            <w:noProof/>
            <w:webHidden/>
          </w:rPr>
          <w:fldChar w:fldCharType="end"/>
        </w:r>
      </w:hyperlink>
    </w:p>
    <w:p w14:paraId="3ACCB11F" w14:textId="6EE828B1" w:rsidR="007B7723" w:rsidRDefault="007B7723">
      <w:pPr>
        <w:pStyle w:val="TOC2"/>
        <w:rPr>
          <w:noProof/>
          <w:kern w:val="2"/>
          <w:sz w:val="24"/>
          <w:szCs w:val="24"/>
          <w:lang w:val="en-GB"/>
          <w14:ligatures w14:val="standardContextual"/>
        </w:rPr>
      </w:pPr>
      <w:hyperlink w:anchor="_Toc208245237" w:history="1">
        <w:r w:rsidRPr="00BB293C">
          <w:rPr>
            <w:rStyle w:val="Hyperlink"/>
            <w:noProof/>
          </w:rPr>
          <w:t>II.1</w:t>
        </w:r>
        <w:r>
          <w:rPr>
            <w:noProof/>
            <w:kern w:val="2"/>
            <w:sz w:val="24"/>
            <w:szCs w:val="24"/>
            <w:lang w:val="en-GB"/>
            <w14:ligatures w14:val="standardContextual"/>
          </w:rPr>
          <w:tab/>
        </w:r>
        <w:r w:rsidRPr="00BB293C">
          <w:rPr>
            <w:rStyle w:val="Hyperlink"/>
            <w:noProof/>
          </w:rPr>
          <w:t>Z 01.01 – Právnické osoby (ORG 1)</w:t>
        </w:r>
        <w:r>
          <w:rPr>
            <w:noProof/>
            <w:webHidden/>
          </w:rPr>
          <w:tab/>
        </w:r>
        <w:r>
          <w:rPr>
            <w:noProof/>
            <w:webHidden/>
          </w:rPr>
          <w:fldChar w:fldCharType="begin"/>
        </w:r>
        <w:r>
          <w:rPr>
            <w:noProof/>
            <w:webHidden/>
          </w:rPr>
          <w:instrText xml:space="preserve"> PAGEREF _Toc208245237 \h </w:instrText>
        </w:r>
        <w:r>
          <w:rPr>
            <w:noProof/>
            <w:webHidden/>
          </w:rPr>
        </w:r>
        <w:r>
          <w:rPr>
            <w:noProof/>
            <w:webHidden/>
          </w:rPr>
          <w:fldChar w:fldCharType="separate"/>
        </w:r>
        <w:r>
          <w:rPr>
            <w:noProof/>
            <w:webHidden/>
          </w:rPr>
          <w:t>6</w:t>
        </w:r>
        <w:r>
          <w:rPr>
            <w:noProof/>
            <w:webHidden/>
          </w:rPr>
          <w:fldChar w:fldCharType="end"/>
        </w:r>
      </w:hyperlink>
    </w:p>
    <w:p w14:paraId="59B3C368" w14:textId="23585447" w:rsidR="007B7723" w:rsidRDefault="007B7723">
      <w:pPr>
        <w:pStyle w:val="TOC2"/>
        <w:rPr>
          <w:noProof/>
          <w:kern w:val="2"/>
          <w:sz w:val="24"/>
          <w:szCs w:val="24"/>
          <w:lang w:val="en-GB"/>
          <w14:ligatures w14:val="standardContextual"/>
        </w:rPr>
      </w:pPr>
      <w:hyperlink w:anchor="_Toc208245238" w:history="1">
        <w:r w:rsidRPr="00BB293C">
          <w:rPr>
            <w:rStyle w:val="Hyperlink"/>
            <w:noProof/>
          </w:rPr>
          <w:t>II.2</w:t>
        </w:r>
        <w:r>
          <w:rPr>
            <w:noProof/>
            <w:kern w:val="2"/>
            <w:sz w:val="24"/>
            <w:szCs w:val="24"/>
            <w:lang w:val="en-GB"/>
            <w14:ligatures w14:val="standardContextual"/>
          </w:rPr>
          <w:tab/>
        </w:r>
        <w:r w:rsidRPr="00BB293C">
          <w:rPr>
            <w:rStyle w:val="Hyperlink"/>
            <w:noProof/>
          </w:rPr>
          <w:t>Z 01.02 – Vlastnícka štruktúra (ORG 2)</w:t>
        </w:r>
        <w:r>
          <w:rPr>
            <w:noProof/>
            <w:webHidden/>
          </w:rPr>
          <w:tab/>
        </w:r>
        <w:r>
          <w:rPr>
            <w:noProof/>
            <w:webHidden/>
          </w:rPr>
          <w:fldChar w:fldCharType="begin"/>
        </w:r>
        <w:r>
          <w:rPr>
            <w:noProof/>
            <w:webHidden/>
          </w:rPr>
          <w:instrText xml:space="preserve"> PAGEREF _Toc208245238 \h </w:instrText>
        </w:r>
        <w:r>
          <w:rPr>
            <w:noProof/>
            <w:webHidden/>
          </w:rPr>
        </w:r>
        <w:r>
          <w:rPr>
            <w:noProof/>
            <w:webHidden/>
          </w:rPr>
          <w:fldChar w:fldCharType="separate"/>
        </w:r>
        <w:r>
          <w:rPr>
            <w:noProof/>
            <w:webHidden/>
          </w:rPr>
          <w:t>10</w:t>
        </w:r>
        <w:r>
          <w:rPr>
            <w:noProof/>
            <w:webHidden/>
          </w:rPr>
          <w:fldChar w:fldCharType="end"/>
        </w:r>
      </w:hyperlink>
    </w:p>
    <w:p w14:paraId="605C621E" w14:textId="0D8044BB" w:rsidR="007B7723" w:rsidRDefault="007B7723">
      <w:pPr>
        <w:pStyle w:val="TOC2"/>
        <w:rPr>
          <w:noProof/>
          <w:kern w:val="2"/>
          <w:sz w:val="24"/>
          <w:szCs w:val="24"/>
          <w:lang w:val="en-GB"/>
          <w14:ligatures w14:val="standardContextual"/>
        </w:rPr>
      </w:pPr>
      <w:hyperlink w:anchor="_Toc208245239" w:history="1">
        <w:r w:rsidRPr="00BB293C">
          <w:rPr>
            <w:rStyle w:val="Hyperlink"/>
            <w:noProof/>
          </w:rPr>
          <w:t>II.3</w:t>
        </w:r>
        <w:r>
          <w:rPr>
            <w:noProof/>
            <w:kern w:val="2"/>
            <w:sz w:val="24"/>
            <w:szCs w:val="24"/>
            <w:lang w:val="en-GB"/>
            <w14:ligatures w14:val="standardContextual"/>
          </w:rPr>
          <w:tab/>
        </w:r>
        <w:r w:rsidRPr="00BB293C">
          <w:rPr>
            <w:rStyle w:val="Hyperlink"/>
            <w:noProof/>
          </w:rPr>
          <w:t>Z 02.00 – Štruktúra záväzkov (LIAB 1)</w:t>
        </w:r>
        <w:r>
          <w:rPr>
            <w:noProof/>
            <w:webHidden/>
          </w:rPr>
          <w:tab/>
        </w:r>
        <w:r>
          <w:rPr>
            <w:noProof/>
            <w:webHidden/>
          </w:rPr>
          <w:fldChar w:fldCharType="begin"/>
        </w:r>
        <w:r>
          <w:rPr>
            <w:noProof/>
            <w:webHidden/>
          </w:rPr>
          <w:instrText xml:space="preserve"> PAGEREF _Toc208245239 \h </w:instrText>
        </w:r>
        <w:r>
          <w:rPr>
            <w:noProof/>
            <w:webHidden/>
          </w:rPr>
        </w:r>
        <w:r>
          <w:rPr>
            <w:noProof/>
            <w:webHidden/>
          </w:rPr>
          <w:fldChar w:fldCharType="separate"/>
        </w:r>
        <w:r>
          <w:rPr>
            <w:noProof/>
            <w:webHidden/>
          </w:rPr>
          <w:t>11</w:t>
        </w:r>
        <w:r>
          <w:rPr>
            <w:noProof/>
            <w:webHidden/>
          </w:rPr>
          <w:fldChar w:fldCharType="end"/>
        </w:r>
      </w:hyperlink>
    </w:p>
    <w:p w14:paraId="532D03F8" w14:textId="0D6979C2" w:rsidR="007B7723" w:rsidRDefault="007B7723">
      <w:pPr>
        <w:pStyle w:val="TOC2"/>
        <w:rPr>
          <w:noProof/>
          <w:kern w:val="2"/>
          <w:sz w:val="24"/>
          <w:szCs w:val="24"/>
          <w:lang w:val="en-GB"/>
          <w14:ligatures w14:val="standardContextual"/>
        </w:rPr>
      </w:pPr>
      <w:hyperlink w:anchor="_Toc208245240" w:history="1">
        <w:r w:rsidRPr="00BB293C">
          <w:rPr>
            <w:rStyle w:val="Hyperlink"/>
            <w:noProof/>
          </w:rPr>
          <w:t>II.4</w:t>
        </w:r>
        <w:r>
          <w:rPr>
            <w:noProof/>
            <w:kern w:val="2"/>
            <w:sz w:val="24"/>
            <w:szCs w:val="24"/>
            <w:lang w:val="en-GB"/>
            <w14:ligatures w14:val="standardContextual"/>
          </w:rPr>
          <w:tab/>
        </w:r>
        <w:r w:rsidRPr="00BB293C">
          <w:rPr>
            <w:rStyle w:val="Hyperlink"/>
            <w:noProof/>
          </w:rPr>
          <w:t>Z 03.01 – Požiadavky na vlastné zdroje – úverové inštitúcie (LIAB 2)</w:t>
        </w:r>
        <w:r>
          <w:rPr>
            <w:noProof/>
            <w:webHidden/>
          </w:rPr>
          <w:tab/>
        </w:r>
        <w:r>
          <w:rPr>
            <w:noProof/>
            <w:webHidden/>
          </w:rPr>
          <w:fldChar w:fldCharType="begin"/>
        </w:r>
        <w:r>
          <w:rPr>
            <w:noProof/>
            <w:webHidden/>
          </w:rPr>
          <w:instrText xml:space="preserve"> PAGEREF _Toc208245240 \h </w:instrText>
        </w:r>
        <w:r>
          <w:rPr>
            <w:noProof/>
            <w:webHidden/>
          </w:rPr>
        </w:r>
        <w:r>
          <w:rPr>
            <w:noProof/>
            <w:webHidden/>
          </w:rPr>
          <w:fldChar w:fldCharType="separate"/>
        </w:r>
        <w:r>
          <w:rPr>
            <w:noProof/>
            <w:webHidden/>
          </w:rPr>
          <w:t>19</w:t>
        </w:r>
        <w:r>
          <w:rPr>
            <w:noProof/>
            <w:webHidden/>
          </w:rPr>
          <w:fldChar w:fldCharType="end"/>
        </w:r>
      </w:hyperlink>
    </w:p>
    <w:p w14:paraId="00FE3097" w14:textId="5A8D0B21" w:rsidR="007B7723" w:rsidRDefault="007B7723">
      <w:pPr>
        <w:pStyle w:val="TOC2"/>
        <w:rPr>
          <w:noProof/>
          <w:kern w:val="2"/>
          <w:sz w:val="24"/>
          <w:szCs w:val="24"/>
          <w:lang w:val="en-GB"/>
          <w14:ligatures w14:val="standardContextual"/>
        </w:rPr>
      </w:pPr>
      <w:hyperlink w:anchor="_Toc208245241" w:history="1">
        <w:r w:rsidRPr="00BB293C">
          <w:rPr>
            <w:rStyle w:val="Hyperlink"/>
            <w:noProof/>
          </w:rPr>
          <w:t>II.5</w:t>
        </w:r>
        <w:r>
          <w:rPr>
            <w:noProof/>
            <w:kern w:val="2"/>
            <w:sz w:val="24"/>
            <w:szCs w:val="24"/>
            <w:lang w:val="en-GB"/>
            <w14:ligatures w14:val="standardContextual"/>
          </w:rPr>
          <w:tab/>
        </w:r>
        <w:r w:rsidRPr="00BB293C">
          <w:rPr>
            <w:rStyle w:val="Hyperlink"/>
            <w:noProof/>
          </w:rPr>
          <w:t>Z 03.02 – Požiadavky na vlastné zdroje – investičné spoločnosti (LIAB 3)</w:t>
        </w:r>
        <w:r>
          <w:rPr>
            <w:noProof/>
            <w:webHidden/>
          </w:rPr>
          <w:tab/>
        </w:r>
        <w:r>
          <w:rPr>
            <w:noProof/>
            <w:webHidden/>
          </w:rPr>
          <w:fldChar w:fldCharType="begin"/>
        </w:r>
        <w:r>
          <w:rPr>
            <w:noProof/>
            <w:webHidden/>
          </w:rPr>
          <w:instrText xml:space="preserve"> PAGEREF _Toc208245241 \h </w:instrText>
        </w:r>
        <w:r>
          <w:rPr>
            <w:noProof/>
            <w:webHidden/>
          </w:rPr>
        </w:r>
        <w:r>
          <w:rPr>
            <w:noProof/>
            <w:webHidden/>
          </w:rPr>
          <w:fldChar w:fldCharType="separate"/>
        </w:r>
        <w:r>
          <w:rPr>
            <w:noProof/>
            <w:webHidden/>
          </w:rPr>
          <w:t>22</w:t>
        </w:r>
        <w:r>
          <w:rPr>
            <w:noProof/>
            <w:webHidden/>
          </w:rPr>
          <w:fldChar w:fldCharType="end"/>
        </w:r>
      </w:hyperlink>
    </w:p>
    <w:p w14:paraId="329ACF1F" w14:textId="05B5C0C4" w:rsidR="007B7723" w:rsidRDefault="007B7723">
      <w:pPr>
        <w:pStyle w:val="TOC2"/>
        <w:rPr>
          <w:noProof/>
          <w:kern w:val="2"/>
          <w:sz w:val="24"/>
          <w:szCs w:val="24"/>
          <w:lang w:val="en-GB"/>
          <w14:ligatures w14:val="standardContextual"/>
        </w:rPr>
      </w:pPr>
      <w:hyperlink w:anchor="_Toc208245242" w:history="1">
        <w:r w:rsidRPr="00BB293C">
          <w:rPr>
            <w:rStyle w:val="Hyperlink"/>
            <w:noProof/>
          </w:rPr>
          <w:t>II.6</w:t>
        </w:r>
        <w:r>
          <w:rPr>
            <w:noProof/>
            <w:kern w:val="2"/>
            <w:sz w:val="24"/>
            <w:szCs w:val="24"/>
            <w:lang w:val="en-GB"/>
            <w14:ligatures w14:val="standardContextual"/>
          </w:rPr>
          <w:tab/>
        </w:r>
        <w:r w:rsidRPr="00BB293C">
          <w:rPr>
            <w:rStyle w:val="Hyperlink"/>
            <w:noProof/>
          </w:rPr>
          <w:t>Z 04.00 – Finančné prepojenia v rámci skupiny (LIAB 4)</w:t>
        </w:r>
        <w:r>
          <w:rPr>
            <w:noProof/>
            <w:webHidden/>
          </w:rPr>
          <w:tab/>
        </w:r>
        <w:r>
          <w:rPr>
            <w:noProof/>
            <w:webHidden/>
          </w:rPr>
          <w:fldChar w:fldCharType="begin"/>
        </w:r>
        <w:r>
          <w:rPr>
            <w:noProof/>
            <w:webHidden/>
          </w:rPr>
          <w:instrText xml:space="preserve"> PAGEREF _Toc208245242 \h </w:instrText>
        </w:r>
        <w:r>
          <w:rPr>
            <w:noProof/>
            <w:webHidden/>
          </w:rPr>
        </w:r>
        <w:r>
          <w:rPr>
            <w:noProof/>
            <w:webHidden/>
          </w:rPr>
          <w:fldChar w:fldCharType="separate"/>
        </w:r>
        <w:r>
          <w:rPr>
            <w:noProof/>
            <w:webHidden/>
          </w:rPr>
          <w:t>23</w:t>
        </w:r>
        <w:r>
          <w:rPr>
            <w:noProof/>
            <w:webHidden/>
          </w:rPr>
          <w:fldChar w:fldCharType="end"/>
        </w:r>
      </w:hyperlink>
    </w:p>
    <w:p w14:paraId="7808AFED" w14:textId="233BA720" w:rsidR="007B7723" w:rsidRDefault="007B7723">
      <w:pPr>
        <w:pStyle w:val="TOC2"/>
        <w:rPr>
          <w:noProof/>
          <w:kern w:val="2"/>
          <w:sz w:val="24"/>
          <w:szCs w:val="24"/>
          <w:lang w:val="en-GB"/>
          <w14:ligatures w14:val="standardContextual"/>
        </w:rPr>
      </w:pPr>
      <w:hyperlink w:anchor="_Toc208245243" w:history="1">
        <w:r w:rsidRPr="00BB293C">
          <w:rPr>
            <w:rStyle w:val="Hyperlink"/>
            <w:noProof/>
          </w:rPr>
          <w:t>II.7</w:t>
        </w:r>
        <w:r>
          <w:rPr>
            <w:noProof/>
            <w:kern w:val="2"/>
            <w:sz w:val="24"/>
            <w:szCs w:val="24"/>
            <w:lang w:val="en-GB"/>
            <w14:ligatures w14:val="standardContextual"/>
          </w:rPr>
          <w:tab/>
        </w:r>
        <w:r w:rsidRPr="00BB293C">
          <w:rPr>
            <w:rStyle w:val="Hyperlink"/>
            <w:noProof/>
          </w:rPr>
          <w:t>Hlavné protistrany (LIAB 5 a 6)</w:t>
        </w:r>
        <w:r>
          <w:rPr>
            <w:noProof/>
            <w:webHidden/>
          </w:rPr>
          <w:tab/>
        </w:r>
        <w:r>
          <w:rPr>
            <w:noProof/>
            <w:webHidden/>
          </w:rPr>
          <w:fldChar w:fldCharType="begin"/>
        </w:r>
        <w:r>
          <w:rPr>
            <w:noProof/>
            <w:webHidden/>
          </w:rPr>
          <w:instrText xml:space="preserve"> PAGEREF _Toc208245243 \h </w:instrText>
        </w:r>
        <w:r>
          <w:rPr>
            <w:noProof/>
            <w:webHidden/>
          </w:rPr>
        </w:r>
        <w:r>
          <w:rPr>
            <w:noProof/>
            <w:webHidden/>
          </w:rPr>
          <w:fldChar w:fldCharType="separate"/>
        </w:r>
        <w:r>
          <w:rPr>
            <w:noProof/>
            <w:webHidden/>
          </w:rPr>
          <w:t>26</w:t>
        </w:r>
        <w:r>
          <w:rPr>
            <w:noProof/>
            <w:webHidden/>
          </w:rPr>
          <w:fldChar w:fldCharType="end"/>
        </w:r>
      </w:hyperlink>
    </w:p>
    <w:p w14:paraId="00521060" w14:textId="5986152A" w:rsidR="007B7723" w:rsidRDefault="007B7723">
      <w:pPr>
        <w:pStyle w:val="TOC2"/>
        <w:rPr>
          <w:noProof/>
          <w:kern w:val="2"/>
          <w:sz w:val="24"/>
          <w:szCs w:val="24"/>
          <w:lang w:val="en-GB"/>
          <w14:ligatures w14:val="standardContextual"/>
        </w:rPr>
      </w:pPr>
      <w:hyperlink w:anchor="_Toc208245244" w:history="1">
        <w:r w:rsidRPr="00BB293C">
          <w:rPr>
            <w:rStyle w:val="Hyperlink"/>
            <w:noProof/>
          </w:rPr>
          <w:t>II.8</w:t>
        </w:r>
        <w:r>
          <w:rPr>
            <w:noProof/>
            <w:kern w:val="2"/>
            <w:sz w:val="24"/>
            <w:szCs w:val="24"/>
            <w:lang w:val="en-GB"/>
            <w14:ligatures w14:val="standardContextual"/>
          </w:rPr>
          <w:tab/>
        </w:r>
        <w:r w:rsidRPr="00BB293C">
          <w:rPr>
            <w:rStyle w:val="Hyperlink"/>
            <w:noProof/>
          </w:rPr>
          <w:t>Z 05.01 – Záväzky voči hlavným protistranám (MCP 1)</w:t>
        </w:r>
        <w:r>
          <w:rPr>
            <w:noProof/>
            <w:webHidden/>
          </w:rPr>
          <w:tab/>
        </w:r>
        <w:r>
          <w:rPr>
            <w:noProof/>
            <w:webHidden/>
          </w:rPr>
          <w:fldChar w:fldCharType="begin"/>
        </w:r>
        <w:r>
          <w:rPr>
            <w:noProof/>
            <w:webHidden/>
          </w:rPr>
          <w:instrText xml:space="preserve"> PAGEREF _Toc208245244 \h </w:instrText>
        </w:r>
        <w:r>
          <w:rPr>
            <w:noProof/>
            <w:webHidden/>
          </w:rPr>
        </w:r>
        <w:r>
          <w:rPr>
            <w:noProof/>
            <w:webHidden/>
          </w:rPr>
          <w:fldChar w:fldCharType="separate"/>
        </w:r>
        <w:r>
          <w:rPr>
            <w:noProof/>
            <w:webHidden/>
          </w:rPr>
          <w:t>26</w:t>
        </w:r>
        <w:r>
          <w:rPr>
            <w:noProof/>
            <w:webHidden/>
          </w:rPr>
          <w:fldChar w:fldCharType="end"/>
        </w:r>
      </w:hyperlink>
    </w:p>
    <w:p w14:paraId="674AD2B8" w14:textId="3C02767A" w:rsidR="007B7723" w:rsidRDefault="007B7723">
      <w:pPr>
        <w:pStyle w:val="TOC2"/>
        <w:rPr>
          <w:noProof/>
          <w:kern w:val="2"/>
          <w:sz w:val="24"/>
          <w:szCs w:val="24"/>
          <w:lang w:val="en-GB"/>
          <w14:ligatures w14:val="standardContextual"/>
        </w:rPr>
      </w:pPr>
      <w:hyperlink w:anchor="_Toc208245245" w:history="1">
        <w:r w:rsidRPr="00BB293C">
          <w:rPr>
            <w:rStyle w:val="Hyperlink"/>
            <w:noProof/>
          </w:rPr>
          <w:t>II.9</w:t>
        </w:r>
        <w:r>
          <w:rPr>
            <w:noProof/>
            <w:kern w:val="2"/>
            <w:sz w:val="24"/>
            <w:szCs w:val="24"/>
            <w:lang w:val="en-GB"/>
            <w14:ligatures w14:val="standardContextual"/>
          </w:rPr>
          <w:tab/>
        </w:r>
        <w:r w:rsidRPr="00BB293C">
          <w:rPr>
            <w:rStyle w:val="Hyperlink"/>
            <w:noProof/>
          </w:rPr>
          <w:t>Z 05.02 – Podsúvahové položky hlavných protistrán (LIAB 6)</w:t>
        </w:r>
        <w:r>
          <w:rPr>
            <w:noProof/>
            <w:webHidden/>
          </w:rPr>
          <w:tab/>
        </w:r>
        <w:r>
          <w:rPr>
            <w:noProof/>
            <w:webHidden/>
          </w:rPr>
          <w:fldChar w:fldCharType="begin"/>
        </w:r>
        <w:r>
          <w:rPr>
            <w:noProof/>
            <w:webHidden/>
          </w:rPr>
          <w:instrText xml:space="preserve"> PAGEREF _Toc208245245 \h </w:instrText>
        </w:r>
        <w:r>
          <w:rPr>
            <w:noProof/>
            <w:webHidden/>
          </w:rPr>
        </w:r>
        <w:r>
          <w:rPr>
            <w:noProof/>
            <w:webHidden/>
          </w:rPr>
          <w:fldChar w:fldCharType="separate"/>
        </w:r>
        <w:r>
          <w:rPr>
            <w:noProof/>
            <w:webHidden/>
          </w:rPr>
          <w:t>28</w:t>
        </w:r>
        <w:r>
          <w:rPr>
            <w:noProof/>
            <w:webHidden/>
          </w:rPr>
          <w:fldChar w:fldCharType="end"/>
        </w:r>
      </w:hyperlink>
    </w:p>
    <w:p w14:paraId="3C82BE41" w14:textId="0E21AF12" w:rsidR="007B7723" w:rsidRDefault="007B7723">
      <w:pPr>
        <w:pStyle w:val="TOC2"/>
        <w:rPr>
          <w:noProof/>
          <w:kern w:val="2"/>
          <w:sz w:val="24"/>
          <w:szCs w:val="24"/>
          <w:lang w:val="en-GB"/>
          <w14:ligatures w14:val="standardContextual"/>
        </w:rPr>
      </w:pPr>
      <w:hyperlink w:anchor="_Toc208245246" w:history="1">
        <w:r w:rsidRPr="00BB293C">
          <w:rPr>
            <w:rStyle w:val="Hyperlink"/>
            <w:noProof/>
          </w:rPr>
          <w:t>II.10</w:t>
        </w:r>
        <w:r>
          <w:rPr>
            <w:noProof/>
            <w:kern w:val="2"/>
            <w:sz w:val="24"/>
            <w:szCs w:val="24"/>
            <w:lang w:val="en-GB"/>
            <w14:ligatures w14:val="standardContextual"/>
          </w:rPr>
          <w:tab/>
        </w:r>
        <w:r w:rsidRPr="00BB293C">
          <w:rPr>
            <w:rStyle w:val="Hyperlink"/>
            <w:noProof/>
          </w:rPr>
          <w:t>Z 06.00 – Poistenie vkladov (LIAB 7)</w:t>
        </w:r>
        <w:r>
          <w:rPr>
            <w:noProof/>
            <w:webHidden/>
          </w:rPr>
          <w:tab/>
        </w:r>
        <w:r>
          <w:rPr>
            <w:noProof/>
            <w:webHidden/>
          </w:rPr>
          <w:fldChar w:fldCharType="begin"/>
        </w:r>
        <w:r>
          <w:rPr>
            <w:noProof/>
            <w:webHidden/>
          </w:rPr>
          <w:instrText xml:space="preserve"> PAGEREF _Toc208245246 \h </w:instrText>
        </w:r>
        <w:r>
          <w:rPr>
            <w:noProof/>
            <w:webHidden/>
          </w:rPr>
        </w:r>
        <w:r>
          <w:rPr>
            <w:noProof/>
            <w:webHidden/>
          </w:rPr>
          <w:fldChar w:fldCharType="separate"/>
        </w:r>
        <w:r>
          <w:rPr>
            <w:noProof/>
            <w:webHidden/>
          </w:rPr>
          <w:t>30</w:t>
        </w:r>
        <w:r>
          <w:rPr>
            <w:noProof/>
            <w:webHidden/>
          </w:rPr>
          <w:fldChar w:fldCharType="end"/>
        </w:r>
      </w:hyperlink>
    </w:p>
    <w:p w14:paraId="7EC98A91" w14:textId="3F0A7029" w:rsidR="007B7723" w:rsidRDefault="007B7723">
      <w:pPr>
        <w:pStyle w:val="TOC2"/>
        <w:rPr>
          <w:noProof/>
          <w:kern w:val="2"/>
          <w:sz w:val="24"/>
          <w:szCs w:val="24"/>
          <w:lang w:val="en-GB"/>
          <w14:ligatures w14:val="standardContextual"/>
        </w:rPr>
      </w:pPr>
      <w:hyperlink w:anchor="_Toc208245247" w:history="1">
        <w:r w:rsidRPr="00BB293C">
          <w:rPr>
            <w:rStyle w:val="Hyperlink"/>
            <w:noProof/>
          </w:rPr>
          <w:t>II.11</w:t>
        </w:r>
        <w:r>
          <w:rPr>
            <w:noProof/>
            <w:kern w:val="2"/>
            <w:sz w:val="24"/>
            <w:szCs w:val="24"/>
            <w:lang w:val="en-GB"/>
            <w14:ligatures w14:val="standardContextual"/>
          </w:rPr>
          <w:tab/>
        </w:r>
        <w:r w:rsidRPr="00BB293C">
          <w:rPr>
            <w:rStyle w:val="Hyperlink"/>
            <w:noProof/>
          </w:rPr>
          <w:t>Zásadné funkcie a hlavné oblasti obchodnej činnosti</w:t>
        </w:r>
        <w:r>
          <w:rPr>
            <w:noProof/>
            <w:webHidden/>
          </w:rPr>
          <w:tab/>
        </w:r>
        <w:r>
          <w:rPr>
            <w:noProof/>
            <w:webHidden/>
          </w:rPr>
          <w:fldChar w:fldCharType="begin"/>
        </w:r>
        <w:r>
          <w:rPr>
            <w:noProof/>
            <w:webHidden/>
          </w:rPr>
          <w:instrText xml:space="preserve"> PAGEREF _Toc208245247 \h </w:instrText>
        </w:r>
        <w:r>
          <w:rPr>
            <w:noProof/>
            <w:webHidden/>
          </w:rPr>
        </w:r>
        <w:r>
          <w:rPr>
            <w:noProof/>
            <w:webHidden/>
          </w:rPr>
          <w:fldChar w:fldCharType="separate"/>
        </w:r>
        <w:r>
          <w:rPr>
            <w:noProof/>
            <w:webHidden/>
          </w:rPr>
          <w:t>32</w:t>
        </w:r>
        <w:r>
          <w:rPr>
            <w:noProof/>
            <w:webHidden/>
          </w:rPr>
          <w:fldChar w:fldCharType="end"/>
        </w:r>
      </w:hyperlink>
    </w:p>
    <w:p w14:paraId="14D5DD68" w14:textId="086B5F8A" w:rsidR="007B7723" w:rsidRDefault="007B7723">
      <w:pPr>
        <w:pStyle w:val="TOC2"/>
        <w:rPr>
          <w:noProof/>
          <w:kern w:val="2"/>
          <w:sz w:val="24"/>
          <w:szCs w:val="24"/>
          <w:lang w:val="en-GB"/>
          <w14:ligatures w14:val="standardContextual"/>
        </w:rPr>
      </w:pPr>
      <w:hyperlink w:anchor="_Toc208245248" w:history="1">
        <w:r w:rsidRPr="00BB293C">
          <w:rPr>
            <w:rStyle w:val="Hyperlink"/>
            <w:noProof/>
          </w:rPr>
          <w:t>II.12</w:t>
        </w:r>
        <w:r>
          <w:rPr>
            <w:noProof/>
            <w:kern w:val="2"/>
            <w:sz w:val="24"/>
            <w:szCs w:val="24"/>
            <w:lang w:val="en-GB"/>
            <w14:ligatures w14:val="standardContextual"/>
          </w:rPr>
          <w:tab/>
        </w:r>
        <w:r w:rsidRPr="00BB293C">
          <w:rPr>
            <w:rStyle w:val="Hyperlink"/>
            <w:noProof/>
          </w:rPr>
          <w:t>Z 07.01 – Posúdenie kritickosti hospodárskych funkcií (FUNC 1)</w:t>
        </w:r>
        <w:r>
          <w:rPr>
            <w:noProof/>
            <w:webHidden/>
          </w:rPr>
          <w:tab/>
        </w:r>
        <w:r>
          <w:rPr>
            <w:noProof/>
            <w:webHidden/>
          </w:rPr>
          <w:fldChar w:fldCharType="begin"/>
        </w:r>
        <w:r>
          <w:rPr>
            <w:noProof/>
            <w:webHidden/>
          </w:rPr>
          <w:instrText xml:space="preserve"> PAGEREF _Toc208245248 \h </w:instrText>
        </w:r>
        <w:r>
          <w:rPr>
            <w:noProof/>
            <w:webHidden/>
          </w:rPr>
        </w:r>
        <w:r>
          <w:rPr>
            <w:noProof/>
            <w:webHidden/>
          </w:rPr>
          <w:fldChar w:fldCharType="separate"/>
        </w:r>
        <w:r>
          <w:rPr>
            <w:noProof/>
            <w:webHidden/>
          </w:rPr>
          <w:t>35</w:t>
        </w:r>
        <w:r>
          <w:rPr>
            <w:noProof/>
            <w:webHidden/>
          </w:rPr>
          <w:fldChar w:fldCharType="end"/>
        </w:r>
      </w:hyperlink>
    </w:p>
    <w:p w14:paraId="6B9B94A7" w14:textId="2D320550" w:rsidR="007B7723" w:rsidRDefault="007B7723">
      <w:pPr>
        <w:pStyle w:val="TOC2"/>
        <w:rPr>
          <w:noProof/>
          <w:kern w:val="2"/>
          <w:sz w:val="24"/>
          <w:szCs w:val="24"/>
          <w:lang w:val="en-GB"/>
          <w14:ligatures w14:val="standardContextual"/>
        </w:rPr>
      </w:pPr>
      <w:hyperlink w:anchor="_Toc208245249" w:history="1">
        <w:r w:rsidRPr="00BB293C">
          <w:rPr>
            <w:rStyle w:val="Hyperlink"/>
            <w:noProof/>
          </w:rPr>
          <w:t>II.13</w:t>
        </w:r>
        <w:r>
          <w:rPr>
            <w:noProof/>
            <w:kern w:val="2"/>
            <w:sz w:val="24"/>
            <w:szCs w:val="24"/>
            <w:lang w:val="en-GB"/>
            <w14:ligatures w14:val="standardContextual"/>
          </w:rPr>
          <w:tab/>
        </w:r>
        <w:r w:rsidRPr="00BB293C">
          <w:rPr>
            <w:rStyle w:val="Hyperlink"/>
            <w:noProof/>
          </w:rPr>
          <w:t>Z 07.01.1 FUNC 1 DEP</w:t>
        </w:r>
        <w:r>
          <w:rPr>
            <w:noProof/>
            <w:webHidden/>
          </w:rPr>
          <w:tab/>
        </w:r>
        <w:r>
          <w:rPr>
            <w:noProof/>
            <w:webHidden/>
          </w:rPr>
          <w:fldChar w:fldCharType="begin"/>
        </w:r>
        <w:r>
          <w:rPr>
            <w:noProof/>
            <w:webHidden/>
          </w:rPr>
          <w:instrText xml:space="preserve"> PAGEREF _Toc208245249 \h </w:instrText>
        </w:r>
        <w:r>
          <w:rPr>
            <w:noProof/>
            <w:webHidden/>
          </w:rPr>
        </w:r>
        <w:r>
          <w:rPr>
            <w:noProof/>
            <w:webHidden/>
          </w:rPr>
          <w:fldChar w:fldCharType="separate"/>
        </w:r>
        <w:r>
          <w:rPr>
            <w:noProof/>
            <w:webHidden/>
          </w:rPr>
          <w:t>38</w:t>
        </w:r>
        <w:r>
          <w:rPr>
            <w:noProof/>
            <w:webHidden/>
          </w:rPr>
          <w:fldChar w:fldCharType="end"/>
        </w:r>
      </w:hyperlink>
    </w:p>
    <w:p w14:paraId="4AA2BB82" w14:textId="42EE1445" w:rsidR="007B7723" w:rsidRDefault="007B7723">
      <w:pPr>
        <w:pStyle w:val="TOC2"/>
        <w:rPr>
          <w:noProof/>
          <w:kern w:val="2"/>
          <w:sz w:val="24"/>
          <w:szCs w:val="24"/>
          <w:lang w:val="en-GB"/>
          <w14:ligatures w14:val="standardContextual"/>
        </w:rPr>
      </w:pPr>
      <w:hyperlink w:anchor="_Toc208245250" w:history="1">
        <w:r w:rsidRPr="00BB293C">
          <w:rPr>
            <w:rStyle w:val="Hyperlink"/>
            <w:noProof/>
          </w:rPr>
          <w:t>II.14</w:t>
        </w:r>
        <w:r>
          <w:rPr>
            <w:noProof/>
            <w:kern w:val="2"/>
            <w:sz w:val="24"/>
            <w:szCs w:val="24"/>
            <w:lang w:val="en-GB"/>
            <w14:ligatures w14:val="standardContextual"/>
          </w:rPr>
          <w:tab/>
        </w:r>
        <w:r w:rsidRPr="00BB293C">
          <w:rPr>
            <w:rStyle w:val="Hyperlink"/>
            <w:noProof/>
          </w:rPr>
          <w:t>Z 07.01.2 FUNC 1 LEN</w:t>
        </w:r>
        <w:r>
          <w:rPr>
            <w:noProof/>
            <w:webHidden/>
          </w:rPr>
          <w:tab/>
        </w:r>
        <w:r>
          <w:rPr>
            <w:noProof/>
            <w:webHidden/>
          </w:rPr>
          <w:fldChar w:fldCharType="begin"/>
        </w:r>
        <w:r>
          <w:rPr>
            <w:noProof/>
            <w:webHidden/>
          </w:rPr>
          <w:instrText xml:space="preserve"> PAGEREF _Toc208245250 \h </w:instrText>
        </w:r>
        <w:r>
          <w:rPr>
            <w:noProof/>
            <w:webHidden/>
          </w:rPr>
        </w:r>
        <w:r>
          <w:rPr>
            <w:noProof/>
            <w:webHidden/>
          </w:rPr>
          <w:fldChar w:fldCharType="separate"/>
        </w:r>
        <w:r>
          <w:rPr>
            <w:noProof/>
            <w:webHidden/>
          </w:rPr>
          <w:t>43</w:t>
        </w:r>
        <w:r>
          <w:rPr>
            <w:noProof/>
            <w:webHidden/>
          </w:rPr>
          <w:fldChar w:fldCharType="end"/>
        </w:r>
      </w:hyperlink>
    </w:p>
    <w:p w14:paraId="60005958" w14:textId="20D840AE" w:rsidR="007B7723" w:rsidRDefault="007B7723">
      <w:pPr>
        <w:pStyle w:val="TOC2"/>
        <w:rPr>
          <w:noProof/>
          <w:kern w:val="2"/>
          <w:sz w:val="24"/>
          <w:szCs w:val="24"/>
          <w:lang w:val="en-GB"/>
          <w14:ligatures w14:val="standardContextual"/>
        </w:rPr>
      </w:pPr>
      <w:hyperlink w:anchor="_Toc208245251" w:history="1">
        <w:r w:rsidRPr="00BB293C">
          <w:rPr>
            <w:rStyle w:val="Hyperlink"/>
            <w:noProof/>
          </w:rPr>
          <w:t>II.15</w:t>
        </w:r>
        <w:r>
          <w:rPr>
            <w:noProof/>
            <w:kern w:val="2"/>
            <w:sz w:val="24"/>
            <w:szCs w:val="24"/>
            <w:lang w:val="en-GB"/>
            <w14:ligatures w14:val="standardContextual"/>
          </w:rPr>
          <w:tab/>
        </w:r>
        <w:r w:rsidRPr="00BB293C">
          <w:rPr>
            <w:rStyle w:val="Hyperlink"/>
            <w:noProof/>
          </w:rPr>
          <w:t>Z 07.01.3 FUNC 1 MZDA</w:t>
        </w:r>
        <w:r>
          <w:rPr>
            <w:noProof/>
            <w:webHidden/>
          </w:rPr>
          <w:tab/>
        </w:r>
        <w:r>
          <w:rPr>
            <w:noProof/>
            <w:webHidden/>
          </w:rPr>
          <w:fldChar w:fldCharType="begin"/>
        </w:r>
        <w:r>
          <w:rPr>
            <w:noProof/>
            <w:webHidden/>
          </w:rPr>
          <w:instrText xml:space="preserve"> PAGEREF _Toc208245251 \h </w:instrText>
        </w:r>
        <w:r>
          <w:rPr>
            <w:noProof/>
            <w:webHidden/>
          </w:rPr>
        </w:r>
        <w:r>
          <w:rPr>
            <w:noProof/>
            <w:webHidden/>
          </w:rPr>
          <w:fldChar w:fldCharType="separate"/>
        </w:r>
        <w:r>
          <w:rPr>
            <w:noProof/>
            <w:webHidden/>
          </w:rPr>
          <w:t>48</w:t>
        </w:r>
        <w:r>
          <w:rPr>
            <w:noProof/>
            <w:webHidden/>
          </w:rPr>
          <w:fldChar w:fldCharType="end"/>
        </w:r>
      </w:hyperlink>
    </w:p>
    <w:p w14:paraId="08706D1F" w14:textId="6DF87996" w:rsidR="007B7723" w:rsidRDefault="007B7723">
      <w:pPr>
        <w:pStyle w:val="TOC2"/>
        <w:rPr>
          <w:noProof/>
          <w:kern w:val="2"/>
          <w:sz w:val="24"/>
          <w:szCs w:val="24"/>
          <w:lang w:val="en-GB"/>
          <w14:ligatures w14:val="standardContextual"/>
        </w:rPr>
      </w:pPr>
      <w:hyperlink w:anchor="_Toc208245252" w:history="1">
        <w:r w:rsidRPr="00BB293C">
          <w:rPr>
            <w:rStyle w:val="Hyperlink"/>
            <w:noProof/>
          </w:rPr>
          <w:t>II.13.</w:t>
        </w:r>
        <w:r>
          <w:rPr>
            <w:noProof/>
            <w:kern w:val="2"/>
            <w:sz w:val="24"/>
            <w:szCs w:val="24"/>
            <w:lang w:val="en-GB"/>
            <w14:ligatures w14:val="standardContextual"/>
          </w:rPr>
          <w:tab/>
        </w:r>
        <w:r w:rsidRPr="00BB293C">
          <w:rPr>
            <w:rStyle w:val="Hyperlink"/>
            <w:noProof/>
          </w:rPr>
          <w:t>Z 07.01.4 FUNC 1 CM</w:t>
        </w:r>
        <w:r>
          <w:rPr>
            <w:noProof/>
            <w:webHidden/>
          </w:rPr>
          <w:tab/>
        </w:r>
        <w:r>
          <w:rPr>
            <w:noProof/>
            <w:webHidden/>
          </w:rPr>
          <w:fldChar w:fldCharType="begin"/>
        </w:r>
        <w:r>
          <w:rPr>
            <w:noProof/>
            <w:webHidden/>
          </w:rPr>
          <w:instrText xml:space="preserve"> PAGEREF _Toc208245252 \h </w:instrText>
        </w:r>
        <w:r>
          <w:rPr>
            <w:noProof/>
            <w:webHidden/>
          </w:rPr>
        </w:r>
        <w:r>
          <w:rPr>
            <w:noProof/>
            <w:webHidden/>
          </w:rPr>
          <w:fldChar w:fldCharType="separate"/>
        </w:r>
        <w:r>
          <w:rPr>
            <w:noProof/>
            <w:webHidden/>
          </w:rPr>
          <w:t>54</w:t>
        </w:r>
        <w:r>
          <w:rPr>
            <w:noProof/>
            <w:webHidden/>
          </w:rPr>
          <w:fldChar w:fldCharType="end"/>
        </w:r>
      </w:hyperlink>
    </w:p>
    <w:p w14:paraId="5C17042B" w14:textId="4828F8BA" w:rsidR="007B7723" w:rsidRDefault="007B7723">
      <w:pPr>
        <w:pStyle w:val="TOC2"/>
        <w:rPr>
          <w:noProof/>
          <w:kern w:val="2"/>
          <w:sz w:val="24"/>
          <w:szCs w:val="24"/>
          <w:lang w:val="en-GB"/>
          <w14:ligatures w14:val="standardContextual"/>
        </w:rPr>
      </w:pPr>
      <w:hyperlink w:anchor="_Toc208245253" w:history="1">
        <w:r w:rsidRPr="00BB293C">
          <w:rPr>
            <w:rStyle w:val="Hyperlink"/>
            <w:noProof/>
          </w:rPr>
          <w:t>II.13.</w:t>
        </w:r>
        <w:r>
          <w:rPr>
            <w:noProof/>
            <w:kern w:val="2"/>
            <w:sz w:val="24"/>
            <w:szCs w:val="24"/>
            <w:lang w:val="en-GB"/>
            <w14:ligatures w14:val="standardContextual"/>
          </w:rPr>
          <w:tab/>
        </w:r>
        <w:r w:rsidRPr="00BB293C">
          <w:rPr>
            <w:rStyle w:val="Hyperlink"/>
            <w:noProof/>
          </w:rPr>
          <w:t>Z 07.01.5 FUNC 1 WF</w:t>
        </w:r>
        <w:r>
          <w:rPr>
            <w:noProof/>
            <w:webHidden/>
          </w:rPr>
          <w:tab/>
        </w:r>
        <w:r>
          <w:rPr>
            <w:noProof/>
            <w:webHidden/>
          </w:rPr>
          <w:fldChar w:fldCharType="begin"/>
        </w:r>
        <w:r>
          <w:rPr>
            <w:noProof/>
            <w:webHidden/>
          </w:rPr>
          <w:instrText xml:space="preserve"> PAGEREF _Toc208245253 \h </w:instrText>
        </w:r>
        <w:r>
          <w:rPr>
            <w:noProof/>
            <w:webHidden/>
          </w:rPr>
        </w:r>
        <w:r>
          <w:rPr>
            <w:noProof/>
            <w:webHidden/>
          </w:rPr>
          <w:fldChar w:fldCharType="separate"/>
        </w:r>
        <w:r>
          <w:rPr>
            <w:noProof/>
            <w:webHidden/>
          </w:rPr>
          <w:t>59</w:t>
        </w:r>
        <w:r>
          <w:rPr>
            <w:noProof/>
            <w:webHidden/>
          </w:rPr>
          <w:fldChar w:fldCharType="end"/>
        </w:r>
      </w:hyperlink>
    </w:p>
    <w:p w14:paraId="7A07D184" w14:textId="72A38632" w:rsidR="007B7723" w:rsidRDefault="007B7723">
      <w:pPr>
        <w:pStyle w:val="TOC2"/>
        <w:rPr>
          <w:noProof/>
          <w:kern w:val="2"/>
          <w:sz w:val="24"/>
          <w:szCs w:val="24"/>
          <w:lang w:val="en-GB"/>
          <w14:ligatures w14:val="standardContextual"/>
        </w:rPr>
      </w:pPr>
      <w:hyperlink w:anchor="_Toc208245254" w:history="1">
        <w:r w:rsidRPr="00BB293C">
          <w:rPr>
            <w:rStyle w:val="Hyperlink"/>
            <w:noProof/>
          </w:rPr>
          <w:t>II.16</w:t>
        </w:r>
        <w:r>
          <w:rPr>
            <w:noProof/>
            <w:kern w:val="2"/>
            <w:sz w:val="24"/>
            <w:szCs w:val="24"/>
            <w:lang w:val="en-GB"/>
            <w14:ligatures w14:val="standardContextual"/>
          </w:rPr>
          <w:tab/>
        </w:r>
        <w:r w:rsidRPr="00BB293C">
          <w:rPr>
            <w:rStyle w:val="Hyperlink"/>
            <w:noProof/>
          </w:rPr>
          <w:t>Z 07.02 – Priradenie ekonomických funkcií k právnickým osobám (FUNC 2)</w:t>
        </w:r>
        <w:r>
          <w:rPr>
            <w:noProof/>
            <w:webHidden/>
          </w:rPr>
          <w:tab/>
        </w:r>
        <w:r>
          <w:rPr>
            <w:noProof/>
            <w:webHidden/>
          </w:rPr>
          <w:fldChar w:fldCharType="begin"/>
        </w:r>
        <w:r>
          <w:rPr>
            <w:noProof/>
            <w:webHidden/>
          </w:rPr>
          <w:instrText xml:space="preserve"> PAGEREF _Toc208245254 \h </w:instrText>
        </w:r>
        <w:r>
          <w:rPr>
            <w:noProof/>
            <w:webHidden/>
          </w:rPr>
        </w:r>
        <w:r>
          <w:rPr>
            <w:noProof/>
            <w:webHidden/>
          </w:rPr>
          <w:fldChar w:fldCharType="separate"/>
        </w:r>
        <w:r>
          <w:rPr>
            <w:noProof/>
            <w:webHidden/>
          </w:rPr>
          <w:t>64</w:t>
        </w:r>
        <w:r>
          <w:rPr>
            <w:noProof/>
            <w:webHidden/>
          </w:rPr>
          <w:fldChar w:fldCharType="end"/>
        </w:r>
      </w:hyperlink>
    </w:p>
    <w:p w14:paraId="18FDA460" w14:textId="2F5CC8E2" w:rsidR="007B7723" w:rsidRDefault="007B7723">
      <w:pPr>
        <w:pStyle w:val="TOC2"/>
        <w:rPr>
          <w:noProof/>
          <w:kern w:val="2"/>
          <w:sz w:val="24"/>
          <w:szCs w:val="24"/>
          <w:lang w:val="en-GB"/>
          <w14:ligatures w14:val="standardContextual"/>
        </w:rPr>
      </w:pPr>
      <w:hyperlink w:anchor="_Toc208245255" w:history="1">
        <w:r w:rsidRPr="00BB293C">
          <w:rPr>
            <w:rStyle w:val="Hyperlink"/>
            <w:noProof/>
          </w:rPr>
          <w:t>II.17</w:t>
        </w:r>
        <w:r>
          <w:rPr>
            <w:noProof/>
            <w:kern w:val="2"/>
            <w:sz w:val="24"/>
            <w:szCs w:val="24"/>
            <w:lang w:val="en-GB"/>
            <w14:ligatures w14:val="standardContextual"/>
          </w:rPr>
          <w:tab/>
        </w:r>
        <w:r w:rsidRPr="00BB293C">
          <w:rPr>
            <w:rStyle w:val="Hyperlink"/>
            <w:noProof/>
          </w:rPr>
          <w:t>Z 07.03 – Priradenie hlavných oblasti obchodnej činnosti k právnickým osobám (FUNC 3)</w:t>
        </w:r>
        <w:r>
          <w:rPr>
            <w:noProof/>
            <w:webHidden/>
          </w:rPr>
          <w:tab/>
        </w:r>
        <w:r>
          <w:rPr>
            <w:noProof/>
            <w:webHidden/>
          </w:rPr>
          <w:fldChar w:fldCharType="begin"/>
        </w:r>
        <w:r>
          <w:rPr>
            <w:noProof/>
            <w:webHidden/>
          </w:rPr>
          <w:instrText xml:space="preserve"> PAGEREF _Toc208245255 \h </w:instrText>
        </w:r>
        <w:r>
          <w:rPr>
            <w:noProof/>
            <w:webHidden/>
          </w:rPr>
        </w:r>
        <w:r>
          <w:rPr>
            <w:noProof/>
            <w:webHidden/>
          </w:rPr>
          <w:fldChar w:fldCharType="separate"/>
        </w:r>
        <w:r>
          <w:rPr>
            <w:noProof/>
            <w:webHidden/>
          </w:rPr>
          <w:t>65</w:t>
        </w:r>
        <w:r>
          <w:rPr>
            <w:noProof/>
            <w:webHidden/>
          </w:rPr>
          <w:fldChar w:fldCharType="end"/>
        </w:r>
      </w:hyperlink>
    </w:p>
    <w:p w14:paraId="5597AE3F" w14:textId="51365956" w:rsidR="007B7723" w:rsidRDefault="007B7723">
      <w:pPr>
        <w:pStyle w:val="TOC2"/>
        <w:rPr>
          <w:noProof/>
          <w:kern w:val="2"/>
          <w:sz w:val="24"/>
          <w:szCs w:val="24"/>
          <w:lang w:val="en-GB"/>
          <w14:ligatures w14:val="standardContextual"/>
        </w:rPr>
      </w:pPr>
      <w:hyperlink w:anchor="_Toc208245256" w:history="1">
        <w:r w:rsidRPr="00BB293C">
          <w:rPr>
            <w:rStyle w:val="Hyperlink"/>
            <w:noProof/>
          </w:rPr>
          <w:t>II.18</w:t>
        </w:r>
        <w:r>
          <w:rPr>
            <w:noProof/>
            <w:kern w:val="2"/>
            <w:sz w:val="24"/>
            <w:szCs w:val="24"/>
            <w:lang w:val="en-GB"/>
            <w14:ligatures w14:val="standardContextual"/>
          </w:rPr>
          <w:tab/>
        </w:r>
        <w:r w:rsidRPr="00BB293C">
          <w:rPr>
            <w:rStyle w:val="Hyperlink"/>
            <w:noProof/>
          </w:rPr>
          <w:t>R 07.04 – Priradenie ekonomických funkcií k hlavným oblastiam obchodnej činnosti (FUNC 4)</w:t>
        </w:r>
        <w:r>
          <w:rPr>
            <w:noProof/>
            <w:webHidden/>
          </w:rPr>
          <w:tab/>
        </w:r>
        <w:r>
          <w:rPr>
            <w:noProof/>
            <w:webHidden/>
          </w:rPr>
          <w:fldChar w:fldCharType="begin"/>
        </w:r>
        <w:r>
          <w:rPr>
            <w:noProof/>
            <w:webHidden/>
          </w:rPr>
          <w:instrText xml:space="preserve"> PAGEREF _Toc208245256 \h </w:instrText>
        </w:r>
        <w:r>
          <w:rPr>
            <w:noProof/>
            <w:webHidden/>
          </w:rPr>
        </w:r>
        <w:r>
          <w:rPr>
            <w:noProof/>
            <w:webHidden/>
          </w:rPr>
          <w:fldChar w:fldCharType="separate"/>
        </w:r>
        <w:r>
          <w:rPr>
            <w:noProof/>
            <w:webHidden/>
          </w:rPr>
          <w:t>66</w:t>
        </w:r>
        <w:r>
          <w:rPr>
            <w:noProof/>
            <w:webHidden/>
          </w:rPr>
          <w:fldChar w:fldCharType="end"/>
        </w:r>
      </w:hyperlink>
    </w:p>
    <w:p w14:paraId="370489A5" w14:textId="0F402829" w:rsidR="007B7723" w:rsidRDefault="007B7723">
      <w:pPr>
        <w:pStyle w:val="TOC2"/>
        <w:rPr>
          <w:noProof/>
          <w:kern w:val="2"/>
          <w:sz w:val="24"/>
          <w:szCs w:val="24"/>
          <w:lang w:val="en-GB"/>
          <w14:ligatures w14:val="standardContextual"/>
        </w:rPr>
      </w:pPr>
      <w:hyperlink w:anchor="_Toc208245257" w:history="1">
        <w:r w:rsidRPr="00BB293C">
          <w:rPr>
            <w:rStyle w:val="Hyperlink"/>
            <w:noProof/>
          </w:rPr>
          <w:t>II.19</w:t>
        </w:r>
        <w:r>
          <w:rPr>
            <w:noProof/>
            <w:kern w:val="2"/>
            <w:sz w:val="24"/>
            <w:szCs w:val="24"/>
            <w:lang w:val="en-GB"/>
            <w14:ligatures w14:val="standardContextual"/>
          </w:rPr>
          <w:tab/>
        </w:r>
        <w:r w:rsidRPr="00BB293C">
          <w:rPr>
            <w:rStyle w:val="Hyperlink"/>
            <w:noProof/>
          </w:rPr>
          <w:t>Príslušné služby</w:t>
        </w:r>
        <w:r>
          <w:rPr>
            <w:noProof/>
            <w:webHidden/>
          </w:rPr>
          <w:tab/>
        </w:r>
        <w:r>
          <w:rPr>
            <w:noProof/>
            <w:webHidden/>
          </w:rPr>
          <w:fldChar w:fldCharType="begin"/>
        </w:r>
        <w:r>
          <w:rPr>
            <w:noProof/>
            <w:webHidden/>
          </w:rPr>
          <w:instrText xml:space="preserve"> PAGEREF _Toc208245257 \h </w:instrText>
        </w:r>
        <w:r>
          <w:rPr>
            <w:noProof/>
            <w:webHidden/>
          </w:rPr>
        </w:r>
        <w:r>
          <w:rPr>
            <w:noProof/>
            <w:webHidden/>
          </w:rPr>
          <w:fldChar w:fldCharType="separate"/>
        </w:r>
        <w:r>
          <w:rPr>
            <w:noProof/>
            <w:webHidden/>
          </w:rPr>
          <w:t>67</w:t>
        </w:r>
        <w:r>
          <w:rPr>
            <w:noProof/>
            <w:webHidden/>
          </w:rPr>
          <w:fldChar w:fldCharType="end"/>
        </w:r>
      </w:hyperlink>
    </w:p>
    <w:p w14:paraId="442141DA" w14:textId="6A166343" w:rsidR="007B7723" w:rsidRDefault="007B7723">
      <w:pPr>
        <w:pStyle w:val="TOC2"/>
        <w:rPr>
          <w:noProof/>
          <w:kern w:val="2"/>
          <w:sz w:val="24"/>
          <w:szCs w:val="24"/>
          <w:lang w:val="en-GB"/>
          <w14:ligatures w14:val="standardContextual"/>
        </w:rPr>
      </w:pPr>
      <w:hyperlink w:anchor="_Toc208245258" w:history="1">
        <w:r w:rsidRPr="00BB293C">
          <w:rPr>
            <w:rStyle w:val="Hyperlink"/>
            <w:rFonts w:eastAsia="Calibri"/>
            <w:noProof/>
          </w:rPr>
          <w:t>II.20</w:t>
        </w:r>
        <w:r>
          <w:rPr>
            <w:noProof/>
            <w:kern w:val="2"/>
            <w:sz w:val="24"/>
            <w:szCs w:val="24"/>
            <w:lang w:val="en-GB"/>
            <w14:ligatures w14:val="standardContextual"/>
          </w:rPr>
          <w:tab/>
        </w:r>
        <w:r w:rsidRPr="00BB293C">
          <w:rPr>
            <w:rStyle w:val="Hyperlink"/>
            <w:noProof/>
          </w:rPr>
          <w:t>Z 08.01 – Relevantné služby (SERV 1)</w:t>
        </w:r>
        <w:r>
          <w:rPr>
            <w:noProof/>
            <w:webHidden/>
          </w:rPr>
          <w:tab/>
        </w:r>
        <w:r>
          <w:rPr>
            <w:noProof/>
            <w:webHidden/>
          </w:rPr>
          <w:fldChar w:fldCharType="begin"/>
        </w:r>
        <w:r>
          <w:rPr>
            <w:noProof/>
            <w:webHidden/>
          </w:rPr>
          <w:instrText xml:space="preserve"> PAGEREF _Toc208245258 \h </w:instrText>
        </w:r>
        <w:r>
          <w:rPr>
            <w:noProof/>
            <w:webHidden/>
          </w:rPr>
        </w:r>
        <w:r>
          <w:rPr>
            <w:noProof/>
            <w:webHidden/>
          </w:rPr>
          <w:fldChar w:fldCharType="separate"/>
        </w:r>
        <w:r>
          <w:rPr>
            <w:noProof/>
            <w:webHidden/>
          </w:rPr>
          <w:t>67</w:t>
        </w:r>
        <w:r>
          <w:rPr>
            <w:noProof/>
            <w:webHidden/>
          </w:rPr>
          <w:fldChar w:fldCharType="end"/>
        </w:r>
      </w:hyperlink>
    </w:p>
    <w:p w14:paraId="4AE829E7" w14:textId="0AC44469" w:rsidR="007B7723" w:rsidRDefault="007B7723">
      <w:pPr>
        <w:pStyle w:val="TOC2"/>
        <w:rPr>
          <w:noProof/>
          <w:kern w:val="2"/>
          <w:sz w:val="24"/>
          <w:szCs w:val="24"/>
          <w:lang w:val="en-GB"/>
          <w14:ligatures w14:val="standardContextual"/>
        </w:rPr>
      </w:pPr>
      <w:hyperlink w:anchor="_Toc208245259" w:history="1">
        <w:r w:rsidRPr="00BB293C">
          <w:rPr>
            <w:rStyle w:val="Hyperlink"/>
            <w:noProof/>
          </w:rPr>
          <w:t>II.21</w:t>
        </w:r>
        <w:r>
          <w:rPr>
            <w:noProof/>
            <w:kern w:val="2"/>
            <w:sz w:val="24"/>
            <w:szCs w:val="24"/>
            <w:lang w:val="en-GB"/>
            <w14:ligatures w14:val="standardContextual"/>
          </w:rPr>
          <w:tab/>
        </w:r>
        <w:r w:rsidRPr="00BB293C">
          <w:rPr>
            <w:rStyle w:val="Hyperlink"/>
            <w:noProof/>
          </w:rPr>
          <w:t>Z 08.02 – Príslušné služby – priraďovanie k prevádzkovým aktívam (SERV 2)</w:t>
        </w:r>
        <w:r>
          <w:rPr>
            <w:noProof/>
            <w:webHidden/>
          </w:rPr>
          <w:tab/>
        </w:r>
        <w:r>
          <w:rPr>
            <w:noProof/>
            <w:webHidden/>
          </w:rPr>
          <w:fldChar w:fldCharType="begin"/>
        </w:r>
        <w:r>
          <w:rPr>
            <w:noProof/>
            <w:webHidden/>
          </w:rPr>
          <w:instrText xml:space="preserve"> PAGEREF _Toc208245259 \h </w:instrText>
        </w:r>
        <w:r>
          <w:rPr>
            <w:noProof/>
            <w:webHidden/>
          </w:rPr>
        </w:r>
        <w:r>
          <w:rPr>
            <w:noProof/>
            <w:webHidden/>
          </w:rPr>
          <w:fldChar w:fldCharType="separate"/>
        </w:r>
        <w:r>
          <w:rPr>
            <w:noProof/>
            <w:webHidden/>
          </w:rPr>
          <w:t>73</w:t>
        </w:r>
        <w:r>
          <w:rPr>
            <w:noProof/>
            <w:webHidden/>
          </w:rPr>
          <w:fldChar w:fldCharType="end"/>
        </w:r>
      </w:hyperlink>
    </w:p>
    <w:p w14:paraId="479C575D" w14:textId="40F03713" w:rsidR="007B7723" w:rsidRDefault="007B7723">
      <w:pPr>
        <w:pStyle w:val="TOC2"/>
        <w:rPr>
          <w:noProof/>
          <w:kern w:val="2"/>
          <w:sz w:val="24"/>
          <w:szCs w:val="24"/>
          <w:lang w:val="en-GB"/>
          <w14:ligatures w14:val="standardContextual"/>
        </w:rPr>
      </w:pPr>
      <w:hyperlink w:anchor="_Toc208245260" w:history="1">
        <w:r w:rsidRPr="00BB293C">
          <w:rPr>
            <w:rStyle w:val="Hyperlink"/>
            <w:rFonts w:eastAsia="Calibri"/>
            <w:noProof/>
          </w:rPr>
          <w:t>II.22</w:t>
        </w:r>
        <w:r>
          <w:rPr>
            <w:noProof/>
            <w:kern w:val="2"/>
            <w:sz w:val="24"/>
            <w:szCs w:val="24"/>
            <w:lang w:val="en-GB"/>
            <w14:ligatures w14:val="standardContextual"/>
          </w:rPr>
          <w:tab/>
        </w:r>
        <w:r w:rsidRPr="00BB293C">
          <w:rPr>
            <w:rStyle w:val="Hyperlink"/>
            <w:noProof/>
          </w:rPr>
          <w:t>Z 08.03 – Príslušné služby – mapovanie úloh (SERV 3)</w:t>
        </w:r>
        <w:r>
          <w:rPr>
            <w:noProof/>
            <w:webHidden/>
          </w:rPr>
          <w:tab/>
        </w:r>
        <w:r>
          <w:rPr>
            <w:noProof/>
            <w:webHidden/>
          </w:rPr>
          <w:fldChar w:fldCharType="begin"/>
        </w:r>
        <w:r>
          <w:rPr>
            <w:noProof/>
            <w:webHidden/>
          </w:rPr>
          <w:instrText xml:space="preserve"> PAGEREF _Toc208245260 \h </w:instrText>
        </w:r>
        <w:r>
          <w:rPr>
            <w:noProof/>
            <w:webHidden/>
          </w:rPr>
        </w:r>
        <w:r>
          <w:rPr>
            <w:noProof/>
            <w:webHidden/>
          </w:rPr>
          <w:fldChar w:fldCharType="separate"/>
        </w:r>
        <w:r>
          <w:rPr>
            <w:noProof/>
            <w:webHidden/>
          </w:rPr>
          <w:t>76</w:t>
        </w:r>
        <w:r>
          <w:rPr>
            <w:noProof/>
            <w:webHidden/>
          </w:rPr>
          <w:fldChar w:fldCharType="end"/>
        </w:r>
      </w:hyperlink>
    </w:p>
    <w:p w14:paraId="53D05975" w14:textId="232B9BF0" w:rsidR="007B7723" w:rsidRDefault="007B7723">
      <w:pPr>
        <w:pStyle w:val="TOC2"/>
        <w:rPr>
          <w:noProof/>
          <w:kern w:val="2"/>
          <w:sz w:val="24"/>
          <w:szCs w:val="24"/>
          <w:lang w:val="en-GB"/>
          <w14:ligatures w14:val="standardContextual"/>
        </w:rPr>
      </w:pPr>
      <w:hyperlink w:anchor="_Toc208245261" w:history="1">
        <w:r w:rsidRPr="00BB293C">
          <w:rPr>
            <w:rStyle w:val="Hyperlink"/>
            <w:rFonts w:eastAsia="Calibri"/>
            <w:noProof/>
          </w:rPr>
          <w:t>II.23</w:t>
        </w:r>
        <w:r>
          <w:rPr>
            <w:noProof/>
            <w:kern w:val="2"/>
            <w:sz w:val="24"/>
            <w:szCs w:val="24"/>
            <w:lang w:val="en-GB"/>
            <w14:ligatures w14:val="standardContextual"/>
          </w:rPr>
          <w:tab/>
        </w:r>
        <w:r w:rsidRPr="00BB293C">
          <w:rPr>
            <w:rStyle w:val="Hyperlink"/>
            <w:noProof/>
          </w:rPr>
          <w:t>Z 08.04 – Kritické služby – priradenie ku kritickým funkciám (SERV 4)</w:t>
        </w:r>
        <w:r>
          <w:rPr>
            <w:noProof/>
            <w:webHidden/>
          </w:rPr>
          <w:tab/>
        </w:r>
        <w:r>
          <w:rPr>
            <w:noProof/>
            <w:webHidden/>
          </w:rPr>
          <w:fldChar w:fldCharType="begin"/>
        </w:r>
        <w:r>
          <w:rPr>
            <w:noProof/>
            <w:webHidden/>
          </w:rPr>
          <w:instrText xml:space="preserve"> PAGEREF _Toc208245261 \h </w:instrText>
        </w:r>
        <w:r>
          <w:rPr>
            <w:noProof/>
            <w:webHidden/>
          </w:rPr>
        </w:r>
        <w:r>
          <w:rPr>
            <w:noProof/>
            <w:webHidden/>
          </w:rPr>
          <w:fldChar w:fldCharType="separate"/>
        </w:r>
        <w:r>
          <w:rPr>
            <w:noProof/>
            <w:webHidden/>
          </w:rPr>
          <w:t>77</w:t>
        </w:r>
        <w:r>
          <w:rPr>
            <w:noProof/>
            <w:webHidden/>
          </w:rPr>
          <w:fldChar w:fldCharType="end"/>
        </w:r>
      </w:hyperlink>
    </w:p>
    <w:p w14:paraId="7B04D310" w14:textId="2BDADC7B" w:rsidR="007B7723" w:rsidRDefault="007B7723">
      <w:pPr>
        <w:pStyle w:val="TOC2"/>
        <w:rPr>
          <w:noProof/>
          <w:kern w:val="2"/>
          <w:sz w:val="24"/>
          <w:szCs w:val="24"/>
          <w:lang w:val="en-GB"/>
          <w14:ligatures w14:val="standardContextual"/>
        </w:rPr>
      </w:pPr>
      <w:hyperlink w:anchor="_Toc208245262" w:history="1">
        <w:r w:rsidRPr="00BB293C">
          <w:rPr>
            <w:rStyle w:val="Hyperlink"/>
            <w:noProof/>
          </w:rPr>
          <w:t>Všeobecné pokyny</w:t>
        </w:r>
        <w:r>
          <w:rPr>
            <w:noProof/>
            <w:webHidden/>
          </w:rPr>
          <w:tab/>
        </w:r>
        <w:r>
          <w:rPr>
            <w:noProof/>
            <w:webHidden/>
          </w:rPr>
          <w:fldChar w:fldCharType="begin"/>
        </w:r>
        <w:r>
          <w:rPr>
            <w:noProof/>
            <w:webHidden/>
          </w:rPr>
          <w:instrText xml:space="preserve"> PAGEREF _Toc208245262 \h </w:instrText>
        </w:r>
        <w:r>
          <w:rPr>
            <w:noProof/>
            <w:webHidden/>
          </w:rPr>
        </w:r>
        <w:r>
          <w:rPr>
            <w:noProof/>
            <w:webHidden/>
          </w:rPr>
          <w:fldChar w:fldCharType="separate"/>
        </w:r>
        <w:r>
          <w:rPr>
            <w:noProof/>
            <w:webHidden/>
          </w:rPr>
          <w:t>77</w:t>
        </w:r>
        <w:r>
          <w:rPr>
            <w:noProof/>
            <w:webHidden/>
          </w:rPr>
          <w:fldChar w:fldCharType="end"/>
        </w:r>
      </w:hyperlink>
    </w:p>
    <w:p w14:paraId="03220CCB" w14:textId="3C69044A" w:rsidR="007B7723" w:rsidRDefault="007B7723">
      <w:pPr>
        <w:pStyle w:val="TOC2"/>
        <w:rPr>
          <w:noProof/>
          <w:kern w:val="2"/>
          <w:sz w:val="24"/>
          <w:szCs w:val="24"/>
          <w:lang w:val="en-GB"/>
          <w14:ligatures w14:val="standardContextual"/>
        </w:rPr>
      </w:pPr>
      <w:hyperlink w:anchor="_Toc208245263" w:history="1">
        <w:r w:rsidRPr="00BB293C">
          <w:rPr>
            <w:rStyle w:val="Hyperlink"/>
            <w:rFonts w:eastAsia="Calibri"/>
            <w:noProof/>
          </w:rPr>
          <w:t>II.24</w:t>
        </w:r>
        <w:r>
          <w:rPr>
            <w:noProof/>
            <w:kern w:val="2"/>
            <w:sz w:val="24"/>
            <w:szCs w:val="24"/>
            <w:lang w:val="en-GB"/>
            <w14:ligatures w14:val="standardContextual"/>
          </w:rPr>
          <w:tab/>
        </w:r>
        <w:r w:rsidRPr="00BB293C">
          <w:rPr>
            <w:rStyle w:val="Hyperlink"/>
            <w:noProof/>
          </w:rPr>
          <w:t>Z 08.05 – Základné služby – priradenie k hlavným oblastiam obchodnej činnosti (SERV 5)</w:t>
        </w:r>
        <w:r>
          <w:rPr>
            <w:noProof/>
            <w:webHidden/>
          </w:rPr>
          <w:tab/>
        </w:r>
        <w:r>
          <w:rPr>
            <w:noProof/>
            <w:webHidden/>
          </w:rPr>
          <w:fldChar w:fldCharType="begin"/>
        </w:r>
        <w:r>
          <w:rPr>
            <w:noProof/>
            <w:webHidden/>
          </w:rPr>
          <w:instrText xml:space="preserve"> PAGEREF _Toc208245263 \h </w:instrText>
        </w:r>
        <w:r>
          <w:rPr>
            <w:noProof/>
            <w:webHidden/>
          </w:rPr>
        </w:r>
        <w:r>
          <w:rPr>
            <w:noProof/>
            <w:webHidden/>
          </w:rPr>
          <w:fldChar w:fldCharType="separate"/>
        </w:r>
        <w:r>
          <w:rPr>
            <w:noProof/>
            <w:webHidden/>
          </w:rPr>
          <w:t>78</w:t>
        </w:r>
        <w:r>
          <w:rPr>
            <w:noProof/>
            <w:webHidden/>
          </w:rPr>
          <w:fldChar w:fldCharType="end"/>
        </w:r>
      </w:hyperlink>
    </w:p>
    <w:p w14:paraId="4C518483" w14:textId="73899760" w:rsidR="007B7723" w:rsidRDefault="007B7723">
      <w:pPr>
        <w:pStyle w:val="TOC2"/>
        <w:rPr>
          <w:noProof/>
          <w:kern w:val="2"/>
          <w:sz w:val="24"/>
          <w:szCs w:val="24"/>
          <w:lang w:val="en-GB"/>
          <w14:ligatures w14:val="standardContextual"/>
        </w:rPr>
      </w:pPr>
      <w:hyperlink w:anchor="_Toc208245264" w:history="1">
        <w:r w:rsidRPr="00BB293C">
          <w:rPr>
            <w:rStyle w:val="Hyperlink"/>
            <w:noProof/>
          </w:rPr>
          <w:t>II.25</w:t>
        </w:r>
        <w:r>
          <w:rPr>
            <w:noProof/>
            <w:kern w:val="2"/>
            <w:sz w:val="24"/>
            <w:szCs w:val="24"/>
            <w:lang w:val="en-GB"/>
            <w14:ligatures w14:val="standardContextual"/>
          </w:rPr>
          <w:tab/>
        </w:r>
        <w:r w:rsidRPr="00BB293C">
          <w:rPr>
            <w:rStyle w:val="Hyperlink"/>
            <w:noProof/>
          </w:rPr>
          <w:t>Služby FMI</w:t>
        </w:r>
        <w:r>
          <w:rPr>
            <w:noProof/>
            <w:webHidden/>
          </w:rPr>
          <w:tab/>
        </w:r>
        <w:r>
          <w:rPr>
            <w:noProof/>
            <w:webHidden/>
          </w:rPr>
          <w:fldChar w:fldCharType="begin"/>
        </w:r>
        <w:r>
          <w:rPr>
            <w:noProof/>
            <w:webHidden/>
          </w:rPr>
          <w:instrText xml:space="preserve"> PAGEREF _Toc208245264 \h </w:instrText>
        </w:r>
        <w:r>
          <w:rPr>
            <w:noProof/>
            <w:webHidden/>
          </w:rPr>
        </w:r>
        <w:r>
          <w:rPr>
            <w:noProof/>
            <w:webHidden/>
          </w:rPr>
          <w:fldChar w:fldCharType="separate"/>
        </w:r>
        <w:r>
          <w:rPr>
            <w:noProof/>
            <w:webHidden/>
          </w:rPr>
          <w:t>79</w:t>
        </w:r>
        <w:r>
          <w:rPr>
            <w:noProof/>
            <w:webHidden/>
          </w:rPr>
          <w:fldChar w:fldCharType="end"/>
        </w:r>
      </w:hyperlink>
    </w:p>
    <w:p w14:paraId="6E557B58" w14:textId="77D2E70C" w:rsidR="007B7723" w:rsidRDefault="007B7723">
      <w:pPr>
        <w:pStyle w:val="TOC2"/>
        <w:rPr>
          <w:noProof/>
          <w:kern w:val="2"/>
          <w:sz w:val="24"/>
          <w:szCs w:val="24"/>
          <w:lang w:val="en-GB"/>
          <w14:ligatures w14:val="standardContextual"/>
        </w:rPr>
      </w:pPr>
      <w:hyperlink w:anchor="_Toc208245265" w:history="1">
        <w:r w:rsidRPr="00BB293C">
          <w:rPr>
            <w:rStyle w:val="Hyperlink"/>
            <w:noProof/>
          </w:rPr>
          <w:t>II.26</w:t>
        </w:r>
        <w:r>
          <w:rPr>
            <w:noProof/>
            <w:kern w:val="2"/>
            <w:sz w:val="24"/>
            <w:szCs w:val="24"/>
            <w:lang w:val="en-GB"/>
            <w14:ligatures w14:val="standardContextual"/>
          </w:rPr>
          <w:tab/>
        </w:r>
        <w:r w:rsidRPr="00BB293C">
          <w:rPr>
            <w:rStyle w:val="Hyperlink"/>
            <w:noProof/>
          </w:rPr>
          <w:t>Z 09.01 – Služby FMI – Poskytovatelia a používatelia (FMI 1)</w:t>
        </w:r>
        <w:r>
          <w:rPr>
            <w:noProof/>
            <w:webHidden/>
          </w:rPr>
          <w:tab/>
        </w:r>
        <w:r>
          <w:rPr>
            <w:noProof/>
            <w:webHidden/>
          </w:rPr>
          <w:fldChar w:fldCharType="begin"/>
        </w:r>
        <w:r>
          <w:rPr>
            <w:noProof/>
            <w:webHidden/>
          </w:rPr>
          <w:instrText xml:space="preserve"> PAGEREF _Toc208245265 \h </w:instrText>
        </w:r>
        <w:r>
          <w:rPr>
            <w:noProof/>
            <w:webHidden/>
          </w:rPr>
        </w:r>
        <w:r>
          <w:rPr>
            <w:noProof/>
            <w:webHidden/>
          </w:rPr>
          <w:fldChar w:fldCharType="separate"/>
        </w:r>
        <w:r>
          <w:rPr>
            <w:noProof/>
            <w:webHidden/>
          </w:rPr>
          <w:t>79</w:t>
        </w:r>
        <w:r>
          <w:rPr>
            <w:noProof/>
            <w:webHidden/>
          </w:rPr>
          <w:fldChar w:fldCharType="end"/>
        </w:r>
      </w:hyperlink>
    </w:p>
    <w:p w14:paraId="6069C312" w14:textId="40FEAE47" w:rsidR="007B7723" w:rsidRDefault="007B7723">
      <w:pPr>
        <w:pStyle w:val="TOC2"/>
        <w:rPr>
          <w:noProof/>
          <w:kern w:val="2"/>
          <w:sz w:val="24"/>
          <w:szCs w:val="24"/>
          <w:lang w:val="en-GB"/>
          <w14:ligatures w14:val="standardContextual"/>
        </w:rPr>
      </w:pPr>
      <w:hyperlink w:anchor="_Toc208245266" w:history="1">
        <w:r w:rsidRPr="00BB293C">
          <w:rPr>
            <w:rStyle w:val="Hyperlink"/>
            <w:rFonts w:eastAsia="Calibri"/>
            <w:noProof/>
          </w:rPr>
          <w:t>II.27</w:t>
        </w:r>
        <w:r>
          <w:rPr>
            <w:noProof/>
            <w:kern w:val="2"/>
            <w:sz w:val="24"/>
            <w:szCs w:val="24"/>
            <w:lang w:val="en-GB"/>
            <w14:ligatures w14:val="standardContextual"/>
          </w:rPr>
          <w:tab/>
        </w:r>
        <w:r w:rsidRPr="00BB293C">
          <w:rPr>
            <w:rStyle w:val="Hyperlink"/>
            <w:noProof/>
          </w:rPr>
          <w:t>Z 09.02 – Priraďovanie ku kritickým a základným FMI (FMI 2)</w:t>
        </w:r>
        <w:r>
          <w:rPr>
            <w:noProof/>
            <w:webHidden/>
          </w:rPr>
          <w:tab/>
        </w:r>
        <w:r>
          <w:rPr>
            <w:noProof/>
            <w:webHidden/>
          </w:rPr>
          <w:fldChar w:fldCharType="begin"/>
        </w:r>
        <w:r>
          <w:rPr>
            <w:noProof/>
            <w:webHidden/>
          </w:rPr>
          <w:instrText xml:space="preserve"> PAGEREF _Toc208245266 \h </w:instrText>
        </w:r>
        <w:r>
          <w:rPr>
            <w:noProof/>
            <w:webHidden/>
          </w:rPr>
        </w:r>
        <w:r>
          <w:rPr>
            <w:noProof/>
            <w:webHidden/>
          </w:rPr>
          <w:fldChar w:fldCharType="separate"/>
        </w:r>
        <w:r>
          <w:rPr>
            <w:noProof/>
            <w:webHidden/>
          </w:rPr>
          <w:t>83</w:t>
        </w:r>
        <w:r>
          <w:rPr>
            <w:noProof/>
            <w:webHidden/>
          </w:rPr>
          <w:fldChar w:fldCharType="end"/>
        </w:r>
      </w:hyperlink>
    </w:p>
    <w:p w14:paraId="546D7D27" w14:textId="4FA81F86" w:rsidR="007B7723" w:rsidRDefault="007B7723">
      <w:pPr>
        <w:pStyle w:val="TOC2"/>
        <w:rPr>
          <w:noProof/>
          <w:kern w:val="2"/>
          <w:sz w:val="24"/>
          <w:szCs w:val="24"/>
          <w:lang w:val="en-GB"/>
          <w14:ligatures w14:val="standardContextual"/>
        </w:rPr>
      </w:pPr>
      <w:hyperlink w:anchor="_Toc208245267" w:history="1">
        <w:r w:rsidRPr="00BB293C">
          <w:rPr>
            <w:rStyle w:val="Hyperlink"/>
            <w:noProof/>
          </w:rPr>
          <w:t>II.28</w:t>
        </w:r>
        <w:r>
          <w:rPr>
            <w:noProof/>
            <w:kern w:val="2"/>
            <w:sz w:val="24"/>
            <w:szCs w:val="24"/>
            <w:lang w:val="en-GB"/>
            <w14:ligatures w14:val="standardContextual"/>
          </w:rPr>
          <w:tab/>
        </w:r>
        <w:r w:rsidRPr="00BB293C">
          <w:rPr>
            <w:rStyle w:val="Hyperlink"/>
            <w:noProof/>
          </w:rPr>
          <w:t>Z 09.03 – Služby FMI – Kľúčové metre (FMI 3)</w:t>
        </w:r>
        <w:r>
          <w:rPr>
            <w:noProof/>
            <w:webHidden/>
          </w:rPr>
          <w:tab/>
        </w:r>
        <w:r>
          <w:rPr>
            <w:noProof/>
            <w:webHidden/>
          </w:rPr>
          <w:fldChar w:fldCharType="begin"/>
        </w:r>
        <w:r>
          <w:rPr>
            <w:noProof/>
            <w:webHidden/>
          </w:rPr>
          <w:instrText xml:space="preserve"> PAGEREF _Toc208245267 \h </w:instrText>
        </w:r>
        <w:r>
          <w:rPr>
            <w:noProof/>
            <w:webHidden/>
          </w:rPr>
        </w:r>
        <w:r>
          <w:rPr>
            <w:noProof/>
            <w:webHidden/>
          </w:rPr>
          <w:fldChar w:fldCharType="separate"/>
        </w:r>
        <w:r>
          <w:rPr>
            <w:noProof/>
            <w:webHidden/>
          </w:rPr>
          <w:t>85</w:t>
        </w:r>
        <w:r>
          <w:rPr>
            <w:noProof/>
            <w:webHidden/>
          </w:rPr>
          <w:fldChar w:fldCharType="end"/>
        </w:r>
      </w:hyperlink>
    </w:p>
    <w:p w14:paraId="0767256D" w14:textId="243D4DC4" w:rsidR="007B7723" w:rsidRDefault="007B7723">
      <w:pPr>
        <w:pStyle w:val="TOC2"/>
        <w:rPr>
          <w:noProof/>
          <w:kern w:val="2"/>
          <w:sz w:val="24"/>
          <w:szCs w:val="24"/>
          <w:lang w:val="en-GB"/>
          <w14:ligatures w14:val="standardContextual"/>
        </w:rPr>
      </w:pPr>
      <w:hyperlink w:anchor="_Toc208245268" w:history="1">
        <w:r w:rsidRPr="00BB293C">
          <w:rPr>
            <w:rStyle w:val="Hyperlink"/>
            <w:noProof/>
          </w:rPr>
          <w:t>II.29</w:t>
        </w:r>
        <w:r>
          <w:rPr>
            <w:noProof/>
            <w:kern w:val="2"/>
            <w:sz w:val="24"/>
            <w:szCs w:val="24"/>
            <w:lang w:val="en-GB"/>
            <w14:ligatures w14:val="standardContextual"/>
          </w:rPr>
          <w:tab/>
        </w:r>
        <w:r w:rsidRPr="00BB293C">
          <w:rPr>
            <w:rStyle w:val="Hyperlink"/>
            <w:noProof/>
          </w:rPr>
          <w:t>Z 09.04 – Služby FMI – centrálne protistrany – alternatívni poskytovatelia (FMI 4)</w:t>
        </w:r>
        <w:r>
          <w:rPr>
            <w:noProof/>
            <w:webHidden/>
          </w:rPr>
          <w:tab/>
        </w:r>
        <w:r>
          <w:rPr>
            <w:noProof/>
            <w:webHidden/>
          </w:rPr>
          <w:fldChar w:fldCharType="begin"/>
        </w:r>
        <w:r>
          <w:rPr>
            <w:noProof/>
            <w:webHidden/>
          </w:rPr>
          <w:instrText xml:space="preserve"> PAGEREF _Toc208245268 \h </w:instrText>
        </w:r>
        <w:r>
          <w:rPr>
            <w:noProof/>
            <w:webHidden/>
          </w:rPr>
        </w:r>
        <w:r>
          <w:rPr>
            <w:noProof/>
            <w:webHidden/>
          </w:rPr>
          <w:fldChar w:fldCharType="separate"/>
        </w:r>
        <w:r>
          <w:rPr>
            <w:noProof/>
            <w:webHidden/>
          </w:rPr>
          <w:t>87</w:t>
        </w:r>
        <w:r>
          <w:rPr>
            <w:noProof/>
            <w:webHidden/>
          </w:rPr>
          <w:fldChar w:fldCharType="end"/>
        </w:r>
      </w:hyperlink>
    </w:p>
    <w:p w14:paraId="1B137B6D" w14:textId="64B939FB" w:rsidR="007B7723" w:rsidRDefault="007B7723">
      <w:pPr>
        <w:pStyle w:val="TOC2"/>
        <w:rPr>
          <w:noProof/>
          <w:kern w:val="2"/>
          <w:sz w:val="24"/>
          <w:szCs w:val="24"/>
          <w:lang w:val="en-GB"/>
          <w14:ligatures w14:val="standardContextual"/>
        </w:rPr>
      </w:pPr>
      <w:hyperlink w:anchor="_Toc208245269" w:history="1">
        <w:r w:rsidRPr="00BB293C">
          <w:rPr>
            <w:rStyle w:val="Hyperlink"/>
            <w:noProof/>
          </w:rPr>
          <w:t>II.30</w:t>
        </w:r>
        <w:r>
          <w:rPr>
            <w:noProof/>
            <w:kern w:val="2"/>
            <w:sz w:val="24"/>
            <w:szCs w:val="24"/>
            <w:lang w:val="en-GB"/>
            <w14:ligatures w14:val="standardContextual"/>
          </w:rPr>
          <w:tab/>
        </w:r>
        <w:r w:rsidRPr="00BB293C">
          <w:rPr>
            <w:rStyle w:val="Hyperlink"/>
            <w:noProof/>
          </w:rPr>
          <w:t>Analýza zodpovednosti</w:t>
        </w:r>
        <w:r>
          <w:rPr>
            <w:noProof/>
            <w:webHidden/>
          </w:rPr>
          <w:tab/>
        </w:r>
        <w:r>
          <w:rPr>
            <w:noProof/>
            <w:webHidden/>
          </w:rPr>
          <w:fldChar w:fldCharType="begin"/>
        </w:r>
        <w:r>
          <w:rPr>
            <w:noProof/>
            <w:webHidden/>
          </w:rPr>
          <w:instrText xml:space="preserve"> PAGEREF _Toc208245269 \h </w:instrText>
        </w:r>
        <w:r>
          <w:rPr>
            <w:noProof/>
            <w:webHidden/>
          </w:rPr>
        </w:r>
        <w:r>
          <w:rPr>
            <w:noProof/>
            <w:webHidden/>
          </w:rPr>
          <w:fldChar w:fldCharType="separate"/>
        </w:r>
        <w:r>
          <w:rPr>
            <w:noProof/>
            <w:webHidden/>
          </w:rPr>
          <w:t>87</w:t>
        </w:r>
        <w:r>
          <w:rPr>
            <w:noProof/>
            <w:webHidden/>
          </w:rPr>
          <w:fldChar w:fldCharType="end"/>
        </w:r>
      </w:hyperlink>
    </w:p>
    <w:p w14:paraId="5572BA3F" w14:textId="569DE7B2" w:rsidR="007B7723" w:rsidRDefault="007B7723">
      <w:pPr>
        <w:pStyle w:val="TOC2"/>
        <w:rPr>
          <w:noProof/>
          <w:kern w:val="2"/>
          <w:sz w:val="24"/>
          <w:szCs w:val="24"/>
          <w:lang w:val="en-GB"/>
          <w14:ligatures w14:val="standardContextual"/>
        </w:rPr>
      </w:pPr>
      <w:hyperlink w:anchor="_Toc208245270" w:history="1">
        <w:r w:rsidRPr="00BB293C">
          <w:rPr>
            <w:rStyle w:val="Hyperlink"/>
            <w:rFonts w:ascii="Times New Roman" w:hAnsi="Times New Roman" w:cs="Times New Roman"/>
            <w:noProof/>
          </w:rPr>
          <w:t>II.31</w:t>
        </w:r>
        <w:r>
          <w:rPr>
            <w:noProof/>
            <w:kern w:val="2"/>
            <w:sz w:val="24"/>
            <w:szCs w:val="24"/>
            <w:lang w:val="en-GB"/>
            <w14:ligatures w14:val="standardContextual"/>
          </w:rPr>
          <w:tab/>
        </w:r>
        <w:r w:rsidRPr="00BB293C">
          <w:rPr>
            <w:rStyle w:val="Hyperlink"/>
            <w:rFonts w:ascii="Times New Roman" w:hAnsi="Times New Roman" w:cs="Times New Roman"/>
            <w:noProof/>
          </w:rPr>
          <w:t>Z 11.00 Vnútroskupinové záväzky</w:t>
        </w:r>
        <w:r w:rsidRPr="00BB293C">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_Toc208245270 \h </w:instrText>
        </w:r>
        <w:r>
          <w:rPr>
            <w:noProof/>
            <w:webHidden/>
          </w:rPr>
        </w:r>
        <w:r>
          <w:rPr>
            <w:noProof/>
            <w:webHidden/>
          </w:rPr>
          <w:fldChar w:fldCharType="separate"/>
        </w:r>
        <w:r>
          <w:rPr>
            <w:noProof/>
            <w:webHidden/>
          </w:rPr>
          <w:t>87</w:t>
        </w:r>
        <w:r>
          <w:rPr>
            <w:noProof/>
            <w:webHidden/>
          </w:rPr>
          <w:fldChar w:fldCharType="end"/>
        </w:r>
      </w:hyperlink>
    </w:p>
    <w:p w14:paraId="2D5FDED3" w14:textId="44443AC7" w:rsidR="007B7723" w:rsidRDefault="007B7723">
      <w:pPr>
        <w:pStyle w:val="TOC2"/>
        <w:rPr>
          <w:noProof/>
          <w:kern w:val="2"/>
          <w:sz w:val="24"/>
          <w:szCs w:val="24"/>
          <w:lang w:val="en-GB"/>
          <w14:ligatures w14:val="standardContextual"/>
        </w:rPr>
      </w:pPr>
      <w:hyperlink w:anchor="_Toc208245271" w:history="1">
        <w:r w:rsidRPr="00BB293C">
          <w:rPr>
            <w:rStyle w:val="Hyperlink"/>
            <w:rFonts w:ascii="Times New Roman" w:hAnsi="Times New Roman" w:cs="Times New Roman"/>
            <w:noProof/>
          </w:rPr>
          <w:t>II.32</w:t>
        </w:r>
        <w:r>
          <w:rPr>
            <w:noProof/>
            <w:kern w:val="2"/>
            <w:sz w:val="24"/>
            <w:szCs w:val="24"/>
            <w:lang w:val="en-GB"/>
            <w14:ligatures w14:val="standardContextual"/>
          </w:rPr>
          <w:tab/>
        </w:r>
        <w:r w:rsidRPr="00BB293C">
          <w:rPr>
            <w:rStyle w:val="Hyperlink"/>
            <w:rFonts w:ascii="Times New Roman" w:hAnsi="Times New Roman" w:cs="Times New Roman"/>
            <w:noProof/>
          </w:rPr>
          <w:t xml:space="preserve">Z 12.00 – </w:t>
        </w:r>
        <w:r w:rsidRPr="00BB293C">
          <w:rPr>
            <w:rStyle w:val="Hyperlink"/>
            <w:rFonts w:ascii="Times New Roman" w:eastAsia="Cambria" w:hAnsi="Times New Roman" w:cs="Times New Roman"/>
            <w:noProof/>
          </w:rPr>
          <w:t xml:space="preserve">Cenné papiere (vrátane nástrojov CET1, AT1 a Tier 2; okrem vnútroskupinových) </w:t>
        </w:r>
        <w:r w:rsidRPr="00BB293C">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_Toc208245271 \h </w:instrText>
        </w:r>
        <w:r>
          <w:rPr>
            <w:noProof/>
            <w:webHidden/>
          </w:rPr>
        </w:r>
        <w:r>
          <w:rPr>
            <w:noProof/>
            <w:webHidden/>
          </w:rPr>
          <w:fldChar w:fldCharType="separate"/>
        </w:r>
        <w:r>
          <w:rPr>
            <w:noProof/>
            <w:webHidden/>
          </w:rPr>
          <w:t>90</w:t>
        </w:r>
        <w:r>
          <w:rPr>
            <w:noProof/>
            <w:webHidden/>
          </w:rPr>
          <w:fldChar w:fldCharType="end"/>
        </w:r>
      </w:hyperlink>
    </w:p>
    <w:p w14:paraId="51F4199F" w14:textId="0D83C6C5" w:rsidR="007B7723" w:rsidRDefault="007B7723">
      <w:pPr>
        <w:pStyle w:val="TOC2"/>
        <w:rPr>
          <w:noProof/>
          <w:kern w:val="2"/>
          <w:sz w:val="24"/>
          <w:szCs w:val="24"/>
          <w:lang w:val="en-GB"/>
          <w14:ligatures w14:val="standardContextual"/>
        </w:rPr>
      </w:pPr>
      <w:hyperlink w:anchor="_Toc208245272" w:history="1">
        <w:r w:rsidRPr="00BB293C">
          <w:rPr>
            <w:rStyle w:val="Hyperlink"/>
            <w:rFonts w:ascii="Times New Roman" w:hAnsi="Times New Roman" w:cs="Times New Roman"/>
            <w:noProof/>
          </w:rPr>
          <w:t>II.33</w:t>
        </w:r>
        <w:r>
          <w:rPr>
            <w:noProof/>
            <w:kern w:val="2"/>
            <w:sz w:val="24"/>
            <w:szCs w:val="24"/>
            <w:lang w:val="en-GB"/>
            <w14:ligatures w14:val="standardContextual"/>
          </w:rPr>
          <w:tab/>
        </w:r>
        <w:r w:rsidRPr="00BB293C">
          <w:rPr>
            <w:rStyle w:val="Hyperlink"/>
            <w:rFonts w:ascii="Times New Roman" w:hAnsi="Times New Roman" w:cs="Times New Roman"/>
            <w:noProof/>
          </w:rPr>
          <w:t xml:space="preserve">Z 13.00 – Všetky vklady (okrem vnútroskupinových) </w:t>
        </w:r>
        <w:r w:rsidRPr="00BB293C">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_Toc208245272 \h </w:instrText>
        </w:r>
        <w:r>
          <w:rPr>
            <w:noProof/>
            <w:webHidden/>
          </w:rPr>
        </w:r>
        <w:r>
          <w:rPr>
            <w:noProof/>
            <w:webHidden/>
          </w:rPr>
          <w:fldChar w:fldCharType="separate"/>
        </w:r>
        <w:r>
          <w:rPr>
            <w:noProof/>
            <w:webHidden/>
          </w:rPr>
          <w:t>95</w:t>
        </w:r>
        <w:r>
          <w:rPr>
            <w:noProof/>
            <w:webHidden/>
          </w:rPr>
          <w:fldChar w:fldCharType="end"/>
        </w:r>
      </w:hyperlink>
    </w:p>
    <w:p w14:paraId="1C87C1DB" w14:textId="60961F1A" w:rsidR="007B7723" w:rsidRDefault="007B7723">
      <w:pPr>
        <w:pStyle w:val="TOC2"/>
        <w:rPr>
          <w:noProof/>
          <w:kern w:val="2"/>
          <w:sz w:val="24"/>
          <w:szCs w:val="24"/>
          <w:lang w:val="en-GB"/>
          <w14:ligatures w14:val="standardContextual"/>
        </w:rPr>
      </w:pPr>
      <w:hyperlink w:anchor="_Toc208245273" w:history="1">
        <w:r w:rsidRPr="00BB293C">
          <w:rPr>
            <w:rStyle w:val="Hyperlink"/>
            <w:rFonts w:ascii="Times New Roman" w:hAnsi="Times New Roman" w:cs="Times New Roman"/>
            <w:noProof/>
          </w:rPr>
          <w:t>II.34</w:t>
        </w:r>
        <w:r>
          <w:rPr>
            <w:noProof/>
            <w:kern w:val="2"/>
            <w:sz w:val="24"/>
            <w:szCs w:val="24"/>
            <w:lang w:val="en-GB"/>
            <w14:ligatures w14:val="standardContextual"/>
          </w:rPr>
          <w:tab/>
        </w:r>
        <w:r w:rsidRPr="00BB293C">
          <w:rPr>
            <w:rStyle w:val="Hyperlink"/>
            <w:rFonts w:ascii="Times New Roman" w:hAnsi="Times New Roman" w:cs="Times New Roman"/>
            <w:noProof/>
          </w:rPr>
          <w:t xml:space="preserve">Z 14.00 – Ostatné finančné záväzky (nezahrnuté v iných záložkách okrem vnútroskupinových) </w:t>
        </w:r>
        <w:r w:rsidRPr="00BB293C">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_Toc208245273 \h </w:instrText>
        </w:r>
        <w:r>
          <w:rPr>
            <w:noProof/>
            <w:webHidden/>
          </w:rPr>
        </w:r>
        <w:r>
          <w:rPr>
            <w:noProof/>
            <w:webHidden/>
          </w:rPr>
          <w:fldChar w:fldCharType="separate"/>
        </w:r>
        <w:r>
          <w:rPr>
            <w:noProof/>
            <w:webHidden/>
          </w:rPr>
          <w:t>97</w:t>
        </w:r>
        <w:r>
          <w:rPr>
            <w:noProof/>
            <w:webHidden/>
          </w:rPr>
          <w:fldChar w:fldCharType="end"/>
        </w:r>
      </w:hyperlink>
    </w:p>
    <w:p w14:paraId="1F24A0EA" w14:textId="3ADABE94" w:rsidR="007B7723" w:rsidRDefault="007B7723">
      <w:pPr>
        <w:pStyle w:val="TOC2"/>
        <w:rPr>
          <w:noProof/>
          <w:kern w:val="2"/>
          <w:sz w:val="24"/>
          <w:szCs w:val="24"/>
          <w:lang w:val="en-GB"/>
          <w14:ligatures w14:val="standardContextual"/>
        </w:rPr>
      </w:pPr>
      <w:hyperlink w:anchor="_Toc208245274" w:history="1">
        <w:r w:rsidRPr="00BB293C">
          <w:rPr>
            <w:rStyle w:val="Hyperlink"/>
            <w:rFonts w:ascii="Times New Roman" w:hAnsi="Times New Roman" w:cs="Times New Roman"/>
            <w:noProof/>
          </w:rPr>
          <w:t>II.35</w:t>
        </w:r>
        <w:r>
          <w:rPr>
            <w:noProof/>
            <w:kern w:val="2"/>
            <w:sz w:val="24"/>
            <w:szCs w:val="24"/>
            <w:lang w:val="en-GB"/>
            <w14:ligatures w14:val="standardContextual"/>
          </w:rPr>
          <w:tab/>
        </w:r>
        <w:r w:rsidRPr="00BB293C">
          <w:rPr>
            <w:rStyle w:val="Hyperlink"/>
            <w:rFonts w:ascii="Times New Roman" w:hAnsi="Times New Roman" w:cs="Times New Roman"/>
            <w:noProof/>
          </w:rPr>
          <w:t xml:space="preserve">Z 15.00 – Deriváty </w:t>
        </w:r>
        <w:r w:rsidRPr="00BB293C">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_Toc208245274 \h </w:instrText>
        </w:r>
        <w:r>
          <w:rPr>
            <w:noProof/>
            <w:webHidden/>
          </w:rPr>
        </w:r>
        <w:r>
          <w:rPr>
            <w:noProof/>
            <w:webHidden/>
          </w:rPr>
          <w:fldChar w:fldCharType="separate"/>
        </w:r>
        <w:r>
          <w:rPr>
            <w:noProof/>
            <w:webHidden/>
          </w:rPr>
          <w:t>99</w:t>
        </w:r>
        <w:r>
          <w:rPr>
            <w:noProof/>
            <w:webHidden/>
          </w:rPr>
          <w:fldChar w:fldCharType="end"/>
        </w:r>
      </w:hyperlink>
    </w:p>
    <w:p w14:paraId="5B3DE6E1" w14:textId="1C6BED55" w:rsidR="007B7723" w:rsidRDefault="007B7723">
      <w:pPr>
        <w:pStyle w:val="TOC2"/>
        <w:rPr>
          <w:noProof/>
          <w:kern w:val="2"/>
          <w:sz w:val="24"/>
          <w:szCs w:val="24"/>
          <w:lang w:val="en-GB"/>
          <w14:ligatures w14:val="standardContextual"/>
        </w:rPr>
      </w:pPr>
      <w:hyperlink w:anchor="_Toc208245275" w:history="1">
        <w:r w:rsidRPr="00BB293C">
          <w:rPr>
            <w:rStyle w:val="Hyperlink"/>
            <w:rFonts w:ascii="Times New Roman" w:hAnsi="Times New Roman" w:cs="Times New Roman"/>
            <w:noProof/>
          </w:rPr>
          <w:t>II.36</w:t>
        </w:r>
        <w:r>
          <w:rPr>
            <w:noProof/>
            <w:kern w:val="2"/>
            <w:sz w:val="24"/>
            <w:szCs w:val="24"/>
            <w:lang w:val="en-GB"/>
            <w14:ligatures w14:val="standardContextual"/>
          </w:rPr>
          <w:tab/>
        </w:r>
        <w:r w:rsidRPr="00BB293C">
          <w:rPr>
            <w:rStyle w:val="Hyperlink"/>
            <w:rFonts w:ascii="Times New Roman" w:hAnsi="Times New Roman" w:cs="Times New Roman"/>
            <w:noProof/>
          </w:rPr>
          <w:t xml:space="preserve">Z 16.00 – zabezpečené finančné transakcie okrem vnútroskupinových </w:t>
        </w:r>
        <w:r w:rsidRPr="00BB293C">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_Toc208245275 \h </w:instrText>
        </w:r>
        <w:r>
          <w:rPr>
            <w:noProof/>
            <w:webHidden/>
          </w:rPr>
        </w:r>
        <w:r>
          <w:rPr>
            <w:noProof/>
            <w:webHidden/>
          </w:rPr>
          <w:fldChar w:fldCharType="separate"/>
        </w:r>
        <w:r>
          <w:rPr>
            <w:noProof/>
            <w:webHidden/>
          </w:rPr>
          <w:t>101</w:t>
        </w:r>
        <w:r>
          <w:rPr>
            <w:noProof/>
            <w:webHidden/>
          </w:rPr>
          <w:fldChar w:fldCharType="end"/>
        </w:r>
      </w:hyperlink>
    </w:p>
    <w:p w14:paraId="70CF3694" w14:textId="0E99981C" w:rsidR="007B7723" w:rsidRDefault="007B7723">
      <w:pPr>
        <w:pStyle w:val="TOC2"/>
        <w:rPr>
          <w:noProof/>
          <w:kern w:val="2"/>
          <w:sz w:val="24"/>
          <w:szCs w:val="24"/>
          <w:lang w:val="en-GB"/>
          <w14:ligatures w14:val="standardContextual"/>
        </w:rPr>
      </w:pPr>
      <w:hyperlink w:anchor="_Toc208245276" w:history="1">
        <w:r w:rsidRPr="00BB293C">
          <w:rPr>
            <w:rStyle w:val="Hyperlink"/>
            <w:rFonts w:ascii="Times New Roman" w:hAnsi="Times New Roman" w:cs="Times New Roman"/>
            <w:noProof/>
          </w:rPr>
          <w:t>II.37</w:t>
        </w:r>
        <w:r>
          <w:rPr>
            <w:noProof/>
            <w:kern w:val="2"/>
            <w:sz w:val="24"/>
            <w:szCs w:val="24"/>
            <w:lang w:val="en-GB"/>
            <w14:ligatures w14:val="standardContextual"/>
          </w:rPr>
          <w:tab/>
        </w:r>
        <w:r w:rsidRPr="00BB293C">
          <w:rPr>
            <w:rStyle w:val="Hyperlink"/>
            <w:rFonts w:ascii="Times New Roman" w:hAnsi="Times New Roman" w:cs="Times New Roman"/>
            <w:noProof/>
          </w:rPr>
          <w:t xml:space="preserve">Z 17.00 – Ostatné nefinančné záväzky (nezahrnuté v iných záložkách okrem vnútroskupinových) </w:t>
        </w:r>
        <w:r w:rsidRPr="00BB293C">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_Toc208245276 \h </w:instrText>
        </w:r>
        <w:r>
          <w:rPr>
            <w:noProof/>
            <w:webHidden/>
          </w:rPr>
        </w:r>
        <w:r>
          <w:rPr>
            <w:noProof/>
            <w:webHidden/>
          </w:rPr>
          <w:fldChar w:fldCharType="separate"/>
        </w:r>
        <w:r>
          <w:rPr>
            <w:noProof/>
            <w:webHidden/>
          </w:rPr>
          <w:t>102</w:t>
        </w:r>
        <w:r>
          <w:rPr>
            <w:noProof/>
            <w:webHidden/>
          </w:rPr>
          <w:fldChar w:fldCharType="end"/>
        </w:r>
      </w:hyperlink>
    </w:p>
    <w:p w14:paraId="586DBABC" w14:textId="367336D7" w:rsidR="007B7723" w:rsidRDefault="007B7723">
      <w:pPr>
        <w:pStyle w:val="TOC2"/>
        <w:rPr>
          <w:noProof/>
          <w:kern w:val="2"/>
          <w:sz w:val="24"/>
          <w:szCs w:val="24"/>
          <w:lang w:val="en-GB"/>
          <w14:ligatures w14:val="standardContextual"/>
        </w:rPr>
      </w:pPr>
      <w:hyperlink w:anchor="_Toc208245277" w:history="1">
        <w:r w:rsidRPr="00BB293C">
          <w:rPr>
            <w:rStyle w:val="Hyperlink"/>
            <w:noProof/>
          </w:rPr>
          <w:t>II.38</w:t>
        </w:r>
        <w:r>
          <w:rPr>
            <w:noProof/>
            <w:kern w:val="2"/>
            <w:sz w:val="24"/>
            <w:szCs w:val="24"/>
            <w:lang w:val="en-GB"/>
            <w14:ligatures w14:val="standardContextual"/>
          </w:rPr>
          <w:tab/>
        </w:r>
        <w:r w:rsidRPr="00BB293C">
          <w:rPr>
            <w:rStyle w:val="Hyperlink"/>
            <w:noProof/>
          </w:rPr>
          <w:t>Príloha I – Zoznam FMI, ktorý sa má použiť pre Z 09.01 – c0050</w:t>
        </w:r>
        <w:r>
          <w:rPr>
            <w:noProof/>
            <w:webHidden/>
          </w:rPr>
          <w:tab/>
        </w:r>
        <w:r>
          <w:rPr>
            <w:noProof/>
            <w:webHidden/>
          </w:rPr>
          <w:fldChar w:fldCharType="begin"/>
        </w:r>
        <w:r>
          <w:rPr>
            <w:noProof/>
            <w:webHidden/>
          </w:rPr>
          <w:instrText xml:space="preserve"> PAGEREF _Toc208245277 \h </w:instrText>
        </w:r>
        <w:r>
          <w:rPr>
            <w:noProof/>
            <w:webHidden/>
          </w:rPr>
        </w:r>
        <w:r>
          <w:rPr>
            <w:noProof/>
            <w:webHidden/>
          </w:rPr>
          <w:fldChar w:fldCharType="separate"/>
        </w:r>
        <w:r>
          <w:rPr>
            <w:noProof/>
            <w:webHidden/>
          </w:rPr>
          <w:t>105</w:t>
        </w:r>
        <w:r>
          <w:rPr>
            <w:noProof/>
            <w:webHidden/>
          </w:rPr>
          <w:fldChar w:fldCharType="end"/>
        </w:r>
      </w:hyperlink>
    </w:p>
    <w:p w14:paraId="7FE1B2E2" w14:textId="04A19897" w:rsidR="007A5804" w:rsidRDefault="007B7723">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7A5804" w:rsidRDefault="007A5804">
      <w:pPr>
        <w:rPr>
          <w:rFonts w:ascii="Times New Roman" w:hAnsi="Times New Roman" w:cs="Times New Roman"/>
          <w:b/>
          <w:color w:val="000000" w:themeColor="text1"/>
          <w:sz w:val="20"/>
          <w:szCs w:val="20"/>
        </w:rPr>
      </w:pPr>
    </w:p>
    <w:p w14:paraId="7FE1B2E4" w14:textId="77777777" w:rsidR="007A5804" w:rsidRDefault="007A5804">
      <w:pPr>
        <w:pStyle w:val="ListParagraph"/>
        <w:rPr>
          <w:rFonts w:ascii="Times New Roman" w:hAnsi="Times New Roman"/>
          <w:b/>
          <w:color w:val="000000" w:themeColor="text1"/>
          <w:sz w:val="20"/>
          <w:szCs w:val="20"/>
        </w:rPr>
      </w:pPr>
    </w:p>
    <w:p w14:paraId="7FE1B2E5" w14:textId="77777777" w:rsidR="007A5804" w:rsidRDefault="007B7723">
      <w:pPr>
        <w:pStyle w:val="P68B1DB1-Normal3"/>
        <w:spacing w:after="200" w:line="276" w:lineRule="auto"/>
        <w:rPr>
          <w:rFonts w:eastAsiaTheme="majorEastAsia"/>
          <w:kern w:val="28"/>
        </w:rPr>
      </w:pPr>
      <w:bookmarkStart w:id="0" w:name="_Toc492542318"/>
      <w:r>
        <w:br w:type="page"/>
      </w:r>
    </w:p>
    <w:p w14:paraId="7FE1B2E6" w14:textId="77777777" w:rsidR="007A5804" w:rsidRDefault="007B7723">
      <w:pPr>
        <w:pStyle w:val="P68B1DB1-Instructionsberschrift24"/>
        <w:numPr>
          <w:ilvl w:val="0"/>
          <w:numId w:val="49"/>
        </w:numPr>
        <w:ind w:left="357" w:hanging="357"/>
      </w:pPr>
      <w:bookmarkStart w:id="1" w:name="_Toc81454170"/>
      <w:bookmarkStart w:id="2" w:name="_Toc208245229"/>
      <w:r>
        <w:lastRenderedPageBreak/>
        <w:t>Všeobecné pokyny</w:t>
      </w:r>
      <w:bookmarkEnd w:id="0"/>
      <w:bookmarkEnd w:id="1"/>
      <w:bookmarkEnd w:id="2"/>
    </w:p>
    <w:p w14:paraId="7FE1B2E7" w14:textId="466126F5" w:rsidR="007A5804" w:rsidRDefault="007F0D5A">
      <w:pPr>
        <w:pStyle w:val="P68B1DB1-Instructionsberschrift25"/>
        <w:numPr>
          <w:ilvl w:val="1"/>
          <w:numId w:val="49"/>
        </w:numPr>
        <w:ind w:left="357" w:hanging="357"/>
      </w:pPr>
      <w:bookmarkStart w:id="3" w:name="_Toc81454171"/>
      <w:bookmarkStart w:id="4" w:name="_Toc208245230"/>
      <w:r>
        <w:t>Štruktúra</w:t>
      </w:r>
      <w:bookmarkEnd w:id="3"/>
      <w:bookmarkEnd w:id="4"/>
      <w:r>
        <w:t xml:space="preserve"> </w:t>
      </w:r>
    </w:p>
    <w:p w14:paraId="7FE1B2E8" w14:textId="261F32BB" w:rsidR="007A5804" w:rsidRDefault="007B7723">
      <w:pPr>
        <w:pStyle w:val="P68B1DB1-InstructionsText26"/>
        <w:numPr>
          <w:ilvl w:val="0"/>
          <w:numId w:val="71"/>
        </w:numPr>
        <w:spacing w:before="0"/>
        <w:ind w:left="714" w:hanging="357"/>
      </w:pPr>
      <w:r>
        <w:t>Rámec tvorí 29 vzorov usporiadaných v 6 blokoch.</w:t>
      </w:r>
    </w:p>
    <w:p w14:paraId="7FE1B2EA" w14:textId="45B1FB28" w:rsidR="007A5804" w:rsidRDefault="007B7723">
      <w:pPr>
        <w:pStyle w:val="P68B1DB1-body7"/>
        <w:numPr>
          <w:ilvl w:val="0"/>
          <w:numId w:val="61"/>
        </w:numPr>
      </w:pPr>
      <w:r>
        <w:t>„Všeobecné informácie“, ktorý poskytuje prehľad o organizačnej štruktúre skupiny a jej subjektov, rozdelení aktív a hodnotách rizikových expozícií. Tento blok pozostáva zo vzorov:</w:t>
      </w:r>
    </w:p>
    <w:p w14:paraId="7FE1B2EB" w14:textId="75468367" w:rsidR="007A5804" w:rsidRDefault="007B7723">
      <w:pPr>
        <w:pStyle w:val="P68B1DB1-body7"/>
        <w:numPr>
          <w:ilvl w:val="1"/>
          <w:numId w:val="207"/>
        </w:numPr>
      </w:pPr>
      <w:r>
        <w:t>Z 01.01 – Právnické subjekty (ORG 1)“</w:t>
      </w:r>
    </w:p>
    <w:p w14:paraId="7FE1B2EC" w14:textId="77777777" w:rsidR="007A5804" w:rsidRDefault="007B7723">
      <w:pPr>
        <w:pStyle w:val="P68B1DB1-body7"/>
        <w:numPr>
          <w:ilvl w:val="1"/>
          <w:numId w:val="207"/>
        </w:numPr>
      </w:pPr>
      <w:r>
        <w:t>Z 01.02 – Vlastnícka štruktúra (ORG 2)</w:t>
      </w:r>
    </w:p>
    <w:p w14:paraId="7FE1B2ED" w14:textId="0B29A8FB" w:rsidR="007A5804" w:rsidRDefault="007B7723">
      <w:pPr>
        <w:pStyle w:val="P68B1DB1-body7"/>
        <w:numPr>
          <w:ilvl w:val="0"/>
          <w:numId w:val="61"/>
        </w:numPr>
      </w:pPr>
      <w:r>
        <w:t>„Súhrnné údaje o súvahových a podsúvahových položkách“, ktorý poskytuje finančné informácie o záväzkoch, vlastných zdrojoch, finančných prepojeniach medzi subjektmi skupiny, záväzkoch voči hlavným protistranám, o podsúvahových položkách prijatých od hlavných protistrán a o poistení vkladov. Tento blok pozostáva zo 7 vzorov:</w:t>
      </w:r>
    </w:p>
    <w:p w14:paraId="7FE1B2EE" w14:textId="77777777" w:rsidR="007A5804" w:rsidRDefault="007B7723">
      <w:pPr>
        <w:pStyle w:val="P68B1DB1-body7"/>
        <w:numPr>
          <w:ilvl w:val="0"/>
          <w:numId w:val="208"/>
        </w:numPr>
      </w:pPr>
      <w:r>
        <w:t>„Z 02.00 – Štruktúra záväzkov (LIAB 1)“;</w:t>
      </w:r>
    </w:p>
    <w:p w14:paraId="7FE1B2EF" w14:textId="584458BC" w:rsidR="007A5804" w:rsidRDefault="007B7723">
      <w:pPr>
        <w:pStyle w:val="P68B1DB1-body7"/>
        <w:numPr>
          <w:ilvl w:val="0"/>
          <w:numId w:val="208"/>
        </w:numPr>
      </w:pPr>
      <w:r>
        <w:t>„Z 03.01 – Požiadavky na vlastné zdroje pre banky (LIAB 2)“;</w:t>
      </w:r>
    </w:p>
    <w:p w14:paraId="7FE1B2F0" w14:textId="77777777" w:rsidR="007A5804" w:rsidRDefault="007B7723">
      <w:pPr>
        <w:pStyle w:val="P68B1DB1-body7"/>
        <w:numPr>
          <w:ilvl w:val="0"/>
          <w:numId w:val="208"/>
        </w:numPr>
      </w:pPr>
      <w:r>
        <w:t>„Z 03.02 – Požiadavky na vlastné zdroje pre investičné firmy (LIAB 3)“;</w:t>
      </w:r>
    </w:p>
    <w:p w14:paraId="7FE1B2F2" w14:textId="77777777" w:rsidR="007A5804" w:rsidRDefault="007B7723">
      <w:pPr>
        <w:pStyle w:val="P68B1DB1-body7"/>
        <w:numPr>
          <w:ilvl w:val="0"/>
          <w:numId w:val="208"/>
        </w:numPr>
      </w:pPr>
      <w:r>
        <w:t>„Z 04.00 – Finančné prepojenia v rámci skupiny (LIAB 4)“;</w:t>
      </w:r>
    </w:p>
    <w:p w14:paraId="7FE1B2F3" w14:textId="780D871C" w:rsidR="007A5804" w:rsidRDefault="007B7723">
      <w:pPr>
        <w:pStyle w:val="P68B1DB1-body7"/>
        <w:numPr>
          <w:ilvl w:val="0"/>
          <w:numId w:val="208"/>
        </w:numPr>
      </w:pPr>
      <w:r>
        <w:t>„Z 05.01 – Náhrada hlavných záväzkov (LIAB 5)“;</w:t>
      </w:r>
    </w:p>
    <w:p w14:paraId="7FE1B2F4" w14:textId="510CE128" w:rsidR="007A5804" w:rsidRDefault="007B7723">
      <w:pPr>
        <w:pStyle w:val="P68B1DB1-body7"/>
        <w:numPr>
          <w:ilvl w:val="0"/>
          <w:numId w:val="208"/>
        </w:numPr>
      </w:pPr>
      <w:r>
        <w:t>‚Z 05.02 – Podsúvahové položky hlavných protistrán (LIAB 6)‘;</w:t>
      </w:r>
    </w:p>
    <w:p w14:paraId="7FE1B2F5" w14:textId="762695F7" w:rsidR="007A5804" w:rsidRDefault="007B7723">
      <w:pPr>
        <w:pStyle w:val="P68B1DB1-body7"/>
        <w:numPr>
          <w:ilvl w:val="0"/>
          <w:numId w:val="208"/>
        </w:numPr>
      </w:pPr>
      <w:r>
        <w:t>„Z 06.00 – Poistenie vkladov (LIAB 7)“.</w:t>
      </w:r>
    </w:p>
    <w:p w14:paraId="7FE1B2F6" w14:textId="75559FD1" w:rsidR="007A5804" w:rsidRDefault="007B7723">
      <w:pPr>
        <w:pStyle w:val="P68B1DB1-body7"/>
        <w:numPr>
          <w:ilvl w:val="0"/>
          <w:numId w:val="61"/>
        </w:numPr>
      </w:pPr>
      <w:r>
        <w:t>„Zásadné funkcie“, ktorý poskytuje prehľad o zásadných funkciách a priraďujú ich k právnickým osobám, hlavným oblastiam obchodnej činnosti. Tento blok pozostáva zo 4 vzorov:</w:t>
      </w:r>
    </w:p>
    <w:p w14:paraId="7FE1B2F7" w14:textId="433A5E71" w:rsidR="007A5804" w:rsidRDefault="007B7723">
      <w:pPr>
        <w:pStyle w:val="P68B1DB1-body7"/>
        <w:numPr>
          <w:ilvl w:val="1"/>
          <w:numId w:val="209"/>
        </w:numPr>
      </w:pPr>
      <w:r>
        <w:t xml:space="preserve">Z 07.01 – Posúdenie kritickosti hospodárskych funkcií (FUNC 1) </w:t>
      </w:r>
    </w:p>
    <w:p w14:paraId="7FE1B2F8" w14:textId="3145F629" w:rsidR="007A5804" w:rsidRDefault="007B7723">
      <w:pPr>
        <w:pStyle w:val="P68B1DB1-body7"/>
        <w:numPr>
          <w:ilvl w:val="1"/>
          <w:numId w:val="209"/>
        </w:numPr>
      </w:pPr>
      <w:r>
        <w:t xml:space="preserve">Z 07.02 – Priradenie zásadných funkcií k právnickým osobám (FUNC 2) </w:t>
      </w:r>
    </w:p>
    <w:p w14:paraId="7FE1B2F9" w14:textId="1FE59149" w:rsidR="007A5804" w:rsidRDefault="007B7723">
      <w:pPr>
        <w:pStyle w:val="P68B1DB1-body7"/>
        <w:numPr>
          <w:ilvl w:val="1"/>
          <w:numId w:val="209"/>
        </w:numPr>
      </w:pPr>
      <w:r>
        <w:t xml:space="preserve">Z 07.03 – Priradenie hlavných oblasti obchodnej činnosti k právnickým osobám (FUNC 3) </w:t>
      </w:r>
    </w:p>
    <w:p w14:paraId="7FE1B2FB" w14:textId="3D116B7E" w:rsidR="007A5804" w:rsidRDefault="007B7723">
      <w:pPr>
        <w:pStyle w:val="P68B1DB1-body7"/>
        <w:ind w:left="1794"/>
      </w:pPr>
      <w:r>
        <w:t>R 07.04 – Priradenie zásadných funkcií k hlavným oblastiam obchodnej činnosti (FUNC 4)</w:t>
      </w:r>
    </w:p>
    <w:p w14:paraId="7FE1B2FC" w14:textId="77777777" w:rsidR="007A5804" w:rsidRDefault="007B7723">
      <w:pPr>
        <w:pStyle w:val="P68B1DB1-body7"/>
        <w:numPr>
          <w:ilvl w:val="0"/>
          <w:numId w:val="61"/>
        </w:numPr>
      </w:pPr>
      <w:bookmarkStart w:id="5" w:name="_Hlk160696385"/>
      <w:r>
        <w:t>Služby a subjekty, ktoré poskytujú prehľad používateľov a poskytovateľov služieb a priraďujú ich k hospodárskym funkciám a obchodným líniám</w:t>
      </w:r>
      <w:bookmarkEnd w:id="5"/>
      <w:r>
        <w:t>:</w:t>
      </w:r>
    </w:p>
    <w:p w14:paraId="7FE1B2FD" w14:textId="77777777" w:rsidR="007A5804" w:rsidRDefault="007B7723">
      <w:pPr>
        <w:pStyle w:val="P68B1DB1-body7"/>
        <w:numPr>
          <w:ilvl w:val="1"/>
          <w:numId w:val="210"/>
        </w:numPr>
      </w:pPr>
      <w:r>
        <w:t>Z 08.01 – Relevant Services (SERV 1)</w:t>
      </w:r>
    </w:p>
    <w:p w14:paraId="7FE1B2FE" w14:textId="77777777" w:rsidR="007A5804" w:rsidRDefault="007B7723">
      <w:pPr>
        <w:pStyle w:val="P68B1DB1-body7"/>
        <w:numPr>
          <w:ilvl w:val="1"/>
          <w:numId w:val="210"/>
        </w:numPr>
      </w:pPr>
      <w:r>
        <w:t>Z 08.02 – Príslušné služby – Priraďovanie k aktívam (SERV 2)</w:t>
      </w:r>
    </w:p>
    <w:p w14:paraId="7FE1B2FF" w14:textId="77777777" w:rsidR="007A5804" w:rsidRDefault="007B7723">
      <w:pPr>
        <w:pStyle w:val="P68B1DB1-body7"/>
        <w:numPr>
          <w:ilvl w:val="1"/>
          <w:numId w:val="210"/>
        </w:numPr>
      </w:pPr>
      <w:r>
        <w:t>Z 08.03 – Príslušné služby – Priraďovanie k úlohám (SERV 3)</w:t>
      </w:r>
    </w:p>
    <w:p w14:paraId="7FE1B300" w14:textId="77777777" w:rsidR="007A5804" w:rsidRDefault="007B7723">
      <w:pPr>
        <w:pStyle w:val="P68B1DB1-body7"/>
        <w:numPr>
          <w:ilvl w:val="1"/>
          <w:numId w:val="210"/>
        </w:numPr>
      </w:pPr>
      <w:r>
        <w:t>Z 08.04 – Príslušné služby – Priraďovanie ku kritickým funkciám (SERV 4)</w:t>
      </w:r>
    </w:p>
    <w:p w14:paraId="7FE1B301" w14:textId="77777777" w:rsidR="007A5804" w:rsidRDefault="007B7723">
      <w:pPr>
        <w:pStyle w:val="P68B1DB1-body7"/>
        <w:numPr>
          <w:ilvl w:val="1"/>
          <w:numId w:val="210"/>
        </w:numPr>
      </w:pPr>
      <w:r>
        <w:lastRenderedPageBreak/>
        <w:t>Z 08.05 – Príslušné služby – Priraďovanie k hlavným oblastiam obchodnej činnosti (SERV 5)</w:t>
      </w:r>
    </w:p>
    <w:p w14:paraId="7FE1B303" w14:textId="397A4C74" w:rsidR="007A5804" w:rsidRDefault="007B7723">
      <w:pPr>
        <w:pStyle w:val="P68B1DB1-body7"/>
        <w:numPr>
          <w:ilvl w:val="0"/>
          <w:numId w:val="61"/>
        </w:numPr>
      </w:pPr>
      <w:r>
        <w:t>Podávanie správ o službách FMI</w:t>
      </w:r>
    </w:p>
    <w:p w14:paraId="7FE1B304" w14:textId="110EA9FD" w:rsidR="007A5804" w:rsidRDefault="007B7723">
      <w:pPr>
        <w:pStyle w:val="P68B1DB1-body7"/>
        <w:numPr>
          <w:ilvl w:val="1"/>
          <w:numId w:val="211"/>
        </w:numPr>
      </w:pPr>
      <w:r>
        <w:t>Z 09.01 – Služby FMI – Poskytovatelia a používatelia (FMI 1)</w:t>
      </w:r>
    </w:p>
    <w:p w14:paraId="7FE1B305" w14:textId="77777777" w:rsidR="007A5804" w:rsidRDefault="007B7723">
      <w:pPr>
        <w:pStyle w:val="P68B1DB1-body7"/>
        <w:numPr>
          <w:ilvl w:val="1"/>
          <w:numId w:val="211"/>
        </w:numPr>
      </w:pPr>
      <w:r>
        <w:t>Z 09.02 – Služby FMI – Priraďovanie ku kritickým a základným FMI (FMI 2)</w:t>
      </w:r>
    </w:p>
    <w:p w14:paraId="7FE1B306" w14:textId="77777777" w:rsidR="007A5804" w:rsidRDefault="007B7723">
      <w:pPr>
        <w:pStyle w:val="P68B1DB1-body7"/>
        <w:numPr>
          <w:ilvl w:val="1"/>
          <w:numId w:val="211"/>
        </w:numPr>
      </w:pPr>
      <w:r>
        <w:t>Z 09.03 – Služby FMI – Kľúčové metre (FMI 3)</w:t>
      </w:r>
    </w:p>
    <w:p w14:paraId="7FE1B307" w14:textId="77777777" w:rsidR="007A5804" w:rsidRDefault="007B7723">
      <w:pPr>
        <w:pStyle w:val="P68B1DB1-body7"/>
        <w:numPr>
          <w:ilvl w:val="1"/>
          <w:numId w:val="211"/>
        </w:numPr>
      </w:pPr>
      <w:r>
        <w:t>Z 09.04 – Služby FMI – centrálne protistrany – alternatívni poskytovatelia (FMI 4)</w:t>
      </w:r>
    </w:p>
    <w:p w14:paraId="7FE1B30B" w14:textId="05DD2D8B" w:rsidR="007A5804" w:rsidRDefault="007B7723">
      <w:pPr>
        <w:pStyle w:val="P68B1DB1-body7"/>
        <w:numPr>
          <w:ilvl w:val="0"/>
          <w:numId w:val="61"/>
        </w:numPr>
      </w:pPr>
      <w:r>
        <w:t>Podrobné vykazovanie údajov o zodpovednosti na účely posúdenia odpísania dlhu</w:t>
      </w:r>
    </w:p>
    <w:p w14:paraId="7FE1B30C" w14:textId="6ACC8549" w:rsidR="007A5804" w:rsidRDefault="007B7723">
      <w:pPr>
        <w:pStyle w:val="P68B1DB1-body7"/>
        <w:numPr>
          <w:ilvl w:val="0"/>
          <w:numId w:val="217"/>
        </w:numPr>
      </w:pPr>
      <w:r>
        <w:t>Z 11.00 – Vnútroskupinové záväzky (okrem derivátov) (LIAB-G-1)</w:t>
      </w:r>
    </w:p>
    <w:p w14:paraId="7FE1B30D" w14:textId="140BB302" w:rsidR="007A5804" w:rsidRDefault="007B7723">
      <w:pPr>
        <w:pStyle w:val="P68B1DB1-body7"/>
        <w:numPr>
          <w:ilvl w:val="0"/>
          <w:numId w:val="217"/>
        </w:numPr>
      </w:pPr>
      <w:r>
        <w:t>Z 12.00 – Cenné papiere (vrátane nástrojov CET1, AT1 a Tier 2 okrem vnútroskupinových nástrojov) (LIAB-G-2)</w:t>
      </w:r>
    </w:p>
    <w:p w14:paraId="7FE1B30E" w14:textId="67922446" w:rsidR="007A5804" w:rsidRDefault="007B7723">
      <w:pPr>
        <w:pStyle w:val="P68B1DB1-body7"/>
        <w:numPr>
          <w:ilvl w:val="0"/>
          <w:numId w:val="217"/>
        </w:numPr>
      </w:pPr>
      <w:r>
        <w:t>Z 13.00 – Všetky vklady (okrem vnútroskupinových) (LIAB-G-3)</w:t>
      </w:r>
    </w:p>
    <w:p w14:paraId="7FE1B30F" w14:textId="2D8F046E" w:rsidR="007A5804" w:rsidRDefault="007B7723">
      <w:pPr>
        <w:pStyle w:val="P68B1DB1-body7"/>
        <w:numPr>
          <w:ilvl w:val="0"/>
          <w:numId w:val="217"/>
        </w:numPr>
      </w:pPr>
      <w:r>
        <w:t>Z 14.00 – Ostatné finančné záväzky (LIAB-G-4)</w:t>
      </w:r>
    </w:p>
    <w:p w14:paraId="7FE1B310" w14:textId="69B08C3E" w:rsidR="007A5804" w:rsidRDefault="007B7723">
      <w:pPr>
        <w:pStyle w:val="P68B1DB1-body7"/>
        <w:numPr>
          <w:ilvl w:val="1"/>
          <w:numId w:val="211"/>
        </w:numPr>
      </w:pPr>
      <w:r>
        <w:t>Z 15.00 – Deriváty (LIAB-G-5)</w:t>
      </w:r>
    </w:p>
    <w:p w14:paraId="7FE1B311" w14:textId="2130BFF9" w:rsidR="007A5804" w:rsidRDefault="007B7723">
      <w:pPr>
        <w:pStyle w:val="P68B1DB1-body7"/>
        <w:numPr>
          <w:ilvl w:val="1"/>
          <w:numId w:val="211"/>
        </w:numPr>
      </w:pPr>
      <w:r>
        <w:t>Z 16.00 – zabezpečené financovanie, okrem vnútroskupinových (LIAB-G-6)</w:t>
      </w:r>
    </w:p>
    <w:p w14:paraId="7FE1B312" w14:textId="77742066" w:rsidR="007A5804" w:rsidRDefault="007B7723">
      <w:pPr>
        <w:pStyle w:val="P68B1DB1-body7"/>
        <w:numPr>
          <w:ilvl w:val="1"/>
          <w:numId w:val="211"/>
        </w:numPr>
      </w:pPr>
      <w:r>
        <w:t>Z 17.00 – Ostatné nefinančné záväzky (LIAB-G-7)</w:t>
      </w:r>
    </w:p>
    <w:p w14:paraId="7FE1B313" w14:textId="77777777" w:rsidR="007A5804" w:rsidRDefault="007A5804">
      <w:pPr>
        <w:pStyle w:val="body"/>
        <w:ind w:left="426"/>
        <w:rPr>
          <w:rFonts w:ascii="Times New Roman" w:hAnsi="Times New Roman" w:cs="Times New Roman"/>
          <w:color w:val="000000" w:themeColor="text1"/>
          <w:sz w:val="20"/>
          <w:szCs w:val="20"/>
        </w:rPr>
      </w:pPr>
    </w:p>
    <w:p w14:paraId="7FE1B314" w14:textId="77777777" w:rsidR="007A5804" w:rsidRDefault="007B7723">
      <w:pPr>
        <w:pStyle w:val="P68B1DB1-Instructionsberschrift25"/>
        <w:numPr>
          <w:ilvl w:val="1"/>
          <w:numId w:val="49"/>
        </w:numPr>
        <w:ind w:left="357" w:hanging="357"/>
      </w:pPr>
      <w:bookmarkStart w:id="6" w:name="_Toc81454172"/>
      <w:bookmarkStart w:id="7" w:name="_Toc208245231"/>
      <w:r>
        <w:t>Referenčné čísla</w:t>
      </w:r>
      <w:bookmarkEnd w:id="6"/>
      <w:bookmarkEnd w:id="7"/>
    </w:p>
    <w:p w14:paraId="7FE1B315" w14:textId="77777777" w:rsidR="007A5804" w:rsidRDefault="007B7723">
      <w:pPr>
        <w:pStyle w:val="P68B1DB1-InstructionsText26"/>
        <w:numPr>
          <w:ilvl w:val="0"/>
          <w:numId w:val="225"/>
        </w:numPr>
        <w:spacing w:before="0"/>
      </w:pPr>
      <w:r>
        <w:t>Na účely tejto prílohy sa uplatňujú tieto skratky:</w:t>
      </w:r>
    </w:p>
    <w:p w14:paraId="7FE1B317" w14:textId="77777777" w:rsidR="007A5804" w:rsidRDefault="007B7723">
      <w:pPr>
        <w:pStyle w:val="P68B1DB1-ListParagraph8"/>
        <w:numPr>
          <w:ilvl w:val="0"/>
          <w:numId w:val="60"/>
        </w:numPr>
        <w:ind w:left="1074"/>
        <w:jc w:val="both"/>
      </w:pPr>
      <w:r>
        <w:t>„CPMI“ je Výbor pre platobnú a trhovú infraštruktúru Banky pre medzinárodné zúčtovanie;</w:t>
      </w:r>
    </w:p>
    <w:p w14:paraId="7FE1B318" w14:textId="36318AB0" w:rsidR="007A5804" w:rsidRDefault="007B772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sú vzory FINREP uvedené v prílohe I k vykonávaciemu nariadeniu Komisie (EÚ) 2024/3117</w:t>
      </w:r>
      <w:r>
        <w:rPr>
          <w:rStyle w:val="FootnoteReference"/>
          <w:rFonts w:ascii="Times New Roman" w:hAnsi="Times New Roman"/>
          <w:sz w:val="20"/>
          <w:szCs w:val="20"/>
        </w:rPr>
        <w:footnoteReference w:id="2"/>
      </w:r>
      <w:r>
        <w:rPr>
          <w:rFonts w:ascii="Times New Roman" w:hAnsi="Times New Roman"/>
          <w:color w:val="000000" w:themeColor="text1"/>
          <w:sz w:val="20"/>
          <w:szCs w:val="20"/>
        </w:rPr>
        <w:t>;</w:t>
      </w:r>
    </w:p>
    <w:p w14:paraId="7FE1B319" w14:textId="5E436E82" w:rsidR="007A5804" w:rsidRDefault="007B7723">
      <w:pPr>
        <w:pStyle w:val="P68B1DB1-ListParagraph8"/>
        <w:numPr>
          <w:ilvl w:val="0"/>
          <w:numId w:val="60"/>
        </w:numPr>
        <w:ind w:left="1074"/>
        <w:jc w:val="both"/>
      </w:pPr>
      <w:r>
        <w:t>„COREP (OF)“ sú vzory COREP (OF) uvedené v prílohe I k vykonávaciemu nariadeniu Komisie (EÚ) 2024/3117;</w:t>
      </w:r>
    </w:p>
    <w:p w14:paraId="7FE1B31A" w14:textId="2492C34D" w:rsidR="007A5804" w:rsidRDefault="007B7723">
      <w:pPr>
        <w:pStyle w:val="P68B1DB1-ListParagraph8"/>
        <w:numPr>
          <w:ilvl w:val="0"/>
          <w:numId w:val="60"/>
        </w:numPr>
        <w:ind w:left="1074"/>
        <w:jc w:val="both"/>
      </w:pPr>
      <w:r>
        <w:t>„COREP (LR)“ sú vzory COREP (LR) uvedené v prílohe I k vykonávaciemu nariadeniu Komisie (EÚ) 2024/3117;</w:t>
      </w:r>
    </w:p>
    <w:p w14:paraId="7FE1B31B" w14:textId="77777777" w:rsidR="007A5804" w:rsidRDefault="007B7723">
      <w:pPr>
        <w:pStyle w:val="P68B1DB1-ListParagraph8"/>
        <w:numPr>
          <w:ilvl w:val="0"/>
          <w:numId w:val="60"/>
        </w:numPr>
        <w:ind w:left="1074"/>
        <w:jc w:val="both"/>
      </w:pPr>
      <w:r>
        <w:t>„FSB“ je Rada pre finančnú stabilitu;</w:t>
      </w:r>
    </w:p>
    <w:p w14:paraId="7FE1B31C" w14:textId="77777777" w:rsidR="007A5804" w:rsidRDefault="007B7723">
      <w:pPr>
        <w:pStyle w:val="P68B1DB1-ListParagraph9"/>
        <w:numPr>
          <w:ilvl w:val="0"/>
          <w:numId w:val="60"/>
        </w:numPr>
        <w:ind w:left="1074"/>
        <w:jc w:val="both"/>
        <w:rPr>
          <w:color w:val="000000" w:themeColor="text1"/>
          <w:sz w:val="20"/>
          <w:szCs w:val="20"/>
        </w:rPr>
      </w:pPr>
      <w:r>
        <w:rPr>
          <w:color w:val="000000" w:themeColor="text1"/>
          <w:sz w:val="20"/>
          <w:szCs w:val="20"/>
        </w:rPr>
        <w:t>„IAS“ sú medzinárodné účtovné normy podľa vymedzenia v článku 2 nariadenia Európskeho parlamentu a Rady (ES) č. 1606/2002.</w:t>
      </w:r>
      <w:r>
        <w:footnoteReference w:id="3"/>
      </w:r>
    </w:p>
    <w:p w14:paraId="7FE1B31D" w14:textId="77777777" w:rsidR="007A5804" w:rsidRDefault="007B772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 sú medzinárodné normy pre finančné výkazníctvo podľa vymedzenia v článku 2 nariadenia (ES) č.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7A5804" w:rsidRDefault="007B772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„Kód LEI“ je identifikačný kód právnickej osoby, ktorého cieľom je dosiahnuť jedinečnú a celosvetovo platnú identifikáciu strán finančných transakcií, navrhnutý Radou pre finančnú stabilitu (FSB) a schválený skupinou G20. Kým sa celosvetový systém LEI stane plne funkčným, protistranám prideľuje predbežné kódy LEI miestna operačná jednotka, ktorú schválil Výbor pre regulačný dohľad nad systémom identifikátorov právnických osôb (ROC;podrobné informácie možno nájsť na webovej lokalite: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Keď pre danú protistranu existuje identifikátor právnickej osoby (kód LEI), musí sa použiť na identifikáciu tejto protistrany;</w:t>
      </w:r>
    </w:p>
    <w:p w14:paraId="7FE1B31F" w14:textId="34CF2B95" w:rsidR="007A5804" w:rsidRDefault="007B7723">
      <w:pPr>
        <w:pStyle w:val="P68B1DB1-ListParagraph8"/>
        <w:numPr>
          <w:ilvl w:val="0"/>
          <w:numId w:val="60"/>
        </w:numPr>
        <w:ind w:left="1074"/>
        <w:jc w:val="both"/>
      </w:pPr>
      <w:r>
        <w:t>ID „PFI“ alebo „peňažná finančná inštitúcia“ je jedinečný identifikačný kód pre PFI v zozname peňažných finančných inštitúcií, ktorý vedie a uverejňuje ECB na štatistické účely v súlade s nariadením Európskej centrálnej banky (EÚ) 2021/379 z 22. januára 2021 o bilančných položkách úverových inštitúcií a sektora peňažných finančných inštitúcií (prepracované znenie) (ECB/2021/2), ktorý sa vykazuje, ak kód LEI ešte neexistuje.</w:t>
      </w:r>
    </w:p>
    <w:p w14:paraId="7FE1B320" w14:textId="0AC7C627" w:rsidR="007A5804" w:rsidRDefault="007B7723">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„Národné GAAP“ alebo „národné všeobecne prijaté účtovné zásady“ sú národné účtovné rámce vypracované podľa smernice 86/635/EHS</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7A5804" w:rsidRDefault="007B7723">
      <w:pPr>
        <w:pStyle w:val="P68B1DB1-ListParagraph8"/>
        <w:numPr>
          <w:ilvl w:val="0"/>
          <w:numId w:val="60"/>
        </w:numPr>
        <w:ind w:left="1074"/>
        <w:jc w:val="both"/>
      </w:pPr>
      <w:r>
        <w:t>„Prevádzkové aktívum“ – aktívum, ktoré nie je finančným aktívom a ktoré je potrebné na vykonávanie príslušných služieb, ako je napríklad nehnuteľnosť; duševné vlastníctvo vrátane ochranných známok, patentov a softvéru; hardvér; IT systémy a aplikácie; a dátové sklady. Prevádzkové prostriedky sú kritické/nevyhnutné, ak je k nim potrebný prístup na vykonávanie kritickej/základnej služby;</w:t>
      </w:r>
    </w:p>
    <w:p w14:paraId="7FE1B322" w14:textId="77777777" w:rsidR="007A5804" w:rsidRDefault="007B7723">
      <w:pPr>
        <w:pStyle w:val="P68B1DB1-ListParagraph8"/>
        <w:numPr>
          <w:ilvl w:val="0"/>
          <w:numId w:val="60"/>
        </w:numPr>
        <w:ind w:left="1074"/>
        <w:jc w:val="both"/>
      </w:pPr>
      <w:r>
        <w:t>„Relevantné služby“ – služby, ktoré sú základom i) zásadných funkcií banky pre hospodárstvo (kritické služby) a ii) hlavných oblastí obchodnej činnosti (základné služby), v prípade ktorých je na účinné vykonávanie stratégie riešenia krízových situácií potrebná kontinuita. Tieto kategórie sa môžu prekrývať. Obdobne to platí aj pre prevádzkové prostriedky a zamestnancov.</w:t>
      </w:r>
    </w:p>
    <w:p w14:paraId="7FE1B323" w14:textId="77777777" w:rsidR="007A5804" w:rsidRDefault="007B7723">
      <w:pPr>
        <w:pStyle w:val="P68B1DB1-ListParagraph8"/>
        <w:numPr>
          <w:ilvl w:val="0"/>
          <w:numId w:val="60"/>
        </w:numPr>
        <w:ind w:left="1074"/>
        <w:jc w:val="both"/>
      </w:pPr>
      <w:r>
        <w:t>„Príslušné úlohy“ – pracovné úlohy, ktorých voľné pracovné miesto pri riešení krízovej situácie môže predstavovať prekážku pre kontinuitu zásadných funkcií a hlavných oblastí obchodnej činnosti potrebných na účinné vykonávanie stratégie riešenia krízových situácií a akúkoľvek následnú reštrukturalizáciu.</w:t>
      </w:r>
    </w:p>
    <w:p w14:paraId="7FE1B324" w14:textId="77777777" w:rsidR="007A5804" w:rsidRDefault="007A5804">
      <w:pPr>
        <w:pStyle w:val="ListParagraph"/>
        <w:ind w:left="1074"/>
        <w:rPr>
          <w:rFonts w:ascii="Times New Roman" w:hAnsi="Times New Roman"/>
          <w:color w:val="000000" w:themeColor="text1"/>
          <w:sz w:val="20"/>
          <w:szCs w:val="20"/>
        </w:rPr>
      </w:pPr>
    </w:p>
    <w:p w14:paraId="7FE1B325" w14:textId="77777777" w:rsidR="007A5804" w:rsidRDefault="007B7723">
      <w:pPr>
        <w:pStyle w:val="P68B1DB1-Instructionsberschrift25"/>
        <w:numPr>
          <w:ilvl w:val="1"/>
          <w:numId w:val="49"/>
        </w:numPr>
        <w:ind w:left="357" w:hanging="357"/>
      </w:pPr>
      <w:bookmarkStart w:id="8" w:name="_Toc81454173"/>
      <w:bookmarkStart w:id="9" w:name="_Toc208245232"/>
      <w:r>
        <w:t>Účtovné štandardy</w:t>
      </w:r>
      <w:bookmarkEnd w:id="8"/>
      <w:bookmarkEnd w:id="9"/>
    </w:p>
    <w:p w14:paraId="7FE1B326" w14:textId="6C573E68" w:rsidR="007A5804" w:rsidRDefault="007B7723">
      <w:pPr>
        <w:pStyle w:val="P68B1DB1-InstructionsText26"/>
        <w:numPr>
          <w:ilvl w:val="0"/>
          <w:numId w:val="71"/>
        </w:numPr>
        <w:spacing w:before="0"/>
        <w:ind w:left="714" w:hanging="357"/>
      </w:pPr>
      <w:r>
        <w:t xml:space="preserve">Pokiaľ nie je v týchto pokynoch stanovené inak, inštitúcie vykazujú všetky sumy na základe účtovného rámca, ktorý používajú na vykazovanie finančných informácií v súlade s článkami 9 až 11 vykonávacieho nariadenia (EÚ) 2024/3117. Inštitúcie, ktoré nie sú povinné vykazovať finančné informácie v súlade s vykonávacím nariadením (EÚ) 2024/3117, uplatňujú pravidlá svojho príslušného účtovného rámca. </w:t>
      </w:r>
    </w:p>
    <w:p w14:paraId="7FE1B327" w14:textId="77777777" w:rsidR="007A5804" w:rsidRDefault="007B7723">
      <w:pPr>
        <w:pStyle w:val="P68B1DB1-InstructionsText26"/>
        <w:numPr>
          <w:ilvl w:val="0"/>
          <w:numId w:val="227"/>
        </w:numPr>
        <w:spacing w:before="0"/>
      </w:pPr>
      <w:r>
        <w:t>Pre inštitúcie, ktoré vykazujú podľa štandardov IFRS, boli vložené odkazy na príslušné štandardy IFRS.</w:t>
      </w:r>
    </w:p>
    <w:p w14:paraId="7FE1B328" w14:textId="77777777" w:rsidR="007A5804" w:rsidRDefault="007B7723">
      <w:pPr>
        <w:pStyle w:val="P68B1DB1-Instructionsberschrift25"/>
        <w:numPr>
          <w:ilvl w:val="1"/>
          <w:numId w:val="49"/>
        </w:numPr>
        <w:ind w:left="357" w:hanging="357"/>
      </w:pPr>
      <w:bookmarkStart w:id="10" w:name="_Toc208245233"/>
      <w:bookmarkStart w:id="11" w:name="_Hlk167181695"/>
      <w:bookmarkStart w:id="12" w:name="_Toc81454174"/>
      <w:r>
        <w:t>Oznamovanie údajov v oblasti dohľadu</w:t>
      </w:r>
      <w:bookmarkEnd w:id="10"/>
    </w:p>
    <w:p w14:paraId="7FE1B329" w14:textId="6A020DBF" w:rsidR="007A5804" w:rsidRDefault="007B7723">
      <w:pPr>
        <w:pStyle w:val="P68B1DB1-Instructionsberschrift310"/>
        <w:numPr>
          <w:ilvl w:val="4"/>
          <w:numId w:val="49"/>
        </w:numPr>
      </w:pPr>
      <w:r>
        <w:t>Ak vykazujúci subjekt podlieha vykazovaniu na účely dohľadu podľa nariadenia (EÚ) č. 575/2013</w:t>
      </w:r>
      <w:r>
        <w:footnoteReference w:id="6"/>
      </w:r>
      <w:r>
        <w:t xml:space="preserve"> na konsolidovanej alebo individuálnej úrovni k požadovanému referenčnému dátumu pre plánovanie riešenia krízových situácií, od subjektu sa nevyžaduje, aby deklaroval tie údajové body, ktoré už boli vykázané. Orgány pre riešenie krízových situácií získajú tieto údajové body priamo zo správ na účely dohľadu, ktoré už vykazujúci subjekt oznámil.</w:t>
      </w:r>
    </w:p>
    <w:p w14:paraId="7FE1B32A" w14:textId="05B0296B" w:rsidR="007A5804" w:rsidRDefault="007B7723">
      <w:pPr>
        <w:pStyle w:val="Instructionsberschrift3"/>
        <w:numPr>
          <w:ilvl w:val="4"/>
          <w:numId w:val="49"/>
        </w:numPr>
      </w:pPr>
      <w:r>
        <w:rPr>
          <w:u w:val="none"/>
        </w:rPr>
        <w:lastRenderedPageBreak/>
        <w:t xml:space="preserve">Ak subjekt k danému referenčnému dátumu nepodlieha vykazovaniu na účely dohľadu, od subjektu sa bude vyžadovať, aby tieto údajové body deklaroval v súlade s vykonávacím nariadením (EÚ) č. </w:t>
      </w:r>
      <w:r>
        <w:rPr>
          <w:highlight w:val="yellow"/>
          <w:u w:val="none"/>
        </w:rPr>
        <w:t>20XX/XXX</w:t>
      </w:r>
      <w:r>
        <w:t xml:space="preserve">. </w:t>
      </w:r>
      <w:r>
        <w:rPr>
          <w:u w:val="none"/>
        </w:rPr>
        <w:t>.</w:t>
      </w:r>
    </w:p>
    <w:p w14:paraId="7FE1B32B" w14:textId="77777777" w:rsidR="007A5804" w:rsidRDefault="007B7723">
      <w:pPr>
        <w:pStyle w:val="P68B1DB1-Instructionsberschrift25"/>
        <w:numPr>
          <w:ilvl w:val="1"/>
          <w:numId w:val="49"/>
        </w:numPr>
        <w:ind w:left="357" w:hanging="357"/>
      </w:pPr>
      <w:bookmarkStart w:id="13" w:name="_Toc208245234"/>
      <w:bookmarkEnd w:id="11"/>
      <w:r>
        <w:t>Rozsah konsolidácie</w:t>
      </w:r>
      <w:bookmarkEnd w:id="12"/>
      <w:bookmarkEnd w:id="13"/>
    </w:p>
    <w:p w14:paraId="7FE1B32C" w14:textId="77777777" w:rsidR="007A5804" w:rsidRDefault="007B7723">
      <w:pPr>
        <w:pStyle w:val="P68B1DB1-InstructionsText26"/>
        <w:numPr>
          <w:ilvl w:val="0"/>
          <w:numId w:val="228"/>
        </w:numPr>
        <w:spacing w:before="0"/>
      </w:pPr>
      <w:r>
        <w:t>Tento rámec v závislosti od vzoru odkazuje na:</w:t>
      </w:r>
    </w:p>
    <w:p w14:paraId="7FE1B32D" w14:textId="77777777" w:rsidR="007A5804" w:rsidRDefault="007B7723">
      <w:pPr>
        <w:pStyle w:val="P68B1DB1-numberedparagraph11"/>
        <w:numPr>
          <w:ilvl w:val="0"/>
          <w:numId w:val="81"/>
        </w:numPr>
        <w:rPr>
          <w:rFonts w:eastAsiaTheme="majorEastAsia"/>
        </w:rPr>
      </w:pPr>
      <w:r>
        <w:t>konsolidáciu na základe účtovnej konsolidácie (subjekty zahrnuté do konsolidovaných účtovných závierok podľa uplatniteľného účtovného rámca);</w:t>
      </w:r>
    </w:p>
    <w:p w14:paraId="7FE1B32E" w14:textId="179BBDC6" w:rsidR="007A5804" w:rsidRDefault="007B7723">
      <w:pPr>
        <w:pStyle w:val="P68B1DB1-numberedparagraph11"/>
        <w:numPr>
          <w:ilvl w:val="0"/>
          <w:numId w:val="81"/>
        </w:numPr>
        <w:rPr>
          <w:rFonts w:eastAsiaTheme="majorEastAsia"/>
        </w:rPr>
      </w:pPr>
      <w:r>
        <w:t xml:space="preserve">prudenciálnu konsolidáciu [subjekty v rozsahu pôsobnosti konsolidácie podľa prvej časti hlavy II kapitoly 2 nariadenia Európskeho parlamentu a Rady (EÚ) č. 575/2013] na úrovni materskej spoločnosti v Únii; </w:t>
      </w:r>
    </w:p>
    <w:p w14:paraId="7FE1B32F" w14:textId="77777777" w:rsidR="007A5804" w:rsidRDefault="007B7723">
      <w:pPr>
        <w:pStyle w:val="P68B1DB1-numberedparagraph11"/>
        <w:numPr>
          <w:ilvl w:val="0"/>
          <w:numId w:val="81"/>
        </w:numPr>
        <w:rPr>
          <w:rFonts w:eastAsiaTheme="majorEastAsia"/>
        </w:rPr>
      </w:pPr>
      <w:r>
        <w:t>konsolidáciu na úrovni subjektu, ktorého krízová situácia sa rieši, pre skupinu, ktorej krízová situácia sa rieši.</w:t>
      </w:r>
    </w:p>
    <w:p w14:paraId="7FE1B330" w14:textId="4B5FA476" w:rsidR="007A5804" w:rsidRDefault="007B7723">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 xml:space="preserve">Pri každom vzore sa inštitúcie riadia konsolidačným základom alebo základmi uplatniteľnými podľa článkov 2 až 5 vykonávacieho nariadenia (EÚ) č. </w:t>
      </w:r>
      <w:r>
        <w:rPr>
          <w:rFonts w:ascii="Times New Roman" w:hAnsi="Times New Roman" w:cs="Times New Roman"/>
          <w:sz w:val="20"/>
          <w:szCs w:val="20"/>
          <w:highlight w:val="yellow"/>
        </w:rPr>
        <w:t>20XX/</w:t>
      </w:r>
      <w:r>
        <w:rPr>
          <w:highlight w:val="yellow"/>
        </w:rPr>
        <w:t>XXX</w:t>
      </w:r>
      <w:r>
        <w:rPr>
          <w:rFonts w:ascii="Times New Roman" w:hAnsi="Times New Roman" w:cs="Times New Roman"/>
          <w:sz w:val="20"/>
          <w:szCs w:val="20"/>
        </w:rPr>
        <w:t>.</w:t>
      </w:r>
    </w:p>
    <w:p w14:paraId="7FE1B331" w14:textId="77777777" w:rsidR="007A5804" w:rsidRDefault="007B7723">
      <w:pPr>
        <w:pStyle w:val="P68B1DB1-Instructionsberschrift25"/>
        <w:numPr>
          <w:ilvl w:val="1"/>
          <w:numId w:val="49"/>
        </w:numPr>
        <w:ind w:left="357" w:hanging="357"/>
      </w:pPr>
      <w:bookmarkStart w:id="14" w:name="_Toc81454175"/>
      <w:bookmarkStart w:id="15" w:name="_Toc208245235"/>
      <w:r>
        <w:t>Číslovanie a iné pravidlá</w:t>
      </w:r>
      <w:bookmarkEnd w:id="14"/>
      <w:bookmarkEnd w:id="15"/>
    </w:p>
    <w:p w14:paraId="7FE1B332" w14:textId="639ED14D" w:rsidR="007A5804" w:rsidRDefault="007B7723">
      <w:pPr>
        <w:pStyle w:val="P68B1DB1-InstructionsText26"/>
        <w:numPr>
          <w:ilvl w:val="0"/>
          <w:numId w:val="230"/>
        </w:numPr>
        <w:spacing w:before="0"/>
      </w:pPr>
      <w:r>
        <w:t>Pri odkazovaní na stĺpce, riadky a bunky vzorov sa v týchto pokynoch dodržiava ďalej uvedené pravidlo označovania. Tieto číselné kódy sa vo veľkej miere používajú v pravidlách validácie.</w:t>
      </w:r>
    </w:p>
    <w:p w14:paraId="7FE1B333" w14:textId="24776AD5" w:rsidR="007A5804" w:rsidRDefault="007B7723">
      <w:pPr>
        <w:pStyle w:val="P68B1DB1-InstructionsText26"/>
        <w:numPr>
          <w:ilvl w:val="0"/>
          <w:numId w:val="230"/>
        </w:numPr>
        <w:spacing w:before="0"/>
      </w:pPr>
      <w:r>
        <w:t>V týchto pokynoch sa pri odkazovaní na stĺpce, riadky a bunky vzoru používa tento všeobecný zápis: {Vzor;riadok;stĺpec}.</w:t>
      </w:r>
    </w:p>
    <w:p w14:paraId="7FE1B334" w14:textId="144A32B1" w:rsidR="007A5804" w:rsidRDefault="007B7723">
      <w:pPr>
        <w:pStyle w:val="P68B1DB1-InstructionsText26"/>
        <w:numPr>
          <w:ilvl w:val="0"/>
          <w:numId w:val="230"/>
        </w:numPr>
        <w:spacing w:before="0"/>
      </w:pPr>
      <w:r>
        <w:t>V prípade validácií v rámci jediného vzoru, v ktorom sa používajú len údajové body daného vzoru, zápis neodkazuje na vzor: Súbor;stĺpec.</w:t>
      </w:r>
    </w:p>
    <w:p w14:paraId="7FE1B335" w14:textId="77777777" w:rsidR="007A5804" w:rsidRDefault="007B7723">
      <w:pPr>
        <w:pStyle w:val="P68B1DB1-InstructionsText26"/>
        <w:numPr>
          <w:ilvl w:val="0"/>
          <w:numId w:val="230"/>
        </w:numPr>
        <w:spacing w:before="0"/>
      </w:pPr>
      <w:r>
        <w:t>V prípade vzorov len s jedným stĺpcom sa odkazuje len na riadky: Šablóna,Rovina.</w:t>
      </w:r>
    </w:p>
    <w:p w14:paraId="7FE1B336" w14:textId="77777777" w:rsidR="007A5804" w:rsidRDefault="007B7723">
      <w:pPr>
        <w:pStyle w:val="P68B1DB1-InstructionsText26"/>
        <w:numPr>
          <w:ilvl w:val="0"/>
          <w:numId w:val="230"/>
        </w:numPr>
        <w:spacing w:before="0"/>
      </w:pPr>
      <w:r>
        <w:t>Symbol hviezdičky sa používa na vyjadrenie toho, že validácia sa vykonáva pre skôr vymedzené riadky alebo stĺpce.</w:t>
      </w:r>
    </w:p>
    <w:p w14:paraId="7FE1B337" w14:textId="77777777" w:rsidR="007A5804" w:rsidRDefault="007B7723">
      <w:pPr>
        <w:pStyle w:val="P68B1DB1-InstructionsText26"/>
        <w:numPr>
          <w:ilvl w:val="0"/>
          <w:numId w:val="230"/>
        </w:numPr>
        <w:spacing w:before="0"/>
      </w:pPr>
      <w:r>
        <w:t>Ak sa informačná položka nevzťahuje na subjekty, za ktoré sa predkladá správa, príslušné pole sa ponechá prázdne.</w:t>
      </w:r>
    </w:p>
    <w:p w14:paraId="7FE1B338" w14:textId="77777777" w:rsidR="007A5804" w:rsidRDefault="007B7723">
      <w:pPr>
        <w:pStyle w:val="P68B1DB1-InstructionsText26"/>
        <w:numPr>
          <w:ilvl w:val="0"/>
          <w:numId w:val="230"/>
        </w:numPr>
        <w:spacing w:before="0"/>
      </w:pPr>
      <w:r>
        <w:t>Ak sa v týchto pokynoch odkazuje na primárny kľúč, znamená to stĺpec alebo kombináciu stĺpcov určených na jedinečnú identifikáciu všetkých riadkov vzoru. Primárny kľúč obsahuje jedinečnú hodnotu pre každý riadok vzoru. Nesmie obsahovať nulovú hodnotu.</w:t>
      </w:r>
    </w:p>
    <w:p w14:paraId="7FE1B339" w14:textId="77777777" w:rsidR="007A5804" w:rsidRDefault="007B7723">
      <w:pPr>
        <w:pStyle w:val="P68B1DB1-Instructionsberschrift24"/>
        <w:numPr>
          <w:ilvl w:val="0"/>
          <w:numId w:val="49"/>
        </w:numPr>
        <w:ind w:left="357" w:hanging="357"/>
      </w:pPr>
      <w:bookmarkStart w:id="16" w:name="_Toc492542319"/>
      <w:bookmarkStart w:id="17" w:name="_Toc81454176"/>
      <w:bookmarkStart w:id="18" w:name="_Toc208245236"/>
      <w:r>
        <w:t>Pokyny týkajúce sa vzorov</w:t>
      </w:r>
      <w:bookmarkEnd w:id="16"/>
      <w:bookmarkEnd w:id="17"/>
      <w:bookmarkEnd w:id="18"/>
    </w:p>
    <w:p w14:paraId="7FE1B33A" w14:textId="0E76C32D" w:rsidR="007A5804" w:rsidRDefault="007B7723">
      <w:pPr>
        <w:pStyle w:val="P68B1DB1-Instructionsberschrift25"/>
        <w:numPr>
          <w:ilvl w:val="1"/>
          <w:numId w:val="49"/>
        </w:numPr>
        <w:ind w:left="357" w:hanging="357"/>
      </w:pPr>
      <w:bookmarkStart w:id="19" w:name="_Toc493236007"/>
      <w:bookmarkStart w:id="20" w:name="_Toc81454177"/>
      <w:bookmarkStart w:id="21" w:name="_Toc208245237"/>
      <w:bookmarkEnd w:id="19"/>
      <w:r>
        <w:t>Z 01.01 – Právnické osoby (ORG 1)</w:t>
      </w:r>
      <w:bookmarkEnd w:id="20"/>
      <w:bookmarkEnd w:id="21"/>
    </w:p>
    <w:p w14:paraId="7FE1B33B" w14:textId="77777777" w:rsidR="007A5804" w:rsidRDefault="007B7723">
      <w:pPr>
        <w:pStyle w:val="Instructionsberschrift3"/>
      </w:pPr>
      <w:r>
        <w:t>Všeobecné poznámky</w:t>
      </w:r>
    </w:p>
    <w:p w14:paraId="7FE1B33C" w14:textId="73410408" w:rsidR="007A5804" w:rsidRDefault="007B7723">
      <w:pPr>
        <w:pStyle w:val="P68B1DB1-InstructionsText26"/>
        <w:numPr>
          <w:ilvl w:val="0"/>
          <w:numId w:val="231"/>
        </w:numPr>
        <w:spacing w:before="0"/>
      </w:pPr>
      <w:r>
        <w:t xml:space="preserve">Jednotný vzor sa predkladá vo vzťahu ku všetkým subjektom skupiny v rámci rozsahu účtovnej konsolidácie. V tomto vzore sa identifikujú len právnické osoby. </w:t>
      </w:r>
    </w:p>
    <w:p w14:paraId="7FE1B33D" w14:textId="32A49085" w:rsidR="007A5804" w:rsidRDefault="007B7723">
      <w:pPr>
        <w:pStyle w:val="P68B1DB1-InstructionsText26"/>
        <w:numPr>
          <w:ilvl w:val="0"/>
          <w:numId w:val="231"/>
        </w:numPr>
        <w:spacing w:before="0"/>
      </w:pPr>
      <w:r>
        <w:t xml:space="preserve">Koncepcia príslušných právnych subjektov sa neobmedzuje len na bankové operácie, ale zahŕňa aj iné subjekty, ktoré sú potrebné na významnú podporu operácií skupiny bánk. Patria sem poskytovatelia služieb pre kritické funkcie alebo/a významné oblasti obchodnej </w:t>
      </w:r>
      <w:r>
        <w:lastRenderedPageBreak/>
        <w:t>činnosti, subjekty poskytujúce financovanie a iné subjekty, ktoré sú vysoko prepojené (ekonomicky) so skupinou. Očakáva sa, že identifikácia týchto ďalších subjektov sa bude riadiť požiadavkami stratégie riešenia krízových situácií, ktoré vymedzia orgány pre riešenie krízových situácií.</w:t>
      </w:r>
    </w:p>
    <w:p w14:paraId="7FE1B33E" w14:textId="77777777" w:rsidR="007A5804" w:rsidRDefault="007B7723">
      <w:pPr>
        <w:pStyle w:val="P68B1DB1-Instructionsberschrift312"/>
      </w:pPr>
      <w:r>
        <w:t>Pokyny týkajúce sa konkrétnych pozícií</w:t>
      </w:r>
    </w:p>
    <w:p w14:paraId="7FE1B33F" w14:textId="77777777" w:rsidR="007A5804" w:rsidRDefault="007A5804">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797"/>
        <w:gridCol w:w="8229"/>
      </w:tblGrid>
      <w:tr w:rsidR="007A5804"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7A5804" w:rsidRDefault="007B7723">
            <w:pPr>
              <w:pStyle w:val="P68B1DB1-TableParagraph13"/>
              <w:spacing w:before="66"/>
              <w:rPr>
                <w:rFonts w:eastAsia="Cambria"/>
              </w:rPr>
            </w:pPr>
            <w:r>
              <w:t>Stĺpce</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7A5804" w:rsidRDefault="007B7723">
            <w:pPr>
              <w:pStyle w:val="P68B1DB1-TableParagraph13"/>
              <w:spacing w:before="66"/>
              <w:ind w:right="1"/>
              <w:jc w:val="center"/>
              <w:rPr>
                <w:rFonts w:eastAsia="Cambria"/>
              </w:rPr>
            </w:pPr>
            <w:r>
              <w:t>Pokyny</w:t>
            </w:r>
          </w:p>
        </w:tc>
      </w:tr>
      <w:tr w:rsidR="007A5804"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7A5804" w:rsidRDefault="007B7723">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7A5804" w:rsidRDefault="007B7723">
            <w:pPr>
              <w:pStyle w:val="P68B1DB1-TableParagraph14"/>
              <w:spacing w:before="108"/>
              <w:ind w:left="85"/>
            </w:pPr>
            <w:r>
              <w:t>Názov</w:t>
            </w:r>
          </w:p>
          <w:p w14:paraId="7FE1B348" w14:textId="3D2D6D6A" w:rsidR="007A5804" w:rsidRDefault="007B7723">
            <w:pPr>
              <w:pStyle w:val="P68B1DB1-TableParagraph15"/>
              <w:spacing w:before="108"/>
              <w:ind w:left="85"/>
            </w:pPr>
            <w:r>
              <w:t>Názov subjektu. Oficiálny názov, ako sa uvádza v štatutárnych aktoch, vrátane označenia právnej formy.</w:t>
            </w:r>
          </w:p>
        </w:tc>
      </w:tr>
      <w:tr w:rsidR="007A5804"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7A5804" w:rsidRDefault="007B7723">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7A5804" w:rsidRDefault="007B7723">
            <w:pPr>
              <w:pStyle w:val="P68B1DB1-TableParagraph14"/>
              <w:spacing w:before="108"/>
              <w:ind w:left="85"/>
            </w:pPr>
            <w:r>
              <w:t>Kód</w:t>
            </w:r>
          </w:p>
          <w:p w14:paraId="7FE1B34C" w14:textId="5527678D" w:rsidR="007A5804" w:rsidRDefault="007B7723">
            <w:pPr>
              <w:pStyle w:val="P68B1DB1-TableParagraph13"/>
              <w:spacing w:before="108"/>
              <w:ind w:left="85"/>
            </w:pPr>
            <w:r>
              <w:t>Kód subjektu. V prípade inštitúcií je kódom 20-miestny alfanumerický kód LEI. V prípade ostatných subjektov je kódom 20-miestny alfanumerický kód LEI, alebo ak nie je k dispozícii, identifikačný kód PFI alebo kód podľa jednotnej kodifikácie platnej v Únii.</w:t>
            </w:r>
          </w:p>
          <w:p w14:paraId="7FE1B34D" w14:textId="77777777" w:rsidR="007A5804" w:rsidRDefault="007B7723">
            <w:pPr>
              <w:pStyle w:val="P68B1DB1-TableParagraph13"/>
              <w:spacing w:before="108"/>
              <w:ind w:left="85"/>
            </w:pPr>
            <w:r>
              <w:t>Tento kód musí byť jedinečný a musí sa používať konzistentne vo všetkých vzoroch. Kód musí mať vždy hodnotu.</w:t>
            </w:r>
          </w:p>
        </w:tc>
      </w:tr>
      <w:tr w:rsidR="007A5804"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7A5804" w:rsidRDefault="007B7723">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7A5804" w:rsidRDefault="007B7723">
            <w:pPr>
              <w:pStyle w:val="P68B1DB1-TableParagraph14"/>
              <w:spacing w:before="108"/>
              <w:ind w:left="85"/>
              <w:jc w:val="both"/>
            </w:pPr>
            <w:r>
              <w:t>Druh kódov</w:t>
            </w:r>
          </w:p>
          <w:p w14:paraId="7FE1B352" w14:textId="7C9FB737" w:rsidR="007A5804" w:rsidRDefault="007B7723">
            <w:pPr>
              <w:pStyle w:val="P68B1DB1-TableParagraph13"/>
              <w:spacing w:before="108"/>
            </w:pPr>
            <w:r>
              <w:t>Vyberie sa z nasledujúcich možností: „Kód LEI“, „kód PFI“ alebo „Druh identifikátora, iný ako LEI alebo kód PFI.</w:t>
            </w:r>
          </w:p>
          <w:p w14:paraId="7FE1B353" w14:textId="77777777" w:rsidR="007A5804" w:rsidRDefault="007B7723">
            <w:pPr>
              <w:pStyle w:val="P68B1DB1-TableParagraph13"/>
              <w:spacing w:before="108"/>
              <w:ind w:left="85"/>
              <w:jc w:val="both"/>
              <w:rPr>
                <w:b/>
              </w:rPr>
            </w:pPr>
            <w:r>
              <w:t>Identifikácia subjektov sa vykonáva konzistentne vo všetkých vzoroch.</w:t>
            </w:r>
          </w:p>
        </w:tc>
      </w:tr>
      <w:tr w:rsidR="007A5804"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7A5804" w:rsidRDefault="007B7723">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7A5804" w:rsidRDefault="007B7723">
            <w:pPr>
              <w:pStyle w:val="P68B1DB1-TableParagraph14"/>
              <w:spacing w:before="108"/>
              <w:ind w:left="85"/>
            </w:pPr>
            <w:r>
              <w:t>Typ subjektu</w:t>
            </w:r>
          </w:p>
          <w:p w14:paraId="7FE1B35B" w14:textId="77777777" w:rsidR="007A5804" w:rsidRDefault="007B7723">
            <w:pPr>
              <w:pStyle w:val="P68B1DB1-TableParagraph13"/>
              <w:spacing w:before="108"/>
              <w:ind w:left="85"/>
            </w:pPr>
            <w:r>
              <w:t>Typ subjektu podľa poradia priority je jedným z týchto subjektov:</w:t>
            </w:r>
          </w:p>
          <w:p w14:paraId="7FE1B35C" w14:textId="77777777" w:rsidR="007A5804" w:rsidRDefault="007B7723">
            <w:pPr>
              <w:pStyle w:val="P68B1DB1-TableParagraph13"/>
              <w:numPr>
                <w:ilvl w:val="0"/>
                <w:numId w:val="67"/>
              </w:numPr>
              <w:spacing w:before="108"/>
            </w:pPr>
            <w:r>
              <w:t>„Úverová inštitúcia“</w:t>
            </w:r>
          </w:p>
          <w:p w14:paraId="7FE1B35D" w14:textId="653C7762" w:rsidR="007A5804" w:rsidRDefault="007B7723">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Táto kategória sa vzťahuje na úverové inštitúcie podľa vymedzenia v článku 4 ods. 1 bode 1 nariadenia (EÚ) č. 575/2013 s výnimkou subjektov uvedených v článku 2 ods. 5 smernice 2013/36/EÚ</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7A5804" w:rsidRDefault="007B7723">
            <w:pPr>
              <w:pStyle w:val="P68B1DB1-TableParagraph13"/>
              <w:numPr>
                <w:ilvl w:val="0"/>
                <w:numId w:val="67"/>
              </w:numPr>
              <w:spacing w:before="108"/>
            </w:pPr>
            <w:r>
              <w:t>„Investičná spoločnosť, na ktorú sa vzťahuje požiadavka na počiatočný kapitál stanovená v článku 9 ods. 1 smernice (EU) 2019/2034“</w:t>
            </w:r>
          </w:p>
          <w:p w14:paraId="7FE1B35F" w14:textId="3246B488" w:rsidR="007A5804" w:rsidRDefault="007B7723">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Táto kategória sa vzťahuje na investičné spoločnosti v zmysle vymedzenia v článku 4 ods. 1 bode 22 nariadenia (EÚ) 2019/2033</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na ktoré sa vzťahuje požiadavka na počiatočný kapitál stanovená v článku 9 ods. 1 smernice (EÚ) 2019/2034</w:t>
            </w:r>
            <w:r>
              <w:rPr>
                <w:rStyle w:val="FootnoteReference"/>
                <w:rFonts w:ascii="Times New Roman" w:hAnsi="Times New Roman" w:cs="Times New Roman"/>
                <w:color w:val="000000" w:themeColor="text1"/>
              </w:rPr>
              <w:footnoteReference w:id="9"/>
            </w:r>
            <w:r>
              <w:rPr>
                <w:rFonts w:ascii="Times New Roman" w:hAnsi="Times New Roman" w:cs="Times New Roman"/>
                <w:color w:val="000000" w:themeColor="text1"/>
                <w:sz w:val="20"/>
                <w:szCs w:val="20"/>
              </w:rPr>
              <w:t>.</w:t>
            </w:r>
          </w:p>
          <w:p w14:paraId="7FE1B360" w14:textId="7DAA7575" w:rsidR="007A5804" w:rsidRDefault="007B7723">
            <w:pPr>
              <w:pStyle w:val="P68B1DB1-TableParagraph13"/>
              <w:numPr>
                <w:ilvl w:val="0"/>
                <w:numId w:val="67"/>
              </w:numPr>
              <w:spacing w:before="108"/>
            </w:pPr>
            <w:r>
              <w:t>„Investičná spoločnosť, na ktorú sa nevzťahuje požiadavka na počiatočný kapitál stanovená v článku 9 ods. 1 smernice (EU) 2019/2034“</w:t>
            </w:r>
          </w:p>
          <w:p w14:paraId="7FE1B361" w14:textId="77777777" w:rsidR="007A5804" w:rsidRDefault="007B7723">
            <w:pPr>
              <w:pStyle w:val="P68B1DB1-TableParagraph13"/>
              <w:numPr>
                <w:ilvl w:val="0"/>
                <w:numId w:val="67"/>
              </w:numPr>
              <w:spacing w:before="108"/>
            </w:pPr>
            <w:r>
              <w:t>„Finančná inštitúcia“</w:t>
            </w:r>
          </w:p>
          <w:p w14:paraId="7FE1B362" w14:textId="77777777" w:rsidR="007A5804" w:rsidRDefault="007B7723">
            <w:pPr>
              <w:pStyle w:val="P68B1DB1-TableParagraph13"/>
              <w:spacing w:before="108"/>
              <w:ind w:left="445"/>
            </w:pPr>
            <w:r>
              <w:t xml:space="preserve">Táto kategória sa vzťahuje na finančné inštitúcie podľa vymedzenia v článku 4 ods. 1 bode 26 nariadenia (EÚ) č. 575/2013, iné ako tie, ktoré sú klasifikované ako „holdingová spoločnosť“, </w:t>
            </w:r>
            <w:r>
              <w:lastRenderedPageBreak/>
              <w:t>ako sa uvádza ďalej v texte v písmene e).</w:t>
            </w:r>
          </w:p>
          <w:p w14:paraId="7FE1B363" w14:textId="77777777" w:rsidR="007A5804" w:rsidRDefault="007B7723">
            <w:pPr>
              <w:pStyle w:val="P68B1DB1-TableParagraph13"/>
              <w:numPr>
                <w:ilvl w:val="0"/>
                <w:numId w:val="67"/>
              </w:numPr>
              <w:spacing w:before="108"/>
            </w:pPr>
            <w:r>
              <w:t>„Holdingová spoločnosť“</w:t>
            </w:r>
          </w:p>
          <w:p w14:paraId="7FE1B364" w14:textId="77777777" w:rsidR="007A5804" w:rsidRDefault="007B7723">
            <w:pPr>
              <w:pStyle w:val="P68B1DB1-TableParagraph13"/>
              <w:spacing w:before="108"/>
              <w:ind w:left="445"/>
            </w:pPr>
            <w:r>
              <w:t>Táto kategória sa vzťahuje na tieto subjekty:</w:t>
            </w:r>
          </w:p>
          <w:p w14:paraId="7FE1B365" w14:textId="77777777" w:rsidR="007A5804" w:rsidRDefault="007B7723">
            <w:pPr>
              <w:pStyle w:val="P68B1DB1-TableParagraph13"/>
              <w:numPr>
                <w:ilvl w:val="0"/>
                <w:numId w:val="68"/>
              </w:numPr>
              <w:spacing w:before="108"/>
            </w:pPr>
            <w:r>
              <w:t>Finančnú holdingovú spoločnosť podľa vymedzenia v článku 4 ods. 1 bode 20 nariadenia (EÚ) č. 575/2013;</w:t>
            </w:r>
          </w:p>
          <w:p w14:paraId="7FE1B366" w14:textId="77777777" w:rsidR="007A5804" w:rsidRDefault="007B7723">
            <w:pPr>
              <w:pStyle w:val="P68B1DB1-TableParagraph13"/>
              <w:numPr>
                <w:ilvl w:val="0"/>
                <w:numId w:val="68"/>
              </w:numPr>
              <w:spacing w:before="108"/>
            </w:pPr>
            <w:r>
              <w:t>Zmiešanú finančnú holdingová spoločnosť podľa vymedzenia v článku 4 ods. 1 bode 21 nariadenia (EÚ) č. 575/2013;</w:t>
            </w:r>
          </w:p>
          <w:p w14:paraId="7FE1B367" w14:textId="77777777" w:rsidR="007A5804" w:rsidRDefault="007B7723">
            <w:pPr>
              <w:pStyle w:val="P68B1DB1-TableParagraph13"/>
              <w:numPr>
                <w:ilvl w:val="0"/>
                <w:numId w:val="68"/>
              </w:numPr>
              <w:spacing w:before="108"/>
            </w:pPr>
            <w:r>
              <w:t>Holdingovú spoločnosť so zmiešanou činnosťou podľa vymedzenia v článku 4 ods. 1 bode 22 nariadenia (EÚ) č. 575/2013;</w:t>
            </w:r>
          </w:p>
          <w:p w14:paraId="7FE1B368" w14:textId="77777777" w:rsidR="007A5804" w:rsidRDefault="007B7723">
            <w:pPr>
              <w:pStyle w:val="P68B1DB1-TableParagraph13"/>
              <w:numPr>
                <w:ilvl w:val="0"/>
                <w:numId w:val="68"/>
              </w:numPr>
              <w:spacing w:before="108"/>
            </w:pPr>
            <w:r>
              <w:t>Materskú finančnú holdingovú spoločnosť podľa vymedzenia v článku 4 ods. 1 bode 30 nariadenia (EÚ) č. 575/2013;</w:t>
            </w:r>
          </w:p>
          <w:p w14:paraId="7FE1B369" w14:textId="77777777" w:rsidR="007A5804" w:rsidRDefault="007B7723">
            <w:pPr>
              <w:pStyle w:val="P68B1DB1-TableParagraph13"/>
              <w:numPr>
                <w:ilvl w:val="0"/>
                <w:numId w:val="68"/>
              </w:numPr>
              <w:spacing w:before="108"/>
            </w:pPr>
            <w:r>
              <w:t>Materskú zmiešanú finančnú holdingovú spoločnosť v EÚ podľa vymedzenia v článku 4 ods. 1 bode 31 nariadenia (EÚ) č. 575/2013;</w:t>
            </w:r>
          </w:p>
          <w:p w14:paraId="7FE1B36A" w14:textId="77777777" w:rsidR="007A5804" w:rsidRDefault="007B7723">
            <w:pPr>
              <w:pStyle w:val="P68B1DB1-TableParagraph13"/>
              <w:numPr>
                <w:ilvl w:val="0"/>
                <w:numId w:val="68"/>
              </w:numPr>
              <w:spacing w:before="108"/>
            </w:pPr>
            <w:r>
              <w:t>Materskú zmiešanú finančnú holdingovú spoločnosť v členskom štáte podľa vymedzenia v článku 4 ods. 1 bode 32 nariadenia (EÚ) č. 575/2013;</w:t>
            </w:r>
          </w:p>
          <w:p w14:paraId="7FE1B36B" w14:textId="77777777" w:rsidR="007A5804" w:rsidRDefault="007B7723">
            <w:pPr>
              <w:pStyle w:val="P68B1DB1-TableParagraph13"/>
              <w:numPr>
                <w:ilvl w:val="0"/>
                <w:numId w:val="68"/>
              </w:numPr>
              <w:spacing w:before="108"/>
            </w:pPr>
            <w:r>
              <w:t>Materskú zmiešanú finančnú holdingovú spoločnosť v EÚ podľa vymedzenia v článku 4 ods. 1 bode 33 nariadenia (EÚ) č. 575/2013.</w:t>
            </w:r>
          </w:p>
          <w:p w14:paraId="7FE1B36C" w14:textId="0F68F780" w:rsidR="007A5804" w:rsidRDefault="007B7723">
            <w:pPr>
              <w:pStyle w:val="P68B1DB1-TableParagraph13"/>
              <w:numPr>
                <w:ilvl w:val="0"/>
                <w:numId w:val="67"/>
              </w:numPr>
              <w:spacing w:before="108"/>
            </w:pPr>
            <w:r>
              <w:t>„Poisťovňa“</w:t>
            </w:r>
          </w:p>
          <w:p w14:paraId="7FE1B36D" w14:textId="77777777" w:rsidR="007A5804" w:rsidRDefault="007B7723">
            <w:pPr>
              <w:pStyle w:val="P68B1DB1-TableParagraph16"/>
              <w:numPr>
                <w:ilvl w:val="0"/>
                <w:numId w:val="68"/>
              </w:numPr>
              <w:spacing w:before="108"/>
              <w:rPr>
                <w:color w:val="000000" w:themeColor="text1"/>
                <w:sz w:val="20"/>
                <w:szCs w:val="20"/>
              </w:rPr>
            </w:pPr>
            <w:r>
              <w:rPr>
                <w:color w:val="000000" w:themeColor="text1"/>
                <w:sz w:val="20"/>
                <w:szCs w:val="20"/>
              </w:rPr>
              <w:t>Táto kategória sa vzťahuje na poisťovne podľa vymedzenia v článku 13 smernice Európskeho parlamentu a Rady 2009/138/ES</w:t>
            </w:r>
            <w:r>
              <w:footnoteReference w:id="10"/>
            </w:r>
            <w:r>
              <w:rPr>
                <w:color w:val="000000" w:themeColor="text1"/>
                <w:sz w:val="20"/>
                <w:szCs w:val="20"/>
              </w:rPr>
              <w:t>.</w:t>
            </w:r>
          </w:p>
          <w:p w14:paraId="7FE1B36E" w14:textId="15AC498F" w:rsidR="007A5804" w:rsidRDefault="007B7723">
            <w:pPr>
              <w:pStyle w:val="P68B1DB1-TableParagraph13"/>
              <w:numPr>
                <w:ilvl w:val="0"/>
                <w:numId w:val="67"/>
              </w:numPr>
              <w:spacing w:before="108"/>
            </w:pPr>
            <w:r>
              <w:t>„Príslušný poskytovateľ služieb“ v rámci skupiny spojený s kritickými funkciami a/alebo významnými hospodárskymi operáciami.</w:t>
            </w:r>
          </w:p>
          <w:p w14:paraId="7FE1B370" w14:textId="77777777" w:rsidR="007A5804" w:rsidRDefault="007A5804">
            <w:pPr>
              <w:pStyle w:val="TableParagraph"/>
              <w:spacing w:before="108"/>
              <w:rPr>
                <w:rFonts w:ascii="Times New Roman" w:hAnsi="Times New Roman" w:cs="Times New Roman"/>
                <w:color w:val="000000" w:themeColor="text1"/>
                <w:sz w:val="20"/>
                <w:szCs w:val="20"/>
              </w:rPr>
            </w:pPr>
          </w:p>
          <w:p w14:paraId="7FE1B371" w14:textId="77777777" w:rsidR="007A5804" w:rsidRDefault="007B7723">
            <w:pPr>
              <w:pStyle w:val="P68B1DB1-TableParagraph16"/>
              <w:numPr>
                <w:ilvl w:val="0"/>
                <w:numId w:val="67"/>
              </w:numPr>
              <w:spacing w:before="108"/>
              <w:rPr>
                <w:color w:val="000000" w:themeColor="text1"/>
                <w:sz w:val="20"/>
                <w:szCs w:val="20"/>
              </w:rPr>
            </w:pPr>
            <w:r>
              <w:rPr>
                <w:color w:val="000000" w:themeColor="text1"/>
                <w:sz w:val="20"/>
                <w:szCs w:val="20"/>
              </w:rPr>
              <w:t>„Iný typ subjektu“, ak subjekt nepatrí do žiadnej z uvedených kategórií.</w:t>
            </w:r>
            <w:r>
              <w:br/>
            </w:r>
            <w:r>
              <w:rPr>
                <w:color w:val="000000" w:themeColor="text1"/>
                <w:sz w:val="20"/>
                <w:szCs w:val="20"/>
              </w:rPr>
              <w:t>(t. j. dôležitý poskytovateľ financovania)</w:t>
            </w:r>
          </w:p>
        </w:tc>
      </w:tr>
      <w:tr w:rsidR="007A5804"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7A5804" w:rsidRDefault="007B7723">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7A5804" w:rsidRDefault="007B7723">
            <w:pPr>
              <w:pStyle w:val="P68B1DB1-TableParagraph14"/>
              <w:spacing w:before="108"/>
              <w:ind w:left="85"/>
            </w:pPr>
            <w:r>
              <w:t>Krajina</w:t>
            </w:r>
          </w:p>
          <w:p w14:paraId="7FE1B375" w14:textId="77777777" w:rsidR="007A5804" w:rsidRDefault="007B7723">
            <w:pPr>
              <w:pStyle w:val="P68B1DB1-TableParagraph13"/>
              <w:spacing w:before="108"/>
              <w:ind w:left="85"/>
              <w:jc w:val="both"/>
            </w:pPr>
            <w:r>
              <w:t>Kód ISO 3166 – 1-alfa-2 krajiny registrácie subjektu, ktorým môže byť členský štát alebo tretia krajina.</w:t>
            </w:r>
          </w:p>
        </w:tc>
      </w:tr>
      <w:tr w:rsidR="007A5804"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7A5804" w:rsidRDefault="007B7723">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7A5804" w:rsidRDefault="007B7723">
            <w:pPr>
              <w:pStyle w:val="P68B1DB1-TableParagraph14"/>
              <w:spacing w:before="108"/>
              <w:ind w:left="85"/>
            </w:pPr>
            <w:r>
              <w:t>LEI skupiny na riešenie krízových situácií</w:t>
            </w:r>
          </w:p>
          <w:p w14:paraId="7FE1B379" w14:textId="77777777" w:rsidR="007A5804" w:rsidRDefault="007B7723">
            <w:pPr>
              <w:pStyle w:val="P68B1DB1-TableParagraph13"/>
              <w:spacing w:before="108"/>
              <w:ind w:left="85"/>
              <w:rPr>
                <w:bCs/>
              </w:rPr>
            </w:pPr>
            <w:r>
              <w:t>Kód LEI identifikujúci miesto vstupu skupiny, ktorej krízová situácia sa rieši, do ktorej patrí subjekt identifikovaný v 0010.</w:t>
            </w:r>
          </w:p>
        </w:tc>
      </w:tr>
      <w:tr w:rsidR="007A5804"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7A5804" w:rsidRDefault="007B7723">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7A5804" w:rsidRDefault="007B7723">
            <w:pPr>
              <w:pStyle w:val="P68B1DB1-TableParagraph14"/>
              <w:spacing w:before="108"/>
              <w:ind w:left="85"/>
              <w:jc w:val="both"/>
              <w:rPr>
                <w:bCs/>
              </w:rPr>
            </w:pPr>
            <w:r>
              <w:t>Výnimka z nariadenia o kapitálových požiadavkách podľa článku 7</w:t>
            </w:r>
          </w:p>
          <w:p w14:paraId="7FE1B383" w14:textId="77777777" w:rsidR="007A5804" w:rsidRDefault="007B7723">
            <w:pPr>
              <w:pStyle w:val="P68B1DB1-TableParagraph13"/>
              <w:spacing w:before="108"/>
              <w:ind w:left="85"/>
              <w:jc w:val="both"/>
            </w:pPr>
            <w:r>
              <w:t>C – korelačné obchodné portfólio (CTP),</w:t>
            </w:r>
          </w:p>
          <w:p w14:paraId="7FE1B384" w14:textId="6DF8D995" w:rsidR="007A5804" w:rsidRDefault="007B7723">
            <w:pPr>
              <w:pStyle w:val="P68B1DB1-TableParagraph13"/>
              <w:spacing w:before="108"/>
              <w:ind w:left="85"/>
              <w:jc w:val="both"/>
            </w:pPr>
            <w:r>
              <w:t>Áno – ak príslušný orgán upustil od uplatňovania článku 6 ods. 1 nariadenia (EÚ) č. 575/2013 podľa článku 7 nariadenia (EÚ) č. 575/2013;</w:t>
            </w:r>
          </w:p>
          <w:p w14:paraId="7FE1B385" w14:textId="7EC01EC3" w:rsidR="007A5804" w:rsidRDefault="007B7723">
            <w:pPr>
              <w:pStyle w:val="P68B1DB1-TableParagraph13"/>
              <w:spacing w:before="108"/>
              <w:ind w:left="85"/>
              <w:jc w:val="both"/>
              <w:rPr>
                <w:b/>
              </w:rPr>
            </w:pPr>
            <w:r>
              <w:t>N – v iných prípadoch.</w:t>
            </w:r>
          </w:p>
        </w:tc>
      </w:tr>
      <w:tr w:rsidR="007A5804"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7A5804" w:rsidRDefault="007B7723">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7A5804" w:rsidRDefault="007B7723">
            <w:pPr>
              <w:pStyle w:val="P68B1DB1-TableParagraph14"/>
              <w:jc w:val="both"/>
              <w:rPr>
                <w:bCs/>
              </w:rPr>
            </w:pPr>
            <w:r>
              <w:t>Článok 8 Výnimka z nariadenia o kapitálových požiadavkách</w:t>
            </w:r>
          </w:p>
          <w:p w14:paraId="7FE1B389" w14:textId="77777777" w:rsidR="007A5804" w:rsidRDefault="007A5804">
            <w:pPr>
              <w:pStyle w:val="TableParagraph"/>
              <w:jc w:val="both"/>
              <w:rPr>
                <w:rFonts w:ascii="Times New Roman" w:hAnsi="Times New Roman" w:cs="Times New Roman"/>
                <w:b/>
                <w:bCs/>
                <w:color w:val="000000" w:themeColor="text1"/>
                <w:sz w:val="20"/>
                <w:szCs w:val="20"/>
              </w:rPr>
            </w:pPr>
          </w:p>
          <w:p w14:paraId="7FE1B38A" w14:textId="77777777" w:rsidR="007A5804" w:rsidRDefault="007B7723">
            <w:pPr>
              <w:pStyle w:val="P68B1DB1-TableParagraph13"/>
              <w:spacing w:before="108"/>
              <w:ind w:left="85"/>
              <w:jc w:val="both"/>
            </w:pPr>
            <w:r>
              <w:t>C – korelačné obchodné portfólio (CTP),</w:t>
            </w:r>
          </w:p>
          <w:p w14:paraId="7FE1B38B" w14:textId="7BE12ED7" w:rsidR="007A5804" w:rsidRDefault="007B7723">
            <w:pPr>
              <w:pStyle w:val="P68B1DB1-TableParagraph13"/>
              <w:spacing w:before="108"/>
              <w:ind w:left="85"/>
              <w:jc w:val="both"/>
            </w:pPr>
            <w:r>
              <w:t xml:space="preserve">Á – ak príslušný orgán upustil od uplatňovania časti šesť nariadenia (EÚ) č. 575/2013 podľa článku 8 </w:t>
            </w:r>
            <w:r>
              <w:lastRenderedPageBreak/>
              <w:t>nariadenia (EÚ) č. 575/2013;</w:t>
            </w:r>
          </w:p>
          <w:p w14:paraId="7FE1B38C" w14:textId="08CEF953" w:rsidR="007A5804" w:rsidRDefault="007B7723">
            <w:pPr>
              <w:pStyle w:val="P68B1DB1-TableParagraph13"/>
              <w:jc w:val="both"/>
              <w:rPr>
                <w:b/>
                <w:bCs/>
              </w:rPr>
            </w:pPr>
            <w:r>
              <w:t>N – v iných prípadoch.</w:t>
            </w:r>
          </w:p>
        </w:tc>
      </w:tr>
      <w:tr w:rsidR="007A5804"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7A5804" w:rsidRDefault="007B7723">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7A5804" w:rsidRDefault="007B7723">
            <w:pPr>
              <w:pStyle w:val="P68B1DB1-TableParagraph14"/>
              <w:jc w:val="both"/>
              <w:rPr>
                <w:bCs/>
              </w:rPr>
            </w:pPr>
            <w:r>
              <w:t>S výhradou článku 9 CRR,</w:t>
            </w:r>
          </w:p>
          <w:p w14:paraId="7FE1B390" w14:textId="77777777" w:rsidR="007A5804" w:rsidRDefault="007A5804">
            <w:pPr>
              <w:pStyle w:val="TableParagraph"/>
              <w:jc w:val="both"/>
              <w:rPr>
                <w:rFonts w:ascii="Times New Roman" w:hAnsi="Times New Roman" w:cs="Times New Roman"/>
                <w:b/>
                <w:bCs/>
                <w:color w:val="000000" w:themeColor="text1"/>
                <w:sz w:val="20"/>
                <w:szCs w:val="20"/>
              </w:rPr>
            </w:pPr>
          </w:p>
          <w:p w14:paraId="7FE1B391" w14:textId="77777777" w:rsidR="007A5804" w:rsidRDefault="007B7723">
            <w:pPr>
              <w:pStyle w:val="P68B1DB1-TableParagraph13"/>
              <w:spacing w:before="108"/>
              <w:ind w:left="85"/>
              <w:jc w:val="both"/>
            </w:pPr>
            <w:r>
              <w:t>C – korelačné obchodné portfólio (CTP),</w:t>
            </w:r>
          </w:p>
          <w:p w14:paraId="7FE1B392" w14:textId="30A38992" w:rsidR="007A5804" w:rsidRDefault="007B7723">
            <w:pPr>
              <w:pStyle w:val="P68B1DB1-TableParagraph13"/>
              <w:spacing w:before="108"/>
              <w:ind w:left="85"/>
              <w:jc w:val="both"/>
            </w:pPr>
            <w:r>
              <w:t>Áno – ak subjekt spĺňa podmienky stanovené v článku 7 ods. 1 písm. c) a d) a jeho významné expozície alebo významné záväzky sú voči materskej inštitúcii podľa článku 8 nariadenia (EÚ) č. 575/2013, a preto sú zahrnuté do výpočtu požiadavky materskej inštitúcie podľa článku 6 ods. 1.</w:t>
            </w:r>
          </w:p>
          <w:p w14:paraId="7FE1B393" w14:textId="0CE17CBC" w:rsidR="007A5804" w:rsidRDefault="007B7723">
            <w:pPr>
              <w:pStyle w:val="P68B1DB1-TableParagraph13"/>
              <w:jc w:val="both"/>
              <w:rPr>
                <w:b/>
                <w:bCs/>
              </w:rPr>
            </w:pPr>
            <w:r>
              <w:t>Nie – v iných prípadoch.</w:t>
            </w:r>
          </w:p>
          <w:p w14:paraId="7FE1B394" w14:textId="77777777" w:rsidR="007A5804" w:rsidRDefault="007A5804">
            <w:pPr>
              <w:pStyle w:val="TableParagraph"/>
              <w:jc w:val="both"/>
              <w:rPr>
                <w:rFonts w:ascii="Times New Roman" w:hAnsi="Times New Roman" w:cs="Times New Roman"/>
                <w:b/>
                <w:bCs/>
                <w:color w:val="000000" w:themeColor="text1"/>
                <w:sz w:val="20"/>
                <w:szCs w:val="20"/>
              </w:rPr>
            </w:pPr>
          </w:p>
        </w:tc>
      </w:tr>
      <w:tr w:rsidR="007A5804"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7A5804" w:rsidRDefault="007B7723">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7A5804" w:rsidRDefault="007B7723">
            <w:pPr>
              <w:pStyle w:val="P68B1DB1-TableParagraph14"/>
              <w:spacing w:before="108"/>
              <w:ind w:left="85"/>
              <w:jc w:val="both"/>
            </w:pPr>
            <w:r>
              <w:t>Výnimka z nariadenia o kapitálových požiadavkách podľa článku 10</w:t>
            </w:r>
          </w:p>
          <w:p w14:paraId="7FE1B398" w14:textId="77777777" w:rsidR="007A5804" w:rsidRDefault="007B7723">
            <w:pPr>
              <w:pStyle w:val="P68B1DB1-TableParagraph13"/>
              <w:spacing w:before="108"/>
              <w:ind w:left="85"/>
              <w:jc w:val="both"/>
            </w:pPr>
            <w:r>
              <w:t>C – korelačné obchodné portfólio (CTP),</w:t>
            </w:r>
          </w:p>
          <w:p w14:paraId="7FE1B399" w14:textId="249CB221" w:rsidR="007A5804" w:rsidRDefault="007B7723">
            <w:pPr>
              <w:pStyle w:val="P68B1DB1-TableParagraph13"/>
              <w:spacing w:before="108"/>
              <w:ind w:left="85"/>
              <w:jc w:val="both"/>
            </w:pPr>
            <w:r>
              <w:t>Á – ak príslušný orgán uplatnil výnimku podľa článku 10 nariadenia (EÚ) č. 575/2013.</w:t>
            </w:r>
          </w:p>
          <w:p w14:paraId="7FE1B39A" w14:textId="2A6A5A7B" w:rsidR="007A5804" w:rsidRDefault="007B7723">
            <w:pPr>
              <w:pStyle w:val="P68B1DB1-TableParagraph13"/>
              <w:spacing w:before="108"/>
              <w:ind w:left="85"/>
              <w:jc w:val="both"/>
              <w:rPr>
                <w:b/>
              </w:rPr>
            </w:pPr>
            <w:r>
              <w:t>Nie – v iných prípadoch.</w:t>
            </w:r>
          </w:p>
        </w:tc>
      </w:tr>
      <w:tr w:rsidR="007A5804"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7A5804" w:rsidRDefault="007B7723">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7A5804" w:rsidRDefault="007B7723">
            <w:pPr>
              <w:pStyle w:val="P68B1DB1-TableParagraph14"/>
              <w:spacing w:before="108"/>
              <w:jc w:val="both"/>
            </w:pPr>
            <w:r>
              <w:t>Celkové aktíva</w:t>
            </w:r>
          </w:p>
          <w:p w14:paraId="7FE1B39E" w14:textId="77777777" w:rsidR="007A5804" w:rsidRDefault="007B7723">
            <w:pPr>
              <w:pStyle w:val="P68B1DB1-TableParagraph13"/>
              <w:spacing w:before="108"/>
              <w:jc w:val="both"/>
              <w:rPr>
                <w:b/>
              </w:rPr>
            </w:pPr>
            <w:r>
              <w:t>Celkové aktíva v zmysle vymedzenia na účely FINREP {F 01.01;380,010}</w:t>
            </w:r>
          </w:p>
        </w:tc>
      </w:tr>
      <w:tr w:rsidR="007A5804"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7A5804" w:rsidRDefault="007B7723">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7A5804" w:rsidRDefault="007B7723">
            <w:pPr>
              <w:pStyle w:val="P68B1DB1-TableParagraph14"/>
              <w:spacing w:before="108"/>
              <w:jc w:val="both"/>
            </w:pPr>
            <w:r>
              <w:t>Celková hodnota rizikovej expozície</w:t>
            </w:r>
          </w:p>
          <w:p w14:paraId="7FE1B3AA" w14:textId="77777777" w:rsidR="007A5804" w:rsidRDefault="007B7723">
            <w:pPr>
              <w:pStyle w:val="P68B1DB1-TableParagraph13"/>
              <w:spacing w:before="108"/>
              <w:jc w:val="both"/>
            </w:pPr>
            <w:r>
              <w:t>Celková hodnota rizikovej expozície podľa vymedzenia na účely COREP (OF): S. C 02.00;010;010 —</w:t>
            </w:r>
          </w:p>
          <w:p w14:paraId="7FE1B3AB" w14:textId="77777777" w:rsidR="007A5804" w:rsidRDefault="007B7723">
            <w:pPr>
              <w:pStyle w:val="P68B1DB1-TableParagraph13"/>
              <w:spacing w:before="108"/>
              <w:jc w:val="both"/>
              <w:rPr>
                <w:b/>
              </w:rPr>
            </w:pPr>
            <w:r>
              <w:t>Táto položka sa nevykazuje v prípade subjektov, ktoré nie sú inštitúciami, a subjektov, na ktoré sa vzťahuje výnimka v súlade s článkom 7 alebo článkom 10 nariadenia (EÚ) č. 575/2013.</w:t>
            </w:r>
          </w:p>
        </w:tc>
      </w:tr>
      <w:tr w:rsidR="007A5804"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7A5804" w:rsidRDefault="007B7723">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7A5804" w:rsidRDefault="007B7723">
            <w:pPr>
              <w:pStyle w:val="P68B1DB1-TableParagraph14"/>
              <w:spacing w:before="108"/>
              <w:ind w:left="85"/>
              <w:jc w:val="both"/>
            </w:pPr>
            <w:r>
              <w:t>Veľkosť celkovej expozície</w:t>
            </w:r>
          </w:p>
          <w:p w14:paraId="7FE1B3AF" w14:textId="32D53B0C" w:rsidR="007A5804" w:rsidRDefault="007B7723">
            <w:pPr>
              <w:pStyle w:val="P68B1DB1-TableParagraph13"/>
              <w:spacing w:before="108"/>
              <w:ind w:left="85"/>
              <w:jc w:val="both"/>
            </w:pPr>
            <w:r>
              <w:t>Veľkosť celkovej expozície ukazovateľa finančnej páky podľa vymedzenia pre COREP (LR): S. C 47.00;0290;0010,</w:t>
            </w:r>
          </w:p>
          <w:p w14:paraId="7FE1B3B0" w14:textId="77777777" w:rsidR="007A5804" w:rsidRDefault="007B7723">
            <w:pPr>
              <w:pStyle w:val="P68B1DB1-TableParagraph13"/>
              <w:spacing w:before="108"/>
              <w:ind w:left="85"/>
              <w:jc w:val="both"/>
            </w:pPr>
            <w:r>
              <w:t>Táto položka sa nevykazuje v prípade subjektov, ktoré nie sú inštitúciami, a subjektov, na ktoré sa vzťahuje výnimka v súlade s článkom 7 alebo článkom 10 nariadenia (EÚ) č. 575/2013.</w:t>
            </w:r>
          </w:p>
        </w:tc>
      </w:tr>
      <w:tr w:rsidR="007A5804"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7A5804" w:rsidRDefault="007B7723">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7A5804" w:rsidRDefault="007B7723">
            <w:pPr>
              <w:pStyle w:val="P68B1DB1-TableParagraph14"/>
              <w:jc w:val="both"/>
              <w:rPr>
                <w:bCs/>
              </w:rPr>
            </w:pPr>
            <w:r>
              <w:t>Celkový prevádzkový príjem</w:t>
            </w:r>
          </w:p>
          <w:p w14:paraId="7FE1B3B4" w14:textId="77777777" w:rsidR="007A5804" w:rsidRDefault="007A5804">
            <w:pPr>
              <w:pStyle w:val="TableParagraph"/>
              <w:jc w:val="both"/>
              <w:rPr>
                <w:rFonts w:ascii="Times New Roman" w:hAnsi="Times New Roman" w:cs="Times New Roman"/>
                <w:b/>
                <w:bCs/>
                <w:color w:val="000000" w:themeColor="text1"/>
                <w:sz w:val="20"/>
                <w:szCs w:val="20"/>
              </w:rPr>
            </w:pPr>
          </w:p>
          <w:p w14:paraId="7FE1B3B5" w14:textId="77777777" w:rsidR="007A5804" w:rsidRDefault="007B7723">
            <w:pPr>
              <w:pStyle w:val="P68B1DB1-TableParagraph13"/>
              <w:jc w:val="both"/>
            </w:pPr>
            <w:r>
              <w:t>Celkové prevádzkové výnosy, ako sú vymedzené vo FINREP, 02.00;355;010,</w:t>
            </w:r>
          </w:p>
          <w:p w14:paraId="7FE1B3B6" w14:textId="77777777" w:rsidR="007A5804" w:rsidRDefault="007A5804">
            <w:pPr>
              <w:pStyle w:val="TableParagraph"/>
              <w:jc w:val="both"/>
              <w:rPr>
                <w:rFonts w:ascii="Times New Roman" w:hAnsi="Times New Roman" w:cs="Times New Roman"/>
                <w:b/>
                <w:bCs/>
                <w:color w:val="000000" w:themeColor="text1"/>
                <w:sz w:val="20"/>
                <w:szCs w:val="20"/>
              </w:rPr>
            </w:pPr>
          </w:p>
        </w:tc>
      </w:tr>
      <w:tr w:rsidR="007A5804"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7A5804" w:rsidRDefault="007B7723">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7A5804" w:rsidRDefault="007B7723">
            <w:pPr>
              <w:pStyle w:val="P68B1DB1-TableParagraph14"/>
              <w:spacing w:before="108"/>
              <w:jc w:val="both"/>
            </w:pPr>
            <w:r>
              <w:t>Účtovný štandard</w:t>
            </w:r>
          </w:p>
          <w:p w14:paraId="7FE1B3BF" w14:textId="77777777" w:rsidR="007A5804" w:rsidRDefault="007B7723">
            <w:pPr>
              <w:pStyle w:val="P68B1DB1-TableParagraph13"/>
              <w:spacing w:before="108"/>
              <w:jc w:val="both"/>
            </w:pPr>
            <w:r>
              <w:t>Účtovné štandardy uplatňované subjektom. C – korelačné obchodné portfólio (CTP),</w:t>
            </w:r>
          </w:p>
          <w:p w14:paraId="7FE1B3C0" w14:textId="77777777" w:rsidR="007A5804" w:rsidRDefault="007B7723">
            <w:pPr>
              <w:pStyle w:val="P68B1DB1-TableParagraph13"/>
              <w:numPr>
                <w:ilvl w:val="0"/>
                <w:numId w:val="68"/>
              </w:numPr>
              <w:spacing w:before="108"/>
              <w:jc w:val="both"/>
            </w:pPr>
            <w:r>
              <w:t>IFRS</w:t>
            </w:r>
          </w:p>
          <w:p w14:paraId="7FE1B3C1" w14:textId="77777777" w:rsidR="007A5804" w:rsidRDefault="007B7723">
            <w:pPr>
              <w:pStyle w:val="P68B1DB1-TableParagraph13"/>
              <w:numPr>
                <w:ilvl w:val="0"/>
                <w:numId w:val="68"/>
              </w:numPr>
              <w:spacing w:before="108"/>
              <w:jc w:val="both"/>
            </w:pPr>
            <w:r>
              <w:t>Národné GAAP</w:t>
            </w:r>
          </w:p>
        </w:tc>
      </w:tr>
      <w:tr w:rsidR="007A5804"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7A5804" w:rsidRDefault="007B7723">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7A5804" w:rsidRDefault="007B7723">
            <w:pPr>
              <w:pStyle w:val="P68B1DB1-TableParagraph14"/>
              <w:spacing w:before="108"/>
              <w:jc w:val="both"/>
            </w:pPr>
            <w:r>
              <w:t xml:space="preserve">Príspevok k celkovej hodnote konsolidovanej rizikovej expozície </w:t>
            </w:r>
          </w:p>
          <w:p w14:paraId="7FE1B3D5" w14:textId="77777777" w:rsidR="007A5804" w:rsidRDefault="007B7723">
            <w:pPr>
              <w:pStyle w:val="P68B1DB1-TableParagraph13"/>
              <w:spacing w:before="108"/>
              <w:jc w:val="both"/>
              <w:rPr>
                <w:b/>
              </w:rPr>
            </w:pPr>
            <w:r>
              <w:t xml:space="preserve">Suma, ktorou subjekt prispieva k celkovej hodnote konsolidovanej rizikovej expozície skupiny, ktorej sa týka vykazovanie. </w:t>
            </w:r>
          </w:p>
        </w:tc>
      </w:tr>
      <w:tr w:rsidR="007A5804"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7A5804" w:rsidRDefault="007B7723">
            <w:pPr>
              <w:pStyle w:val="P68B1DB1-TableParagraph13"/>
              <w:spacing w:before="106"/>
              <w:ind w:left="-1"/>
            </w:pPr>
            <w:r>
              <w:t>0270</w:t>
            </w:r>
          </w:p>
        </w:tc>
        <w:tc>
          <w:tcPr>
            <w:tcW w:w="0" w:type="auto"/>
            <w:tcBorders>
              <w:top w:val="single" w:sz="4" w:space="0" w:color="1A171C"/>
              <w:left w:val="single" w:sz="4" w:space="0" w:color="1A171C"/>
              <w:bottom w:val="single" w:sz="4" w:space="0" w:color="1A171C"/>
              <w:right w:val="nil"/>
            </w:tcBorders>
          </w:tcPr>
          <w:p w14:paraId="7FE1B3D8" w14:textId="5A329240" w:rsidR="007A5804" w:rsidRDefault="007B7723">
            <w:pPr>
              <w:pStyle w:val="P68B1DB1-TableParagraph14"/>
              <w:spacing w:before="108"/>
              <w:ind w:left="85"/>
              <w:jc w:val="both"/>
            </w:pPr>
            <w:r>
              <w:t>Príspevok ku konsolidovanej veľkosti celkovej expozície</w:t>
            </w:r>
          </w:p>
          <w:p w14:paraId="7FE1B3D9" w14:textId="61219862" w:rsidR="007A5804" w:rsidRDefault="007B7723">
            <w:pPr>
              <w:pStyle w:val="P68B1DB1-TableParagraph13"/>
              <w:spacing w:before="108"/>
              <w:ind w:left="85"/>
              <w:jc w:val="both"/>
              <w:rPr>
                <w:b/>
              </w:rPr>
            </w:pPr>
            <w:r>
              <w:t>Suma, ktorou subjekt prispieva k celkovému merateľnému vystaveniu skupiny, ktorej sa týka vykazovanie.</w:t>
            </w:r>
          </w:p>
        </w:tc>
      </w:tr>
      <w:tr w:rsidR="007A5804"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7A5804" w:rsidRDefault="007B7723">
            <w:pPr>
              <w:pStyle w:val="P68B1DB1-TableParagraph13"/>
            </w:pPr>
            <w:r>
              <w:lastRenderedPageBreak/>
              <w:t>0280</w:t>
            </w:r>
          </w:p>
        </w:tc>
        <w:tc>
          <w:tcPr>
            <w:tcW w:w="7962" w:type="dxa"/>
            <w:tcBorders>
              <w:top w:val="single" w:sz="4" w:space="0" w:color="1A171C"/>
              <w:left w:val="single" w:sz="4" w:space="0" w:color="1A171C"/>
              <w:bottom w:val="single" w:sz="4" w:space="0" w:color="1A171C"/>
              <w:right w:val="nil"/>
            </w:tcBorders>
          </w:tcPr>
          <w:p w14:paraId="7FE1B3DC" w14:textId="75821A54" w:rsidR="007A5804" w:rsidRDefault="007B7723">
            <w:pPr>
              <w:pStyle w:val="P68B1DB1-TableParagraph14"/>
              <w:jc w:val="both"/>
              <w:rPr>
                <w:bCs/>
              </w:rPr>
            </w:pPr>
            <w:r>
              <w:t>Príspevok ku konsolidovaným prevádzkovým výnosom</w:t>
            </w:r>
          </w:p>
          <w:p w14:paraId="7FE1B3DD" w14:textId="77777777" w:rsidR="007A5804" w:rsidRDefault="007A5804">
            <w:pPr>
              <w:pStyle w:val="TableParagraph"/>
              <w:jc w:val="both"/>
              <w:rPr>
                <w:rFonts w:ascii="Times New Roman" w:hAnsi="Times New Roman" w:cs="Times New Roman"/>
                <w:color w:val="000000" w:themeColor="text1"/>
                <w:sz w:val="20"/>
                <w:szCs w:val="20"/>
              </w:rPr>
            </w:pPr>
          </w:p>
          <w:p w14:paraId="7FE1B3DE" w14:textId="1B38FEC1" w:rsidR="007A5804" w:rsidRDefault="007B7723">
            <w:pPr>
              <w:pStyle w:val="P68B1DB1-TableParagraph13"/>
              <w:jc w:val="both"/>
            </w:pPr>
            <w:r>
              <w:t>Suma, ktorou subjekt prispieva k celkovej sume účtovného konsolidovaného prevádzkového výnosu skupiny.</w:t>
            </w:r>
          </w:p>
        </w:tc>
      </w:tr>
      <w:tr w:rsidR="007A5804"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7A5804" w:rsidRDefault="007B7723">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7A5804" w:rsidRDefault="007B7723">
            <w:pPr>
              <w:pStyle w:val="P68B1DB1-TableParagraph14"/>
              <w:spacing w:before="108"/>
              <w:ind w:left="85"/>
              <w:jc w:val="both"/>
              <w:rPr>
                <w:bCs/>
              </w:rPr>
            </w:pPr>
            <w:r>
              <w:t>Príslušná právnická osoba</w:t>
            </w:r>
          </w:p>
          <w:p w14:paraId="7FE1B3F1" w14:textId="75C7B029" w:rsidR="007A5804" w:rsidRDefault="007B7723">
            <w:pPr>
              <w:pStyle w:val="P68B1DB1-TableParagraph13"/>
              <w:spacing w:before="108"/>
              <w:jc w:val="both"/>
            </w:pPr>
            <w:r>
              <w:t>Či subjekt predstavuje príslušnú právnickú osobu v zmysle vymedzenia v článku 1 tohto nariadenia.</w:t>
            </w:r>
          </w:p>
          <w:p w14:paraId="7FE1B3F2" w14:textId="0E42CD28" w:rsidR="007A5804" w:rsidRDefault="007A5804">
            <w:pPr>
              <w:pStyle w:val="TableParagraph"/>
              <w:spacing w:before="108"/>
              <w:jc w:val="both"/>
              <w:rPr>
                <w:rFonts w:ascii="Times New Roman" w:hAnsi="Times New Roman" w:cs="Times New Roman"/>
                <w:color w:val="000000" w:themeColor="text1"/>
                <w:sz w:val="20"/>
                <w:szCs w:val="20"/>
              </w:rPr>
            </w:pPr>
          </w:p>
        </w:tc>
      </w:tr>
    </w:tbl>
    <w:p w14:paraId="7FE1B491" w14:textId="77777777" w:rsidR="007A5804" w:rsidRDefault="007A5804">
      <w:pPr>
        <w:rPr>
          <w:rFonts w:ascii="Times New Roman" w:hAnsi="Times New Roman" w:cs="Times New Roman"/>
        </w:rPr>
      </w:pPr>
    </w:p>
    <w:p w14:paraId="7FE1B492" w14:textId="77777777" w:rsidR="007A5804" w:rsidRDefault="007B7723">
      <w:pPr>
        <w:pStyle w:val="P68B1DB1-Instructionsberschrift25"/>
        <w:numPr>
          <w:ilvl w:val="1"/>
          <w:numId w:val="49"/>
        </w:numPr>
        <w:ind w:left="357" w:hanging="357"/>
      </w:pPr>
      <w:bookmarkStart w:id="22" w:name="_Toc81454178"/>
      <w:bookmarkStart w:id="23" w:name="_Toc208245238"/>
      <w:r>
        <w:t>Z 01.02 – Vlastnícka štruktúra (ORG 2)</w:t>
      </w:r>
      <w:bookmarkEnd w:id="22"/>
      <w:bookmarkEnd w:id="23"/>
    </w:p>
    <w:p w14:paraId="7FE1B493" w14:textId="77777777" w:rsidR="007A5804" w:rsidRDefault="007B7723">
      <w:pPr>
        <w:pStyle w:val="Instructionsberschrift3"/>
      </w:pPr>
      <w:r>
        <w:t>Všeobecné poznámky</w:t>
      </w:r>
    </w:p>
    <w:p w14:paraId="50A00AA9" w14:textId="77777777" w:rsidR="007A5804" w:rsidRDefault="007B7723">
      <w:pPr>
        <w:pStyle w:val="P68B1DB1-InstructionsText26"/>
        <w:numPr>
          <w:ilvl w:val="0"/>
          <w:numId w:val="234"/>
        </w:numPr>
        <w:spacing w:before="0"/>
      </w:pPr>
      <w:r>
        <w:t xml:space="preserve">Tento vzor poskytuje prehľad o právnej a vlastníckej štruktúre skupiny. Jednotný vzor sa predkladá vo vzťahu ku všetkým subjektom skupiny v rámci rozsahu účtovnej konsolidácie. </w:t>
      </w:r>
    </w:p>
    <w:p w14:paraId="7FE1B494" w14:textId="57A6BCE4" w:rsidR="007A5804" w:rsidRDefault="007B7723">
      <w:pPr>
        <w:pStyle w:val="P68B1DB1-InstructionsText26"/>
        <w:numPr>
          <w:ilvl w:val="0"/>
          <w:numId w:val="234"/>
        </w:numPr>
        <w:spacing w:before="0"/>
      </w:pPr>
      <w:r>
        <w:t xml:space="preserve">Očakáva sa, že túto správu poskytnú aj subjekty, ktorých krízová situácia sa rieši a ktoré nie sú súčasťou skupiny podliehajúcej dohľadu na konsolidovanom základe. </w:t>
      </w:r>
    </w:p>
    <w:p w14:paraId="7FE1B496" w14:textId="77777777" w:rsidR="007A5804" w:rsidRDefault="007B7723">
      <w:pPr>
        <w:pStyle w:val="P68B1DB1-InstructionsText26"/>
        <w:numPr>
          <w:ilvl w:val="0"/>
          <w:numId w:val="234"/>
        </w:numPr>
        <w:spacing w:before="0"/>
      </w:pPr>
      <w:r>
        <w:t>V tomto vzore sa uvádza zoznam všetkých akcionárov (alebo rovnocenných) subjektov skupiny, ktorí majú viac ako 2 % základného imania (alebo rovnocenného podielu) alebo hlasovacích práv, a všetky podiely (alebo rovnocenné podiely) v držbe subjektov skupiny.</w:t>
      </w:r>
    </w:p>
    <w:p w14:paraId="7FE1B497" w14:textId="77777777" w:rsidR="007A5804" w:rsidRDefault="007B7723">
      <w:pPr>
        <w:pStyle w:val="P68B1DB1-Instructionsberschrift312"/>
      </w:pPr>
      <w:r>
        <w:t>Pokyny týkajúce sa konkrétnych pozícií</w:t>
      </w:r>
    </w:p>
    <w:tbl>
      <w:tblPr>
        <w:tblW w:w="0" w:type="auto"/>
        <w:tblCellMar>
          <w:top w:w="57" w:type="dxa"/>
          <w:left w:w="57" w:type="dxa"/>
          <w:bottom w:w="57" w:type="dxa"/>
          <w:right w:w="0" w:type="dxa"/>
        </w:tblCellMar>
        <w:tblLook w:val="01E0" w:firstRow="1" w:lastRow="1" w:firstColumn="1" w:lastColumn="1" w:noHBand="0" w:noVBand="0"/>
      </w:tblPr>
      <w:tblGrid>
        <w:gridCol w:w="728"/>
        <w:gridCol w:w="8298"/>
      </w:tblGrid>
      <w:tr w:rsidR="007A5804"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7A5804" w:rsidRDefault="007B7723">
            <w:pPr>
              <w:pStyle w:val="P68B1DB1-TableParagraph13"/>
              <w:spacing w:before="66"/>
              <w:rPr>
                <w:rFonts w:eastAsia="Cambria"/>
              </w:rPr>
            </w:pPr>
            <w:r>
              <w:t>Stĺpce</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7A5804" w:rsidRDefault="007B7723">
            <w:pPr>
              <w:pStyle w:val="P68B1DB1-TableParagraph13"/>
              <w:spacing w:before="66"/>
              <w:ind w:right="1"/>
              <w:jc w:val="center"/>
              <w:rPr>
                <w:rFonts w:eastAsia="Cambria"/>
              </w:rPr>
            </w:pPr>
            <w:r>
              <w:t>Pokyny</w:t>
            </w:r>
          </w:p>
        </w:tc>
      </w:tr>
      <w:tr w:rsidR="007A5804"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7A5804" w:rsidRDefault="007B7723">
            <w:pPr>
              <w:pStyle w:val="P68B1DB1-TableParagraph14"/>
              <w:spacing w:before="106"/>
              <w:ind w:left="-1"/>
              <w:rPr>
                <w:rFonts w:eastAsia="Cambria"/>
              </w:rPr>
            </w:pPr>
            <w:r>
              <w:t>0010 – 030</w:t>
            </w:r>
          </w:p>
        </w:tc>
        <w:tc>
          <w:tcPr>
            <w:tcW w:w="0" w:type="auto"/>
            <w:tcBorders>
              <w:top w:val="single" w:sz="4" w:space="0" w:color="1A171C"/>
              <w:left w:val="single" w:sz="4" w:space="0" w:color="1A171C"/>
              <w:bottom w:val="single" w:sz="4" w:space="0" w:color="1A171C"/>
              <w:right w:val="nil"/>
            </w:tcBorders>
          </w:tcPr>
          <w:p w14:paraId="7FE1B49D" w14:textId="77777777" w:rsidR="007A5804" w:rsidRDefault="007B7723">
            <w:pPr>
              <w:pStyle w:val="P68B1DB1-TableParagraph14"/>
              <w:spacing w:before="108"/>
              <w:ind w:left="85"/>
            </w:pPr>
            <w:r>
              <w:t>Investor</w:t>
            </w:r>
          </w:p>
        </w:tc>
      </w:tr>
      <w:tr w:rsidR="007A5804"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7A5804" w:rsidRDefault="007B7723">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7A5804" w:rsidRDefault="007B7723">
            <w:pPr>
              <w:pStyle w:val="P68B1DB1-TableParagraph14"/>
              <w:spacing w:before="108"/>
              <w:ind w:left="85"/>
              <w:jc w:val="both"/>
              <w:rPr>
                <w:bCs/>
              </w:rPr>
            </w:pPr>
            <w:r>
              <w:t xml:space="preserve">Názov </w:t>
            </w:r>
          </w:p>
          <w:p w14:paraId="7FE1B4A1" w14:textId="77777777" w:rsidR="007A5804" w:rsidRDefault="007B7723">
            <w:pPr>
              <w:pStyle w:val="P68B1DB1-TableParagraph17"/>
              <w:spacing w:before="108"/>
              <w:ind w:left="85"/>
              <w:rPr>
                <w:rFonts w:eastAsia="Book Antiqua"/>
              </w:rPr>
            </w:pPr>
            <w:r>
              <w:t>Úplný názov alebo označenie investora.</w:t>
            </w:r>
          </w:p>
        </w:tc>
      </w:tr>
      <w:tr w:rsidR="007A5804"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7A5804" w:rsidRDefault="007B7723">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7A5804" w:rsidRDefault="007B7723">
            <w:pPr>
              <w:pStyle w:val="P68B1DB1-TableParagraph14"/>
              <w:spacing w:before="108"/>
              <w:ind w:left="85"/>
              <w:jc w:val="both"/>
              <w:rPr>
                <w:bCs/>
              </w:rPr>
            </w:pPr>
            <w:r>
              <w:t xml:space="preserve">Kód </w:t>
            </w:r>
          </w:p>
          <w:p w14:paraId="7FE1B4A5" w14:textId="77777777" w:rsidR="007A5804" w:rsidRDefault="007B7723">
            <w:pPr>
              <w:pStyle w:val="P68B1DB1-TableParagraph17"/>
              <w:spacing w:before="108"/>
              <w:ind w:left="85"/>
            </w:pPr>
            <w:r>
              <w:t>Jedinečný identifikátor právnickej osoby alebo investora uvedeného v stĺpci 0010.</w:t>
            </w:r>
          </w:p>
          <w:p w14:paraId="7FE1B4A6" w14:textId="77777777" w:rsidR="007A5804" w:rsidRDefault="007B7723">
            <w:pPr>
              <w:pStyle w:val="P68B1DB1-TableParagraph17"/>
              <w:spacing w:before="108"/>
              <w:ind w:left="85"/>
            </w:pPr>
            <w:r>
              <w:t>Ak je investičný subjekt subjektom skupiny, kód musí byť rovnaký, ako sa vykazuje v stĺpci n vzoru Z 01.01 (ORG 1). Ak investor nie je subjektom skupiny, kód bude:</w:t>
            </w:r>
          </w:p>
          <w:p w14:paraId="7FE1B4A7" w14:textId="77777777" w:rsidR="007A5804" w:rsidRDefault="007B7723">
            <w:pPr>
              <w:pStyle w:val="P68B1DB1-TableParagraph17"/>
              <w:numPr>
                <w:ilvl w:val="0"/>
                <w:numId w:val="64"/>
              </w:numPr>
              <w:spacing w:before="108"/>
            </w:pPr>
            <w:r>
              <w:t>v prípade inštitúcií s identifikátorom právneho subjektu (LEI) 20-miestny alfanumerický kód LEI;</w:t>
            </w:r>
          </w:p>
          <w:p w14:paraId="7FE1B4A8" w14:textId="7457E21A" w:rsidR="007A5804" w:rsidRDefault="007B7723">
            <w:pPr>
              <w:pStyle w:val="P68B1DB1-TableParagraph17"/>
              <w:numPr>
                <w:ilvl w:val="0"/>
                <w:numId w:val="64"/>
              </w:numPr>
              <w:spacing w:before="108"/>
            </w:pPr>
            <w:r>
              <w:t>ak nie je k dispozícii, použite kód PFI alebo kód podľa jednotnej kodifikácie platnej v Únii.</w:t>
            </w:r>
          </w:p>
          <w:p w14:paraId="7FE1B4A9" w14:textId="77777777" w:rsidR="007A5804" w:rsidRDefault="007B7723">
            <w:pPr>
              <w:pStyle w:val="P68B1DB1-TableParagraph17"/>
              <w:spacing w:before="108"/>
              <w:ind w:left="85"/>
            </w:pPr>
            <w:r>
              <w:t>V oboch prípadoch musí byť kód jedinečný a musí sa používať konzistentne vo všetkých vzoroch.</w:t>
            </w:r>
          </w:p>
        </w:tc>
      </w:tr>
      <w:tr w:rsidR="007A5804"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7A5804" w:rsidRDefault="007B7723">
            <w:pPr>
              <w:pStyle w:val="P68B1DB1-TableParagraph13"/>
              <w:spacing w:before="106"/>
              <w:ind w:left="-1"/>
            </w:pPr>
            <w:r>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7A5804" w:rsidRDefault="007B7723">
            <w:pPr>
              <w:pStyle w:val="P68B1DB1-TableParagraph14"/>
              <w:spacing w:before="108"/>
              <w:ind w:left="85"/>
              <w:jc w:val="both"/>
              <w:rPr>
                <w:bCs/>
              </w:rPr>
            </w:pPr>
            <w:r>
              <w:t>Druh kódu</w:t>
            </w:r>
          </w:p>
          <w:p w14:paraId="560AED27" w14:textId="77777777" w:rsidR="007A5804" w:rsidRDefault="007B7723">
            <w:pPr>
              <w:pStyle w:val="P68B1DB1-Normal18"/>
            </w:pPr>
            <w:r>
              <w:t xml:space="preserve">Ak je investičný subjekt subjektom skupiny, kód musí byť rovnaký, ako sa vykazuje v stĺpci n vzoru Z 01.01 (ORG 1). </w:t>
            </w:r>
          </w:p>
          <w:p w14:paraId="2DC78FBF" w14:textId="77777777" w:rsidR="007A5804" w:rsidRDefault="007A5804">
            <w:pPr>
              <w:rPr>
                <w:rFonts w:ascii="Times New Roman" w:hAnsi="Times New Roman" w:cs="Times New Roman"/>
                <w:sz w:val="20"/>
                <w:szCs w:val="20"/>
              </w:rPr>
            </w:pPr>
          </w:p>
          <w:p w14:paraId="3C91DA4D" w14:textId="535D128A" w:rsidR="007A5804" w:rsidRDefault="007B7723">
            <w:pPr>
              <w:pStyle w:val="P68B1DB1-Normal19"/>
              <w:rPr>
                <w:rFonts w:eastAsiaTheme="minorHAnsi"/>
              </w:rPr>
            </w:pPr>
            <w:r>
              <w:t>Vyberie sa z nasledujúcich možností: „Kód LEI“, „kód PFI“ alebo „Druh identifikátora iný ako LEI alebo kód PFI“.</w:t>
            </w:r>
          </w:p>
          <w:p w14:paraId="7FE1B4B2" w14:textId="77777777" w:rsidR="007A5804" w:rsidRDefault="007B7723">
            <w:pPr>
              <w:pStyle w:val="P68B1DB1-TableParagraph17"/>
              <w:spacing w:before="108"/>
            </w:pPr>
            <w:r>
              <w:t xml:space="preserve">Na identifikáciu subjektov alebo investorov sa vo všetkých vzoroch konzistentne používa dvojica </w:t>
            </w:r>
            <w:r>
              <w:lastRenderedPageBreak/>
              <w:t>kódov a typu.</w:t>
            </w:r>
          </w:p>
        </w:tc>
      </w:tr>
      <w:tr w:rsidR="007A5804"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7A5804" w:rsidRDefault="007B7723">
            <w:pPr>
              <w:pStyle w:val="P68B1DB1-TableParagraph13"/>
              <w:spacing w:before="106"/>
              <w:ind w:left="-1"/>
            </w:pPr>
            <w:r>
              <w:lastRenderedPageBreak/>
              <w:t>0040 – 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7A5804" w:rsidRDefault="007B7723">
            <w:pPr>
              <w:pStyle w:val="P68B1DB1-TableParagraph14"/>
              <w:spacing w:before="108"/>
              <w:ind w:left="85"/>
              <w:jc w:val="both"/>
              <w:rPr>
                <w:bCs/>
              </w:rPr>
            </w:pPr>
            <w:r>
              <w:t>Subjekt, do ktorého sa investuje</w:t>
            </w:r>
          </w:p>
        </w:tc>
      </w:tr>
      <w:tr w:rsidR="007A5804"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7A5804" w:rsidRDefault="007B7723">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7A5804" w:rsidRDefault="007B7723">
            <w:pPr>
              <w:pStyle w:val="P68B1DB1-TableParagraph14"/>
              <w:spacing w:before="108"/>
              <w:ind w:left="85"/>
              <w:jc w:val="both"/>
              <w:rPr>
                <w:bCs/>
              </w:rPr>
            </w:pPr>
            <w:r>
              <w:t xml:space="preserve">Názov </w:t>
            </w:r>
          </w:p>
          <w:p w14:paraId="7FE1B4B9" w14:textId="77777777" w:rsidR="007A5804" w:rsidRDefault="007B7723">
            <w:pPr>
              <w:pStyle w:val="P68B1DB1-TableParagraph13"/>
              <w:spacing w:before="108"/>
              <w:ind w:left="85"/>
              <w:jc w:val="both"/>
              <w:rPr>
                <w:bCs/>
              </w:rPr>
            </w:pPr>
            <w:r>
              <w:t>Úplný názov alebo označenie subjektu, do ktorého sa investuje.</w:t>
            </w:r>
          </w:p>
        </w:tc>
      </w:tr>
      <w:tr w:rsidR="007A5804"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7A5804" w:rsidRDefault="007B7723">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7A5804" w:rsidRDefault="007B7723">
            <w:pPr>
              <w:pStyle w:val="P68B1DB1-TableParagraph14"/>
              <w:spacing w:before="108"/>
              <w:ind w:left="85"/>
              <w:jc w:val="both"/>
              <w:rPr>
                <w:bCs/>
              </w:rPr>
            </w:pPr>
            <w:r>
              <w:t xml:space="preserve">Kód </w:t>
            </w:r>
          </w:p>
          <w:p w14:paraId="7FE1B4BD" w14:textId="77777777" w:rsidR="007A5804" w:rsidRDefault="007B7723">
            <w:pPr>
              <w:pStyle w:val="P68B1DB1-TableParagraph13"/>
              <w:spacing w:before="108"/>
              <w:ind w:left="85"/>
              <w:jc w:val="both"/>
              <w:rPr>
                <w:bCs/>
              </w:rPr>
            </w:pPr>
            <w:r>
              <w:t>Jedinečný identifikátor právnickej osoby alebo investora uvedeného v stĺpci 0010.</w:t>
            </w:r>
          </w:p>
          <w:p w14:paraId="7FE1B4BE" w14:textId="77777777" w:rsidR="007A5804" w:rsidRDefault="007B7723">
            <w:pPr>
              <w:pStyle w:val="P68B1DB1-TableParagraph13"/>
              <w:spacing w:before="108"/>
              <w:ind w:left="85"/>
              <w:jc w:val="both"/>
              <w:rPr>
                <w:bCs/>
              </w:rPr>
            </w:pPr>
            <w:r>
              <w:t>Ak je investovaný subjekt subjektom skupiny, kód musí byť rovnaký, ako sa vykazuje v stĺpci n vzoru Z 01.01 (ORG 1). Ak investičný subjekt nie je subjektom skupiny, kód bude:</w:t>
            </w:r>
          </w:p>
          <w:p w14:paraId="4B3351AF" w14:textId="77777777" w:rsidR="007A5804" w:rsidRDefault="007B7723">
            <w:pPr>
              <w:pStyle w:val="P68B1DB1-TableParagraph13"/>
              <w:numPr>
                <w:ilvl w:val="0"/>
                <w:numId w:val="64"/>
              </w:numPr>
              <w:spacing w:before="108"/>
              <w:rPr>
                <w:bCs/>
              </w:rPr>
            </w:pPr>
            <w:r>
              <w:t>v prípade inštitúcií s identifikátorom právneho subjektu (LEI) 20-miestny alfanumerický kód LEI;</w:t>
            </w:r>
          </w:p>
          <w:p w14:paraId="7FE1B4C0" w14:textId="1326FF82" w:rsidR="007A5804" w:rsidRDefault="007B7723">
            <w:pPr>
              <w:pStyle w:val="P68B1DB1-TableParagraph13"/>
              <w:numPr>
                <w:ilvl w:val="0"/>
                <w:numId w:val="64"/>
              </w:numPr>
              <w:spacing w:before="108"/>
              <w:rPr>
                <w:bCs/>
              </w:rPr>
            </w:pPr>
            <w:r>
              <w:t>—</w:t>
            </w:r>
            <w:r>
              <w:tab/>
              <w:t>ak nie je k dispozícii, použite kód PFI alebo kód podľa jednotnej kodifikácie platnej v Únii.</w:t>
            </w:r>
          </w:p>
          <w:p w14:paraId="7FE1B4C1" w14:textId="77777777" w:rsidR="007A5804" w:rsidRDefault="007B7723">
            <w:pPr>
              <w:pStyle w:val="P68B1DB1-TableParagraph13"/>
              <w:spacing w:before="108"/>
              <w:ind w:left="85"/>
              <w:jc w:val="both"/>
              <w:rPr>
                <w:b/>
                <w:bCs/>
              </w:rPr>
            </w:pPr>
            <w:r>
              <w:t>V oboch prípadoch musí byť kód jedinečný a musí sa používať konzistentne vo všetkých vzoroch.</w:t>
            </w:r>
          </w:p>
        </w:tc>
      </w:tr>
      <w:tr w:rsidR="007A5804"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7A5804" w:rsidRDefault="007B7723">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7A5804" w:rsidRDefault="007B7723">
            <w:pPr>
              <w:pStyle w:val="P68B1DB1-TableParagraph14"/>
              <w:spacing w:before="108"/>
              <w:ind w:left="85"/>
              <w:jc w:val="both"/>
              <w:rPr>
                <w:bCs/>
              </w:rPr>
            </w:pPr>
            <w:r>
              <w:t>Druh kódu</w:t>
            </w:r>
          </w:p>
          <w:p w14:paraId="7FE1B4C5" w14:textId="77777777" w:rsidR="007A5804" w:rsidRDefault="007B7723">
            <w:pPr>
              <w:pStyle w:val="P68B1DB1-TableParagraph13"/>
              <w:spacing w:before="108"/>
              <w:ind w:left="85"/>
              <w:jc w:val="both"/>
              <w:rPr>
                <w:bCs/>
              </w:rPr>
            </w:pPr>
            <w:r>
              <w:t xml:space="preserve">Ak je investovaný subjekt subjektom skupiny, kód musí byť rovnaký, ako sa vykazuje v stĺpci n vzoru Z 01.01 (ORG 1). </w:t>
            </w:r>
          </w:p>
          <w:p w14:paraId="783CEC76" w14:textId="13C64C21" w:rsidR="007A5804" w:rsidRDefault="007B7723">
            <w:pPr>
              <w:pStyle w:val="P68B1DB1-TableParagraph13"/>
              <w:spacing w:before="108"/>
              <w:ind w:left="85"/>
              <w:jc w:val="both"/>
              <w:rPr>
                <w:bCs/>
              </w:rPr>
            </w:pPr>
            <w:r>
              <w:t>Vyberie sa z nasledujúcich možností: „Kód LEI“, „kód PFI“ alebo „Druh identifikátora iný ako LEI alebo kód PFI“.</w:t>
            </w:r>
          </w:p>
          <w:p w14:paraId="7FE1B4CA" w14:textId="092DA599" w:rsidR="007A5804" w:rsidRDefault="007B7723">
            <w:pPr>
              <w:pStyle w:val="P68B1DB1-TableParagraph17"/>
              <w:spacing w:before="108"/>
            </w:pPr>
            <w:r>
              <w:t>Druh kódu sa vykazuje vždy.</w:t>
            </w:r>
          </w:p>
          <w:p w14:paraId="7FE1B4CB" w14:textId="77777777" w:rsidR="007A5804" w:rsidRDefault="007B7723">
            <w:pPr>
              <w:pStyle w:val="P68B1DB1-TableParagraph13"/>
              <w:spacing w:before="108"/>
              <w:ind w:left="85"/>
              <w:rPr>
                <w:b/>
                <w:bCs/>
              </w:rPr>
            </w:pPr>
            <w:r>
              <w:t>Na identifikáciu účtovných jednotiek alebo subjektov, do ktorých sa investuje, sa vo všetkých vzoroch konzistentne používa dvojica kódov a typu.</w:t>
            </w:r>
          </w:p>
        </w:tc>
      </w:tr>
      <w:tr w:rsidR="007A5804"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7A5804" w:rsidRDefault="007B7723">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7A5804" w:rsidRDefault="007B7723">
            <w:pPr>
              <w:pStyle w:val="P68B1DB1-TableParagraph14"/>
              <w:spacing w:before="108"/>
              <w:ind w:left="85"/>
            </w:pPr>
            <w:r>
              <w:t>Medzinárodná pobočka</w:t>
            </w:r>
          </w:p>
          <w:p w14:paraId="7FE1B4CF" w14:textId="77777777" w:rsidR="007A5804" w:rsidRDefault="007B7723">
            <w:pPr>
              <w:pStyle w:val="P68B1DB1-TableParagraph13"/>
              <w:spacing w:before="108"/>
              <w:ind w:left="85"/>
              <w:jc w:val="both"/>
            </w:pPr>
            <w:r>
              <w:t>C – korelačné obchodné portfólio (CTP),</w:t>
            </w:r>
          </w:p>
          <w:p w14:paraId="7FE1B4D0" w14:textId="0F2F9A3D" w:rsidR="007A5804" w:rsidRDefault="007B7723">
            <w:pPr>
              <w:pStyle w:val="P68B1DB1-TableParagraph13"/>
              <w:spacing w:before="108"/>
              <w:ind w:left="85"/>
              <w:jc w:val="both"/>
            </w:pPr>
            <w:r>
              <w:t>Áno – v prípade, že je investor medzinárodnou pobočkou investora.</w:t>
            </w:r>
          </w:p>
          <w:p w14:paraId="7FE1B4D1" w14:textId="303CCEBB" w:rsidR="007A5804" w:rsidRDefault="007B7723">
            <w:pPr>
              <w:pStyle w:val="P68B1DB1-TableParagraph13"/>
              <w:spacing w:before="108"/>
              <w:ind w:left="85"/>
              <w:jc w:val="both"/>
              <w:rPr>
                <w:b/>
                <w:bCs/>
              </w:rPr>
            </w:pPr>
            <w:r>
              <w:t>Nie – v prípade právnickej osoby:</w:t>
            </w:r>
          </w:p>
        </w:tc>
      </w:tr>
      <w:tr w:rsidR="007A5804"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7A5804" w:rsidRDefault="007B7723">
            <w:pPr>
              <w:pStyle w:val="P68B1DB1-TableParagraph13"/>
              <w:spacing w:before="106"/>
              <w:ind w:left="-1"/>
            </w:pPr>
            <w:r>
              <w:t>0080 – 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7A5804" w:rsidRDefault="007B7723">
            <w:pPr>
              <w:pStyle w:val="P68B1DB1-TableParagraph14"/>
              <w:spacing w:before="108"/>
              <w:ind w:left="85"/>
              <w:jc w:val="both"/>
              <w:rPr>
                <w:bCs/>
              </w:rPr>
            </w:pPr>
            <w:r>
              <w:t>Vlastníctvo</w:t>
            </w:r>
          </w:p>
        </w:tc>
      </w:tr>
      <w:tr w:rsidR="007A5804"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7A5804" w:rsidRDefault="007B7723">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7A5804" w:rsidRDefault="007B7723">
            <w:pPr>
              <w:pStyle w:val="P68B1DB1-TableParagraph14"/>
              <w:spacing w:before="108"/>
              <w:ind w:left="85"/>
              <w:jc w:val="both"/>
            </w:pPr>
            <w:r>
              <w:t>Akciový kapitál</w:t>
            </w:r>
          </w:p>
          <w:p w14:paraId="7FE1B4D8" w14:textId="77777777" w:rsidR="007A5804" w:rsidRDefault="007B7723">
            <w:pPr>
              <w:pStyle w:val="P68B1DB1-TableParagraph17"/>
              <w:spacing w:before="108"/>
              <w:ind w:left="85"/>
              <w:jc w:val="both"/>
            </w:pPr>
            <w:r>
              <w:t>Výška akciového kapitálu v držbe investora bez rezerv. V prípade medzinárodnej pobočky musí byť pole prázdne.</w:t>
            </w:r>
          </w:p>
        </w:tc>
      </w:tr>
      <w:tr w:rsidR="007A5804"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7A5804" w:rsidRDefault="007B7723">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7A5804" w:rsidRDefault="007B7723">
            <w:pPr>
              <w:pStyle w:val="P68B1DB1-TableParagraph14"/>
              <w:spacing w:before="108"/>
              <w:ind w:left="85"/>
              <w:rPr>
                <w:rFonts w:eastAsia="Book Antiqua"/>
              </w:rPr>
            </w:pPr>
            <w:r>
              <w:t>Hlasovacie práva v rámci subjektu</w:t>
            </w:r>
          </w:p>
          <w:p w14:paraId="7FE1B4DC" w14:textId="77777777" w:rsidR="007A5804" w:rsidRDefault="007B7723">
            <w:pPr>
              <w:pStyle w:val="P68B1DB1-TableParagraph17"/>
              <w:spacing w:before="108"/>
              <w:ind w:left="85"/>
              <w:jc w:val="both"/>
              <w:rPr>
                <w:b/>
              </w:rPr>
            </w:pPr>
            <w:r>
              <w:t>Percentuálny podiel hlasovacích práv, ktoré má investor. Táto informácia sa vyžaduje len v prípade, ak sa jedna akcia nerovná jednému hlasu (hlasovacie práva sa teda nerovnajú akciovému kapitálu). V prípade medzinárodnej pobočky musí byť pole prázdne.</w:t>
            </w:r>
          </w:p>
        </w:tc>
      </w:tr>
    </w:tbl>
    <w:p w14:paraId="7FE1B4DE" w14:textId="77777777" w:rsidR="007A5804" w:rsidRDefault="007A5804">
      <w:pPr>
        <w:rPr>
          <w:rFonts w:ascii="Times New Roman" w:hAnsi="Times New Roman" w:cs="Times New Roman"/>
        </w:rPr>
      </w:pPr>
    </w:p>
    <w:p w14:paraId="7FE1B4DF" w14:textId="77777777" w:rsidR="007A5804" w:rsidRDefault="007A5804">
      <w:pPr>
        <w:rPr>
          <w:rFonts w:ascii="Times New Roman" w:hAnsi="Times New Roman" w:cs="Times New Roman"/>
        </w:rPr>
      </w:pPr>
    </w:p>
    <w:p w14:paraId="7FE1B4E1" w14:textId="77777777" w:rsidR="007A5804" w:rsidRDefault="007B7723">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523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Štruktúra záväzkov (LIAB 1)</w:t>
      </w:r>
      <w:bookmarkEnd w:id="54"/>
      <w:bookmarkEnd w:id="55"/>
      <w:bookmarkEnd w:id="56"/>
    </w:p>
    <w:p w14:paraId="7FE1B4E2" w14:textId="77777777" w:rsidR="007A5804" w:rsidRDefault="007B7723">
      <w:pPr>
        <w:pStyle w:val="Instructionsberschrift3"/>
      </w:pPr>
      <w:r>
        <w:t>Všeobecné poznámky</w:t>
      </w:r>
    </w:p>
    <w:p w14:paraId="7FE1B4E3" w14:textId="190D578F" w:rsidR="007A5804" w:rsidRDefault="007B7723">
      <w:pPr>
        <w:pStyle w:val="P68B1DB1-InstructionsText26"/>
        <w:numPr>
          <w:ilvl w:val="0"/>
          <w:numId w:val="233"/>
        </w:numPr>
        <w:spacing w:before="0"/>
      </w:pPr>
      <w:r>
        <w:lastRenderedPageBreak/>
        <w:t>V tomto vzore sa vyžadujú podrobné informácie o štruktúre záväzkov subjektu alebo skupiny. Záväzky sa rozdeľujú na záväzky vylúčené zo záchrany pomocou vnútorných zdrojov a na záväzky, ktoré nie sú vylúčené zo záchrany pomocou vnútorných zdrojov. Uvádzajú sa ďalšie členenia podľa kategórií záväzkov, protistrany a zostatkovej splatnosti.</w:t>
      </w:r>
    </w:p>
    <w:p w14:paraId="7FE1B4E4" w14:textId="77777777" w:rsidR="007A5804" w:rsidRDefault="007B7723">
      <w:pPr>
        <w:pStyle w:val="P68B1DB1-InstructionsText26"/>
        <w:numPr>
          <w:ilvl w:val="0"/>
          <w:numId w:val="233"/>
        </w:numPr>
        <w:spacing w:before="0"/>
      </w:pPr>
      <w:r>
        <w:t>Ak sa v tomto vzore uvádza rozdelenie podľa splatnosti, zostatková splatnosť predstavuje čas do zmluvnej splatnosti. Odchylne od toho:</w:t>
      </w:r>
    </w:p>
    <w:p w14:paraId="7FE1B4E5" w14:textId="77777777" w:rsidR="007A5804" w:rsidRDefault="007B7723">
      <w:pPr>
        <w:pStyle w:val="P68B1DB1-InstructionsText26"/>
        <w:numPr>
          <w:ilvl w:val="1"/>
          <w:numId w:val="233"/>
        </w:numPr>
        <w:spacing w:before="0"/>
      </w:pPr>
      <w:r>
        <w:t>keď nástroj záväzkov zahŕňa opciu, na základe ktorej môže jej držiteľ nástroj umoriť a ktorá je uplatniteľná pred pôvodnou uvedenou splatnosťou nástroja, splatnosť nástroja sa vymedzuje ako najskorší možný dátum, ku ktorému môže držiteľ uplatniť opciu na umorenie a požiadať o umorenie alebo splatenie daného nástroja;</w:t>
      </w:r>
    </w:p>
    <w:p w14:paraId="7FE1B4E6" w14:textId="77777777" w:rsidR="007A5804" w:rsidRDefault="007B7723">
      <w:pPr>
        <w:pStyle w:val="P68B1DB1-InstructionsText26"/>
        <w:numPr>
          <w:ilvl w:val="1"/>
          <w:numId w:val="233"/>
        </w:numPr>
        <w:spacing w:before="0"/>
      </w:pPr>
      <w:r>
        <w:t>keď nástroj záväzkov zahŕňa stimul pre emitenta na to, aby na nástroj uplatnil kúpnu opciu, umorenie, splatenie alebo spätné odkúpenie pred pôvodnou uvedenou splatnosťou nástroja, splatnosť nástroja sa vymedzuje ako najskorší možný dátum, ku ktorému môže emitent uplatniť uvedenú opciu a požiadať o umorenie alebo splatenie nástroja;</w:t>
      </w:r>
    </w:p>
    <w:p w14:paraId="7FE1B4E8" w14:textId="77777777" w:rsidR="007A5804" w:rsidRDefault="007B7723">
      <w:pPr>
        <w:pStyle w:val="P68B1DB1-InstructionsText26"/>
        <w:numPr>
          <w:ilvl w:val="0"/>
          <w:numId w:val="233"/>
        </w:numPr>
        <w:spacing w:before="0"/>
      </w:pPr>
      <w:r>
        <w:t>Pri priebežných splátkach istiny sa istina rozdeľuje a zaraďuje do zodpovedajúcich skupín splatností. Splatnosť sa v prípade potreby posudzuje samostatne pre sumu istiny a pre vzniknutý úrok.</w:t>
      </w:r>
    </w:p>
    <w:p w14:paraId="7FE1B4E9" w14:textId="7225004D" w:rsidR="007A5804" w:rsidRDefault="007B7723">
      <w:pPr>
        <w:pStyle w:val="P68B1DB1-InstructionsText26"/>
        <w:numPr>
          <w:ilvl w:val="0"/>
          <w:numId w:val="233"/>
        </w:numPr>
        <w:spacing w:before="0"/>
      </w:pPr>
      <w:r>
        <w:t>V niektorých osobitných prípadoch závisí splatnosť daného nástroja od vonkajších faktorov, na ktoré má inštitúcia malý alebo žiadny vplyv. V takýchto prípadoch sa prvý dátum, ku ktorému takéto udalosti môžu viesť k náhrade, považuje za najskorší dátum vyplatenia.</w:t>
      </w:r>
    </w:p>
    <w:p w14:paraId="7FE1B4EA" w14:textId="77777777" w:rsidR="007A5804" w:rsidRDefault="007B7723">
      <w:pPr>
        <w:pStyle w:val="P68B1DB1-InstructionsText26"/>
        <w:numPr>
          <w:ilvl w:val="0"/>
          <w:numId w:val="233"/>
        </w:numPr>
        <w:spacing w:before="0"/>
      </w:pPr>
      <w:r>
        <w:t>V ostatných prípadoch sa v zmluvách nepredpokladá žiadny konkrétny dátum splatnosti, ako napríklad jednodňové alebo jednodňové vklady. V týchto prípadoch sa záväzky považujú za záväzky s možnou splatnosťou k prvému možnému dátumu, t. j. k ďalšiemu/jeden deň po dátume vykazovania.</w:t>
      </w:r>
    </w:p>
    <w:p w14:paraId="7FE1B4EB" w14:textId="7998FDEF" w:rsidR="007A5804" w:rsidRDefault="007B7723">
      <w:pPr>
        <w:pStyle w:val="P68B1DB1-InstructionsText26"/>
        <w:numPr>
          <w:ilvl w:val="0"/>
          <w:numId w:val="233"/>
        </w:numPr>
        <w:spacing w:before="0"/>
      </w:pPr>
      <w:r>
        <w:t>Pokiaľ ide o vklady, krytie prostredníctvom smernice o systémoch ochrany vkladov nevyhnutne nerozlišuje medzi splatnosťami, ktoré sa považujú za kryté, ak existujú rôzne splatnosti. Na rozdelenie nekrytej časti do skupín splatností sa od inštitúcií vyžaduje, aby uplatňovali pomerný prístup k celkovému krytiu a zodpovedajúcim spôsobom rozdelili nekrytú časť počas splatnosti podkladových vkladov, pokiaľ sa neuplatňujú osobitné ustanovenia vyplývajúce z transpozície smernice 2014/49/EÚ do vnútroštátneho práva.</w:t>
      </w:r>
    </w:p>
    <w:p w14:paraId="7FE1B4EC" w14:textId="333CC915" w:rsidR="007A5804" w:rsidRDefault="007B7723">
      <w:pPr>
        <w:pStyle w:val="P68B1DB1-InstructionsText26"/>
        <w:numPr>
          <w:ilvl w:val="0"/>
          <w:numId w:val="233"/>
        </w:numPr>
        <w:spacing w:before="0"/>
      </w:pPr>
      <w:r>
        <w:t>Ak záväzok spĺňa viaceré kritériá a môže sa vykázať vo viacerých riadkoch v rozsahu r0110 až r0210, vykazuje sa len v jednom riadku, čo je riadok s najnižším číslom riadku v tomto vzore.</w:t>
      </w:r>
    </w:p>
    <w:p w14:paraId="7FE1B4ED" w14:textId="0B0F63BC" w:rsidR="007A5804" w:rsidRDefault="007B7723">
      <w:pPr>
        <w:pStyle w:val="P68B1DB1-InstructionsText26"/>
        <w:numPr>
          <w:ilvl w:val="0"/>
          <w:numId w:val="233"/>
        </w:numPr>
      </w:pPr>
      <w:r>
        <w:t>Hodnoty v tomto vzore sa vykazujú ako nesplatené aj účtovné hodnoty:</w:t>
      </w:r>
    </w:p>
    <w:p w14:paraId="7FE1B4EE" w14:textId="77777777" w:rsidR="007A5804" w:rsidRDefault="007B7723">
      <w:pPr>
        <w:pStyle w:val="P68B1DB1-InstructionsText26"/>
        <w:numPr>
          <w:ilvl w:val="1"/>
          <w:numId w:val="233"/>
        </w:numPr>
      </w:pPr>
      <w:r>
        <w:t xml:space="preserve">Nesplatená suma pohľadávky alebo nástroja je súčtom istiny a vzniknutého úroku z pohľadávky alebo nástroja. Nesplatená suma sa rovná hodnote pohľadávky, ktorú veriteľ prihlási v rámci insolvenčného konania bez zohľadnenia ustanovení o započítaní platobnej neschopnosti, a nezahŕňa žiadne prémie ani zľavy zo záväzkových nástrojov. V prípadoch, keď sa v insolvenčnom konaní neprihlási žiadna pohľadávka, očakáva sa, že nesplatená suma sa rovná nule. </w:t>
      </w:r>
    </w:p>
    <w:p w14:paraId="7FE1B4EF" w14:textId="77777777" w:rsidR="007A5804" w:rsidRDefault="007B7723">
      <w:pPr>
        <w:pStyle w:val="P68B1DB1-InstructionsText26"/>
        <w:numPr>
          <w:ilvl w:val="1"/>
          <w:numId w:val="233"/>
        </w:numPr>
      </w:pPr>
      <w:r>
        <w:t xml:space="preserve">Účtovnou hodnotou je účtovná hodnota podľa vymedzenia na účely FINREP, buď podľa IFRS, alebo prípadne podľa národných GAAP. V opačnom prípade sa použijú čísla podľa schém vykazovania národných GAAP. </w:t>
      </w:r>
    </w:p>
    <w:p w14:paraId="7FE1B4F1" w14:textId="1849D60B" w:rsidR="007A5804" w:rsidRDefault="007B7723">
      <w:pPr>
        <w:pStyle w:val="P68B1DB1-InstructionsText26"/>
        <w:numPr>
          <w:ilvl w:val="0"/>
          <w:numId w:val="233"/>
        </w:numPr>
        <w:spacing w:before="0"/>
      </w:pPr>
      <w:r>
        <w:t xml:space="preserve">V tejto správe sa odkazuje na údajové body, ktoré už subjekt vykázal vo FINREP a COREP k rovnakému referenčnému dátumu a rozsahu vykazovania (pozri odkazy COREP/FINREP v pokynoch). V takom prípade vykazujúca účtovná jednotka nemusí vykazovať tieto </w:t>
      </w:r>
      <w:r>
        <w:lastRenderedPageBreak/>
        <w:t>údajové body druhýkrát. V tomto prípade sa napríklad musia vykazovať údajové body COREP/FINREP, ak bol vykazujúci subjekt oslobodený od povinností finančného alebo prudenciálneho vykazovania, pričom v takom prípade je jediným zdrojom údajov pre orgány pre riešenie krízových situácií pre tieto údajové body táto správa.</w:t>
      </w:r>
    </w:p>
    <w:p w14:paraId="7FE1B4F2" w14:textId="77777777" w:rsidR="007A5804" w:rsidRDefault="007B7723">
      <w:pPr>
        <w:pStyle w:val="P68B1DB1-Instructionsberschrift312"/>
      </w:pPr>
      <w:r>
        <w:t>Pokyny týkajúce sa konkrétnych pozícií</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7A5804"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7A5804" w:rsidRDefault="007B7723">
            <w:pPr>
              <w:pStyle w:val="P68B1DB1-TableParagraph13"/>
              <w:spacing w:before="66"/>
              <w:rPr>
                <w:rFonts w:eastAsia="Cambria"/>
              </w:rPr>
            </w:pPr>
            <w:r>
              <w:t>Stĺpce</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7A5804" w:rsidRDefault="007B7723">
            <w:pPr>
              <w:pStyle w:val="P68B1DB1-TableParagraph13"/>
              <w:spacing w:before="66"/>
              <w:ind w:right="1"/>
              <w:jc w:val="center"/>
              <w:rPr>
                <w:rFonts w:eastAsia="Cambria"/>
              </w:rPr>
            </w:pPr>
            <w:r>
              <w:t>Pokyny</w:t>
            </w:r>
          </w:p>
        </w:tc>
      </w:tr>
      <w:tr w:rsidR="007A5804"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7A5804" w:rsidRDefault="007B7723">
            <w:pPr>
              <w:pStyle w:val="P68B1DB1-TableParagraph13"/>
              <w:spacing w:before="106"/>
              <w:ind w:left="-1"/>
              <w:rPr>
                <w:rFonts w:eastAsia="Cambria"/>
                <w:b/>
              </w:rPr>
            </w:pPr>
            <w:r>
              <w:t xml:space="preserve">0010 – 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7A5804" w:rsidRDefault="007B7723">
            <w:pPr>
              <w:pStyle w:val="P68B1DB1-TableParagraph14"/>
              <w:spacing w:before="108"/>
              <w:ind w:left="85"/>
              <w:jc w:val="both"/>
            </w:pPr>
            <w:r>
              <w:t>Domácnosti</w:t>
            </w:r>
          </w:p>
          <w:p w14:paraId="7FE1B4F8" w14:textId="77777777" w:rsidR="007A5804" w:rsidRDefault="007B7723">
            <w:pPr>
              <w:pStyle w:val="P68B1DB1-TableParagraph17"/>
              <w:spacing w:before="108"/>
              <w:ind w:left="85"/>
              <w:jc w:val="both"/>
            </w:pPr>
            <w:r>
              <w:t xml:space="preserve">FINREP, príloha V časť 1 ods. 42 písm. f) </w:t>
            </w:r>
          </w:p>
          <w:p w14:paraId="7FE1B4F9" w14:textId="77777777" w:rsidR="007A5804" w:rsidRDefault="007B7723">
            <w:pPr>
              <w:pStyle w:val="P68B1DB1-TableParagraph17"/>
              <w:spacing w:before="108"/>
              <w:ind w:left="85"/>
              <w:jc w:val="both"/>
              <w:rPr>
                <w:b/>
              </w:rPr>
            </w:pPr>
            <w:r>
              <w:t>Jednotlivci alebo skupiny jednotlivcov ako spotrebitelia a výrobcovia tovarov a nefinančných služieb výhradne na svoju vlastnú konečnú spotrebu a ako výrobcovia trhových výrobkov a poskytovatelia nefinančných a finančných služieb za predpokladu, že ich činnosti nie sú činnosťami kvázikorporácií. Patria sem neziskové inštitúcie, ktoré slúžia domácnostiam a ktoré sú v zásade aktívne v produkcii netrhových výrobkov a služieb určených pre konkrétne skupiny domácností.</w:t>
            </w:r>
          </w:p>
        </w:tc>
      </w:tr>
      <w:tr w:rsidR="007A5804"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7A5804" w:rsidRDefault="007B7723">
            <w:pPr>
              <w:pStyle w:val="P68B1DB1-TableParagraph13"/>
              <w:spacing w:before="106"/>
              <w:ind w:left="-1"/>
              <w:rPr>
                <w:rFonts w:eastAsia="Cambria"/>
              </w:rPr>
            </w:pPr>
            <w:r>
              <w:t>0020 – 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7A5804" w:rsidRDefault="007B7723">
            <w:pPr>
              <w:pStyle w:val="P68B1DB1-TableParagraph14"/>
              <w:spacing w:before="108"/>
              <w:ind w:left="85"/>
              <w:jc w:val="both"/>
            </w:pPr>
            <w:r>
              <w:t>Nefinančné korporácie (MSP)</w:t>
            </w:r>
          </w:p>
          <w:p w14:paraId="7FE1B4FD" w14:textId="77777777" w:rsidR="007A5804" w:rsidRDefault="007B7723">
            <w:pPr>
              <w:pStyle w:val="P68B1DB1-TableParagraph17"/>
              <w:spacing w:before="108"/>
              <w:ind w:left="85"/>
              <w:jc w:val="both"/>
            </w:pPr>
            <w:r>
              <w:t>FINREP, príloha V časť 1 ods. 42 písm. e)</w:t>
            </w:r>
          </w:p>
          <w:p w14:paraId="7FE1B4FE" w14:textId="63A52B7A" w:rsidR="007A5804" w:rsidRDefault="007B7723">
            <w:pPr>
              <w:pStyle w:val="P68B1DB1-TableParagraph13"/>
              <w:spacing w:before="108"/>
              <w:ind w:left="85"/>
              <w:jc w:val="both"/>
              <w:rPr>
                <w:rFonts w:eastAsia="Cambria"/>
              </w:rPr>
            </w:pPr>
            <w:r>
              <w:t>Korporácie a kvázikorporácie, ktoré nevykonávajú finančné sprostredkovanie, ale v zásade sú aktívne v produkcii trhových výrobkov a nefinančných služieb podľa nariadenia Európskej centrálnej banky (EÚ) 2021/379, ktoré sú zároveň</w:t>
            </w:r>
            <w:r>
              <w:footnoteReference w:id="11"/>
            </w:r>
            <w:r>
              <w:t>definované ako malé a stredné podniky (MSP):</w:t>
            </w:r>
          </w:p>
          <w:p w14:paraId="7FE1B4FF" w14:textId="77777777"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Style w:val="FootnoteReference"/>
                <w:rFonts w:ascii="Times New Roman" w:eastAsia="Cambria" w:hAnsi="Times New Roman" w:cs="Times New Roman"/>
                <w:color w:val="1A171C"/>
              </w:rPr>
              <w:t xml:space="preserve">Hlava I, článok 2 ods. 1 </w:t>
            </w:r>
            <w:r>
              <w:rPr>
                <w:rFonts w:ascii="Times New Roman" w:eastAsia="Cambria" w:hAnsi="Times New Roman" w:cs="Times New Roman"/>
                <w:color w:val="000000" w:themeColor="text1"/>
                <w:sz w:val="20"/>
                <w:szCs w:val="20"/>
              </w:rPr>
              <w:t>prílohy k odporúčaniu Komisie zo 6. mája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príloha V časť 1 ods. 5 písm. i)</w:t>
            </w:r>
          </w:p>
          <w:p w14:paraId="7FE1B500" w14:textId="77777777" w:rsidR="007A5804" w:rsidRDefault="007B7723">
            <w:pPr>
              <w:pStyle w:val="P68B1DB1-TableParagraph17"/>
              <w:spacing w:before="108"/>
              <w:ind w:left="85"/>
              <w:jc w:val="both"/>
              <w:rPr>
                <w:rFonts w:eastAsia="Book Antiqua"/>
              </w:rPr>
            </w:pPr>
            <w:r>
              <w:t>Podniky, ktoré zamestnávajú menej než 250 osôb a ktoré majú ročný obrat nepresahujúci 50 miliónov EUR a/alebo celkovú ročnú súvahu nepresahujúcu 43 miliónov EUR.</w:t>
            </w:r>
          </w:p>
        </w:tc>
      </w:tr>
      <w:tr w:rsidR="007A5804"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7A5804" w:rsidRDefault="007B7723">
            <w:pPr>
              <w:pStyle w:val="P68B1DB1-TableParagraph13"/>
              <w:spacing w:before="106"/>
              <w:ind w:left="-1"/>
            </w:pPr>
            <w:r>
              <w:t>0030 – 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7A5804" w:rsidRDefault="007B7723">
            <w:pPr>
              <w:pStyle w:val="P68B1DB1-TableParagraph14"/>
              <w:spacing w:before="108"/>
              <w:ind w:left="85"/>
              <w:jc w:val="both"/>
            </w:pPr>
            <w:r>
              <w:t>Nefinančné korporácie (iné ako MSP)</w:t>
            </w:r>
          </w:p>
          <w:p w14:paraId="7FE1B504" w14:textId="77777777" w:rsidR="007A5804" w:rsidRDefault="007B7723">
            <w:pPr>
              <w:pStyle w:val="P68B1DB1-TableParagraph17"/>
              <w:spacing w:before="108"/>
              <w:ind w:left="85"/>
              <w:jc w:val="both"/>
            </w:pPr>
            <w:r>
              <w:t>FINREP, príloha V časť 1 ods. 42 písm. e)</w:t>
            </w:r>
          </w:p>
          <w:p w14:paraId="7FE1B505" w14:textId="53EEC701" w:rsidR="007A5804" w:rsidRDefault="007B7723">
            <w:pPr>
              <w:pStyle w:val="P68B1DB1-TableParagraph13"/>
              <w:spacing w:before="108"/>
              <w:ind w:left="85"/>
              <w:jc w:val="both"/>
              <w:rPr>
                <w:rFonts w:eastAsia="Cambria"/>
              </w:rPr>
            </w:pPr>
            <w:r>
              <w:t>Korporácie a kvázikorporácie, ktoré nevykonávajú finančné sprostredkovanie, ale v zásade sú aktívne v produkcii trhových výrobkov a nefinančných služieb podľa nariadenia Európskej centrálnej banky (EÚ) 2021/379.</w:t>
            </w:r>
          </w:p>
          <w:p w14:paraId="7FE1B506" w14:textId="77777777" w:rsidR="007A5804" w:rsidRDefault="007B7723">
            <w:pPr>
              <w:pStyle w:val="P68B1DB1-TableParagraph17"/>
              <w:spacing w:before="108"/>
              <w:ind w:left="85"/>
              <w:jc w:val="both"/>
              <w:rPr>
                <w:b/>
                <w:bCs/>
              </w:rPr>
            </w:pPr>
            <w:r>
              <w:t xml:space="preserve">Okrem „MSP“ vykázaných v stĺpci 0020. </w:t>
            </w:r>
          </w:p>
        </w:tc>
      </w:tr>
      <w:tr w:rsidR="007A5804"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7A5804" w:rsidRDefault="007B7723">
            <w:pPr>
              <w:pStyle w:val="P68B1DB1-TableParagraph13"/>
              <w:spacing w:before="106"/>
              <w:ind w:left="-1"/>
            </w:pPr>
            <w:r>
              <w:t>0040 – 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7A5804" w:rsidRDefault="007B7723">
            <w:pPr>
              <w:pStyle w:val="P68B1DB1-TableParagraph14"/>
              <w:spacing w:before="108"/>
              <w:ind w:left="85"/>
              <w:jc w:val="both"/>
            </w:pPr>
            <w:r>
              <w:t>Úverové inštitúcie</w:t>
            </w:r>
          </w:p>
          <w:p w14:paraId="7FE1B50A" w14:textId="77777777" w:rsidR="007A5804" w:rsidRDefault="007B7723">
            <w:pPr>
              <w:pStyle w:val="P68B1DB1-TableParagraph17"/>
              <w:spacing w:before="108"/>
              <w:ind w:left="85"/>
              <w:jc w:val="both"/>
            </w:pPr>
            <w:r>
              <w:t>FINREP, príloha V časť 1 ods. 42 písm. c)</w:t>
            </w:r>
          </w:p>
          <w:p w14:paraId="7FE1B50B" w14:textId="77777777" w:rsidR="007A5804" w:rsidRDefault="007B7723">
            <w:pPr>
              <w:pStyle w:val="P68B1DB1-TableParagraph13"/>
              <w:spacing w:before="108"/>
              <w:ind w:left="85"/>
              <w:jc w:val="both"/>
              <w:rPr>
                <w:b/>
                <w:bCs/>
              </w:rPr>
            </w:pPr>
            <w:r>
              <w:t>Úverové inštitúcie v zmysle článku 4 ods. 1 bodu 1 nariadenia (EÚ) č. 575/2013 a multilaterálne rozvojové banky.</w:t>
            </w:r>
          </w:p>
        </w:tc>
      </w:tr>
      <w:tr w:rsidR="007A5804"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7A5804" w:rsidRDefault="007B7723">
            <w:pPr>
              <w:pStyle w:val="P68B1DB1-TableParagraph13"/>
              <w:spacing w:before="106"/>
              <w:ind w:left="-1"/>
            </w:pPr>
            <w:r>
              <w:t>0050 – 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7A5804" w:rsidRDefault="007B7723">
            <w:pPr>
              <w:pStyle w:val="P68B1DB1-TableParagraph14"/>
              <w:spacing w:before="108"/>
              <w:ind w:left="85"/>
              <w:jc w:val="both"/>
            </w:pPr>
            <w:r>
              <w:t>Ostatné finančné korporácie</w:t>
            </w:r>
          </w:p>
          <w:p w14:paraId="7FE1B50F" w14:textId="77777777" w:rsidR="007A5804" w:rsidRDefault="007B7723">
            <w:pPr>
              <w:pStyle w:val="P68B1DB1-TableParagraph17"/>
              <w:spacing w:before="108"/>
              <w:ind w:left="85"/>
              <w:jc w:val="both"/>
            </w:pPr>
            <w:r>
              <w:t>FINREP, príloha V časť 1 ods. 42 písm. d)</w:t>
            </w:r>
          </w:p>
          <w:p w14:paraId="7FE1B510" w14:textId="06860C4E" w:rsidR="007A5804" w:rsidRDefault="007B7723">
            <w:pPr>
              <w:pStyle w:val="P68B1DB1-TableParagraph17"/>
              <w:spacing w:before="108"/>
              <w:ind w:left="85"/>
              <w:jc w:val="both"/>
              <w:rPr>
                <w:b/>
                <w:bCs/>
              </w:rPr>
            </w:pPr>
            <w:r>
              <w:t>Všetky finančné korporácie a kvázikorporácie okrem úverových inštitúcií, ako sú investičné spoločnosti, investičné fondy, poisťovne, dôchodkové fondy, podniky kolektívneho investovania a klíringové ústavy, ako aj ostatní finanční sprostredkovatelia, finančné pomocné inštitúcie, kaptívne finančné inštitúcie a požičiavatelia peňazí.</w:t>
            </w:r>
          </w:p>
        </w:tc>
      </w:tr>
      <w:tr w:rsidR="007A5804"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7A5804" w:rsidRDefault="007B7723">
            <w:pPr>
              <w:pStyle w:val="P68B1DB1-TableParagraph13"/>
              <w:spacing w:before="106"/>
              <w:ind w:left="-1"/>
            </w:pPr>
            <w:r>
              <w:lastRenderedPageBreak/>
              <w:t>0055 – 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7A5804" w:rsidRDefault="007B7723">
            <w:pPr>
              <w:pStyle w:val="P68B1DB1-TableParagraph14"/>
              <w:spacing w:before="108"/>
              <w:ind w:left="85"/>
              <w:jc w:val="both"/>
            </w:pPr>
            <w:r>
              <w:t>Z toho poisťovacie spoločnosti a penzijné fondy</w:t>
            </w:r>
          </w:p>
          <w:p w14:paraId="7FE1B514" w14:textId="77777777" w:rsidR="007A5804" w:rsidRDefault="007B7723">
            <w:pPr>
              <w:pStyle w:val="P68B1DB1-TableParagraph17"/>
              <w:spacing w:before="108"/>
              <w:ind w:left="85"/>
              <w:jc w:val="both"/>
              <w:rPr>
                <w:b/>
              </w:rPr>
            </w:pPr>
            <w:r>
              <w:t>Poisťovne, zaisťovne (podľa článku 13 ods. 1 až 6 smernice Európskeho parlamentu a Rady 2009/138/ES) a penzijné a dôchodkové fondy.</w:t>
            </w:r>
          </w:p>
        </w:tc>
      </w:tr>
      <w:tr w:rsidR="007A5804"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7A5804" w:rsidRDefault="007B7723">
            <w:pPr>
              <w:pStyle w:val="P68B1DB1-TableParagraph13"/>
              <w:spacing w:before="106"/>
              <w:ind w:left="-1"/>
            </w:pPr>
            <w:r>
              <w:t>0060 – 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7A5804" w:rsidRDefault="007B7723">
            <w:pPr>
              <w:pStyle w:val="P68B1DB1-TableParagraph14"/>
              <w:spacing w:before="108"/>
              <w:ind w:left="85"/>
              <w:jc w:val="both"/>
            </w:pPr>
            <w:r>
              <w:t>Verejná správa a centrálne banky</w:t>
            </w:r>
          </w:p>
          <w:p w14:paraId="7FE1B518" w14:textId="77777777" w:rsidR="007A5804" w:rsidRDefault="007B7723">
            <w:pPr>
              <w:pStyle w:val="P68B1DB1-TableParagraph17"/>
              <w:spacing w:before="108"/>
              <w:ind w:left="85"/>
              <w:jc w:val="both"/>
            </w:pPr>
            <w:r>
              <w:t>FINREP, príloha V časť 1 ods. 42 písm. a) a b)</w:t>
            </w:r>
          </w:p>
          <w:p w14:paraId="7FE1B519" w14:textId="77777777" w:rsidR="007A5804" w:rsidRDefault="007B7723">
            <w:pPr>
              <w:pStyle w:val="P68B1DB1-TableParagraph17"/>
              <w:spacing w:before="108"/>
              <w:ind w:left="85"/>
              <w:jc w:val="both"/>
              <w:rPr>
                <w:b/>
                <w:bCs/>
              </w:rPr>
            </w:pPr>
            <w:r>
              <w:t>Centrálne banky a ústredné vlády, štátne alebo regionálne vlády a miestne samosprávy vrátane správnych orgánov a neobchodných spoločností, ale s vylúčením verejných spoločností a súkromných spoločností vedených týmito správami, ktoré vykonávajú obchodnú činnosť (ktoré sú v závislosti od svojej činnosti vykazované ako „úverové inštitúcie“, „ostatné finančné korporácie“ alebo „nefinančné korporácie“); fondy sociálneho zabezpečenia; a medzinárodné organizácie, ako je Európska únia, Medzinárodný menový fond a Banka pre medzinárodné zúčtovanie.</w:t>
            </w:r>
          </w:p>
        </w:tc>
      </w:tr>
      <w:tr w:rsidR="007A5804"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7A5804" w:rsidRDefault="007B7723">
            <w:pPr>
              <w:pStyle w:val="P68B1DB1-TableParagraph13"/>
              <w:spacing w:before="106"/>
              <w:ind w:left="-1"/>
            </w:pPr>
            <w:r>
              <w:t>0070 – 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7A5804" w:rsidRDefault="007B7723">
            <w:pPr>
              <w:pStyle w:val="P68B1DB1-TableParagraph14"/>
              <w:spacing w:before="108"/>
              <w:ind w:left="85"/>
              <w:jc w:val="both"/>
            </w:pPr>
            <w:r>
              <w:t>Neidentifikované, kótované na obchodnom mieste</w:t>
            </w:r>
          </w:p>
          <w:p w14:paraId="7FE1B51D" w14:textId="5F92CBCC" w:rsidR="007A5804" w:rsidRDefault="007B7723">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Ak nie je známa totožnosť držiteľa cenného papiera, pretože nástroje sú kótované na obchodnom mieste podľa vymedzenia v smernici 2014/65/EÚ</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 sumy sa priradia do tohto stĺpca.</w:t>
            </w:r>
          </w:p>
        </w:tc>
      </w:tr>
      <w:tr w:rsidR="007A5804"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7A5804" w:rsidRDefault="007B7723">
            <w:pPr>
              <w:pStyle w:val="P68B1DB1-TableParagraph13"/>
              <w:spacing w:before="106"/>
              <w:ind w:left="-1"/>
            </w:pPr>
            <w:r>
              <w:t>0080 – 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7A5804" w:rsidRDefault="007B7723">
            <w:pPr>
              <w:pStyle w:val="P68B1DB1-TableParagraph14"/>
              <w:spacing w:before="108"/>
              <w:ind w:left="85"/>
              <w:jc w:val="both"/>
            </w:pPr>
            <w:r>
              <w:t>Neidentifikované, nekótované na obchodnom mieste</w:t>
            </w:r>
          </w:p>
          <w:p w14:paraId="7FE1B521" w14:textId="4FDBE5B1" w:rsidR="007A5804" w:rsidRDefault="007B7723">
            <w:pPr>
              <w:pStyle w:val="P68B1DB1-TableParagraph17"/>
              <w:spacing w:before="108"/>
              <w:ind w:left="85"/>
              <w:jc w:val="both"/>
            </w:pPr>
            <w:r>
              <w:t>Ak nie je známa totožnosť držiteľa cenného papiera a nástroje nie sú kótované na obchodnom mieste, sumy sa priradia do tohto stĺpca a nevyžaduje sa ďalšie rozdelenie podľa protistrán. Oznamujúcim subjektom sa odporúča, aby identifikovali protistrany a obmedzili používanie tohto stĺpca na minimum.</w:t>
            </w:r>
          </w:p>
        </w:tc>
      </w:tr>
      <w:tr w:rsidR="007A5804"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7A5804" w:rsidRDefault="007B7723">
            <w:pPr>
              <w:pStyle w:val="P68B1DB1-TableParagraph13"/>
              <w:spacing w:before="106"/>
              <w:ind w:left="-1"/>
            </w:pPr>
            <w:r>
              <w:t>0090 – 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7A5804" w:rsidRDefault="007B7723">
            <w:pPr>
              <w:pStyle w:val="P68B1DB1-TableParagraph14"/>
              <w:spacing w:before="108"/>
              <w:ind w:left="85"/>
              <w:jc w:val="both"/>
              <w:rPr>
                <w:bCs/>
              </w:rPr>
            </w:pPr>
            <w:r>
              <w:t>Spolu</w:t>
            </w:r>
          </w:p>
        </w:tc>
      </w:tr>
      <w:tr w:rsidR="007A5804"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7A5804" w:rsidRDefault="007B7723">
            <w:pPr>
              <w:pStyle w:val="P68B1DB1-TableParagraph13"/>
              <w:spacing w:before="106"/>
              <w:ind w:left="-1"/>
            </w:pPr>
            <w:r>
              <w:t>0100 – 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7A5804" w:rsidRDefault="007B7723">
            <w:pPr>
              <w:pStyle w:val="P68B1DB1-TableParagraph14"/>
              <w:spacing w:before="108"/>
              <w:ind w:left="85"/>
              <w:jc w:val="both"/>
            </w:pPr>
            <w:r>
              <w:t>Z toho: v rámci skupiny</w:t>
            </w:r>
          </w:p>
          <w:p w14:paraId="7FE1B528" w14:textId="1BF72D2B" w:rsidR="007A5804" w:rsidRDefault="007B7723">
            <w:pPr>
              <w:pStyle w:val="P68B1DB1-TableParagraph13"/>
              <w:spacing w:before="108"/>
              <w:ind w:left="85"/>
              <w:jc w:val="both"/>
              <w:rPr>
                <w:rFonts w:eastAsia="Times New Roman"/>
              </w:rPr>
            </w:pPr>
            <w:r>
              <w:t xml:space="preserve">Záväzky voči subjektom zahrnutým v účtovnom rozsahu konsolidácie hlavnej materskej spoločnosti (na rozdiel od prudenčného rozsahu pôsobnosti konsolidácie). </w:t>
            </w:r>
          </w:p>
        </w:tc>
      </w:tr>
      <w:tr w:rsidR="007A5804"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7A5804" w:rsidRDefault="007B7723">
            <w:pPr>
              <w:pStyle w:val="P68B1DB1-TableParagraph13"/>
              <w:spacing w:before="106"/>
              <w:ind w:left="-1"/>
            </w:pPr>
            <w:r>
              <w:t>0110 – 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7A5804" w:rsidRDefault="007B7723">
            <w:pPr>
              <w:pStyle w:val="P68B1DB1-TableParagraph14"/>
              <w:spacing w:before="108"/>
              <w:ind w:left="85"/>
              <w:jc w:val="both"/>
            </w:pPr>
            <w:r>
              <w:t>Z toho: záväzky, ktoré sa riadia právom tretej krajiny s výnimkou záväzkov v rámci skupiny</w:t>
            </w:r>
          </w:p>
          <w:p w14:paraId="7FE1B52C" w14:textId="77777777" w:rsidR="007A5804" w:rsidRDefault="007B7723">
            <w:pPr>
              <w:pStyle w:val="P68B1DB1-TableParagraph17"/>
              <w:spacing w:before="108"/>
              <w:ind w:left="85"/>
              <w:jc w:val="both"/>
            </w:pPr>
            <w:r>
              <w:t>Tieto emisie zahŕňajú hrubé sumy záväzkov, ktoré sa riadia právom tretej krajiny a/alebo ktoré emitujú subjekty skupiny usadené v tretích krajinách. Záväzky v rámci skupiny sú vylúčené.</w:t>
            </w:r>
          </w:p>
          <w:p w14:paraId="7FE1B52D" w14:textId="77777777" w:rsidR="007A5804" w:rsidRDefault="007B7723">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Ak orgán pre riešenie krízových situácií potvrdil, že podľa článku 55 ods. 3 smernice Európskeho parlamentu a Rady 2014/59/EÚ je presvedčený,</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že každé rozhodnutie orgánu pre riešenie krízových situácií odpísať alebo konvertovať záväzok by bolo účinné podľa práva danej tretej krajiny, uvedený záväzok sa v rámci tohto stĺpca nevykazuje.</w:t>
            </w:r>
          </w:p>
        </w:tc>
      </w:tr>
    </w:tbl>
    <w:p w14:paraId="7FE1B532" w14:textId="77777777" w:rsidR="007A5804" w:rsidRDefault="007A5804">
      <w:pPr>
        <w:rPr>
          <w:rFonts w:ascii="Times New Roman" w:hAnsi="Times New Roman" w:cs="Times New Roman"/>
        </w:rPr>
      </w:pPr>
    </w:p>
    <w:p w14:paraId="7FE1B533" w14:textId="77777777" w:rsidR="007A5804" w:rsidRDefault="007A5804">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7A5804"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7A5804" w:rsidRDefault="007B7723">
            <w:pPr>
              <w:pStyle w:val="P68B1DB1-TableParagraph13"/>
              <w:spacing w:before="66"/>
              <w:rPr>
                <w:rFonts w:eastAsia="Cambria"/>
              </w:rPr>
            </w:pPr>
            <w:r>
              <w:t>Riadky</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7A5804" w:rsidRDefault="007B7723">
            <w:pPr>
              <w:pStyle w:val="P68B1DB1-TableParagraph13"/>
              <w:spacing w:before="66"/>
              <w:ind w:right="1"/>
              <w:jc w:val="center"/>
              <w:rPr>
                <w:rFonts w:eastAsia="Cambria"/>
              </w:rPr>
            </w:pPr>
            <w:r>
              <w:t>Pokyny</w:t>
            </w:r>
          </w:p>
        </w:tc>
      </w:tr>
      <w:tr w:rsidR="007A5804"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7A5804" w:rsidRDefault="007B7723">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7A5804" w:rsidRDefault="007B7723">
            <w:pPr>
              <w:pStyle w:val="P68B1DB1-TableParagraph14"/>
              <w:spacing w:before="108"/>
              <w:ind w:left="85"/>
              <w:jc w:val="both"/>
            </w:pPr>
            <w:r>
              <w:t>Záväzky vylúčené zo záchrany pomocou vnútorných zdrojov</w:t>
            </w:r>
          </w:p>
          <w:p w14:paraId="7FE1B53A" w14:textId="5A5F469A" w:rsidR="007A5804" w:rsidRDefault="007B7723">
            <w:pPr>
              <w:pStyle w:val="P68B1DB1-TableParagraph17"/>
              <w:spacing w:before="108"/>
              <w:jc w:val="both"/>
            </w:pPr>
            <w:r>
              <w:t xml:space="preserve">Suma záväzkov, v prípade ktorých orgány pre riešenie krízových situácií nevykonávajú právomoci na odpísanie alebo konverziu v súlade s článkom 44 ods. 2 smernice 2014/59/EÚ. </w:t>
            </w:r>
          </w:p>
        </w:tc>
      </w:tr>
      <w:tr w:rsidR="007A5804"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7A5804" w:rsidRDefault="007B7723">
            <w:pPr>
              <w:pStyle w:val="P68B1DB1-TableParagraph13"/>
              <w:spacing w:before="106"/>
              <w:ind w:left="-1"/>
              <w:rPr>
                <w:rFonts w:eastAsia="Cambria"/>
              </w:rPr>
            </w:pPr>
            <w:r>
              <w:lastRenderedPageBreak/>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7A5804" w:rsidRDefault="007B7723">
            <w:pPr>
              <w:pStyle w:val="P68B1DB1-TableParagraph14"/>
              <w:spacing w:before="108"/>
              <w:ind w:left="85"/>
              <w:jc w:val="both"/>
            </w:pPr>
            <w:r>
              <w:t>Kryté vklady</w:t>
            </w:r>
          </w:p>
          <w:p w14:paraId="7FE1B53E" w14:textId="77777777" w:rsidR="007A5804" w:rsidRDefault="007B7723">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Suma krytých vkladov podľa vymedzenia v článku 2 ods. 1 bodu 5 smernice Európskeho parlamentu a Rady 2014/49/EÚ</w:t>
            </w:r>
            <w:r>
              <w:rPr>
                <w:rFonts w:ascii="Times New Roman" w:eastAsia="Cambria" w:hAnsi="Times New Roman" w:cs="Times New Roman"/>
                <w:color w:val="000000" w:themeColor="text1"/>
                <w:sz w:val="20"/>
                <w:szCs w:val="20"/>
              </w:rPr>
              <w:t>s</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výnimkou dočasných vysokých zostatkov podľa vymedzenia v článku 6 ods. 2 uvedenej smernice.</w:t>
            </w:r>
          </w:p>
        </w:tc>
      </w:tr>
      <w:tr w:rsidR="007A5804"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7A5804" w:rsidRDefault="007B7723">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7A5804" w:rsidRDefault="007B7723">
            <w:pPr>
              <w:pStyle w:val="P68B1DB1-TableParagraph14"/>
              <w:spacing w:before="108"/>
              <w:ind w:left="85"/>
              <w:jc w:val="both"/>
            </w:pPr>
            <w:r>
              <w:t>Zabezpečené pasíva (záväzky) – časť zabezpečená kolaterálom</w:t>
            </w:r>
          </w:p>
          <w:p w14:paraId="7FE1B542" w14:textId="14245B0A" w:rsidR="007A5804" w:rsidRDefault="007B7723">
            <w:pPr>
              <w:pStyle w:val="P68B1DB1-TableParagraph17"/>
              <w:spacing w:before="108"/>
              <w:ind w:left="85"/>
              <w:jc w:val="both"/>
            </w:pPr>
            <w:r>
              <w:t>Suma záväzkov, ako sa uvádza v článku 44 ods. 2 písm. b) smernice 2014/59/EÚ.</w:t>
            </w:r>
          </w:p>
          <w:p w14:paraId="7FE1B543" w14:textId="77777777" w:rsidR="007A5804" w:rsidRDefault="007B7723">
            <w:pPr>
              <w:pStyle w:val="P68B1DB1-TableParagraph17"/>
              <w:spacing w:before="108"/>
              <w:ind w:left="85"/>
              <w:jc w:val="both"/>
            </w:pPr>
            <w:r>
              <w:t>Zabezpečené záväzky vrátane zmlúv o repo transakciách (repoobchody), krytých dlhopisov a záväzkov vo forme finančných nástrojov, ktoré tvoria neoddeliteľnú súčasť krytého fondu a ktoré sú podľa vnútroštátneho práva zabezpečené podobným spôsobom ako kryté dlhopisy.</w:t>
            </w:r>
          </w:p>
          <w:p w14:paraId="7FE1B544" w14:textId="77777777" w:rsidR="007A5804" w:rsidRDefault="007B7723">
            <w:pPr>
              <w:pStyle w:val="P68B1DB1-TableParagraph17"/>
              <w:spacing w:before="108"/>
              <w:ind w:left="85"/>
              <w:jc w:val="both"/>
            </w:pPr>
            <w:r>
              <w:t>Ani požiadavka zabezpečiť, aby všetky zabezpečené aktíva spojené s krytým fondom krytých dlhopisov zostali nedotknuté, oddelené a mali dostatočné financovanie, ani vylúčenie v článku 44 ods. 2 písm. b) smernice 2014/59/EÚ nesmú orgánom pre riešenie krízových situácií zabrániť, aby podľa potreby vykonávali uvedené právomoci vo vzťahu k akejkoľvek časti zabezpečeného záväzku alebo záväzku, na ktorý sa zložil kolaterál, ktorý presahuje hodnotu aktív, záložného práva, zadržiavacieho práva alebo kolaterálu, voči ktorému je zabezpečený. Takáto nekrytá suma týchto zabezpečených záväzkov sa nevykazuje v tomto riadku, ale vykazuje sa v riadku 0340 s výhradou dodatočného rozdelenia.</w:t>
            </w:r>
          </w:p>
          <w:p w14:paraId="7FE1B545" w14:textId="77777777" w:rsidR="007A5804" w:rsidRDefault="007B7723">
            <w:pPr>
              <w:pStyle w:val="P68B1DB1-TableParagraph20"/>
              <w:spacing w:before="108"/>
              <w:ind w:left="85"/>
              <w:jc w:val="both"/>
              <w:rPr>
                <w:color w:val="000000" w:themeColor="text1"/>
              </w:rPr>
            </w:pPr>
            <w:r>
              <w:rPr>
                <w:color w:val="000000" w:themeColor="text1"/>
              </w:rPr>
              <w:t>Záväzky centrálnej banky, ktoré sú kryté združovaním zábezpek (</w:t>
            </w:r>
            <w:r>
              <w:rPr>
                <w:color w:val="1A171C"/>
              </w:rPr>
              <w:t>napríklad hlavné refinančné operácie, dlhodobá refinančná operácia, cieľové dlhodobejšie refinančné operácie atď.),</w:t>
            </w:r>
            <w:r>
              <w:rPr>
                <w:color w:val="000000" w:themeColor="text1"/>
              </w:rPr>
              <w:t xml:space="preserve">sa považujú za zabezpečené záväzky. </w:t>
            </w:r>
          </w:p>
        </w:tc>
      </w:tr>
      <w:tr w:rsidR="007A5804"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7A5804" w:rsidRDefault="007B7723">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7A5804" w:rsidRDefault="007B7723">
            <w:pPr>
              <w:pStyle w:val="P68B1DB1-TableParagraph14"/>
              <w:spacing w:before="108"/>
              <w:ind w:left="85"/>
              <w:jc w:val="both"/>
            </w:pPr>
            <w:r>
              <w:t>Záväzky voči klientom, ak sú chránené v prípade platobnej neschopnosti</w:t>
            </w:r>
          </w:p>
          <w:p w14:paraId="7FE1B54A" w14:textId="2F60701C" w:rsidR="007A5804" w:rsidRDefault="007B7723">
            <w:pPr>
              <w:pStyle w:val="P68B1DB1-TableParagraph17"/>
              <w:spacing w:before="108"/>
              <w:ind w:left="85"/>
              <w:jc w:val="both"/>
              <w:rPr>
                <w:b/>
                <w:bCs/>
              </w:rPr>
            </w:pPr>
            <w:r>
              <w:t>Suma záväzkov, ako sa uvádza v článku 44 ods. 2 písm. c) smernice 2014/59/EÚ.</w:t>
            </w:r>
          </w:p>
        </w:tc>
      </w:tr>
      <w:tr w:rsidR="007A5804"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7A5804" w:rsidRDefault="007B7723">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7A5804" w:rsidRDefault="007B7723">
            <w:pPr>
              <w:pStyle w:val="P68B1DB1-TableParagraph14"/>
              <w:spacing w:before="108"/>
              <w:ind w:left="85"/>
              <w:jc w:val="both"/>
            </w:pPr>
            <w:r>
              <w:t>Fiduciárne záväzky, ak sú chránené v prípade platobnej neschopnosti</w:t>
            </w:r>
          </w:p>
          <w:p w14:paraId="7FE1B54F" w14:textId="76B21996" w:rsidR="007A5804" w:rsidRDefault="007B7723">
            <w:pPr>
              <w:pStyle w:val="P68B1DB1-TableParagraph17"/>
              <w:spacing w:before="108"/>
              <w:ind w:left="85"/>
              <w:jc w:val="both"/>
              <w:rPr>
                <w:b/>
                <w:bCs/>
              </w:rPr>
            </w:pPr>
            <w:r>
              <w:t>Suma záväzkov, ako sa uvádza v článku 44 ods. 2 písm. d) smernice 2014/59/EÚ.</w:t>
            </w:r>
          </w:p>
        </w:tc>
      </w:tr>
      <w:tr w:rsidR="007A5804"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7A5804" w:rsidRDefault="007B7723">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7A5804" w:rsidRDefault="007B7723">
            <w:pPr>
              <w:pStyle w:val="P68B1DB1-TableParagraph14"/>
              <w:spacing w:before="108"/>
              <w:ind w:left="85"/>
              <w:jc w:val="both"/>
            </w:pPr>
            <w:r>
              <w:t xml:space="preserve">Záväzky inštitúcie a 7 dní </w:t>
            </w:r>
          </w:p>
          <w:p w14:paraId="7FE1B554" w14:textId="175AD873" w:rsidR="007A5804" w:rsidRDefault="007B7723">
            <w:pPr>
              <w:pStyle w:val="P68B1DB1-TableParagraph17"/>
              <w:spacing w:before="108"/>
              <w:ind w:left="85"/>
              <w:jc w:val="both"/>
              <w:rPr>
                <w:b/>
                <w:bCs/>
              </w:rPr>
            </w:pPr>
            <w:r>
              <w:t>Suma záväzkov, ako sa uvádza v článku 44 ods. 2 písm. e) smernice 2014/59/EÚ.</w:t>
            </w:r>
          </w:p>
        </w:tc>
      </w:tr>
      <w:tr w:rsidR="007A5804"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7A5804" w:rsidRDefault="007B7723">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7A5804" w:rsidRDefault="007B7723">
            <w:pPr>
              <w:pStyle w:val="P68B1DB1-TableParagraph14"/>
              <w:spacing w:before="108"/>
              <w:ind w:left="85"/>
              <w:jc w:val="both"/>
            </w:pPr>
            <w:r>
              <w:t>Záväzky voči systémom (prevádzkovateľom systémov) a centrálnym protistranám &lt; 7 dní</w:t>
            </w:r>
          </w:p>
          <w:p w14:paraId="7FE1B558" w14:textId="79B15273" w:rsidR="007A5804" w:rsidRDefault="007B7723">
            <w:pPr>
              <w:pStyle w:val="P68B1DB1-TableParagraph17"/>
              <w:spacing w:before="108"/>
              <w:ind w:left="85"/>
              <w:jc w:val="both"/>
              <w:rPr>
                <w:b/>
                <w:bCs/>
              </w:rPr>
            </w:pPr>
            <w:r>
              <w:t xml:space="preserve">Suma záväzkov, ako sa uvádza v článku 44 ods. 2 písm. f) smernice 2014/59/EÚ, vrátane platobných systémov a systémov vyrovnania transakcií s cennými papiermi a zúčtovacích ústavov, ako aj derivátov zúčtovávaných centrálnou protistranou so splatnosťou kratšou ako 7 dní. </w:t>
            </w:r>
          </w:p>
        </w:tc>
      </w:tr>
      <w:tr w:rsidR="007A5804"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7A5804" w:rsidRDefault="007B7723">
            <w:pPr>
              <w:pStyle w:val="P68B1DB1-TableParagraph13"/>
              <w:spacing w:before="106"/>
              <w:ind w:left="-1"/>
            </w:pPr>
            <w:r>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7A5804" w:rsidRDefault="007B7723">
            <w:pPr>
              <w:pStyle w:val="P68B1DB1-TableParagraph14"/>
              <w:spacing w:before="108"/>
              <w:ind w:left="85"/>
              <w:jc w:val="both"/>
            </w:pPr>
            <w:r>
              <w:t>Záväzky zamestnancov</w:t>
            </w:r>
          </w:p>
          <w:p w14:paraId="7FE1B55C" w14:textId="77777777" w:rsidR="007A5804" w:rsidRDefault="007B7723">
            <w:pPr>
              <w:pStyle w:val="P68B1DB1-TableParagraph17"/>
              <w:spacing w:before="108"/>
              <w:ind w:left="85"/>
              <w:jc w:val="both"/>
            </w:pPr>
            <w:r>
              <w:t>Suma záväzkov, ako sa uvádza v článku 44 ods. 2 písm. g) bode i) smernice 2014/59/EÚ.</w:t>
            </w:r>
          </w:p>
          <w:p w14:paraId="7FE1B55D" w14:textId="77777777" w:rsidR="007A5804" w:rsidRDefault="007B7723">
            <w:pPr>
              <w:pStyle w:val="P68B1DB1-TableParagraph17"/>
              <w:spacing w:before="108"/>
              <w:ind w:left="85"/>
              <w:jc w:val="both"/>
              <w:rPr>
                <w:b/>
                <w:bCs/>
              </w:rPr>
            </w:pPr>
            <w:r>
              <w:t>Záväzky voči zamestnancovi vo vzťahu k splatnej mzde, dôchodkovým dávkam alebo inej pevnej odmene s výnimkou variabilnej zložky odmeny, ktorá sa neupravuje v zákone ani v rámci kolektívneho vyjednávania. Nevzťahuje sa to však na variabilnú zložku odmeny osôb zodpovedných za podstupovanie významného rizika podľa článku 92 ods. 2 smernice 2013/36/EÚ.</w:t>
            </w:r>
          </w:p>
        </w:tc>
      </w:tr>
      <w:tr w:rsidR="007A5804"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7A5804" w:rsidRDefault="007B7723">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7A5804" w:rsidRDefault="007B7723">
            <w:pPr>
              <w:pStyle w:val="P68B1DB1-TableParagraph14"/>
              <w:spacing w:before="108"/>
              <w:ind w:left="85"/>
              <w:jc w:val="both"/>
            </w:pPr>
            <w:r>
              <w:t>Záväzky, ktoré sú kritické pre každodenné fungovanie</w:t>
            </w:r>
          </w:p>
          <w:p w14:paraId="7FE1B562" w14:textId="61C90413" w:rsidR="007A5804" w:rsidRDefault="007B7723">
            <w:pPr>
              <w:pStyle w:val="P68B1DB1-TableParagraph17"/>
              <w:spacing w:before="108"/>
              <w:ind w:left="85"/>
              <w:jc w:val="both"/>
              <w:rPr>
                <w:b/>
                <w:bCs/>
              </w:rPr>
            </w:pPr>
            <w:r>
              <w:t>Suma záväzkov, ako sa uvádza v článku 44 ods. 2 písm. g) bode ii) smernice 2014/59/EÚ.</w:t>
            </w:r>
          </w:p>
        </w:tc>
      </w:tr>
      <w:tr w:rsidR="007A5804"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7A5804" w:rsidRDefault="007B7723">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7A5804" w:rsidRDefault="007B7723">
            <w:pPr>
              <w:pStyle w:val="P68B1DB1-TableParagraph14"/>
              <w:spacing w:before="108"/>
              <w:ind w:left="85"/>
              <w:jc w:val="both"/>
            </w:pPr>
            <w:r>
              <w:t>Záväzky voči daňovým úradom a orgánom sociálneho zabezpečenia, ak sú prioritné</w:t>
            </w:r>
          </w:p>
          <w:p w14:paraId="7FE1B567" w14:textId="46841715" w:rsidR="007A5804" w:rsidRDefault="007B7723">
            <w:pPr>
              <w:pStyle w:val="P68B1DB1-TableParagraph17"/>
              <w:spacing w:before="108"/>
              <w:ind w:left="85"/>
              <w:jc w:val="both"/>
              <w:rPr>
                <w:b/>
                <w:bCs/>
              </w:rPr>
            </w:pPr>
            <w:r>
              <w:lastRenderedPageBreak/>
              <w:t>Suma záväzkov, ako sa uvádza v článku 44 ods. 2 písm. g) bode iii) smernice 2014/59/EÚ.</w:t>
            </w:r>
          </w:p>
        </w:tc>
      </w:tr>
      <w:tr w:rsidR="007A5804"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7A5804" w:rsidRDefault="007B7723">
            <w:pPr>
              <w:pStyle w:val="P68B1DB1-TableParagraph13"/>
              <w:spacing w:before="106"/>
              <w:ind w:left="-1"/>
            </w:pPr>
            <w:r>
              <w:lastRenderedPageBreak/>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7A5804" w:rsidRDefault="007B7723">
            <w:pPr>
              <w:pStyle w:val="P68B1DB1-TableParagraph14"/>
              <w:spacing w:before="108"/>
              <w:ind w:left="85"/>
              <w:jc w:val="both"/>
            </w:pPr>
            <w:r>
              <w:t>Záväzky voči systémom ochrany vkladov (DGS)</w:t>
            </w:r>
          </w:p>
          <w:p w14:paraId="7FE1B56C" w14:textId="69555433" w:rsidR="007A5804" w:rsidRDefault="007B7723">
            <w:pPr>
              <w:pStyle w:val="P68B1DB1-TableParagraph17"/>
              <w:spacing w:before="108"/>
              <w:ind w:left="85"/>
              <w:jc w:val="both"/>
              <w:rPr>
                <w:b/>
                <w:bCs/>
              </w:rPr>
            </w:pPr>
            <w:r>
              <w:t>Suma záväzkov, ako sa uvádza v článku 44 ods. 2 písm. g) bode iv) smernice 2014/59/EÚ.</w:t>
            </w:r>
          </w:p>
        </w:tc>
      </w:tr>
      <w:tr w:rsidR="007A5804"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7A5804" w:rsidRDefault="007B7723">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7A5804" w:rsidRDefault="007B7723">
            <w:pPr>
              <w:pStyle w:val="P68B1DB1-TableParagraph14"/>
              <w:spacing w:before="108"/>
              <w:ind w:left="85"/>
              <w:jc w:val="both"/>
            </w:pPr>
            <w:r>
              <w:t>Záväzky voči iným subjektom skupiny, ktorej krízová situácia sa rieši</w:t>
            </w:r>
          </w:p>
          <w:p w14:paraId="7FE1B570" w14:textId="77777777" w:rsidR="007A5804" w:rsidRDefault="007B7723">
            <w:pPr>
              <w:pStyle w:val="P68B1DB1-TableParagraph17"/>
              <w:spacing w:before="108"/>
              <w:ind w:left="85"/>
              <w:jc w:val="both"/>
            </w:pPr>
            <w:r>
              <w:t>Suma záväzkov, ako sa uvádza v článku 44 ods. 2 písm. h) smernice 2014/59/EÚ</w:t>
            </w:r>
          </w:p>
          <w:p w14:paraId="7FE1B571" w14:textId="098C1D7E" w:rsidR="007A5804" w:rsidRDefault="007B7723">
            <w:pPr>
              <w:pStyle w:val="P68B1DB1-TableParagraph17"/>
              <w:spacing w:before="108"/>
              <w:ind w:left="85"/>
              <w:jc w:val="both"/>
            </w:pPr>
            <w:r>
              <w:t>Ak je vylúčený záväzok derivátovým záväzkom, pozície čistých záväzkov so zohľadnením prudenciálnych pravidiel vzájomného započítavania podľa článku 429c nariadenia (EÚ) č. 575/2013 sa vykazujú pre stĺpce týkajúce sa ‚nesplatenej hodnoty‘ (ako v riadku r0334). V stĺpcoch týkajúcich sa ‚účtovnej hodnoty‘ sa vykazujú súvahové záväzky vyplývajúce z derivátov (ako v riadku r0330).</w:t>
            </w:r>
          </w:p>
          <w:p w14:paraId="7FE1B572" w14:textId="5F543301" w:rsidR="007A5804" w:rsidRDefault="007B7723">
            <w:pPr>
              <w:pStyle w:val="P68B1DB1-TableParagraph17"/>
              <w:spacing w:before="108"/>
              <w:ind w:left="85"/>
              <w:jc w:val="both"/>
            </w:pPr>
            <w:r>
              <w:t>Ak vykazujúci subjekt nie je sám identifikovaný ako subjekt, ktorého krízová situácia sa rieši, musí vykazovať len tie záväzky, na ktoré sa vzťahuje článok 44 ods. 2 písm. h) smernice o ozdravení a riešení krízových situácií bánk, ktoré sú v držbe jeho dcérskych spoločností, ktoré nie sú ani subjektmi, ktorých krízová situácia sa rieši, ale sú súčasťou tej istej skupiny, ktorej krízová situácia sa rieši, ako vykazujúci subjekt.</w:t>
            </w:r>
          </w:p>
          <w:p w14:paraId="7FE1B573" w14:textId="0A9C3B4A" w:rsidR="007A5804" w:rsidRDefault="007B7723">
            <w:pPr>
              <w:pStyle w:val="P68B1DB1-TableParagraph17"/>
              <w:spacing w:before="108"/>
              <w:ind w:left="85"/>
              <w:jc w:val="both"/>
            </w:pPr>
            <w:r>
              <w:t xml:space="preserve">Záväzky v rámci skupiny pre subjekty usadené mimo EÚ sa nevykazujú v tomto riadku podľa článku 1 ods. 1 písm. b), c) alebo d) smernice o ozdravení a riešení krízových situácií bánk, ako sa uvádza v článku 44 ods. 2 písm. h) smernice o ozdravení a riešení krízových situácií bánk. </w:t>
            </w:r>
          </w:p>
        </w:tc>
      </w:tr>
      <w:tr w:rsidR="007A5804"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7A5804" w:rsidRDefault="007B7723">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7A5804" w:rsidRDefault="007B7723">
            <w:pPr>
              <w:pStyle w:val="P68B1DB1-TableParagraph14"/>
              <w:spacing w:before="108"/>
              <w:ind w:left="85"/>
              <w:jc w:val="both"/>
            </w:pPr>
            <w:r>
              <w:t>Záväzky nevylúčené zo záchrany pomocou vnútorných zdrojov</w:t>
            </w:r>
          </w:p>
          <w:p w14:paraId="7FE1B577" w14:textId="06299840" w:rsidR="007A5804" w:rsidRDefault="007B7723">
            <w:pPr>
              <w:pStyle w:val="P68B1DB1-TableParagraph17"/>
              <w:spacing w:before="108"/>
              <w:ind w:left="85"/>
              <w:jc w:val="both"/>
              <w:rPr>
                <w:b/>
                <w:bCs/>
              </w:rPr>
            </w:pPr>
            <w:r>
              <w:t>Suma záväzkov použiteľných pri záchrane pomocou vnútorných zdrojov v zmysle vymedzenia v článku 2 ods. 1 smernice 2014/59/EÚ bode 71. Ide o súčet riadkov 0310, 0320, 0330, 0334, 0340, 0350, 0360, 0365, 0370, 0380, 0390 a 0400.</w:t>
            </w:r>
          </w:p>
        </w:tc>
      </w:tr>
      <w:tr w:rsidR="007A5804"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7A5804" w:rsidRDefault="007B7723">
            <w:pPr>
              <w:pStyle w:val="P68B1DB1-TableParagraph13"/>
              <w:spacing w:before="106"/>
              <w:ind w:left="-1"/>
            </w:pPr>
            <w:r>
              <w:t>0310 – 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7A5804" w:rsidRDefault="007B7723">
            <w:pPr>
              <w:pStyle w:val="P68B1DB1-TableParagraph14"/>
              <w:spacing w:before="108"/>
              <w:ind w:left="85"/>
              <w:jc w:val="both"/>
            </w:pPr>
            <w:r>
              <w:t>Vklady, ktoré nie sú kryté, ale sú preferenčné</w:t>
            </w:r>
          </w:p>
          <w:p w14:paraId="7FE1B57B" w14:textId="77777777" w:rsidR="007A5804" w:rsidRDefault="007B7723">
            <w:pPr>
              <w:pStyle w:val="P68B1DB1-TableParagraph17"/>
              <w:spacing w:before="108"/>
              <w:ind w:left="85"/>
              <w:jc w:val="both"/>
            </w:pPr>
            <w:r>
              <w:t>Článok 108 smernice 2014/59/EÚ</w:t>
            </w:r>
          </w:p>
          <w:p w14:paraId="7FE1B57C" w14:textId="32E4C4DA" w:rsidR="007A5804" w:rsidRDefault="007B7723">
            <w:pPr>
              <w:pStyle w:val="P68B1DB1-TableParagraph17"/>
              <w:spacing w:before="108"/>
              <w:ind w:left="85"/>
              <w:jc w:val="both"/>
              <w:rPr>
                <w:b/>
                <w:bCs/>
              </w:rPr>
            </w:pPr>
            <w:r>
              <w:t xml:space="preserve">Vklady podľa vymedzenia v článku 2 ods. 1 bode 3 smernice 2014/49/EÚ, ktoré nespĺňajú podmienky na vylúčenie zo záchrany pomocou vnútorných zdrojov [článok 44 ods. 2 písm. a) smernice 2014/59/EÚ], v prípade ktorých sa však predpokladá preferenčné zaobchádzanie v súlade s článkom 108 smernice 2014/59/EÚ. </w:t>
            </w:r>
          </w:p>
        </w:tc>
      </w:tr>
      <w:tr w:rsidR="007A5804"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7A5804" w:rsidRDefault="007B7723">
            <w:pPr>
              <w:pStyle w:val="P68B1DB1-TableParagraph13"/>
              <w:spacing w:before="106"/>
              <w:ind w:left="-1"/>
            </w:pPr>
            <w:r>
              <w:t>0320 – 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7A5804" w:rsidRDefault="007B7723">
            <w:pPr>
              <w:pStyle w:val="P68B1DB1-TableParagraph14"/>
              <w:spacing w:before="108"/>
              <w:ind w:left="85"/>
              <w:jc w:val="both"/>
            </w:pPr>
            <w:r>
              <w:t>Vklady, ktoré nie sú kryté ani preferenčné</w:t>
            </w:r>
          </w:p>
          <w:p w14:paraId="7FE1B580" w14:textId="0D609C91" w:rsidR="007A5804" w:rsidRDefault="007B7723">
            <w:pPr>
              <w:pStyle w:val="P68B1DB1-TableParagraph17"/>
              <w:spacing w:before="108"/>
              <w:ind w:left="85"/>
              <w:jc w:val="both"/>
              <w:rPr>
                <w:b/>
                <w:bCs/>
              </w:rPr>
            </w:pPr>
            <w:r>
              <w:t>Vklady podľa vymedzenia v článku 2 ods. 1 bode 3 smernice 2014/49/EÚ, ktoré nespĺňajú podmienky na vylúčenie zo záchrany pomocou vnútorných zdrojov ani na prerefenčné zaobchádzanie pri uplatňovaní článku 44 ods. 2 písm. a) alebo článku 108 smernice 2014/59/EÚ.</w:t>
            </w:r>
          </w:p>
        </w:tc>
      </w:tr>
      <w:tr w:rsidR="007A5804"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7A5804" w:rsidRDefault="007B7723">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7A5804" w:rsidRDefault="007B7723">
            <w:pPr>
              <w:pStyle w:val="P68B1DB1-TableParagraph14"/>
              <w:spacing w:before="108"/>
              <w:ind w:left="85"/>
              <w:jc w:val="both"/>
            </w:pPr>
            <w:r>
              <w:t>Súvahové záväzky vyplývajúce z derivátov</w:t>
            </w:r>
          </w:p>
          <w:p w14:paraId="625CF843" w14:textId="77777777" w:rsidR="007A5804" w:rsidRDefault="007B7723">
            <w:pPr>
              <w:pStyle w:val="P68B1DB1-TableParagraph17"/>
              <w:spacing w:before="108"/>
              <w:ind w:left="85"/>
              <w:jc w:val="both"/>
            </w:pPr>
            <w:r>
              <w:t xml:space="preserve">Účtovná hodnota záväzkov vyplývajúcich z derivátov. </w:t>
            </w:r>
          </w:p>
          <w:p w14:paraId="7FE1B584" w14:textId="17111D9E" w:rsidR="007A5804" w:rsidRDefault="007B7723">
            <w:pPr>
              <w:pStyle w:val="P68B1DB1-TableParagraph17"/>
              <w:spacing w:before="108"/>
              <w:ind w:left="85"/>
              <w:jc w:val="both"/>
              <w:rPr>
                <w:b/>
                <w:bCs/>
              </w:rPr>
            </w:pPr>
            <w:r>
              <w:t>Uveďte len hodnoty v poli „účtovná suma“.</w:t>
            </w:r>
          </w:p>
        </w:tc>
      </w:tr>
      <w:tr w:rsidR="007A5804"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7A5804" w:rsidRDefault="007B7723">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7A5804" w:rsidRDefault="007B7723">
            <w:pPr>
              <w:pStyle w:val="P68B1DB1-TableParagraph14"/>
              <w:spacing w:before="108"/>
              <w:ind w:left="85"/>
              <w:jc w:val="both"/>
            </w:pPr>
            <w:r>
              <w:t>Súčet pozícií čistých záväzkov so zreteľom na zmluvné súbory vzájomného započítavania po úpravách trhovými cenami pred kompenzáciou kolaterálu</w:t>
            </w:r>
          </w:p>
          <w:p w14:paraId="43E2EAD9" w14:textId="77777777" w:rsidR="007A5804" w:rsidRDefault="007B7723">
            <w:pPr>
              <w:pStyle w:val="P68B1DB1-TableParagraph17"/>
              <w:spacing w:before="108"/>
              <w:ind w:left="85"/>
              <w:jc w:val="both"/>
            </w:pPr>
            <w:r>
              <w:t xml:space="preserve">Štandardne súčet všetkých čistých trhových hodnôt derivátových záväzkov podľa zmluvných súborov vzájomného započítavania. Súbor vzájomného započítavania sa vykazuje len vtedy, ak čistá trhová hodnota súboru vzájomného započítavania predstavuje záväzok. Preto sa deriváty, ktoré nie sú predmetom dohôd o čistom zúčtovaní, považujú za jednotlivú zmluvu, t. j., ako keby to bol súbor vzájomného započítavania len s jedným derivátom. </w:t>
            </w:r>
          </w:p>
          <w:p w14:paraId="7FE1B588" w14:textId="07C2ADA5" w:rsidR="007A5804" w:rsidRDefault="007B7723">
            <w:pPr>
              <w:pStyle w:val="P68B1DB1-TableParagraph17"/>
              <w:spacing w:before="108"/>
              <w:ind w:left="85"/>
              <w:jc w:val="both"/>
              <w:rPr>
                <w:b/>
                <w:bCs/>
              </w:rPr>
            </w:pPr>
            <w:r>
              <w:t>Hodnoty uveďte len v poli „nesplatená suma“.</w:t>
            </w:r>
          </w:p>
        </w:tc>
      </w:tr>
      <w:tr w:rsidR="007A5804"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7A5804" w:rsidRDefault="007B7723">
            <w:pPr>
              <w:pStyle w:val="P68B1DB1-TableParagraph13"/>
              <w:spacing w:before="106"/>
              <w:ind w:left="-1"/>
            </w:pPr>
            <w:r>
              <w:lastRenderedPageBreak/>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7A5804" w:rsidRDefault="007B7723">
            <w:pPr>
              <w:pStyle w:val="P68B1DB1-TableParagraph14"/>
              <w:spacing w:before="108"/>
              <w:ind w:left="85"/>
              <w:jc w:val="both"/>
            </w:pPr>
            <w:r>
              <w:t>Súčet pozícií čistých záväzkov so zreteľom na zmluvné súbory vzájomného započítavania po úpravách trhovými cenami po kompenzácii kolaterálu</w:t>
            </w:r>
          </w:p>
          <w:p w14:paraId="5A26CA7C" w14:textId="1D9E4DD4" w:rsidR="007A5804" w:rsidRDefault="007B7723">
            <w:pPr>
              <w:pStyle w:val="P68B1DB1-TableParagraph17"/>
              <w:spacing w:before="108"/>
              <w:ind w:left="85"/>
              <w:jc w:val="both"/>
            </w:pPr>
            <w:r>
              <w:t xml:space="preserve">Ocenenie v riadku 0331 podlieha úprave o kolaterál poskytnutý na zabezpečenie tejto expozície, takže výsledkom je súčet týchto čistých trhových hodnôt po kompenzácii kolaterálu pri jeho trhovej hodnote. V tomto riadku by sa mali vykazovať len tie zmluvné súbory vzájomného započítavania, v prípade ktorých je pozícia záväzku po úpravách oceňovania trhovou hodnotou a po kompenzácii kolaterálu kladnou hodnotou [t. j. len ak je čistá trhová hodnota (c0120 Z15.00) vyššia ako hodnota čistého poskytnutého kolaterálu (c0130 Z15.00)]. </w:t>
            </w:r>
          </w:p>
          <w:p w14:paraId="7FE1B58C" w14:textId="453C45AE" w:rsidR="007A5804" w:rsidRDefault="007B7723">
            <w:pPr>
              <w:pStyle w:val="P68B1DB1-TableParagraph17"/>
              <w:spacing w:before="108"/>
              <w:ind w:left="85"/>
              <w:jc w:val="both"/>
            </w:pPr>
            <w:r>
              <w:t>Hodnoty uveďte len v poli „nesplatená suma“.</w:t>
            </w:r>
          </w:p>
        </w:tc>
      </w:tr>
      <w:tr w:rsidR="007A5804"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7A5804" w:rsidRDefault="007B7723">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7A5804" w:rsidRDefault="007B7723">
            <w:pPr>
              <w:pStyle w:val="P68B1DB1-TableParagraph14"/>
              <w:spacing w:before="108"/>
              <w:ind w:left="85"/>
              <w:jc w:val="both"/>
            </w:pPr>
            <w:r>
              <w:t>Súčet pozícií čistých záväzkov so zreteľom na zmluvné súbory vzájomného započítavania po úpravách trhovými cenami po kompenzácii kolaterálu so zahrnutím odhadovaných súm po konečnom zúčtovaní</w:t>
            </w:r>
          </w:p>
          <w:p w14:paraId="7FE1B590" w14:textId="77777777"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V súlade s delegovaným nariadením Komisie (EÚ) 2016/1401 vzťahujúcim sa</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na oceňovanie záväzkov vyplývajúcich z derivátov dodatočná suma po konečnom zúčtovaní, ktorá pokrýva výšku strát alebo nákladov, ktoré vznikli protistranám derivátu, alebo ziskov realizovaných týmito protistranami náhradou alebo nadobudnutím ekonomického ekvivalentu vecných podmienok ukončených zmlúv a práv na kúpne opcie zmluvných strán v súvislosti s ukončenými zmluvami.</w:t>
            </w:r>
          </w:p>
          <w:p w14:paraId="00480641" w14:textId="2B7C2F6F"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Odhady požadované na určenie sumy pre konečné zúčtovanie v súlade s uvedeným nariadením môžu byť v individuálnych prípadoch pomerne zložité. Preto sa namiesto nich môžu použiť náhradné hodnoty, ktoré môžu vychádzať z dostupných údajov, ako sú prudenciálne požiadavky týkajúce sa trhového rizika. Ak sa ukáže, že sumu po konečnom zúčtovaní pre derivátové záväzky nie je možné vypočítať, vykázaná suma sa rovná sume vykázanej v riadku 0332.</w:t>
            </w:r>
            <w:r>
              <w:t xml:space="preserve"> </w:t>
            </w:r>
            <w:r>
              <w:rPr>
                <w:rFonts w:ascii="Times New Roman" w:eastAsia="Cambria" w:hAnsi="Times New Roman" w:cs="Times New Roman"/>
                <w:color w:val="000000" w:themeColor="text1"/>
                <w:sz w:val="20"/>
                <w:szCs w:val="20"/>
              </w:rPr>
              <w:t>V tomto riadku by sa mali vykazovať len tie zmluvné súbory vzájomného započítavania, v prípade ktorých je pozícia záväzku po úpravách oceňovania trhovou hodnotou, po kompenzácii kolaterálu a zahrnutí odhadovaných súm po konečnom zúčtovaní kladnou hodnotou [t. j. len ak je odhadovaná výška predčasného ukončenia (c0150 Z15.00) kladná].</w:t>
            </w:r>
          </w:p>
          <w:p w14:paraId="7FE1B591" w14:textId="3F2EA3D4" w:rsidR="007A5804" w:rsidRDefault="007B7723">
            <w:pPr>
              <w:pStyle w:val="P68B1DB1-TableParagraph17"/>
              <w:spacing w:before="108"/>
              <w:ind w:left="85"/>
              <w:jc w:val="both"/>
            </w:pPr>
            <w:r>
              <w:t>Hodnoty uveďte len v poli „nesplatená suma“.</w:t>
            </w:r>
          </w:p>
        </w:tc>
      </w:tr>
      <w:tr w:rsidR="007A5804"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7A5804" w:rsidRDefault="007B7723">
            <w:pPr>
              <w:pStyle w:val="P68B1DB1-TableParagraph13"/>
              <w:spacing w:before="106"/>
              <w:ind w:left="-1"/>
            </w:pPr>
            <w:r>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7A5804" w:rsidRDefault="007B7723">
            <w:pPr>
              <w:pStyle w:val="P68B1DB1-TableParagraph14"/>
              <w:spacing w:before="108"/>
              <w:ind w:left="85"/>
              <w:jc w:val="both"/>
              <w:rPr>
                <w:bCs/>
              </w:rPr>
            </w:pPr>
            <w:r>
              <w:t>Súčet pozícií čistých záväzkov so zreteľom na prudenciálne pravidlá vzájomného započítavania</w:t>
            </w:r>
          </w:p>
          <w:p w14:paraId="225BC2D2" w14:textId="5634735D" w:rsidR="007A5804" w:rsidRDefault="007B7723">
            <w:pPr>
              <w:pStyle w:val="P68B1DB1-TableParagraph17"/>
              <w:spacing w:before="108"/>
              <w:ind w:left="85"/>
              <w:jc w:val="both"/>
            </w:pPr>
            <w:r>
              <w:t>Vykazujú sa pozície čistých záväzkov pre deriváty so zreteľom na pravidlá prudenciálneho vzájomného započítavania uvedené v článku 429 nariadenia (EÚ) č. 575/2013 (týkajúce sa výpočtu veľkosti celkovej expozície ukazovateľa finančnej páky).</w:t>
            </w:r>
          </w:p>
          <w:p w14:paraId="7FE1B595" w14:textId="1E8C2F86" w:rsidR="007A5804" w:rsidRDefault="007B7723">
            <w:pPr>
              <w:pStyle w:val="P68B1DB1-TableParagraph17"/>
              <w:spacing w:before="108"/>
              <w:ind w:left="85"/>
              <w:jc w:val="both"/>
              <w:rPr>
                <w:b/>
                <w:bCs/>
              </w:rPr>
            </w:pPr>
            <w:r>
              <w:t>Hodnoty uveďte len v poli „nesplatená suma“.</w:t>
            </w:r>
          </w:p>
        </w:tc>
      </w:tr>
      <w:tr w:rsidR="007A5804"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7A5804" w:rsidRDefault="007B7723">
            <w:pPr>
              <w:pStyle w:val="P68B1DB1-TableParagraph13"/>
              <w:spacing w:before="106"/>
              <w:ind w:left="-1"/>
            </w:pPr>
            <w:r>
              <w:t>0340 – 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7A5804" w:rsidRDefault="007B7723">
            <w:pPr>
              <w:pStyle w:val="P68B1DB1-TableParagraph14"/>
              <w:spacing w:before="108"/>
              <w:ind w:left="85"/>
              <w:jc w:val="both"/>
              <w:rPr>
                <w:bCs/>
              </w:rPr>
            </w:pPr>
            <w:r>
              <w:t>Zabezpečené záväzky nezabezpečené kolaterálom</w:t>
            </w:r>
          </w:p>
          <w:p w14:paraId="7FE1B599" w14:textId="77777777" w:rsidR="007A5804" w:rsidRDefault="007B7723">
            <w:pPr>
              <w:pStyle w:val="P68B1DB1-TableParagraph13"/>
              <w:spacing w:before="108"/>
              <w:ind w:left="85"/>
              <w:jc w:val="both"/>
              <w:rPr>
                <w:b/>
                <w:bCs/>
              </w:rPr>
            </w:pPr>
            <w:r>
              <w:t>Hodnota zabezpečených záväzkov alebo záväzkov, na ktoré sa zložil kolaterál, ktorý presahuje hodnotu aktív, záložného práva, zadržiavacieho práva alebo kolaterálu, voči ktorému je zabezpečený. Zahŕňa to časť akéhokoľvek záväzku zabezpečeného kolaterálom, ktorá je „nedostatočne zabezpečená kolaterálom“, napríklad časť krytých dlhopisov alebo repo transakcií, ktorá je nedostatočne zabezpečená kolaterálom.</w:t>
            </w:r>
          </w:p>
        </w:tc>
      </w:tr>
      <w:tr w:rsidR="007A5804"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7A5804" w:rsidRDefault="007B7723">
            <w:pPr>
              <w:pStyle w:val="P68B1DB1-TableParagraph13"/>
              <w:spacing w:before="106"/>
              <w:ind w:left="-1"/>
            </w:pPr>
            <w:r>
              <w:t>0350 – 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7A5804" w:rsidRDefault="007B7723">
            <w:pPr>
              <w:pStyle w:val="P68B1DB1-TableParagraph14"/>
              <w:spacing w:before="108"/>
              <w:ind w:left="85"/>
              <w:jc w:val="both"/>
              <w:rPr>
                <w:bCs/>
              </w:rPr>
            </w:pPr>
            <w:r>
              <w:t>Štruktúrované cenné papiere</w:t>
            </w:r>
          </w:p>
          <w:p w14:paraId="7FE1B59D" w14:textId="77777777" w:rsidR="007A5804" w:rsidRDefault="007B7723">
            <w:pPr>
              <w:pStyle w:val="P68B1DB1-TableParagraph17"/>
              <w:spacing w:before="108"/>
              <w:ind w:left="85"/>
              <w:jc w:val="both"/>
              <w:rPr>
                <w:b/>
                <w:bCs/>
              </w:rPr>
            </w:pPr>
            <w:r>
              <w:t xml:space="preserve">Štruktúrované cenné papiere sú na tento účel vymedzené ako dlhové záväzky, ktoré obsahujú vložený derivátový prvok, pričom výnosy súvisia s podkladovým aktívom alebo indexom (verejným alebo individualizovaným, ako sú akcie alebo dlhopisy, úrokové sadzby s pevným výnosom alebo </w:t>
            </w:r>
            <w:r>
              <w:lastRenderedPageBreak/>
              <w:t>úver s pevným výnosom, výmenný kurz, komodity atď.). Štruktúrované cenné papiere nezahŕňajú dlhové nástroje, ktoré obsahujú len kúpne alebo predajné opcie, t. j. hodnota nástroja nezávisí od žiadneho vloženého derivátového prvku.</w:t>
            </w:r>
          </w:p>
        </w:tc>
      </w:tr>
      <w:tr w:rsidR="007A5804"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7A5804" w:rsidRDefault="007B7723">
            <w:pPr>
              <w:pStyle w:val="P68B1DB1-TableParagraph13"/>
              <w:spacing w:before="106"/>
              <w:ind w:left="-1"/>
            </w:pPr>
            <w:r>
              <w:lastRenderedPageBreak/>
              <w:t>0360 – 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7A5804" w:rsidRDefault="007B7723">
            <w:pPr>
              <w:pStyle w:val="P68B1DB1-TableParagraph14"/>
              <w:spacing w:before="108"/>
              <w:ind w:left="85"/>
              <w:jc w:val="both"/>
              <w:rPr>
                <w:bCs/>
              </w:rPr>
            </w:pPr>
            <w:r>
              <w:t>Nadriadené nezabezpečené záväzky</w:t>
            </w:r>
          </w:p>
          <w:p w14:paraId="7FE1B5A1" w14:textId="2515816B" w:rsidR="007A5804" w:rsidRDefault="007B7723">
            <w:pPr>
              <w:pStyle w:val="P68B1DB1-TableParagraph17"/>
              <w:spacing w:before="108"/>
              <w:ind w:left="85"/>
              <w:jc w:val="both"/>
              <w:rPr>
                <w:b/>
                <w:bCs/>
              </w:rPr>
            </w:pPr>
            <w:r>
              <w:t>Patria sem všetky nadriadené nezabezpečené nástroje, ktoré nie sú zahrnuté do kategórie štruktúrovaných cenných papierov.</w:t>
            </w:r>
          </w:p>
        </w:tc>
      </w:tr>
      <w:tr w:rsidR="007A5804"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7A5804" w:rsidRDefault="007B7723">
            <w:pPr>
              <w:pStyle w:val="P68B1DB1-TableParagraph13"/>
              <w:spacing w:before="106"/>
              <w:ind w:left="-1"/>
            </w:pPr>
            <w:r>
              <w:t>0365 – 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7A5804" w:rsidRDefault="007B7723">
            <w:pPr>
              <w:pStyle w:val="P68B1DB1-TableParagraph14"/>
              <w:spacing w:before="108"/>
              <w:ind w:left="85"/>
              <w:jc w:val="both"/>
            </w:pPr>
            <w:r>
              <w:t>Nadriadené záväzky bez prioritného postavenia</w:t>
            </w:r>
          </w:p>
          <w:p w14:paraId="7FE1B5A5" w14:textId="77777777" w:rsidR="007A5804" w:rsidRDefault="007B7723">
            <w:pPr>
              <w:pStyle w:val="P68B1DB1-TableParagraph13"/>
              <w:spacing w:before="108"/>
              <w:ind w:left="85"/>
              <w:jc w:val="both"/>
            </w:pPr>
            <w:r>
              <w:t>Výška ktorýchkoľvek z týchto záväzkov:</w:t>
            </w:r>
          </w:p>
          <w:p w14:paraId="7FE1B5A6" w14:textId="51806099" w:rsidR="007A5804" w:rsidRDefault="007B7723">
            <w:pPr>
              <w:pStyle w:val="P68B1DB1-TableParagraph13"/>
              <w:numPr>
                <w:ilvl w:val="0"/>
                <w:numId w:val="69"/>
              </w:numPr>
              <w:spacing w:before="108"/>
              <w:jc w:val="both"/>
            </w:pPr>
            <w:r>
              <w:t xml:space="preserve">Nezabezpečené pohľadávky vyplývajúce z dlhových nástrojov, ktoré spĺňajú podmienky stanovené v článku 108 smernice 2014/59/EÚ ods. 2 písm. a), b) a c) a odseku 3; </w:t>
            </w:r>
          </w:p>
          <w:p w14:paraId="7FE1B5A7" w14:textId="77777777" w:rsidR="007A5804" w:rsidRDefault="007B7723">
            <w:pPr>
              <w:pStyle w:val="P68B1DB1-TableParagraph13"/>
              <w:numPr>
                <w:ilvl w:val="0"/>
                <w:numId w:val="69"/>
              </w:numPr>
              <w:spacing w:before="108"/>
              <w:jc w:val="both"/>
            </w:pPr>
            <w:r>
              <w:t>Nezabezpečené pohľadávky vyplývajúce z dlhových nástrojov uvedené v článku 108 ods. 5 písm. b) prvom pododseku smernice 2014/59/EÚ; alebo﻿</w:t>
            </w:r>
          </w:p>
          <w:p w14:paraId="7FE1B5A8" w14:textId="77777777" w:rsidR="007A5804" w:rsidRDefault="007B7723">
            <w:pPr>
              <w:pStyle w:val="P68B1DB1-TableParagraph13"/>
              <w:numPr>
                <w:ilvl w:val="0"/>
                <w:numId w:val="69"/>
              </w:numPr>
              <w:spacing w:before="108"/>
              <w:jc w:val="both"/>
            </w:pPr>
            <w:r>
              <w:t>Dlhové nástroje s najnižším stupňom prioritou patriace medzi bežné nezabezpečené pohľadávky vyplývajúce z dlhových nástrojov uvedené v článku 108 ods. 7 smernice 2014/59/EÚ, pri ktorých členský štát v súlade s uvedeným odsekom stanovil, že majú rovnakú stupeň priority ako pohľadávky, ktoré spĺňajú podmienky článku 108 ods. 2 písm. a), b) a c) a článku 108 ods. 3 smernice 2014/59/EÚ.</w:t>
            </w:r>
          </w:p>
        </w:tc>
      </w:tr>
      <w:tr w:rsidR="007A5804"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7A5804" w:rsidRDefault="007B7723">
            <w:pPr>
              <w:pStyle w:val="P68B1DB1-TableParagraph13"/>
              <w:spacing w:before="106"/>
              <w:ind w:left="-1"/>
            </w:pPr>
            <w:r>
              <w:t>0370 – 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7A5804" w:rsidRDefault="007B7723">
            <w:pPr>
              <w:pStyle w:val="P68B1DB1-TableParagraph14"/>
              <w:spacing w:before="108"/>
              <w:ind w:left="85"/>
              <w:jc w:val="both"/>
              <w:rPr>
                <w:bCs/>
              </w:rPr>
            </w:pPr>
            <w:r>
              <w:t>Podriadené záväzky (nevykázané ako vlastné zdroje)</w:t>
            </w:r>
          </w:p>
          <w:p w14:paraId="7FE1B5AC" w14:textId="77777777" w:rsidR="007A5804" w:rsidRDefault="007B7723">
            <w:pPr>
              <w:pStyle w:val="P68B1DB1-TableParagraph17"/>
              <w:spacing w:before="108"/>
              <w:ind w:left="85"/>
              <w:jc w:val="both"/>
            </w:pPr>
            <w:r>
              <w:t>Záväzky, ktoré budú podľa vnútroštátneho konkurzného práva splatené až po úplnom splatení všetkých tried pohľadávok bežných veriteľov a nadriadených veriteľov bez prioritného postavenia. Patria sem zmluvné podriadené záväzky, ako aj záväzky podriadené zo zákona. V prípade holdingových spoločností sa v tejto kategórii môžu vykazovať aj nepodriadené dlhové cenné papiere (t. j. štrukturálna podriadenosť).</w:t>
            </w:r>
          </w:p>
          <w:p w14:paraId="7FE1B5AD" w14:textId="77777777" w:rsidR="007A5804" w:rsidRDefault="007B7723">
            <w:pPr>
              <w:pStyle w:val="P68B1DB1-TableParagraph17"/>
              <w:spacing w:before="108"/>
              <w:ind w:left="85"/>
              <w:jc w:val="both"/>
            </w:pPr>
            <w:r>
              <w:t xml:space="preserve">Do tejto kategórie patria len podriadené nástroje, ktoré nie sú vykázané ako vlastné zdroje. </w:t>
            </w:r>
          </w:p>
          <w:p w14:paraId="7FE1B5AE" w14:textId="77777777" w:rsidR="007A5804" w:rsidRDefault="007B7723">
            <w:pPr>
              <w:pStyle w:val="P68B1DB1-TableParagraph17"/>
              <w:spacing w:before="108"/>
              <w:ind w:left="85"/>
              <w:jc w:val="both"/>
              <w:rPr>
                <w:b/>
                <w:bCs/>
              </w:rPr>
            </w:pPr>
            <w:r>
              <w:t xml:space="preserve">Tento riadok zahŕňa aj tú časť podriadených záväzkov, ktorá sa v zásade kvalifikuje ako vlastné zdroje, ale ktorá sa nezahŕňa do vlastných zdrojov z dôvodu ustanovení o postupnom vyradení podľa článku 64 nariadenia (EÚ) č. 575/2013 (zostatková splatnosť) alebo časti 10 nariadenia (EÚ) č. 575/2013 (vplyv zachovania predchádzajúceho stavu). </w:t>
            </w:r>
          </w:p>
        </w:tc>
      </w:tr>
      <w:tr w:rsidR="007A5804"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7A5804" w:rsidRDefault="007B7723">
            <w:pPr>
              <w:pStyle w:val="P68B1DB1-TableParagraph13"/>
              <w:spacing w:before="106"/>
              <w:ind w:left="-1"/>
            </w:pPr>
            <w:r>
              <w:t>0380 – 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7A5804" w:rsidRDefault="007B7723">
            <w:pPr>
              <w:pStyle w:val="P68B1DB1-TableParagraph14"/>
              <w:spacing w:before="108"/>
              <w:ind w:left="85"/>
              <w:jc w:val="both"/>
              <w:rPr>
                <w:bCs/>
              </w:rPr>
            </w:pPr>
            <w:r>
              <w:t>Iné oprávnené záväzky pre MREL</w:t>
            </w:r>
          </w:p>
          <w:p w14:paraId="7FE1B5B2" w14:textId="4506AA1E" w:rsidR="007A5804" w:rsidRDefault="007B7723">
            <w:pPr>
              <w:pStyle w:val="P68B1DB1-TableParagraph13"/>
              <w:spacing w:before="108"/>
              <w:ind w:left="85"/>
              <w:jc w:val="both"/>
              <w:rPr>
                <w:b/>
                <w:bCs/>
              </w:rPr>
            </w:pPr>
            <w:r>
              <w:t>Suma záväzkov, ktorá je oprávnená na účely splnenia požiadavky článku 45 smernice 2014/59/EÚ vykazujúcim subjektom v súlade s jej článkom 45e alebo prípadne článkom 45f, ale nie je zachytená v riadkoch 0320 a 0340 až 0370.</w:t>
            </w:r>
          </w:p>
        </w:tc>
      </w:tr>
      <w:tr w:rsidR="007A5804"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7A5804" w:rsidRDefault="007B7723">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7A5804" w:rsidRDefault="007B7723">
            <w:pPr>
              <w:pStyle w:val="P68B1DB1-TableParagraph14"/>
              <w:spacing w:before="108"/>
              <w:ind w:left="85"/>
              <w:jc w:val="both"/>
              <w:rPr>
                <w:bCs/>
              </w:rPr>
            </w:pPr>
            <w:r>
              <w:t>Nefinančné záväzky</w:t>
            </w:r>
          </w:p>
          <w:p w14:paraId="7FE1B5B6" w14:textId="2BB92741" w:rsidR="007A5804" w:rsidRDefault="007B7723">
            <w:pPr>
              <w:pStyle w:val="P68B1DB1-TableParagraph17"/>
              <w:spacing w:before="108"/>
              <w:ind w:left="85"/>
              <w:jc w:val="both"/>
              <w:rPr>
                <w:b/>
                <w:bCs/>
              </w:rPr>
            </w:pPr>
            <w:r>
              <w:t xml:space="preserve">Suma záväzkov, ktoré sa nepovažujú za finančné záväzky v súlade s uplatniteľným účtovným rámcom, ako sú rezervy týkajúce sa súdnych sporov, ktorým účtovná jednotka podlieha. </w:t>
            </w:r>
          </w:p>
        </w:tc>
      </w:tr>
      <w:tr w:rsidR="007A5804"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7A5804" w:rsidRDefault="007B7723">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7A5804" w:rsidRDefault="007B7723">
            <w:pPr>
              <w:pStyle w:val="P68B1DB1-TableParagraph14"/>
              <w:spacing w:before="108"/>
              <w:ind w:left="85"/>
              <w:jc w:val="both"/>
              <w:rPr>
                <w:bCs/>
              </w:rPr>
            </w:pPr>
            <w:r>
              <w:t>Zostatkové záväzky</w:t>
            </w:r>
          </w:p>
          <w:p w14:paraId="7FE1B5BA" w14:textId="66DA2802" w:rsidR="007A5804" w:rsidRDefault="007B7723">
            <w:pPr>
              <w:pStyle w:val="P68B1DB1-TableParagraph17"/>
              <w:spacing w:before="108"/>
              <w:ind w:left="85"/>
              <w:jc w:val="both"/>
              <w:rPr>
                <w:b/>
                <w:bCs/>
              </w:rPr>
            </w:pPr>
            <w:r>
              <w:t xml:space="preserve">Hodnota záväzkov, ktorá sa nevykazuje v riadkoch 0100 až 0390. </w:t>
            </w:r>
          </w:p>
        </w:tc>
      </w:tr>
      <w:tr w:rsidR="007A5804"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7A5804" w:rsidRDefault="007B7723">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7A5804" w:rsidRDefault="007B7723">
            <w:pPr>
              <w:pStyle w:val="P68B1DB1-TableParagraph14"/>
              <w:spacing w:before="108"/>
              <w:ind w:left="85"/>
              <w:jc w:val="both"/>
            </w:pPr>
            <w:r>
              <w:t>Vlastné zdroje</w:t>
            </w:r>
          </w:p>
          <w:p w14:paraId="7FE1B5BE" w14:textId="77777777" w:rsidR="007A5804" w:rsidRDefault="007B7723">
            <w:pPr>
              <w:pStyle w:val="P68B1DB1-TableParagraph17"/>
              <w:spacing w:before="108"/>
              <w:ind w:left="85"/>
              <w:jc w:val="both"/>
            </w:pPr>
            <w:r>
              <w:t>Článok 4 ods. 1 bod 118 a článok 72 nariadenia (EÚ) č. 575/2013</w:t>
            </w:r>
          </w:p>
          <w:p w14:paraId="7FE1B5BF" w14:textId="77777777" w:rsidR="007A5804" w:rsidRDefault="007B7723">
            <w:pPr>
              <w:pStyle w:val="P68B1DB1-TableParagraph17"/>
              <w:spacing w:before="108"/>
              <w:ind w:left="85"/>
              <w:jc w:val="both"/>
            </w:pPr>
            <w:r>
              <w:t>Rovnaké vymedzenie ako na účely COREP (OF): S. C 01.00;010;010 —</w:t>
            </w:r>
          </w:p>
        </w:tc>
      </w:tr>
      <w:tr w:rsidR="007A5804"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7A5804" w:rsidRDefault="007B7723">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7A5804" w:rsidRDefault="007B7723">
            <w:pPr>
              <w:pStyle w:val="P68B1DB1-TableParagraph14"/>
              <w:spacing w:before="108"/>
              <w:ind w:left="85"/>
              <w:jc w:val="both"/>
              <w:rPr>
                <w:bCs/>
              </w:rPr>
            </w:pPr>
            <w:r>
              <w:t>Vlastný kapitál Tier 1</w:t>
            </w:r>
          </w:p>
          <w:p w14:paraId="7FE1B5C3" w14:textId="77777777" w:rsidR="007A5804" w:rsidRDefault="007B7723">
            <w:pPr>
              <w:pStyle w:val="P68B1DB1-TableParagraph17"/>
              <w:spacing w:before="108"/>
              <w:ind w:left="85"/>
              <w:jc w:val="both"/>
            </w:pPr>
            <w:r>
              <w:t>Článok 50 nariadenia (EÚ) č. 575/2013</w:t>
            </w:r>
          </w:p>
          <w:p w14:paraId="7FE1B5C4" w14:textId="77777777" w:rsidR="007A5804" w:rsidRDefault="007B7723">
            <w:pPr>
              <w:pStyle w:val="P68B1DB1-TableParagraph17"/>
              <w:spacing w:before="108"/>
              <w:ind w:left="85"/>
              <w:jc w:val="both"/>
              <w:rPr>
                <w:b/>
                <w:bCs/>
              </w:rPr>
            </w:pPr>
            <w:r>
              <w:lastRenderedPageBreak/>
              <w:t>Rovnaké vymedzenie ako na účely COREP (OF): S. C 01.00;020;010 —</w:t>
            </w:r>
          </w:p>
        </w:tc>
      </w:tr>
      <w:tr w:rsidR="007A5804"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7A5804" w:rsidRDefault="007B7723">
            <w:pPr>
              <w:pStyle w:val="P68B1DB1-TableParagraph13"/>
              <w:spacing w:before="106"/>
              <w:ind w:left="-1"/>
            </w:pPr>
            <w:r>
              <w:lastRenderedPageBreak/>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7A5804" w:rsidRDefault="007B7723">
            <w:pPr>
              <w:pStyle w:val="P68B1DB1-TableParagraph14"/>
              <w:spacing w:before="108"/>
              <w:ind w:left="85"/>
              <w:jc w:val="both"/>
              <w:rPr>
                <w:bCs/>
              </w:rPr>
            </w:pPr>
            <w:r>
              <w:t>Z toho: kapitálové nástroje/akciový kapitál</w:t>
            </w:r>
          </w:p>
          <w:p w14:paraId="7FE1B5C8" w14:textId="77777777" w:rsidR="007A5804" w:rsidRDefault="007B7723">
            <w:pPr>
              <w:pStyle w:val="P68B1DB1-TableParagraph17"/>
              <w:spacing w:before="108"/>
              <w:ind w:left="85"/>
              <w:jc w:val="both"/>
            </w:pPr>
            <w:r>
              <w:t>Právne nástroje, ktoré predstavujú kapitál (časť kapitálu) CET1 vo forme kapitálových nástrojov/akciového kapitálu</w:t>
            </w:r>
          </w:p>
          <w:p w14:paraId="7FE1B5C9" w14:textId="5A3DBB27" w:rsidR="007A5804" w:rsidRDefault="007B7723">
            <w:pPr>
              <w:pStyle w:val="P68B1DB1-TableParagraph13"/>
              <w:spacing w:before="108"/>
              <w:ind w:left="85"/>
              <w:jc w:val="both"/>
            </w:pPr>
            <w:r>
              <w:t>Účtovná hodnota (FINREP F01.03 – 020 – 010 + F01.03 – 040) sa chápe ako nominálna hodnota nástrojov, zatiaľ čo nesplatená suma predstavuje zostatkovú pohľadávku z akcií na celkovom účtovnom vlastnom imaní, t. j. vrátane rezerv účtovnej jednotky/skupiny.</w:t>
            </w:r>
          </w:p>
        </w:tc>
      </w:tr>
      <w:tr w:rsidR="007A5804"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7A5804" w:rsidRDefault="007B7723">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7A5804" w:rsidRDefault="007B7723">
            <w:pPr>
              <w:pStyle w:val="P68B1DB1-TableParagraph14"/>
              <w:spacing w:before="108"/>
              <w:ind w:left="85"/>
              <w:jc w:val="both"/>
              <w:rPr>
                <w:bCs/>
              </w:rPr>
            </w:pPr>
            <w:r>
              <w:t>Z toho: nástroje s rovnakým postavením ako kmeňové akcie</w:t>
            </w:r>
          </w:p>
          <w:p w14:paraId="7FE1B5CD" w14:textId="0D41ACA0" w:rsidR="007A5804" w:rsidRDefault="007B7723">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Právne nástroje, ktoré predstavujú vlastné zdroje (časť vlastných zdrojov) CET1 vo forme iných nástrojov ako kapitálové nástroje/akciový kapitál, ktoré sú však rovnocenné s touto kategóriou.</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Nerozdelené zisky a rezervy sa nevykazujú v tomto riadku.</w:t>
            </w:r>
            <w:bookmarkEnd w:id="57"/>
          </w:p>
        </w:tc>
      </w:tr>
      <w:tr w:rsidR="007A5804"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7A5804" w:rsidRDefault="007B7723">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7A5804" w:rsidRDefault="007B7723">
            <w:pPr>
              <w:pStyle w:val="P68B1DB1-TableParagraph14"/>
              <w:spacing w:before="108"/>
              <w:ind w:left="85"/>
              <w:jc w:val="both"/>
              <w:rPr>
                <w:bCs/>
              </w:rPr>
            </w:pPr>
            <w:r>
              <w:t>Dodatočný kapitál Tier 1</w:t>
            </w:r>
          </w:p>
          <w:p w14:paraId="7FE1B5D1" w14:textId="77777777" w:rsidR="007A5804" w:rsidRDefault="007B7723">
            <w:pPr>
              <w:pStyle w:val="P68B1DB1-TableParagraph17"/>
              <w:spacing w:before="108"/>
              <w:ind w:left="85"/>
              <w:jc w:val="both"/>
            </w:pPr>
            <w:r>
              <w:t>Článok 61 nariadenia (EÚ) č. 575/2013</w:t>
            </w:r>
          </w:p>
          <w:p w14:paraId="7FE1B5D2" w14:textId="77777777" w:rsidR="007A5804" w:rsidRDefault="007B7723">
            <w:pPr>
              <w:pStyle w:val="P68B1DB1-TableParagraph17"/>
              <w:spacing w:before="108"/>
              <w:ind w:left="85"/>
              <w:jc w:val="both"/>
              <w:rPr>
                <w:b/>
                <w:bCs/>
              </w:rPr>
            </w:pPr>
            <w:r>
              <w:t>Rovnaké vymedzenie ako na účely COREP (OF): S. C 01.00;530;010 —</w:t>
            </w:r>
          </w:p>
        </w:tc>
      </w:tr>
      <w:tr w:rsidR="007A5804"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7A5804" w:rsidRDefault="007B7723">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7A5804" w:rsidRDefault="007B7723">
            <w:pPr>
              <w:pStyle w:val="P68B1DB1-TableParagraph14"/>
              <w:spacing w:before="108"/>
              <w:ind w:left="85"/>
              <w:jc w:val="both"/>
              <w:rPr>
                <w:bCs/>
              </w:rPr>
            </w:pPr>
            <w:r>
              <w:t>Z toho: (časť) podriadených záväzkov vykázaných ako vlastné zdroje</w:t>
            </w:r>
          </w:p>
          <w:p w14:paraId="7FE1B5D6" w14:textId="77777777" w:rsidR="007A5804" w:rsidRDefault="007B7723">
            <w:pPr>
              <w:pStyle w:val="P68B1DB1-TableParagraph17"/>
              <w:spacing w:before="108"/>
              <w:ind w:left="85"/>
              <w:jc w:val="both"/>
              <w:rPr>
                <w:b/>
                <w:bCs/>
              </w:rPr>
            </w:pPr>
            <w:r>
              <w:t>Právne nástroje, ktoré predstavujú dodatočný kapitál Tier 1, prípadne jeho časť.</w:t>
            </w:r>
          </w:p>
        </w:tc>
      </w:tr>
      <w:tr w:rsidR="007A5804"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7A5804" w:rsidRDefault="007B7723">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7A5804" w:rsidRDefault="007B7723">
            <w:pPr>
              <w:pStyle w:val="P68B1DB1-TableParagraph14"/>
              <w:spacing w:before="108"/>
              <w:ind w:left="85"/>
              <w:jc w:val="both"/>
              <w:rPr>
                <w:bCs/>
              </w:rPr>
            </w:pPr>
            <w:r>
              <w:t>Kapitál Tier 2</w:t>
            </w:r>
          </w:p>
          <w:p w14:paraId="7FE1B5DA" w14:textId="77777777" w:rsidR="007A5804" w:rsidRDefault="007B7723">
            <w:pPr>
              <w:pStyle w:val="P68B1DB1-TableParagraph17"/>
              <w:spacing w:before="108"/>
              <w:ind w:left="85"/>
              <w:jc w:val="both"/>
            </w:pPr>
            <w:r>
              <w:t>Článok 71 nariadenia (EÚ) č. 575/2013</w:t>
            </w:r>
          </w:p>
          <w:p w14:paraId="7FE1B5DB" w14:textId="77777777" w:rsidR="007A5804" w:rsidRDefault="007B7723">
            <w:pPr>
              <w:pStyle w:val="P68B1DB1-TableParagraph17"/>
              <w:spacing w:before="108"/>
              <w:ind w:left="85"/>
              <w:jc w:val="both"/>
              <w:rPr>
                <w:b/>
                <w:bCs/>
              </w:rPr>
            </w:pPr>
            <w:r>
              <w:t>Rovnaké vymedzenie ako na účely COREP (OF): S. C 01.00;750;010 —</w:t>
            </w:r>
          </w:p>
        </w:tc>
      </w:tr>
      <w:tr w:rsidR="007A5804"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7A5804" w:rsidRDefault="007B7723">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7A5804" w:rsidRDefault="007B7723">
            <w:pPr>
              <w:pStyle w:val="P68B1DB1-TableParagraph14"/>
              <w:spacing w:before="108"/>
              <w:ind w:left="85"/>
              <w:jc w:val="both"/>
              <w:rPr>
                <w:bCs/>
              </w:rPr>
            </w:pPr>
            <w:r>
              <w:t>Z toho: (časť) podriadených záväzkov vykázaných ako vlastné zdroje</w:t>
            </w:r>
          </w:p>
          <w:p w14:paraId="7FE1B5DF" w14:textId="77777777" w:rsidR="007A5804" w:rsidRDefault="007B7723">
            <w:pPr>
              <w:pStyle w:val="P68B1DB1-TableParagraph17"/>
              <w:spacing w:before="108"/>
              <w:ind w:left="85"/>
              <w:jc w:val="both"/>
              <w:rPr>
                <w:b/>
                <w:bCs/>
              </w:rPr>
            </w:pPr>
            <w:r>
              <w:t>V tomto rozdelení sa identifikujú právne nástroje, ktoré predstavujú vlastných zdrojov Tier 2, prípadne ich časť.</w:t>
            </w:r>
          </w:p>
        </w:tc>
      </w:tr>
      <w:tr w:rsidR="007A5804"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7A5804" w:rsidRDefault="007B7723">
            <w:pPr>
              <w:pStyle w:val="P68B1DB1-TableParagraph13"/>
              <w:spacing w:before="106"/>
              <w:ind w:left="-1"/>
            </w:pPr>
            <w:r>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7A5804" w:rsidRDefault="007B7723">
            <w:pPr>
              <w:pStyle w:val="P68B1DB1-TableParagraph14"/>
              <w:spacing w:before="108"/>
              <w:ind w:left="85"/>
              <w:jc w:val="both"/>
              <w:rPr>
                <w:bCs/>
              </w:rPr>
            </w:pPr>
            <w:r>
              <w:t>Celkové záväzky a vlastné zdroje vrátane derivátových záväzkov</w:t>
            </w:r>
          </w:p>
          <w:p w14:paraId="7FE1B5E3" w14:textId="77777777" w:rsidR="007A5804" w:rsidRDefault="007B7723">
            <w:pPr>
              <w:pStyle w:val="P68B1DB1-TableParagraph17"/>
              <w:spacing w:before="108"/>
              <w:ind w:left="85"/>
              <w:jc w:val="both"/>
              <w:rPr>
                <w:b/>
                <w:bCs/>
              </w:rPr>
            </w:pPr>
            <w:r>
              <w:t>Súčet všetkých záväzkov vykázaných v tomto vzore a výška regulačných vlastných zdrojov. Na tento účel sa spočítajú všetky sumy z vyššie uvedených riadkov. Pokiaľ ide o deriváty, použije sa hodnota v riadku 0334 „Súčet pozícií čistých záväzkov so zreteľom na prudenciálne pravidlá vzájomného započítavania“.</w:t>
            </w:r>
          </w:p>
        </w:tc>
      </w:tr>
      <w:tr w:rsidR="007A5804"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7A5804" w:rsidRDefault="007B7723">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7A5804" w:rsidRDefault="007B7723">
            <w:pPr>
              <w:pStyle w:val="P68B1DB1-TableParagraph14"/>
              <w:jc w:val="both"/>
              <w:rPr>
                <w:bCs/>
              </w:rPr>
            </w:pPr>
            <w:r>
              <w:t>Kapitál spolu</w:t>
            </w:r>
          </w:p>
          <w:p w14:paraId="7FE1B604" w14:textId="77777777" w:rsidR="007A5804" w:rsidRDefault="007B7723">
            <w:pPr>
              <w:pStyle w:val="P68B1DB1-Normal21"/>
              <w:spacing w:line="276" w:lineRule="auto"/>
              <w:jc w:val="both"/>
            </w:pPr>
            <w:r>
              <w:t>(FINREP F01.03 – 300 – 010) pre účtovnú hodnotu.</w:t>
            </w:r>
          </w:p>
          <w:p w14:paraId="7FE1B605" w14:textId="44D71F77" w:rsidR="007A5804" w:rsidRDefault="007B7723">
            <w:pPr>
              <w:pStyle w:val="P68B1DB1-Normal21"/>
              <w:spacing w:line="276" w:lineRule="auto"/>
              <w:jc w:val="both"/>
            </w:pPr>
            <w:r>
              <w:t>Tento súčet sa rovná celkovému vlastnému imaniu súvahy.</w:t>
            </w:r>
          </w:p>
          <w:p w14:paraId="7FE1B606" w14:textId="77777777" w:rsidR="007A5804" w:rsidRDefault="007A5804">
            <w:pPr>
              <w:pStyle w:val="TableParagraph"/>
              <w:jc w:val="both"/>
              <w:rPr>
                <w:rFonts w:ascii="Times New Roman" w:hAnsi="Times New Roman" w:cs="Times New Roman"/>
                <w:b/>
                <w:bCs/>
                <w:color w:val="000000" w:themeColor="text1"/>
                <w:sz w:val="20"/>
                <w:szCs w:val="20"/>
              </w:rPr>
            </w:pPr>
          </w:p>
        </w:tc>
      </w:tr>
    </w:tbl>
    <w:p w14:paraId="7FE1B60E" w14:textId="77777777" w:rsidR="007A5804" w:rsidRDefault="007A5804">
      <w:pPr>
        <w:rPr>
          <w:rFonts w:ascii="Times New Roman" w:hAnsi="Times New Roman" w:cs="Times New Roman"/>
        </w:rPr>
      </w:pPr>
    </w:p>
    <w:p w14:paraId="7FE1B60F" w14:textId="1DD0504B" w:rsidR="007A5804" w:rsidRDefault="007B7723">
      <w:pPr>
        <w:pStyle w:val="P68B1DB1-Instructionsberschrift25"/>
        <w:numPr>
          <w:ilvl w:val="1"/>
          <w:numId w:val="49"/>
        </w:numPr>
        <w:ind w:left="357" w:hanging="357"/>
      </w:pPr>
      <w:bookmarkStart w:id="58" w:name="_Toc492542323"/>
      <w:bookmarkStart w:id="59" w:name="_Toc81454181"/>
      <w:bookmarkStart w:id="60" w:name="_Toc208245240"/>
      <w:r>
        <w:t>Z 03.01 – Požiadavky na vlastné zdroje – úverové inštitúcie (LIAB 2)</w:t>
      </w:r>
      <w:bookmarkEnd w:id="58"/>
      <w:bookmarkEnd w:id="59"/>
      <w:bookmarkEnd w:id="60"/>
    </w:p>
    <w:p w14:paraId="7FE1B610" w14:textId="77777777" w:rsidR="007A5804" w:rsidRDefault="007B7723">
      <w:pPr>
        <w:pStyle w:val="Instructionsberschrift3"/>
      </w:pPr>
      <w:r>
        <w:t>Všeobecné poznámky</w:t>
      </w:r>
    </w:p>
    <w:p w14:paraId="7FE1B611" w14:textId="77777777" w:rsidR="007A5804" w:rsidRDefault="007B7723">
      <w:pPr>
        <w:pStyle w:val="P68B1DB1-InstructionsText26"/>
        <w:numPr>
          <w:ilvl w:val="0"/>
          <w:numId w:val="232"/>
        </w:numPr>
        <w:spacing w:before="0"/>
      </w:pPr>
      <w:r>
        <w:t>V tomto vzore sa zhromažďujú informácie o požiadavkách na vlastné zdroje pre subjekt alebo skupinu.</w:t>
      </w:r>
    </w:p>
    <w:p w14:paraId="7FE1B612" w14:textId="77777777" w:rsidR="007A5804" w:rsidRDefault="007B7723">
      <w:pPr>
        <w:pStyle w:val="P68B1DB1-InstructionsText26"/>
        <w:numPr>
          <w:ilvl w:val="0"/>
          <w:numId w:val="232"/>
        </w:numPr>
        <w:spacing w:before="0"/>
      </w:pPr>
      <w:r>
        <w:t>Vo všetkých vykázaných informáciách sa odzrkadľujú požiadavky na vlastné zdroje uplatniteľné k referenčnému dátumu vykazovania.</w:t>
      </w:r>
    </w:p>
    <w:p w14:paraId="7FE1B613" w14:textId="1B7809D4" w:rsidR="007A5804" w:rsidRDefault="007B7723">
      <w:pPr>
        <w:pStyle w:val="P68B1DB1-InstructionsText26"/>
        <w:numPr>
          <w:ilvl w:val="0"/>
          <w:numId w:val="232"/>
        </w:numPr>
        <w:spacing w:before="0"/>
      </w:pPr>
      <w:r>
        <w:lastRenderedPageBreak/>
        <w:t>Výnimočne informácie o podiele celkovej kapitálovej požiadavky SREP (TSCR) 0300 vykázané v tomto vzore vychádzajú z posledného dostupného oficiálneho rozhodnutia SREP, ktoré príslušný orgán oznámil do dátumu zasielania tejto správy.</w:t>
      </w:r>
    </w:p>
    <w:p w14:paraId="7FE1B614" w14:textId="77777777" w:rsidR="007A5804" w:rsidRDefault="007B7723">
      <w:pPr>
        <w:pStyle w:val="P68B1DB1-InstructionsText26"/>
        <w:numPr>
          <w:ilvl w:val="0"/>
          <w:numId w:val="232"/>
        </w:numPr>
        <w:spacing w:before="0"/>
      </w:pPr>
      <w:r>
        <w:t>Pri vykazovaní na konsolidovanom alebo individuálnom základe, ak subjekt už tieto údajové body vykázal vo FINREP alebo COREP k rovnakému referenčnému dátumu a rozsah vykazovania (pozri odkazy COREP/FINREP v pokynoch), vykazujúca účtovná jednotka nemusí vykazovať tieto údajové body druhýkrát. Údaje sa musia vykazovať len vtedy, ak bol vykazujúci subjekt oslobodený od povinností finančného alebo prudenciálneho vykazovania, pričom v takom prípade je jediným zdrojom údajov pre orgány pre riešenie krízových situácií pre tieto údajové body táto správa.</w:t>
      </w:r>
    </w:p>
    <w:p w14:paraId="7FE1B615" w14:textId="77777777" w:rsidR="007A5804" w:rsidRDefault="007A5804">
      <w:pPr>
        <w:pStyle w:val="InstructionsText2"/>
        <w:numPr>
          <w:ilvl w:val="0"/>
          <w:numId w:val="0"/>
        </w:numPr>
        <w:spacing w:before="0"/>
        <w:ind w:left="1440"/>
        <w:rPr>
          <w:rFonts w:ascii="Times New Roman" w:hAnsi="Times New Roman" w:cs="Times New Roman"/>
          <w:sz w:val="20"/>
          <w:szCs w:val="20"/>
        </w:rPr>
      </w:pPr>
    </w:p>
    <w:p w14:paraId="7FE1B61B" w14:textId="77777777" w:rsidR="007A5804" w:rsidRDefault="007B7723">
      <w:pPr>
        <w:pStyle w:val="Instructionsberschrift3"/>
      </w:pPr>
      <w:r>
        <w:t>Pokyny týkajúce sa konkrétnych pozícií</w:t>
      </w:r>
    </w:p>
    <w:p w14:paraId="7FE1B61C" w14:textId="77777777" w:rsidR="007A5804" w:rsidRDefault="007A5804">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7A5804"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7A5804" w:rsidRDefault="007B7723">
            <w:pPr>
              <w:pStyle w:val="P68B1DB1-TableParagraph13"/>
              <w:spacing w:before="66"/>
              <w:rPr>
                <w:rFonts w:eastAsia="Cambria"/>
              </w:rPr>
            </w:pPr>
            <w:r>
              <w:t>Riadky</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7A5804" w:rsidRDefault="007B7723">
            <w:pPr>
              <w:pStyle w:val="P68B1DB1-TableParagraph13"/>
              <w:spacing w:before="66"/>
              <w:ind w:right="1"/>
              <w:jc w:val="center"/>
              <w:rPr>
                <w:rFonts w:eastAsia="Cambria"/>
              </w:rPr>
            </w:pPr>
            <w:r>
              <w:t>Pokyny</w:t>
            </w:r>
          </w:p>
        </w:tc>
      </w:tr>
      <w:tr w:rsidR="007A5804"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7A5804" w:rsidRDefault="007B7723">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7A5804" w:rsidRDefault="007B7723">
            <w:pPr>
              <w:pStyle w:val="P68B1DB1-TableParagraph14"/>
              <w:spacing w:before="108"/>
              <w:rPr>
                <w:bCs/>
              </w:rPr>
            </w:pPr>
            <w:r>
              <w:t>Celková hodnota rizikovej expozície</w:t>
            </w:r>
          </w:p>
          <w:p w14:paraId="7FE1B622" w14:textId="77777777" w:rsidR="007A5804" w:rsidRDefault="007B7723">
            <w:pPr>
              <w:pStyle w:val="P68B1DB1-TableParagraph17"/>
              <w:spacing w:before="108"/>
            </w:pPr>
            <w:r>
              <w:t>Výška uvedená v článku 45 ods. 2 písm. a) smernice 2014/59/EÚ, vypočítaná podľa článku 92 ods. 3 nariadenia (EÚ) č. 575/2013.</w:t>
            </w:r>
          </w:p>
        </w:tc>
      </w:tr>
      <w:tr w:rsidR="007A5804"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7A5804" w:rsidRDefault="007B7723">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7A5804" w:rsidRDefault="007B7723">
            <w:pPr>
              <w:pStyle w:val="P68B1DB1-TableParagraph14"/>
              <w:spacing w:before="108"/>
              <w:jc w:val="both"/>
              <w:rPr>
                <w:bCs/>
              </w:rPr>
            </w:pPr>
            <w:r>
              <w:t>Veľkosť celkovej expozície</w:t>
            </w:r>
          </w:p>
          <w:p w14:paraId="7FE1B626" w14:textId="77777777" w:rsidR="007A5804" w:rsidRDefault="007B7723">
            <w:pPr>
              <w:pStyle w:val="P68B1DB1-TableParagraph17"/>
              <w:spacing w:before="108"/>
              <w:jc w:val="both"/>
              <w:rPr>
                <w:b/>
                <w:bCs/>
              </w:rPr>
            </w:pPr>
            <w:r>
              <w:t>Výška uvedená v článku 45 ods. 2 písm. b) smernice 2014/59/EÚ, vypočítaná v súlade s článkom 429 ods. 4 a článkom 429a nariadenia (EÚ) č. 575/2013.</w:t>
            </w:r>
          </w:p>
        </w:tc>
      </w:tr>
      <w:tr w:rsidR="007A5804"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7A5804" w:rsidRDefault="007B7723">
            <w:pPr>
              <w:pStyle w:val="P68B1DB1-TableParagraph13"/>
              <w:spacing w:before="106"/>
              <w:ind w:left="-1"/>
            </w:pPr>
            <w:r>
              <w:t>0210 – 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7A5804" w:rsidRDefault="007B7723">
            <w:pPr>
              <w:pStyle w:val="P68B1DB1-TableParagraph14"/>
              <w:spacing w:before="108"/>
              <w:jc w:val="both"/>
              <w:rPr>
                <w:bCs/>
              </w:rPr>
            </w:pPr>
            <w:r>
              <w:t>Požiadavky na počiatočný kapitál a ukazovateľ finančnej páky</w:t>
            </w:r>
          </w:p>
        </w:tc>
      </w:tr>
      <w:tr w:rsidR="007A5804"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7A5804" w:rsidRDefault="007B7723">
            <w:pPr>
              <w:pStyle w:val="P68B1DB1-TableParagraph13"/>
              <w:spacing w:before="106"/>
              <w:ind w:left="-1"/>
            </w:pPr>
            <w:r>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7A5804" w:rsidRDefault="007B7723">
            <w:pPr>
              <w:pStyle w:val="P68B1DB1-TableParagraph14"/>
              <w:spacing w:before="108"/>
              <w:jc w:val="both"/>
              <w:rPr>
                <w:bCs/>
              </w:rPr>
            </w:pPr>
            <w:r>
              <w:t>Počiatočné imanie</w:t>
            </w:r>
          </w:p>
          <w:p w14:paraId="7FE1B62D" w14:textId="77777777" w:rsidR="007A5804" w:rsidRDefault="007B7723">
            <w:pPr>
              <w:pStyle w:val="P68B1DB1-TableParagraph17"/>
              <w:spacing w:before="108"/>
              <w:jc w:val="both"/>
            </w:pPr>
            <w:r>
              <w:t>Výška referovaná v článku 12 smernice 2013/36/EÚ, článku 93 nariadenia (EÚ) č. 575/2013.</w:t>
            </w:r>
          </w:p>
          <w:p w14:paraId="7FE1B62E" w14:textId="77777777" w:rsidR="007A5804" w:rsidRDefault="007B7723">
            <w:pPr>
              <w:pStyle w:val="P68B1DB1-TableParagraph17"/>
              <w:spacing w:before="108"/>
              <w:jc w:val="both"/>
              <w:rPr>
                <w:b/>
                <w:bCs/>
              </w:rPr>
            </w:pPr>
            <w:r>
              <w:t>Výška počiatočného kapitálu požadovaná ako podmienka na získanie povolenia na začatie činnosti inštitúcie.</w:t>
            </w:r>
          </w:p>
        </w:tc>
      </w:tr>
      <w:tr w:rsidR="007A5804"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7A5804" w:rsidRDefault="007B7723">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7A5804" w:rsidRDefault="007B7723">
            <w:pPr>
              <w:pStyle w:val="P68B1DB1-TableParagraph14"/>
              <w:spacing w:before="108"/>
              <w:jc w:val="both"/>
              <w:rPr>
                <w:bCs/>
              </w:rPr>
            </w:pPr>
            <w:r>
              <w:t>Požiadavka na ukazovateľ finančnej páky</w:t>
            </w:r>
          </w:p>
          <w:p w14:paraId="7FE1B632" w14:textId="77777777" w:rsidR="007A5804" w:rsidRDefault="007B7723">
            <w:pPr>
              <w:pStyle w:val="P68B1DB1-TableParagraph13"/>
              <w:spacing w:before="108"/>
              <w:jc w:val="both"/>
            </w:pPr>
            <w:r>
              <w:t>Požiadavka na ukazovateľ finančnej páky, vynechávajúc požiadavku uvedenú v článku 92 ods. 1a) nariadenia (EÚ) č. 575/2013, ktorá sa vzťahuje na subjekt alebo skupinu, vyjadrená ako percentuálny podiel veľkosti celkovej expozície. Ak sa neuplatňuje žiadna formálna požiadavka, subjekty nechajú túto bunku prázdnu.</w:t>
            </w:r>
          </w:p>
        </w:tc>
      </w:tr>
      <w:tr w:rsidR="007A5804"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7A5804" w:rsidRDefault="007B7723">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7A5804" w:rsidRDefault="007B7723">
            <w:pPr>
              <w:pStyle w:val="P68B1DB1-TableParagraph14"/>
              <w:spacing w:before="108"/>
              <w:jc w:val="both"/>
              <w:rPr>
                <w:bCs/>
              </w:rPr>
            </w:pPr>
            <w:r>
              <w:t xml:space="preserve">Podiel celkových kapitálových požiadaviek podľa SREP (TSCR) </w:t>
            </w:r>
          </w:p>
          <w:p w14:paraId="7FE1B636" w14:textId="77777777" w:rsidR="007A5804" w:rsidRDefault="007B7723">
            <w:pPr>
              <w:pStyle w:val="P68B1DB1-TableParagraph13"/>
              <w:spacing w:before="108"/>
              <w:jc w:val="both"/>
            </w:pPr>
            <w:r>
              <w:t>COREP (OF): {C 01.00;130;010}</w:t>
            </w:r>
          </w:p>
          <w:p w14:paraId="7FE1B637" w14:textId="77777777" w:rsidR="007A5804" w:rsidRDefault="007B7723">
            <w:pPr>
              <w:pStyle w:val="P68B1DB1-InstructionsText22"/>
              <w:ind w:firstLine="0"/>
            </w:pPr>
            <w:r>
              <w:t>Súčet nasledujúcich bodov i) a ii):</w:t>
            </w:r>
          </w:p>
          <w:p w14:paraId="7FE1B638" w14:textId="77777777" w:rsidR="007A5804" w:rsidRDefault="007B7723">
            <w:pPr>
              <w:pStyle w:val="P68B1DB1-InstructionsText22"/>
              <w:numPr>
                <w:ilvl w:val="3"/>
                <w:numId w:val="49"/>
              </w:numPr>
            </w:pPr>
            <w:r>
              <w:t xml:space="preserve">celkový podiel kapitálu (8 %) špecifikovaný v článku 92 ods. 1 písm. c) nariadenia (EÚ) č. 575/2013; </w:t>
            </w:r>
          </w:p>
          <w:p w14:paraId="7FE1B639" w14:textId="77777777" w:rsidR="007A5804" w:rsidRDefault="007B7723">
            <w:pPr>
              <w:pStyle w:val="P68B1DB1-InstructionsText22"/>
              <w:numPr>
                <w:ilvl w:val="3"/>
                <w:numId w:val="49"/>
              </w:numPr>
            </w:pPr>
            <w:r>
              <w:t xml:space="preserve">podiel dodatočných požiadaviek na vlastné zdroje (požiadavky piliera 2 – P2R) určený v súlade s kritériami stanovenými v </w:t>
            </w:r>
            <w:r>
              <w:rPr>
                <w:i/>
              </w:rPr>
              <w:t xml:space="preserve">usmerneniach orgánu EBA o spoločných postupoch a metodikách preskúmania a hodnotenia orgánmi dohľadu a stresového testovania orgánmi dohľadu (usmernenia EBA podľa </w:t>
            </w:r>
            <w:r>
              <w:t>SREP).</w:t>
            </w:r>
          </w:p>
          <w:p w14:paraId="7FE1B63A" w14:textId="77777777" w:rsidR="007A5804" w:rsidRDefault="007B7723">
            <w:pPr>
              <w:pStyle w:val="P68B1DB1-InstructionsText22"/>
              <w:ind w:firstLine="0"/>
            </w:pPr>
            <w:r>
              <w:t xml:space="preserve">Táto položka odzrkadľuje najneskôr k dátumu zasielania podiel celkovej kapitálovej požiadavky SREP (TSCR), ktorý inštitúcii oznámil príslušný orgán, t. j. na účely predloženia s referenčným </w:t>
            </w:r>
            <w:r>
              <w:lastRenderedPageBreak/>
              <w:t>dátumom 31. decembra daného roka vykazuje P2R uplatniteľný v nasledujúcom roku. TSCR je vymedzená v oddiele 1.2 dokumentu EBA SREP GL.</w:t>
            </w:r>
          </w:p>
          <w:p w14:paraId="7FE1B63B" w14:textId="77777777" w:rsidR="007A5804" w:rsidRDefault="007B7723">
            <w:pPr>
              <w:pStyle w:val="P68B1DB1-InstructionsText22"/>
              <w:ind w:firstLine="0"/>
            </w:pPr>
            <w:r>
              <w:t>Ak je vykazujúci subjekt subjektom, ktorého krízová situácia sa rieši, na ktorý sa nevzťahovala dodatočná požiadavka na vlastné zdroje uvedená v článku 104a smernice 2013/36/EÚ na konsolidovanej úrovni skupiny, ktorej krízová situácia sa rieši, sa očakáva, že vykazovaná hodnota pre bod ii) bude výsledkom odhadu uvedeného v článku 1 delegovaného nariadenia Komisie (EÚ) 2021/1118, ktorý však vykazujúci subjekt vykoná predbežne.</w:t>
            </w:r>
          </w:p>
          <w:p w14:paraId="7FE1B63C" w14:textId="77777777" w:rsidR="007A5804" w:rsidRDefault="007B7723">
            <w:pPr>
              <w:pStyle w:val="P68B1DB1-TableParagraph13"/>
              <w:spacing w:before="108"/>
              <w:jc w:val="both"/>
              <w:rPr>
                <w:b/>
                <w:bCs/>
              </w:rPr>
            </w:pPr>
            <w:r>
              <w:t>Ak príslušný orgán neoznámil žiadne dodatočné požiadavky na vlastné zdroje a predchádzajúci odsek neplatí, potom sa vykáže iba bod i).</w:t>
            </w:r>
          </w:p>
        </w:tc>
      </w:tr>
      <w:tr w:rsidR="007A5804"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7A5804" w:rsidRDefault="007B7723">
            <w:pPr>
              <w:pStyle w:val="P68B1DB1-TableParagraph13"/>
              <w:spacing w:before="106"/>
              <w:ind w:left="-1"/>
            </w:pPr>
            <w:r>
              <w:lastRenderedPageBreak/>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7A5804" w:rsidRDefault="007B7723">
            <w:pPr>
              <w:pStyle w:val="P68B1DB1-TableParagraph14"/>
              <w:spacing w:before="108"/>
              <w:jc w:val="both"/>
              <w:rPr>
                <w:bCs/>
              </w:rPr>
            </w:pPr>
            <w:r>
              <w:t>Požiadavka na kombinovaný vankúš</w:t>
            </w:r>
          </w:p>
          <w:p w14:paraId="7FE1B640" w14:textId="7A5205D6" w:rsidR="007A5804" w:rsidRDefault="007B7723">
            <w:pPr>
              <w:pStyle w:val="P68B1DB1-TableParagraph13"/>
              <w:spacing w:before="108"/>
              <w:jc w:val="both"/>
            </w:pPr>
            <w:r>
              <w:t>COREP (OF): S. C 04.00;740;010S).</w:t>
            </w:r>
          </w:p>
          <w:p w14:paraId="7FE1B641" w14:textId="77777777" w:rsidR="007A5804" w:rsidRDefault="007B7723">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Požiadavka uvedená</w:t>
            </w:r>
            <w:r>
              <w:rPr>
                <w:rStyle w:val="InstructionsTabelleberschrift"/>
                <w:rFonts w:ascii="Times New Roman" w:hAnsi="Times New Roman"/>
                <w:b w:val="0"/>
                <w:color w:val="000000" w:themeColor="text1"/>
                <w:szCs w:val="20"/>
                <w:u w:val="none"/>
              </w:rPr>
              <w:t xml:space="preserve"> v</w:t>
            </w:r>
            <w:r>
              <w:rPr>
                <w:rFonts w:ascii="Times New Roman" w:eastAsia="Cambria" w:hAnsi="Times New Roman" w:cs="Times New Roman"/>
                <w:color w:val="000000" w:themeColor="text1"/>
                <w:sz w:val="20"/>
                <w:szCs w:val="20"/>
              </w:rPr>
              <w:t>článku 128 prvom pododseku bode 6 smernice 2013/36/EÚ.</w:t>
            </w:r>
          </w:p>
          <w:p w14:paraId="7FE1B642" w14:textId="37B6D097" w:rsidR="007A5804" w:rsidRDefault="007B7723">
            <w:pPr>
              <w:pStyle w:val="P68B1DB1-TableParagraph13"/>
              <w:spacing w:before="108"/>
              <w:jc w:val="both"/>
            </w:pPr>
            <w:r>
              <w:t xml:space="preserve">Ak sa rozsah riešenia krízových situácií líši od prudenciálneho rozsahu, odhad prvkov tvoriacich požiadavku na kombinovaný vankúš subjektu, ktorého krízová situácia sa rieši, na konsolidovanej úrovni skupiny, ktorej krízová situácia sa rieši, sa riadi článkom 3 ods. 1 delegovaného nariadenia Komisie (EÚ) 2021/1118, ale vykazujúci subjekt by ho mal vykonať predbežne. </w:t>
            </w:r>
          </w:p>
        </w:tc>
      </w:tr>
      <w:tr w:rsidR="007A5804"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7A5804" w:rsidRDefault="007B7723">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7A5804" w:rsidRDefault="007B7723">
            <w:pPr>
              <w:pStyle w:val="P68B1DB1-TableParagraph14"/>
              <w:spacing w:before="108"/>
              <w:jc w:val="both"/>
              <w:rPr>
                <w:bCs/>
              </w:rPr>
            </w:pPr>
            <w:r>
              <w:t>Vankúš na zachovanie kapitálu</w:t>
            </w:r>
          </w:p>
          <w:p w14:paraId="7FE1B646" w14:textId="7B6CEF6B" w:rsidR="007A5804" w:rsidRDefault="007B7723">
            <w:pPr>
              <w:pStyle w:val="P68B1DB1-TableParagraph13"/>
              <w:spacing w:before="108"/>
              <w:jc w:val="both"/>
            </w:pPr>
            <w:r>
              <w:t>[POZRI COREP (OF): S. C 04.00;750;010S).</w:t>
            </w:r>
          </w:p>
          <w:p w14:paraId="7FE1B647" w14:textId="77777777" w:rsidR="007A5804" w:rsidRDefault="007B7723">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Požiadavka uvedená v</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článku 128 bod 1 a článku 129 smernice 2013/36/EÚ.</w:t>
            </w:r>
          </w:p>
          <w:p w14:paraId="7FE1B648" w14:textId="77777777" w:rsidR="007A5804" w:rsidRDefault="007B7723">
            <w:pPr>
              <w:pStyle w:val="P68B1DB1-TableParagraph13"/>
              <w:spacing w:before="108"/>
              <w:jc w:val="both"/>
              <w:rPr>
                <w:rFonts w:eastAsia="Cambria"/>
              </w:rPr>
            </w:pPr>
            <w:r>
              <w:t>Ak sa rozsah riešenia krízových situácií líši od prudenciálneho rozsahu, odhad tejto požiadavky na vankúš subjektu, ktorého krízová situácia sa rieši, na konsolidovanej úrovni skupiny, ktorej krízová situácia sa rieši, sa riadi článkom 3 ods. 2 delegovaného nariadenia Komisie (EÚ) 2021/1118, ale vykazujúci subjekt by ho mal vykonať predbežne.</w:t>
            </w:r>
          </w:p>
        </w:tc>
      </w:tr>
      <w:tr w:rsidR="007A5804"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7A5804" w:rsidRDefault="007B7723">
            <w:pPr>
              <w:pStyle w:val="P68B1DB1-TableParagraph13"/>
              <w:spacing w:before="106"/>
              <w:ind w:left="-1"/>
            </w:pPr>
            <w:r>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7A5804" w:rsidRDefault="007B7723">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Vankúš na zachovanie z dôvodu makroprudenciálneho alebo systémového rizika identifikovaného na úrovni členského štátu</w:t>
            </w:r>
          </w:p>
          <w:p w14:paraId="7FE1B64C" w14:textId="77777777" w:rsidR="007A5804" w:rsidRDefault="007B7723">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[POZRI COREP (OF): S. C 04.00;760;010S).</w:t>
            </w:r>
          </w:p>
          <w:p w14:paraId="7FE1B64D" w14:textId="1D29CF6A" w:rsidR="007A5804" w:rsidRDefault="007B7723">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Požiadavka uvedená v</w:t>
            </w:r>
            <w:r>
              <w:rPr>
                <w:rStyle w:val="InstructionsTabelleberschrift"/>
                <w:rFonts w:ascii="Times New Roman" w:hAnsi="Times New Roman"/>
                <w:b w:val="0"/>
                <w:color w:val="000000" w:themeColor="text1"/>
                <w:szCs w:val="20"/>
                <w:u w:val="none"/>
              </w:rPr>
              <w:t xml:space="preserve"> článku 458 ods. 2 písm. d) bode vi)</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nariadenia (EÚ) č. 575/2013</w:t>
            </w:r>
          </w:p>
          <w:p w14:paraId="7FE1B64E" w14:textId="77777777" w:rsidR="007A5804" w:rsidRDefault="007B7723">
            <w:pPr>
              <w:pStyle w:val="P68B1DB1-TableParagraph13"/>
              <w:spacing w:before="108"/>
              <w:jc w:val="both"/>
              <w:rPr>
                <w:rFonts w:eastAsia="Cambria"/>
              </w:rPr>
            </w:pPr>
            <w:r>
              <w:t>Ak sa rozsah riešenia krízovej situácie líši od prudenciálneho rozsahu, vykazovaná hodnota zodpovedá vankúšu uplatniteľnému na expozície skupiny, ktorej krízová situácia sa rieši.</w:t>
            </w:r>
          </w:p>
        </w:tc>
      </w:tr>
      <w:tr w:rsidR="007A5804"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7A5804" w:rsidRDefault="007B7723">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7A5804" w:rsidRDefault="007B7723">
            <w:pPr>
              <w:pStyle w:val="P68B1DB1-TableParagraph14"/>
              <w:spacing w:before="108"/>
              <w:jc w:val="both"/>
              <w:rPr>
                <w:bCs/>
              </w:rPr>
            </w:pPr>
            <w:r>
              <w:t xml:space="preserve">Miera proticyklického kapitálového vankúša špecifického pre inštitúciu </w:t>
            </w:r>
          </w:p>
          <w:p w14:paraId="7FE1B652" w14:textId="77777777" w:rsidR="007A5804" w:rsidRDefault="007B7723">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[pozri COREP (OF): S. C 04.00;770;010S).</w:t>
            </w:r>
          </w:p>
          <w:p w14:paraId="7FE1B653" w14:textId="77777777" w:rsidR="007A5804" w:rsidRDefault="007B7723">
            <w:pPr>
              <w:pStyle w:val="P68B1DB1-TableParagraph17"/>
              <w:spacing w:before="108"/>
              <w:jc w:val="both"/>
            </w:pPr>
            <w:r>
              <w:t>Požiadavka podľa článkov 128 bod 2, článok 130 a články 135 – 140 smernice 2013/36/EÚ.</w:t>
            </w:r>
          </w:p>
          <w:p w14:paraId="7FE1B654" w14:textId="77777777" w:rsidR="007A5804" w:rsidRDefault="007B7723">
            <w:pPr>
              <w:pStyle w:val="P68B1DB1-TableParagraph13"/>
              <w:spacing w:before="108"/>
              <w:jc w:val="both"/>
              <w:rPr>
                <w:rFonts w:eastAsia="Cambria"/>
              </w:rPr>
            </w:pPr>
            <w:r>
              <w:t>Ak sa rozsah riešenia krízovej situácie líši od prudenciálneho rozsahu, vykazovaná hodnota zodpovedá požiadavke na vankúš uplatniteľnej na expozície skupiny, ktorej krízová situácia sa rieši.</w:t>
            </w:r>
          </w:p>
        </w:tc>
      </w:tr>
      <w:tr w:rsidR="007A5804"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7A5804" w:rsidRDefault="007B7723">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7A5804" w:rsidRDefault="007B7723">
            <w:pPr>
              <w:pStyle w:val="P68B1DB1-TableParagraph14"/>
              <w:spacing w:before="108"/>
              <w:jc w:val="both"/>
              <w:rPr>
                <w:bCs/>
              </w:rPr>
            </w:pPr>
            <w:r>
              <w:t>Vankúš na krytie systémového rizika</w:t>
            </w:r>
          </w:p>
          <w:p w14:paraId="7FE1B658" w14:textId="77777777" w:rsidR="007A5804" w:rsidRDefault="007B7723">
            <w:pPr>
              <w:pStyle w:val="P68B1DB1-TableParagraph13"/>
              <w:spacing w:before="108"/>
              <w:jc w:val="both"/>
            </w:pPr>
            <w:r>
              <w:t>[pozri COREP (OF): S. C 04.00;780;010 NAR.)</w:t>
            </w:r>
          </w:p>
          <w:p w14:paraId="7FE1B659" w14:textId="77777777" w:rsidR="007A5804" w:rsidRDefault="007B7723">
            <w:pPr>
              <w:pStyle w:val="P68B1DB1-TableParagraph17"/>
              <w:spacing w:before="108"/>
              <w:jc w:val="both"/>
            </w:pPr>
            <w:r>
              <w:t>Požiadavka uvedená v článkoch 128 bod 5, 133 a 134 smernice 2013/36/EÚ</w:t>
            </w:r>
          </w:p>
          <w:p w14:paraId="7FE1B65A" w14:textId="77777777" w:rsidR="007A5804" w:rsidRDefault="007B7723">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 sa rozsah riešenia krízových situácií líši od prudenciálneho rozsahu, odhad tejto požiadavky na vankúš subjektu, ktorého krízová situácia sa rieši, na konsolidovanej úrovni skupiny, ktorej krízová situácia sa rieši, sa riadi článkom 3 ods. 5 delegovaného nariadenia Komisie (EÚ) 2021/1118,  ale vykazujúci subjekt by ho mal vykonať predbežne.</w:t>
            </w:r>
          </w:p>
        </w:tc>
      </w:tr>
      <w:tr w:rsidR="007A5804"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7A5804" w:rsidRDefault="007B7723">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7A5804" w:rsidRDefault="007B7723">
            <w:pPr>
              <w:pStyle w:val="P68B1DB1-TableParagraph14"/>
              <w:spacing w:before="108"/>
              <w:jc w:val="both"/>
              <w:rPr>
                <w:bCs/>
              </w:rPr>
            </w:pPr>
            <w:r>
              <w:t>Vankúš pre globálne systémovo významné inštitúcie</w:t>
            </w:r>
          </w:p>
          <w:p w14:paraId="7FE1B65E" w14:textId="77777777" w:rsidR="007A5804" w:rsidRDefault="007B7723">
            <w:pPr>
              <w:pStyle w:val="P68B1DB1-TableParagraph17"/>
              <w:spacing w:before="108"/>
              <w:jc w:val="both"/>
            </w:pPr>
            <w:r>
              <w:lastRenderedPageBreak/>
              <w:t>[POZRI COREP (OF): S. C 04.00;800;010,</w:t>
            </w:r>
          </w:p>
          <w:p w14:paraId="7FE1B65F" w14:textId="77777777" w:rsidR="007A5804" w:rsidRDefault="007B7723">
            <w:pPr>
              <w:pStyle w:val="P68B1DB1-TableParagraph17"/>
              <w:spacing w:before="108"/>
              <w:jc w:val="both"/>
            </w:pPr>
            <w:r>
              <w:t>Požiadavka uvedená v článku 128 bod 3 a článku 131 smernice 2013/36/EÚ.</w:t>
            </w:r>
          </w:p>
          <w:p w14:paraId="7FE1B660" w14:textId="77777777" w:rsidR="007A5804" w:rsidRDefault="007B7723">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Ak sa rozsah riešenia krízových situácií líši od prudenciálneho rozsahu, odhad tejto požiadavky na vankúš subjektu, ktorého krízová situácia sa rieši, na konsolidovanej úrovni skupiny, ktorej krízová situácia sa rieši, sa riadi článkom 3 ods. 3 delegovaného nariadenia Komisie (EÚ) 2021/1118,  ale vykazujúci subjekt by ho mal vykonať predbežne.</w:t>
            </w:r>
          </w:p>
        </w:tc>
      </w:tr>
      <w:tr w:rsidR="007A5804"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7A5804" w:rsidRDefault="007B7723">
            <w:pPr>
              <w:pStyle w:val="P68B1DB1-TableParagraph13"/>
              <w:spacing w:before="106"/>
              <w:ind w:left="-1"/>
            </w:pPr>
            <w:r>
              <w:lastRenderedPageBreak/>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7A5804" w:rsidRDefault="007B7723">
            <w:pPr>
              <w:pStyle w:val="P68B1DB1-TableParagraph13"/>
              <w:spacing w:before="108"/>
              <w:jc w:val="both"/>
            </w:pPr>
            <w:r>
              <w:rPr>
                <w:b/>
              </w:rPr>
              <w:t>Vankúš pre inak systémovo významnú inštitúciu, článok</w:t>
            </w:r>
            <w:r>
              <w:t xml:space="preserve">128 bod 4 a článok 131 smernice 2013/36/EÚ </w:t>
            </w:r>
          </w:p>
          <w:p w14:paraId="7FE1B665" w14:textId="77777777" w:rsidR="007A5804" w:rsidRDefault="007B7723">
            <w:pPr>
              <w:pStyle w:val="P68B1DB1-TableParagraph13"/>
              <w:spacing w:before="108"/>
              <w:jc w:val="both"/>
            </w:pPr>
            <w:r>
              <w:t xml:space="preserve">COREP (OF): S. C 04.00;810;010 — </w:t>
            </w:r>
          </w:p>
          <w:p w14:paraId="7FE1B666" w14:textId="77777777" w:rsidR="007A5804" w:rsidRDefault="007B7723">
            <w:pPr>
              <w:pStyle w:val="P68B1DB1-TableParagraph13"/>
              <w:spacing w:before="108"/>
              <w:jc w:val="both"/>
              <w:rPr>
                <w:b/>
                <w:bCs/>
              </w:rPr>
            </w:pPr>
            <w:r>
              <w:t>Vykázaná suma predstavuje výšku vlastných zdrojov potrebných na dodržanie príslušných požiadaviek na kapitálový vankúš k dátumu vykazovania.</w:t>
            </w:r>
          </w:p>
        </w:tc>
      </w:tr>
      <w:tr w:rsidR="007A5804"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7A5804" w:rsidRDefault="007B7723">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7A5804" w:rsidRDefault="007B7723">
            <w:pPr>
              <w:pStyle w:val="P68B1DB1-TableParagraph14"/>
              <w:spacing w:before="108"/>
              <w:jc w:val="both"/>
              <w:rPr>
                <w:bCs/>
              </w:rPr>
            </w:pPr>
            <w:r>
              <w:t xml:space="preserve">Podiel celkovej kapitálovej požiadavky (OCR) </w:t>
            </w:r>
          </w:p>
          <w:p w14:paraId="7FE1B66A" w14:textId="77777777" w:rsidR="007A5804" w:rsidRDefault="007B7723">
            <w:pPr>
              <w:pStyle w:val="P68B1DB1-TableParagraph13"/>
              <w:spacing w:before="108"/>
              <w:jc w:val="both"/>
            </w:pPr>
            <w:r>
              <w:t xml:space="preserve">[POZRI COREP (OF): {C 01.00;160;010} </w:t>
            </w:r>
          </w:p>
          <w:p w14:paraId="7FE1B66B" w14:textId="77777777" w:rsidR="007A5804" w:rsidRDefault="007B7723">
            <w:pPr>
              <w:pStyle w:val="P68B1DB1-TableParagraph13"/>
              <w:spacing w:before="108"/>
              <w:jc w:val="both"/>
            </w:pPr>
            <w:r>
              <w:t xml:space="preserve">Súčet nasledujúcich bodov i) a ii): </w:t>
            </w:r>
          </w:p>
          <w:p w14:paraId="7FE1B66C" w14:textId="77777777" w:rsidR="007A5804" w:rsidRDefault="007B7723">
            <w:pPr>
              <w:pStyle w:val="P68B1DB1-TableParagraph13"/>
              <w:numPr>
                <w:ilvl w:val="3"/>
                <w:numId w:val="211"/>
              </w:numPr>
              <w:spacing w:before="108"/>
              <w:ind w:left="931" w:hanging="567"/>
              <w:jc w:val="both"/>
            </w:pPr>
            <w:r>
              <w:t xml:space="preserve">podiel požiadavky podľa SREP (TSCR) uvedený v riadku 0300; </w:t>
            </w:r>
          </w:p>
          <w:p w14:paraId="7FE1B66D" w14:textId="77777777" w:rsidR="007A5804" w:rsidRDefault="007B7723">
            <w:pPr>
              <w:pStyle w:val="P68B1DB1-TableParagraph13"/>
              <w:numPr>
                <w:ilvl w:val="3"/>
                <w:numId w:val="211"/>
              </w:numPr>
              <w:spacing w:before="108"/>
              <w:ind w:left="931" w:hanging="567"/>
              <w:jc w:val="both"/>
            </w:pPr>
            <w:r>
              <w:t xml:space="preserve">v rozsahu, v akom je to právne uplatniteľné, podiel požiadavky na kombinovaný vankúš podľa článku 128 bodu 6 smernice 2013/36/EÚ. </w:t>
            </w:r>
          </w:p>
          <w:p w14:paraId="7FE1B66E" w14:textId="77777777" w:rsidR="007A5804" w:rsidRDefault="007B7723">
            <w:pPr>
              <w:pStyle w:val="P68B1DB1-TableParagraph13"/>
              <w:spacing w:before="108"/>
              <w:jc w:val="both"/>
            </w:pPr>
            <w:r>
              <w:t xml:space="preserve">V tejto položke sa odzrkadľuje podiel celkovej kapitálovej požiadavky (OCR) podľa vymedzenia v oddiele 1.2 usmernení EBA podľa SREP. </w:t>
            </w:r>
          </w:p>
          <w:p w14:paraId="7FE1B66F" w14:textId="77777777" w:rsidR="007A5804" w:rsidRDefault="007B7723">
            <w:pPr>
              <w:pStyle w:val="P68B1DB1-TableParagraph13"/>
              <w:spacing w:before="108"/>
              <w:jc w:val="both"/>
              <w:rPr>
                <w:b/>
                <w:bCs/>
              </w:rPr>
            </w:pPr>
            <w:r>
              <w:t>Ak sa neuplatňuje žiadna požiadavka na vankúš, vykazuje sa iba bod i).</w:t>
            </w:r>
          </w:p>
        </w:tc>
      </w:tr>
    </w:tbl>
    <w:p w14:paraId="7FE1B712" w14:textId="77777777" w:rsidR="007A5804" w:rsidRDefault="007A5804">
      <w:pPr>
        <w:rPr>
          <w:rFonts w:ascii="Times New Roman" w:hAnsi="Times New Roman" w:cs="Times New Roman"/>
        </w:rPr>
      </w:pPr>
    </w:p>
    <w:p w14:paraId="7FE1B713" w14:textId="77777777" w:rsidR="007A5804" w:rsidRDefault="007A5804">
      <w:pPr>
        <w:rPr>
          <w:rFonts w:ascii="Times New Roman" w:hAnsi="Times New Roman" w:cs="Times New Roman"/>
        </w:rPr>
      </w:pPr>
    </w:p>
    <w:p w14:paraId="7FE1B714" w14:textId="77777777" w:rsidR="007A5804" w:rsidRDefault="007B7723">
      <w:pPr>
        <w:pStyle w:val="P68B1DB1-Instructionsberschrift25"/>
        <w:numPr>
          <w:ilvl w:val="1"/>
          <w:numId w:val="49"/>
        </w:numPr>
        <w:ind w:left="357" w:hanging="357"/>
      </w:pPr>
      <w:bookmarkStart w:id="61" w:name="_Toc208245241"/>
      <w:r>
        <w:t>Z 03.02 – Požiadavky na vlastné zdroje – investičné spoločnosti (LIAB 3)</w:t>
      </w:r>
      <w:bookmarkEnd w:id="61"/>
    </w:p>
    <w:p w14:paraId="7FE1B715" w14:textId="77777777" w:rsidR="007A5804" w:rsidRDefault="007B7723">
      <w:pPr>
        <w:pStyle w:val="Instructionsberschrift3"/>
      </w:pPr>
      <w:r>
        <w:t>Všeobecné poznámky</w:t>
      </w:r>
    </w:p>
    <w:p w14:paraId="7FE1B716" w14:textId="77777777" w:rsidR="007A5804" w:rsidRDefault="007B7723">
      <w:pPr>
        <w:pStyle w:val="Instructionsberschrift3"/>
        <w:numPr>
          <w:ilvl w:val="4"/>
          <w:numId w:val="260"/>
        </w:numPr>
      </w:pPr>
      <w:r>
        <w:t>V tomto vzore sa zhromažďujú informácie o požiadavkách na vlastné zdroje pre subjekt alebo skupinu.</w:t>
      </w:r>
    </w:p>
    <w:p w14:paraId="7FE1B717" w14:textId="1213D388" w:rsidR="007A5804" w:rsidRDefault="007B7723">
      <w:pPr>
        <w:pStyle w:val="Instructionsberschrift3"/>
        <w:numPr>
          <w:ilvl w:val="4"/>
          <w:numId w:val="260"/>
        </w:numPr>
      </w:pPr>
      <w:r>
        <w:t>Vo všetkých vykázaných informáciách sa odzrkadľujú požiadavky na vlastné zdroje uplatniteľné k referenčnému dátumu vykazovania.</w:t>
      </w:r>
    </w:p>
    <w:p w14:paraId="666AF7EE" w14:textId="2B6DCE12" w:rsidR="007A5804" w:rsidRDefault="007B7723">
      <w:pPr>
        <w:pStyle w:val="P68B1DB1-ListParagraph23"/>
        <w:numPr>
          <w:ilvl w:val="4"/>
          <w:numId w:val="260"/>
        </w:numPr>
      </w:pPr>
      <w:r>
        <w:t>Ak pri vykazovaní na konsolidovanom alebo individuálnom základe účtovná jednotka už tieto údajové body vykázala v IFREP k rovnakému referenčnému dátumu a rozsahu vykazovania (pozri odkazy IFREP v pokynoch), vykazujúca účtovná jednotka nemusí vykazovať tieto údajové body druhýkrát. Údaje sa musia vykazovať len vtedy, ak bol vykazujúci subjekt oslobodený od povinností finančného alebo prudenciálneho vykazovania, pričom v takom prípade je jediným zdrojom údajov pre orgány pre riešenie krízových situácií pre tieto údajové body táto správa.</w:t>
      </w:r>
    </w:p>
    <w:p w14:paraId="1DA6CBB2" w14:textId="77777777" w:rsidR="007A5804" w:rsidRDefault="007A5804">
      <w:pPr>
        <w:pStyle w:val="Instructionsberschrift3"/>
        <w:numPr>
          <w:ilvl w:val="4"/>
          <w:numId w:val="260"/>
        </w:numPr>
      </w:pPr>
    </w:p>
    <w:p w14:paraId="7FE1B718" w14:textId="4C8CE473" w:rsidR="007A5804" w:rsidRDefault="007A5804">
      <w:pPr>
        <w:pStyle w:val="InstructionsText2"/>
        <w:numPr>
          <w:ilvl w:val="0"/>
          <w:numId w:val="0"/>
        </w:numPr>
        <w:spacing w:before="0"/>
        <w:ind w:left="1440"/>
        <w:rPr>
          <w:rFonts w:ascii="Times New Roman" w:hAnsi="Times New Roman" w:cs="Times New Roman"/>
          <w:sz w:val="20"/>
          <w:szCs w:val="20"/>
        </w:rPr>
      </w:pPr>
    </w:p>
    <w:p w14:paraId="7FE1B719" w14:textId="77777777" w:rsidR="007A5804" w:rsidRDefault="007B7723">
      <w:pPr>
        <w:pStyle w:val="Instructionsberschrift3"/>
      </w:pPr>
      <w:r>
        <w:t>Pokyny týkajúce sa konkrétnych pozícií</w:t>
      </w:r>
    </w:p>
    <w:p w14:paraId="7FE1B71A" w14:textId="77777777" w:rsidR="007A5804" w:rsidRDefault="007A5804">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7A5804"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7A5804" w:rsidRDefault="007B7723">
            <w:pPr>
              <w:pStyle w:val="P68B1DB1-TableParagraph13"/>
              <w:spacing w:before="66"/>
              <w:rPr>
                <w:rFonts w:eastAsia="Cambria"/>
              </w:rPr>
            </w:pPr>
            <w:r>
              <w:lastRenderedPageBreak/>
              <w:t>Riadky</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7A5804" w:rsidRDefault="007B7723">
            <w:pPr>
              <w:pStyle w:val="P68B1DB1-TableParagraph13"/>
              <w:spacing w:before="66"/>
              <w:ind w:right="1"/>
              <w:jc w:val="center"/>
              <w:rPr>
                <w:rFonts w:eastAsia="Cambria"/>
              </w:rPr>
            </w:pPr>
            <w:r>
              <w:t>Pokyny</w:t>
            </w:r>
          </w:p>
        </w:tc>
      </w:tr>
      <w:tr w:rsidR="007A5804"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7A5804" w:rsidRDefault="007B7723">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7A5804" w:rsidRDefault="007B7723">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Celková požiadavka na vlastné zdroje </w:t>
            </w:r>
            <w:r>
              <w:rPr>
                <w:rStyle w:val="InstructionsTabelleberschrift"/>
                <w:rFonts w:ascii="Times New Roman" w:hAnsi="Times New Roman"/>
                <w:color w:val="000000" w:themeColor="text1"/>
                <w:szCs w:val="20"/>
              </w:rPr>
              <w:t>(IFREP I 02.01 r0130)</w:t>
            </w:r>
          </w:p>
          <w:p w14:paraId="29B1A135" w14:textId="77777777" w:rsidR="007A5804" w:rsidRDefault="007A5804">
            <w:pPr>
              <w:rPr>
                <w:rStyle w:val="InstructionsTabelleberschrift"/>
                <w:rFonts w:ascii="Times New Roman" w:hAnsi="Times New Roman"/>
                <w:color w:val="000000" w:themeColor="text1"/>
                <w:szCs w:val="20"/>
                <w:u w:val="none"/>
              </w:rPr>
            </w:pPr>
          </w:p>
          <w:p w14:paraId="4F8C79FA" w14:textId="210F9E6A" w:rsidR="007A5804" w:rsidRDefault="007B7723">
            <w:pPr>
              <w:pStyle w:val="P68B1DB1-TableParagraph17"/>
              <w:spacing w:before="108"/>
            </w:pPr>
            <w:r>
              <w:t>Celková požiadavka na vlastné zdroje investičnej spoločnosti pozostáva z hodnoty jej požiadaviek na vlastné zdroje uplatniteľných k referenčnému dátumu, dodatočnej požiadavky na vlastné zdroje vykázanej v riadku 0120a usmernenia o dodatočných vlastných zdrojoch vykázaných v riadku 0130.</w:t>
            </w:r>
          </w:p>
          <w:p w14:paraId="7FE1B721" w14:textId="77777777" w:rsidR="007A5804" w:rsidRDefault="007A5804">
            <w:pPr>
              <w:pStyle w:val="TableParagraph"/>
              <w:spacing w:before="108"/>
              <w:rPr>
                <w:rFonts w:ascii="Times New Roman" w:hAnsi="Times New Roman" w:cs="Times New Roman"/>
                <w:color w:val="000000" w:themeColor="text1"/>
                <w:sz w:val="20"/>
                <w:szCs w:val="20"/>
              </w:rPr>
            </w:pPr>
          </w:p>
        </w:tc>
      </w:tr>
      <w:tr w:rsidR="007A5804"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7A5804" w:rsidRDefault="007B7723">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7A5804" w:rsidRDefault="007B7723">
            <w:pPr>
              <w:pStyle w:val="TableParagraph"/>
              <w:spacing w:before="108"/>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Požiadavka na vlastné zdroje </w:t>
            </w:r>
            <w:r>
              <w:rPr>
                <w:rStyle w:val="InstructionsTabelleberschrift"/>
                <w:rFonts w:ascii="Times New Roman" w:hAnsi="Times New Roman"/>
                <w:color w:val="000000" w:themeColor="text1"/>
                <w:szCs w:val="20"/>
              </w:rPr>
              <w:t>(IFREP I 02.01 r0010)</w:t>
            </w:r>
          </w:p>
          <w:p w14:paraId="74086713" w14:textId="7F827C2E" w:rsidR="007A5804" w:rsidRDefault="007B7723">
            <w:pPr>
              <w:pStyle w:val="P68B1DB1-TableParagraph17"/>
              <w:spacing w:before="108"/>
            </w:pPr>
            <w:r>
              <w:t>Článok 11 ods. 1 nariadenia (EÚ) 2019/2033.</w:t>
            </w:r>
          </w:p>
          <w:p w14:paraId="016729EC" w14:textId="77777777" w:rsidR="007A5804" w:rsidRDefault="007B7723">
            <w:pPr>
              <w:pStyle w:val="P68B1DB1-TableParagraph17"/>
              <w:spacing w:before="108"/>
            </w:pPr>
            <w:r>
              <w:t>Touto sumou je suma určená bez uplatnenia článku 57 ods. 3, 4 alebo 6 nariadenia (EÚ) 2019/2033.</w:t>
            </w:r>
          </w:p>
          <w:p w14:paraId="7FE1B727" w14:textId="77777777" w:rsidR="007A5804" w:rsidRDefault="007A5804">
            <w:pPr>
              <w:pStyle w:val="TableParagraph"/>
              <w:spacing w:before="108"/>
              <w:jc w:val="both"/>
              <w:rPr>
                <w:rFonts w:ascii="Times New Roman" w:eastAsia="Cambria" w:hAnsi="Times New Roman" w:cs="Times New Roman"/>
                <w:color w:val="000000" w:themeColor="text1"/>
                <w:sz w:val="20"/>
                <w:szCs w:val="20"/>
              </w:rPr>
            </w:pPr>
          </w:p>
        </w:tc>
      </w:tr>
      <w:tr w:rsidR="007A5804"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7A5804" w:rsidRDefault="007B7723">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7A5804" w:rsidRDefault="007B7723">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Dodatočná požiadavka na vlastné zdroje </w:t>
            </w:r>
            <w:r>
              <w:rPr>
                <w:rStyle w:val="InstructionsTabelleberschrift"/>
                <w:rFonts w:ascii="Times New Roman" w:hAnsi="Times New Roman"/>
                <w:color w:val="000000" w:themeColor="text1"/>
                <w:szCs w:val="20"/>
              </w:rPr>
              <w:t>(IFREP I 02.01 r0110)</w:t>
            </w:r>
          </w:p>
          <w:p w14:paraId="05BFD23E" w14:textId="06165C78" w:rsidR="007A5804" w:rsidRDefault="007B7723">
            <w:pPr>
              <w:pStyle w:val="P68B1DB1-TableParagraph17"/>
              <w:spacing w:before="108"/>
              <w:jc w:val="both"/>
            </w:pPr>
            <w:r>
              <w:t>Článok 40 smernice (EÚ) 2019/2034</w:t>
            </w:r>
          </w:p>
          <w:p w14:paraId="2AF15530" w14:textId="77777777" w:rsidR="007A5804" w:rsidRDefault="007B7723">
            <w:pPr>
              <w:pStyle w:val="P68B1DB1-TableParagraph13"/>
              <w:spacing w:before="108"/>
              <w:jc w:val="both"/>
            </w:pPr>
            <w:r>
              <w:t xml:space="preserve">Dodatočné vlastné zdroje požadované podľa postupu preskúmania a hodnotenia orgánmi dohľadu (SREP) </w:t>
            </w:r>
          </w:p>
          <w:p w14:paraId="7FE1B72E" w14:textId="77777777" w:rsidR="007A5804" w:rsidRDefault="007A5804">
            <w:pPr>
              <w:pStyle w:val="TableParagraph"/>
              <w:spacing w:before="108"/>
              <w:rPr>
                <w:rFonts w:ascii="Times New Roman" w:eastAsia="Cambria" w:hAnsi="Times New Roman" w:cs="Times New Roman"/>
                <w:color w:val="000000" w:themeColor="text1"/>
                <w:sz w:val="20"/>
                <w:szCs w:val="20"/>
              </w:rPr>
            </w:pPr>
          </w:p>
        </w:tc>
      </w:tr>
      <w:tr w:rsidR="007A5804"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7A5804" w:rsidRDefault="007B7723">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7A5804" w:rsidRDefault="007B7723">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Usmernenie k dodatočným vlastným zdrojom ( </w:t>
            </w:r>
            <w:r>
              <w:rPr>
                <w:rStyle w:val="InstructionsTabelleberschrift"/>
                <w:rFonts w:ascii="Times New Roman" w:hAnsi="Times New Roman"/>
                <w:color w:val="000000" w:themeColor="text1"/>
                <w:szCs w:val="20"/>
              </w:rPr>
              <w:t>IFREP I 02.01 r0120)</w:t>
            </w:r>
          </w:p>
          <w:p w14:paraId="4094919F" w14:textId="67C4E4FA" w:rsidR="007A5804" w:rsidRDefault="007B7723">
            <w:pPr>
              <w:pStyle w:val="P68B1DB1-TableParagraph17"/>
              <w:spacing w:before="108"/>
            </w:pPr>
            <w:r>
              <w:t>Článok 41 smernice (EÚ) 2019/2034</w:t>
            </w:r>
          </w:p>
          <w:p w14:paraId="1EA34579" w14:textId="77777777" w:rsidR="007A5804" w:rsidRDefault="007B7723">
            <w:pPr>
              <w:pStyle w:val="P68B1DB1-TableParagraph17"/>
              <w:spacing w:before="108"/>
            </w:pPr>
            <w:r>
              <w:t>Dodatočné vlastné zdroje požadované na základe usmernenia o dodatočných vlastných zdrojoch</w:t>
            </w:r>
          </w:p>
          <w:p w14:paraId="7FE1B736" w14:textId="77777777" w:rsidR="007A5804" w:rsidRDefault="007A5804">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7A5804" w:rsidRDefault="007A5804">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7A5804" w:rsidRDefault="007A5804">
      <w:pPr>
        <w:pStyle w:val="Instructionsberschrift3"/>
        <w:numPr>
          <w:ilvl w:val="0"/>
          <w:numId w:val="0"/>
        </w:numPr>
        <w:ind w:left="720" w:hanging="432"/>
      </w:pPr>
    </w:p>
    <w:p w14:paraId="7FE1B742" w14:textId="77777777" w:rsidR="007A5804" w:rsidRDefault="007A5804">
      <w:pPr>
        <w:pStyle w:val="Instructionsberschrift3"/>
        <w:numPr>
          <w:ilvl w:val="0"/>
          <w:numId w:val="0"/>
        </w:numPr>
        <w:ind w:left="720" w:hanging="432"/>
      </w:pPr>
    </w:p>
    <w:p w14:paraId="7FE1B743" w14:textId="77777777" w:rsidR="007A5804" w:rsidRDefault="007A5804">
      <w:pPr>
        <w:pStyle w:val="Instructionsberschrift3"/>
        <w:numPr>
          <w:ilvl w:val="0"/>
          <w:numId w:val="0"/>
        </w:numPr>
        <w:ind w:left="720" w:hanging="432"/>
      </w:pPr>
    </w:p>
    <w:p w14:paraId="7FE1B744" w14:textId="49BA0C03" w:rsidR="007A5804" w:rsidRDefault="007A5804">
      <w:pPr>
        <w:rPr>
          <w:rFonts w:ascii="Times New Roman" w:hAnsi="Times New Roman" w:cs="Times New Roman"/>
          <w:color w:val="000000" w:themeColor="text1"/>
          <w:sz w:val="20"/>
          <w:szCs w:val="20"/>
        </w:rPr>
      </w:pPr>
    </w:p>
    <w:p w14:paraId="7FE1B745" w14:textId="016BA1E4" w:rsidR="007A5804" w:rsidRDefault="007B7723">
      <w:pPr>
        <w:pStyle w:val="P68B1DB1-Instructionsberschrift25"/>
        <w:numPr>
          <w:ilvl w:val="1"/>
          <w:numId w:val="49"/>
        </w:numPr>
        <w:ind w:left="357" w:hanging="357"/>
      </w:pPr>
      <w:bookmarkStart w:id="62" w:name="_Toc492542324"/>
      <w:bookmarkStart w:id="63" w:name="_Toc81454182"/>
      <w:bookmarkStart w:id="64" w:name="_Toc208245242"/>
      <w:r>
        <w:t>Z 04.00 – Finančné prepojenia v rámci skupiny (LIAB 4)</w:t>
      </w:r>
      <w:bookmarkEnd w:id="62"/>
      <w:bookmarkEnd w:id="63"/>
      <w:bookmarkEnd w:id="64"/>
    </w:p>
    <w:p w14:paraId="7FE1B746" w14:textId="77777777" w:rsidR="007A5804" w:rsidRDefault="007B7723">
      <w:pPr>
        <w:pStyle w:val="Instructionsberschrift3"/>
      </w:pPr>
      <w:r>
        <w:t>Všeobecné poznámky</w:t>
      </w:r>
    </w:p>
    <w:p w14:paraId="7FE1B747" w14:textId="3BB98E0B" w:rsidR="007A5804" w:rsidRDefault="007B7723">
      <w:pPr>
        <w:pStyle w:val="P68B1DB1-InstructionsText26"/>
        <w:numPr>
          <w:ilvl w:val="0"/>
          <w:numId w:val="232"/>
        </w:numPr>
        <w:spacing w:before="0"/>
      </w:pPr>
      <w:r>
        <w:t xml:space="preserve">V tomto vzore sa vyžadujú informácie o záväzkoch v rámci skupiny, kapitálových nástrojov a záruk. </w:t>
      </w:r>
    </w:p>
    <w:p w14:paraId="7FE1B748" w14:textId="588B1EC0" w:rsidR="007A5804" w:rsidRDefault="007B7723">
      <w:pPr>
        <w:pStyle w:val="P68B1DB1-InstructionsText26"/>
        <w:numPr>
          <w:ilvl w:val="0"/>
          <w:numId w:val="232"/>
        </w:numPr>
        <w:spacing w:before="0"/>
      </w:pPr>
      <w:r>
        <w:t>Vykazujú sa všetky finančné prepojenia medzi právnickými osobami, ktoré sú zahrnuté do konsolidovaných účtovných závierok. Vykázané sumy sa spočítajú vtedy, ak sa týkajú tých istých protistrán (emitenta alebo subjektu, pre ktorý sa poskytuje záruka, a veriteľa, držiteľa alebo poskytovateľa záruky) a toho istého druhu záväzkov, kapitálových nástrojov alebo záruk.</w:t>
      </w:r>
    </w:p>
    <w:p w14:paraId="7FE1B749" w14:textId="77777777" w:rsidR="007A5804" w:rsidRDefault="007B7723">
      <w:pPr>
        <w:pStyle w:val="P68B1DB1-InstructionsText26"/>
        <w:numPr>
          <w:ilvl w:val="0"/>
          <w:numId w:val="232"/>
        </w:numPr>
        <w:spacing w:before="0"/>
      </w:pPr>
      <w:r>
        <w:t>Kombinácia hodnôt vykázaných v stĺpcoch 0020, 0040 a 0050 tohto vzoru tvorí primárny kľúč, ktorý musí byť jedinečný pre každý riadok vzoru.</w:t>
      </w:r>
    </w:p>
    <w:p w14:paraId="7FE1B74A" w14:textId="77777777" w:rsidR="007A5804" w:rsidRDefault="007B7723">
      <w:pPr>
        <w:pStyle w:val="P68B1DB1-Instructionsberschrift312"/>
      </w:pPr>
      <w:r>
        <w:t>Pokyny týkajúce sa konkrétnych pozícií</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7A5804"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7A5804" w:rsidRDefault="007B7723">
            <w:pPr>
              <w:pStyle w:val="P68B1DB1-TableParagraph13"/>
              <w:spacing w:before="66"/>
              <w:rPr>
                <w:rFonts w:eastAsia="Cambria"/>
              </w:rPr>
            </w:pPr>
            <w:r>
              <w:lastRenderedPageBreak/>
              <w:t>Stĺpce</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7A5804" w:rsidRDefault="007B7723">
            <w:pPr>
              <w:pStyle w:val="P68B1DB1-TableParagraph13"/>
              <w:spacing w:before="66"/>
              <w:ind w:right="1"/>
              <w:jc w:val="center"/>
              <w:rPr>
                <w:rFonts w:eastAsia="Cambria"/>
              </w:rPr>
            </w:pPr>
            <w:r>
              <w:t>Pokyny</w:t>
            </w:r>
          </w:p>
        </w:tc>
      </w:tr>
      <w:tr w:rsidR="007A5804"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7A5804" w:rsidRDefault="007B7723">
            <w:pPr>
              <w:pStyle w:val="P68B1DB1-TableParagraph13"/>
              <w:spacing w:before="106"/>
              <w:ind w:left="-1"/>
            </w:pPr>
            <w:r>
              <w:t xml:space="preserve">0010 – 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7A5804" w:rsidRDefault="007B7723">
            <w:pPr>
              <w:pStyle w:val="P68B1DB1-TableParagraph14"/>
              <w:spacing w:before="108"/>
              <w:ind w:left="85"/>
              <w:jc w:val="both"/>
              <w:rPr>
                <w:bCs/>
              </w:rPr>
            </w:pPr>
            <w:r>
              <w:t>Emitent alebo subjekt, pre ktorý sa poskytuje záruka</w:t>
            </w:r>
          </w:p>
          <w:p w14:paraId="7FE1B750" w14:textId="77777777" w:rsidR="007A5804" w:rsidRDefault="007B7723">
            <w:pPr>
              <w:pStyle w:val="P68B1DB1-TableParagraph17"/>
              <w:spacing w:before="108"/>
              <w:ind w:left="85"/>
              <w:jc w:val="both"/>
            </w:pPr>
            <w:r>
              <w:t>Právnická osoba, ktorá emituje záväzky alebo kapitálový nástroj, alebo je subjektom, pre ktorý sa poskytuje záruka.</w:t>
            </w:r>
          </w:p>
        </w:tc>
      </w:tr>
      <w:tr w:rsidR="007A5804"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7A5804" w:rsidRDefault="007B7723">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7A5804" w:rsidRDefault="007B7723">
            <w:pPr>
              <w:pStyle w:val="P68B1DB1-TableParagraph14"/>
              <w:spacing w:before="108"/>
              <w:ind w:left="85"/>
              <w:jc w:val="both"/>
              <w:rPr>
                <w:bCs/>
              </w:rPr>
            </w:pPr>
            <w:r>
              <w:t xml:space="preserve">Názov subjektu </w:t>
            </w:r>
          </w:p>
          <w:p w14:paraId="7FE1B754" w14:textId="77777777" w:rsidR="007A5804" w:rsidRDefault="007B7723">
            <w:pPr>
              <w:pStyle w:val="P68B1DB1-TableParagraph17"/>
              <w:spacing w:before="108"/>
              <w:ind w:left="85"/>
              <w:jc w:val="both"/>
            </w:pPr>
            <w:r>
              <w:t xml:space="preserve">Musí byť odlišný od názvu subjektu uvedeného v stĺpci 0030. </w:t>
            </w:r>
          </w:p>
        </w:tc>
      </w:tr>
      <w:tr w:rsidR="007A5804"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7A5804" w:rsidRDefault="007B7723">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7A5804" w:rsidRDefault="007B7723">
            <w:pPr>
              <w:pStyle w:val="P68B1DB1-TableParagraph14"/>
              <w:spacing w:before="108"/>
              <w:ind w:left="85"/>
              <w:jc w:val="both"/>
              <w:rPr>
                <w:bCs/>
              </w:rPr>
            </w:pPr>
            <w:r>
              <w:t>Kód</w:t>
            </w:r>
          </w:p>
          <w:p w14:paraId="22E99FB3" w14:textId="77777777" w:rsidR="007A5804" w:rsidRDefault="007B7723">
            <w:pPr>
              <w:pStyle w:val="P68B1DB1-TableParagraph17"/>
              <w:spacing w:before="108"/>
              <w:ind w:left="85"/>
              <w:jc w:val="both"/>
            </w:pPr>
            <w:r>
              <w:t xml:space="preserve">Kód emitenta alebo príjemcu záruky. </w:t>
            </w:r>
          </w:p>
          <w:p w14:paraId="4BE5BA2E" w14:textId="5E7AE5A4" w:rsidR="007A5804" w:rsidRDefault="007B7723">
            <w:pPr>
              <w:pStyle w:val="P68B1DB1-TableParagraph17"/>
              <w:spacing w:before="108"/>
              <w:ind w:left="85"/>
              <w:jc w:val="both"/>
            </w:pPr>
            <w:r>
              <w:t>V prípade inštitúcií s identifikátorom právneho subjektu (LEI) 20-miestny alfanumerický kód LEI;</w:t>
            </w:r>
          </w:p>
          <w:p w14:paraId="7FE1B758" w14:textId="458CE8E3" w:rsidR="007A5804" w:rsidRDefault="007B7723">
            <w:pPr>
              <w:pStyle w:val="P68B1DB1-TableParagraph17"/>
              <w:spacing w:before="108"/>
              <w:ind w:left="85"/>
              <w:jc w:val="both"/>
            </w:pPr>
            <w:r>
              <w:t>Ak nie je k dispozícii, použite kód PFI alebo kód podľa jednotnej kodifikácie platnej v Únii.</w:t>
            </w:r>
          </w:p>
          <w:p w14:paraId="7FE1B759" w14:textId="77777777" w:rsidR="007A5804" w:rsidRDefault="007B7723">
            <w:pPr>
              <w:pStyle w:val="P68B1DB1-TableParagraph17"/>
              <w:spacing w:before="108"/>
              <w:ind w:left="85"/>
              <w:jc w:val="both"/>
            </w:pPr>
            <w:r>
              <w:t>Tento kód musí byť jedinečný a musí sa používať konzistentne vo všetkých vzoroch.</w:t>
            </w:r>
          </w:p>
          <w:p w14:paraId="7FE1B75A" w14:textId="77777777" w:rsidR="007A5804" w:rsidRDefault="007B7723">
            <w:pPr>
              <w:pStyle w:val="P68B1DB1-TableParagraph17"/>
              <w:spacing w:before="108"/>
              <w:ind w:left="85"/>
              <w:jc w:val="both"/>
            </w:pPr>
            <w:r>
              <w:t>Kód musí byť odlišný od kódu uvedeného v stĺpci 0040.</w:t>
            </w:r>
          </w:p>
          <w:p w14:paraId="7FE1B75B" w14:textId="77777777" w:rsidR="007A5804" w:rsidRDefault="007A5804">
            <w:pPr>
              <w:pStyle w:val="TableParagraph"/>
              <w:spacing w:before="108"/>
              <w:ind w:left="85"/>
              <w:jc w:val="both"/>
              <w:rPr>
                <w:rFonts w:ascii="Times New Roman" w:eastAsia="Cambria" w:hAnsi="Times New Roman" w:cs="Times New Roman"/>
                <w:color w:val="000000" w:themeColor="text1"/>
                <w:sz w:val="20"/>
                <w:szCs w:val="20"/>
              </w:rPr>
            </w:pPr>
          </w:p>
        </w:tc>
      </w:tr>
      <w:tr w:rsidR="007A5804"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7A5804" w:rsidRDefault="007B7723">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7A5804" w:rsidRDefault="007B7723">
            <w:pPr>
              <w:pStyle w:val="P68B1DB1-TableParagraph14"/>
              <w:spacing w:before="108"/>
              <w:ind w:left="85"/>
              <w:jc w:val="both"/>
              <w:rPr>
                <w:bCs/>
              </w:rPr>
            </w:pPr>
            <w:r>
              <w:t>Druh kódu</w:t>
            </w:r>
          </w:p>
          <w:p w14:paraId="7FE1B75F" w14:textId="2A2E5952" w:rsidR="007A5804" w:rsidRDefault="007B7723">
            <w:pPr>
              <w:pStyle w:val="P68B1DB1-TableParagraph13"/>
              <w:spacing w:before="108"/>
              <w:ind w:left="85"/>
              <w:jc w:val="both"/>
              <w:rPr>
                <w:bCs/>
              </w:rPr>
            </w:pPr>
            <w:r>
              <w:t xml:space="preserve">Kód je rovnaký ako vo vzore Z 01.01 (ORG 1). </w:t>
            </w:r>
          </w:p>
          <w:p w14:paraId="7FE1B761" w14:textId="635A8A91" w:rsidR="007A5804" w:rsidRDefault="007B7723">
            <w:pPr>
              <w:pStyle w:val="P68B1DB1-TableParagraph13"/>
              <w:spacing w:before="108"/>
              <w:ind w:left="85"/>
              <w:jc w:val="both"/>
              <w:rPr>
                <w:bCs/>
              </w:rPr>
            </w:pPr>
            <w:r>
              <w:t>Vyberie sa z nasledujúcich možností: „Kód LEI“, „kód PFI“ alebo „Druh identifikátora, iný ako LEI alebo kód PFI.</w:t>
            </w:r>
          </w:p>
          <w:p w14:paraId="7FE1B762" w14:textId="77777777" w:rsidR="007A5804" w:rsidRDefault="007B7723">
            <w:pPr>
              <w:pStyle w:val="P68B1DB1-TableParagraph13"/>
              <w:spacing w:before="108"/>
              <w:ind w:left="85"/>
              <w:jc w:val="both"/>
              <w:rPr>
                <w:b/>
                <w:bCs/>
              </w:rPr>
            </w:pPr>
            <w:r>
              <w:t>Na identifikáciu účtovných jednotiek alebo subjektov, do ktorých sa investuje, sa vo všetkých vzoroch konzistentne používa dvojica kódov a typu.</w:t>
            </w:r>
          </w:p>
        </w:tc>
      </w:tr>
      <w:tr w:rsidR="007A5804"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7A5804" w:rsidRDefault="007B7723">
            <w:pPr>
              <w:pStyle w:val="P68B1DB1-TableParagraph13"/>
              <w:spacing w:before="106"/>
              <w:ind w:left="-1"/>
            </w:pPr>
            <w:r>
              <w:t xml:space="preserve">0030 – 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7A5804" w:rsidRDefault="007B7723">
            <w:pPr>
              <w:pStyle w:val="P68B1DB1-TableParagraph14"/>
              <w:spacing w:before="108"/>
              <w:ind w:left="85"/>
              <w:jc w:val="both"/>
              <w:rPr>
                <w:bCs/>
              </w:rPr>
            </w:pPr>
            <w:r>
              <w:t>Veriteľ, držiteľ alebo poskytovateľ záruky</w:t>
            </w:r>
          </w:p>
          <w:p w14:paraId="7FE1B766" w14:textId="77777777" w:rsidR="007A5804" w:rsidRDefault="007B7723">
            <w:pPr>
              <w:pStyle w:val="P68B1DB1-TableParagraph17"/>
              <w:spacing w:before="108"/>
              <w:ind w:left="85"/>
              <w:jc w:val="both"/>
            </w:pPr>
            <w:r>
              <w:t>Právnická osoba, ktorá je veriteľom záväzku, drží kapitálový nástroj alebo poskytuje záruku.</w:t>
            </w:r>
          </w:p>
        </w:tc>
      </w:tr>
      <w:tr w:rsidR="007A5804"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7A5804" w:rsidRDefault="007B7723">
            <w:pPr>
              <w:pStyle w:val="P68B1DB1-TableParagraph13"/>
              <w:spacing w:before="106"/>
              <w:ind w:left="-1"/>
            </w:pPr>
            <w:r>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7A5804" w:rsidRDefault="007B7723">
            <w:pPr>
              <w:pStyle w:val="P68B1DB1-TableParagraph14"/>
              <w:spacing w:before="108"/>
              <w:ind w:left="85"/>
              <w:jc w:val="both"/>
              <w:rPr>
                <w:bCs/>
              </w:rPr>
            </w:pPr>
            <w:r>
              <w:t xml:space="preserve">Názov subjektu </w:t>
            </w:r>
          </w:p>
          <w:p w14:paraId="7FE1B76A" w14:textId="77777777" w:rsidR="007A5804" w:rsidRDefault="007B7723">
            <w:pPr>
              <w:pStyle w:val="P68B1DB1-TableParagraph17"/>
              <w:spacing w:before="108"/>
              <w:ind w:left="85"/>
              <w:jc w:val="both"/>
            </w:pPr>
            <w:r>
              <w:t xml:space="preserve">Musí byť odlišný od názvu subjektu uvedeného v stĺpci 0010. </w:t>
            </w:r>
          </w:p>
        </w:tc>
      </w:tr>
      <w:tr w:rsidR="007A5804"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7A5804" w:rsidRDefault="007B7723">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7A5804" w:rsidRDefault="007B7723">
            <w:pPr>
              <w:pStyle w:val="P68B1DB1-TableParagraph14"/>
              <w:spacing w:before="108"/>
              <w:ind w:left="85"/>
              <w:jc w:val="both"/>
              <w:rPr>
                <w:bCs/>
              </w:rPr>
            </w:pPr>
            <w:r>
              <w:t>Kód</w:t>
            </w:r>
          </w:p>
          <w:p w14:paraId="07AEB6DE" w14:textId="77777777" w:rsidR="007A5804" w:rsidRDefault="007B7723">
            <w:pPr>
              <w:pStyle w:val="P68B1DB1-TableParagraph17"/>
              <w:spacing w:before="108"/>
              <w:ind w:left="85"/>
              <w:jc w:val="both"/>
            </w:pPr>
            <w:r>
              <w:t xml:space="preserve">Kód veriteľa, držiteľa, alebo poskytovateľa záruky. </w:t>
            </w:r>
          </w:p>
          <w:p w14:paraId="706B20DB" w14:textId="77777777" w:rsidR="007A5804" w:rsidRDefault="007B7723">
            <w:pPr>
              <w:pStyle w:val="P68B1DB1-TableParagraph17"/>
              <w:spacing w:before="108"/>
              <w:ind w:left="85"/>
              <w:jc w:val="both"/>
            </w:pPr>
            <w:r>
              <w:t>V prípade inštitúcií s identifikátorom právneho subjektu (LEI) 20-miestny alfanumerický kód LEI;</w:t>
            </w:r>
          </w:p>
          <w:p w14:paraId="69DCA339" w14:textId="67781040" w:rsidR="007A5804" w:rsidRDefault="007B7723">
            <w:pPr>
              <w:pStyle w:val="P68B1DB1-TableParagraph17"/>
              <w:spacing w:before="108"/>
              <w:ind w:left="85"/>
              <w:jc w:val="both"/>
            </w:pPr>
            <w:r>
              <w:t>Ak nie je k dispozícii, použite kód PFI alebo kód podľa jednotnej kodifikácie platnej v Únii.</w:t>
            </w:r>
          </w:p>
          <w:p w14:paraId="7FE1B76F" w14:textId="02D6147D" w:rsidR="007A5804" w:rsidRDefault="007B7723">
            <w:pPr>
              <w:pStyle w:val="P68B1DB1-TableParagraph17"/>
              <w:spacing w:before="108"/>
              <w:ind w:left="85"/>
              <w:jc w:val="both"/>
            </w:pPr>
            <w:r>
              <w:t>Tento kód musí byť jedinečný a musí sa používať konzistentne vo všetkých vzoroch.</w:t>
            </w:r>
          </w:p>
          <w:p w14:paraId="1E86BFA0" w14:textId="77777777" w:rsidR="007A5804" w:rsidRDefault="007B7723">
            <w:pPr>
              <w:pStyle w:val="P68B1DB1-TableParagraph17"/>
              <w:spacing w:before="108"/>
              <w:ind w:left="85"/>
              <w:jc w:val="both"/>
            </w:pPr>
            <w:r>
              <w:t>Musí byť odlišný od kódu uvedeného v stĺpci 0020.</w:t>
            </w:r>
          </w:p>
          <w:p w14:paraId="7FE1B770" w14:textId="276B100A" w:rsidR="007A5804" w:rsidRDefault="007B7723">
            <w:pPr>
              <w:pStyle w:val="P68B1DB1-TableParagraph13"/>
              <w:spacing w:before="108"/>
              <w:ind w:left="85"/>
              <w:jc w:val="both"/>
              <w:rPr>
                <w:rFonts w:eastAsia="Cambria"/>
              </w:rPr>
            </w:pPr>
            <w:r>
              <w:t>Ak je poskytovateľ služby subjektom skupiny, kód musí byť rovnaký, ako sa vykazuje v stĺpci n vzoru Z 01.00 (ORG). Na identifikáciu účtovných jednotiek alebo subjektov, do ktorých sa investuje, sa vo všetkých vzoroch konzistentne používa dvojica kódov a typu.</w:t>
            </w:r>
          </w:p>
        </w:tc>
      </w:tr>
      <w:tr w:rsidR="007A5804"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7A5804" w:rsidRDefault="007B7723">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7A5804" w:rsidRDefault="007B7723">
            <w:pPr>
              <w:pStyle w:val="P68B1DB1-TableParagraph14"/>
              <w:spacing w:before="108"/>
              <w:ind w:left="85"/>
              <w:jc w:val="both"/>
              <w:rPr>
                <w:bCs/>
              </w:rPr>
            </w:pPr>
            <w:r>
              <w:t>Druh kódu</w:t>
            </w:r>
          </w:p>
          <w:p w14:paraId="00DFF190" w14:textId="04144C55" w:rsidR="007A5804" w:rsidRDefault="007A5804">
            <w:pPr>
              <w:pStyle w:val="TableParagraph"/>
              <w:spacing w:before="108"/>
              <w:ind w:left="85"/>
              <w:jc w:val="both"/>
              <w:rPr>
                <w:rFonts w:ascii="Times New Roman" w:hAnsi="Times New Roman" w:cs="Times New Roman"/>
                <w:bCs/>
                <w:color w:val="000000" w:themeColor="text1"/>
                <w:sz w:val="20"/>
                <w:szCs w:val="20"/>
              </w:rPr>
            </w:pPr>
          </w:p>
          <w:p w14:paraId="1CBCA0DC" w14:textId="04764F45" w:rsidR="007A5804" w:rsidRDefault="007B7723">
            <w:pPr>
              <w:pStyle w:val="P68B1DB1-TableParagraph13"/>
              <w:spacing w:before="108" w:line="276" w:lineRule="auto"/>
              <w:ind w:left="85"/>
              <w:jc w:val="both"/>
              <w:rPr>
                <w:color w:val="000000"/>
              </w:rPr>
            </w:pPr>
            <w:bookmarkStart w:id="65" w:name="_Hlk191377037"/>
            <w:r>
              <w:t>Vyberie sa z nasledujúcich možností: „Kód LEI“, „kód PFI“ alebo „Druh identifikátora iný ako LEI alebo kód PFI“.</w:t>
            </w:r>
            <w:bookmarkEnd w:id="65"/>
          </w:p>
          <w:p w14:paraId="072CFC22" w14:textId="7B94F65F" w:rsidR="007A5804" w:rsidRDefault="007B7723">
            <w:pPr>
              <w:pStyle w:val="P68B1DB1-TableParagraph13"/>
              <w:spacing w:before="108" w:line="276" w:lineRule="auto"/>
              <w:ind w:left="85"/>
              <w:jc w:val="both"/>
              <w:rPr>
                <w:color w:val="000000"/>
              </w:rPr>
            </w:pPr>
            <w:r>
              <w:t>Druh kódu sa vykazuje vždy.</w:t>
            </w:r>
          </w:p>
          <w:p w14:paraId="63D16443" w14:textId="77777777" w:rsidR="007A5804" w:rsidRDefault="007B7723">
            <w:pPr>
              <w:pStyle w:val="P68B1DB1-TableParagraph13"/>
              <w:spacing w:before="108" w:line="276" w:lineRule="auto"/>
              <w:ind w:left="85"/>
              <w:jc w:val="both"/>
              <w:rPr>
                <w:color w:val="000000"/>
              </w:rPr>
            </w:pPr>
            <w:r>
              <w:t>Ak veriteľ, držiteľ alebo poskytovateľ záruky nie je subjektom skupiny, typ kódu je prednostne kód LEI.</w:t>
            </w:r>
          </w:p>
          <w:p w14:paraId="7FE1B777" w14:textId="69660BC3" w:rsidR="007A5804" w:rsidRDefault="007A5804">
            <w:pPr>
              <w:pStyle w:val="TableParagraph"/>
              <w:spacing w:before="108"/>
              <w:ind w:left="85"/>
              <w:jc w:val="both"/>
              <w:rPr>
                <w:rFonts w:ascii="Times New Roman" w:hAnsi="Times New Roman" w:cs="Times New Roman"/>
                <w:b/>
                <w:bCs/>
                <w:color w:val="000000" w:themeColor="text1"/>
                <w:sz w:val="20"/>
                <w:szCs w:val="20"/>
              </w:rPr>
            </w:pPr>
          </w:p>
        </w:tc>
      </w:tr>
      <w:tr w:rsidR="007A5804"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7A5804" w:rsidRDefault="007B7723">
            <w:pPr>
              <w:pStyle w:val="P68B1DB1-TableParagraph13"/>
              <w:spacing w:before="106"/>
              <w:ind w:left="-1"/>
            </w:pPr>
            <w:r>
              <w:lastRenderedPageBreak/>
              <w:t xml:space="preserve">0050 – 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7A5804" w:rsidRDefault="007B7723">
            <w:pPr>
              <w:pStyle w:val="P68B1DB1-TableParagraph14"/>
              <w:spacing w:before="108"/>
              <w:ind w:left="85"/>
              <w:jc w:val="both"/>
              <w:rPr>
                <w:bCs/>
              </w:rPr>
            </w:pPr>
            <w:r>
              <w:t>Finančné prepojenie</w:t>
            </w:r>
          </w:p>
          <w:p w14:paraId="7FE1B77B" w14:textId="079D8C41" w:rsidR="007A5804" w:rsidRDefault="007B7723">
            <w:pPr>
              <w:pStyle w:val="P68B1DB1-TableParagraph17"/>
              <w:spacing w:before="108"/>
              <w:ind w:left="85"/>
              <w:jc w:val="both"/>
            </w:pPr>
            <w:r>
              <w:t>V tomto poli sa opisuje finančné prepojenie medzi všetkými právnickými osobami.</w:t>
            </w:r>
          </w:p>
        </w:tc>
      </w:tr>
      <w:tr w:rsidR="007A5804"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7A5804" w:rsidRDefault="007B7723">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7A5804" w:rsidRDefault="007B7723">
            <w:pPr>
              <w:pStyle w:val="P68B1DB1-TableParagraph14"/>
              <w:spacing w:before="108"/>
              <w:ind w:left="85"/>
              <w:jc w:val="both"/>
              <w:rPr>
                <w:bCs/>
              </w:rPr>
            </w:pPr>
            <w:r>
              <w:t>Druh</w:t>
            </w:r>
          </w:p>
          <w:p w14:paraId="7FE1B77F" w14:textId="77777777" w:rsidR="007A5804" w:rsidRDefault="007B7723">
            <w:pPr>
              <w:pStyle w:val="P68B1DB1-TableParagraph17"/>
              <w:spacing w:before="108"/>
              <w:ind w:left="85"/>
              <w:jc w:val="both"/>
            </w:pPr>
            <w:r>
              <w:t>Vyberie sa z tohto zoznamu:</w:t>
            </w:r>
          </w:p>
          <w:p w14:paraId="7FE1B780" w14:textId="77777777" w:rsidR="007A5804" w:rsidRDefault="007B7723">
            <w:pPr>
              <w:pStyle w:val="P68B1DB1-TableParagraph24"/>
              <w:spacing w:before="108"/>
              <w:ind w:left="85"/>
              <w:jc w:val="both"/>
            </w:pPr>
            <w:r>
              <w:t>Záväzky v rámci skupiny</w:t>
            </w:r>
          </w:p>
          <w:p w14:paraId="7FE1B781" w14:textId="77777777" w:rsidR="007A5804" w:rsidRDefault="007A5804">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7A5804" w:rsidRDefault="007B7723">
            <w:pPr>
              <w:pStyle w:val="P68B1DB1-ListParagraph25"/>
              <w:numPr>
                <w:ilvl w:val="0"/>
                <w:numId w:val="54"/>
              </w:numPr>
              <w:autoSpaceDE w:val="0"/>
              <w:autoSpaceDN w:val="0"/>
              <w:adjustRightInd w:val="0"/>
              <w:ind w:left="539" w:hanging="454"/>
              <w:contextualSpacing/>
              <w:jc w:val="both"/>
            </w:pPr>
            <w:r>
              <w:t xml:space="preserve">Záväzky vylúčené zo záchrany pomocou vnútorných zdrojov </w:t>
            </w:r>
          </w:p>
          <w:p w14:paraId="7FE1B783" w14:textId="047CAF02" w:rsidR="007A5804" w:rsidRDefault="007B7723">
            <w:pPr>
              <w:pStyle w:val="P68B1DB1-ListParagraph25"/>
              <w:autoSpaceDE w:val="0"/>
              <w:autoSpaceDN w:val="0"/>
              <w:adjustRightInd w:val="0"/>
              <w:ind w:left="539"/>
              <w:contextualSpacing/>
              <w:jc w:val="both"/>
            </w:pPr>
            <w:r>
              <w:t>Rovnaké vymedzenie ako Z 02.00 (LIAB 1), riadok 0100</w:t>
            </w:r>
          </w:p>
          <w:p w14:paraId="7FE1B784" w14:textId="77777777" w:rsidR="007A5804" w:rsidRDefault="007B7723">
            <w:pPr>
              <w:pStyle w:val="P68B1DB1-ListParagraph25"/>
              <w:numPr>
                <w:ilvl w:val="0"/>
                <w:numId w:val="54"/>
              </w:numPr>
              <w:autoSpaceDE w:val="0"/>
              <w:autoSpaceDN w:val="0"/>
              <w:adjustRightInd w:val="0"/>
              <w:ind w:left="539" w:hanging="454"/>
              <w:contextualSpacing/>
              <w:jc w:val="both"/>
            </w:pPr>
            <w:r>
              <w:t>Vklady, ktoré nie sú kryté, ale sú preferenčné</w:t>
            </w:r>
          </w:p>
          <w:p w14:paraId="7FE1B785" w14:textId="69E9007C" w:rsidR="007A5804" w:rsidRDefault="007B7723">
            <w:pPr>
              <w:pStyle w:val="P68B1DB1-ListParagraph25"/>
              <w:autoSpaceDE w:val="0"/>
              <w:autoSpaceDN w:val="0"/>
              <w:adjustRightInd w:val="0"/>
              <w:ind w:left="539"/>
              <w:jc w:val="both"/>
            </w:pPr>
            <w:r>
              <w:t>Rovnaké vymedzenie ako Z 02.00 (LIAB 1), riadok 0310</w:t>
            </w:r>
          </w:p>
          <w:p w14:paraId="7FE1B786" w14:textId="77777777" w:rsidR="007A5804" w:rsidRDefault="007B7723">
            <w:pPr>
              <w:pStyle w:val="P68B1DB1-ListParagraph25"/>
              <w:numPr>
                <w:ilvl w:val="0"/>
                <w:numId w:val="54"/>
              </w:numPr>
              <w:autoSpaceDE w:val="0"/>
              <w:autoSpaceDN w:val="0"/>
              <w:adjustRightInd w:val="0"/>
              <w:ind w:left="539" w:hanging="454"/>
              <w:contextualSpacing/>
              <w:jc w:val="both"/>
            </w:pPr>
            <w:r>
              <w:t>Vklady, ktoré nie sú kryté ani preferenčné</w:t>
            </w:r>
          </w:p>
          <w:p w14:paraId="7FE1B787" w14:textId="4FA7AC10" w:rsidR="007A5804" w:rsidRDefault="007B7723">
            <w:pPr>
              <w:pStyle w:val="P68B1DB1-ListParagraph25"/>
              <w:autoSpaceDE w:val="0"/>
              <w:autoSpaceDN w:val="0"/>
              <w:adjustRightInd w:val="0"/>
              <w:ind w:left="539"/>
              <w:jc w:val="both"/>
            </w:pPr>
            <w:r>
              <w:t>Rovnaké vymedzenie ako Z 02.00 (LIAB 1), riadok 0320</w:t>
            </w:r>
          </w:p>
          <w:p w14:paraId="7FE1B788" w14:textId="77777777" w:rsidR="007A5804" w:rsidRDefault="007B7723">
            <w:pPr>
              <w:pStyle w:val="P68B1DB1-ListParagraph25"/>
              <w:numPr>
                <w:ilvl w:val="0"/>
                <w:numId w:val="54"/>
              </w:numPr>
              <w:autoSpaceDE w:val="0"/>
              <w:autoSpaceDN w:val="0"/>
              <w:adjustRightInd w:val="0"/>
              <w:ind w:left="539" w:hanging="454"/>
              <w:contextualSpacing/>
              <w:jc w:val="both"/>
            </w:pPr>
            <w:r>
              <w:t>Záväzky vyplývajúce z derivátov (sumy po konečnom zúčtovaní)</w:t>
            </w:r>
          </w:p>
          <w:p w14:paraId="7FE1B789" w14:textId="5DAB7051" w:rsidR="007A5804" w:rsidRDefault="007B7723">
            <w:pPr>
              <w:pStyle w:val="P68B1DB1-ListParagraph25"/>
              <w:autoSpaceDE w:val="0"/>
              <w:autoSpaceDN w:val="0"/>
              <w:adjustRightInd w:val="0"/>
              <w:ind w:left="539"/>
              <w:jc w:val="both"/>
            </w:pPr>
            <w:r>
              <w:t>Rovnaké vymedzenie ako Z 02.00 (LIAB 1), riadok 0330</w:t>
            </w:r>
          </w:p>
          <w:p w14:paraId="7FE1B78A" w14:textId="77777777" w:rsidR="007A5804" w:rsidRDefault="007B7723">
            <w:pPr>
              <w:pStyle w:val="P68B1DB1-ListParagraph25"/>
              <w:numPr>
                <w:ilvl w:val="0"/>
                <w:numId w:val="54"/>
              </w:numPr>
              <w:autoSpaceDE w:val="0"/>
              <w:autoSpaceDN w:val="0"/>
              <w:adjustRightInd w:val="0"/>
              <w:ind w:left="539" w:hanging="454"/>
              <w:contextualSpacing/>
              <w:jc w:val="both"/>
            </w:pPr>
            <w:r>
              <w:t>Zabezpečené záväzky nezabezpečené kolaterálom</w:t>
            </w:r>
          </w:p>
          <w:p w14:paraId="7FE1B78B" w14:textId="5B0021F4" w:rsidR="007A5804" w:rsidRDefault="007B7723">
            <w:pPr>
              <w:pStyle w:val="P68B1DB1-ListParagraph25"/>
              <w:autoSpaceDE w:val="0"/>
              <w:autoSpaceDN w:val="0"/>
              <w:adjustRightInd w:val="0"/>
              <w:ind w:left="539"/>
              <w:jc w:val="both"/>
            </w:pPr>
            <w:r>
              <w:t>Rovnaké vymedzenie ako Z 02.00 (LIAB 1), riadok 0340</w:t>
            </w:r>
          </w:p>
          <w:p w14:paraId="7FE1B78C" w14:textId="77777777" w:rsidR="007A5804" w:rsidRDefault="007B7723">
            <w:pPr>
              <w:pStyle w:val="P68B1DB1-ListParagraph25"/>
              <w:numPr>
                <w:ilvl w:val="0"/>
                <w:numId w:val="54"/>
              </w:numPr>
              <w:autoSpaceDE w:val="0"/>
              <w:autoSpaceDN w:val="0"/>
              <w:adjustRightInd w:val="0"/>
              <w:ind w:left="539" w:hanging="454"/>
              <w:contextualSpacing/>
              <w:jc w:val="both"/>
            </w:pPr>
            <w:r>
              <w:t>Štruktúrované cenné papiere</w:t>
            </w:r>
          </w:p>
          <w:p w14:paraId="7FE1B78D" w14:textId="7DF4D7F4" w:rsidR="007A5804" w:rsidRDefault="007B7723">
            <w:pPr>
              <w:pStyle w:val="P68B1DB1-ListParagraph25"/>
              <w:autoSpaceDE w:val="0"/>
              <w:autoSpaceDN w:val="0"/>
              <w:adjustRightInd w:val="0"/>
              <w:ind w:left="539"/>
              <w:jc w:val="both"/>
            </w:pPr>
            <w:r>
              <w:t>Rovnaké vymedzenie ako Z 02.00 (LIAB 1), riadok 0350</w:t>
            </w:r>
          </w:p>
          <w:p w14:paraId="7FE1B78E" w14:textId="77777777" w:rsidR="007A5804" w:rsidRDefault="007B7723">
            <w:pPr>
              <w:pStyle w:val="P68B1DB1-ListParagraph25"/>
              <w:numPr>
                <w:ilvl w:val="0"/>
                <w:numId w:val="54"/>
              </w:numPr>
              <w:autoSpaceDE w:val="0"/>
              <w:autoSpaceDN w:val="0"/>
              <w:adjustRightInd w:val="0"/>
              <w:ind w:left="539" w:hanging="454"/>
              <w:contextualSpacing/>
              <w:jc w:val="both"/>
            </w:pPr>
            <w:r>
              <w:t>Nadriadené nezabezpečené záväzky</w:t>
            </w:r>
          </w:p>
          <w:p w14:paraId="7FE1B78F" w14:textId="67CE577E" w:rsidR="007A5804" w:rsidRDefault="007B7723">
            <w:pPr>
              <w:pStyle w:val="P68B1DB1-ListParagraph25"/>
              <w:autoSpaceDE w:val="0"/>
              <w:autoSpaceDN w:val="0"/>
              <w:adjustRightInd w:val="0"/>
              <w:ind w:left="539"/>
              <w:jc w:val="both"/>
            </w:pPr>
            <w:r>
              <w:t>Rovnaké vymedzenie ako Z 02.00 (LIAB 1), riadok 0360</w:t>
            </w:r>
          </w:p>
          <w:p w14:paraId="7FE1B790" w14:textId="77777777" w:rsidR="007A5804" w:rsidRDefault="007B7723">
            <w:pPr>
              <w:pStyle w:val="P68B1DB1-ListParagraph25"/>
              <w:numPr>
                <w:ilvl w:val="0"/>
                <w:numId w:val="54"/>
              </w:numPr>
              <w:autoSpaceDE w:val="0"/>
              <w:autoSpaceDN w:val="0"/>
              <w:adjustRightInd w:val="0"/>
              <w:ind w:left="539" w:hanging="454"/>
              <w:contextualSpacing/>
              <w:jc w:val="both"/>
            </w:pPr>
            <w:r>
              <w:t>Nadriadené záväzky bez prioritného postavenia</w:t>
            </w:r>
          </w:p>
          <w:p w14:paraId="7FE1B791" w14:textId="6BECB3BB" w:rsidR="007A5804" w:rsidRDefault="007B7723">
            <w:pPr>
              <w:pStyle w:val="P68B1DB1-ListParagraph25"/>
              <w:autoSpaceDE w:val="0"/>
              <w:autoSpaceDN w:val="0"/>
              <w:adjustRightInd w:val="0"/>
              <w:ind w:left="539"/>
              <w:contextualSpacing/>
              <w:jc w:val="both"/>
            </w:pPr>
            <w:r>
              <w:t>Rovnaké vymedzenie ako Z 02.00 (LIAB 1), riadok 0365</w:t>
            </w:r>
          </w:p>
          <w:p w14:paraId="7FE1B792" w14:textId="77777777" w:rsidR="007A5804" w:rsidRDefault="007B7723">
            <w:pPr>
              <w:pStyle w:val="P68B1DB1-ListParagraph25"/>
              <w:numPr>
                <w:ilvl w:val="0"/>
                <w:numId w:val="54"/>
              </w:numPr>
              <w:autoSpaceDE w:val="0"/>
              <w:autoSpaceDN w:val="0"/>
              <w:adjustRightInd w:val="0"/>
              <w:ind w:left="539" w:hanging="454"/>
              <w:contextualSpacing/>
              <w:jc w:val="both"/>
            </w:pPr>
            <w:r>
              <w:t>Podriadené záväzky</w:t>
            </w:r>
          </w:p>
          <w:p w14:paraId="7FE1B793" w14:textId="1719A947" w:rsidR="007A5804" w:rsidRDefault="007B7723">
            <w:pPr>
              <w:pStyle w:val="P68B1DB1-ListParagraph25"/>
              <w:autoSpaceDE w:val="0"/>
              <w:autoSpaceDN w:val="0"/>
              <w:adjustRightInd w:val="0"/>
              <w:ind w:left="539"/>
              <w:jc w:val="both"/>
            </w:pPr>
            <w:r>
              <w:t>Rovnaké vymedzenie ako Z 02.00 (LIAB 1), riadok 0370</w:t>
            </w:r>
          </w:p>
          <w:p w14:paraId="7FE1B794" w14:textId="77777777" w:rsidR="007A5804" w:rsidRDefault="007B7723">
            <w:pPr>
              <w:pStyle w:val="P68B1DB1-ListParagraph25"/>
              <w:numPr>
                <w:ilvl w:val="0"/>
                <w:numId w:val="54"/>
              </w:numPr>
              <w:autoSpaceDE w:val="0"/>
              <w:autoSpaceDN w:val="0"/>
              <w:adjustRightInd w:val="0"/>
              <w:ind w:left="539" w:hanging="454"/>
              <w:contextualSpacing/>
              <w:jc w:val="both"/>
            </w:pPr>
            <w:r>
              <w:t>Iné oprávnené záväzky pre MREL</w:t>
            </w:r>
          </w:p>
          <w:p w14:paraId="7FE1B795" w14:textId="18D60D2B" w:rsidR="007A5804" w:rsidRDefault="007B7723">
            <w:pPr>
              <w:pStyle w:val="P68B1DB1-ListParagraph25"/>
              <w:autoSpaceDE w:val="0"/>
              <w:autoSpaceDN w:val="0"/>
              <w:adjustRightInd w:val="0"/>
              <w:ind w:left="539"/>
              <w:jc w:val="both"/>
            </w:pPr>
            <w:r>
              <w:t>Rovnaké vymedzenie ako Z 02.00 (LIAB 1), riadok 0380</w:t>
            </w:r>
          </w:p>
          <w:p w14:paraId="7FE1B796" w14:textId="77777777" w:rsidR="007A5804" w:rsidRDefault="007B7723">
            <w:pPr>
              <w:pStyle w:val="P68B1DB1-ListParagraph25"/>
              <w:numPr>
                <w:ilvl w:val="0"/>
                <w:numId w:val="54"/>
              </w:numPr>
              <w:autoSpaceDE w:val="0"/>
              <w:autoSpaceDN w:val="0"/>
              <w:adjustRightInd w:val="0"/>
              <w:ind w:left="539" w:hanging="454"/>
              <w:contextualSpacing/>
              <w:jc w:val="both"/>
            </w:pPr>
            <w:r>
              <w:t>Nefinančné záväzky</w:t>
            </w:r>
          </w:p>
          <w:p w14:paraId="7FE1B797" w14:textId="03D8AF00" w:rsidR="007A5804" w:rsidRDefault="007B7723">
            <w:pPr>
              <w:pStyle w:val="P68B1DB1-ListParagraph25"/>
              <w:autoSpaceDE w:val="0"/>
              <w:autoSpaceDN w:val="0"/>
              <w:adjustRightInd w:val="0"/>
              <w:ind w:left="539"/>
              <w:jc w:val="both"/>
            </w:pPr>
            <w:r>
              <w:t>Rovnaké vymedzenie ako Z 02.00 (LIAB 1), riadok 0390</w:t>
            </w:r>
          </w:p>
          <w:p w14:paraId="7FE1B798" w14:textId="77777777" w:rsidR="007A5804" w:rsidRDefault="007B7723">
            <w:pPr>
              <w:pStyle w:val="P68B1DB1-ListParagraph25"/>
              <w:numPr>
                <w:ilvl w:val="0"/>
                <w:numId w:val="54"/>
              </w:numPr>
              <w:autoSpaceDE w:val="0"/>
              <w:autoSpaceDN w:val="0"/>
              <w:adjustRightInd w:val="0"/>
              <w:ind w:left="539" w:hanging="454"/>
              <w:contextualSpacing/>
              <w:jc w:val="both"/>
            </w:pPr>
            <w:r>
              <w:t>Zostatkové záväzky</w:t>
            </w:r>
          </w:p>
          <w:p w14:paraId="7FE1B799" w14:textId="5E01E641" w:rsidR="007A5804" w:rsidRDefault="007B7723">
            <w:pPr>
              <w:pStyle w:val="P68B1DB1-ListParagraph25"/>
              <w:autoSpaceDE w:val="0"/>
              <w:autoSpaceDN w:val="0"/>
              <w:adjustRightInd w:val="0"/>
              <w:ind w:left="539"/>
              <w:jc w:val="both"/>
            </w:pPr>
            <w:r>
              <w:t>Rovnaké vymedzenie ako Z 02.00 (LIAB 1), riadok 0400 Akýkoľvek záväzok nezachytený v žiadnej z predchádzajúcich položiek.</w:t>
            </w:r>
          </w:p>
          <w:p w14:paraId="7FE1B79A" w14:textId="77777777" w:rsidR="007A5804" w:rsidRDefault="007B7723">
            <w:pPr>
              <w:pStyle w:val="P68B1DB1-ListParagraph25"/>
              <w:numPr>
                <w:ilvl w:val="0"/>
                <w:numId w:val="54"/>
              </w:numPr>
              <w:autoSpaceDE w:val="0"/>
              <w:autoSpaceDN w:val="0"/>
              <w:adjustRightInd w:val="0"/>
              <w:ind w:left="539" w:hanging="454"/>
              <w:contextualSpacing/>
              <w:jc w:val="both"/>
            </w:pPr>
            <w:r>
              <w:t>Kapitál Tier 2</w:t>
            </w:r>
          </w:p>
          <w:p w14:paraId="7FE1B79B" w14:textId="1DC09C8A" w:rsidR="007A5804" w:rsidRDefault="007B7723">
            <w:pPr>
              <w:pStyle w:val="P68B1DB1-ListParagraph25"/>
              <w:autoSpaceDE w:val="0"/>
              <w:autoSpaceDN w:val="0"/>
              <w:adjustRightInd w:val="0"/>
              <w:ind w:left="539"/>
              <w:jc w:val="both"/>
            </w:pPr>
            <w:r>
              <w:t>Rovnaké vymedzenie ako Z 02.00 (LIAB 1), riadok 0530</w:t>
            </w:r>
          </w:p>
          <w:p w14:paraId="7FE1B79C" w14:textId="77777777" w:rsidR="007A5804" w:rsidRDefault="007B7723">
            <w:pPr>
              <w:pStyle w:val="P68B1DB1-ListParagraph25"/>
              <w:numPr>
                <w:ilvl w:val="0"/>
                <w:numId w:val="54"/>
              </w:numPr>
              <w:autoSpaceDE w:val="0"/>
              <w:autoSpaceDN w:val="0"/>
              <w:adjustRightInd w:val="0"/>
              <w:ind w:left="539" w:hanging="454"/>
              <w:contextualSpacing/>
              <w:jc w:val="both"/>
            </w:pPr>
            <w:r>
              <w:t>Dodatočný kapitál Tier 1</w:t>
            </w:r>
          </w:p>
          <w:p w14:paraId="7FE1B79D" w14:textId="5EB7A3D7" w:rsidR="007A5804" w:rsidRDefault="007B7723">
            <w:pPr>
              <w:pStyle w:val="P68B1DB1-ListParagraph25"/>
              <w:autoSpaceDE w:val="0"/>
              <w:autoSpaceDN w:val="0"/>
              <w:adjustRightInd w:val="0"/>
              <w:ind w:left="539"/>
              <w:jc w:val="both"/>
            </w:pPr>
            <w:r>
              <w:t>Rovnaké vymedzenie ako Z 02.00 (LIAB 1), riadok 0520</w:t>
            </w:r>
          </w:p>
          <w:p w14:paraId="7FE1B79E" w14:textId="77777777" w:rsidR="007A5804" w:rsidRDefault="007B7723">
            <w:pPr>
              <w:pStyle w:val="P68B1DB1-ListParagraph25"/>
              <w:numPr>
                <w:ilvl w:val="0"/>
                <w:numId w:val="54"/>
              </w:numPr>
              <w:autoSpaceDE w:val="0"/>
              <w:autoSpaceDN w:val="0"/>
              <w:adjustRightInd w:val="0"/>
              <w:ind w:left="539" w:hanging="454"/>
              <w:contextualSpacing/>
              <w:jc w:val="both"/>
            </w:pPr>
            <w:r>
              <w:t>Vlastný kapitál Tier 1</w:t>
            </w:r>
          </w:p>
          <w:p w14:paraId="7FE1B79F" w14:textId="3DF796DF" w:rsidR="007A5804" w:rsidRDefault="007B7723">
            <w:pPr>
              <w:pStyle w:val="P68B1DB1-ListParagraph25"/>
              <w:autoSpaceDE w:val="0"/>
              <w:autoSpaceDN w:val="0"/>
              <w:adjustRightInd w:val="0"/>
              <w:ind w:left="539"/>
              <w:jc w:val="both"/>
            </w:pPr>
            <w:r>
              <w:t>Rovnaké vymedzenie ako Z 02.00 (LIAB 1), riadok 0510</w:t>
            </w:r>
          </w:p>
          <w:p w14:paraId="7FE1B7A0" w14:textId="77777777" w:rsidR="007A5804" w:rsidRDefault="007B7723">
            <w:pPr>
              <w:pStyle w:val="P68B1DB1-TableParagraph24"/>
              <w:spacing w:before="108"/>
              <w:ind w:left="85"/>
              <w:jc w:val="both"/>
            </w:pPr>
            <w:r>
              <w:t>Záruky v rámci skupiny</w:t>
            </w:r>
          </w:p>
          <w:p w14:paraId="7FE1B7A1" w14:textId="426DD2CE" w:rsidR="007A5804" w:rsidRDefault="007B7723">
            <w:pPr>
              <w:pStyle w:val="P68B1DB1-ListParagraph25"/>
              <w:numPr>
                <w:ilvl w:val="0"/>
                <w:numId w:val="55"/>
              </w:numPr>
              <w:autoSpaceDE w:val="0"/>
              <w:autoSpaceDN w:val="0"/>
              <w:adjustRightInd w:val="0"/>
              <w:ind w:left="539" w:hanging="454"/>
              <w:contextualSpacing/>
              <w:jc w:val="both"/>
            </w:pPr>
            <w:r>
              <w:t>Záruky za emisiu</w:t>
            </w:r>
          </w:p>
          <w:p w14:paraId="7FE1B7A2" w14:textId="77777777" w:rsidR="007A5804" w:rsidRDefault="007B7723">
            <w:pPr>
              <w:pStyle w:val="P68B1DB1-ListParagraph25"/>
              <w:autoSpaceDE w:val="0"/>
              <w:autoSpaceDN w:val="0"/>
              <w:adjustRightInd w:val="0"/>
              <w:ind w:left="539"/>
              <w:jc w:val="both"/>
            </w:pPr>
            <w:r>
              <w:t>Záruky na špecifické nástroje/záväzky, ktoré boli emitované</w:t>
            </w:r>
          </w:p>
          <w:p w14:paraId="7FE1B7A3" w14:textId="71CD6004" w:rsidR="007A5804" w:rsidRDefault="007B7723">
            <w:pPr>
              <w:pStyle w:val="P68B1DB1-ListParagraph25"/>
              <w:numPr>
                <w:ilvl w:val="0"/>
                <w:numId w:val="55"/>
              </w:numPr>
              <w:autoSpaceDE w:val="0"/>
              <w:autoSpaceDN w:val="0"/>
              <w:adjustRightInd w:val="0"/>
              <w:ind w:left="539" w:hanging="454"/>
              <w:contextualSpacing/>
              <w:jc w:val="both"/>
            </w:pPr>
            <w:r>
              <w:t>Záruky protistrany</w:t>
            </w:r>
          </w:p>
          <w:p w14:paraId="7FE1B7A4" w14:textId="77777777" w:rsidR="007A5804" w:rsidRDefault="007B7723">
            <w:pPr>
              <w:pStyle w:val="P68B1DB1-ListParagraph25"/>
              <w:autoSpaceDE w:val="0"/>
              <w:autoSpaceDN w:val="0"/>
              <w:adjustRightInd w:val="0"/>
              <w:ind w:left="539"/>
              <w:jc w:val="both"/>
            </w:pPr>
            <w:r>
              <w:t>Záruky poskytnuté určitej protistrane inštitúcie</w:t>
            </w:r>
          </w:p>
          <w:p w14:paraId="7FE1B7A5" w14:textId="50A984E1" w:rsidR="007A5804" w:rsidRDefault="007B7723">
            <w:pPr>
              <w:pStyle w:val="P68B1DB1-ListParagraph25"/>
              <w:numPr>
                <w:ilvl w:val="0"/>
                <w:numId w:val="55"/>
              </w:numPr>
              <w:autoSpaceDE w:val="0"/>
              <w:autoSpaceDN w:val="0"/>
              <w:adjustRightInd w:val="0"/>
              <w:ind w:left="539" w:hanging="454"/>
              <w:contextualSpacing/>
              <w:jc w:val="both"/>
            </w:pPr>
            <w:r>
              <w:t>Neobmedzené záruky</w:t>
            </w:r>
          </w:p>
          <w:p w14:paraId="7FE1B7A6" w14:textId="77777777" w:rsidR="007A5804" w:rsidRDefault="007B7723">
            <w:pPr>
              <w:pStyle w:val="P68B1DB1-ListParagraph25"/>
              <w:autoSpaceDE w:val="0"/>
              <w:autoSpaceDN w:val="0"/>
              <w:adjustRightInd w:val="0"/>
              <w:ind w:left="539"/>
              <w:jc w:val="both"/>
            </w:pPr>
            <w:r>
              <w:t xml:space="preserve">Všeobecné záruky neobmedzené na pevne stanovenú sumu </w:t>
            </w:r>
          </w:p>
          <w:p w14:paraId="7FE1B7A7" w14:textId="391BAF8D" w:rsidR="007A5804" w:rsidRDefault="007B7723">
            <w:pPr>
              <w:pStyle w:val="P68B1DB1-ListParagraph25"/>
              <w:numPr>
                <w:ilvl w:val="0"/>
                <w:numId w:val="55"/>
              </w:numPr>
              <w:autoSpaceDE w:val="0"/>
              <w:autoSpaceDN w:val="0"/>
              <w:adjustRightInd w:val="0"/>
              <w:ind w:left="539" w:hanging="454"/>
              <w:contextualSpacing/>
              <w:jc w:val="both"/>
            </w:pPr>
            <w:r>
              <w:t>Iné záruky</w:t>
            </w:r>
          </w:p>
          <w:p w14:paraId="7FE1B7A8" w14:textId="77777777" w:rsidR="007A5804" w:rsidRDefault="007B7723">
            <w:pPr>
              <w:pStyle w:val="P68B1DB1-ListParagraph25"/>
              <w:autoSpaceDE w:val="0"/>
              <w:autoSpaceDN w:val="0"/>
              <w:adjustRightInd w:val="0"/>
              <w:ind w:left="539"/>
              <w:jc w:val="both"/>
            </w:pPr>
            <w:r>
              <w:t xml:space="preserve">Akýkoľvek druh záruky nekrytej predchádzajúcimi druhmi záruk. </w:t>
            </w:r>
          </w:p>
        </w:tc>
      </w:tr>
      <w:tr w:rsidR="007A5804"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7A5804" w:rsidRDefault="007B7723">
            <w:pPr>
              <w:pStyle w:val="P68B1DB1-TableParagraph13"/>
              <w:spacing w:before="106"/>
              <w:ind w:left="-1"/>
            </w:pPr>
            <w:r>
              <w:t>0060 – 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7A5804" w:rsidRDefault="007B7723">
            <w:pPr>
              <w:pStyle w:val="P68B1DB1-TableParagraph14"/>
              <w:spacing w:before="108"/>
              <w:ind w:left="85"/>
              <w:jc w:val="both"/>
              <w:rPr>
                <w:bCs/>
              </w:rPr>
            </w:pPr>
            <w:r>
              <w:t>Neuhradená suma</w:t>
            </w:r>
          </w:p>
          <w:p w14:paraId="7FE1B7AC" w14:textId="0BB5F57D" w:rsidR="007A5804" w:rsidRDefault="007B7723">
            <w:pPr>
              <w:pStyle w:val="P68B1DB1-TableParagraph17"/>
              <w:spacing w:before="108"/>
              <w:ind w:left="85"/>
              <w:jc w:val="both"/>
            </w:pPr>
            <w:r>
              <w:t xml:space="preserve">Pri záväzkoch v stĺpci 0050 nesplatenú sumu záväzkov v rámci skupiny; v prípade záväzkov </w:t>
            </w:r>
            <w:r>
              <w:lastRenderedPageBreak/>
              <w:t>vyplývajúcich z derivátov sumy po konečnom zúčtovaní podľa vymedzenia na účely vzoru Z 02.00 (LIAB 1), riadok 0333.</w:t>
            </w:r>
          </w:p>
          <w:p w14:paraId="7FE1B7AD" w14:textId="75442B42" w:rsidR="007A5804" w:rsidRDefault="007B7723">
            <w:pPr>
              <w:pStyle w:val="P68B1DB1-TableParagraph17"/>
              <w:spacing w:before="108"/>
              <w:ind w:left="85"/>
              <w:jc w:val="both"/>
            </w:pPr>
            <w:r>
              <w:t xml:space="preserve">V prípade záruk v stĺpci 0050 maximálna potenciálna výška budúcich platieb v rámci záruky </w:t>
            </w:r>
          </w:p>
        </w:tc>
      </w:tr>
      <w:tr w:rsidR="007A5804"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7A5804" w:rsidRDefault="007B7723">
            <w:pPr>
              <w:pStyle w:val="P68B1DB1-TableParagraph13"/>
              <w:spacing w:before="106"/>
              <w:ind w:left="-1"/>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7A5804" w:rsidRDefault="007B7723">
            <w:pPr>
              <w:pStyle w:val="P68B1DB1-TableParagraph14"/>
              <w:spacing w:before="108"/>
              <w:ind w:left="85"/>
              <w:jc w:val="both"/>
              <w:rPr>
                <w:bCs/>
              </w:rPr>
            </w:pPr>
            <w:r>
              <w:t>z toho emitované podľa práva tretej krajiny</w:t>
            </w:r>
          </w:p>
          <w:p w14:paraId="7FE1B7B1" w14:textId="77777777" w:rsidR="007A5804" w:rsidRDefault="007B7723">
            <w:pPr>
              <w:pStyle w:val="P68B1DB1-TableParagraph13"/>
              <w:spacing w:before="108"/>
              <w:ind w:left="85"/>
              <w:jc w:val="both"/>
              <w:rPr>
                <w:bCs/>
              </w:rPr>
            </w:pPr>
            <w:r>
              <w:t>Podiel nesplatenej sumy, ktorá sa riadi právom tretej krajiny, v peňažnej hodnote.</w:t>
            </w:r>
          </w:p>
        </w:tc>
      </w:tr>
      <w:tr w:rsidR="007A5804"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7A5804" w:rsidRDefault="007B7723">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7A5804" w:rsidRDefault="007B7723">
            <w:pPr>
              <w:pStyle w:val="P68B1DB1-TableParagraph14"/>
              <w:spacing w:before="108"/>
              <w:ind w:left="85"/>
              <w:jc w:val="both"/>
              <w:rPr>
                <w:rFonts w:eastAsia="Cambria"/>
              </w:rPr>
            </w:pPr>
            <w:r>
              <w:t>Z toho: Oprávnené záväzky pre MREL</w:t>
            </w:r>
          </w:p>
          <w:p w14:paraId="7FE1B7B5" w14:textId="77777777"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Suma vlastných zdrojov a záväzkov oprávnených na splnenie požiadavky uvedenej v článku 45 smernice 2014/59/EÚ v súlade s článkom 45e alebo 45f uvedenej smernice, podľa prípadov.</w:t>
            </w:r>
            <w:r>
              <w:rPr>
                <w:rFonts w:ascii="Times New Roman" w:hAnsi="Times New Roman" w:cs="Times New Roman"/>
              </w:rPr>
              <w:t xml:space="preserve"> </w:t>
            </w:r>
            <w:r>
              <w:rPr>
                <w:rFonts w:ascii="Times New Roman" w:eastAsia="Cambria" w:hAnsi="Times New Roman" w:cs="Times New Roman"/>
                <w:color w:val="000000" w:themeColor="text1"/>
                <w:sz w:val="20"/>
                <w:szCs w:val="20"/>
              </w:rPr>
              <w:t>Vykazujú sa len tie vlastné zdroje a záväzky, ktoré spĺňajú kritériá článku 45b alebo prípadne článku 45f ods. 2 smernice 2014/59/EÚ, pričom sa v relevantných prípadoch zohľadní článok 89 ods. 2 smernice o ozdravení a riešení krízových situácií bánk a článok 55 smernice o ozdravení a riešení krízových situácií bánk.</w:t>
            </w:r>
          </w:p>
        </w:tc>
      </w:tr>
    </w:tbl>
    <w:p w14:paraId="7FE1B7B7" w14:textId="77777777" w:rsidR="007A5804" w:rsidRDefault="007A5804">
      <w:pPr>
        <w:jc w:val="both"/>
        <w:rPr>
          <w:rFonts w:ascii="Times New Roman" w:hAnsi="Times New Roman" w:cs="Times New Roman"/>
          <w:color w:val="000000" w:themeColor="text1"/>
          <w:sz w:val="20"/>
          <w:szCs w:val="20"/>
        </w:rPr>
      </w:pPr>
    </w:p>
    <w:p w14:paraId="7FE1B7B8" w14:textId="548121DF" w:rsidR="007A5804" w:rsidRDefault="007B7723">
      <w:pPr>
        <w:pStyle w:val="P68B1DB1-Instructionsberschrift25"/>
        <w:numPr>
          <w:ilvl w:val="1"/>
          <w:numId w:val="49"/>
        </w:numPr>
        <w:ind w:left="357" w:hanging="357"/>
      </w:pPr>
      <w:bookmarkStart w:id="66" w:name="_Toc492542325"/>
      <w:bookmarkStart w:id="67" w:name="_Toc81454183"/>
      <w:bookmarkStart w:id="68" w:name="_Toc208245243"/>
      <w:r>
        <w:t>Hlavné protistrany (LIAB 5 a 6)</w:t>
      </w:r>
      <w:bookmarkEnd w:id="66"/>
      <w:bookmarkEnd w:id="67"/>
      <w:bookmarkEnd w:id="68"/>
    </w:p>
    <w:p w14:paraId="7FE1B7B9" w14:textId="77777777" w:rsidR="007A5804" w:rsidRDefault="007B7723">
      <w:pPr>
        <w:pStyle w:val="Instructionsberschrift3"/>
      </w:pPr>
      <w:r>
        <w:t>Všeobecné poznámky</w:t>
      </w:r>
    </w:p>
    <w:p w14:paraId="7FE1B7BA" w14:textId="77777777" w:rsidR="007A5804" w:rsidRDefault="007B7723">
      <w:pPr>
        <w:pStyle w:val="P68B1DB1-InstructionsText26"/>
        <w:numPr>
          <w:ilvl w:val="0"/>
          <w:numId w:val="232"/>
        </w:numPr>
        <w:spacing w:before="0"/>
      </w:pPr>
      <w:r>
        <w:t>V týchto vzoroch sa zhromažďujú informácie o záväzkoch voči hlavným protistranám (Z 05.01) a podsúvahových položkách prijatých od hlavných protistrán (Z 05.02). Vykazované hodnoty sa spočítajú, ak patria tej istej protistrane a tomu istému druhu záväzkov alebo podsúvahových položiek.</w:t>
      </w:r>
    </w:p>
    <w:p w14:paraId="7FE1B7BB" w14:textId="77777777" w:rsidR="007A5804" w:rsidRDefault="007B7723">
      <w:pPr>
        <w:pStyle w:val="P68B1DB1-InstructionsText26"/>
        <w:numPr>
          <w:ilvl w:val="0"/>
          <w:numId w:val="232"/>
        </w:numPr>
        <w:spacing w:before="0"/>
      </w:pPr>
      <w:r>
        <w:t>V týchto vzoroch sa nevykazujú záväzky a podsúvahové položky, pri ktorých nie je možné identifikovať protistranu. Záväzky a podsúvahové položky, pri ktorých je protistranou subjekt zahrnutý v konsolidovaných účtovných závierkach, sa nevykazujú.</w:t>
      </w:r>
    </w:p>
    <w:p w14:paraId="7FE1B7BC" w14:textId="04BE316A" w:rsidR="007A5804" w:rsidRDefault="007A5804">
      <w:pPr>
        <w:pStyle w:val="InstructionsText2"/>
        <w:numPr>
          <w:ilvl w:val="0"/>
          <w:numId w:val="0"/>
        </w:numPr>
        <w:spacing w:before="0"/>
        <w:ind w:left="753" w:hanging="720"/>
        <w:rPr>
          <w:rFonts w:ascii="Times New Roman" w:hAnsi="Times New Roman" w:cs="Times New Roman"/>
          <w:sz w:val="20"/>
          <w:szCs w:val="20"/>
        </w:rPr>
      </w:pPr>
    </w:p>
    <w:p w14:paraId="7FE1B7BD" w14:textId="77777777" w:rsidR="007A5804" w:rsidRDefault="007B7723">
      <w:pPr>
        <w:pStyle w:val="P68B1DB1-Instructionsberschrift25"/>
        <w:numPr>
          <w:ilvl w:val="1"/>
          <w:numId w:val="49"/>
        </w:numPr>
        <w:ind w:left="357" w:hanging="357"/>
      </w:pPr>
      <w:bookmarkStart w:id="69" w:name="_Toc208245244"/>
      <w:bookmarkStart w:id="70" w:name="_Toc81454184"/>
      <w:r>
        <w:t>Z 05.01 – Záväzky voči hlavným protistranám (MCP 1)</w:t>
      </w:r>
      <w:bookmarkEnd w:id="69"/>
    </w:p>
    <w:p w14:paraId="7FE1B7BE" w14:textId="0F7A6C34" w:rsidR="007A5804" w:rsidRDefault="007B7723">
      <w:pPr>
        <w:pStyle w:val="P68B1DB1-body26"/>
      </w:pPr>
      <w:r>
        <w:t>Pokyny týkajúce sa konkrétnych pozícií</w:t>
      </w:r>
      <w:bookmarkEnd w:id="70"/>
    </w:p>
    <w:p w14:paraId="7FE1B7BF" w14:textId="77777777" w:rsidR="007A5804" w:rsidRDefault="007B7723">
      <w:pPr>
        <w:pStyle w:val="P68B1DB1-InstructionsText26"/>
        <w:numPr>
          <w:ilvl w:val="0"/>
          <w:numId w:val="232"/>
        </w:numPr>
        <w:spacing w:before="0"/>
      </w:pPr>
      <w:r>
        <w:t>Kombinácia hodnôt vykázaných v stĺpcoch 0020 a 0060 tohto vzoru tvorí primárny kľúč, ktorý musí byť jedinečný pre každý riadok vzoru.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7A5804"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7A5804" w:rsidRDefault="007B7723">
            <w:pPr>
              <w:pStyle w:val="P68B1DB1-TableParagraph13"/>
              <w:spacing w:before="66"/>
              <w:rPr>
                <w:rFonts w:eastAsia="Cambria"/>
              </w:rPr>
            </w:pPr>
            <w:r>
              <w:t>Stĺpce</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7A5804" w:rsidRDefault="007B7723">
            <w:pPr>
              <w:pStyle w:val="P68B1DB1-TableParagraph13"/>
              <w:spacing w:before="66"/>
              <w:ind w:right="1"/>
              <w:jc w:val="center"/>
              <w:rPr>
                <w:rFonts w:eastAsia="Cambria"/>
              </w:rPr>
            </w:pPr>
            <w:r>
              <w:t>Pokyny</w:t>
            </w:r>
          </w:p>
        </w:tc>
      </w:tr>
      <w:tr w:rsidR="007A5804"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7A5804" w:rsidRDefault="007B7723">
            <w:pPr>
              <w:pStyle w:val="P68B1DB1-TableParagraph17"/>
              <w:spacing w:before="108"/>
              <w:ind w:left="85"/>
              <w:jc w:val="both"/>
            </w:pPr>
            <w:r>
              <w:t>0010 – 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7A5804" w:rsidRDefault="007B7723">
            <w:pPr>
              <w:pStyle w:val="P68B1DB1-TableParagraph14"/>
              <w:spacing w:before="108"/>
              <w:ind w:left="85"/>
              <w:jc w:val="both"/>
              <w:rPr>
                <w:bCs/>
              </w:rPr>
            </w:pPr>
            <w:r>
              <w:t>Protistrana</w:t>
            </w:r>
          </w:p>
          <w:p w14:paraId="7FE1B7C5" w14:textId="77777777" w:rsidR="007A5804" w:rsidRDefault="007B7723">
            <w:pPr>
              <w:pStyle w:val="P68B1DB1-TableParagraph17"/>
              <w:spacing w:before="108"/>
              <w:ind w:left="85"/>
              <w:jc w:val="both"/>
            </w:pPr>
            <w:r>
              <w:t xml:space="preserve">Informácie o hlavnej protistrane, v súvislosti s ktorou vzniká záväzok </w:t>
            </w:r>
          </w:p>
          <w:p w14:paraId="7FE1B7C6" w14:textId="77777777" w:rsidR="007A5804" w:rsidRDefault="007B7723">
            <w:pPr>
              <w:pStyle w:val="P68B1DB1-TableParagraph17"/>
              <w:spacing w:before="108"/>
              <w:ind w:left="85"/>
              <w:jc w:val="both"/>
            </w:pPr>
            <w:r>
              <w:t>Hlavné protistrany sa identifikujú na základe spočítania nesplatených súm všetkých záväzkov subjektu alebo skupiny, v prípade ktorých sa vykazuje vzor, voči každej protistrane alebo skupine prepojených klientov s výnimkou záväzkov voči subjektom zahrnutým v konsolidovaných účtovných závierkach.</w:t>
            </w:r>
          </w:p>
          <w:p w14:paraId="7FE1B7C7" w14:textId="77777777" w:rsidR="007A5804" w:rsidRDefault="007B7723">
            <w:pPr>
              <w:pStyle w:val="P68B1DB1-TableParagraph17"/>
              <w:spacing w:before="108"/>
              <w:ind w:left="85"/>
              <w:jc w:val="both"/>
            </w:pPr>
            <w:r>
              <w:t>Protistrany a skupiny prepojených protistrán sú potom zoradené na základe súhrnnej nesplatenej sumy s cieľom identifikovať 10 hlavných protistrán, o ktorých sa poskytnú informácie v tomto vzore.</w:t>
            </w:r>
          </w:p>
          <w:p w14:paraId="7FE1B7CB" w14:textId="1879B990" w:rsidR="007A5804" w:rsidRDefault="007B7723">
            <w:pPr>
              <w:pStyle w:val="P68B1DB1-TableParagraph17"/>
              <w:spacing w:before="108"/>
              <w:ind w:left="85"/>
              <w:jc w:val="both"/>
              <w:rPr>
                <w:b/>
                <w:bCs/>
              </w:rPr>
            </w:pPr>
            <w:r>
              <w:t xml:space="preserve">Vymedzenie pojmu „skupina prepojených protistrán“ sa riadi vymedzením pojmu „skupina prepojených klientov“ stanoveným v článku 4 ods. 1 bode 39 nariadenia (EÚ) č. 575/2013. </w:t>
            </w:r>
          </w:p>
        </w:tc>
      </w:tr>
      <w:tr w:rsidR="007A5804"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7A5804" w:rsidRDefault="007B7723">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7A5804" w:rsidRDefault="007B7723">
            <w:pPr>
              <w:pStyle w:val="P68B1DB1-TableParagraph14"/>
              <w:spacing w:before="108"/>
              <w:ind w:left="85"/>
              <w:jc w:val="both"/>
              <w:rPr>
                <w:bCs/>
              </w:rPr>
            </w:pPr>
            <w:r>
              <w:t>Názov subjektu</w:t>
            </w:r>
          </w:p>
          <w:p w14:paraId="7FE1B7CF" w14:textId="77777777" w:rsidR="007A5804" w:rsidRDefault="007B7723">
            <w:pPr>
              <w:pStyle w:val="P68B1DB1-Normal18"/>
              <w:spacing w:before="108"/>
              <w:ind w:left="85"/>
              <w:jc w:val="both"/>
            </w:pPr>
            <w:r>
              <w:lastRenderedPageBreak/>
              <w:t>Názov hlavnej protistrany alebo podľa potreby názov skupiny prepojených klientov.</w:t>
            </w:r>
          </w:p>
          <w:p w14:paraId="7FE1B7D0" w14:textId="77777777" w:rsidR="007A5804" w:rsidRDefault="007B7723">
            <w:pPr>
              <w:pStyle w:val="P68B1DB1-TableParagraph17"/>
              <w:spacing w:before="108"/>
              <w:ind w:left="85"/>
              <w:jc w:val="both"/>
            </w:pPr>
            <w:r>
              <w:t>Názvom skupiny prepojených klientov je názov materskej spoločnosti, alebo ak skupina prepojených klientov nemá materskú spoločnosť, obchodný názov skupiny.</w:t>
            </w:r>
          </w:p>
        </w:tc>
      </w:tr>
      <w:tr w:rsidR="007A5804"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7A5804" w:rsidRDefault="007B7723">
            <w:pPr>
              <w:pStyle w:val="P68B1DB1-TableParagraph17"/>
              <w:spacing w:before="108"/>
              <w:ind w:left="85"/>
              <w:jc w:val="both"/>
            </w:pPr>
            <w:r>
              <w:lastRenderedPageBreak/>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7A5804" w:rsidRDefault="007B7723">
            <w:pPr>
              <w:pStyle w:val="P68B1DB1-TableParagraph14"/>
              <w:spacing w:before="108"/>
              <w:ind w:left="85"/>
              <w:jc w:val="both"/>
              <w:rPr>
                <w:bCs/>
              </w:rPr>
            </w:pPr>
            <w:r>
              <w:t>Kód</w:t>
            </w:r>
          </w:p>
          <w:p w14:paraId="188AB748" w14:textId="77777777" w:rsidR="007A5804" w:rsidRDefault="007B7723">
            <w:pPr>
              <w:pStyle w:val="P68B1DB1-TableParagraph17"/>
              <w:spacing w:before="108"/>
            </w:pPr>
            <w:r>
              <w:t xml:space="preserve">Kód hlavnej protistrany alebo skupiny prepojených klientov. </w:t>
            </w:r>
          </w:p>
          <w:p w14:paraId="0DD02B7A" w14:textId="4FE17D24" w:rsidR="007A5804" w:rsidRDefault="007B7723">
            <w:pPr>
              <w:pStyle w:val="P68B1DB1-TableParagraph13"/>
              <w:spacing w:before="108"/>
              <w:rPr>
                <w:bCs/>
              </w:rPr>
            </w:pPr>
            <w:r>
              <w:t>V prípade inštitúcií s identifikátorom právneho subjektu (LEI) 20-miestny alfanumerický kód LEI;</w:t>
            </w:r>
          </w:p>
          <w:p w14:paraId="7FE1B7D4" w14:textId="10D08A5A" w:rsidR="007A5804" w:rsidRDefault="007B7723">
            <w:pPr>
              <w:pStyle w:val="P68B1DB1-TableParagraph13"/>
              <w:spacing w:before="108"/>
              <w:jc w:val="both"/>
              <w:rPr>
                <w:rFonts w:eastAsia="Cambria"/>
              </w:rPr>
            </w:pPr>
            <w:r>
              <w:t>Ak nie je k dispozícii, použite kód PFI alebo kód podľa jednotnej kodifikácie platnej v Únii.</w:t>
            </w:r>
          </w:p>
          <w:p w14:paraId="7FE1B7D5" w14:textId="77777777" w:rsidR="007A5804" w:rsidRDefault="007B7723">
            <w:pPr>
              <w:pStyle w:val="P68B1DB1-TableParagraph17"/>
              <w:spacing w:before="108"/>
              <w:ind w:left="85"/>
              <w:jc w:val="both"/>
            </w:pPr>
            <w:r>
              <w:t>Tento kód musí byť jedinečný a musí sa používať konzistentne vo všetkých vzoroch.</w:t>
            </w:r>
          </w:p>
        </w:tc>
      </w:tr>
      <w:tr w:rsidR="007A5804"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7A5804" w:rsidRDefault="007B7723">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7A5804" w:rsidRDefault="007B7723">
            <w:pPr>
              <w:pStyle w:val="P68B1DB1-TableParagraph14"/>
              <w:spacing w:before="108"/>
              <w:ind w:left="85"/>
              <w:jc w:val="both"/>
              <w:rPr>
                <w:bCs/>
              </w:rPr>
            </w:pPr>
            <w:r>
              <w:t>Druh kódu</w:t>
            </w:r>
          </w:p>
          <w:p w14:paraId="2BEBBD8E" w14:textId="55A001F3" w:rsidR="007A5804" w:rsidRDefault="007B7723">
            <w:pPr>
              <w:pStyle w:val="P68B1DB1-TableParagraph13"/>
              <w:spacing w:before="108"/>
              <w:rPr>
                <w:bCs/>
              </w:rPr>
            </w:pPr>
            <w:r>
              <w:t>Vyberie sa z nasledujúcich možností: „Kód LEI“, „kód PFI“ alebo „Druh identifikátora iný ako LEI alebo kód PFI“.</w:t>
            </w:r>
          </w:p>
          <w:p w14:paraId="5CA49443" w14:textId="30D8A3AF" w:rsidR="007A5804" w:rsidRDefault="007B7723">
            <w:pPr>
              <w:pStyle w:val="P68B1DB1-TableParagraph13"/>
              <w:spacing w:before="108" w:line="276" w:lineRule="auto"/>
              <w:ind w:left="85"/>
              <w:jc w:val="both"/>
              <w:rPr>
                <w:color w:val="000000"/>
              </w:rPr>
            </w:pPr>
            <w:r>
              <w:t>Identifikácia subjektov sa vykonáva konzistentne vo všetkých vzoroch.</w:t>
            </w:r>
          </w:p>
          <w:p w14:paraId="7FE1B7DA" w14:textId="4204707F" w:rsidR="007A5804" w:rsidRDefault="007A5804">
            <w:pPr>
              <w:pStyle w:val="TableParagraph"/>
              <w:spacing w:before="108"/>
              <w:rPr>
                <w:rFonts w:ascii="Times New Roman" w:hAnsi="Times New Roman" w:cs="Times New Roman"/>
                <w:color w:val="000000" w:themeColor="text1"/>
                <w:sz w:val="20"/>
                <w:szCs w:val="20"/>
              </w:rPr>
            </w:pPr>
          </w:p>
        </w:tc>
      </w:tr>
      <w:tr w:rsidR="007A5804"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7A5804" w:rsidRDefault="007B7723">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7A5804" w:rsidRDefault="007B7723">
            <w:pPr>
              <w:pStyle w:val="P68B1DB1-TableParagraph14"/>
              <w:spacing w:before="108"/>
              <w:ind w:left="85"/>
              <w:jc w:val="both"/>
              <w:rPr>
                <w:bCs/>
              </w:rPr>
            </w:pPr>
            <w:r>
              <w:t>Skupina alebo individuálny klient</w:t>
            </w:r>
          </w:p>
          <w:p w14:paraId="4E4D0057" w14:textId="77777777" w:rsidR="007A5804" w:rsidRDefault="007B7723">
            <w:pPr>
              <w:pStyle w:val="P68B1DB1-Normal18"/>
              <w:ind w:left="85"/>
            </w:pPr>
            <w:r>
              <w:t>Inštitúcia vykazuje:</w:t>
            </w:r>
          </w:p>
          <w:p w14:paraId="0242F822" w14:textId="5242FFA2" w:rsidR="007A5804" w:rsidRDefault="007B7723">
            <w:pPr>
              <w:pStyle w:val="P68B1DB1-ListParagraph25"/>
              <w:numPr>
                <w:ilvl w:val="0"/>
                <w:numId w:val="297"/>
              </w:numPr>
            </w:pPr>
            <w:r>
              <w:t>Jednotlivé protistrany</w:t>
            </w:r>
          </w:p>
          <w:p w14:paraId="7FE1B7DE" w14:textId="6F55D54C" w:rsidR="007A5804" w:rsidRDefault="007B7723">
            <w:pPr>
              <w:pStyle w:val="P68B1DB1-ListParagraph25"/>
              <w:numPr>
                <w:ilvl w:val="0"/>
                <w:numId w:val="297"/>
              </w:numPr>
            </w:pPr>
            <w:r>
              <w:t>Skupiny prepojených klientov.</w:t>
            </w:r>
          </w:p>
        </w:tc>
      </w:tr>
      <w:tr w:rsidR="007A5804"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7A5804" w:rsidRDefault="007B7723">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7A5804" w:rsidRDefault="007B7723">
            <w:pPr>
              <w:pStyle w:val="P68B1DB1-TableParagraph14"/>
              <w:spacing w:before="108"/>
              <w:ind w:left="85"/>
              <w:jc w:val="both"/>
              <w:rPr>
                <w:bCs/>
              </w:rPr>
            </w:pPr>
            <w:r>
              <w:t>Krajina</w:t>
            </w:r>
          </w:p>
          <w:p w14:paraId="7FE1B7E2" w14:textId="77777777" w:rsidR="007A5804" w:rsidRDefault="007B7723">
            <w:pPr>
              <w:pStyle w:val="P68B1DB1-Normal18"/>
              <w:spacing w:before="108"/>
              <w:ind w:left="85"/>
              <w:contextualSpacing/>
              <w:jc w:val="both"/>
            </w:pPr>
            <w:r>
              <w:t xml:space="preserve">Kód ISO 3166 – 1-alfa-2 štátu, v ktorom bola protistrana zriadená. Tento kód zahŕňa pseudokódy ISO pre medzinárodné organizácie dostupné v najnovšom vydaní „Príručky platobnej bilancie“ Eurostatu. </w:t>
            </w:r>
          </w:p>
          <w:p w14:paraId="7FE1B7E3" w14:textId="77777777" w:rsidR="007A5804" w:rsidRDefault="007B7723">
            <w:pPr>
              <w:pStyle w:val="P68B1DB1-TableParagraph17"/>
              <w:spacing w:before="108"/>
              <w:ind w:left="85"/>
              <w:jc w:val="both"/>
            </w:pPr>
            <w:r>
              <w:t xml:space="preserve">Štát sa určuje odkazom na sídlo protistrany. V prípade skupín prepojených klientov štát, v ktorom bola materská spoločnosť zriadená. </w:t>
            </w:r>
          </w:p>
        </w:tc>
      </w:tr>
      <w:tr w:rsidR="007A5804"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7A5804" w:rsidRDefault="007B7723">
            <w:pPr>
              <w:pStyle w:val="P68B1DB1-TableParagraph17"/>
              <w:spacing w:before="108"/>
              <w:ind w:left="85"/>
              <w:jc w:val="both"/>
            </w:pPr>
            <w:r>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7A5804" w:rsidRDefault="007B7723">
            <w:pPr>
              <w:pStyle w:val="P68B1DB1-TableParagraph14"/>
              <w:spacing w:before="108"/>
              <w:ind w:left="85"/>
              <w:jc w:val="both"/>
              <w:rPr>
                <w:bCs/>
              </w:rPr>
            </w:pPr>
            <w:r>
              <w:t>Sektor</w:t>
            </w:r>
          </w:p>
          <w:p w14:paraId="7FE1B7E7" w14:textId="77777777" w:rsidR="007A5804" w:rsidRDefault="007B7723">
            <w:pPr>
              <w:pStyle w:val="P68B1DB1-TableParagraph17"/>
              <w:spacing w:before="108"/>
              <w:ind w:left="85"/>
              <w:jc w:val="both"/>
            </w:pPr>
            <w:r>
              <w:t>Na základe tried hospodárskych sektorov podľa FINREP (FINREP, príloha V, časť 1, kapitola 6) sa každej protistrane prideľuje jeden sektor:</w:t>
            </w:r>
          </w:p>
          <w:p w14:paraId="7FE1B7E8" w14:textId="77777777" w:rsidR="007A5804" w:rsidRDefault="007B7723">
            <w:pPr>
              <w:pStyle w:val="P68B1DB1-List127"/>
              <w:numPr>
                <w:ilvl w:val="0"/>
                <w:numId w:val="64"/>
              </w:numPr>
            </w:pPr>
            <w:r>
              <w:t>Centrálne banky</w:t>
            </w:r>
          </w:p>
          <w:p w14:paraId="7FE1B7E9" w14:textId="77777777" w:rsidR="007A5804" w:rsidRDefault="007B7723">
            <w:pPr>
              <w:pStyle w:val="P68B1DB1-List127"/>
              <w:numPr>
                <w:ilvl w:val="0"/>
                <w:numId w:val="64"/>
              </w:numPr>
            </w:pPr>
            <w:r>
              <w:t>Orgány verejnej správy</w:t>
            </w:r>
          </w:p>
          <w:p w14:paraId="7FE1B7EA" w14:textId="77777777" w:rsidR="007A5804" w:rsidRDefault="007B7723">
            <w:pPr>
              <w:pStyle w:val="P68B1DB1-List127"/>
              <w:numPr>
                <w:ilvl w:val="0"/>
                <w:numId w:val="64"/>
              </w:numPr>
            </w:pPr>
            <w:r>
              <w:t xml:space="preserve">Úverové inštitúcie: </w:t>
            </w:r>
          </w:p>
          <w:p w14:paraId="7FE1B7EB" w14:textId="77777777" w:rsidR="007A5804" w:rsidRDefault="007B7723">
            <w:pPr>
              <w:pStyle w:val="P68B1DB1-List127"/>
              <w:numPr>
                <w:ilvl w:val="0"/>
                <w:numId w:val="64"/>
              </w:numPr>
            </w:pPr>
            <w:r>
              <w:t>Ostatné finančné korporácie</w:t>
            </w:r>
          </w:p>
          <w:p w14:paraId="7FE1B7EC" w14:textId="77777777" w:rsidR="007A5804" w:rsidRDefault="007B7723">
            <w:pPr>
              <w:pStyle w:val="P68B1DB1-List127"/>
              <w:numPr>
                <w:ilvl w:val="0"/>
                <w:numId w:val="64"/>
              </w:numPr>
            </w:pPr>
            <w:r>
              <w:t>Nefinančné korporácie</w:t>
            </w:r>
          </w:p>
          <w:p w14:paraId="7FE1B7ED" w14:textId="77777777" w:rsidR="007A5804" w:rsidRDefault="007B7723">
            <w:pPr>
              <w:pStyle w:val="P68B1DB1-List127"/>
              <w:numPr>
                <w:ilvl w:val="0"/>
                <w:numId w:val="64"/>
              </w:numPr>
            </w:pPr>
            <w:r>
              <w:t>Domácnosti</w:t>
            </w:r>
          </w:p>
          <w:p w14:paraId="7FE1B7EE" w14:textId="77777777" w:rsidR="007A5804" w:rsidRDefault="007B7723">
            <w:pPr>
              <w:pStyle w:val="P68B1DB1-TableParagraph17"/>
              <w:spacing w:before="108"/>
              <w:ind w:left="85"/>
              <w:jc w:val="both"/>
            </w:pPr>
            <w:r>
              <w:t>V prípade skupín prepojených klientov sa sektor nevykazuje.</w:t>
            </w:r>
          </w:p>
        </w:tc>
      </w:tr>
      <w:tr w:rsidR="007A5804"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7A5804" w:rsidRDefault="007B7723">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7A5804" w:rsidRDefault="007B7723">
            <w:pPr>
              <w:pStyle w:val="P68B1DB1-TableParagraph14"/>
              <w:spacing w:before="108"/>
              <w:ind w:left="85"/>
              <w:jc w:val="both"/>
              <w:rPr>
                <w:bCs/>
              </w:rPr>
            </w:pPr>
            <w:r>
              <w:t>Druh</w:t>
            </w:r>
          </w:p>
          <w:p w14:paraId="7FE1B7F2" w14:textId="43CE2DD3" w:rsidR="007A5804" w:rsidRDefault="007B7723">
            <w:pPr>
              <w:pStyle w:val="P68B1DB1-Normal18"/>
              <w:spacing w:before="108"/>
              <w:ind w:left="85"/>
              <w:jc w:val="both"/>
            </w:pPr>
            <w:r>
              <w:t>Druh záväzku je jedným z druhov záväzkov uvedených vo vzore Z 02.00 – Štruktúra záväzkov [LIAB 1], a to:</w:t>
            </w:r>
          </w:p>
          <w:p w14:paraId="7FE1B7F3" w14:textId="4AE4B095" w:rsidR="007A5804" w:rsidRDefault="007B7723">
            <w:pPr>
              <w:pStyle w:val="P68B1DB1-ListParagraph25"/>
              <w:numPr>
                <w:ilvl w:val="0"/>
                <w:numId w:val="298"/>
              </w:numPr>
              <w:spacing w:before="108"/>
              <w:jc w:val="both"/>
            </w:pPr>
            <w:r>
              <w:t>Záväzky vylúčené zo záchrany pomocou vnútorných zdrojov</w:t>
            </w:r>
          </w:p>
          <w:p w14:paraId="7FE1B7F4" w14:textId="4257143A" w:rsidR="007A5804" w:rsidRDefault="007B7723">
            <w:pPr>
              <w:pStyle w:val="P68B1DB1-ListParagraph25"/>
              <w:numPr>
                <w:ilvl w:val="0"/>
                <w:numId w:val="298"/>
              </w:numPr>
              <w:spacing w:before="108"/>
              <w:jc w:val="both"/>
            </w:pPr>
            <w:r>
              <w:t>Vklady, ktoré nie sú kryté, ale sú preferenčné</w:t>
            </w:r>
          </w:p>
          <w:p w14:paraId="7FE1B7F5" w14:textId="21AFD595" w:rsidR="007A5804" w:rsidRDefault="007B7723">
            <w:pPr>
              <w:pStyle w:val="P68B1DB1-ListParagraph25"/>
              <w:numPr>
                <w:ilvl w:val="0"/>
                <w:numId w:val="298"/>
              </w:numPr>
              <w:spacing w:before="108"/>
              <w:jc w:val="both"/>
            </w:pPr>
            <w:r>
              <w:t>Vklady, ktoré nie sú kryté ani preferenčné</w:t>
            </w:r>
          </w:p>
          <w:p w14:paraId="7FE1B7F6" w14:textId="71A166CE" w:rsidR="007A5804" w:rsidRDefault="007B7723">
            <w:pPr>
              <w:pStyle w:val="P68B1DB1-ListParagraph25"/>
              <w:numPr>
                <w:ilvl w:val="0"/>
                <w:numId w:val="298"/>
              </w:numPr>
              <w:spacing w:before="108"/>
              <w:jc w:val="both"/>
            </w:pPr>
            <w:r>
              <w:t>Záväzky vyplývajúce z derivátov</w:t>
            </w:r>
          </w:p>
          <w:p w14:paraId="7FE1B7F7" w14:textId="57F1D715" w:rsidR="007A5804" w:rsidRDefault="007B7723">
            <w:pPr>
              <w:pStyle w:val="P68B1DB1-ListParagraph25"/>
              <w:numPr>
                <w:ilvl w:val="0"/>
                <w:numId w:val="298"/>
              </w:numPr>
              <w:spacing w:before="108"/>
              <w:jc w:val="both"/>
            </w:pPr>
            <w:r>
              <w:t>Zabezpečené záväzky nezabezpečené kolaterálom</w:t>
            </w:r>
          </w:p>
          <w:p w14:paraId="7FE1B7F8" w14:textId="73D53058" w:rsidR="007A5804" w:rsidRDefault="007B7723">
            <w:pPr>
              <w:pStyle w:val="P68B1DB1-ListParagraph25"/>
              <w:numPr>
                <w:ilvl w:val="0"/>
                <w:numId w:val="298"/>
              </w:numPr>
              <w:spacing w:before="108"/>
              <w:jc w:val="both"/>
            </w:pPr>
            <w:r>
              <w:lastRenderedPageBreak/>
              <w:t>Štruktúrované cenné papiere</w:t>
            </w:r>
          </w:p>
          <w:p w14:paraId="7FE1B7F9" w14:textId="54AC9980" w:rsidR="007A5804" w:rsidRDefault="007B7723">
            <w:pPr>
              <w:pStyle w:val="P68B1DB1-ListParagraph25"/>
              <w:numPr>
                <w:ilvl w:val="0"/>
                <w:numId w:val="298"/>
              </w:numPr>
              <w:spacing w:before="108"/>
              <w:jc w:val="both"/>
            </w:pPr>
            <w:r>
              <w:t>Nadriadené nezabezpečené záväzky</w:t>
            </w:r>
          </w:p>
          <w:p w14:paraId="7FE1B7FA" w14:textId="7C89B550" w:rsidR="007A5804" w:rsidRDefault="007B7723">
            <w:pPr>
              <w:pStyle w:val="P68B1DB1-ListParagraph25"/>
              <w:numPr>
                <w:ilvl w:val="0"/>
                <w:numId w:val="298"/>
              </w:numPr>
              <w:spacing w:before="108"/>
              <w:jc w:val="both"/>
            </w:pPr>
            <w:r>
              <w:t>Nadriadené záväzky bez prioritného postavenia</w:t>
            </w:r>
          </w:p>
          <w:p w14:paraId="7FE1B7FB" w14:textId="49FDBAE5" w:rsidR="007A5804" w:rsidRDefault="007B7723">
            <w:pPr>
              <w:pStyle w:val="P68B1DB1-ListParagraph25"/>
              <w:numPr>
                <w:ilvl w:val="0"/>
                <w:numId w:val="298"/>
              </w:numPr>
              <w:spacing w:before="108"/>
              <w:jc w:val="both"/>
            </w:pPr>
            <w:r>
              <w:t>Podriadené záväzky (nevykázané ako vlastné zdroje)</w:t>
            </w:r>
          </w:p>
          <w:p w14:paraId="7FE1B7FC" w14:textId="25F7AE59" w:rsidR="007A5804" w:rsidRDefault="007B7723">
            <w:pPr>
              <w:pStyle w:val="P68B1DB1-ListParagraph25"/>
              <w:numPr>
                <w:ilvl w:val="0"/>
                <w:numId w:val="298"/>
              </w:numPr>
              <w:spacing w:before="108"/>
              <w:jc w:val="both"/>
            </w:pPr>
            <w:r>
              <w:t>Iné oprávnené záväzky pre MREL</w:t>
            </w:r>
          </w:p>
          <w:p w14:paraId="7FE1B7FD" w14:textId="29E846ED" w:rsidR="007A5804" w:rsidRDefault="007B7723">
            <w:pPr>
              <w:pStyle w:val="P68B1DB1-ListParagraph25"/>
              <w:numPr>
                <w:ilvl w:val="0"/>
                <w:numId w:val="298"/>
              </w:numPr>
              <w:spacing w:before="108"/>
              <w:jc w:val="both"/>
            </w:pPr>
            <w:r>
              <w:t>Nefinančné záväzky</w:t>
            </w:r>
          </w:p>
          <w:p w14:paraId="7FE1B7FE" w14:textId="4EF5CD96" w:rsidR="007A5804" w:rsidRDefault="007B7723">
            <w:pPr>
              <w:pStyle w:val="P68B1DB1-ListParagraph25"/>
              <w:numPr>
                <w:ilvl w:val="0"/>
                <w:numId w:val="298"/>
              </w:numPr>
              <w:spacing w:before="108"/>
              <w:jc w:val="both"/>
            </w:pPr>
            <w:r>
              <w:t>Zostatkové záväzky</w:t>
            </w:r>
          </w:p>
          <w:p w14:paraId="7FE1B7FF" w14:textId="77777777" w:rsidR="007A5804" w:rsidRDefault="007B7723">
            <w:pPr>
              <w:pStyle w:val="P68B1DB1-TableParagraph17"/>
              <w:spacing w:before="108"/>
              <w:ind w:left="85"/>
              <w:jc w:val="both"/>
            </w:pPr>
            <w:r>
              <w:t>Ak záväzky voči hlavnej protistrane pozostávajú z viac ako jedného z druhov vyššie uvedených záväzkov, každý druh záväzku sa vykazuje v osobitnom riadku.</w:t>
            </w:r>
          </w:p>
        </w:tc>
      </w:tr>
      <w:tr w:rsidR="007A5804"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7A5804" w:rsidRDefault="007B7723">
            <w:pPr>
              <w:pStyle w:val="P68B1DB1-TableParagraph17"/>
              <w:spacing w:before="108"/>
              <w:ind w:left="85"/>
              <w:jc w:val="both"/>
            </w:pPr>
            <w:r>
              <w:lastRenderedPageBreak/>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7A5804" w:rsidRDefault="007B7723">
            <w:pPr>
              <w:pStyle w:val="P68B1DB1-TableParagraph14"/>
              <w:spacing w:before="108"/>
              <w:ind w:left="85"/>
              <w:jc w:val="both"/>
              <w:rPr>
                <w:bCs/>
              </w:rPr>
            </w:pPr>
            <w:r>
              <w:t>Suma</w:t>
            </w:r>
          </w:p>
          <w:p w14:paraId="7FE1B803" w14:textId="46DCC504" w:rsidR="007A5804" w:rsidRDefault="007B7723">
            <w:pPr>
              <w:pStyle w:val="P68B1DB1-TableParagraph17"/>
              <w:spacing w:before="108"/>
              <w:ind w:left="85"/>
              <w:jc w:val="both"/>
            </w:pPr>
            <w:r>
              <w:t>Táto suma zodpovedá vymedzeniu pojmu „nesplatená suma“ predpísanému vo vzore Z 02.00 – Štruktúra záväzkov. V prípade záväzkov vyplývajúcich z derivátov sa vykazujú sumy po konečnom zúčtovaní podľa vymedzenia na účely vzoru Z 02.00, riadok 0333 (LIAB 1).</w:t>
            </w:r>
          </w:p>
        </w:tc>
      </w:tr>
    </w:tbl>
    <w:p w14:paraId="7FE1B805" w14:textId="77777777" w:rsidR="007A5804" w:rsidRDefault="007A5804">
      <w:pPr>
        <w:pStyle w:val="body"/>
        <w:rPr>
          <w:rFonts w:ascii="Times New Roman" w:hAnsi="Times New Roman" w:cs="Times New Roman"/>
          <w:color w:val="000000" w:themeColor="text1"/>
          <w:sz w:val="20"/>
          <w:szCs w:val="20"/>
        </w:rPr>
      </w:pPr>
    </w:p>
    <w:p w14:paraId="7FE1B806" w14:textId="1E7EF5E9" w:rsidR="007A5804" w:rsidRDefault="007B7723">
      <w:pPr>
        <w:pStyle w:val="P68B1DB1-Instructionsberschrift25"/>
        <w:numPr>
          <w:ilvl w:val="1"/>
          <w:numId w:val="49"/>
        </w:numPr>
        <w:ind w:left="357" w:hanging="357"/>
      </w:pPr>
      <w:bookmarkStart w:id="71" w:name="_Toc208245245"/>
      <w:bookmarkStart w:id="72" w:name="_Toc81454185"/>
      <w:r>
        <w:t>Z 05.02 – Podsúvahové položky hlavných protistrán (LIAB 6)</w:t>
      </w:r>
      <w:bookmarkEnd w:id="71"/>
    </w:p>
    <w:p w14:paraId="7FE1B807" w14:textId="77777777" w:rsidR="007A5804" w:rsidRDefault="007B7723">
      <w:pPr>
        <w:pStyle w:val="P68B1DB1-body26"/>
      </w:pPr>
      <w:r>
        <w:t>Pokyny týkajúce sa konkrétnych pozícií</w:t>
      </w:r>
      <w:bookmarkEnd w:id="72"/>
    </w:p>
    <w:p w14:paraId="7FE1B808" w14:textId="77777777" w:rsidR="007A5804" w:rsidRDefault="007B7723">
      <w:pPr>
        <w:pStyle w:val="P68B1DB1-InstructionsText26"/>
        <w:numPr>
          <w:ilvl w:val="0"/>
          <w:numId w:val="232"/>
        </w:numPr>
        <w:spacing w:before="0"/>
      </w:pPr>
      <w:r>
        <w:t>Kombinácia hodnôt vykázaných v stĺpcoch 0020 a 0060 tohto vzoru tvorí primárny kľúč, ktorý musí byť jedinečný pre každý riadok vzoru.</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7A5804"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7A5804" w:rsidRDefault="007B7723">
            <w:pPr>
              <w:pStyle w:val="P68B1DB1-TableParagraph17"/>
              <w:spacing w:before="108"/>
              <w:ind w:left="85"/>
              <w:jc w:val="both"/>
            </w:pPr>
            <w:r>
              <w:t>Stĺpce</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7A5804" w:rsidRDefault="007B7723">
            <w:pPr>
              <w:pStyle w:val="P68B1DB1-TableParagraph17"/>
              <w:spacing w:before="108"/>
              <w:ind w:left="85" w:right="1"/>
              <w:jc w:val="both"/>
            </w:pPr>
            <w:r>
              <w:t>Pokyny</w:t>
            </w:r>
          </w:p>
        </w:tc>
      </w:tr>
      <w:tr w:rsidR="007A5804"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7A5804" w:rsidRDefault="007B7723">
            <w:pPr>
              <w:pStyle w:val="P68B1DB1-TableParagraph17"/>
              <w:spacing w:before="108"/>
              <w:ind w:left="85"/>
              <w:jc w:val="both"/>
            </w:pPr>
            <w:r>
              <w:t>0010 – 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7A5804" w:rsidRDefault="007B7723">
            <w:pPr>
              <w:pStyle w:val="P68B1DB1-TableParagraph14"/>
              <w:spacing w:before="108"/>
              <w:ind w:left="85"/>
              <w:jc w:val="both"/>
              <w:rPr>
                <w:bCs/>
              </w:rPr>
            </w:pPr>
            <w:r>
              <w:t>Protistrana</w:t>
            </w:r>
          </w:p>
          <w:p w14:paraId="7FE1B80E" w14:textId="77777777" w:rsidR="007A5804" w:rsidRDefault="007B7723">
            <w:pPr>
              <w:pStyle w:val="P68B1DB1-TableParagraph17"/>
              <w:spacing w:before="108"/>
              <w:ind w:left="85"/>
              <w:jc w:val="both"/>
            </w:pPr>
            <w:r>
              <w:t>Informácie o podsúvahe hlavných protistrán.</w:t>
            </w:r>
          </w:p>
          <w:p w14:paraId="7FE1B80F" w14:textId="77777777" w:rsidR="007A5804" w:rsidRDefault="007B7723">
            <w:pPr>
              <w:pStyle w:val="P68B1DB1-TableParagraph17"/>
              <w:spacing w:before="108"/>
              <w:ind w:left="85"/>
              <w:jc w:val="both"/>
            </w:pPr>
            <w:r>
              <w:t>Podsúvahové položky hlavných protistrán sa určujú na základe spočítania celkovej nominálnej hodnoty prijatých prísľubov a finančných záruk (v zmysle vymedzenia na účely FINREP, vzor F 09) subjektom alebo subjektmi skupiny, pre ktoré sa vzor vykazuje od protistrán alebo skupiny prepojených klientov. Z podsúvahových položiek hlavných protistrán sa vylúčia subjekty zahrnuté do konsolidovaných účtovných závierok skupiny. Protistrany a skupiny prepojených klientov sú potom zoradené na základe celkovej nesplatenej sumy s cieľom určiť 10 podsúvahových položiek hlavných protistrán, o ktorých sa poskytujú informácie v tomto vzore.</w:t>
            </w:r>
          </w:p>
          <w:p w14:paraId="7FE1B810" w14:textId="0F5F36E1" w:rsidR="007A5804" w:rsidRDefault="007B7723">
            <w:pPr>
              <w:pStyle w:val="P68B1DB1-Normal18"/>
              <w:spacing w:line="257" w:lineRule="auto"/>
              <w:ind w:left="25"/>
              <w:jc w:val="both"/>
            </w:pPr>
            <w:r>
              <w:t>Deriváty sa nemajú zahrnúť do desiateho najlepšieho poradia opísaného vyššie: uveďte osobitný zoznam piatich najlepších protistrán podsúvahových derivátov, aby ste sa vyhli správe Z 05.02 obsahujúcej len zostatky derivátov.</w:t>
            </w:r>
          </w:p>
          <w:p w14:paraId="7FE1B812" w14:textId="5E923404" w:rsidR="007A5804" w:rsidRDefault="007A5804">
            <w:pPr>
              <w:pStyle w:val="TableParagraph"/>
              <w:spacing w:before="108"/>
              <w:jc w:val="both"/>
              <w:rPr>
                <w:rFonts w:ascii="Times New Roman" w:eastAsia="Cambria" w:hAnsi="Times New Roman" w:cs="Times New Roman"/>
                <w:color w:val="000000" w:themeColor="text1"/>
                <w:sz w:val="20"/>
                <w:szCs w:val="20"/>
              </w:rPr>
            </w:pPr>
          </w:p>
        </w:tc>
      </w:tr>
      <w:tr w:rsidR="007A5804"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7A5804" w:rsidRDefault="007B7723">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7A5804" w:rsidRDefault="007B7723">
            <w:pPr>
              <w:pStyle w:val="P68B1DB1-TableParagraph14"/>
              <w:spacing w:before="108"/>
              <w:ind w:left="85"/>
              <w:jc w:val="both"/>
              <w:rPr>
                <w:bCs/>
              </w:rPr>
            </w:pPr>
            <w:r>
              <w:t>Názov subjektu</w:t>
            </w:r>
          </w:p>
          <w:p w14:paraId="7FE1B816" w14:textId="77777777" w:rsidR="007A5804" w:rsidRDefault="007B7723">
            <w:pPr>
              <w:pStyle w:val="P68B1DB1-Normal18"/>
              <w:spacing w:before="108"/>
              <w:ind w:left="85"/>
              <w:jc w:val="both"/>
            </w:pPr>
            <w:r>
              <w:t>Názov hlavnej protistrany alebo podľa potreby názov skupiny prepojených klientov.</w:t>
            </w:r>
          </w:p>
          <w:p w14:paraId="7FE1B817" w14:textId="29E2618F" w:rsidR="007A5804" w:rsidRDefault="007B7723">
            <w:pPr>
              <w:pStyle w:val="P68B1DB1-TableParagraph17"/>
              <w:spacing w:before="108"/>
              <w:ind w:left="85"/>
              <w:jc w:val="both"/>
            </w:pPr>
            <w:r>
              <w:t>Názvom skupiny prepojených klientov je názov materskej spoločnosti, alebo ak skupina prepojených klientov nemá materskú spoločnosť, obchodný názov skupiny.</w:t>
            </w:r>
          </w:p>
        </w:tc>
      </w:tr>
      <w:tr w:rsidR="007A5804"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7A5804" w:rsidRDefault="007B7723">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7A5804" w:rsidRDefault="007B7723">
            <w:pPr>
              <w:pStyle w:val="P68B1DB1-TableParagraph14"/>
              <w:spacing w:before="108"/>
              <w:ind w:left="85"/>
              <w:jc w:val="both"/>
              <w:rPr>
                <w:bCs/>
              </w:rPr>
            </w:pPr>
            <w:r>
              <w:t>Kód</w:t>
            </w:r>
          </w:p>
          <w:p w14:paraId="7FE1B81B" w14:textId="77777777" w:rsidR="007A5804" w:rsidRDefault="007B7723">
            <w:pPr>
              <w:pStyle w:val="P68B1DB1-TableParagraph17"/>
              <w:spacing w:before="108"/>
              <w:ind w:left="85"/>
              <w:jc w:val="both"/>
            </w:pPr>
            <w:r>
              <w:t xml:space="preserve">Kód hlavnej protistrany alebo skupiny prepojených klientov. V prípade inštitúcií je kódom 20-miestny alfanumerický kód LEI. V prípade iných subjektov je kódom 20-miestny alfanumerický kód </w:t>
            </w:r>
            <w:r>
              <w:lastRenderedPageBreak/>
              <w:t>LEI, alebo ak nie je k dispozícii, kód v rámci jednotnej kodifikácie uplatniteľnej v Únii, alebo ak ani tento kód nie je k dispozícii, vnútroštátny kód.</w:t>
            </w:r>
          </w:p>
          <w:p w14:paraId="7FE1B81C" w14:textId="6CC57833" w:rsidR="007A5804" w:rsidRDefault="007B7723">
            <w:pPr>
              <w:pStyle w:val="P68B1DB1-TableParagraph17"/>
              <w:spacing w:before="108"/>
              <w:ind w:left="85"/>
              <w:jc w:val="both"/>
            </w:pPr>
            <w:r>
              <w:t>Tento kód musí byť jedinečný a musí sa používať konzistentne vo všetkých vzoroch.</w:t>
            </w:r>
          </w:p>
        </w:tc>
      </w:tr>
      <w:tr w:rsidR="007A5804"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7A5804" w:rsidRDefault="007B7723">
            <w:pPr>
              <w:pStyle w:val="P68B1DB1-TableParagraph17"/>
              <w:spacing w:before="108"/>
              <w:ind w:left="85"/>
              <w:jc w:val="both"/>
            </w:pPr>
            <w:r>
              <w:lastRenderedPageBreak/>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7A5804" w:rsidRDefault="007B7723">
            <w:pPr>
              <w:pStyle w:val="P68B1DB1-TableParagraph14"/>
              <w:spacing w:before="108"/>
              <w:ind w:left="85"/>
              <w:jc w:val="both"/>
              <w:rPr>
                <w:bCs/>
              </w:rPr>
            </w:pPr>
            <w:r>
              <w:t>Druh kódu</w:t>
            </w:r>
          </w:p>
          <w:p w14:paraId="7FE1B821" w14:textId="6020ACA4" w:rsidR="007A5804" w:rsidRDefault="007B7723">
            <w:pPr>
              <w:pStyle w:val="P68B1DB1-TableParagraph13"/>
              <w:spacing w:before="108"/>
            </w:pPr>
            <w:r>
              <w:t>Vyberie sa z nasledujúcich možností: „Kód LEI“, „kód PFI“ alebo „Druh identifikátora iný ako LEI alebo kód PFI“.</w:t>
            </w:r>
          </w:p>
          <w:p w14:paraId="7FE1B822" w14:textId="77777777" w:rsidR="007A5804" w:rsidRDefault="007B7723">
            <w:pPr>
              <w:pStyle w:val="P68B1DB1-TableParagraph13"/>
              <w:spacing w:before="108"/>
              <w:ind w:left="85"/>
              <w:jc w:val="both"/>
              <w:rPr>
                <w:b/>
                <w:bCs/>
              </w:rPr>
            </w:pPr>
            <w:r>
              <w:t>Identifikácia subjektov sa vykonáva konzistentne vo všetkých vzoroch.</w:t>
            </w:r>
          </w:p>
        </w:tc>
      </w:tr>
      <w:tr w:rsidR="007A5804"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7A5804" w:rsidRDefault="007B7723">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7A5804" w:rsidRDefault="007B7723">
            <w:pPr>
              <w:pStyle w:val="P68B1DB1-TableParagraph14"/>
              <w:spacing w:before="108"/>
              <w:ind w:left="85"/>
              <w:jc w:val="both"/>
              <w:rPr>
                <w:bCs/>
              </w:rPr>
            </w:pPr>
            <w:r>
              <w:t>Skupina alebo individuálny klient</w:t>
            </w:r>
          </w:p>
          <w:p w14:paraId="2E0A09DE" w14:textId="77777777" w:rsidR="007A5804" w:rsidRDefault="007B7723">
            <w:pPr>
              <w:pStyle w:val="P68B1DB1-Normal18"/>
              <w:ind w:left="85"/>
            </w:pPr>
            <w:r>
              <w:t>Inštitúcia vykazuje:</w:t>
            </w:r>
          </w:p>
          <w:p w14:paraId="52295733" w14:textId="77777777" w:rsidR="007A5804" w:rsidRDefault="007B7723">
            <w:pPr>
              <w:pStyle w:val="P68B1DB1-ListParagraph25"/>
              <w:numPr>
                <w:ilvl w:val="0"/>
                <w:numId w:val="297"/>
              </w:numPr>
            </w:pPr>
            <w:r>
              <w:t>Jednotlivé protistrany</w:t>
            </w:r>
          </w:p>
          <w:p w14:paraId="7FE1B826" w14:textId="76B98F2C" w:rsidR="007A5804" w:rsidRDefault="007B7723">
            <w:pPr>
              <w:pStyle w:val="P68B1DB1-TableParagraph17"/>
              <w:numPr>
                <w:ilvl w:val="0"/>
                <w:numId w:val="297"/>
              </w:numPr>
              <w:spacing w:before="108"/>
              <w:jc w:val="both"/>
            </w:pPr>
            <w:r>
              <w:t>Skupiny prepojených klientov.</w:t>
            </w:r>
          </w:p>
        </w:tc>
      </w:tr>
      <w:tr w:rsidR="007A5804"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7A5804" w:rsidRDefault="007B7723">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7A5804" w:rsidRDefault="007B7723">
            <w:pPr>
              <w:pStyle w:val="P68B1DB1-TableParagraph14"/>
              <w:spacing w:before="108"/>
              <w:ind w:left="85"/>
              <w:jc w:val="both"/>
              <w:rPr>
                <w:bCs/>
              </w:rPr>
            </w:pPr>
            <w:r>
              <w:t>Krajina</w:t>
            </w:r>
          </w:p>
          <w:p w14:paraId="7FE1B82A" w14:textId="77777777" w:rsidR="007A5804" w:rsidRDefault="007B7723">
            <w:pPr>
              <w:pStyle w:val="P68B1DB1-Normal18"/>
              <w:spacing w:before="108"/>
              <w:ind w:left="85"/>
              <w:contextualSpacing/>
              <w:jc w:val="both"/>
            </w:pPr>
            <w:r>
              <w:t xml:space="preserve">Kód ISO 3166 – 1-alfa-2 štátu, v ktorom bola protistrana zriadená. Tento kód zahŕňa pseudokódy ISO pre medzinárodné organizácie dostupné v najnovšom vydaní „Príručky platobnej bilancie“ Eurostatu. </w:t>
            </w:r>
          </w:p>
          <w:p w14:paraId="7FE1B82B" w14:textId="47B683FE" w:rsidR="007A5804" w:rsidRDefault="007B7723">
            <w:pPr>
              <w:pStyle w:val="P68B1DB1-TableParagraph17"/>
              <w:spacing w:before="108"/>
              <w:ind w:left="85"/>
              <w:jc w:val="both"/>
            </w:pPr>
            <w:r>
              <w:t>Štát sa určuje odkazom na sídlo protistrany. V prípade skupín prepojených klientov štát, v ktorom bola materská spoločnosť zriadená.</w:t>
            </w:r>
          </w:p>
        </w:tc>
      </w:tr>
      <w:tr w:rsidR="007A5804"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7A5804" w:rsidRDefault="007B7723">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7A5804" w:rsidRDefault="007B7723">
            <w:pPr>
              <w:pStyle w:val="P68B1DB1-TableParagraph14"/>
              <w:spacing w:before="108"/>
              <w:ind w:left="85"/>
              <w:jc w:val="both"/>
              <w:rPr>
                <w:bCs/>
              </w:rPr>
            </w:pPr>
            <w:r>
              <w:t>Sektor</w:t>
            </w:r>
          </w:p>
          <w:p w14:paraId="7FE1B82F" w14:textId="77777777" w:rsidR="007A5804" w:rsidRDefault="007B7723">
            <w:pPr>
              <w:pStyle w:val="P68B1DB1-TableParagraph17"/>
              <w:spacing w:before="108"/>
              <w:ind w:left="85"/>
              <w:jc w:val="both"/>
            </w:pPr>
            <w:r>
              <w:t>Na základe tried hospodárskych sektorov podľa FINREP (FINREP, príloha V, časť 1, kapitola 6) sa každej protistrane prideľuje jeden sektor:</w:t>
            </w:r>
          </w:p>
          <w:p w14:paraId="7FE1B830" w14:textId="77777777" w:rsidR="007A5804" w:rsidRDefault="007B7723">
            <w:pPr>
              <w:pStyle w:val="P68B1DB1-List127"/>
              <w:numPr>
                <w:ilvl w:val="0"/>
                <w:numId w:val="64"/>
              </w:numPr>
            </w:pPr>
            <w:r>
              <w:t>Centrálne banky</w:t>
            </w:r>
          </w:p>
          <w:p w14:paraId="7FE1B831" w14:textId="77777777" w:rsidR="007A5804" w:rsidRDefault="007B7723">
            <w:pPr>
              <w:pStyle w:val="P68B1DB1-List127"/>
              <w:numPr>
                <w:ilvl w:val="0"/>
                <w:numId w:val="64"/>
              </w:numPr>
            </w:pPr>
            <w:r>
              <w:t>Orgány verejnej správy</w:t>
            </w:r>
          </w:p>
          <w:p w14:paraId="7FE1B832" w14:textId="77777777" w:rsidR="007A5804" w:rsidRDefault="007B7723">
            <w:pPr>
              <w:pStyle w:val="P68B1DB1-List127"/>
              <w:numPr>
                <w:ilvl w:val="0"/>
                <w:numId w:val="64"/>
              </w:numPr>
            </w:pPr>
            <w:r>
              <w:t xml:space="preserve">Úverové inštitúcie: </w:t>
            </w:r>
          </w:p>
          <w:p w14:paraId="7FE1B833" w14:textId="77777777" w:rsidR="007A5804" w:rsidRDefault="007B7723">
            <w:pPr>
              <w:pStyle w:val="P68B1DB1-List127"/>
              <w:numPr>
                <w:ilvl w:val="0"/>
                <w:numId w:val="64"/>
              </w:numPr>
            </w:pPr>
            <w:r>
              <w:t>Ostatné finančné korporácie</w:t>
            </w:r>
          </w:p>
          <w:p w14:paraId="7FE1B834" w14:textId="77777777" w:rsidR="007A5804" w:rsidRDefault="007B7723">
            <w:pPr>
              <w:pStyle w:val="P68B1DB1-List127"/>
              <w:numPr>
                <w:ilvl w:val="0"/>
                <w:numId w:val="64"/>
              </w:numPr>
            </w:pPr>
            <w:r>
              <w:t>Nefinančné korporácie</w:t>
            </w:r>
          </w:p>
          <w:p w14:paraId="7FE1B835" w14:textId="77777777" w:rsidR="007A5804" w:rsidRDefault="007B7723">
            <w:pPr>
              <w:pStyle w:val="P68B1DB1-List127"/>
              <w:numPr>
                <w:ilvl w:val="0"/>
                <w:numId w:val="64"/>
              </w:numPr>
            </w:pPr>
            <w:r>
              <w:t>Domácnosti</w:t>
            </w:r>
          </w:p>
          <w:p w14:paraId="7FE1B836" w14:textId="3FF28E9A" w:rsidR="007A5804" w:rsidRDefault="007B7723">
            <w:pPr>
              <w:pStyle w:val="P68B1DB1-TableParagraph17"/>
              <w:spacing w:before="108"/>
              <w:ind w:left="85"/>
              <w:jc w:val="both"/>
            </w:pPr>
            <w:r>
              <w:t>V prípade skupín prepojených klientov sa sektor nevykazuje.</w:t>
            </w:r>
          </w:p>
        </w:tc>
      </w:tr>
      <w:tr w:rsidR="007A5804"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7A5804" w:rsidRDefault="007B7723">
            <w:pPr>
              <w:pStyle w:val="P68B1DB1-TableParagraph17"/>
              <w:spacing w:before="108"/>
              <w:ind w:left="85"/>
              <w:jc w:val="both"/>
            </w:pPr>
            <w:r>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7A5804" w:rsidRDefault="007B7723">
            <w:pPr>
              <w:pStyle w:val="P68B1DB1-TableParagraph14"/>
              <w:spacing w:before="108"/>
              <w:ind w:left="85"/>
              <w:jc w:val="both"/>
              <w:rPr>
                <w:bCs/>
              </w:rPr>
            </w:pPr>
            <w:r>
              <w:t>Druh</w:t>
            </w:r>
          </w:p>
          <w:p w14:paraId="7FE1B83A" w14:textId="77777777" w:rsidR="007A5804" w:rsidRDefault="007B7723">
            <w:pPr>
              <w:pStyle w:val="P68B1DB1-TableParagraph17"/>
              <w:spacing w:before="108"/>
              <w:ind w:left="85"/>
              <w:jc w:val="both"/>
            </w:pPr>
            <w:r>
              <w:t>Druhom podsúvahovej expozície je jeden z týchto parametrov podľa vymedzenia vo FINREP, vzor F 09.02:</w:t>
            </w:r>
          </w:p>
          <w:p w14:paraId="7FE1B83B" w14:textId="57556FED" w:rsidR="007A5804" w:rsidRDefault="007B7723">
            <w:pPr>
              <w:pStyle w:val="P68B1DB1-TableParagraph17"/>
              <w:numPr>
                <w:ilvl w:val="0"/>
                <w:numId w:val="299"/>
              </w:numPr>
              <w:spacing w:before="108"/>
              <w:jc w:val="both"/>
            </w:pPr>
            <w:r>
              <w:t>Prijaté úverové prísľuby</w:t>
            </w:r>
          </w:p>
          <w:p w14:paraId="7FE1B83C" w14:textId="03B3C9F7" w:rsidR="007A5804" w:rsidRDefault="007B7723">
            <w:pPr>
              <w:pStyle w:val="P68B1DB1-TableParagraph17"/>
              <w:numPr>
                <w:ilvl w:val="0"/>
                <w:numId w:val="299"/>
              </w:numPr>
              <w:spacing w:before="108"/>
              <w:jc w:val="both"/>
            </w:pPr>
            <w:r>
              <w:t>Prijaté finančné záruky</w:t>
            </w:r>
          </w:p>
          <w:p w14:paraId="7FE1B83D" w14:textId="2357CDAB" w:rsidR="007A5804" w:rsidRDefault="007B7723">
            <w:pPr>
              <w:pStyle w:val="P68B1DB1-TableParagraph17"/>
              <w:numPr>
                <w:ilvl w:val="0"/>
                <w:numId w:val="299"/>
              </w:numPr>
              <w:spacing w:before="108"/>
              <w:jc w:val="both"/>
            </w:pPr>
            <w:r>
              <w:t>Ostatné prijaté prísľuby</w:t>
            </w:r>
          </w:p>
          <w:p w14:paraId="7FE1B83E" w14:textId="7A79D0CA" w:rsidR="007A5804" w:rsidRDefault="007B7723">
            <w:pPr>
              <w:pStyle w:val="P68B1DB1-TableParagraph17"/>
              <w:numPr>
                <w:ilvl w:val="0"/>
                <w:numId w:val="299"/>
              </w:numPr>
              <w:spacing w:before="108"/>
              <w:jc w:val="both"/>
            </w:pPr>
            <w:r>
              <w:t>Deriváty</w:t>
            </w:r>
          </w:p>
          <w:p w14:paraId="7FE1B83F" w14:textId="77777777" w:rsidR="007A5804" w:rsidRDefault="007B7723">
            <w:pPr>
              <w:pStyle w:val="P68B1DB1-TableParagraph17"/>
              <w:spacing w:before="108"/>
              <w:ind w:left="85"/>
              <w:jc w:val="both"/>
            </w:pPr>
            <w:r>
              <w:t>Ak podsúvahové položky prijaté od hlavnej protistrany pozostávajú z viac ako jedného z vyššie uvedených druhov, každý druh podsúvahovej položky sa vykazuje v osobitnom riadku.</w:t>
            </w:r>
          </w:p>
        </w:tc>
      </w:tr>
      <w:tr w:rsidR="007A5804"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7A5804" w:rsidRDefault="007B7723">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7A5804" w:rsidRDefault="007B7723">
            <w:pPr>
              <w:pStyle w:val="P68B1DB1-TableParagraph14"/>
              <w:spacing w:before="108"/>
              <w:ind w:left="85"/>
              <w:jc w:val="both"/>
              <w:rPr>
                <w:bCs/>
              </w:rPr>
            </w:pPr>
            <w:r>
              <w:t xml:space="preserve">Suma </w:t>
            </w:r>
          </w:p>
          <w:p w14:paraId="7FE1B843" w14:textId="7853FDD0" w:rsidR="007A5804" w:rsidRDefault="007B7723">
            <w:pPr>
              <w:pStyle w:val="P68B1DB1-TableParagraph17"/>
              <w:spacing w:before="108"/>
              <w:ind w:left="85"/>
              <w:jc w:val="both"/>
              <w:rPr>
                <w:bCs/>
              </w:rPr>
            </w:pPr>
            <w:r>
              <w:t>Táto suma zodpovedá vymedzeniu pojmu „nesplatená suma“ predpísanému vo vzore F 09.02. V prípade záväzkov vyplývajúcich z derivátov sa vykazujú sumy po konečnom zúčtovaní podľa vymedzenia na účely vzoru Z 02.00, riadok 0333.</w:t>
            </w:r>
          </w:p>
        </w:tc>
      </w:tr>
    </w:tbl>
    <w:p w14:paraId="7FE1B845" w14:textId="77777777" w:rsidR="007A5804" w:rsidRDefault="007A5804">
      <w:pPr>
        <w:rPr>
          <w:rFonts w:ascii="Times New Roman" w:hAnsi="Times New Roman" w:cs="Times New Roman"/>
          <w:color w:val="000000" w:themeColor="text1"/>
          <w:sz w:val="20"/>
          <w:szCs w:val="20"/>
        </w:rPr>
      </w:pPr>
    </w:p>
    <w:p w14:paraId="7FE1B846" w14:textId="77777777" w:rsidR="007A5804" w:rsidRDefault="007A5804">
      <w:pPr>
        <w:rPr>
          <w:rFonts w:ascii="Times New Roman" w:eastAsia="MS Mincho" w:hAnsi="Times New Roman" w:cs="Times New Roman"/>
          <w:color w:val="000000" w:themeColor="text1"/>
          <w:sz w:val="20"/>
          <w:szCs w:val="20"/>
        </w:rPr>
      </w:pPr>
    </w:p>
    <w:p w14:paraId="7FE1B849" w14:textId="5330C525" w:rsidR="007A5804" w:rsidRDefault="007B7723">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24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lastRenderedPageBreak/>
        <w:t>Z 06.00 – Poistenie vkladov (LIAB 7)</w:t>
      </w:r>
      <w:bookmarkEnd w:id="95"/>
      <w:bookmarkEnd w:id="96"/>
      <w:bookmarkEnd w:id="97"/>
      <w:bookmarkEnd w:id="98"/>
      <w:bookmarkEnd w:id="99"/>
    </w:p>
    <w:p w14:paraId="7FE1B84A" w14:textId="77777777" w:rsidR="007A5804" w:rsidRDefault="007B7723">
      <w:pPr>
        <w:pStyle w:val="Instructionsberschrift3"/>
      </w:pPr>
      <w:r>
        <w:t>Všeobecné poznámky</w:t>
      </w:r>
    </w:p>
    <w:p w14:paraId="7FE1B84B" w14:textId="77777777" w:rsidR="007A5804" w:rsidRDefault="007B7723">
      <w:pPr>
        <w:pStyle w:val="P68B1DB1-InstructionsText26"/>
        <w:numPr>
          <w:ilvl w:val="0"/>
          <w:numId w:val="71"/>
        </w:numPr>
        <w:spacing w:before="0"/>
        <w:ind w:left="714" w:hanging="357"/>
      </w:pPr>
      <w:r>
        <w:t>V tomto vzore sa poskytuje prehľad o poistení vkladov v rámci skupiny a systémov ochrany vkladov, ktorých členmi sú úverové inštitúcie, ktoré sú príslušnými právnickými osobami.</w:t>
      </w:r>
    </w:p>
    <w:p w14:paraId="7FE1B84C" w14:textId="77777777" w:rsidR="007A5804" w:rsidRDefault="007B7723">
      <w:pPr>
        <w:pStyle w:val="P68B1DB1-InstructionsText26"/>
        <w:numPr>
          <w:ilvl w:val="0"/>
          <w:numId w:val="71"/>
        </w:numPr>
        <w:spacing w:before="0"/>
        <w:ind w:left="714" w:hanging="357"/>
      </w:pPr>
      <w:r>
        <w:t>Každá úverová inštitúcia, ktorá patrí do skupiny, sa vykazuje v osobitnom riadku.</w:t>
      </w:r>
    </w:p>
    <w:p w14:paraId="7FE1B84D" w14:textId="77777777" w:rsidR="007A5804" w:rsidRDefault="007B7723">
      <w:pPr>
        <w:pStyle w:val="Instructionsberschrift3"/>
        <w:numPr>
          <w:ilvl w:val="0"/>
          <w:numId w:val="0"/>
        </w:numPr>
        <w:ind w:left="720"/>
      </w:pPr>
      <w:r>
        <w:t>Pokyny týkajúce sa konkrétnych pozícií</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5804"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7A5804" w:rsidRDefault="007B7723">
            <w:pPr>
              <w:pStyle w:val="P68B1DB1-TableParagraph17"/>
              <w:spacing w:before="108"/>
              <w:ind w:left="85"/>
              <w:jc w:val="both"/>
            </w:pPr>
            <w:r>
              <w:t>Stĺpce</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7A5804" w:rsidRDefault="007B7723">
            <w:pPr>
              <w:pStyle w:val="P68B1DB1-TableParagraph17"/>
              <w:spacing w:before="108"/>
              <w:ind w:left="85" w:right="1"/>
              <w:jc w:val="both"/>
            </w:pPr>
            <w:r>
              <w:t>Pokyny</w:t>
            </w:r>
          </w:p>
        </w:tc>
      </w:tr>
      <w:tr w:rsidR="007A5804"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7A5804" w:rsidRDefault="007B7723">
            <w:pPr>
              <w:pStyle w:val="P68B1DB1-TableParagraph17"/>
              <w:spacing w:before="108"/>
              <w:ind w:left="85"/>
              <w:jc w:val="both"/>
            </w:pPr>
            <w:r>
              <w:t>0010 – 0020</w:t>
            </w:r>
          </w:p>
        </w:tc>
        <w:tc>
          <w:tcPr>
            <w:tcW w:w="7892" w:type="dxa"/>
            <w:tcBorders>
              <w:top w:val="single" w:sz="4" w:space="0" w:color="1A171C"/>
              <w:left w:val="single" w:sz="4" w:space="0" w:color="1A171C"/>
              <w:bottom w:val="single" w:sz="4" w:space="0" w:color="1A171C"/>
              <w:right w:val="nil"/>
            </w:tcBorders>
          </w:tcPr>
          <w:p w14:paraId="7FE1B852" w14:textId="5BBDBB82" w:rsidR="007A5804" w:rsidRDefault="007B7723">
            <w:pPr>
              <w:pStyle w:val="P68B1DB1-TableParagraph14"/>
              <w:spacing w:before="108"/>
              <w:ind w:left="85"/>
              <w:jc w:val="both"/>
              <w:rPr>
                <w:rFonts w:eastAsia="Cambria"/>
              </w:rPr>
            </w:pPr>
            <w:r>
              <w:t>Právny subjekt</w:t>
            </w:r>
          </w:p>
        </w:tc>
      </w:tr>
      <w:tr w:rsidR="007A5804"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7A5804" w:rsidRDefault="007B7723">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7A5804" w:rsidRDefault="007B7723">
            <w:pPr>
              <w:pStyle w:val="P68B1DB1-TableParagraph14"/>
              <w:spacing w:before="108"/>
              <w:ind w:left="85"/>
              <w:jc w:val="both"/>
              <w:rPr>
                <w:bCs/>
              </w:rPr>
            </w:pPr>
            <w:r>
              <w:t>Názov subjektu</w:t>
            </w:r>
          </w:p>
          <w:p w14:paraId="7FE1B856" w14:textId="16A1B5FB" w:rsidR="007A5804" w:rsidRDefault="007B7723">
            <w:pPr>
              <w:pStyle w:val="P68B1DB1-TableParagraph17"/>
              <w:spacing w:before="108"/>
              <w:ind w:left="85"/>
              <w:jc w:val="both"/>
            </w:pPr>
            <w:r>
              <w:t xml:space="preserve">Názov subjektu vykázaný v Z 01.01 – Právnické osoby (ORG 1). </w:t>
            </w:r>
          </w:p>
        </w:tc>
      </w:tr>
      <w:tr w:rsidR="007A5804"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7A5804" w:rsidRDefault="007B7723">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7A5804" w:rsidRDefault="007B7723">
            <w:pPr>
              <w:pStyle w:val="P68B1DB1-TableParagraph14"/>
              <w:spacing w:before="108"/>
              <w:ind w:left="85"/>
              <w:jc w:val="both"/>
              <w:rPr>
                <w:bCs/>
              </w:rPr>
            </w:pPr>
            <w:r>
              <w:t xml:space="preserve">Kód </w:t>
            </w:r>
          </w:p>
          <w:p w14:paraId="7FE1B85A" w14:textId="532EB445" w:rsidR="007A5804" w:rsidRDefault="007B7723">
            <w:pPr>
              <w:pStyle w:val="P68B1DB1-TableParagraph17"/>
              <w:spacing w:before="108"/>
              <w:ind w:left="85"/>
              <w:jc w:val="both"/>
            </w:pPr>
            <w:r>
              <w:t>Kód subjektu vykázaný v Z 01.01 – Právnické osoby (ORG 1).</w:t>
            </w:r>
          </w:p>
          <w:p w14:paraId="7FE1B85B" w14:textId="77777777" w:rsidR="007A5804" w:rsidRDefault="007B7723">
            <w:pPr>
              <w:pStyle w:val="P68B1DB1-TableParagraph17"/>
              <w:spacing w:before="108"/>
              <w:ind w:left="85"/>
              <w:jc w:val="both"/>
            </w:pPr>
            <w:r>
              <w:t>Tento kód je identifikátorom riadku a musí byť jedinečný pre každý riadok vo vzore.</w:t>
            </w:r>
          </w:p>
        </w:tc>
      </w:tr>
      <w:tr w:rsidR="007A5804"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7A5804" w:rsidRDefault="007B7723">
            <w:pPr>
              <w:pStyle w:val="P68B1DB1-TableParagraph17"/>
              <w:spacing w:before="108"/>
              <w:ind w:left="85"/>
              <w:jc w:val="both"/>
            </w:pPr>
            <w:r>
              <w:t>0030 – 0040</w:t>
            </w:r>
          </w:p>
        </w:tc>
        <w:tc>
          <w:tcPr>
            <w:tcW w:w="7892" w:type="dxa"/>
            <w:tcBorders>
              <w:top w:val="single" w:sz="4" w:space="0" w:color="1A171C"/>
              <w:left w:val="single" w:sz="4" w:space="0" w:color="1A171C"/>
              <w:bottom w:val="single" w:sz="4" w:space="0" w:color="1A171C"/>
              <w:right w:val="nil"/>
            </w:tcBorders>
          </w:tcPr>
          <w:p w14:paraId="7FE1B85E" w14:textId="77777777" w:rsidR="007A5804" w:rsidRDefault="007B7723">
            <w:pPr>
              <w:pStyle w:val="P68B1DB1-TableParagraph14"/>
              <w:spacing w:before="108"/>
              <w:ind w:left="85"/>
              <w:jc w:val="both"/>
              <w:rPr>
                <w:bCs/>
              </w:rPr>
            </w:pPr>
            <w:r>
              <w:t>Členstvo v systéme ochrany vkladov</w:t>
            </w:r>
          </w:p>
        </w:tc>
      </w:tr>
      <w:tr w:rsidR="007A5804"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7A5804" w:rsidRDefault="007B7723">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861" w14:textId="77777777" w:rsidR="007A5804" w:rsidRDefault="007B7723">
            <w:pPr>
              <w:pStyle w:val="P68B1DB1-TableParagraph14"/>
              <w:spacing w:before="108"/>
              <w:ind w:left="85"/>
              <w:jc w:val="both"/>
              <w:rPr>
                <w:bCs/>
              </w:rPr>
            </w:pPr>
            <w:r>
              <w:t>DGS</w:t>
            </w:r>
          </w:p>
          <w:p w14:paraId="7FE1B862" w14:textId="41C69940" w:rsidR="007A5804" w:rsidRDefault="007B7723">
            <w:pPr>
              <w:pStyle w:val="P68B1DB1-TableParagraph17"/>
              <w:spacing w:before="108"/>
              <w:ind w:left="85"/>
              <w:jc w:val="both"/>
            </w:pPr>
            <w:r>
              <w:t>Článok 4 ods. 3 smernice 2014/49/EÚ</w:t>
            </w:r>
          </w:p>
          <w:p w14:paraId="7FE1B863" w14:textId="77777777" w:rsidR="007A5804" w:rsidRDefault="007B7723">
            <w:pPr>
              <w:pStyle w:val="P68B1DB1-TableParagraph17"/>
              <w:spacing w:before="108"/>
              <w:ind w:left="85"/>
              <w:jc w:val="both"/>
            </w:pPr>
            <w:r>
              <w:t>Názov oficiálne uznaného systému ochrany vkladov, ktorého členom je subjekt pri uplatňovaní smernice 2014/49/EÚ. Ide o systém ochrany vkladov v členskom štáte, v ktorom je subjekt registrovaný, s vylúčením iných systémov ochrany vkladov, ktoré by v iných členských štátoch mohli poskytovať dodatočnú ochranu („doplnkovú“) zákazníkom subjektu v pobočke v uvedenom členskom štáte. Ak je inštitúcia členom schémy inštitucionálneho zabezpečenia (IPS), ktorá je zároveň oficiálne uznaná ako systém ochrany vkladov podľa článku 4 ods. 2 smernice 2014/49/EÚ, názov systému ochrany vkladov musí byť totožný s názvom schémy inštitucionálneho zabezpečenia v riadku 050.</w:t>
            </w:r>
          </w:p>
          <w:p w14:paraId="7FE1B864" w14:textId="77777777" w:rsidR="007A5804" w:rsidRDefault="007B7723">
            <w:pPr>
              <w:pStyle w:val="P68B1DB1-TableParagraph17"/>
              <w:spacing w:before="108"/>
              <w:ind w:left="85"/>
              <w:jc w:val="both"/>
            </w:pPr>
            <w:r>
              <w:t>Systém ochrany vkladov sa pre každý štát registrácie subjektu vyberie spomedzi týchto subjektov:</w:t>
            </w:r>
          </w:p>
          <w:p w14:paraId="7FE1B865" w14:textId="77777777" w:rsidR="007A5804" w:rsidRDefault="007B7723">
            <w:pPr>
              <w:pStyle w:val="P68B1DB1-TableParagraph28"/>
              <w:spacing w:before="108"/>
              <w:ind w:left="85"/>
              <w:jc w:val="both"/>
            </w:pPr>
            <w:r>
              <w:t>Pre Rakúsko</w:t>
            </w:r>
          </w:p>
          <w:p w14:paraId="7FE1B866" w14:textId="7AF21273" w:rsidR="007A5804" w:rsidRDefault="007B7723">
            <w:pPr>
              <w:pStyle w:val="P68B1DB1-TableParagraph17"/>
              <w:numPr>
                <w:ilvl w:val="0"/>
                <w:numId w:val="70"/>
              </w:numPr>
              <w:spacing w:before="108"/>
              <w:jc w:val="both"/>
            </w:pPr>
            <w:r>
              <w:t xml:space="preserve">„Einlagensicherung AUSTRIA Ges.m.b.H.“ </w:t>
            </w:r>
          </w:p>
          <w:p w14:paraId="7FE1B867" w14:textId="77777777" w:rsidR="007A5804" w:rsidRDefault="007B7723">
            <w:pPr>
              <w:pStyle w:val="P68B1DB1-TableParagraph17"/>
              <w:numPr>
                <w:ilvl w:val="0"/>
                <w:numId w:val="70"/>
              </w:numPr>
              <w:spacing w:before="108"/>
              <w:jc w:val="both"/>
            </w:pPr>
            <w:r>
              <w:t>„Sparkassen-Haftungs GmbH“</w:t>
            </w:r>
          </w:p>
          <w:p w14:paraId="7FE1B868" w14:textId="77777777" w:rsidR="007A5804" w:rsidRDefault="007B7723">
            <w:pPr>
              <w:pStyle w:val="P68B1DB1-TableParagraph17"/>
              <w:numPr>
                <w:ilvl w:val="0"/>
                <w:numId w:val="70"/>
              </w:numPr>
              <w:spacing w:before="108"/>
              <w:jc w:val="both"/>
            </w:pPr>
            <w:r>
              <w:t>„Österreichische Raiffeisen-Sicherungseinrichtung eGen“</w:t>
            </w:r>
          </w:p>
          <w:p w14:paraId="7FE1B869" w14:textId="77777777" w:rsidR="007A5804" w:rsidRDefault="007B7723">
            <w:pPr>
              <w:pStyle w:val="P68B1DB1-TableParagraph28"/>
              <w:spacing w:before="108"/>
              <w:ind w:left="85"/>
              <w:jc w:val="both"/>
            </w:pPr>
            <w:r>
              <w:t>Belgicko</w:t>
            </w:r>
          </w:p>
          <w:p w14:paraId="7FE1B86A" w14:textId="77777777" w:rsidR="007A5804" w:rsidRDefault="007B7723">
            <w:pPr>
              <w:pStyle w:val="P68B1DB1-TableParagraph17"/>
              <w:numPr>
                <w:ilvl w:val="0"/>
                <w:numId w:val="70"/>
              </w:numPr>
              <w:spacing w:before="108"/>
              <w:jc w:val="both"/>
            </w:pPr>
            <w:r>
              <w:t>„Garantiefonds voor financiële diensten/Fonds de garantie pour les services financiers“</w:t>
            </w:r>
          </w:p>
          <w:p w14:paraId="7FE1B86B" w14:textId="77777777" w:rsidR="007A5804" w:rsidRDefault="007B7723">
            <w:pPr>
              <w:pStyle w:val="P68B1DB1-TableParagraph28"/>
              <w:spacing w:before="108"/>
              <w:ind w:left="85"/>
              <w:jc w:val="both"/>
            </w:pPr>
            <w:r>
              <w:t>Bulharsko</w:t>
            </w:r>
          </w:p>
          <w:p w14:paraId="7FE1B86C" w14:textId="33BABCB1" w:rsidR="007A5804" w:rsidRDefault="007B7723">
            <w:pPr>
              <w:pStyle w:val="P68B1DB1-TableParagraph17"/>
              <w:numPr>
                <w:ilvl w:val="0"/>
                <w:numId w:val="70"/>
              </w:numPr>
              <w:spacing w:before="108"/>
              <w:jc w:val="both"/>
            </w:pPr>
            <w:r>
              <w:t>„Фонд за гарантиране на влоговете в банките“</w:t>
            </w:r>
          </w:p>
          <w:p w14:paraId="7FE1B86D" w14:textId="77777777" w:rsidR="007A5804" w:rsidRDefault="007B7723">
            <w:pPr>
              <w:pStyle w:val="P68B1DB1-TableParagraph28"/>
              <w:spacing w:before="108"/>
              <w:ind w:left="85"/>
              <w:jc w:val="both"/>
            </w:pPr>
            <w:r>
              <w:t>Chorvátsko</w:t>
            </w:r>
          </w:p>
          <w:p w14:paraId="7FE1B86E" w14:textId="77777777" w:rsidR="007A5804" w:rsidRDefault="007B7723">
            <w:pPr>
              <w:pStyle w:val="P68B1DB1-TableParagraph17"/>
              <w:numPr>
                <w:ilvl w:val="0"/>
                <w:numId w:val="70"/>
              </w:numPr>
              <w:spacing w:before="108"/>
              <w:jc w:val="both"/>
            </w:pPr>
            <w:r>
              <w:t>„Hrvatska agencija za osiguranje depozita“</w:t>
            </w:r>
          </w:p>
          <w:p w14:paraId="7FE1B86F" w14:textId="77777777" w:rsidR="007A5804" w:rsidRDefault="007B7723">
            <w:pPr>
              <w:pStyle w:val="P68B1DB1-TableParagraph28"/>
              <w:spacing w:before="108"/>
              <w:ind w:left="85"/>
              <w:jc w:val="both"/>
            </w:pPr>
            <w:r>
              <w:t>Cyprus</w:t>
            </w:r>
          </w:p>
          <w:p w14:paraId="7FE1B870" w14:textId="77777777" w:rsidR="007A5804" w:rsidRDefault="007B7723">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7A5804" w:rsidRDefault="007B7723">
            <w:pPr>
              <w:pStyle w:val="P68B1DB1-TableParagraph28"/>
              <w:spacing w:before="108"/>
              <w:ind w:left="85"/>
              <w:jc w:val="both"/>
            </w:pPr>
            <w:r>
              <w:t>Čeština</w:t>
            </w:r>
          </w:p>
          <w:p w14:paraId="7FE1B872" w14:textId="77777777" w:rsidR="007A5804" w:rsidRDefault="007B7723">
            <w:pPr>
              <w:pStyle w:val="P68B1DB1-TableParagraph17"/>
              <w:numPr>
                <w:ilvl w:val="0"/>
                <w:numId w:val="70"/>
              </w:numPr>
              <w:spacing w:before="108"/>
              <w:jc w:val="both"/>
            </w:pPr>
            <w:r>
              <w:lastRenderedPageBreak/>
              <w:t>„Garanční systém finančního trhu“</w:t>
            </w:r>
          </w:p>
          <w:p w14:paraId="7FE1B873" w14:textId="77777777" w:rsidR="007A5804" w:rsidRDefault="007B7723">
            <w:pPr>
              <w:pStyle w:val="P68B1DB1-TableParagraph28"/>
              <w:spacing w:before="108"/>
              <w:ind w:left="85"/>
              <w:jc w:val="both"/>
            </w:pPr>
            <w:r>
              <w:t>Dánsko</w:t>
            </w:r>
          </w:p>
          <w:p w14:paraId="7FE1B874" w14:textId="77777777" w:rsidR="007A5804" w:rsidRDefault="007B7723">
            <w:pPr>
              <w:pStyle w:val="P68B1DB1-TableParagraph17"/>
              <w:numPr>
                <w:ilvl w:val="0"/>
                <w:numId w:val="70"/>
              </w:numPr>
              <w:spacing w:before="108"/>
              <w:jc w:val="both"/>
            </w:pPr>
            <w:r>
              <w:t>„Garantiformuen“</w:t>
            </w:r>
          </w:p>
          <w:p w14:paraId="7FE1B875" w14:textId="77777777" w:rsidR="007A5804" w:rsidRDefault="007B7723">
            <w:pPr>
              <w:pStyle w:val="P68B1DB1-TableParagraph28"/>
              <w:spacing w:before="108"/>
              <w:ind w:left="85"/>
              <w:jc w:val="both"/>
            </w:pPr>
            <w:r>
              <w:t xml:space="preserve">Estónsko </w:t>
            </w:r>
          </w:p>
          <w:p w14:paraId="7FE1B876" w14:textId="77777777" w:rsidR="007A5804" w:rsidRDefault="007B7723">
            <w:pPr>
              <w:pStyle w:val="P68B1DB1-TableParagraph17"/>
              <w:numPr>
                <w:ilvl w:val="0"/>
                <w:numId w:val="70"/>
              </w:numPr>
              <w:spacing w:before="108"/>
              <w:jc w:val="both"/>
            </w:pPr>
            <w:r>
              <w:t>„Tagastisfond“</w:t>
            </w:r>
          </w:p>
          <w:p w14:paraId="7FE1B877" w14:textId="77777777" w:rsidR="007A5804" w:rsidRDefault="007B7723">
            <w:pPr>
              <w:pStyle w:val="P68B1DB1-TableParagraph28"/>
              <w:spacing w:before="108"/>
              <w:ind w:left="85"/>
              <w:jc w:val="both"/>
            </w:pPr>
            <w:r>
              <w:t xml:space="preserve">Fínsko </w:t>
            </w:r>
          </w:p>
          <w:p w14:paraId="7FE1B878" w14:textId="77777777" w:rsidR="007A5804" w:rsidRDefault="007B7723">
            <w:pPr>
              <w:pStyle w:val="P68B1DB1-TableParagraph17"/>
              <w:numPr>
                <w:ilvl w:val="0"/>
                <w:numId w:val="70"/>
              </w:numPr>
              <w:spacing w:before="108"/>
              <w:jc w:val="both"/>
            </w:pPr>
            <w:r>
              <w:t>„Talletussuojarahasto“</w:t>
            </w:r>
          </w:p>
          <w:p w14:paraId="7FE1B879" w14:textId="77777777" w:rsidR="007A5804" w:rsidRDefault="007B7723">
            <w:pPr>
              <w:pStyle w:val="P68B1DB1-TableParagraph28"/>
              <w:spacing w:before="108"/>
              <w:ind w:left="85"/>
              <w:jc w:val="both"/>
            </w:pPr>
            <w:r>
              <w:t>Francúzsko</w:t>
            </w:r>
          </w:p>
          <w:p w14:paraId="7FE1B87A" w14:textId="77777777" w:rsidR="007A5804" w:rsidRDefault="007B7723">
            <w:pPr>
              <w:pStyle w:val="P68B1DB1-TableParagraph17"/>
              <w:numPr>
                <w:ilvl w:val="0"/>
                <w:numId w:val="70"/>
              </w:numPr>
              <w:spacing w:before="108"/>
              <w:jc w:val="both"/>
            </w:pPr>
            <w:r>
              <w:t>„Fonds de Garantie des Dépôts et de Résolution“</w:t>
            </w:r>
          </w:p>
          <w:p w14:paraId="7FE1B87B" w14:textId="77777777" w:rsidR="007A5804" w:rsidRDefault="007B7723">
            <w:pPr>
              <w:pStyle w:val="P68B1DB1-TableParagraph28"/>
              <w:spacing w:before="108"/>
              <w:ind w:left="85"/>
              <w:jc w:val="both"/>
            </w:pPr>
            <w:r>
              <w:t xml:space="preserve">Nemecko </w:t>
            </w:r>
          </w:p>
          <w:p w14:paraId="7FE1B87C" w14:textId="77777777" w:rsidR="007A5804" w:rsidRDefault="007B7723">
            <w:pPr>
              <w:pStyle w:val="P68B1DB1-TableParagraph17"/>
              <w:numPr>
                <w:ilvl w:val="0"/>
                <w:numId w:val="70"/>
              </w:numPr>
              <w:spacing w:before="108"/>
              <w:jc w:val="both"/>
            </w:pPr>
            <w:r>
              <w:t>„Entschädigungseinrichtung deutscher Banken GmbH“</w:t>
            </w:r>
          </w:p>
          <w:p w14:paraId="7FE1B87D" w14:textId="77777777" w:rsidR="007A5804" w:rsidRDefault="007B7723">
            <w:pPr>
              <w:pStyle w:val="P68B1DB1-TableParagraph17"/>
              <w:numPr>
                <w:ilvl w:val="0"/>
                <w:numId w:val="70"/>
              </w:numPr>
              <w:spacing w:before="108"/>
              <w:jc w:val="both"/>
            </w:pPr>
            <w:r>
              <w:t>„Entschädigungseinrichtung des Bundesverbandes Öffentlicher Banken Deutschlands GmbH“</w:t>
            </w:r>
          </w:p>
          <w:p w14:paraId="7FE1B87E" w14:textId="77777777" w:rsidR="007A5804" w:rsidRDefault="007B7723">
            <w:pPr>
              <w:pStyle w:val="P68B1DB1-TableParagraph17"/>
              <w:numPr>
                <w:ilvl w:val="0"/>
                <w:numId w:val="70"/>
              </w:numPr>
              <w:spacing w:before="108"/>
              <w:jc w:val="both"/>
            </w:pPr>
            <w:r>
              <w:t>„Sicherungseinrichtung des Deutschen Sparkassen- und Giroverbandes (DSGV-Haftungsverbund)“</w:t>
            </w:r>
          </w:p>
          <w:p w14:paraId="7FE1B87F" w14:textId="77777777" w:rsidR="007A5804" w:rsidRDefault="007B7723">
            <w:pPr>
              <w:pStyle w:val="P68B1DB1-TableParagraph17"/>
              <w:numPr>
                <w:ilvl w:val="0"/>
                <w:numId w:val="70"/>
              </w:numPr>
              <w:spacing w:before="108"/>
              <w:jc w:val="both"/>
            </w:pPr>
            <w:r>
              <w:t>„BVR Institutssicherung GmbH“</w:t>
            </w:r>
          </w:p>
          <w:p w14:paraId="7FE1B882" w14:textId="77777777" w:rsidR="007A5804" w:rsidRDefault="007B7723">
            <w:pPr>
              <w:pStyle w:val="P68B1DB1-TableParagraph28"/>
              <w:spacing w:before="108"/>
              <w:ind w:left="85"/>
              <w:jc w:val="both"/>
            </w:pPr>
            <w:r>
              <w:t xml:space="preserve">Grécko </w:t>
            </w:r>
          </w:p>
          <w:p w14:paraId="7FE1B883" w14:textId="77777777" w:rsidR="007A5804" w:rsidRDefault="007B7723">
            <w:pPr>
              <w:pStyle w:val="P68B1DB1-TableParagraph17"/>
              <w:numPr>
                <w:ilvl w:val="0"/>
                <w:numId w:val="70"/>
              </w:numPr>
              <w:spacing w:before="108"/>
              <w:jc w:val="both"/>
            </w:pPr>
            <w:r>
              <w:t>„Ταμείο Εγγύησης Καταθέσεων και Επενδύσεων“</w:t>
            </w:r>
          </w:p>
          <w:p w14:paraId="7FE1B884" w14:textId="77777777" w:rsidR="007A5804" w:rsidRDefault="007B7723">
            <w:pPr>
              <w:pStyle w:val="P68B1DB1-TableParagraph28"/>
              <w:spacing w:before="108"/>
              <w:ind w:left="85"/>
              <w:jc w:val="both"/>
            </w:pPr>
            <w:r>
              <w:t xml:space="preserve">Maďarsko </w:t>
            </w:r>
          </w:p>
          <w:p w14:paraId="7FE1B885" w14:textId="77777777" w:rsidR="007A5804" w:rsidRDefault="007B7723">
            <w:pPr>
              <w:pStyle w:val="P68B1DB1-TableParagraph17"/>
              <w:numPr>
                <w:ilvl w:val="0"/>
                <w:numId w:val="70"/>
              </w:numPr>
              <w:spacing w:before="108"/>
              <w:jc w:val="both"/>
            </w:pPr>
            <w:r>
              <w:t>„Országos Betétbiztosítási Alap“</w:t>
            </w:r>
          </w:p>
          <w:p w14:paraId="7FE1B886" w14:textId="77777777" w:rsidR="007A5804" w:rsidRDefault="007B7723">
            <w:pPr>
              <w:pStyle w:val="P68B1DB1-TableParagraph28"/>
              <w:spacing w:before="108"/>
              <w:ind w:left="85"/>
              <w:jc w:val="both"/>
            </w:pPr>
            <w:r>
              <w:t>Island</w:t>
            </w:r>
          </w:p>
          <w:p w14:paraId="7FE1B887" w14:textId="44E06D46" w:rsidR="007A5804" w:rsidRDefault="007B7723">
            <w:pPr>
              <w:pStyle w:val="P68B1DB1-TableParagraph17"/>
              <w:numPr>
                <w:ilvl w:val="0"/>
                <w:numId w:val="70"/>
              </w:numPr>
              <w:spacing w:before="108"/>
              <w:jc w:val="both"/>
            </w:pPr>
            <w:r>
              <w:t>„Tryggingarsjóður vegna fjármálafyrirtækja“</w:t>
            </w:r>
          </w:p>
          <w:p w14:paraId="7FE1B888" w14:textId="77777777" w:rsidR="007A5804" w:rsidRDefault="007B7723">
            <w:pPr>
              <w:pStyle w:val="P68B1DB1-TableParagraph28"/>
              <w:spacing w:before="108"/>
              <w:ind w:left="85"/>
              <w:jc w:val="both"/>
            </w:pPr>
            <w:r>
              <w:t>Írsko</w:t>
            </w:r>
          </w:p>
          <w:p w14:paraId="7FE1B889" w14:textId="77777777" w:rsidR="007A5804" w:rsidRDefault="007B7723">
            <w:pPr>
              <w:pStyle w:val="P68B1DB1-TableParagraph17"/>
              <w:numPr>
                <w:ilvl w:val="0"/>
                <w:numId w:val="70"/>
              </w:numPr>
              <w:spacing w:before="108"/>
              <w:jc w:val="both"/>
            </w:pPr>
            <w:r>
              <w:t>„Irish Deposit Protection Scheme“</w:t>
            </w:r>
          </w:p>
          <w:p w14:paraId="7FE1B88A" w14:textId="77777777" w:rsidR="007A5804" w:rsidRDefault="007B7723">
            <w:pPr>
              <w:pStyle w:val="P68B1DB1-TableParagraph28"/>
              <w:spacing w:before="108"/>
              <w:ind w:left="85"/>
              <w:jc w:val="both"/>
            </w:pPr>
            <w:r>
              <w:t xml:space="preserve">Taliansko </w:t>
            </w:r>
          </w:p>
          <w:p w14:paraId="7FE1B88B" w14:textId="77777777" w:rsidR="007A5804" w:rsidRDefault="007B7723">
            <w:pPr>
              <w:pStyle w:val="P68B1DB1-TableParagraph17"/>
              <w:numPr>
                <w:ilvl w:val="0"/>
                <w:numId w:val="70"/>
              </w:numPr>
              <w:spacing w:before="108"/>
              <w:jc w:val="both"/>
            </w:pPr>
            <w:r>
              <w:t>„Fondo Interbancario di Tutela dei Depositi“</w:t>
            </w:r>
          </w:p>
          <w:p w14:paraId="7FE1B88C" w14:textId="77777777" w:rsidR="007A5804" w:rsidRDefault="007B7723">
            <w:pPr>
              <w:pStyle w:val="P68B1DB1-TableParagraph17"/>
              <w:numPr>
                <w:ilvl w:val="0"/>
                <w:numId w:val="70"/>
              </w:numPr>
              <w:spacing w:before="108"/>
              <w:jc w:val="both"/>
            </w:pPr>
            <w:r>
              <w:t>„Fondo di Garanzia dei Depositanti del Credito Cooperativo“</w:t>
            </w:r>
          </w:p>
          <w:p w14:paraId="7FE1B88D" w14:textId="77777777" w:rsidR="007A5804" w:rsidRDefault="007B7723">
            <w:pPr>
              <w:pStyle w:val="P68B1DB1-TableParagraph28"/>
              <w:spacing w:before="108"/>
              <w:ind w:left="85"/>
              <w:jc w:val="both"/>
            </w:pPr>
            <w:r>
              <w:t>Lotyšsko</w:t>
            </w:r>
          </w:p>
          <w:p w14:paraId="7FE1B88E" w14:textId="77777777" w:rsidR="007A5804" w:rsidRDefault="007B7723">
            <w:pPr>
              <w:pStyle w:val="P68B1DB1-TableParagraph17"/>
              <w:numPr>
                <w:ilvl w:val="0"/>
                <w:numId w:val="70"/>
              </w:numPr>
              <w:spacing w:before="108"/>
              <w:jc w:val="both"/>
            </w:pPr>
            <w:r>
              <w:t>„Latvijas Noguldījumu garantiju fonds“</w:t>
            </w:r>
          </w:p>
          <w:p w14:paraId="7FE1B88F" w14:textId="77777777" w:rsidR="007A5804" w:rsidRDefault="007B7723">
            <w:pPr>
              <w:pStyle w:val="P68B1DB1-TableParagraph28"/>
              <w:spacing w:before="108"/>
              <w:ind w:left="85"/>
              <w:jc w:val="both"/>
            </w:pPr>
            <w:r>
              <w:t xml:space="preserve">Lichtenštajnsko </w:t>
            </w:r>
          </w:p>
          <w:p w14:paraId="7FE1B890" w14:textId="77777777" w:rsidR="007A5804" w:rsidRDefault="007B7723">
            <w:pPr>
              <w:pStyle w:val="P68B1DB1-TableParagraph17"/>
              <w:numPr>
                <w:ilvl w:val="0"/>
                <w:numId w:val="70"/>
              </w:numPr>
              <w:spacing w:before="108"/>
              <w:jc w:val="both"/>
            </w:pPr>
            <w:r>
              <w:t>„Einlagensicherungs- und Anlegerentschädigungs-Stiftung SV“</w:t>
            </w:r>
          </w:p>
          <w:p w14:paraId="7FE1B891" w14:textId="77777777" w:rsidR="007A5804" w:rsidRDefault="007B7723">
            <w:pPr>
              <w:pStyle w:val="P68B1DB1-TableParagraph28"/>
              <w:spacing w:before="108"/>
              <w:ind w:left="85"/>
              <w:jc w:val="both"/>
            </w:pPr>
            <w:r>
              <w:t>Litva</w:t>
            </w:r>
          </w:p>
          <w:p w14:paraId="7FE1B892" w14:textId="77777777" w:rsidR="007A5804" w:rsidRDefault="007B7723">
            <w:pPr>
              <w:pStyle w:val="P68B1DB1-TableParagraph17"/>
              <w:numPr>
                <w:ilvl w:val="0"/>
                <w:numId w:val="70"/>
              </w:numPr>
              <w:spacing w:before="108"/>
              <w:jc w:val="both"/>
            </w:pPr>
            <w:r>
              <w:t>„Indėlių ir investicijų draudimas“</w:t>
            </w:r>
          </w:p>
          <w:p w14:paraId="7FE1B893" w14:textId="77777777" w:rsidR="007A5804" w:rsidRDefault="007B7723">
            <w:pPr>
              <w:pStyle w:val="P68B1DB1-TableParagraph28"/>
              <w:spacing w:before="108"/>
              <w:ind w:left="85"/>
              <w:jc w:val="both"/>
            </w:pPr>
            <w:r>
              <w:t>Luxembursko</w:t>
            </w:r>
          </w:p>
          <w:p w14:paraId="7FE1B894" w14:textId="59F3019A" w:rsidR="007A5804" w:rsidRDefault="007B7723">
            <w:pPr>
              <w:pStyle w:val="P68B1DB1-TableParagraph17"/>
              <w:numPr>
                <w:ilvl w:val="0"/>
                <w:numId w:val="70"/>
              </w:numPr>
              <w:spacing w:before="108"/>
              <w:jc w:val="both"/>
            </w:pPr>
            <w:r>
              <w:t>„Fonds de garantie des Dépôts Luxembourg“</w:t>
            </w:r>
          </w:p>
          <w:p w14:paraId="7FE1B895" w14:textId="77777777" w:rsidR="007A5804" w:rsidRDefault="007B7723">
            <w:pPr>
              <w:pStyle w:val="P68B1DB1-TableParagraph28"/>
              <w:spacing w:before="108"/>
              <w:ind w:left="85"/>
              <w:jc w:val="both"/>
            </w:pPr>
            <w:r>
              <w:t>Malta</w:t>
            </w:r>
          </w:p>
          <w:p w14:paraId="7FE1B896" w14:textId="77777777" w:rsidR="007A5804" w:rsidRDefault="007B7723">
            <w:pPr>
              <w:pStyle w:val="P68B1DB1-TableParagraph17"/>
              <w:numPr>
                <w:ilvl w:val="0"/>
                <w:numId w:val="70"/>
              </w:numPr>
              <w:spacing w:before="108"/>
              <w:jc w:val="both"/>
            </w:pPr>
            <w:r>
              <w:t>„Depositor Compensation Scheme“</w:t>
            </w:r>
          </w:p>
          <w:p w14:paraId="7FE1B897" w14:textId="77777777" w:rsidR="007A5804" w:rsidRDefault="007B7723">
            <w:pPr>
              <w:pStyle w:val="P68B1DB1-TableParagraph28"/>
              <w:spacing w:before="108"/>
              <w:ind w:left="85"/>
              <w:jc w:val="both"/>
            </w:pPr>
            <w:r>
              <w:t xml:space="preserve">Holandsko </w:t>
            </w:r>
          </w:p>
          <w:p w14:paraId="7FE1B898" w14:textId="77777777" w:rsidR="007A5804" w:rsidRDefault="007B7723">
            <w:pPr>
              <w:pStyle w:val="P68B1DB1-TableParagraph17"/>
              <w:numPr>
                <w:ilvl w:val="0"/>
                <w:numId w:val="70"/>
              </w:numPr>
              <w:spacing w:before="108"/>
              <w:jc w:val="both"/>
            </w:pPr>
            <w:r>
              <w:t>„De Nederlandsche Bank, Depositogarantiestelsel“</w:t>
            </w:r>
          </w:p>
          <w:p w14:paraId="7FE1B899" w14:textId="77777777" w:rsidR="007A5804" w:rsidRDefault="007B7723">
            <w:pPr>
              <w:pStyle w:val="P68B1DB1-TableParagraph28"/>
              <w:spacing w:before="108"/>
              <w:ind w:left="85"/>
              <w:jc w:val="both"/>
            </w:pPr>
            <w:r>
              <w:t>Nórsko</w:t>
            </w:r>
          </w:p>
          <w:p w14:paraId="7FE1B89A" w14:textId="77777777" w:rsidR="007A5804" w:rsidRDefault="007B7723">
            <w:pPr>
              <w:pStyle w:val="P68B1DB1-TableParagraph17"/>
              <w:numPr>
                <w:ilvl w:val="0"/>
                <w:numId w:val="70"/>
              </w:numPr>
              <w:spacing w:before="108"/>
              <w:jc w:val="both"/>
            </w:pPr>
            <w:r>
              <w:lastRenderedPageBreak/>
              <w:t>„Bankenes sikringsfond“</w:t>
            </w:r>
          </w:p>
          <w:p w14:paraId="7FE1B89B" w14:textId="77777777" w:rsidR="007A5804" w:rsidRDefault="007B7723">
            <w:pPr>
              <w:pStyle w:val="P68B1DB1-TableParagraph28"/>
              <w:spacing w:before="108"/>
              <w:ind w:left="85"/>
              <w:jc w:val="both"/>
            </w:pPr>
            <w:r>
              <w:t>Poľsko</w:t>
            </w:r>
          </w:p>
          <w:p w14:paraId="7FE1B89C" w14:textId="77777777" w:rsidR="007A5804" w:rsidRDefault="007B7723">
            <w:pPr>
              <w:pStyle w:val="P68B1DB1-TableParagraph17"/>
              <w:numPr>
                <w:ilvl w:val="0"/>
                <w:numId w:val="70"/>
              </w:numPr>
              <w:spacing w:before="108"/>
              <w:jc w:val="both"/>
            </w:pPr>
            <w:r>
              <w:t>„Bankowy Fundusz Gwarancyjny“</w:t>
            </w:r>
          </w:p>
          <w:p w14:paraId="7FE1B89D" w14:textId="77777777" w:rsidR="007A5804" w:rsidRDefault="007B7723">
            <w:pPr>
              <w:pStyle w:val="P68B1DB1-TableParagraph28"/>
              <w:spacing w:before="108"/>
              <w:ind w:left="85"/>
              <w:jc w:val="both"/>
            </w:pPr>
            <w:r>
              <w:t>Portugalsko</w:t>
            </w:r>
          </w:p>
          <w:p w14:paraId="7FE1B89E" w14:textId="77777777" w:rsidR="007A5804" w:rsidRDefault="007B7723">
            <w:pPr>
              <w:pStyle w:val="P68B1DB1-TableParagraph17"/>
              <w:numPr>
                <w:ilvl w:val="0"/>
                <w:numId w:val="70"/>
              </w:numPr>
              <w:spacing w:before="108"/>
              <w:jc w:val="both"/>
            </w:pPr>
            <w:r>
              <w:t>„Fundo de Garantia de Depósitos“</w:t>
            </w:r>
          </w:p>
          <w:p w14:paraId="7FE1B89F" w14:textId="77777777" w:rsidR="007A5804" w:rsidRDefault="007B7723">
            <w:pPr>
              <w:pStyle w:val="P68B1DB1-TableParagraph17"/>
              <w:numPr>
                <w:ilvl w:val="0"/>
                <w:numId w:val="70"/>
              </w:numPr>
              <w:spacing w:before="108"/>
              <w:jc w:val="both"/>
            </w:pPr>
            <w:r>
              <w:t>„Fundo de Garantia do Crédito Agrícola Mútuo“</w:t>
            </w:r>
          </w:p>
          <w:p w14:paraId="7FE1B8A0" w14:textId="77777777" w:rsidR="007A5804" w:rsidRDefault="007B7723">
            <w:pPr>
              <w:pStyle w:val="P68B1DB1-TableParagraph28"/>
              <w:spacing w:before="108"/>
              <w:ind w:left="85"/>
              <w:jc w:val="both"/>
            </w:pPr>
            <w:r>
              <w:t>Rumunsko</w:t>
            </w:r>
          </w:p>
          <w:p w14:paraId="7FE1B8A1" w14:textId="77777777" w:rsidR="007A5804" w:rsidRDefault="007B7723">
            <w:pPr>
              <w:pStyle w:val="P68B1DB1-TableParagraph17"/>
              <w:numPr>
                <w:ilvl w:val="0"/>
                <w:numId w:val="70"/>
              </w:numPr>
              <w:spacing w:before="108"/>
              <w:jc w:val="both"/>
            </w:pPr>
            <w:r>
              <w:t>„Fondul de Garantare a Depozitelor in Sistemul Bancar“</w:t>
            </w:r>
          </w:p>
          <w:p w14:paraId="7FE1B8A2" w14:textId="77777777" w:rsidR="007A5804" w:rsidRDefault="007B7723">
            <w:pPr>
              <w:pStyle w:val="P68B1DB1-TableParagraph28"/>
              <w:spacing w:before="108"/>
              <w:ind w:left="85"/>
              <w:jc w:val="both"/>
            </w:pPr>
            <w:r>
              <w:t>Slovensko</w:t>
            </w:r>
          </w:p>
          <w:p w14:paraId="7FE1B8A3" w14:textId="77777777" w:rsidR="007A5804" w:rsidRDefault="007B7723">
            <w:pPr>
              <w:pStyle w:val="P68B1DB1-TableParagraph17"/>
              <w:numPr>
                <w:ilvl w:val="0"/>
                <w:numId w:val="70"/>
              </w:numPr>
              <w:spacing w:before="108"/>
              <w:jc w:val="both"/>
            </w:pPr>
            <w:r>
              <w:t>„Fond ochrany vkladov“</w:t>
            </w:r>
          </w:p>
          <w:p w14:paraId="7FE1B8A4" w14:textId="77777777" w:rsidR="007A5804" w:rsidRDefault="007B7723">
            <w:pPr>
              <w:pStyle w:val="P68B1DB1-TableParagraph28"/>
              <w:spacing w:before="108"/>
              <w:ind w:left="85"/>
              <w:jc w:val="both"/>
            </w:pPr>
            <w:r>
              <w:t xml:space="preserve">Slovinsko </w:t>
            </w:r>
          </w:p>
          <w:p w14:paraId="7FE1B8A5" w14:textId="77777777" w:rsidR="007A5804" w:rsidRDefault="007B7723">
            <w:pPr>
              <w:pStyle w:val="P68B1DB1-TableParagraph17"/>
              <w:numPr>
                <w:ilvl w:val="0"/>
                <w:numId w:val="70"/>
              </w:numPr>
              <w:spacing w:before="108"/>
              <w:jc w:val="both"/>
            </w:pPr>
            <w:r>
              <w:t>„Banka Slovenije“</w:t>
            </w:r>
          </w:p>
          <w:p w14:paraId="7FE1B8A6" w14:textId="77777777" w:rsidR="007A5804" w:rsidRDefault="007B7723">
            <w:pPr>
              <w:pStyle w:val="P68B1DB1-TableParagraph28"/>
              <w:spacing w:before="108"/>
              <w:ind w:left="85"/>
              <w:jc w:val="both"/>
            </w:pPr>
            <w:r>
              <w:t>Španielsko</w:t>
            </w:r>
          </w:p>
          <w:p w14:paraId="7FE1B8A7" w14:textId="77777777" w:rsidR="007A5804" w:rsidRDefault="007B7723">
            <w:pPr>
              <w:pStyle w:val="P68B1DB1-TableParagraph17"/>
              <w:numPr>
                <w:ilvl w:val="0"/>
                <w:numId w:val="70"/>
              </w:numPr>
              <w:spacing w:before="108"/>
              <w:jc w:val="both"/>
            </w:pPr>
            <w:r>
              <w:t>„Fondo de Garantía de Depósitos de Entidades de Crédito“</w:t>
            </w:r>
          </w:p>
          <w:p w14:paraId="7FE1B8A8" w14:textId="77777777" w:rsidR="007A5804" w:rsidRDefault="007B7723">
            <w:pPr>
              <w:pStyle w:val="P68B1DB1-TableParagraph28"/>
              <w:spacing w:before="108"/>
              <w:ind w:left="85"/>
              <w:jc w:val="both"/>
            </w:pPr>
            <w:r>
              <w:t>Švédsko</w:t>
            </w:r>
          </w:p>
          <w:p w14:paraId="7FE1B8A9" w14:textId="77777777" w:rsidR="007A5804" w:rsidRDefault="007B7723">
            <w:pPr>
              <w:pStyle w:val="P68B1DB1-TableParagraph17"/>
              <w:numPr>
                <w:ilvl w:val="0"/>
                <w:numId w:val="70"/>
              </w:numPr>
              <w:spacing w:before="108"/>
              <w:jc w:val="both"/>
            </w:pPr>
            <w:r>
              <w:t>„Riksgälden“</w:t>
            </w:r>
          </w:p>
          <w:p w14:paraId="7FE1B8AC" w14:textId="77777777" w:rsidR="007A5804" w:rsidRDefault="007A5804">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7A5804" w:rsidRDefault="007B7723">
            <w:pPr>
              <w:pStyle w:val="P68B1DB1-TableParagraph17"/>
              <w:spacing w:before="108"/>
              <w:ind w:left="85"/>
              <w:jc w:val="both"/>
            </w:pPr>
            <w:r>
              <w:t>Ak oficiálne uznaný systém ochrany vkladov, ktorého je subjekt členom, nie je uvedený vyššie, vykáže sa „iný“.</w:t>
            </w:r>
          </w:p>
        </w:tc>
      </w:tr>
      <w:tr w:rsidR="007A5804"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7A5804" w:rsidRDefault="007B7723">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7A5804" w:rsidRDefault="007B7723">
            <w:pPr>
              <w:pStyle w:val="P68B1DB1-TableParagraph14"/>
              <w:spacing w:before="108"/>
              <w:ind w:left="85"/>
              <w:jc w:val="both"/>
              <w:rPr>
                <w:bCs/>
              </w:rPr>
            </w:pPr>
            <w:r>
              <w:t>Suma krytých vkladov</w:t>
            </w:r>
          </w:p>
          <w:p w14:paraId="7FE1B8B1" w14:textId="77777777" w:rsidR="007A5804" w:rsidRDefault="007B7723">
            <w:pPr>
              <w:pStyle w:val="P68B1DB1-TableParagraph17"/>
              <w:spacing w:before="108"/>
              <w:ind w:left="85"/>
            </w:pPr>
            <w:r>
              <w:t>Článok 2 ods. 1 bod 5 a článok 6 ods. 2 smernice 2014/49/EÚ</w:t>
            </w:r>
          </w:p>
          <w:p w14:paraId="7FE1B8B2" w14:textId="77777777" w:rsidR="007A5804" w:rsidRDefault="007B7723">
            <w:pPr>
              <w:pStyle w:val="P68B1DB1-TableParagraph17"/>
              <w:spacing w:before="108"/>
              <w:ind w:left="85"/>
              <w:jc w:val="both"/>
            </w:pPr>
            <w:r>
              <w:t>Suma krytých vkladov podľa vymedzenia v článku 2 ods. 1 bode 5 v spojení s článkom 6 smernice 2014/49/EÚ, ktorá je krytá systémom ochrany vkladov v riadku 00030 s výnimkou dočasných vysokých zostatkov podľa vymedzenia v článku 6 ods. 2 smernice 2014/49/EÚ.</w:t>
            </w:r>
          </w:p>
        </w:tc>
      </w:tr>
      <w:tr w:rsidR="007A5804"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7A5804" w:rsidRDefault="007B7723">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7A5804" w:rsidRDefault="007B7723">
            <w:pPr>
              <w:pStyle w:val="P68B1DB1-TableParagraph14"/>
              <w:spacing w:before="108"/>
              <w:ind w:left="85"/>
              <w:jc w:val="both"/>
              <w:rPr>
                <w:bCs/>
              </w:rPr>
            </w:pPr>
            <w:r>
              <w:t>Schéma inštitucionálneho zabezpečenia</w:t>
            </w:r>
          </w:p>
          <w:p w14:paraId="7FE1B8B6" w14:textId="77777777" w:rsidR="007A5804" w:rsidRDefault="007B7723">
            <w:pPr>
              <w:pStyle w:val="P68B1DB1-TableParagraph17"/>
              <w:spacing w:before="108"/>
              <w:ind w:left="85"/>
            </w:pPr>
            <w:r>
              <w:t>Článok 113 ods. 7 nariadenia (EÚ) č. 575/2013</w:t>
            </w:r>
          </w:p>
          <w:p w14:paraId="7FE1B8B7" w14:textId="77777777" w:rsidR="007A5804" w:rsidRDefault="007B7723">
            <w:pPr>
              <w:pStyle w:val="P68B1DB1-TableParagraph17"/>
              <w:spacing w:before="108"/>
              <w:ind w:left="85"/>
              <w:jc w:val="both"/>
            </w:pPr>
            <w:r>
              <w:t>Názov schémy inštitucionálneho zabezpečenia, ako sa uvádza v článku 113 ods. 7 nariadenia (EÚ) č. 575/2013, ktorej je subjekt členom. Ak subjekt nie je členom schémy inštitucionálneho zabezpečenia, nevykazujte nič. Ak subjekt je členom schémy inštitucionálneho zabezpečenia, ktorá je zároveň oficiálne uznaná ako systém ochrany vkladov podľa článku 4 ods. 2 smernice 2014/49/EÚ, názov schémy inštitucionálneho zabezpečenia musí byť totožný s názvom systému ochrany vkladov v riadku 030.</w:t>
            </w:r>
          </w:p>
          <w:p w14:paraId="7FE1B8B8" w14:textId="77777777" w:rsidR="007A5804" w:rsidRDefault="007A5804">
            <w:pPr>
              <w:pStyle w:val="TableParagraph"/>
              <w:spacing w:before="108"/>
              <w:ind w:left="85"/>
              <w:jc w:val="both"/>
              <w:rPr>
                <w:rFonts w:ascii="Times New Roman" w:eastAsia="Cambria" w:hAnsi="Times New Roman" w:cs="Times New Roman"/>
                <w:color w:val="000000" w:themeColor="text1"/>
                <w:sz w:val="20"/>
                <w:szCs w:val="20"/>
              </w:rPr>
            </w:pPr>
          </w:p>
        </w:tc>
      </w:tr>
      <w:tr w:rsidR="007A5804"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7A5804" w:rsidRDefault="007B7723">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7A5804" w:rsidRDefault="007B7723">
            <w:pPr>
              <w:pStyle w:val="P68B1DB1-TableParagraph14"/>
              <w:spacing w:before="108"/>
              <w:ind w:left="85"/>
              <w:jc w:val="both"/>
              <w:rPr>
                <w:bCs/>
              </w:rPr>
            </w:pPr>
            <w:r>
              <w:t>Dodatočná ochrana v rámci zmluvného systému</w:t>
            </w:r>
          </w:p>
          <w:p w14:paraId="7FE1B8BC" w14:textId="77777777" w:rsidR="007A5804" w:rsidRDefault="007B7723">
            <w:pPr>
              <w:pStyle w:val="P68B1DB1-TableParagraph17"/>
              <w:spacing w:before="108"/>
              <w:ind w:left="85"/>
            </w:pPr>
            <w:r>
              <w:t>Článok 1 ods. 3 písm. a) smernice 2014/49/EÚ</w:t>
            </w:r>
          </w:p>
          <w:p w14:paraId="7FE1B8BD" w14:textId="77777777" w:rsidR="007A5804" w:rsidRDefault="007B7723">
            <w:pPr>
              <w:pStyle w:val="P68B1DB1-TableParagraph17"/>
              <w:spacing w:before="108"/>
              <w:ind w:left="85"/>
              <w:jc w:val="both"/>
            </w:pPr>
            <w:r>
              <w:t>Suma vkladov, na ktoré sa vzťahuje zmluvný systém v rámci subjektu.</w:t>
            </w:r>
          </w:p>
        </w:tc>
      </w:tr>
    </w:tbl>
    <w:p w14:paraId="7FE1B8BF" w14:textId="77777777" w:rsidR="007A5804" w:rsidRDefault="007A5804">
      <w:pPr>
        <w:rPr>
          <w:rFonts w:ascii="Times New Roman" w:hAnsi="Times New Roman" w:cs="Times New Roman"/>
          <w:b/>
          <w:color w:val="000000" w:themeColor="text1"/>
          <w:sz w:val="20"/>
          <w:szCs w:val="20"/>
          <w:u w:val="single"/>
        </w:rPr>
      </w:pPr>
    </w:p>
    <w:p w14:paraId="7FE1B8C0" w14:textId="77777777" w:rsidR="007A5804" w:rsidRDefault="007B7723">
      <w:pPr>
        <w:pStyle w:val="P68B1DB1-Instructionsberschrift25"/>
        <w:numPr>
          <w:ilvl w:val="1"/>
          <w:numId w:val="49"/>
        </w:numPr>
        <w:ind w:left="357" w:hanging="357"/>
      </w:pPr>
      <w:bookmarkStart w:id="100" w:name="_Toc492542327"/>
      <w:bookmarkStart w:id="101" w:name="_Toc81454186"/>
      <w:bookmarkStart w:id="102" w:name="_Toc208245247"/>
      <w:r>
        <w:t>Zásadné funkcie a hlavné oblasti obchodnej činnosti</w:t>
      </w:r>
      <w:bookmarkEnd w:id="100"/>
      <w:bookmarkEnd w:id="101"/>
      <w:bookmarkEnd w:id="102"/>
    </w:p>
    <w:p w14:paraId="7FE1B8C2" w14:textId="77777777" w:rsidR="007A5804" w:rsidRDefault="007B7723">
      <w:pPr>
        <w:pStyle w:val="Instructionsberschrift3"/>
      </w:pPr>
      <w:bookmarkStart w:id="103" w:name="_Toc189492773"/>
      <w:bookmarkStart w:id="104" w:name="_Toc192249050"/>
      <w:bookmarkEnd w:id="103"/>
      <w:bookmarkEnd w:id="104"/>
      <w:r>
        <w:t>Všeobecné poznámky</w:t>
      </w:r>
    </w:p>
    <w:p w14:paraId="7FE1B8C3" w14:textId="249305A0" w:rsidR="007A5804" w:rsidRDefault="007B7723">
      <w:pPr>
        <w:pStyle w:val="P68B1DB1-InstructionsText26"/>
        <w:numPr>
          <w:ilvl w:val="0"/>
          <w:numId w:val="232"/>
        </w:numPr>
        <w:spacing w:before="0"/>
      </w:pPr>
      <w:r>
        <w:t xml:space="preserve">Štyri vzory tohto oddielu poskytujú kľúčové údaje a kvalitatívne posúdenia vplyvu, zastupiteľnosti a kritickosti hospodárskych funkcií, ktoré skupina poskytuje, doplnené o </w:t>
      </w:r>
      <w:r>
        <w:lastRenderedPageBreak/>
        <w:t>priradenie týchto zásadných funkcií k hlavným oblastiam obchodnej činnosti a právnickým osobám a o priradenie hlavných oblastí obchodnej činnosti právnickým osobám.</w:t>
      </w:r>
    </w:p>
    <w:p w14:paraId="7FE1B8C4" w14:textId="77777777" w:rsidR="007A5804" w:rsidRDefault="007B7723">
      <w:pPr>
        <w:pStyle w:val="P68B1DB1-InstructionsText26"/>
        <w:numPr>
          <w:ilvl w:val="0"/>
          <w:numId w:val="232"/>
        </w:numPr>
        <w:spacing w:before="0"/>
      </w:pPr>
      <w:r>
        <w:t>Konkrétnejšie sa vzory venujú týmto témam:</w:t>
      </w:r>
    </w:p>
    <w:p w14:paraId="7FE1B8C5" w14:textId="0233F295" w:rsidR="007A5804" w:rsidRDefault="007B7723">
      <w:pPr>
        <w:pStyle w:val="P68B1DB1-InstructionsText26"/>
        <w:numPr>
          <w:ilvl w:val="0"/>
          <w:numId w:val="153"/>
        </w:numPr>
        <w:spacing w:before="0"/>
      </w:pPr>
      <w:r>
        <w:t>Vzor Z 07.01 – Posúdenie kritickosti hospodárskych funkcií (FUNC 1) obsahuje výsledky posúdenia kritickosti hospodárskych funkcií, ktoré vykonala skupina, na základe kvantitatívnych a kvalitatívnych ukazovateľov, vykonaných nekritických a zásadných funkcií. Od skupiny sa očakáva samostatný vzor pre každý členský štát, v ktorom skupina pôsobí. Na účely podávania správ boli určené tieto kategórie hospodárskych funkcií:</w:t>
      </w:r>
    </w:p>
    <w:p w14:paraId="7FE1B8C6" w14:textId="43527C6F" w:rsidR="007A5804" w:rsidRDefault="007B7723">
      <w:pPr>
        <w:pStyle w:val="P68B1DB1-InstructionsText26"/>
        <w:numPr>
          <w:ilvl w:val="1"/>
          <w:numId w:val="153"/>
        </w:numPr>
        <w:spacing w:before="0"/>
      </w:pPr>
      <w:r>
        <w:t>Z 07.01.1 Vklady</w:t>
      </w:r>
    </w:p>
    <w:p w14:paraId="7FE1B8C7" w14:textId="46AB6183" w:rsidR="007A5804" w:rsidRDefault="007B7723">
      <w:pPr>
        <w:pStyle w:val="P68B1DB1-InstructionsText26"/>
        <w:numPr>
          <w:ilvl w:val="1"/>
          <w:numId w:val="153"/>
        </w:numPr>
        <w:spacing w:before="0"/>
      </w:pPr>
      <w:r>
        <w:t>Z 07.01.2 Požičanie</w:t>
      </w:r>
    </w:p>
    <w:p w14:paraId="7FE1B8C8" w14:textId="284FDD0B" w:rsidR="007A5804" w:rsidRDefault="007B7723">
      <w:pPr>
        <w:pStyle w:val="P68B1DB1-InstructionsText26"/>
        <w:numPr>
          <w:ilvl w:val="1"/>
          <w:numId w:val="153"/>
        </w:numPr>
        <w:spacing w:before="0"/>
      </w:pPr>
      <w:r>
        <w:t>Z 07.01.3 Platby, peňažné prostriedky, vyrovnanie, zúčtovanie, správcovské služby</w:t>
      </w:r>
    </w:p>
    <w:p w14:paraId="7FE1B8C9" w14:textId="12E4110D" w:rsidR="007A5804" w:rsidRDefault="007B7723">
      <w:pPr>
        <w:pStyle w:val="P68B1DB1-InstructionsText26"/>
        <w:numPr>
          <w:ilvl w:val="1"/>
          <w:numId w:val="153"/>
        </w:numPr>
        <w:spacing w:before="0"/>
      </w:pPr>
      <w:r>
        <w:t>Z 07.01.4 Kapitálové trhy</w:t>
      </w:r>
    </w:p>
    <w:p w14:paraId="7FE1B8CA" w14:textId="02162CC7" w:rsidR="007A5804" w:rsidRDefault="007B7723">
      <w:pPr>
        <w:pStyle w:val="P68B1DB1-InstructionsText26"/>
        <w:numPr>
          <w:ilvl w:val="1"/>
          <w:numId w:val="153"/>
        </w:numPr>
        <w:spacing w:before="0"/>
      </w:pPr>
      <w:r>
        <w:t>Z 07.01.5 Veľkoobchodné financovanie</w:t>
      </w:r>
    </w:p>
    <w:p w14:paraId="7FE1B8CB" w14:textId="006771C1" w:rsidR="007A5804" w:rsidRDefault="007B7723">
      <w:pPr>
        <w:pStyle w:val="P68B1DB1-InstructionsText26"/>
        <w:numPr>
          <w:ilvl w:val="0"/>
          <w:numId w:val="153"/>
        </w:numPr>
        <w:spacing w:before="0"/>
      </w:pPr>
      <w:r>
        <w:t>Vzor Z 07.02 – Priraďovanie hospodárskych funkcií k právnickým osobám (FUNC 2) mapuje hospodárske funkcie posudzované v Z 07.01 s právnickými osobami alebo medzinárodnými pobočkami identifikovanými v Z 01.01.</w:t>
      </w:r>
    </w:p>
    <w:p w14:paraId="7FE1B8CC" w14:textId="0C5FD434" w:rsidR="007A5804" w:rsidRDefault="007B7723">
      <w:pPr>
        <w:pStyle w:val="P68B1DB1-InstructionsText26"/>
        <w:numPr>
          <w:ilvl w:val="0"/>
          <w:numId w:val="153"/>
        </w:numPr>
        <w:spacing w:before="0"/>
      </w:pPr>
      <w:r>
        <w:t>Vzor Z 07.03 – Priraďovanie hlavných oblastí obchodnej činnosti k právnickým osobám (FUNC 3) poskytuje úplný zoznam hlavných oblastí obchodnej činnosti a priraďuje ich k právnickým osobám;</w:t>
      </w:r>
    </w:p>
    <w:p w14:paraId="7FE1B8CD" w14:textId="780FA7AD" w:rsidR="007A5804" w:rsidRDefault="007B7723">
      <w:pPr>
        <w:pStyle w:val="P68B1DB1-InstructionsText26"/>
        <w:numPr>
          <w:ilvl w:val="0"/>
          <w:numId w:val="153"/>
        </w:numPr>
        <w:spacing w:before="0"/>
      </w:pPr>
      <w:r>
        <w:t xml:space="preserve">Vzor Z 07.04 – Priradenie ekonomických funkcií k hlavným oblastiam obchodnej činnosti (FUNC 4) priraďuje identifikované ekonomické funkcie k hlavným oblastiam obchodnej činnosti. </w:t>
      </w:r>
    </w:p>
    <w:p w14:paraId="7FE1B8CE" w14:textId="0BA07F41" w:rsidR="007A5804" w:rsidRDefault="007B7723">
      <w:pPr>
        <w:pStyle w:val="P68B1DB1-InstructionsText26"/>
        <w:numPr>
          <w:ilvl w:val="0"/>
          <w:numId w:val="232"/>
        </w:numPr>
        <w:spacing w:before="0"/>
      </w:pPr>
      <w:r>
        <w:t xml:space="preserve">Podľa článku 2 ods. 1 bodu 35 smernice 2014/59/EÚ „zásadné funkcie“ sú činnosti, služby alebo operácie, ktorých prerušenie by v jednom alebo vo viacerých členských štátoch pravdepodobne viedlo k narušeniu základných služieb reálneho hospodárstva alebo narušeniu finančnej stability v dôsledku veľkosti inštitúcie alebo skupiny alebo ich podielu na trhu, vonkajšej a vnútornej prepojenosti, zložitosti alebo cezhraničných činností, a to s osobitným zreteľom na nahraditeľnosť týchto činností, služieb alebo operácií; </w:t>
      </w:r>
    </w:p>
    <w:p w14:paraId="7FE1B8D0" w14:textId="77777777" w:rsidR="007A5804" w:rsidRDefault="007B7723">
      <w:pPr>
        <w:pStyle w:val="P68B1DB1-InstructionsText26"/>
        <w:numPr>
          <w:ilvl w:val="0"/>
          <w:numId w:val="232"/>
        </w:numPr>
        <w:spacing w:before="0"/>
      </w:pPr>
      <w:r>
        <w:t>Podľa článku 6 ods. 1 nariadenia Komisie (EÚ) 2016/778</w:t>
      </w:r>
      <w:r>
        <w:footnoteReference w:id="18"/>
      </w:r>
      <w:r>
        <w:t>sa funkcia považuje za zásadnú, ak spĺňa obidve z týchto kritérií:</w:t>
      </w:r>
    </w:p>
    <w:p w14:paraId="7FE1B8D1" w14:textId="77777777" w:rsidR="007A5804" w:rsidRDefault="007B7723">
      <w:pPr>
        <w:pStyle w:val="P68B1DB1-Normal3"/>
        <w:numPr>
          <w:ilvl w:val="0"/>
          <w:numId w:val="56"/>
        </w:numPr>
        <w:spacing w:line="276" w:lineRule="auto"/>
        <w:contextualSpacing/>
        <w:jc w:val="both"/>
      </w:pPr>
      <w:r>
        <w:t>funkciu poskytuje inštitúcia tretím stranám, ktoré nie sú pridružené k inštitúcii ani k skupine; a zároveň</w:t>
      </w:r>
    </w:p>
    <w:p w14:paraId="7FE1B8D2" w14:textId="77777777" w:rsidR="007A5804" w:rsidRDefault="007B7723">
      <w:pPr>
        <w:pStyle w:val="P68B1DB1-Normal3"/>
        <w:numPr>
          <w:ilvl w:val="0"/>
          <w:numId w:val="56"/>
        </w:numPr>
        <w:spacing w:line="276" w:lineRule="auto"/>
        <w:contextualSpacing/>
        <w:jc w:val="both"/>
        <w:rPr>
          <w:i/>
        </w:rPr>
      </w:pPr>
      <w:r>
        <w:t>náhle prerušenie tejto funkcie by malo pravdepodobne významný negatívny vplyv na tretie strany, viedlo by k nákaze alebo narušeniu všeobecnej dôvery účastníkov trhu vzhľadom na systémový význam funkcie pre tretie strany a systémový význam inštitúcie alebo skupiny pri poskytovaní funkcie.</w:t>
      </w:r>
    </w:p>
    <w:p w14:paraId="7FE1B8D3" w14:textId="6B4413EC" w:rsidR="007A5804" w:rsidRDefault="007B7723">
      <w:pPr>
        <w:pStyle w:val="P68B1DB1-InstructionsText26"/>
        <w:numPr>
          <w:ilvl w:val="0"/>
          <w:numId w:val="232"/>
        </w:numPr>
        <w:spacing w:before="0"/>
      </w:pPr>
      <w:r>
        <w:t>Podľa článku 2 ods. 1 bodu 36 smernice 2014/59/EÚ „hlavné oblasti obchodnej činnosti“ sú oblasti obchodnej činnosti a súvisiace služby, ktoré pre inštitúciu alebo skupinu, ktorej súčasťou je táto inštitúcia, predstavujú podstatné zdroje príjmov, zisku alebo hodnoty koncesie.“</w:t>
      </w:r>
    </w:p>
    <w:p w14:paraId="7FE1B8D4" w14:textId="77777777" w:rsidR="007A5804" w:rsidRDefault="007B7723">
      <w:pPr>
        <w:pStyle w:val="P68B1DB1-InstructionsText26"/>
        <w:numPr>
          <w:ilvl w:val="0"/>
          <w:numId w:val="232"/>
        </w:numPr>
        <w:spacing w:before="0"/>
      </w:pPr>
      <w:r>
        <w:lastRenderedPageBreak/>
        <w:t>Na účely tohto vzoru sa hospodárske funkcie vzťahujú na funkcie uvedené v nasledujúcej tabuľke.</w:t>
      </w:r>
    </w:p>
    <w:p w14:paraId="7FE1B8D5" w14:textId="77777777" w:rsidR="007A5804" w:rsidRDefault="007B7723">
      <w:pPr>
        <w:pStyle w:val="P68B1DB1-InstructionsText26"/>
        <w:numPr>
          <w:ilvl w:val="0"/>
          <w:numId w:val="232"/>
        </w:numPr>
        <w:spacing w:before="0"/>
      </w:pPr>
      <w:r>
        <w:t>Pre každú kategóriu hospodárskych funkcií sa môže zvoliť hospodárska funkcia „iné“, ak funkcia nie je zachytená inými vopred vymedzenými funkciami.</w:t>
      </w:r>
    </w:p>
    <w:p w14:paraId="7FE1B8D6" w14:textId="77777777" w:rsidR="007A5804" w:rsidRDefault="007B7723">
      <w:pPr>
        <w:pStyle w:val="P68B1DB1-InstructionsText26"/>
        <w:numPr>
          <w:ilvl w:val="0"/>
          <w:numId w:val="232"/>
        </w:numPr>
        <w:spacing w:before="0"/>
      </w:pPr>
      <w:r>
        <w:t>Protistrany uvedené v riadkoch 0010 až 0070 a v riadkoch 0080 až 0150 sú vymedzené rovnako ako v prípade sektorov protistrany uvedených vo FINREP, časť 1 kapitola 6 prílohy V. „MSP“ sú MSP podľa vymedzenia vo FINREP, časť 1 ods. 5 písm. i) prílohy V.</w:t>
      </w:r>
    </w:p>
    <w:p w14:paraId="7FE1B8D7" w14:textId="4FEDF533" w:rsidR="007A5804" w:rsidRDefault="007B7723">
      <w:pPr>
        <w:pStyle w:val="P68B1DB1-InstructionsText229"/>
        <w:numPr>
          <w:ilvl w:val="0"/>
          <w:numId w:val="0"/>
        </w:numPr>
        <w:rPr>
          <w:sz w:val="20"/>
          <w:szCs w:val="20"/>
        </w:rPr>
      </w:pPr>
      <w:r>
        <w:rPr>
          <w:sz w:val="20"/>
          <w:szCs w:val="20"/>
        </w:rPr>
        <w:t>Pre každú kategóriu hospodárskych funkcií sa očakáva samostatná karta.</w:t>
      </w:r>
      <w:r>
        <w:t xml:space="preserve"> </w:t>
      </w:r>
    </w:p>
    <w:p w14:paraId="072982A7" w14:textId="0688FD4A" w:rsidR="007A5804" w:rsidRDefault="007B7723">
      <w:pPr>
        <w:spacing w:after="200" w:line="276" w:lineRule="auto"/>
      </w:pPr>
      <w:r>
        <w:br w:type="page"/>
      </w:r>
    </w:p>
    <w:p w14:paraId="7FE1B95D" w14:textId="634EB818" w:rsidR="007A5804" w:rsidRDefault="007A5804">
      <w:pPr>
        <w:pStyle w:val="InstructionsText2"/>
        <w:numPr>
          <w:ilvl w:val="0"/>
          <w:numId w:val="0"/>
        </w:numPr>
        <w:rPr>
          <w:rFonts w:ascii="Times New Roman" w:hAnsi="Times New Roman" w:cs="Times New Roman"/>
          <w:color w:val="000000" w:themeColor="text1"/>
        </w:rPr>
      </w:pPr>
    </w:p>
    <w:p w14:paraId="7FE1B95E" w14:textId="77777777" w:rsidR="007A5804" w:rsidRDefault="007B7723">
      <w:pPr>
        <w:pStyle w:val="P68B1DB1-Instructionsberschrift25"/>
        <w:numPr>
          <w:ilvl w:val="1"/>
          <w:numId w:val="49"/>
        </w:numPr>
        <w:ind w:left="357" w:hanging="357"/>
      </w:pPr>
      <w:bookmarkStart w:id="105" w:name="_Toc208245248"/>
      <w:r>
        <w:t>Z 07.01 – Posúdenie kritickosti hospodárskych funkcií (FUNC 1)</w:t>
      </w:r>
      <w:bookmarkEnd w:id="105"/>
    </w:p>
    <w:p w14:paraId="7FE1B960" w14:textId="7174EDC4" w:rsidR="007A5804" w:rsidRDefault="007B7723">
      <w:pPr>
        <w:pStyle w:val="P68B1DB1-Instructionsberschrift25"/>
      </w:pPr>
      <w:r>
        <w:t xml:space="preserve"> </w:t>
      </w:r>
      <w:bookmarkStart w:id="106" w:name="_Toc172723210"/>
      <w:bookmarkEnd w:id="106"/>
    </w:p>
    <w:p w14:paraId="7FE1B961" w14:textId="77777777" w:rsidR="007A5804" w:rsidRDefault="007B7723">
      <w:pPr>
        <w:pStyle w:val="P68B1DB1-body30"/>
      </w:pPr>
      <w:bookmarkStart w:id="107" w:name="_Toc164263845"/>
      <w:r>
        <w:t>Pokyny týkajúce sa konkrétnych pozícií</w:t>
      </w:r>
      <w:bookmarkEnd w:id="107"/>
    </w:p>
    <w:p w14:paraId="7FE1B963" w14:textId="77777777" w:rsidR="007A5804" w:rsidRDefault="007B7723">
      <w:pPr>
        <w:pStyle w:val="P68B1DB1-InstructionsText26"/>
        <w:numPr>
          <w:ilvl w:val="0"/>
          <w:numId w:val="232"/>
        </w:numPr>
        <w:spacing w:before="0"/>
      </w:pPr>
      <w:r>
        <w:t>Tento vzor sa vykazuje raz za každý členský štát (identifikovaný ako „štát“), v ktorom skupina pôsobí. Vo všetkých prípadoch (bez ohľadu na miesto vstupu) sa pobočky agregujú v správe krajiny, v ktorej poskytujú služby.</w:t>
      </w:r>
    </w:p>
    <w:p w14:paraId="7FE1B964" w14:textId="77777777" w:rsidR="007A5804" w:rsidRDefault="007B7723">
      <w:pPr>
        <w:pStyle w:val="P68B1DB1-InstructionsText26"/>
        <w:numPr>
          <w:ilvl w:val="0"/>
          <w:numId w:val="232"/>
        </w:numPr>
        <w:spacing w:before="0"/>
      </w:pPr>
      <w:r>
        <w:t>Zahŕňa všetky hospodárske funkcie vykonávané v danom členskom štáte akýmkoľvek subjektom skupiny bez ohľadu na to, či táto funkcia predstavuje zásadnú funkciu alebo nie.</w:t>
      </w:r>
    </w:p>
    <w:p w14:paraId="7FE1B965" w14:textId="2359C381" w:rsidR="007A5804" w:rsidRDefault="007B7723">
      <w:pPr>
        <w:pStyle w:val="P68B1DB1-InstructionsText26"/>
        <w:numPr>
          <w:ilvl w:val="0"/>
          <w:numId w:val="232"/>
        </w:numPr>
      </w:pPr>
      <w:r>
        <w:t>Regionálne podávanie správ (len v prípade potreby)</w:t>
      </w:r>
    </w:p>
    <w:p w14:paraId="7FE1B966" w14:textId="226CA454" w:rsidR="007A5804" w:rsidRDefault="007B7723">
      <w:pPr>
        <w:pStyle w:val="P68B1DB1-InstructionsText26"/>
        <w:numPr>
          <w:ilvl w:val="0"/>
          <w:numId w:val="0"/>
        </w:numPr>
        <w:ind w:left="1440"/>
      </w:pPr>
      <w:r>
        <w:t>Pre informáciu na úrovni regiónu uveďte región. Uveďte názov regiónu vo voľnom texte pomocou tohto dohovoru:</w:t>
      </w:r>
    </w:p>
    <w:p w14:paraId="7FE1B967" w14:textId="5BD4C7F8" w:rsidR="007A5804" w:rsidRDefault="007B7723">
      <w:pPr>
        <w:pStyle w:val="P68B1DB1-InstructionsText26"/>
        <w:numPr>
          <w:ilvl w:val="0"/>
          <w:numId w:val="0"/>
        </w:numPr>
        <w:ind w:left="1440" w:firstLine="18"/>
      </w:pPr>
      <w:r>
        <w:t>Členský štát – názov regiónu. Pre názvy členských štátov použite príslušnú dvojpísmenovú skratku. Pre názov regiónu použite kód alebo kódy v klasifikácii NUTS 2021.</w:t>
      </w:r>
    </w:p>
    <w:p w14:paraId="7FE1B968" w14:textId="77777777" w:rsidR="007A5804" w:rsidRDefault="007A5804">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5804"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7A5804" w:rsidRDefault="007B7723">
            <w:pPr>
              <w:pStyle w:val="P68B1DB1-TableParagraph17"/>
              <w:spacing w:before="108"/>
              <w:ind w:left="85"/>
              <w:jc w:val="both"/>
            </w:pPr>
            <w:r>
              <w:t>Riadky</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7A5804" w:rsidRDefault="007B7723">
            <w:pPr>
              <w:pStyle w:val="P68B1DB1-TableParagraph17"/>
              <w:spacing w:before="108"/>
              <w:ind w:left="85" w:right="1"/>
              <w:jc w:val="both"/>
            </w:pPr>
            <w:r>
              <w:t>Hospodárska funkcia</w:t>
            </w:r>
          </w:p>
        </w:tc>
      </w:tr>
      <w:tr w:rsidR="007A5804" w14:paraId="7FE1B970" w14:textId="77777777">
        <w:tc>
          <w:tcPr>
            <w:tcW w:w="9083" w:type="dxa"/>
            <w:gridSpan w:val="2"/>
            <w:tcBorders>
              <w:top w:val="single" w:sz="4" w:space="0" w:color="1A171C"/>
              <w:left w:val="nil"/>
              <w:bottom w:val="single" w:sz="4" w:space="0" w:color="1A171C"/>
            </w:tcBorders>
          </w:tcPr>
          <w:p w14:paraId="7FE1B96C" w14:textId="0D085442" w:rsidR="007A5804" w:rsidRDefault="007B7723">
            <w:pPr>
              <w:pStyle w:val="P68B1DB1-TableParagraph16"/>
              <w:spacing w:before="108"/>
              <w:ind w:left="85"/>
              <w:jc w:val="both"/>
              <w:rPr>
                <w:b/>
                <w:bCs/>
                <w:color w:val="000000" w:themeColor="text1"/>
                <w:sz w:val="20"/>
                <w:szCs w:val="20"/>
              </w:rPr>
            </w:pPr>
            <w:r>
              <w:t>Z 07.01.1 FUNC 1 DEP</w:t>
            </w:r>
          </w:p>
          <w:p w14:paraId="7FE1B96D" w14:textId="77777777" w:rsidR="007A5804" w:rsidRDefault="007B7723">
            <w:pPr>
              <w:pStyle w:val="P68B1DB1-TableParagraph17"/>
              <w:spacing w:before="108"/>
              <w:ind w:left="85"/>
            </w:pPr>
            <w:r>
              <w:t xml:space="preserve">Prijímanie vkladov sa vzťahuje na prijímanie vkladov od nefinančných protistran. Nezahŕňa prijímanie úverov od iných finančných sprostredkovateľov, s ktorými sa obchoduje oddelene v rámci „veľkoobchodného financovania“. </w:t>
            </w:r>
          </w:p>
          <w:p w14:paraId="7FE1B96E" w14:textId="77777777" w:rsidR="007A5804" w:rsidRDefault="007B7723">
            <w:pPr>
              <w:pStyle w:val="P68B1DB1-TableParagraph17"/>
              <w:spacing w:before="108"/>
              <w:ind w:left="85"/>
            </w:pPr>
            <w:r>
              <w:t>Vklady zahŕňajú: bežné účty/jednodňové vklady, ii) vklady s dohodnutou splatnosťou a iii) vklady s výpovednou lehotou, nie však zmluvy o repo transakciách.</w:t>
            </w:r>
          </w:p>
          <w:p w14:paraId="7FE1B96F" w14:textId="77777777" w:rsidR="007A5804" w:rsidRDefault="007B7723">
            <w:pPr>
              <w:pStyle w:val="P68B1DB1-TableParagraph13"/>
              <w:spacing w:before="108"/>
              <w:ind w:left="85"/>
              <w:rPr>
                <w:rFonts w:eastAsia="Cambria"/>
              </w:rPr>
            </w:pPr>
            <w:r>
              <w:t>Referenčné dokumenty: FSB Guidance on Identification of Critical Functions and Critical Shared Services (Usmernenie FSB o identifikácii zásadných funkcií a zásadných spoločných služieb) (2013), s. 14. Časť 2 body 9.1, 9.2 a 9.3 prílohy II k nariadeniu (EÚ) 2021/379.</w:t>
            </w:r>
          </w:p>
        </w:tc>
      </w:tr>
      <w:tr w:rsidR="007A5804"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7A5804" w:rsidRDefault="007B7723">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7A5804" w:rsidRDefault="007B7723">
            <w:pPr>
              <w:pStyle w:val="P68B1DB1-TableParagraph14"/>
              <w:spacing w:before="108"/>
              <w:ind w:left="85"/>
              <w:jc w:val="both"/>
              <w:rPr>
                <w:rFonts w:eastAsia="Cambria"/>
              </w:rPr>
            </w:pPr>
            <w:r>
              <w:t>Domácnosti</w:t>
            </w:r>
          </w:p>
        </w:tc>
      </w:tr>
      <w:tr w:rsidR="007A5804"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7A5804" w:rsidRDefault="007B7723">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7A5804" w:rsidRDefault="007B7723">
            <w:pPr>
              <w:pStyle w:val="P68B1DB1-TableParagraph14"/>
              <w:spacing w:before="108"/>
              <w:ind w:left="85"/>
              <w:jc w:val="both"/>
              <w:rPr>
                <w:rFonts w:eastAsia="Cambria"/>
              </w:rPr>
            </w:pPr>
            <w:r>
              <w:t>Nefinančné korporácie (MSP)</w:t>
            </w:r>
          </w:p>
        </w:tc>
      </w:tr>
      <w:tr w:rsidR="007A5804"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7A5804" w:rsidRDefault="007B7723">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7A5804" w:rsidRDefault="007B7723">
            <w:pPr>
              <w:pStyle w:val="P68B1DB1-TableParagraph14"/>
              <w:spacing w:before="108"/>
              <w:ind w:left="85"/>
              <w:jc w:val="both"/>
              <w:rPr>
                <w:rFonts w:eastAsia="Cambria"/>
              </w:rPr>
            </w:pPr>
            <w:r>
              <w:t>Nefinančné korporácie (iné ako MSP)</w:t>
            </w:r>
          </w:p>
        </w:tc>
      </w:tr>
      <w:tr w:rsidR="007A5804"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7A5804" w:rsidRDefault="007B7723">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7A5804" w:rsidRDefault="007B7723">
            <w:pPr>
              <w:pStyle w:val="P68B1DB1-TableParagraph14"/>
              <w:spacing w:before="108"/>
              <w:ind w:left="85"/>
              <w:jc w:val="both"/>
              <w:rPr>
                <w:rFonts w:eastAsia="Cambria"/>
              </w:rPr>
            </w:pPr>
            <w:r>
              <w:t>Orgány verejnej správy</w:t>
            </w:r>
          </w:p>
        </w:tc>
      </w:tr>
      <w:tr w:rsidR="007A5804"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7A5804" w:rsidRDefault="007B7723">
            <w:pPr>
              <w:pStyle w:val="P68B1DB1-TableParagraph17"/>
              <w:spacing w:before="108"/>
              <w:ind w:left="85"/>
              <w:jc w:val="both"/>
            </w:pPr>
            <w:r>
              <w:t>0050 – 0070</w:t>
            </w:r>
          </w:p>
        </w:tc>
        <w:tc>
          <w:tcPr>
            <w:tcW w:w="7892" w:type="dxa"/>
            <w:tcBorders>
              <w:top w:val="single" w:sz="4" w:space="0" w:color="1A171C"/>
              <w:left w:val="single" w:sz="4" w:space="0" w:color="1A171C"/>
              <w:bottom w:val="single" w:sz="4" w:space="0" w:color="1A171C"/>
              <w:right w:val="nil"/>
            </w:tcBorders>
          </w:tcPr>
          <w:p w14:paraId="7FE1B97E" w14:textId="77777777" w:rsidR="007A5804" w:rsidRDefault="007B7723">
            <w:pPr>
              <w:pStyle w:val="P68B1DB1-TableParagraph14"/>
              <w:spacing w:before="108"/>
              <w:ind w:left="85"/>
              <w:jc w:val="both"/>
              <w:rPr>
                <w:rFonts w:eastAsia="Cambria"/>
              </w:rPr>
            </w:pPr>
            <w:r>
              <w:t>Iné sektory/protistrany (1), (2) a (3)</w:t>
            </w:r>
          </w:p>
        </w:tc>
      </w:tr>
      <w:tr w:rsidR="007A5804" w14:paraId="7FE1B983" w14:textId="77777777">
        <w:tc>
          <w:tcPr>
            <w:tcW w:w="9083" w:type="dxa"/>
            <w:gridSpan w:val="2"/>
            <w:tcBorders>
              <w:top w:val="single" w:sz="4" w:space="0" w:color="1A171C"/>
              <w:left w:val="nil"/>
              <w:bottom w:val="single" w:sz="4" w:space="0" w:color="1A171C"/>
            </w:tcBorders>
          </w:tcPr>
          <w:p w14:paraId="7FE1B980" w14:textId="13950F51" w:rsidR="007A5804" w:rsidRDefault="007B7723">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7A5804" w:rsidRDefault="007B7723">
            <w:pPr>
              <w:pStyle w:val="P68B1DB1-TableParagraph17"/>
              <w:spacing w:before="108"/>
              <w:ind w:left="85"/>
            </w:pPr>
            <w:r>
              <w:t>Poskytovanie úverov sa vzťahuje na poskytovanie finančných prostriedkov nefinančným protistranám, ako sú firemní alebo retailoví klienti. Poskytovanie úverov finančným protistranám je samostatnou činnosťou a posudzuje sa v rámci „veľkoobchodného financovania“. Úvery zahŕňajú dlhové nástroje držané inštitúciami, nezahŕňajú však dlhové nástroje, ktoré sú cennými papiermi, bez ohľadu na ich účtovnú klasifikáciu (napr. držaný do splatnosti alebo k dispozícii na predaj).</w:t>
            </w:r>
          </w:p>
          <w:p w14:paraId="7FE1B982" w14:textId="77777777" w:rsidR="007A5804" w:rsidRDefault="007B7723">
            <w:pPr>
              <w:pStyle w:val="P68B1DB1-TableParagraph13"/>
              <w:spacing w:before="108"/>
              <w:ind w:left="85"/>
              <w:rPr>
                <w:rFonts w:eastAsia="Cambria"/>
              </w:rPr>
            </w:pPr>
            <w:r>
              <w:t xml:space="preserve">Referenčné dokumenty: FSB Guidance on Identification of Critical Functions and Critical Shared Services (Usmernenie FSB o identifikácii zásadných funkcií a zásadných spoločných služieb) (2013), s. 17; Časť 2 bod </w:t>
            </w:r>
            <w:r>
              <w:lastRenderedPageBreak/>
              <w:t>2 prílohy II k nariadeniu (EÚ) 2021/379.</w:t>
            </w:r>
          </w:p>
        </w:tc>
      </w:tr>
      <w:tr w:rsidR="007A5804"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7A5804" w:rsidRDefault="007B7723">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7A5804" w:rsidRDefault="007B7723">
            <w:pPr>
              <w:pStyle w:val="P68B1DB1-TableParagraph14"/>
              <w:spacing w:before="108"/>
              <w:ind w:left="85"/>
              <w:jc w:val="both"/>
              <w:rPr>
                <w:bCs/>
              </w:rPr>
            </w:pPr>
            <w:r>
              <w:t>Domácnosti – úvery na bývanie</w:t>
            </w:r>
          </w:p>
          <w:p w14:paraId="7FE1B986" w14:textId="77777777" w:rsidR="007A5804" w:rsidRDefault="007B7723">
            <w:pPr>
              <w:pStyle w:val="P68B1DB1-TableParagraph17"/>
              <w:spacing w:before="108"/>
              <w:ind w:left="85"/>
            </w:pPr>
            <w:r>
              <w:t>Zabezpečené úvery poskytnuté domácnostiam, ktorých kolaterálom je nehnuteľnosť</w:t>
            </w:r>
          </w:p>
        </w:tc>
      </w:tr>
      <w:tr w:rsidR="007A5804"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7A5804" w:rsidRDefault="007B7723">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7A5804" w:rsidRDefault="007B7723">
            <w:pPr>
              <w:pStyle w:val="P68B1DB1-TableParagraph14"/>
              <w:spacing w:before="108"/>
              <w:ind w:left="85"/>
              <w:jc w:val="both"/>
              <w:rPr>
                <w:bCs/>
              </w:rPr>
            </w:pPr>
            <w:r>
              <w:t>Domácnosti – ostatné úvery</w:t>
            </w:r>
          </w:p>
        </w:tc>
      </w:tr>
      <w:tr w:rsidR="007A5804"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7A5804" w:rsidRDefault="007B7723">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7A5804" w:rsidRDefault="007B7723">
            <w:pPr>
              <w:pStyle w:val="P68B1DB1-TableParagraph14"/>
              <w:spacing w:before="108"/>
              <w:ind w:left="85"/>
              <w:jc w:val="both"/>
              <w:rPr>
                <w:bCs/>
              </w:rPr>
            </w:pPr>
            <w:r>
              <w:t>Nefinančné korporácie – MSP</w:t>
            </w:r>
          </w:p>
        </w:tc>
      </w:tr>
      <w:tr w:rsidR="007A5804"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7A5804" w:rsidRDefault="007B7723">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7A5804" w:rsidRDefault="007B7723">
            <w:pPr>
              <w:pStyle w:val="P68B1DB1-TableParagraph14"/>
              <w:spacing w:before="108"/>
              <w:ind w:left="85"/>
              <w:jc w:val="both"/>
              <w:rPr>
                <w:bCs/>
              </w:rPr>
            </w:pPr>
            <w:r>
              <w:t>Nefinančné korporácie – iné ako MSP</w:t>
            </w:r>
          </w:p>
        </w:tc>
      </w:tr>
      <w:tr w:rsidR="007A5804"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7A5804" w:rsidRDefault="007B7723">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7A5804" w:rsidRDefault="007B7723">
            <w:pPr>
              <w:pStyle w:val="P68B1DB1-TableParagraph14"/>
              <w:spacing w:before="108"/>
              <w:ind w:left="85"/>
              <w:jc w:val="both"/>
              <w:rPr>
                <w:bCs/>
              </w:rPr>
            </w:pPr>
            <w:r>
              <w:t>Orgány verejnej správy</w:t>
            </w:r>
          </w:p>
        </w:tc>
      </w:tr>
      <w:tr w:rsidR="007A5804"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7A5804" w:rsidRDefault="007B7723">
            <w:pPr>
              <w:pStyle w:val="P68B1DB1-TableParagraph17"/>
              <w:spacing w:before="108"/>
              <w:ind w:left="85"/>
              <w:jc w:val="both"/>
            </w:pPr>
            <w:r>
              <w:t>0130 – 0150</w:t>
            </w:r>
          </w:p>
        </w:tc>
        <w:tc>
          <w:tcPr>
            <w:tcW w:w="7892" w:type="dxa"/>
            <w:tcBorders>
              <w:top w:val="single" w:sz="4" w:space="0" w:color="1A171C"/>
              <w:left w:val="single" w:sz="4" w:space="0" w:color="1A171C"/>
              <w:bottom w:val="single" w:sz="4" w:space="0" w:color="1A171C"/>
              <w:right w:val="nil"/>
            </w:tcBorders>
          </w:tcPr>
          <w:p w14:paraId="7FE1B995" w14:textId="77777777" w:rsidR="007A5804" w:rsidRDefault="007B7723">
            <w:pPr>
              <w:pStyle w:val="P68B1DB1-TableParagraph14"/>
              <w:spacing w:before="108"/>
              <w:ind w:left="85"/>
              <w:jc w:val="both"/>
              <w:rPr>
                <w:rFonts w:eastAsia="Cambria"/>
              </w:rPr>
            </w:pPr>
            <w:r>
              <w:t>Iné sektory/protistrany (1), (2) a (3)</w:t>
            </w:r>
          </w:p>
        </w:tc>
      </w:tr>
      <w:tr w:rsidR="007A5804" w14:paraId="7FE1B99C" w14:textId="77777777">
        <w:tc>
          <w:tcPr>
            <w:tcW w:w="9083" w:type="dxa"/>
            <w:gridSpan w:val="2"/>
            <w:tcBorders>
              <w:top w:val="single" w:sz="4" w:space="0" w:color="1A171C"/>
              <w:left w:val="nil"/>
              <w:bottom w:val="single" w:sz="4" w:space="0" w:color="1A171C"/>
            </w:tcBorders>
          </w:tcPr>
          <w:p w14:paraId="7FE1B997" w14:textId="587957C3"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MZDA</w:t>
            </w:r>
            <w:r>
              <w:rPr>
                <w:rFonts w:ascii="Times New Roman" w:eastAsia="Cambria" w:hAnsi="Times New Roman" w:cs="Times New Roman"/>
                <w:color w:val="000000" w:themeColor="text1"/>
                <w:sz w:val="20"/>
                <w:szCs w:val="20"/>
              </w:rPr>
              <w:t xml:space="preserve"> </w:t>
            </w:r>
          </w:p>
          <w:p w14:paraId="7FE1B998" w14:textId="77777777" w:rsidR="007A5804" w:rsidRDefault="007B7723">
            <w:pPr>
              <w:pStyle w:val="P68B1DB1-TableParagraph13"/>
              <w:spacing w:before="108"/>
              <w:ind w:left="85"/>
              <w:jc w:val="both"/>
              <w:rPr>
                <w:rFonts w:eastAsia="Cambria"/>
              </w:rPr>
            </w:pPr>
            <w:r>
              <w:t>Referenčná značka: FSB Guidance on Identification of Critical Functions and Critical Shared Services (Usmernenie FSB o identifikácii zásadných funkcií a zásadných spoločných služieb) (2013), s. 20.</w:t>
            </w:r>
          </w:p>
          <w:p w14:paraId="7FE1B999" w14:textId="77777777" w:rsidR="007A5804" w:rsidRDefault="007B7723">
            <w:pPr>
              <w:pStyle w:val="P68B1DB1-TableParagraph13"/>
              <w:spacing w:before="108"/>
              <w:ind w:left="85"/>
              <w:jc w:val="both"/>
              <w:rPr>
                <w:rFonts w:eastAsia="Cambria"/>
              </w:rPr>
            </w:pPr>
            <w:r>
              <w:t>Medzi hospodárske funkcie zahrnuté v tejto rubrike patrí zabezpečovanie služieb týkajúcich sa platieb, peňažných prostriedkov, vyrovnania, zúčtovania a úschovy úverovou inštitúciou ako sprostredkovateľom medzi vlastnými klientmi alebo ako sprostredkovateľom medzi klientom a jednou alebo viacerými príslušnými infraštruktúrami finančného trhu (FMI) alebo zabezpečovanie (nepriameho) prístupu k infraštruktúram finančného trhu (FMI) alebo iným bankám. V súlade s usmernením FSB o identifikácii zásadných funkcií a zásadných spoločných služieb sú platby a funkcia zúčtovania a vyrovnania obmedzené na služby, ktoré banky poskytujú svojim klientom. Táto kategória nezahŕňa služby, ktoré poskytujú (čistí) poskytovatelia FMI. Na účely tohto vzoru infraštruktúry finančného trhu zahŕňajú platobné systémy, systémy vyrovnania transakcií s cennými papiermi, centrálne depozitáre cenných papierov a centrálne protistrany (nie však archívy obchodných údajov).</w:t>
            </w:r>
          </w:p>
          <w:p w14:paraId="7FE1B99A" w14:textId="77777777"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„Platobná služba“, „platobná transakcia“ a „platobný systém“ majú rovnaký význam ako v článku 4 ods. 3, 5 a 7 smernice 2015/2366 o platobných službách na vnútornom trhu v uvedenom poradí</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7A5804" w:rsidRDefault="007A5804">
            <w:pPr>
              <w:pStyle w:val="TableParagraph"/>
              <w:spacing w:before="108"/>
              <w:ind w:left="85"/>
              <w:jc w:val="both"/>
              <w:rPr>
                <w:rFonts w:ascii="Times New Roman" w:eastAsia="Cambria" w:hAnsi="Times New Roman" w:cs="Times New Roman"/>
                <w:color w:val="000000" w:themeColor="text1"/>
                <w:sz w:val="20"/>
                <w:szCs w:val="20"/>
              </w:rPr>
            </w:pPr>
          </w:p>
        </w:tc>
      </w:tr>
      <w:tr w:rsidR="007A5804"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7A5804" w:rsidRDefault="007B7723">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7A5804" w:rsidRDefault="007B7723">
            <w:pPr>
              <w:pStyle w:val="P68B1DB1-TableParagraph14"/>
              <w:spacing w:before="108"/>
              <w:ind w:left="85"/>
              <w:jc w:val="both"/>
              <w:rPr>
                <w:bCs/>
              </w:rPr>
            </w:pPr>
            <w:r>
              <w:t>Platobné služby pre peňažné finančné inštitúcie</w:t>
            </w:r>
          </w:p>
          <w:p w14:paraId="7FE1B99F" w14:textId="77777777" w:rsidR="007A5804" w:rsidRDefault="007B7723">
            <w:pPr>
              <w:pStyle w:val="P68B1DB1-TableParagraph17"/>
              <w:spacing w:before="108"/>
              <w:ind w:left="85"/>
              <w:jc w:val="both"/>
            </w:pPr>
            <w:r>
              <w:t>Tento riadok zahŕňa platobné služby poskytované peňažným finančným inštitúciám s použitím externých platobných systémov alebo bez ich použitia. Patria sem aj korešpondenčné bankové služby, prípadne platby týkajúce sa takýchto služieb. Peňažné finančné inštitúcie pozostávajú zo všetkých inštitucionálnych jednotiek zahrnutých do podsektorov: I) centrálna banka; ii) korporácie prijímajúce vklady s výnimkou centrálnej banky; fondy peňažného trhu.</w:t>
            </w:r>
          </w:p>
        </w:tc>
      </w:tr>
      <w:tr w:rsidR="007A5804"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7A5804" w:rsidRDefault="007B7723">
            <w:pPr>
              <w:pStyle w:val="P68B1DB1-TableParagraph17"/>
              <w:spacing w:before="108"/>
              <w:ind w:left="85"/>
              <w:jc w:val="both"/>
            </w:pPr>
            <w:r>
              <w:t>0170 – 0176</w:t>
            </w:r>
          </w:p>
        </w:tc>
        <w:tc>
          <w:tcPr>
            <w:tcW w:w="7892" w:type="dxa"/>
            <w:tcBorders>
              <w:top w:val="single" w:sz="4" w:space="0" w:color="1A171C"/>
              <w:left w:val="single" w:sz="4" w:space="0" w:color="1A171C"/>
              <w:bottom w:val="single" w:sz="4" w:space="0" w:color="1A171C"/>
              <w:right w:val="nil"/>
            </w:tcBorders>
          </w:tcPr>
          <w:p w14:paraId="7FE1B9A2" w14:textId="77777777" w:rsidR="007A5804" w:rsidRDefault="007B7723">
            <w:pPr>
              <w:pStyle w:val="P68B1DB1-TableParagraph14"/>
              <w:spacing w:before="108"/>
              <w:ind w:left="85"/>
              <w:jc w:val="both"/>
              <w:rPr>
                <w:bCs/>
              </w:rPr>
            </w:pPr>
            <w:r>
              <w:t>Platobné služby pre nepeňažné finančné inštitúcie</w:t>
            </w:r>
          </w:p>
          <w:p w14:paraId="7FE1B9A3" w14:textId="77777777" w:rsidR="007A5804" w:rsidRDefault="007B7723">
            <w:pPr>
              <w:pStyle w:val="P68B1DB1-TableParagraph17"/>
              <w:spacing w:before="108"/>
              <w:ind w:left="85"/>
            </w:pPr>
            <w:r>
              <w:t>Platobné služby poskytované klientom s použitím externých platobných systémov alebo bez ich použitia. Vzťahujú sa iba na fyzickú alebo právnickú osobu, ktorá nepatrí do sektora peňažných finančných inštitúcií. Poskytovatelia platobných služieb sú takisto vyňatí z odvetvia „nepeňažné finančné inštitúcie“.</w:t>
            </w:r>
          </w:p>
          <w:p w14:paraId="7FE1B9A4" w14:textId="77777777" w:rsidR="007A5804" w:rsidRDefault="007B7723">
            <w:pPr>
              <w:pStyle w:val="P68B1DB1-TableParagraph17"/>
              <w:spacing w:before="108"/>
              <w:ind w:left="85"/>
            </w:pPr>
            <w:r>
              <w:t>Funkcia je navyše rozdelená na 3 čiastkové funkcie:</w:t>
            </w:r>
          </w:p>
          <w:p w14:paraId="7FE1B9A5" w14:textId="77777777" w:rsidR="007A5804" w:rsidRDefault="007B7723">
            <w:pPr>
              <w:pStyle w:val="P68B1DB1-TableParagraph17"/>
              <w:spacing w:before="108"/>
              <w:ind w:left="85"/>
            </w:pPr>
            <w:r>
              <w:t>(1) Domácnosti</w:t>
            </w:r>
          </w:p>
          <w:p w14:paraId="7FE1B9A6" w14:textId="77777777" w:rsidR="007A5804" w:rsidRDefault="007B7723">
            <w:pPr>
              <w:pStyle w:val="P68B1DB1-TableParagraph17"/>
              <w:spacing w:before="108"/>
              <w:ind w:left="85"/>
            </w:pPr>
            <w:r>
              <w:t>(2) Nefinančné korporácie – MSP</w:t>
            </w:r>
          </w:p>
          <w:p w14:paraId="7FE1B9A7" w14:textId="77777777" w:rsidR="007A5804" w:rsidRDefault="007B7723">
            <w:pPr>
              <w:pStyle w:val="P68B1DB1-TableParagraph17"/>
              <w:spacing w:before="108"/>
              <w:ind w:left="85"/>
            </w:pPr>
            <w:r>
              <w:t>(3) Nefinančné korporácie – iné ako MSP</w:t>
            </w:r>
          </w:p>
        </w:tc>
      </w:tr>
      <w:tr w:rsidR="007A5804"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7A5804" w:rsidRDefault="007B7723">
            <w:pPr>
              <w:pStyle w:val="P68B1DB1-TableParagraph17"/>
              <w:spacing w:before="108"/>
              <w:ind w:left="85"/>
              <w:jc w:val="both"/>
            </w:pPr>
            <w:r>
              <w:lastRenderedPageBreak/>
              <w:t>0180</w:t>
            </w:r>
          </w:p>
        </w:tc>
        <w:tc>
          <w:tcPr>
            <w:tcW w:w="7892" w:type="dxa"/>
            <w:tcBorders>
              <w:top w:val="single" w:sz="4" w:space="0" w:color="1A171C"/>
              <w:left w:val="single" w:sz="4" w:space="0" w:color="1A171C"/>
              <w:bottom w:val="single" w:sz="4" w:space="0" w:color="1A171C"/>
              <w:right w:val="nil"/>
            </w:tcBorders>
          </w:tcPr>
          <w:p w14:paraId="7FE1B9AA" w14:textId="77777777" w:rsidR="007A5804" w:rsidRDefault="007B7723">
            <w:pPr>
              <w:pStyle w:val="P68B1DB1-TableParagraph14"/>
              <w:spacing w:before="108"/>
              <w:ind w:left="85"/>
              <w:jc w:val="both"/>
              <w:rPr>
                <w:bCs/>
              </w:rPr>
            </w:pPr>
            <w:r>
              <w:t>Hotovostné služby</w:t>
            </w:r>
          </w:p>
          <w:p w14:paraId="7FE1B9AB" w14:textId="77777777" w:rsidR="007A5804" w:rsidRDefault="007B7723">
            <w:pPr>
              <w:pStyle w:val="P68B1DB1-TableParagraph17"/>
              <w:spacing w:before="108"/>
              <w:ind w:left="85"/>
            </w:pPr>
            <w:r>
              <w:t>Poskytovanie hotovostných služieb klientom (jednotlivým osobám aj podnikom, len nepeňažným finančným inštitúciám). Tieto služby sa týkajú výberov v bankomatoch a pri priehradkách pobočiek a nezahŕňajú iné hotovostné služby (ako napr. služby prepravy hotovosti určené pre maloobchodných predajcov). Ide aj o výber hotovosti šekmi a pri priehradkách pobočiek s použitím bankových formulárov (keď sa na identifikáciu môžu použiť karty).</w:t>
            </w:r>
          </w:p>
        </w:tc>
      </w:tr>
      <w:tr w:rsidR="007A5804"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7A5804" w:rsidRDefault="007B7723">
            <w:pPr>
              <w:pStyle w:val="P68B1DB1-TableParagraph17"/>
              <w:spacing w:before="108"/>
              <w:ind w:left="85"/>
              <w:jc w:val="both"/>
            </w:pPr>
            <w:r>
              <w:t>0190</w:t>
            </w:r>
          </w:p>
        </w:tc>
        <w:tc>
          <w:tcPr>
            <w:tcW w:w="7892" w:type="dxa"/>
            <w:tcBorders>
              <w:top w:val="single" w:sz="4" w:space="0" w:color="1A171C"/>
              <w:left w:val="single" w:sz="4" w:space="0" w:color="1A171C"/>
              <w:bottom w:val="single" w:sz="4" w:space="0" w:color="1A171C"/>
              <w:right w:val="nil"/>
            </w:tcBorders>
          </w:tcPr>
          <w:p w14:paraId="7FE1B9AE" w14:textId="77777777" w:rsidR="007A5804" w:rsidRDefault="007B7723">
            <w:pPr>
              <w:pStyle w:val="P68B1DB1-TableParagraph14"/>
              <w:spacing w:before="108"/>
              <w:ind w:left="85"/>
              <w:jc w:val="both"/>
              <w:rPr>
                <w:bCs/>
              </w:rPr>
            </w:pPr>
            <w:r>
              <w:t>Služby vyrovnania transakcií s cennými papiermi</w:t>
            </w:r>
          </w:p>
          <w:p w14:paraId="7FE1B9AF" w14:textId="77777777" w:rsidR="007A5804" w:rsidRDefault="007B7723">
            <w:pPr>
              <w:pStyle w:val="P68B1DB1-TableParagraph17"/>
              <w:spacing w:before="108"/>
              <w:ind w:left="85"/>
            </w:pPr>
            <w:r>
              <w:t>Služby poskytované klientom na účely potvrdenia, zúčtovania a vyrovnania transakcií s cennými papiermi s použitím systémov vyrovnania transakcií s cennými papiermi alebo bez ich použitia. „Vyrovnanie“ je uskutočnenie transakcie s cennými papiermi, ak bola uzatvorená s cieľom splniť záväzky strán uvedenej transakcie prostredníctvom prevodu peňažných prostriedkov a/alebo cenných papierov.</w:t>
            </w:r>
          </w:p>
        </w:tc>
      </w:tr>
      <w:tr w:rsidR="007A5804"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7A5804" w:rsidRDefault="007B7723">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7A5804" w:rsidRDefault="007B7723">
            <w:pPr>
              <w:pStyle w:val="P68B1DB1-TableParagraph14"/>
              <w:spacing w:before="108"/>
              <w:ind w:left="85"/>
              <w:jc w:val="both"/>
              <w:rPr>
                <w:bCs/>
              </w:rPr>
            </w:pPr>
            <w:r>
              <w:t>Služby zúčtovania centrálnych protistrán</w:t>
            </w:r>
          </w:p>
          <w:p w14:paraId="7FE1B9B3" w14:textId="77777777" w:rsidR="007A5804" w:rsidRDefault="007B7723">
            <w:pPr>
              <w:pStyle w:val="P68B1DB1-TableParagraph17"/>
              <w:spacing w:before="108"/>
              <w:ind w:left="85"/>
            </w:pPr>
            <w:r>
              <w:t>Služby zúčtovania cenných papierov a derivátov poskytované klientom. Patrí sem aj poskytovanie nepriameho prístupu k centrálnej protistrane (CCP).</w:t>
            </w:r>
          </w:p>
        </w:tc>
      </w:tr>
      <w:tr w:rsidR="007A5804"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7A5804" w:rsidRDefault="007B7723">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7A5804" w:rsidRDefault="007B7723">
            <w:pPr>
              <w:pStyle w:val="P68B1DB1-TableParagraph14"/>
              <w:spacing w:before="108"/>
              <w:ind w:left="85"/>
              <w:jc w:val="both"/>
              <w:rPr>
                <w:bCs/>
              </w:rPr>
            </w:pPr>
            <w:r>
              <w:t>Služby súvisiace so spravovaním úschov</w:t>
            </w:r>
          </w:p>
          <w:p w14:paraId="7FE1B9B7" w14:textId="77777777" w:rsidR="007A5804" w:rsidRDefault="007B7723">
            <w:pPr>
              <w:pStyle w:val="P68B1DB1-TableParagraph17"/>
              <w:spacing w:before="108"/>
              <w:ind w:left="85"/>
            </w:pPr>
            <w:r>
              <w:t>Úschova (safekeeping) a úschova (custody) pre klientov a služby súvisiace so zvereneckou správou, ako napríklad riadenie likvidity a kolaterálu.</w:t>
            </w:r>
          </w:p>
        </w:tc>
      </w:tr>
      <w:tr w:rsidR="007A5804"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7A5804" w:rsidRDefault="007B7723">
            <w:pPr>
              <w:pStyle w:val="P68B1DB1-TableParagraph17"/>
              <w:spacing w:before="108"/>
              <w:ind w:left="85"/>
              <w:jc w:val="both"/>
            </w:pPr>
            <w:r>
              <w:t>0220 – 0240</w:t>
            </w:r>
          </w:p>
        </w:tc>
        <w:tc>
          <w:tcPr>
            <w:tcW w:w="7892" w:type="dxa"/>
            <w:tcBorders>
              <w:top w:val="single" w:sz="4" w:space="0" w:color="1A171C"/>
              <w:left w:val="single" w:sz="4" w:space="0" w:color="1A171C"/>
              <w:bottom w:val="single" w:sz="4" w:space="0" w:color="1A171C"/>
              <w:right w:val="nil"/>
            </w:tcBorders>
          </w:tcPr>
          <w:p w14:paraId="7FE1B9BA" w14:textId="77777777" w:rsidR="007A5804" w:rsidRDefault="007B7723">
            <w:pPr>
              <w:pStyle w:val="P68B1DB1-TableParagraph14"/>
              <w:spacing w:before="108"/>
              <w:ind w:left="85"/>
              <w:jc w:val="both"/>
              <w:rPr>
                <w:rFonts w:eastAsia="Cambria"/>
              </w:rPr>
            </w:pPr>
            <w:r>
              <w:t>Iné služby/činnosti/funkcie (1), (2) a (3)</w:t>
            </w:r>
          </w:p>
        </w:tc>
      </w:tr>
      <w:tr w:rsidR="007A5804" w14:paraId="7FE1B9BE" w14:textId="77777777">
        <w:tc>
          <w:tcPr>
            <w:tcW w:w="9083" w:type="dxa"/>
            <w:gridSpan w:val="2"/>
            <w:tcBorders>
              <w:top w:val="single" w:sz="4" w:space="0" w:color="1A171C"/>
              <w:left w:val="nil"/>
              <w:bottom w:val="single" w:sz="4" w:space="0" w:color="1A171C"/>
            </w:tcBorders>
          </w:tcPr>
          <w:p w14:paraId="7FE1B9BC" w14:textId="4228BCAA" w:rsidR="007A5804" w:rsidRDefault="007B7723">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7A5804" w:rsidRDefault="007B7723">
            <w:pPr>
              <w:pStyle w:val="P68B1DB1-TableParagraph17"/>
              <w:spacing w:before="108"/>
              <w:ind w:left="85"/>
              <w:jc w:val="both"/>
            </w:pPr>
            <w:r>
              <w:t xml:space="preserve">Činnosti na kapitálových trhoch sa vzťahujú na emitovanie cenných papierov a obchodovanie s nimi, na súvisiace poradenské služby a súvisiace služby, ako napríklad služby hlavného makléra a tvorba trhu. </w:t>
            </w:r>
          </w:p>
        </w:tc>
      </w:tr>
      <w:tr w:rsidR="007A5804"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7A5804" w:rsidRDefault="007B7723">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7A5804" w:rsidRDefault="007B7723">
            <w:pPr>
              <w:pStyle w:val="P68B1DB1-TableParagraph14"/>
              <w:spacing w:before="108"/>
              <w:ind w:left="85"/>
              <w:jc w:val="both"/>
              <w:rPr>
                <w:bCs/>
              </w:rPr>
            </w:pPr>
            <w:r>
              <w:t>Deriváty držané na obchodovanie (OTC)</w:t>
            </w:r>
          </w:p>
          <w:p w14:paraId="7FE1B9C1" w14:textId="2FDAA405" w:rsidR="007A5804" w:rsidRDefault="007B772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Článok 2 body 5 a 7 nariadenia (EÚ) č.</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648/2012</w:t>
            </w:r>
          </w:p>
          <w:p w14:paraId="7FE1B9C2" w14:textId="3A857D21" w:rsidR="007A5804" w:rsidRDefault="007B7723">
            <w:pPr>
              <w:pStyle w:val="P68B1DB1-TableParagraph17"/>
              <w:spacing w:before="108"/>
              <w:ind w:left="85"/>
            </w:pPr>
            <w:r>
              <w:t>Deriváty alebo derivátové kontrakty (ďalej aj „zmluvy o derivátoch“) sú finančné nástroje uvedené v bodoch 4 až 10 oddielu C prílohy I k smernici 2014/65/EÚ, ktoré sa vykonávajú článkami 38 a 39 nariadenia (ES) č. 1287/2006.</w:t>
            </w:r>
          </w:p>
          <w:p w14:paraId="7FE1B9C3" w14:textId="583C566B" w:rsidR="007A5804" w:rsidRDefault="007B7723">
            <w:pPr>
              <w:pStyle w:val="P68B1DB1-TableParagraph17"/>
              <w:spacing w:before="108"/>
              <w:ind w:left="85"/>
            </w:pPr>
            <w:r>
              <w:t>OTC derivát alebo zmluva o OTC derivátoch je zmluva o derivátoch, ktorej vykonávanie sa neuskutočňuje na regulovanom trhu v zmysle článku 4 ods. 1 bodu 21 smernice 2014/65/ES ani na trhu v tretej krajine, ktorý sa považuje za rovnocenný s regulovaným trhom v súlade s článkom 2a nariadenia (EÚ) č. 648/2012.</w:t>
            </w:r>
          </w:p>
          <w:p w14:paraId="7FE1B9C4" w14:textId="77777777" w:rsidR="007A5804" w:rsidRDefault="007B7723">
            <w:pPr>
              <w:pStyle w:val="P68B1DB1-TableParagraph17"/>
              <w:spacing w:before="108"/>
              <w:ind w:left="85"/>
            </w:pPr>
            <w:r>
              <w:t xml:space="preserve">Vykázaná suma zahŕňa len deriváty, s ktorými sa obchoduje na mimoburzovom trhu. </w:t>
            </w:r>
          </w:p>
        </w:tc>
      </w:tr>
      <w:tr w:rsidR="007A5804"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7A5804" w:rsidRDefault="007B7723">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7A5804" w:rsidRDefault="007B7723">
            <w:pPr>
              <w:pStyle w:val="P68B1DB1-TableParagraph14"/>
              <w:spacing w:before="108"/>
              <w:ind w:left="85"/>
              <w:jc w:val="both"/>
              <w:rPr>
                <w:bCs/>
              </w:rPr>
            </w:pPr>
            <w:r>
              <w:t>Deriváty držané na obchodovanie (iné ako OTC)</w:t>
            </w:r>
          </w:p>
          <w:p w14:paraId="7FE1B9C8" w14:textId="77777777" w:rsidR="007A5804" w:rsidRDefault="007B7723">
            <w:pPr>
              <w:pStyle w:val="P68B1DB1-TableParagraph17"/>
              <w:spacing w:before="108"/>
              <w:ind w:left="85"/>
            </w:pPr>
            <w:r>
              <w:t xml:space="preserve">Všetky deriváty držané na obchodovanie okrem OTC derivátov držaných na obchodovanie. </w:t>
            </w:r>
          </w:p>
        </w:tc>
      </w:tr>
      <w:tr w:rsidR="007A5804"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7A5804" w:rsidRDefault="007B7723">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7A5804" w:rsidRDefault="007B7723">
            <w:pPr>
              <w:pStyle w:val="P68B1DB1-TableParagraph14"/>
              <w:spacing w:before="108"/>
              <w:ind w:left="85"/>
              <w:jc w:val="both"/>
              <w:rPr>
                <w:bCs/>
              </w:rPr>
            </w:pPr>
            <w:r>
              <w:t>Sekundárne trhy/obchodovanie:</w:t>
            </w:r>
          </w:p>
          <w:p w14:paraId="7FE1B9CC" w14:textId="77777777" w:rsidR="007A5804" w:rsidRDefault="007B7723">
            <w:pPr>
              <w:pStyle w:val="P68B1DB1-TableParagraph17"/>
              <w:spacing w:before="108"/>
              <w:ind w:left="85"/>
            </w:pPr>
            <w:r>
              <w:t>Sekundárne trhy predstavujú trhy, na ktorých investori kupujú a predávajú cenné papiere. Táto funkcia sa vzťahuje na celkové obchodné portfólio (t. j. vlastný kapitál, firemné úvery, štátny dlh).</w:t>
            </w:r>
          </w:p>
          <w:p w14:paraId="7FE1B9CD" w14:textId="77777777" w:rsidR="007A5804" w:rsidRDefault="007B7723">
            <w:pPr>
              <w:pStyle w:val="P68B1DB1-TableParagraph17"/>
              <w:spacing w:before="108"/>
              <w:ind w:left="85"/>
            </w:pPr>
            <w:r>
              <w:t xml:space="preserve">Suma, ktorá sa má vykázať, zahŕňa hodnotu cenných papierov meranú ako celková hodnota </w:t>
            </w:r>
            <w:r>
              <w:lastRenderedPageBreak/>
              <w:t>cenných papierov držaných na obchodovanie. Cenné papiere sa vykazujú v reálnej hodnote k dátumu vykazovania.</w:t>
            </w:r>
          </w:p>
          <w:p w14:paraId="7FE1B9CE" w14:textId="77777777" w:rsidR="007A5804" w:rsidRDefault="007B7723">
            <w:pPr>
              <w:pStyle w:val="P68B1DB1-TableParagraph17"/>
              <w:spacing w:before="108"/>
              <w:ind w:left="85"/>
            </w:pPr>
            <w:r>
              <w:t>Táto hodnota nezahŕňa úvery, deriváty a neobchodovateľné aktíva (napr. pohľadávky).</w:t>
            </w:r>
          </w:p>
        </w:tc>
      </w:tr>
      <w:tr w:rsidR="007A5804"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7A5804" w:rsidRDefault="007B7723">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7A5804" w:rsidRDefault="007B7723">
            <w:pPr>
              <w:pStyle w:val="P68B1DB1-TableParagraph14"/>
              <w:spacing w:before="108"/>
              <w:ind w:left="85"/>
              <w:jc w:val="both"/>
              <w:rPr>
                <w:bCs/>
              </w:rPr>
            </w:pPr>
            <w:r>
              <w:t>Primárne trhy/upisovanie</w:t>
            </w:r>
          </w:p>
          <w:p w14:paraId="7FE1B9D2" w14:textId="77777777" w:rsidR="007A5804" w:rsidRDefault="007B7723">
            <w:pPr>
              <w:pStyle w:val="P68B1DB1-TableParagraph17"/>
              <w:spacing w:before="108"/>
              <w:ind w:left="85"/>
            </w:pPr>
            <w:r>
              <w:t>Primárne trhy predstavujú trhy, na ktorých sú nové cenné papiere emitované na burze spoločnosťami, vládami a inými skupinami s cieľom získať financovanie prostredníctvom cenných papierov založených na dlhu alebo vlastnom kapitáli (ako sú kmeňové a prioritné akcie, podnikové dlhopisy, poukážky, zmenky, štátne dlhopisy). Činnosť primárnych trhov uľahčujú upisovacie skupiny.</w:t>
            </w:r>
          </w:p>
        </w:tc>
      </w:tr>
      <w:tr w:rsidR="007A5804"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7A5804" w:rsidRDefault="007B7723">
            <w:pPr>
              <w:pStyle w:val="P68B1DB1-TableParagraph17"/>
              <w:spacing w:before="108"/>
              <w:ind w:left="85"/>
              <w:jc w:val="both"/>
            </w:pPr>
            <w:r>
              <w:t>0290 – 0310</w:t>
            </w:r>
          </w:p>
        </w:tc>
        <w:tc>
          <w:tcPr>
            <w:tcW w:w="7892" w:type="dxa"/>
            <w:tcBorders>
              <w:top w:val="single" w:sz="4" w:space="0" w:color="1A171C"/>
              <w:left w:val="single" w:sz="4" w:space="0" w:color="1A171C"/>
              <w:bottom w:val="single" w:sz="4" w:space="0" w:color="1A171C"/>
              <w:right w:val="nil"/>
            </w:tcBorders>
          </w:tcPr>
          <w:p w14:paraId="7FE1B9D5" w14:textId="77777777" w:rsidR="007A5804" w:rsidRDefault="007B7723">
            <w:pPr>
              <w:pStyle w:val="P68B1DB1-TableParagraph14"/>
              <w:spacing w:before="108"/>
              <w:ind w:left="85"/>
              <w:jc w:val="both"/>
              <w:rPr>
                <w:rFonts w:eastAsia="Cambria"/>
              </w:rPr>
            </w:pPr>
            <w:r>
              <w:t>Iné služby/činnosti/funkcie (1), (2) a (3)</w:t>
            </w:r>
          </w:p>
        </w:tc>
      </w:tr>
      <w:tr w:rsidR="007A5804" w14:paraId="7FE1B9D9" w14:textId="77777777">
        <w:tc>
          <w:tcPr>
            <w:tcW w:w="9083" w:type="dxa"/>
            <w:gridSpan w:val="2"/>
            <w:tcBorders>
              <w:top w:val="single" w:sz="4" w:space="0" w:color="1A171C"/>
              <w:left w:val="nil"/>
              <w:bottom w:val="single" w:sz="4" w:space="0" w:color="1A171C"/>
            </w:tcBorders>
          </w:tcPr>
          <w:p w14:paraId="7FE1B9D7" w14:textId="1DCC31B9" w:rsidR="007A5804" w:rsidRDefault="007B7723">
            <w:pPr>
              <w:pStyle w:val="P68B1DB1-TableParagraph16"/>
              <w:spacing w:before="108"/>
              <w:ind w:left="85"/>
              <w:jc w:val="both"/>
              <w:rPr>
                <w:b/>
                <w:bCs/>
                <w:color w:val="000000" w:themeColor="text1"/>
                <w:sz w:val="20"/>
                <w:szCs w:val="20"/>
              </w:rPr>
            </w:pPr>
            <w:r>
              <w:t>Z 07.01.5 FUNC 1 WF</w:t>
            </w:r>
          </w:p>
          <w:p w14:paraId="7FE1B9D8" w14:textId="77777777" w:rsidR="007A5804" w:rsidRDefault="007B7723">
            <w:pPr>
              <w:pStyle w:val="P68B1DB1-TableParagraph17"/>
              <w:spacing w:before="108"/>
              <w:ind w:left="85"/>
              <w:jc w:val="both"/>
            </w:pPr>
            <w:r>
              <w:t>Činnosti poskytovania a prijímania úverov na veľkoobchodných trhoch finančnými protistranami od finančných protistrán (úverové inštitúcie a iné finančné korporácie).</w:t>
            </w:r>
          </w:p>
        </w:tc>
      </w:tr>
      <w:tr w:rsidR="007A5804"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7A5804" w:rsidRDefault="007B7723">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7A5804" w:rsidRDefault="007B7723">
            <w:pPr>
              <w:pStyle w:val="P68B1DB1-TableParagraph14"/>
              <w:spacing w:before="108"/>
              <w:ind w:left="85"/>
              <w:jc w:val="both"/>
              <w:rPr>
                <w:bCs/>
              </w:rPr>
            </w:pPr>
            <w:r>
              <w:t>Prijímanie úverov</w:t>
            </w:r>
          </w:p>
          <w:p w14:paraId="7FE1B9DC" w14:textId="77777777" w:rsidR="007A5804" w:rsidRDefault="007B7723">
            <w:pPr>
              <w:pStyle w:val="P68B1DB1-TableParagraph17"/>
              <w:spacing w:before="108"/>
              <w:ind w:left="85"/>
            </w:pPr>
            <w:r>
              <w:t>Prijímanie úverov na veľkoobchodných trhoch od finančných protistrán (aj prostredníctvom zmlúv o repo transakciách, medzibankového prijímania úverov, komerčných cenných papierov, depozitných certifikátov, fondov peňažného trhu, úverových liniek, cenných papierov zabezpečených aktívami a fiduciárnych vkladov).</w:t>
            </w:r>
          </w:p>
        </w:tc>
      </w:tr>
      <w:tr w:rsidR="007A5804"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7A5804" w:rsidRDefault="007B7723">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7A5804" w:rsidRDefault="007B7723">
            <w:pPr>
              <w:pStyle w:val="P68B1DB1-TableParagraph14"/>
              <w:spacing w:before="108"/>
              <w:ind w:left="85"/>
              <w:jc w:val="both"/>
              <w:rPr>
                <w:bCs/>
              </w:rPr>
            </w:pPr>
            <w:r>
              <w:t>Deriváty (aktíva)</w:t>
            </w:r>
          </w:p>
          <w:p w14:paraId="7FE1B9E0" w14:textId="77777777" w:rsidR="007A5804" w:rsidRDefault="007B7723">
            <w:pPr>
              <w:pStyle w:val="P68B1DB1-TableParagraph17"/>
              <w:spacing w:before="108"/>
              <w:ind w:left="85"/>
            </w:pPr>
            <w:r>
              <w:t>Všetky deriváty s finančnými protistranami držané na strane aktív súvahy. Na rozdiel od časti „Kapitálové trhy“ deriváty v časti „Veľkoobchodné financovanie“ zahŕňajú všetky zmluvy o derivátoch s finančnými protistranami (nielen vysokofrekvenčné obchodovanie).</w:t>
            </w:r>
          </w:p>
        </w:tc>
      </w:tr>
      <w:tr w:rsidR="007A5804"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7A5804" w:rsidRDefault="007B7723">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7A5804" w:rsidRDefault="007B7723">
            <w:pPr>
              <w:pStyle w:val="P68B1DB1-TableParagraph14"/>
              <w:spacing w:before="108"/>
              <w:ind w:left="85"/>
              <w:jc w:val="both"/>
              <w:rPr>
                <w:bCs/>
              </w:rPr>
            </w:pPr>
            <w:r>
              <w:t>Úvery</w:t>
            </w:r>
          </w:p>
          <w:p w14:paraId="7FE1B9E4" w14:textId="77777777" w:rsidR="007A5804" w:rsidRDefault="007B7723">
            <w:pPr>
              <w:pStyle w:val="P68B1DB1-TableParagraph17"/>
              <w:spacing w:before="108"/>
              <w:ind w:left="85"/>
            </w:pPr>
            <w:r>
              <w:t>Poskytovanie úverov na veľkoobchodných trhoch finančným protistranám (aj prostredníctvom zmlúv o repo transakciách, komerčných cenných papierov, depozitných certifikátov, fondov peňažného trhu, úverových liniek, aktívami zabezpečených krátkodobých obchodovateľných cenných papierov a fiduciárnych vkladov).</w:t>
            </w:r>
          </w:p>
        </w:tc>
      </w:tr>
      <w:tr w:rsidR="007A5804"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7A5804" w:rsidRDefault="007B7723">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7A5804" w:rsidRDefault="007B7723">
            <w:pPr>
              <w:pStyle w:val="P68B1DB1-TableParagraph14"/>
              <w:spacing w:before="108"/>
              <w:ind w:left="85"/>
              <w:jc w:val="both"/>
              <w:rPr>
                <w:bCs/>
              </w:rPr>
            </w:pPr>
            <w:r>
              <w:t>Deriváty (záväzky)</w:t>
            </w:r>
          </w:p>
          <w:p w14:paraId="7FE1B9E8" w14:textId="77777777" w:rsidR="007A5804" w:rsidRDefault="007B7723">
            <w:pPr>
              <w:pStyle w:val="P68B1DB1-TableParagraph17"/>
              <w:spacing w:before="108"/>
              <w:ind w:left="85"/>
              <w:jc w:val="both"/>
            </w:pPr>
            <w:r>
              <w:t xml:space="preserve">Všetky deriváty s finančnými protistranami držané na strane záväzkov súvahy. </w:t>
            </w:r>
          </w:p>
        </w:tc>
      </w:tr>
      <w:tr w:rsidR="007A5804"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7A5804" w:rsidRDefault="007B7723">
            <w:pPr>
              <w:pStyle w:val="P68B1DB1-TableParagraph17"/>
              <w:spacing w:before="108"/>
              <w:ind w:left="85"/>
              <w:jc w:val="both"/>
            </w:pPr>
            <w:r>
              <w:t>0360 – 0380</w:t>
            </w:r>
          </w:p>
        </w:tc>
        <w:tc>
          <w:tcPr>
            <w:tcW w:w="7892" w:type="dxa"/>
            <w:tcBorders>
              <w:top w:val="single" w:sz="4" w:space="0" w:color="1A171C"/>
              <w:left w:val="single" w:sz="4" w:space="0" w:color="1A171C"/>
              <w:bottom w:val="single" w:sz="4" w:space="0" w:color="1A171C"/>
              <w:right w:val="nil"/>
            </w:tcBorders>
          </w:tcPr>
          <w:p w14:paraId="7FE1B9EB" w14:textId="77777777" w:rsidR="007A5804" w:rsidRDefault="007B7723">
            <w:pPr>
              <w:pStyle w:val="P68B1DB1-TableParagraph14"/>
              <w:spacing w:before="108"/>
              <w:ind w:left="85"/>
              <w:jc w:val="both"/>
              <w:rPr>
                <w:bCs/>
              </w:rPr>
            </w:pPr>
            <w:r>
              <w:t>Iné druhy výrobkov (1), (2) a (3)</w:t>
            </w:r>
          </w:p>
          <w:p w14:paraId="7FE1B9EC" w14:textId="77777777" w:rsidR="007A5804" w:rsidRDefault="007B7723">
            <w:pPr>
              <w:pStyle w:val="P68B1DB1-TableParagraph17"/>
              <w:spacing w:before="108"/>
              <w:ind w:left="85"/>
            </w:pPr>
            <w:r>
              <w:t>Akákoľvek funkcia hospodárskej funkcie v časti „Veľkoobchodné financovanie“, ktorá nie je uvedená vyššie.</w:t>
            </w:r>
          </w:p>
        </w:tc>
      </w:tr>
    </w:tbl>
    <w:p w14:paraId="7FE1B9EE" w14:textId="77777777" w:rsidR="007A5804" w:rsidRDefault="007A5804">
      <w:pPr>
        <w:pStyle w:val="InstructionsText2"/>
        <w:numPr>
          <w:ilvl w:val="0"/>
          <w:numId w:val="0"/>
        </w:numPr>
        <w:ind w:left="1440" w:firstLine="18"/>
        <w:rPr>
          <w:rFonts w:ascii="Times New Roman" w:hAnsi="Times New Roman" w:cs="Times New Roman"/>
          <w:sz w:val="20"/>
          <w:szCs w:val="20"/>
        </w:rPr>
      </w:pPr>
    </w:p>
    <w:p w14:paraId="7FE1B9EF" w14:textId="3D9C3A6F" w:rsidR="007A5804" w:rsidRDefault="007B7723">
      <w:pPr>
        <w:pStyle w:val="P68B1DB1-Instructionsberschrift25"/>
        <w:numPr>
          <w:ilvl w:val="1"/>
          <w:numId w:val="49"/>
        </w:numPr>
        <w:ind w:left="357" w:hanging="357"/>
      </w:pPr>
      <w:bookmarkStart w:id="108" w:name="_Toc208245249"/>
      <w:r>
        <w:t>Z 07.01.1 FUNC 1 DEP</w:t>
      </w:r>
      <w:bookmarkEnd w:id="108"/>
    </w:p>
    <w:p w14:paraId="7FE1B9F9" w14:textId="77777777" w:rsidR="007A5804" w:rsidRDefault="007A580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5804"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7A5804" w:rsidRDefault="007B7723">
            <w:pPr>
              <w:pStyle w:val="P68B1DB1-TableParagraph17"/>
              <w:spacing w:before="108"/>
              <w:ind w:left="85"/>
              <w:jc w:val="both"/>
            </w:pPr>
            <w:r>
              <w:t>Stĺpce</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7A5804" w:rsidRDefault="007B7723">
            <w:pPr>
              <w:pStyle w:val="P68B1DB1-TableParagraph17"/>
              <w:spacing w:before="108"/>
              <w:ind w:left="85" w:right="1"/>
              <w:jc w:val="both"/>
            </w:pPr>
            <w:r>
              <w:t>Pokyny</w:t>
            </w:r>
          </w:p>
        </w:tc>
      </w:tr>
      <w:tr w:rsidR="007A5804"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7A5804" w:rsidRDefault="007B772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7A5804" w:rsidRDefault="007B7723">
            <w:pPr>
              <w:pStyle w:val="P68B1DB1-TableParagraph14"/>
              <w:spacing w:before="108"/>
              <w:ind w:left="85"/>
              <w:jc w:val="both"/>
              <w:rPr>
                <w:bCs/>
              </w:rPr>
            </w:pPr>
            <w:r>
              <w:t>Opis hospodárskej funkcie</w:t>
            </w:r>
          </w:p>
          <w:p w14:paraId="7FE1B9FF" w14:textId="2DF858EE" w:rsidR="007A5804" w:rsidRDefault="007B7723">
            <w:pPr>
              <w:pStyle w:val="P68B1DB1-TableParagraph17"/>
              <w:spacing w:before="108"/>
              <w:ind w:left="85"/>
            </w:pPr>
            <w:r>
              <w:t xml:space="preserve">Ak je ekonomická funkcia typu „Iné“ (funkcie v r0050 až r0070), uvedie sa opis tejto funkcie. </w:t>
            </w:r>
          </w:p>
        </w:tc>
      </w:tr>
      <w:tr w:rsidR="007A5804"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7A5804" w:rsidRDefault="007B772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7A5804" w:rsidRDefault="007B7723">
            <w:pPr>
              <w:pStyle w:val="P68B1DB1-TableParagraph14"/>
              <w:spacing w:before="108"/>
              <w:ind w:left="85"/>
              <w:jc w:val="both"/>
              <w:rPr>
                <w:bCs/>
              </w:rPr>
            </w:pPr>
            <w:r>
              <w:t xml:space="preserve">Podiel na trhu </w:t>
            </w:r>
          </w:p>
          <w:p w14:paraId="7FE1BA03" w14:textId="2B787841" w:rsidR="007A5804" w:rsidRDefault="007B7723">
            <w:pPr>
              <w:pStyle w:val="P68B1DB1-TableParagraph17"/>
              <w:spacing w:before="108"/>
              <w:ind w:left="85"/>
            </w:pPr>
            <w:r>
              <w:lastRenderedPageBreak/>
              <w:t>Odhad trhového podielu inštitúcie alebo skupiny pre hospodársku funkciu v príslušnom štáte alebo geografickej oblasti. Percentuálny podiel z celkového trhu z hľadiska hodnoty na účtoch.</w:t>
            </w:r>
          </w:p>
        </w:tc>
      </w:tr>
      <w:tr w:rsidR="007A5804"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7A5804" w:rsidRDefault="007B7723">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7A5804" w:rsidRDefault="007B7723">
            <w:pPr>
              <w:pStyle w:val="P68B1DB1-TableParagraph14"/>
              <w:spacing w:before="108"/>
              <w:jc w:val="both"/>
              <w:rPr>
                <w:bCs/>
              </w:rPr>
            </w:pPr>
            <w:r>
              <w:t>Účtovná hodnota</w:t>
            </w:r>
          </w:p>
          <w:p w14:paraId="7FE1BA07" w14:textId="77777777" w:rsidR="007A5804" w:rsidRDefault="007B7723">
            <w:pPr>
              <w:pStyle w:val="P68B1DB1-TableParagraph17"/>
              <w:spacing w:before="108"/>
            </w:pPr>
            <w:r>
              <w:t>Účtovná hodnota (vrátane vzniknutého úroku) prijatých vkladov</w:t>
            </w:r>
          </w:p>
          <w:p w14:paraId="7FE1BA08" w14:textId="77777777" w:rsidR="007A5804" w:rsidRDefault="007B7723">
            <w:pPr>
              <w:pStyle w:val="P68B1DB1-TableParagraph17"/>
              <w:spacing w:before="108"/>
            </w:pPr>
            <w:r>
              <w:t>Referenčné dokumenty: FINREP, prílohy III a IV, vzor F 08.01 a časť 2 ods. 97 prílohy V.</w:t>
            </w:r>
          </w:p>
        </w:tc>
      </w:tr>
      <w:tr w:rsidR="007A5804"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7A5804" w:rsidRDefault="007B7723">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7A5804" w:rsidRDefault="007B7723">
            <w:pPr>
              <w:pStyle w:val="P68B1DB1-TableParagraph14"/>
              <w:spacing w:before="108"/>
              <w:jc w:val="both"/>
              <w:rPr>
                <w:bCs/>
              </w:rPr>
            </w:pPr>
            <w:bookmarkStart w:id="109" w:name="_Hlk162030772"/>
            <w:r>
              <w:t>Z toho nepoistené</w:t>
            </w:r>
          </w:p>
          <w:p w14:paraId="7FE1BA0C" w14:textId="464500AA" w:rsidR="007A5804" w:rsidRDefault="007B7723">
            <w:pPr>
              <w:pStyle w:val="P68B1DB1-TableParagraph13"/>
              <w:spacing w:before="108"/>
              <w:rPr>
                <w:rFonts w:eastAsia="Cambria"/>
              </w:rPr>
            </w:pPr>
            <w:r>
              <w:t>Účtovná hodnota (vrátane vzniknutého úroku) vkladov prijatých so zostatkom ich účtu vyšším ako 100 000,00 EUR</w:t>
            </w:r>
            <w:bookmarkEnd w:id="109"/>
            <w:r>
              <w:t>. V tomto prípade sa vykazuje len suma presahujúca 100,000 EUR.</w:t>
            </w:r>
          </w:p>
        </w:tc>
      </w:tr>
      <w:tr w:rsidR="007A5804"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7A5804" w:rsidRDefault="007B7723">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7A5804" w:rsidRDefault="007B7723">
            <w:pPr>
              <w:pStyle w:val="P68B1DB1-TableParagraph14"/>
              <w:spacing w:before="108"/>
              <w:ind w:left="85"/>
              <w:jc w:val="both"/>
              <w:rPr>
                <w:bCs/>
              </w:rPr>
            </w:pPr>
            <w:bookmarkStart w:id="110" w:name="_Hlk162030782"/>
            <w:r>
              <w:t>Z toho opakujúce sa</w:t>
            </w:r>
          </w:p>
          <w:p w14:paraId="7FE1BA12" w14:textId="14AEAE5C" w:rsidR="007A5804" w:rsidRDefault="007B7723">
            <w:pPr>
              <w:pStyle w:val="P68B1DB1-TableParagraph13"/>
              <w:spacing w:before="108"/>
              <w:ind w:left="85"/>
              <w:jc w:val="both"/>
            </w:pPr>
            <w:bookmarkStart w:id="111" w:name="_Hlk170377814"/>
            <w:bookmarkStart w:id="112" w:name="_Hlk162030851"/>
            <w:r>
              <w:t xml:space="preserve">Účtovná hodnota (vrátane naakumulovaného úroku) prijatých vkladov, ktoré sú držané na opakovanom vkladovom účte.  Opakujúce sa vkladové účty sú vkladové účty, na ktorých bol účet odpísaný alebo pripísaný na ťarchu v priemere aspoň 5 mesačných transakcií počas šiestich mesiacov predchádzajúcich koncovému dátumu, s výnimkou ročných poplatkov, iných poplatkov a úrokových platieb súvisiacich s účtom. </w:t>
            </w:r>
            <w:bookmarkEnd w:id="111"/>
          </w:p>
          <w:bookmarkEnd w:id="110"/>
          <w:bookmarkEnd w:id="112"/>
          <w:p w14:paraId="7FE1BA13" w14:textId="0C63C868" w:rsidR="007A5804" w:rsidRDefault="007A5804">
            <w:pPr>
              <w:pStyle w:val="TableParagraph"/>
              <w:spacing w:before="108"/>
              <w:ind w:left="85"/>
              <w:jc w:val="both"/>
              <w:rPr>
                <w:rFonts w:ascii="Times New Roman" w:hAnsi="Times New Roman" w:cs="Times New Roman"/>
                <w:color w:val="000000" w:themeColor="text1"/>
                <w:sz w:val="20"/>
                <w:szCs w:val="20"/>
              </w:rPr>
            </w:pPr>
          </w:p>
        </w:tc>
      </w:tr>
      <w:tr w:rsidR="007A5804"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7A5804" w:rsidRDefault="007B772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7A5804" w:rsidRDefault="007B7723">
            <w:pPr>
              <w:pStyle w:val="P68B1DB1-TableParagraph14"/>
              <w:spacing w:before="108"/>
              <w:ind w:left="85"/>
              <w:jc w:val="both"/>
              <w:rPr>
                <w:bCs/>
              </w:rPr>
            </w:pPr>
            <w:r>
              <w:t>Počet klientov</w:t>
            </w:r>
          </w:p>
          <w:p w14:paraId="7FE1BA17" w14:textId="77777777" w:rsidR="007A5804" w:rsidRDefault="007B7723">
            <w:pPr>
              <w:pStyle w:val="P68B1DB1-TableParagraph13"/>
              <w:spacing w:before="108"/>
              <w:ind w:left="85"/>
              <w:jc w:val="both"/>
            </w:pPr>
            <w:r>
              <w:t>Celkový počet klientov, ktorí uložili hodnoty vykázané v c0030 „hodnota na účtoch“. Ak jeden klient používa viac než jeden vkladový produkt/účet, tento klient sa počíta len raz.</w:t>
            </w:r>
          </w:p>
        </w:tc>
      </w:tr>
      <w:tr w:rsidR="007A5804"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7A5804" w:rsidRDefault="007B772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7A5804" w:rsidRDefault="007B7723">
            <w:pPr>
              <w:pStyle w:val="P68B1DB1-TableParagraph14"/>
              <w:spacing w:before="108"/>
              <w:ind w:left="85"/>
              <w:jc w:val="both"/>
              <w:rPr>
                <w:bCs/>
              </w:rPr>
            </w:pPr>
            <w:r>
              <w:t>Počet účtov</w:t>
            </w:r>
          </w:p>
          <w:p w14:paraId="7FE1BA1B" w14:textId="77777777" w:rsidR="007A5804" w:rsidRDefault="007B7723">
            <w:pPr>
              <w:pStyle w:val="P68B1DB1-TableParagraph13"/>
              <w:spacing w:before="108"/>
              <w:ind w:left="85"/>
              <w:jc w:val="both"/>
            </w:pPr>
            <w:r>
              <w:t>Celkový počet bežných účtov/jednorazových vkladov, vkladov s dohodnutou splatnosťou a</w:t>
            </w:r>
          </w:p>
          <w:p w14:paraId="7FE1BA1C" w14:textId="36D44222" w:rsidR="007A5804" w:rsidRDefault="007B7723">
            <w:pPr>
              <w:pStyle w:val="P68B1DB1-TableParagraph13"/>
              <w:spacing w:before="108"/>
              <w:ind w:left="85"/>
              <w:jc w:val="both"/>
            </w:pPr>
            <w:r>
              <w:t>Vklady s výpovednou lehotou Spoločné účty sa počítajú len raz. Týmto sa povoľuje</w:t>
            </w:r>
          </w:p>
          <w:p w14:paraId="7FE1BA1D" w14:textId="07F9DB1C" w:rsidR="007A5804" w:rsidRDefault="007B7723">
            <w:pPr>
              <w:pStyle w:val="P68B1DB1-TableParagraph13"/>
              <w:spacing w:before="108"/>
              <w:ind w:left="85"/>
              <w:jc w:val="both"/>
            </w:pPr>
            <w:r>
              <w:t>celkový počet účtov v tomto stĺpci zodpovedá hodnote vykázanej v c0030.</w:t>
            </w:r>
          </w:p>
          <w:p w14:paraId="7FE1BA1E" w14:textId="77777777" w:rsidR="007A5804" w:rsidRDefault="007B7723">
            <w:pPr>
              <w:pStyle w:val="P68B1DB1-TableParagraph13"/>
              <w:spacing w:before="108"/>
              <w:ind w:left="85"/>
              <w:jc w:val="both"/>
              <w:rPr>
                <w:b/>
                <w:bCs/>
              </w:rPr>
            </w:pPr>
            <w:r>
              <w:t>„hodnota na účtoch“.</w:t>
            </w:r>
          </w:p>
        </w:tc>
      </w:tr>
      <w:tr w:rsidR="007A5804"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7A5804" w:rsidRDefault="007B7723">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7A5804" w:rsidRDefault="007B7723">
            <w:pPr>
              <w:pStyle w:val="P68B1DB1-TableParagraph14"/>
              <w:spacing w:before="108"/>
              <w:ind w:left="85"/>
              <w:jc w:val="both"/>
              <w:rPr>
                <w:bCs/>
              </w:rPr>
            </w:pPr>
            <w:r>
              <w:t>Z toho opakujúce sa</w:t>
            </w:r>
          </w:p>
          <w:p w14:paraId="7FE1BA22" w14:textId="00C60993" w:rsidR="007A5804" w:rsidRDefault="007B7723">
            <w:pPr>
              <w:pStyle w:val="P68B1DB1-TableParagraph13"/>
              <w:spacing w:before="108"/>
              <w:ind w:left="85"/>
              <w:jc w:val="both"/>
            </w:pPr>
            <w:r>
              <w:t>Celkový počet opakujúcich sa účtov podľa vymedzenia v c0036</w:t>
            </w:r>
          </w:p>
        </w:tc>
      </w:tr>
      <w:tr w:rsidR="007A5804"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7A5804" w:rsidRDefault="007B772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7A5804" w:rsidRDefault="007B7723">
            <w:pPr>
              <w:pStyle w:val="P68B1DB1-TableParagraph14"/>
              <w:spacing w:before="108"/>
              <w:ind w:left="85"/>
              <w:jc w:val="both"/>
              <w:rPr>
                <w:bCs/>
              </w:rPr>
            </w:pPr>
            <w:r>
              <w:t>Cezhraničná hodnota</w:t>
            </w:r>
          </w:p>
          <w:p w14:paraId="7FE1BA26" w14:textId="77777777" w:rsidR="007A5804" w:rsidRDefault="007B7723">
            <w:pPr>
              <w:pStyle w:val="P68B1DB1-TableParagraph13"/>
              <w:spacing w:before="108"/>
              <w:ind w:left="85"/>
              <w:jc w:val="both"/>
            </w:pPr>
            <w:r>
              <w:t>Hodnota na účtoch nerezidentov (nedomácich osôb). Domáce osoby zahŕňajú: i)</w:t>
            </w:r>
          </w:p>
          <w:p w14:paraId="7FE1BA27" w14:textId="77777777" w:rsidR="007A5804" w:rsidRDefault="007B7723">
            <w:pPr>
              <w:pStyle w:val="P68B1DB1-TableParagraph13"/>
              <w:spacing w:before="108"/>
              <w:ind w:left="85"/>
              <w:jc w:val="both"/>
            </w:pPr>
            <w:r>
              <w:t>osoby, ktoré majú svoj hlavný hospodársky záujem (hospodárske činnosti aspoň jeden rok;</w:t>
            </w:r>
          </w:p>
          <w:p w14:paraId="7FE1BA28" w14:textId="77777777" w:rsidR="007A5804" w:rsidRDefault="007B7723">
            <w:pPr>
              <w:pStyle w:val="P68B1DB1-TableParagraph13"/>
              <w:spacing w:before="108"/>
              <w:ind w:left="85"/>
              <w:jc w:val="both"/>
            </w:pPr>
            <w:r>
              <w:t>vlastníctvo fyzického majetku sa považuje za dostatočný dôkaz) v krajine</w:t>
            </w:r>
          </w:p>
          <w:p w14:paraId="7FE1BA29" w14:textId="77777777" w:rsidR="007A5804" w:rsidRDefault="007B7723">
            <w:pPr>
              <w:pStyle w:val="P68B1DB1-TableParagraph13"/>
              <w:spacing w:before="108"/>
              <w:ind w:left="85"/>
              <w:jc w:val="both"/>
            </w:pPr>
            <w:r>
              <w:t>vykazujúca účtovná jednotka a ii) zahraničné pobočky klientov vykazujúceho subjektu.</w:t>
            </w:r>
          </w:p>
          <w:p w14:paraId="7FE1BA2A" w14:textId="77777777" w:rsidR="007A5804" w:rsidRDefault="007B7723">
            <w:pPr>
              <w:pStyle w:val="P68B1DB1-TableParagraph13"/>
              <w:spacing w:before="108"/>
              <w:ind w:left="85"/>
              <w:jc w:val="both"/>
              <w:rPr>
                <w:b/>
                <w:bCs/>
              </w:rPr>
            </w:pPr>
            <w:r>
              <w:t xml:space="preserve">Referenčná značka: </w:t>
            </w:r>
          </w:p>
        </w:tc>
      </w:tr>
      <w:tr w:rsidR="007A5804"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7A5804" w:rsidRDefault="007B7723">
            <w:pPr>
              <w:pStyle w:val="P68B1DB1-TableParagraph17"/>
              <w:spacing w:before="108"/>
              <w:jc w:val="both"/>
            </w:pPr>
            <w:r>
              <w:t>0070 – 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7A5804" w:rsidRDefault="007B7723">
            <w:pPr>
              <w:pStyle w:val="P68B1DB1-TableParagraph14"/>
              <w:spacing w:before="108"/>
              <w:jc w:val="both"/>
              <w:rPr>
                <w:bCs/>
              </w:rPr>
            </w:pPr>
            <w:r>
              <w:t>Analýzy vplyvu a nahraditeľnosti</w:t>
            </w:r>
          </w:p>
          <w:p w14:paraId="7FE1BA2E" w14:textId="2C85C98D" w:rsidR="007A5804" w:rsidRDefault="007B7723">
            <w:pPr>
              <w:pStyle w:val="P68B1DB1-Normal31"/>
              <w:spacing w:line="276" w:lineRule="auto"/>
              <w:jc w:val="both"/>
            </w:pPr>
            <w:r>
              <w:t>Kritériá posudzovania vplyvu na tretie strany zahŕňajú v súlade s delegovaným nariadením Komisie (EÚ) 2016/778 tieto prvky:</w:t>
            </w:r>
          </w:p>
          <w:p w14:paraId="7FE1BA2F" w14:textId="77777777" w:rsidR="007A5804" w:rsidRDefault="007B7723">
            <w:pPr>
              <w:pStyle w:val="P68B1DB1-ListParagraph32"/>
              <w:numPr>
                <w:ilvl w:val="0"/>
                <w:numId w:val="131"/>
              </w:numPr>
              <w:spacing w:line="276" w:lineRule="auto"/>
              <w:rPr>
                <w:b/>
                <w:bCs/>
              </w:rPr>
            </w:pPr>
            <w:r>
              <w:rPr>
                <w:b/>
              </w:rPr>
              <w:t>povaha a dosah činnosti,</w:t>
            </w:r>
            <w:r>
              <w:t xml:space="preserve"> globálny, vnútroštátny alebo regionálny dosah, objem a počet transakcií; počet klientov a protistrán; počet klientov, pre ktorých je inštitúcia jediným alebo hlavným bankovým partnerom.</w:t>
            </w:r>
          </w:p>
          <w:p w14:paraId="7FE1BA30" w14:textId="77777777" w:rsidR="007A5804" w:rsidRDefault="007B7723">
            <w:pPr>
              <w:pStyle w:val="P68B1DB1-ListParagraph32"/>
              <w:numPr>
                <w:ilvl w:val="0"/>
                <w:numId w:val="131"/>
              </w:numPr>
              <w:spacing w:line="276" w:lineRule="auto"/>
              <w:rPr>
                <w:b/>
                <w:bCs/>
              </w:rPr>
            </w:pPr>
            <w:r>
              <w:rPr>
                <w:b/>
              </w:rPr>
              <w:lastRenderedPageBreak/>
              <w:t>význam inštitúcie na</w:t>
            </w:r>
            <w:r>
              <w:t xml:space="preserve"> miestnej, regionálnej, vnútroštátnej alebo európskej úrovni, podľa vhodnosti pre príslušný trh. Význam inštitúcie sa môže posúdiť na základe trhového podielu, prepojenosti, zložitosti alebo cezhraničných činností;</w:t>
            </w:r>
          </w:p>
          <w:p w14:paraId="7FE1BA31" w14:textId="77777777" w:rsidR="007A5804" w:rsidRDefault="007B7723">
            <w:pPr>
              <w:pStyle w:val="P68B1DB1-ListParagraph32"/>
              <w:numPr>
                <w:ilvl w:val="0"/>
                <w:numId w:val="131"/>
              </w:numPr>
              <w:spacing w:line="276" w:lineRule="auto"/>
              <w:rPr>
                <w:b/>
                <w:bCs/>
              </w:rPr>
            </w:pPr>
            <w:r>
              <w:rPr>
                <w:b/>
              </w:rPr>
              <w:t>povaha zákazníkov a zainteresovaných strán, ktorých sa funkcia týka</w:t>
            </w:r>
            <w:r>
              <w:t xml:space="preserve">, napríklad, ale nie výhradne, retailových zákazníkov, firemných zákazníkov, medzibankových zákazníkov, centrálnych zúčtovacích stredísk a verejných subjektov; </w:t>
            </w:r>
          </w:p>
          <w:p w14:paraId="7FE1BA32" w14:textId="77777777" w:rsidR="007A5804" w:rsidRDefault="007B7723">
            <w:pPr>
              <w:pStyle w:val="P68B1DB1-ListParagraph32"/>
              <w:numPr>
                <w:ilvl w:val="0"/>
                <w:numId w:val="131"/>
              </w:numPr>
              <w:spacing w:line="276" w:lineRule="auto"/>
              <w:rPr>
                <w:b/>
                <w:bCs/>
              </w:rPr>
            </w:pPr>
            <w:r>
              <w:rPr>
                <w:b/>
              </w:rPr>
              <w:t>potenciálne narušenie funkcie v rámci trhov, infraštruktúr, zákazníkov a verejných služieb</w:t>
            </w:r>
            <w:r>
              <w:t>. Posúdenie môže zahŕňať najmä vplyv na likviditu dotknutých trhov, vplyv a rozsah narušenia obchodnej činnosti zákazníkov a krátkodobé potreby likvidity; vnímateľnosť pre protistrany, zákazníkov a verejnosť; schopnosť a rýchlosť reakcie zákazníka; význam pre fungovanie iných trhov; vplyv na likviditu, operácie a štruktúru iného trhu; vplyv na ostatné protistrany súvisiace s hlavnými klientmi a vzájomný vzťah funkcie s inými službami.</w:t>
            </w:r>
          </w:p>
          <w:p w14:paraId="7FE1BA33" w14:textId="77777777" w:rsidR="007A5804" w:rsidRDefault="007A5804">
            <w:pPr>
              <w:pStyle w:val="TableParagraph"/>
              <w:spacing w:before="108"/>
              <w:ind w:left="85"/>
              <w:jc w:val="both"/>
              <w:rPr>
                <w:rFonts w:ascii="Times New Roman" w:hAnsi="Times New Roman" w:cs="Times New Roman"/>
                <w:b/>
                <w:bCs/>
                <w:color w:val="000000" w:themeColor="text1"/>
                <w:sz w:val="20"/>
                <w:szCs w:val="20"/>
              </w:rPr>
            </w:pPr>
          </w:p>
        </w:tc>
      </w:tr>
      <w:tr w:rsidR="007A5804"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7A5804" w:rsidRDefault="007B7723">
            <w:pPr>
              <w:pStyle w:val="P68B1DB1-TableParagraph17"/>
              <w:spacing w:before="108"/>
              <w:jc w:val="both"/>
            </w:pPr>
            <w:r>
              <w:lastRenderedPageBreak/>
              <w:t>0070 – 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7A5804" w:rsidRDefault="007B7723">
            <w:pPr>
              <w:pStyle w:val="P68B1DB1-TableParagraph14"/>
              <w:spacing w:before="108"/>
              <w:ind w:left="85"/>
              <w:jc w:val="both"/>
              <w:rPr>
                <w:bCs/>
              </w:rPr>
            </w:pPr>
            <w:r>
              <w:t xml:space="preserve">Príroda a dosah </w:t>
            </w:r>
          </w:p>
          <w:p w14:paraId="7FE1BA37" w14:textId="77777777" w:rsidR="007A5804" w:rsidRDefault="007B7723">
            <w:pPr>
              <w:pStyle w:val="P68B1DB1-TableParagraph33"/>
              <w:spacing w:before="108"/>
              <w:ind w:left="85"/>
              <w:jc w:val="both"/>
              <w:rPr>
                <w:rFonts w:cs="Times New Roman"/>
                <w:b/>
                <w:bCs/>
                <w:color w:val="000000" w:themeColor="text1"/>
              </w:rPr>
            </w:pPr>
            <w:r>
              <w:t>Globálny, vnútroštátny alebo regionálny dosah, objem a počet transakcií; počet klientov a protistrán; počet klientov, pre ktorých je inštitúcia jediným alebo hlavným bankovým partnerom.</w:t>
            </w:r>
          </w:p>
        </w:tc>
      </w:tr>
      <w:tr w:rsidR="007A5804"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7A5804" w:rsidRDefault="007B7723">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7A5804" w:rsidRDefault="007B7723">
            <w:pPr>
              <w:pStyle w:val="P68B1DB1-TableParagraph14"/>
              <w:spacing w:before="108"/>
              <w:ind w:left="85"/>
              <w:jc w:val="both"/>
              <w:rPr>
                <w:bCs/>
              </w:rPr>
            </w:pPr>
            <w:r>
              <w:t>Ukazovateľ veľkosti 1</w:t>
            </w:r>
          </w:p>
          <w:p w14:paraId="7FE1BA3B" w14:textId="0CA29815"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A3C" w14:textId="77777777" w:rsidR="007A5804" w:rsidRDefault="007B7723">
            <w:pPr>
              <w:pStyle w:val="P68B1DB1-ListParagraph32"/>
              <w:numPr>
                <w:ilvl w:val="0"/>
                <w:numId w:val="130"/>
              </w:numPr>
              <w:spacing w:line="276" w:lineRule="auto"/>
            </w:pPr>
            <w:r>
              <w:t xml:space="preserve">Odborný posudok veľkosti účtovnej </w:t>
            </w:r>
            <w:r>
              <w:rPr>
                <w:b/>
              </w:rPr>
              <w:t>hodnoty</w:t>
            </w:r>
            <w:r>
              <w:t xml:space="preserve"> (c0030) z pohľadu </w:t>
            </w:r>
            <w:r>
              <w:rPr>
                <w:b/>
              </w:rPr>
              <w:t>EÚ</w:t>
            </w:r>
            <w:r>
              <w:t xml:space="preserve"> </w:t>
            </w:r>
            <w:r>
              <w:rPr>
                <w:i/>
              </w:rPr>
              <w:t>[o jednu úroveň vyššiu ako príslušný trh. To znamená, že ak je relevantný trh regionálny, veľkosť 1 = vnútroštátna; ak ide o štátnu príslušnosť, veľkosť 1 = EÚ; ak ide o EÚ, veľkosť 1 = globálna]</w:t>
            </w:r>
            <w:r>
              <w:t>:</w:t>
            </w:r>
          </w:p>
          <w:p w14:paraId="7FE1BA3D" w14:textId="77777777" w:rsidR="007A5804" w:rsidRDefault="007B7723">
            <w:pPr>
              <w:pStyle w:val="P68B1DB1-ListParagraph32"/>
              <w:numPr>
                <w:ilvl w:val="1"/>
                <w:numId w:val="129"/>
              </w:numPr>
              <w:spacing w:line="276" w:lineRule="auto"/>
            </w:pPr>
            <w:r>
              <w:t xml:space="preserve">Aká veľká je podľa vás z pohľadu EÚ celková hodnota účtov vo vašej inštitúcii? </w:t>
            </w:r>
          </w:p>
          <w:p w14:paraId="7FE1BA3E" w14:textId="77777777" w:rsidR="007A5804" w:rsidRDefault="007A5804">
            <w:pPr>
              <w:pStyle w:val="TableParagraph"/>
              <w:spacing w:before="108"/>
              <w:ind w:left="85"/>
              <w:jc w:val="both"/>
              <w:rPr>
                <w:rFonts w:ascii="Times New Roman" w:hAnsi="Times New Roman" w:cs="Times New Roman"/>
                <w:b/>
                <w:bCs/>
                <w:color w:val="000000" w:themeColor="text1"/>
                <w:sz w:val="20"/>
                <w:szCs w:val="20"/>
              </w:rPr>
            </w:pPr>
          </w:p>
        </w:tc>
      </w:tr>
      <w:tr w:rsidR="007A5804"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7A5804" w:rsidRDefault="007B7723">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7A5804" w:rsidRDefault="007B7723">
            <w:pPr>
              <w:pStyle w:val="P68B1DB1-TableParagraph14"/>
              <w:spacing w:before="108"/>
              <w:ind w:left="85"/>
              <w:jc w:val="both"/>
              <w:rPr>
                <w:bCs/>
              </w:rPr>
            </w:pPr>
            <w:r>
              <w:t>Ukazovateľ veľkosti 2</w:t>
            </w:r>
          </w:p>
          <w:p w14:paraId="3B32AD4C"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A42" w14:textId="7FE1DE6A" w:rsidR="007A5804" w:rsidRDefault="007A5804">
            <w:pPr>
              <w:spacing w:line="276" w:lineRule="auto"/>
              <w:jc w:val="both"/>
              <w:rPr>
                <w:rFonts w:ascii="Times New Roman" w:eastAsia="Times New Roman" w:hAnsi="Times New Roman" w:cs="Times New Roman"/>
                <w:sz w:val="20"/>
                <w:szCs w:val="20"/>
              </w:rPr>
            </w:pPr>
          </w:p>
          <w:p w14:paraId="7FE1BA43" w14:textId="77777777" w:rsidR="007A5804" w:rsidRDefault="007B7723">
            <w:pPr>
              <w:pStyle w:val="P68B1DB1-ListParagraph32"/>
              <w:numPr>
                <w:ilvl w:val="0"/>
                <w:numId w:val="124"/>
              </w:numPr>
              <w:spacing w:line="276" w:lineRule="auto"/>
            </w:pPr>
            <w:r>
              <w:t xml:space="preserve">Odborný posudok veľkosti </w:t>
            </w:r>
            <w:r>
              <w:rPr>
                <w:b/>
              </w:rPr>
              <w:t>počtu</w:t>
            </w:r>
            <w:r>
              <w:t xml:space="preserve"> klientov (c0040) z </w:t>
            </w:r>
            <w:r>
              <w:rPr>
                <w:b/>
              </w:rPr>
              <w:t>vnútroštátneho</w:t>
            </w:r>
            <w:r>
              <w:t xml:space="preserve"> hľadiska [</w:t>
            </w:r>
            <w:r>
              <w:rPr>
                <w:i/>
              </w:rPr>
              <w:t>na úrovni relevantného trhu</w:t>
            </w:r>
            <w:r>
              <w:t>]:</w:t>
            </w:r>
          </w:p>
          <w:p w14:paraId="7FE1BA44" w14:textId="77777777" w:rsidR="007A5804" w:rsidRDefault="007B7723">
            <w:pPr>
              <w:pStyle w:val="P68B1DB1-ListParagraph32"/>
              <w:numPr>
                <w:ilvl w:val="1"/>
                <w:numId w:val="122"/>
              </w:numPr>
              <w:spacing w:line="276" w:lineRule="auto"/>
            </w:pPr>
            <w:r>
              <w:t>Aký veľký je z vnútroštátneho hľadiska odhadovaný celkový počet klientov inštitúcie?</w:t>
            </w:r>
          </w:p>
          <w:p w14:paraId="7FE1BA45" w14:textId="77777777" w:rsidR="007A5804" w:rsidRDefault="007A5804">
            <w:pPr>
              <w:pStyle w:val="TableParagraph"/>
              <w:spacing w:before="108"/>
              <w:ind w:left="85"/>
              <w:jc w:val="both"/>
              <w:rPr>
                <w:rFonts w:ascii="Times New Roman" w:hAnsi="Times New Roman" w:cs="Times New Roman"/>
                <w:b/>
                <w:bCs/>
                <w:color w:val="000000" w:themeColor="text1"/>
                <w:sz w:val="20"/>
                <w:szCs w:val="20"/>
              </w:rPr>
            </w:pPr>
          </w:p>
        </w:tc>
      </w:tr>
      <w:tr w:rsidR="007A5804"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7A5804" w:rsidRDefault="007B7723">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7A5804" w:rsidRDefault="007B7723">
            <w:pPr>
              <w:pStyle w:val="P68B1DB1-TableParagraph14"/>
              <w:spacing w:before="108"/>
              <w:ind w:left="85"/>
              <w:jc w:val="both"/>
              <w:rPr>
                <w:bCs/>
              </w:rPr>
            </w:pPr>
            <w:r>
              <w:t>Cezhraničný ukazovateľ</w:t>
            </w:r>
          </w:p>
          <w:p w14:paraId="7FE1BA49" w14:textId="77777777" w:rsidR="007A5804" w:rsidRDefault="007B7723">
            <w:pPr>
              <w:pStyle w:val="P68B1DB1-Normal31"/>
              <w:spacing w:line="276" w:lineRule="auto"/>
              <w:jc w:val="both"/>
            </w:pPr>
            <w:r>
              <w:t>Posúdiť relatívny význam cezhraničných činností pre rôzne hospodárske funkcie.</w:t>
            </w:r>
          </w:p>
          <w:p w14:paraId="7FE1BA4A" w14:textId="77777777" w:rsidR="007A5804" w:rsidRDefault="007B7723">
            <w:pPr>
              <w:pStyle w:val="P68B1DB1-Normal31"/>
              <w:spacing w:line="276" w:lineRule="auto"/>
              <w:jc w:val="both"/>
            </w:pPr>
            <w:r>
              <w:lastRenderedPageBreak/>
              <w:t xml:space="preserve">Toto sa nemusí posudzovať v prípade správ, v ktorých sa relevantný trh považuje za regionálny. </w:t>
            </w:r>
          </w:p>
          <w:p w14:paraId="7FE1BA4B" w14:textId="77777777" w:rsidR="007A5804" w:rsidRDefault="007B7723">
            <w:pPr>
              <w:pStyle w:val="P68B1DB1-ListParagraph32"/>
              <w:numPr>
                <w:ilvl w:val="0"/>
                <w:numId w:val="118"/>
              </w:numPr>
              <w:rPr>
                <w:i/>
                <w:iCs/>
              </w:rPr>
            </w:pPr>
            <w:r>
              <w:t xml:space="preserve">Počet krajín EÚ, v ktorých sa odhaduje, že vykazujúci subjekt má podiel na vnútroštátnom trhu vyšší ako 2 %. Správa: </w:t>
            </w:r>
          </w:p>
          <w:p w14:paraId="7FE1BA4C" w14:textId="380A40CA" w:rsidR="007A5804" w:rsidRDefault="007B7723">
            <w:pPr>
              <w:pStyle w:val="P68B1DB1-ListParagraph32"/>
              <w:numPr>
                <w:ilvl w:val="1"/>
                <w:numId w:val="118"/>
              </w:numPr>
              <w:rPr>
                <w:i/>
                <w:iCs/>
              </w:rPr>
            </w:pPr>
            <w:r>
              <w:t xml:space="preserve">≤ 1 krajina; </w:t>
            </w:r>
          </w:p>
          <w:p w14:paraId="7FE1BA4D" w14:textId="152EAA32" w:rsidR="007A5804" w:rsidRDefault="007B7723">
            <w:pPr>
              <w:pStyle w:val="P68B1DB1-ListParagraph32"/>
              <w:numPr>
                <w:ilvl w:val="1"/>
                <w:numId w:val="118"/>
              </w:numPr>
              <w:rPr>
                <w:i/>
                <w:iCs/>
              </w:rPr>
            </w:pPr>
            <w:r>
              <w:t xml:space="preserve">V 2 – 3 krajinách </w:t>
            </w:r>
          </w:p>
          <w:p w14:paraId="7FE1BA4E" w14:textId="5E1FD2A4" w:rsidR="007A5804" w:rsidRDefault="007B7723">
            <w:pPr>
              <w:pStyle w:val="P68B1DB1-ListParagraph32"/>
              <w:numPr>
                <w:ilvl w:val="1"/>
                <w:numId w:val="118"/>
              </w:numPr>
              <w:rPr>
                <w:i/>
                <w:iCs/>
              </w:rPr>
            </w:pPr>
            <w:r>
              <w:t xml:space="preserve">4 – 5 štátov </w:t>
            </w:r>
          </w:p>
          <w:p w14:paraId="7FE1BA4F" w14:textId="744AB982" w:rsidR="007A5804" w:rsidRDefault="007B7723">
            <w:pPr>
              <w:pStyle w:val="P68B1DB1-ListParagraph32"/>
              <w:numPr>
                <w:ilvl w:val="1"/>
                <w:numId w:val="118"/>
              </w:numPr>
              <w:rPr>
                <w:i/>
                <w:iCs/>
              </w:rPr>
            </w:pPr>
            <w:r>
              <w:t>&gt; 5 krajín.</w:t>
            </w:r>
          </w:p>
          <w:p w14:paraId="7FE1BA50" w14:textId="77777777" w:rsidR="007A5804" w:rsidRDefault="007A5804">
            <w:pPr>
              <w:pStyle w:val="TableParagraph"/>
              <w:spacing w:before="108"/>
              <w:jc w:val="both"/>
              <w:rPr>
                <w:rFonts w:ascii="Times New Roman" w:hAnsi="Times New Roman" w:cs="Times New Roman"/>
                <w:b/>
                <w:bCs/>
                <w:color w:val="000000" w:themeColor="text1"/>
                <w:sz w:val="20"/>
                <w:szCs w:val="20"/>
              </w:rPr>
            </w:pPr>
          </w:p>
        </w:tc>
      </w:tr>
      <w:tr w:rsidR="007A5804"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7A5804" w:rsidRDefault="007B7723">
            <w:pPr>
              <w:pStyle w:val="P68B1DB1-TableParagraph17"/>
              <w:spacing w:before="108"/>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7A5804" w:rsidRDefault="007B7723">
            <w:pPr>
              <w:pStyle w:val="P68B1DB1-TableParagraph14"/>
              <w:spacing w:before="108"/>
              <w:ind w:left="85"/>
              <w:jc w:val="both"/>
              <w:rPr>
                <w:bCs/>
              </w:rPr>
            </w:pPr>
            <w:r>
              <w:t xml:space="preserve">Relevantnosť — </w:t>
            </w:r>
          </w:p>
          <w:p w14:paraId="7FE1BA54" w14:textId="77777777" w:rsidR="007A5804" w:rsidRDefault="007B7723">
            <w:pPr>
              <w:pStyle w:val="P68B1DB1-TableParagraph33"/>
              <w:spacing w:before="108"/>
              <w:ind w:left="85"/>
              <w:jc w:val="both"/>
            </w:pPr>
            <w:r>
              <w:t>Na miestnej, regionálnej, vnútroštátnej alebo európskej úrovni, podľa vhodnosti pre príslušný trh. Význam inštitúcie sa môže posúdiť na základe trhového podielu, prepojenosti, zložitosti alebo cezhraničných činností;</w:t>
            </w:r>
          </w:p>
          <w:p w14:paraId="7FE1BA55" w14:textId="77777777" w:rsidR="007A5804" w:rsidRDefault="007B7723">
            <w:pPr>
              <w:pStyle w:val="P68B1DB1-TableParagraph14"/>
              <w:spacing w:before="108"/>
              <w:ind w:left="85"/>
              <w:jc w:val="both"/>
              <w:rPr>
                <w:bCs/>
              </w:rPr>
            </w:pPr>
            <w:r>
              <w:t>Podiel na trhu</w:t>
            </w:r>
          </w:p>
          <w:p w14:paraId="7FE1BA56" w14:textId="77777777" w:rsidR="007A5804" w:rsidRDefault="007B7723">
            <w:pPr>
              <w:pStyle w:val="P68B1DB1-Normal31"/>
              <w:spacing w:line="276" w:lineRule="auto"/>
              <w:jc w:val="both"/>
            </w:pPr>
            <w:r>
              <w:t xml:space="preserve">Posúdiť význam podielu vykazujúceho subjektu na trhu v porovnaní s vnútroštátnym alebo iným relevantným trhom, ako sa uvádza vo vzore. Toto posúdenie je vyjadrené kvalitatívne ako </w:t>
            </w:r>
          </w:p>
          <w:p w14:paraId="7FE1BA57" w14:textId="4FBBC6A6" w:rsidR="007A5804" w:rsidRDefault="007B7723">
            <w:pPr>
              <w:pStyle w:val="P68B1DB1-ListParagraph32"/>
              <w:numPr>
                <w:ilvl w:val="0"/>
                <w:numId w:val="276"/>
              </w:numPr>
              <w:spacing w:line="276" w:lineRule="auto"/>
              <w:jc w:val="both"/>
            </w:pPr>
            <w:r>
              <w:t>Vysoký, ak je podiel na trhu veľký</w:t>
            </w:r>
          </w:p>
          <w:p w14:paraId="7FE1BA58" w14:textId="71C0B34E" w:rsidR="007A5804" w:rsidRDefault="007B7723">
            <w:pPr>
              <w:pStyle w:val="P68B1DB1-ListParagraph32"/>
              <w:numPr>
                <w:ilvl w:val="0"/>
                <w:numId w:val="276"/>
              </w:numPr>
              <w:spacing w:line="276" w:lineRule="auto"/>
              <w:jc w:val="both"/>
            </w:pPr>
            <w:r>
              <w:t>Stredná – vysoká, ak je podiel na trhu stredný</w:t>
            </w:r>
          </w:p>
          <w:p w14:paraId="7FE1BA59" w14:textId="08ABB1D9" w:rsidR="007A5804" w:rsidRDefault="007B7723">
            <w:pPr>
              <w:pStyle w:val="P68B1DB1-ListParagraph32"/>
              <w:numPr>
                <w:ilvl w:val="0"/>
                <w:numId w:val="276"/>
              </w:numPr>
              <w:spacing w:line="276" w:lineRule="auto"/>
              <w:jc w:val="both"/>
            </w:pPr>
            <w:r>
              <w:t xml:space="preserve">Stredne nízky, ak je podiel na trhu malý alebo </w:t>
            </w:r>
          </w:p>
          <w:p w14:paraId="7FE1BA5A" w14:textId="3DD284B5" w:rsidR="007A5804" w:rsidRDefault="007B7723">
            <w:pPr>
              <w:pStyle w:val="P68B1DB1-ListParagraph32"/>
              <w:numPr>
                <w:ilvl w:val="0"/>
                <w:numId w:val="276"/>
              </w:numPr>
              <w:spacing w:line="276" w:lineRule="auto"/>
              <w:jc w:val="both"/>
            </w:pPr>
            <w:r>
              <w:t xml:space="preserve">Nízky, ak je podiel na trhu zanedbateľný. </w:t>
            </w:r>
          </w:p>
          <w:p w14:paraId="7FE1BA5B" w14:textId="77777777" w:rsidR="007A5804" w:rsidRDefault="007B7723">
            <w:pPr>
              <w:pStyle w:val="P68B1DB1-Normal31"/>
              <w:spacing w:line="276" w:lineRule="auto"/>
              <w:jc w:val="both"/>
            </w:pPr>
            <w:r>
              <w:t xml:space="preserve">V tomto posúdení sa zohľadňuje trhová štruktúra krajiny vykazujúceho subjektu (alebo iného relevantného trhu) a podiely na trhu vykázané čiastočne. </w:t>
            </w:r>
          </w:p>
          <w:p w14:paraId="7FE1BA5C" w14:textId="77777777" w:rsidR="007A5804" w:rsidRDefault="007B7723">
            <w:pPr>
              <w:pStyle w:val="P68B1DB1-Normal31"/>
              <w:spacing w:line="276" w:lineRule="auto"/>
              <w:jc w:val="both"/>
            </w:pPr>
            <w:r>
              <w:t>2.Kvantitatívne údaje:</w:t>
            </w:r>
          </w:p>
          <w:p w14:paraId="7FE1BA5D" w14:textId="77777777" w:rsidR="007A5804" w:rsidRDefault="007B7723">
            <w:pPr>
              <w:pStyle w:val="P68B1DB1-ListParagraph32"/>
              <w:numPr>
                <w:ilvl w:val="0"/>
                <w:numId w:val="117"/>
              </w:numPr>
              <w:spacing w:line="276" w:lineRule="auto"/>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A5E" w14:textId="77777777" w:rsidR="007A5804" w:rsidRDefault="007A5804">
            <w:pPr>
              <w:spacing w:line="276" w:lineRule="auto"/>
              <w:jc w:val="both"/>
              <w:rPr>
                <w:rFonts w:ascii="Times New Roman" w:eastAsia="Times New Roman" w:hAnsi="Times New Roman" w:cs="Times New Roman"/>
                <w:sz w:val="20"/>
                <w:szCs w:val="20"/>
              </w:rPr>
            </w:pPr>
          </w:p>
          <w:p w14:paraId="7FE1BA5F" w14:textId="77777777" w:rsidR="007A5804" w:rsidRDefault="007A5804">
            <w:pPr>
              <w:pStyle w:val="TableParagraph"/>
              <w:spacing w:before="108"/>
              <w:ind w:left="85"/>
              <w:jc w:val="both"/>
              <w:rPr>
                <w:rFonts w:ascii="Times New Roman" w:hAnsi="Times New Roman" w:cs="Times New Roman"/>
                <w:b/>
                <w:bCs/>
                <w:color w:val="000000" w:themeColor="text1"/>
                <w:sz w:val="20"/>
                <w:szCs w:val="20"/>
              </w:rPr>
            </w:pPr>
          </w:p>
        </w:tc>
      </w:tr>
      <w:tr w:rsidR="007A5804"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7A5804" w:rsidRDefault="007B7723">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7A5804" w:rsidRDefault="007B7723">
            <w:pPr>
              <w:pStyle w:val="P68B1DB1-TableParagraph14"/>
              <w:spacing w:before="108"/>
              <w:ind w:left="85"/>
              <w:jc w:val="both"/>
              <w:rPr>
                <w:bCs/>
              </w:rPr>
            </w:pPr>
            <w:r>
              <w:t>Štruktúra trhu – koncentrácia trhu</w:t>
            </w:r>
          </w:p>
          <w:p w14:paraId="7FE1BA63" w14:textId="77777777" w:rsidR="007A5804" w:rsidRDefault="007B7723">
            <w:pPr>
              <w:pStyle w:val="P68B1DB1-Normal31"/>
              <w:jc w:val="both"/>
            </w:pPr>
            <w:r>
              <w:t xml:space="preserve">Koncentrácia trhu meraná počtom konkurentov, ktorí v súčasnosti vykonávajú svoju činnosť </w:t>
            </w:r>
          </w:p>
          <w:p w14:paraId="7FE1BA64" w14:textId="77777777" w:rsidR="007A5804" w:rsidRDefault="007B7723">
            <w:pPr>
              <w:pStyle w:val="P68B1DB1-Normal31"/>
              <w:jc w:val="both"/>
            </w:pPr>
            <w:r>
              <w:t xml:space="preserve">podobné hospodárske funkcie a/alebo ponúkajúce podobné služby za rovnakých podmienok (t. j. pre </w:t>
            </w:r>
          </w:p>
          <w:p w14:paraId="7FE1BA65" w14:textId="77777777" w:rsidR="007A5804" w:rsidRDefault="007B7723">
            <w:pPr>
              <w:pStyle w:val="P68B1DB1-Normal31"/>
              <w:jc w:val="both"/>
            </w:pPr>
            <w:r>
              <w:t xml:space="preserve">porovnateľný rozsah a kvalita a za porovnateľné náklady), ktoré potenciálne prevezmú </w:t>
            </w:r>
          </w:p>
          <w:p w14:paraId="7FE1BA66" w14:textId="77777777" w:rsidR="007A5804" w:rsidRDefault="007B7723">
            <w:pPr>
              <w:pStyle w:val="P68B1DB1-Normal31"/>
              <w:jc w:val="both"/>
            </w:pPr>
            <w:r>
              <w:t xml:space="preserve">(časť) klientov a/alebo obchodnej činnosti vykazujúceho subjektu v primeranom časovom rámci. </w:t>
            </w:r>
          </w:p>
          <w:p w14:paraId="7FE1BA67" w14:textId="77777777" w:rsidR="007A5804" w:rsidRDefault="007B7723">
            <w:pPr>
              <w:pStyle w:val="P68B1DB1-Normal31"/>
              <w:jc w:val="both"/>
            </w:pPr>
            <w:r>
              <w:t xml:space="preserve">Vykazuje sa v skupinách, ktoré sú rovnaké pre každú čiastkovú funkciu. </w:t>
            </w:r>
          </w:p>
          <w:p w14:paraId="7FE1BA68" w14:textId="5B483BC6" w:rsidR="007A5804" w:rsidRDefault="007B7723">
            <w:pPr>
              <w:pStyle w:val="P68B1DB1-ListParagraph32"/>
              <w:numPr>
                <w:ilvl w:val="0"/>
                <w:numId w:val="277"/>
              </w:numPr>
              <w:jc w:val="both"/>
            </w:pPr>
            <w:bookmarkStart w:id="113" w:name="_Hlk194417513"/>
            <w:r>
              <w:t xml:space="preserve">&gt; 20 konkurentov; </w:t>
            </w:r>
          </w:p>
          <w:p w14:paraId="7FE1BA69" w14:textId="7D2A0C84" w:rsidR="007A5804" w:rsidRDefault="007B7723">
            <w:pPr>
              <w:pStyle w:val="P68B1DB1-ListParagraph32"/>
              <w:numPr>
                <w:ilvl w:val="0"/>
                <w:numId w:val="277"/>
              </w:numPr>
              <w:jc w:val="both"/>
            </w:pPr>
            <w:r>
              <w:t xml:space="preserve">11 – 20 konkurentov, </w:t>
            </w:r>
          </w:p>
          <w:p w14:paraId="7FE1BA6A" w14:textId="5EF3634F" w:rsidR="007A5804" w:rsidRDefault="007B7723">
            <w:pPr>
              <w:pStyle w:val="P68B1DB1-ListParagraph32"/>
              <w:numPr>
                <w:ilvl w:val="0"/>
                <w:numId w:val="277"/>
              </w:numPr>
              <w:jc w:val="both"/>
            </w:pPr>
            <w:r>
              <w:t xml:space="preserve">5 – 10 konkurentov, </w:t>
            </w:r>
          </w:p>
          <w:p w14:paraId="7FE1BA6B" w14:textId="3A6E6804" w:rsidR="007A5804" w:rsidRDefault="007B7723">
            <w:pPr>
              <w:pStyle w:val="P68B1DB1-ListParagraph32"/>
              <w:numPr>
                <w:ilvl w:val="0"/>
                <w:numId w:val="277"/>
              </w:numPr>
              <w:jc w:val="both"/>
              <w:rPr>
                <w:b/>
                <w:bCs/>
                <w:color w:val="000000" w:themeColor="text1"/>
              </w:rPr>
            </w:pPr>
            <w:r>
              <w:t>&amp;5</w:t>
            </w:r>
            <w:bookmarkEnd w:id="113"/>
            <w:r>
              <w:t xml:space="preserve"> konkurentov</w:t>
            </w:r>
          </w:p>
          <w:p w14:paraId="7FE1BA6C" w14:textId="77777777" w:rsidR="007A5804" w:rsidRDefault="007B7723">
            <w:pPr>
              <w:pStyle w:val="P68B1DB1-Normal34"/>
              <w:ind w:left="360"/>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A6D" w14:textId="77777777" w:rsidR="007A5804" w:rsidRDefault="007A5804">
            <w:pPr>
              <w:jc w:val="both"/>
              <w:rPr>
                <w:rFonts w:ascii="Times New Roman" w:hAnsi="Times New Roman"/>
                <w:b/>
                <w:bCs/>
                <w:color w:val="000000" w:themeColor="text1"/>
                <w:sz w:val="20"/>
                <w:szCs w:val="20"/>
              </w:rPr>
            </w:pPr>
          </w:p>
        </w:tc>
      </w:tr>
      <w:tr w:rsidR="007A5804"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7A5804" w:rsidRDefault="007B7723">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7A5804" w:rsidRDefault="007B7723">
            <w:pPr>
              <w:pStyle w:val="P68B1DB1-TableParagraph14"/>
              <w:spacing w:before="108"/>
              <w:ind w:left="85"/>
              <w:jc w:val="both"/>
              <w:rPr>
                <w:bCs/>
              </w:rPr>
            </w:pPr>
            <w:r>
              <w:t>Načasovanie – očakávaný čas substitúcie</w:t>
            </w:r>
          </w:p>
          <w:p w14:paraId="7FE1BA71" w14:textId="77777777" w:rsidR="007A5804" w:rsidRDefault="007B7723">
            <w:pPr>
              <w:pStyle w:val="P68B1DB1-Normal31"/>
              <w:jc w:val="both"/>
            </w:pPr>
            <w:r>
              <w:t>Odhadnúť čas potrebný na ekonomickú funkciu, ktorú poskytuje podávanie správ</w:t>
            </w:r>
          </w:p>
          <w:p w14:paraId="7FE1BA72" w14:textId="77777777" w:rsidR="007A5804" w:rsidRDefault="007B7723">
            <w:pPr>
              <w:pStyle w:val="P68B1DB1-Normal31"/>
              <w:jc w:val="both"/>
            </w:pPr>
            <w:r>
              <w:t xml:space="preserve">subjekt, ktorý má trh v krízovej situácii absorbovať. Súčasťou tejto podpory je: </w:t>
            </w:r>
          </w:p>
          <w:p w14:paraId="7FE1BA73" w14:textId="77777777" w:rsidR="007A5804" w:rsidRDefault="007B7723">
            <w:pPr>
              <w:pStyle w:val="P68B1DB1-ListParagraph32"/>
              <w:numPr>
                <w:ilvl w:val="0"/>
                <w:numId w:val="274"/>
              </w:numPr>
              <w:jc w:val="both"/>
            </w:pPr>
            <w:r>
              <w:t xml:space="preserve">očakávaný čas, ktorý jeden alebo viacerí konkurenti potrebujú na uskutočnenie právnych a technických krokov na prevzatie funkcie; ako aj  </w:t>
            </w:r>
          </w:p>
          <w:p w14:paraId="7FE1BA74" w14:textId="77777777" w:rsidR="007A5804" w:rsidRDefault="007B7723">
            <w:pPr>
              <w:pStyle w:val="P68B1DB1-ListParagraph32"/>
              <w:numPr>
                <w:ilvl w:val="0"/>
                <w:numId w:val="274"/>
              </w:numPr>
              <w:jc w:val="both"/>
            </w:pPr>
            <w:r>
              <w:t xml:space="preserve">čas, ktorý používatelia služby potrebujú na presťahovanie sa k inému poskytovateľovi služieb. </w:t>
            </w:r>
          </w:p>
          <w:p w14:paraId="7FE1BA75" w14:textId="77777777" w:rsidR="007A5804" w:rsidRDefault="007A5804">
            <w:pPr>
              <w:jc w:val="both"/>
              <w:rPr>
                <w:rFonts w:ascii="Times New Roman" w:eastAsia="Times New Roman" w:hAnsi="Times New Roman" w:cs="Times New Roman"/>
                <w:sz w:val="20"/>
                <w:szCs w:val="20"/>
              </w:rPr>
            </w:pPr>
          </w:p>
          <w:p w14:paraId="7FE1BA76" w14:textId="77777777" w:rsidR="007A5804" w:rsidRDefault="007B7723">
            <w:pPr>
              <w:pStyle w:val="P68B1DB1-Normal31"/>
              <w:jc w:val="both"/>
            </w:pPr>
            <w:r>
              <w:lastRenderedPageBreak/>
              <w:t xml:space="preserve">V prípade vkladov sa týka najmä finančnej, prevádzkovej a technickej kapacity alternatívnych poskytovateľov ponúkať služby prijímania vkladov klientom oznamujúcej banky, a nie prevodu vkladov na iného poskytovateľa v dôsledku konania orgánu alebo prijatia náhrady zo systému ochrany vkladov. </w:t>
            </w:r>
          </w:p>
          <w:p w14:paraId="7FE1BA77" w14:textId="77777777" w:rsidR="007A5804" w:rsidRDefault="007A5804">
            <w:pPr>
              <w:jc w:val="both"/>
              <w:rPr>
                <w:rFonts w:ascii="Times New Roman" w:eastAsia="Times New Roman" w:hAnsi="Times New Roman" w:cs="Times New Roman"/>
                <w:sz w:val="20"/>
                <w:szCs w:val="20"/>
              </w:rPr>
            </w:pPr>
          </w:p>
          <w:p w14:paraId="7FE1BA78" w14:textId="77777777" w:rsidR="007A5804" w:rsidRDefault="007B7723">
            <w:pPr>
              <w:pStyle w:val="P68B1DB1-Normal31"/>
              <w:jc w:val="both"/>
            </w:pPr>
            <w:r>
              <w:t>Ako zástupný ukazovateľ pre služby poskytované inou inštitúciou uveďte odhad času, počas ktorého by vykazujúci subjekt v krízovej situácii za primerané náklady absorboval vo svojej vlastnej obchodnej činnosti (časť) služby, ktorú poskytuje iná inštitúcia. Uveďte odhadovaný čas substitúcie v skupinách uvedených vo vzore:</w:t>
            </w:r>
          </w:p>
          <w:p w14:paraId="7FE1BA79" w14:textId="77777777" w:rsidR="007A5804" w:rsidRDefault="007A5804">
            <w:pPr>
              <w:jc w:val="both"/>
              <w:rPr>
                <w:rFonts w:ascii="Times New Roman" w:hAnsi="Times New Roman" w:cs="Times New Roman"/>
                <w:color w:val="000000" w:themeColor="text1"/>
                <w:sz w:val="20"/>
                <w:szCs w:val="20"/>
              </w:rPr>
            </w:pPr>
          </w:p>
          <w:p w14:paraId="7FE1BA7A" w14:textId="77777777" w:rsidR="007A5804" w:rsidRDefault="007B7723">
            <w:pPr>
              <w:pStyle w:val="P68B1DB1-Normal31"/>
              <w:jc w:val="both"/>
            </w:pPr>
            <w:bookmarkStart w:id="114" w:name="_Hlk194476514"/>
            <w:r>
              <w:t xml:space="preserve">Skupiny: </w:t>
            </w:r>
          </w:p>
          <w:p w14:paraId="7FE1BA7B" w14:textId="013EC0AB" w:rsidR="007A5804" w:rsidRDefault="007B7723">
            <w:pPr>
              <w:pStyle w:val="P68B1DB1-ListParagraph32"/>
              <w:numPr>
                <w:ilvl w:val="0"/>
                <w:numId w:val="280"/>
              </w:numPr>
              <w:jc w:val="both"/>
            </w:pPr>
            <w:r>
              <w:t xml:space="preserve">&amp; 1 týždeň; </w:t>
            </w:r>
          </w:p>
          <w:p w14:paraId="7FE1BA7C" w14:textId="6818EF73" w:rsidR="007A5804" w:rsidRDefault="007B7723">
            <w:pPr>
              <w:pStyle w:val="P68B1DB1-ListParagraph32"/>
              <w:numPr>
                <w:ilvl w:val="0"/>
                <w:numId w:val="280"/>
              </w:numPr>
              <w:jc w:val="both"/>
            </w:pPr>
            <w:r>
              <w:t xml:space="preserve">1 týždeň – 1 mesiac; </w:t>
            </w:r>
          </w:p>
          <w:p w14:paraId="7FE1BA7D" w14:textId="05597976" w:rsidR="007A5804" w:rsidRDefault="007B7723">
            <w:pPr>
              <w:pStyle w:val="P68B1DB1-ListParagraph32"/>
              <w:numPr>
                <w:ilvl w:val="0"/>
                <w:numId w:val="280"/>
              </w:numPr>
              <w:jc w:val="both"/>
            </w:pPr>
            <w:r>
              <w:t xml:space="preserve">&gt; 1 mesiac – 6 mesiacov, </w:t>
            </w:r>
          </w:p>
          <w:p w14:paraId="7FE1BA7E" w14:textId="0D41F489" w:rsidR="007A5804" w:rsidRDefault="007B7723">
            <w:pPr>
              <w:pStyle w:val="P68B1DB1-ListParagraph32"/>
              <w:numPr>
                <w:ilvl w:val="0"/>
                <w:numId w:val="280"/>
              </w:numPr>
              <w:jc w:val="both"/>
            </w:pPr>
            <w:r>
              <w:t xml:space="preserve">&gt; 6 mesiacov  </w:t>
            </w:r>
          </w:p>
          <w:bookmarkEnd w:id="114"/>
          <w:p w14:paraId="7FE1BA7F" w14:textId="77777777" w:rsidR="007A5804" w:rsidRDefault="007A5804">
            <w:pPr>
              <w:jc w:val="both"/>
              <w:rPr>
                <w:rFonts w:ascii="Times New Roman" w:eastAsia="Times New Roman" w:hAnsi="Times New Roman" w:cs="Times New Roman"/>
                <w:sz w:val="20"/>
                <w:szCs w:val="20"/>
              </w:rPr>
            </w:pPr>
          </w:p>
          <w:p w14:paraId="7FE1BA80" w14:textId="77777777" w:rsidR="007A5804" w:rsidRDefault="007A5804">
            <w:pPr>
              <w:jc w:val="both"/>
              <w:rPr>
                <w:rFonts w:ascii="Times New Roman" w:hAnsi="Times New Roman" w:cs="Times New Roman"/>
                <w:color w:val="000000" w:themeColor="text1"/>
                <w:sz w:val="20"/>
                <w:szCs w:val="20"/>
              </w:rPr>
            </w:pPr>
          </w:p>
        </w:tc>
      </w:tr>
      <w:tr w:rsidR="007A5804"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7A5804" w:rsidRDefault="007B7723">
            <w:pPr>
              <w:pStyle w:val="P68B1DB1-TableParagraph17"/>
              <w:spacing w:before="108"/>
              <w:jc w:val="both"/>
            </w:pPr>
            <w:r>
              <w:lastRenderedPageBreak/>
              <w:t>0130 – 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7A5804" w:rsidRDefault="007B7723">
            <w:pPr>
              <w:pStyle w:val="P68B1DB1-TableParagraph14"/>
              <w:spacing w:before="108"/>
              <w:ind w:left="85"/>
              <w:jc w:val="both"/>
              <w:rPr>
                <w:bCs/>
              </w:rPr>
            </w:pPr>
            <w:r>
              <w:t>Schopnosť substitúcie</w:t>
            </w:r>
          </w:p>
        </w:tc>
      </w:tr>
      <w:tr w:rsidR="007A5804"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7A5804" w:rsidRDefault="007B7723">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7A5804" w:rsidRDefault="007B7723">
            <w:pPr>
              <w:pStyle w:val="P68B1DB1-Normal35"/>
              <w:jc w:val="both"/>
              <w:rPr>
                <w:bCs/>
              </w:rPr>
            </w:pPr>
            <w:r>
              <w:t>Právne prekážky vstupu na trh alebo expanzie</w:t>
            </w:r>
          </w:p>
          <w:p w14:paraId="7FE1BA87" w14:textId="77777777" w:rsidR="007A5804" w:rsidRDefault="007A5804">
            <w:pPr>
              <w:jc w:val="both"/>
              <w:rPr>
                <w:rFonts w:ascii="Times New Roman" w:eastAsia="Times New Roman" w:hAnsi="Times New Roman" w:cs="Times New Roman"/>
                <w:b/>
                <w:bCs/>
                <w:color w:val="000000" w:themeColor="text1"/>
                <w:sz w:val="20"/>
                <w:szCs w:val="20"/>
              </w:rPr>
            </w:pPr>
          </w:p>
          <w:p w14:paraId="7FE1BA88" w14:textId="77777777" w:rsidR="007A5804" w:rsidRDefault="007B7723">
            <w:pPr>
              <w:pStyle w:val="P68B1DB1-Normal36"/>
              <w:jc w:val="both"/>
            </w:pPr>
            <w:r>
              <w:t xml:space="preserve">Právne prekážky pre konkurentov pri ponúkaní služby. Právne požiadavky na vykonávanie činnosti úverových inštitúcií (napr. bankové licencie alebo kapitálové požiadavky) sa nepovažujú za neprekonateľné prekážky v prítomnosti alternatívnych poskytovateľov. Tento ukazovateľ sa musí vykazovať v skupinách, ktoré sú rovnaké pre každú čiastkovú funkciu: </w:t>
            </w:r>
          </w:p>
          <w:p w14:paraId="7FE1BA89" w14:textId="4702A48A" w:rsidR="007A5804" w:rsidRDefault="007B7723">
            <w:pPr>
              <w:pStyle w:val="P68B1DB1-ListParagraph37"/>
              <w:numPr>
                <w:ilvl w:val="0"/>
                <w:numId w:val="275"/>
              </w:numPr>
              <w:jc w:val="both"/>
            </w:pPr>
            <w:r>
              <w:t xml:space="preserve">žiadne významné prekážky, </w:t>
            </w:r>
          </w:p>
          <w:p w14:paraId="7FE1BA8A" w14:textId="10C89312" w:rsidR="007A5804" w:rsidRDefault="007B7723">
            <w:pPr>
              <w:pStyle w:val="P68B1DB1-ListParagraph37"/>
              <w:numPr>
                <w:ilvl w:val="0"/>
                <w:numId w:val="275"/>
              </w:numPr>
              <w:jc w:val="both"/>
            </w:pPr>
            <w:r>
              <w:t xml:space="preserve">niektoré prekážky, </w:t>
            </w:r>
          </w:p>
          <w:p w14:paraId="7FE1BA8B" w14:textId="4451FB21" w:rsidR="007A5804" w:rsidRDefault="007B7723">
            <w:pPr>
              <w:pStyle w:val="P68B1DB1-ListParagraph37"/>
              <w:numPr>
                <w:ilvl w:val="0"/>
                <w:numId w:val="275"/>
              </w:numPr>
              <w:jc w:val="both"/>
            </w:pPr>
            <w:r>
              <w:t xml:space="preserve">podstatné (ale prekonateľné) bariéry, </w:t>
            </w:r>
          </w:p>
          <w:p w14:paraId="7FE1BA8D" w14:textId="48C5B820" w:rsidR="007A5804" w:rsidRDefault="007B7723">
            <w:pPr>
              <w:pStyle w:val="P68B1DB1-ListParagraph37"/>
              <w:numPr>
                <w:ilvl w:val="0"/>
                <w:numId w:val="275"/>
              </w:numPr>
              <w:jc w:val="both"/>
              <w:rPr>
                <w:b/>
                <w:bCs/>
              </w:rPr>
            </w:pPr>
            <w:r>
              <w:t>kritické (ťažko náročné) bariéry.</w:t>
            </w:r>
          </w:p>
        </w:tc>
      </w:tr>
      <w:tr w:rsidR="007A5804"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7A5804" w:rsidRDefault="007B7723">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7A5804" w:rsidRDefault="007B7723">
            <w:pPr>
              <w:pStyle w:val="P68B1DB1-Normal35"/>
              <w:jc w:val="both"/>
              <w:rPr>
                <w:bCs/>
              </w:rPr>
            </w:pPr>
            <w:r>
              <w:t>Prevádzkové požiadavky na vstup alebo rozšírenie</w:t>
            </w:r>
          </w:p>
          <w:p w14:paraId="7FE1BA91" w14:textId="77777777" w:rsidR="007A5804" w:rsidRDefault="007A5804">
            <w:pPr>
              <w:jc w:val="both"/>
              <w:rPr>
                <w:rFonts w:ascii="Times New Roman" w:eastAsia="Times New Roman" w:hAnsi="Times New Roman" w:cs="Times New Roman"/>
                <w:b/>
                <w:bCs/>
                <w:color w:val="000000" w:themeColor="text1"/>
                <w:sz w:val="20"/>
                <w:szCs w:val="20"/>
              </w:rPr>
            </w:pPr>
          </w:p>
          <w:p w14:paraId="7FE1BA92" w14:textId="77777777" w:rsidR="007A5804" w:rsidRDefault="007B7723">
            <w:pPr>
              <w:pStyle w:val="P68B1DB1-Normal36"/>
              <w:jc w:val="both"/>
            </w:pPr>
            <w:r>
              <w:t xml:space="preserve">Organizačné, technické a infraštruktúrne požiadavky pre konkurentov pri ponúkaní služby. Ponuka služieb súvisiacich s (pod)funkciou si vyžaduje, aby poskytovatelia investovali do (novej alebo dodatočnej) infraštruktúry alebo aby zmenili svoje organizácie. Posúdiť schopnosť trhu absorbovať dané podnikanie, napríklad z hľadiska kapitálových požiadaviek. V prípade poskytovania úverov zohľadnite súvisiace rizikovo vážené aktíva (vykazované v otázke č. 17). </w:t>
            </w:r>
          </w:p>
          <w:p w14:paraId="7FE1BA93" w14:textId="77777777" w:rsidR="007A5804" w:rsidRDefault="007B7723">
            <w:pPr>
              <w:pStyle w:val="P68B1DB1-Normal36"/>
              <w:jc w:val="both"/>
            </w:pPr>
            <w:r>
              <w:t xml:space="preserve">Tento ukazovateľ sa musí vykazovať v skupinách, ktoré sú rovnaké pre každú čiastkovú funkciu: </w:t>
            </w:r>
          </w:p>
          <w:p w14:paraId="7FE1BA94" w14:textId="2E9A8492" w:rsidR="007A5804" w:rsidRDefault="007B7723">
            <w:pPr>
              <w:pStyle w:val="P68B1DB1-ListParagraph37"/>
              <w:numPr>
                <w:ilvl w:val="0"/>
                <w:numId w:val="278"/>
              </w:numPr>
              <w:jc w:val="both"/>
            </w:pPr>
            <w:r>
              <w:t xml:space="preserve">bez väčších požiadaviek, </w:t>
            </w:r>
          </w:p>
          <w:p w14:paraId="7FE1BA95" w14:textId="2C17AA9E" w:rsidR="007A5804" w:rsidRDefault="007B7723">
            <w:pPr>
              <w:pStyle w:val="P68B1DB1-ListParagraph37"/>
              <w:numPr>
                <w:ilvl w:val="0"/>
                <w:numId w:val="278"/>
              </w:numPr>
              <w:jc w:val="both"/>
            </w:pPr>
            <w:r>
              <w:t xml:space="preserve">niektoré požiadavky, </w:t>
            </w:r>
          </w:p>
          <w:p w14:paraId="7FE1BA96" w14:textId="3197B4B5" w:rsidR="007A5804" w:rsidRDefault="007B7723">
            <w:pPr>
              <w:pStyle w:val="P68B1DB1-ListParagraph37"/>
              <w:numPr>
                <w:ilvl w:val="0"/>
                <w:numId w:val="278"/>
              </w:numPr>
              <w:jc w:val="both"/>
            </w:pPr>
            <w:r>
              <w:t xml:space="preserve">podstatné (ale prekonateľné) požiadavky, </w:t>
            </w:r>
          </w:p>
          <w:p w14:paraId="7FE1BA97" w14:textId="64928FFB" w:rsidR="007A5804" w:rsidRDefault="007B7723">
            <w:pPr>
              <w:pStyle w:val="P68B1DB1-ListParagraph37"/>
              <w:numPr>
                <w:ilvl w:val="0"/>
                <w:numId w:val="278"/>
              </w:numPr>
              <w:jc w:val="both"/>
            </w:pPr>
            <w:r>
              <w:t>kritické požiadavky (ťažko náročné z hľadiska presakovania).</w:t>
            </w:r>
          </w:p>
          <w:p w14:paraId="7FE1BA9D" w14:textId="77777777" w:rsidR="007A5804" w:rsidRDefault="007A5804">
            <w:pPr>
              <w:pStyle w:val="ListParagraph"/>
              <w:jc w:val="both"/>
              <w:rPr>
                <w:rFonts w:ascii="Times New Roman" w:hAnsi="Times New Roman"/>
                <w:b/>
                <w:bCs/>
                <w:color w:val="000000" w:themeColor="text1"/>
                <w:sz w:val="20"/>
                <w:szCs w:val="20"/>
              </w:rPr>
            </w:pPr>
          </w:p>
        </w:tc>
      </w:tr>
      <w:tr w:rsidR="007A5804"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7A5804" w:rsidRDefault="007B7723">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7A5804" w:rsidRDefault="007B7723">
            <w:pPr>
              <w:pStyle w:val="P68B1DB1-TableParagraph14"/>
              <w:spacing w:before="108"/>
              <w:jc w:val="both"/>
              <w:rPr>
                <w:bCs/>
              </w:rPr>
            </w:pPr>
            <w:r>
              <w:t>Kapacita nástupu – počet žiadostí od nových zákazníkov za 1 pracovný deň (počet účtov)</w:t>
            </w:r>
          </w:p>
          <w:p w14:paraId="7FE1BAA4" w14:textId="404DC9AB" w:rsidR="007A5804" w:rsidRDefault="007B7723">
            <w:pPr>
              <w:pStyle w:val="P68B1DB1-TableParagraph13"/>
              <w:spacing w:before="108"/>
              <w:jc w:val="both"/>
            </w:pPr>
            <w:r>
              <w:t>Od inštitúcií sa vyžaduje, aby poskytli najvyšší počet žiadostí, ak inštitúcia potvrdila žiadosť o bankovú službu.</w:t>
            </w:r>
          </w:p>
          <w:p w14:paraId="1312271B" w14:textId="5ECEF0C0" w:rsidR="007A5804" w:rsidRDefault="007B7723">
            <w:pPr>
              <w:pStyle w:val="P68B1DB1-TableParagraph13"/>
              <w:spacing w:before="108"/>
              <w:jc w:val="both"/>
            </w:pPr>
            <w:r>
              <w:t>Kapacita nástupníctva z hľadiska počtu nových účtov je vyjadrená za jeden pracovný deň.</w:t>
            </w:r>
          </w:p>
          <w:p w14:paraId="7FE1BAA8" w14:textId="06166E4A" w:rsidR="007A5804" w:rsidRDefault="007B7723">
            <w:pPr>
              <w:pStyle w:val="P68B1DB1-TableParagraph13"/>
              <w:spacing w:before="108"/>
              <w:jc w:val="both"/>
              <w:rPr>
                <w:b/>
                <w:bCs/>
              </w:rPr>
            </w:pPr>
            <w:r>
              <w:t>Očakáva sa, že inštitúcie zohľadnia časový rámec pre uzatváranie zmluvných vzťahov s novými klientmi, keďže nový klient požiadal o bankovú službu.</w:t>
            </w:r>
          </w:p>
        </w:tc>
      </w:tr>
      <w:tr w:rsidR="007A5804"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7A5804" w:rsidRDefault="007B7723">
            <w:pPr>
              <w:pStyle w:val="P68B1DB1-TableParagraph17"/>
              <w:spacing w:before="108"/>
              <w:jc w:val="both"/>
            </w:pPr>
            <w:r>
              <w:t>0150 – 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7A5804" w:rsidRDefault="007B7723">
            <w:pPr>
              <w:pStyle w:val="P68B1DB1-TableParagraph14"/>
              <w:spacing w:before="108"/>
              <w:jc w:val="both"/>
              <w:rPr>
                <w:bCs/>
              </w:rPr>
            </w:pPr>
            <w:r>
              <w:t>Posúdenie kritickosti</w:t>
            </w:r>
          </w:p>
        </w:tc>
      </w:tr>
      <w:tr w:rsidR="007A5804"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7A5804" w:rsidRDefault="007B7723">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7A5804" w:rsidRDefault="007B7723">
            <w:pPr>
              <w:pStyle w:val="P68B1DB1-TableParagraph14"/>
              <w:spacing w:before="108"/>
              <w:jc w:val="both"/>
              <w:rPr>
                <w:bCs/>
              </w:rPr>
            </w:pPr>
            <w:r>
              <w:t xml:space="preserve">Vplyv na trh </w:t>
            </w:r>
          </w:p>
          <w:p w14:paraId="7FE1BAAF" w14:textId="77777777" w:rsidR="007A5804" w:rsidRDefault="007B7723">
            <w:pPr>
              <w:pStyle w:val="P68B1DB1-TableParagraph13"/>
              <w:spacing w:before="108"/>
              <w:jc w:val="both"/>
            </w:pPr>
            <w:r>
              <w:lastRenderedPageBreak/>
              <w:t>Odhadovaný vplyv náhleho prerušenia funkcie na tretie strany, finančné trhy a reálnu ekonomiku so zreteľom na veľkosť, podiel na trhu v danom štáte, vonkajšiu a vnútornú prepojenosť, zložitosť a cezhraničné činnosti inštitúcie.</w:t>
            </w:r>
          </w:p>
          <w:p w14:paraId="7FE1BAB0" w14:textId="765F6584" w:rsidR="007A5804" w:rsidRDefault="007B7723">
            <w:pPr>
              <w:pStyle w:val="P68B1DB1-TableParagraph13"/>
              <w:spacing w:before="108"/>
              <w:jc w:val="both"/>
            </w:pPr>
            <w:r>
              <w:t>Toto posúdenie je kvalitatívne vyjadrené ako „vysoké“, „stredne vysoké“, „stredne nízke“ alebo „nízke“.</w:t>
            </w:r>
          </w:p>
          <w:p w14:paraId="7FE1BAB1" w14:textId="14727254" w:rsidR="007A5804" w:rsidRDefault="007B7723">
            <w:pPr>
              <w:pStyle w:val="P68B1DB1-TableParagraph13"/>
              <w:spacing w:before="108"/>
              <w:jc w:val="both"/>
              <w:rPr>
                <w:b/>
                <w:bCs/>
              </w:rPr>
            </w:pPr>
            <w:r>
              <w:t>„High“ sa vyberie, ak má prerušenie značný vplyv na vnútroštátny trh; „Stredne vysoký“, ak je vplyv významný; „Stredne nízky“, ak je vplyv významný, ale obmedzený; a „Low“, ak je vplyv nízky.</w:t>
            </w:r>
          </w:p>
        </w:tc>
      </w:tr>
      <w:tr w:rsidR="007A5804"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7A5804" w:rsidRDefault="007B7723">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7A5804" w:rsidRDefault="007B7723">
            <w:pPr>
              <w:pStyle w:val="P68B1DB1-TableParagraph14"/>
              <w:spacing w:before="108"/>
              <w:jc w:val="both"/>
              <w:rPr>
                <w:bCs/>
              </w:rPr>
            </w:pPr>
            <w:r>
              <w:t>Zastupiteľnosť</w:t>
            </w:r>
          </w:p>
          <w:p w14:paraId="7FE1BAB5" w14:textId="77777777" w:rsidR="007A5804" w:rsidRDefault="007B7723">
            <w:pPr>
              <w:pStyle w:val="P68B1DB1-TableParagraph13"/>
              <w:spacing w:before="108"/>
              <w:jc w:val="both"/>
            </w:pPr>
            <w:r>
              <w:t>Článok 6 ods. 3 delegovaného nariadenia (EÚ) 2016/778.</w:t>
            </w:r>
          </w:p>
          <w:p w14:paraId="7FE1BAB6" w14:textId="77777777" w:rsidR="007A5804" w:rsidRDefault="007B7723">
            <w:pPr>
              <w:pStyle w:val="P68B1DB1-TableParagraph13"/>
              <w:spacing w:before="108"/>
              <w:jc w:val="both"/>
            </w:pPr>
            <w:r>
              <w:t>Funkcia sa považuje za zastupiteľnú, ak ju možno nahradiť prijateľným spôsobom a v primeranej lehote, čím sa zabráni systémovým problémom pre reálnu ekonomiku a finančné trhy. Treba zohľadniť:</w:t>
            </w:r>
          </w:p>
          <w:p w14:paraId="7FE1BAB7" w14:textId="77777777" w:rsidR="007A5804" w:rsidRDefault="007B7723">
            <w:pPr>
              <w:pStyle w:val="P68B1DB1-TableParagraph13"/>
              <w:spacing w:before="108"/>
              <w:jc w:val="both"/>
            </w:pPr>
            <w:r>
              <w:t xml:space="preserve">(a) štruktúru trhu pre túto funkciu a dostupnosť náhradných poskytovateľov; </w:t>
            </w:r>
          </w:p>
          <w:p w14:paraId="7FE1BAB8" w14:textId="77777777" w:rsidR="007A5804" w:rsidRDefault="007B7723">
            <w:pPr>
              <w:pStyle w:val="P68B1DB1-TableParagraph13"/>
              <w:spacing w:before="108"/>
              <w:jc w:val="both"/>
            </w:pPr>
            <w:r>
              <w:t xml:space="preserve">(b) schopnosť iných poskytovateľov v oblasti kapacity, požiadaviek na výkon funkcie a potenciálnych prekážok pre vstup alebo rozšírenie; </w:t>
            </w:r>
          </w:p>
          <w:p w14:paraId="7FE1BAB9" w14:textId="77777777" w:rsidR="007A5804" w:rsidRDefault="007B7723">
            <w:pPr>
              <w:pStyle w:val="P68B1DB1-TableParagraph13"/>
              <w:spacing w:before="108"/>
              <w:jc w:val="both"/>
            </w:pPr>
            <w:r>
              <w:t xml:space="preserve">(c) motiváciu iných poskytovateľov, pokiaľ ide o prevzatie týchto činností; </w:t>
            </w:r>
          </w:p>
          <w:p w14:paraId="7FE1BABA" w14:textId="77777777" w:rsidR="007A5804" w:rsidRDefault="007B7723">
            <w:pPr>
              <w:pStyle w:val="P68B1DB1-TableParagraph13"/>
              <w:spacing w:before="108"/>
              <w:jc w:val="both"/>
            </w:pPr>
            <w:r>
              <w:t>(d) čas, ktorý používatelia služby potrebujú na prechod k novému poskytovateľovi služieb, a s tým spojené náklady, čas, ktorý potrebujú ostatní konkurenti na prevzatie úloh, a či tento čas stačí na to, aby sa zabránilo výraznému narušeniu v závislosti od druhu služby.</w:t>
            </w:r>
          </w:p>
          <w:p w14:paraId="7FE1BABB" w14:textId="48F2EE45" w:rsidR="007A5804" w:rsidRDefault="007B7723">
            <w:pPr>
              <w:pStyle w:val="P68B1DB1-TableParagraph13"/>
              <w:spacing w:before="108"/>
              <w:jc w:val="both"/>
            </w:pPr>
            <w:r>
              <w:t xml:space="preserve">Uveďte celkové posúdenie očakávanej miery nahraditeľnosti pre každú funkciu, pričom sa zohľadnia rôzne rozmery, ktoré sa posudzovali predtým (podiel na trhu, koncentrácia trhu, čas potrebný na nahradenie, právne prekážky a prevádzkové požiadavky na vstup na trh alebo rozšírenie). Toto posúdenie je kvalitatívne vyjadrené ako „vysoké“, „stredne vysoké“, „stredne nízke“ alebo „nízke“. </w:t>
            </w:r>
          </w:p>
          <w:p w14:paraId="7FE1BABC" w14:textId="47D04A62" w:rsidR="007A5804" w:rsidRDefault="007B7723">
            <w:pPr>
              <w:pStyle w:val="P68B1DB1-TableParagraph13"/>
              <w:spacing w:before="108"/>
              <w:jc w:val="both"/>
            </w:pPr>
            <w:r>
              <w:t>H ′ sa vyberie, ak funkciu môže ľahko zabezpečiť iná banka za porovnateľných podmienok v primeranom časovom rámci;</w:t>
            </w:r>
          </w:p>
          <w:p w14:paraId="7FE1BABD" w14:textId="7FFD9091" w:rsidR="007A5804" w:rsidRDefault="007B7723">
            <w:pPr>
              <w:pStyle w:val="P68B1DB1-TableParagraph13"/>
              <w:spacing w:before="108"/>
              <w:jc w:val="both"/>
            </w:pPr>
            <w:r>
              <w:t xml:space="preserve">„Nízka“ ak funkciu nie je možné ľahko alebo rýchlo nahradiť; </w:t>
            </w:r>
          </w:p>
          <w:p w14:paraId="7FE1BABE" w14:textId="29287980" w:rsidR="007A5804" w:rsidRDefault="007B7723">
            <w:pPr>
              <w:pStyle w:val="P68B1DB1-TableParagraph13"/>
              <w:spacing w:before="108"/>
              <w:jc w:val="both"/>
            </w:pPr>
            <w:r>
              <w:t>„Medium-High“ a „Medium-Low“ pre prechodné prípady zohľadňujúce rôzne rozmery (napr. trhový podiel, koncentrácia trhu, čas na nahradenie, ako aj právne prekážky pre vstup alebo rozšírenie a prevádzkové požiadavky na vstup alebo rozšírenie).</w:t>
            </w:r>
          </w:p>
        </w:tc>
      </w:tr>
      <w:tr w:rsidR="007A5804"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7A5804" w:rsidRDefault="007B7723">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7A5804" w:rsidRDefault="007B7723">
            <w:pPr>
              <w:pStyle w:val="P68B1DB1-TableParagraph14"/>
              <w:spacing w:before="108"/>
              <w:jc w:val="both"/>
              <w:rPr>
                <w:bCs/>
              </w:rPr>
            </w:pPr>
            <w:r>
              <w:t>Zásadná funkcia</w:t>
            </w:r>
          </w:p>
          <w:p w14:paraId="7FE1BAC2" w14:textId="77777777" w:rsidR="007A5804" w:rsidRDefault="007B7723">
            <w:pPr>
              <w:pStyle w:val="P68B1DB1-TableParagraph13"/>
              <w:spacing w:before="108"/>
              <w:jc w:val="both"/>
            </w:pPr>
            <w:r>
              <w:t>V tomto stĺpci sa uvádza, či sa hospodárska funkcia na trhu príslušného štátu považuje za zásadnú so zreteľom na analýzu dopadu a náhradnosti, ktorú vykonala inštitúcia.</w:t>
            </w:r>
          </w:p>
          <w:p w14:paraId="7FE1BAC3" w14:textId="77777777" w:rsidR="007A5804" w:rsidRDefault="007B7723">
            <w:pPr>
              <w:pStyle w:val="P68B1DB1-TableParagraph13"/>
              <w:spacing w:before="108"/>
              <w:jc w:val="both"/>
            </w:pPr>
            <w:r>
              <w:t>Správa „áno“ alebo „nie“</w:t>
            </w:r>
          </w:p>
        </w:tc>
      </w:tr>
      <w:tr w:rsidR="007A5804"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7A5804" w:rsidRDefault="007B7723">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7A5804" w:rsidRDefault="007B7723">
            <w:pPr>
              <w:pStyle w:val="P68B1DB1-TableParagraph14"/>
              <w:spacing w:before="108"/>
              <w:jc w:val="both"/>
              <w:rPr>
                <w:bCs/>
              </w:rPr>
            </w:pPr>
            <w:r>
              <w:t>Pripomienky skupiny</w:t>
            </w:r>
          </w:p>
          <w:p w14:paraId="7FE1BAC7" w14:textId="77777777" w:rsidR="007A5804" w:rsidRDefault="007B7723">
            <w:pPr>
              <w:pStyle w:val="P68B1DB1-TableParagraph13"/>
              <w:spacing w:before="108"/>
              <w:jc w:val="both"/>
            </w:pPr>
            <w:r>
              <w:t>Toto pole umožňuje vykazujúcej účtovnej jednotke vysvetliť akékoľvek predpoklady použité pri posudzovaní kritickosti vykazovanej funkcie (funkcií).</w:t>
            </w:r>
          </w:p>
        </w:tc>
      </w:tr>
    </w:tbl>
    <w:p w14:paraId="7FE1BAC9" w14:textId="77777777" w:rsidR="007A5804" w:rsidRDefault="007A5804">
      <w:pPr>
        <w:rPr>
          <w:rFonts w:ascii="Times New Roman" w:hAnsi="Times New Roman" w:cs="Times New Roman"/>
          <w:color w:val="000000" w:themeColor="text1"/>
          <w:sz w:val="20"/>
          <w:szCs w:val="20"/>
        </w:rPr>
      </w:pPr>
    </w:p>
    <w:p w14:paraId="7FE1BACA" w14:textId="77777777" w:rsidR="007A5804" w:rsidRDefault="007A5804">
      <w:pPr>
        <w:rPr>
          <w:rFonts w:ascii="Times New Roman" w:hAnsi="Times New Roman" w:cs="Times New Roman"/>
          <w:color w:val="000000" w:themeColor="text1"/>
          <w:sz w:val="20"/>
          <w:szCs w:val="20"/>
        </w:rPr>
      </w:pPr>
    </w:p>
    <w:p w14:paraId="7FE1BACB" w14:textId="48446B8B" w:rsidR="007A5804" w:rsidRDefault="007B7723">
      <w:pPr>
        <w:pStyle w:val="P68B1DB1-Instructionsberschrift25"/>
        <w:numPr>
          <w:ilvl w:val="1"/>
          <w:numId w:val="49"/>
        </w:numPr>
        <w:ind w:left="357" w:hanging="357"/>
      </w:pPr>
      <w:bookmarkStart w:id="115" w:name="_Toc208245250"/>
      <w:r>
        <w:t>Z 07.01.2 FUNC 1 LEN</w:t>
      </w:r>
      <w:bookmarkEnd w:id="115"/>
    </w:p>
    <w:p w14:paraId="7FE1BAD5" w14:textId="77777777" w:rsidR="007A5804" w:rsidRDefault="007A580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5804"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7A5804" w:rsidRDefault="007B7723">
            <w:pPr>
              <w:pStyle w:val="P68B1DB1-TableParagraph17"/>
              <w:spacing w:before="108"/>
              <w:ind w:left="85"/>
              <w:jc w:val="both"/>
            </w:pPr>
            <w:bookmarkStart w:id="116" w:name="_Hlk162013303"/>
            <w:r>
              <w:lastRenderedPageBreak/>
              <w:t>Stĺpce</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7A5804" w:rsidRDefault="007B7723">
            <w:pPr>
              <w:pStyle w:val="P68B1DB1-TableParagraph17"/>
              <w:spacing w:before="108"/>
              <w:ind w:left="85" w:right="1"/>
              <w:jc w:val="both"/>
            </w:pPr>
            <w:r>
              <w:t>Pokyny</w:t>
            </w:r>
          </w:p>
        </w:tc>
      </w:tr>
      <w:tr w:rsidR="007A5804"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7A5804" w:rsidRDefault="007B772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7A5804" w:rsidRDefault="007B7723">
            <w:pPr>
              <w:pStyle w:val="P68B1DB1-TableParagraph14"/>
              <w:spacing w:before="108"/>
              <w:ind w:left="85"/>
              <w:jc w:val="both"/>
              <w:rPr>
                <w:bCs/>
              </w:rPr>
            </w:pPr>
            <w:r>
              <w:t>Opis hospodárskej funkcie</w:t>
            </w:r>
          </w:p>
          <w:p w14:paraId="7FE1BADB" w14:textId="0F1FA007" w:rsidR="007A5804" w:rsidRDefault="007B7723">
            <w:pPr>
              <w:pStyle w:val="P68B1DB1-TableParagraph17"/>
              <w:spacing w:before="108"/>
              <w:ind w:left="85"/>
            </w:pPr>
            <w:r>
              <w:t xml:space="preserve">Ak je ekonomická funkcia typu „ostatné“ (Z 07.01.2 FUNC 1 LEN r0130 až r0150), uvedie sa opis tejto funkcie. </w:t>
            </w:r>
          </w:p>
        </w:tc>
      </w:tr>
      <w:tr w:rsidR="007A5804"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7A5804" w:rsidRDefault="007B772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7A5804" w:rsidRDefault="007B7723">
            <w:pPr>
              <w:pStyle w:val="P68B1DB1-TableParagraph14"/>
              <w:spacing w:before="108"/>
              <w:ind w:left="85"/>
              <w:jc w:val="both"/>
              <w:rPr>
                <w:bCs/>
              </w:rPr>
            </w:pPr>
            <w:r>
              <w:t xml:space="preserve">Podiel na trhu </w:t>
            </w:r>
          </w:p>
          <w:p w14:paraId="7FE1BADF" w14:textId="4B4AE08B" w:rsidR="007A5804" w:rsidRDefault="007B7723">
            <w:pPr>
              <w:pStyle w:val="P68B1DB1-TableParagraph17"/>
              <w:spacing w:before="108"/>
              <w:ind w:left="85"/>
            </w:pPr>
            <w:r>
              <w:t>Odhad trhového podielu inštitúcie alebo skupiny pre hospodársku funkciu v príslušnom štáte alebo geografickej oblasti. Percentuálny podiel celkového trhu z hľadiska nevyrovnanej hodnoty.</w:t>
            </w:r>
          </w:p>
        </w:tc>
      </w:tr>
      <w:tr w:rsidR="007A5804"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7A5804" w:rsidRDefault="007B772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7A5804" w:rsidRDefault="007B7723">
            <w:pPr>
              <w:pStyle w:val="P68B1DB1-TableParagraph14"/>
              <w:spacing w:before="108"/>
              <w:rPr>
                <w:bCs/>
              </w:rPr>
            </w:pPr>
            <w:r>
              <w:t>Nesplatená hodnota</w:t>
            </w:r>
          </w:p>
          <w:p w14:paraId="7FE1BAE3" w14:textId="77777777" w:rsidR="007A5804" w:rsidRDefault="007B7723">
            <w:pPr>
              <w:pStyle w:val="P68B1DB1-TableParagraph17"/>
              <w:spacing w:before="108"/>
            </w:pPr>
            <w:r>
              <w:t>Hrubá účtovná hodnota neznehodnotenýžch a znehodnotených úverov a záloh (vrátane vzniknutých úrokov).</w:t>
            </w:r>
          </w:p>
          <w:p w14:paraId="7FE1BAE4" w14:textId="77777777" w:rsidR="007A5804" w:rsidRDefault="007B7723">
            <w:pPr>
              <w:pStyle w:val="P68B1DB1-TableParagraph17"/>
              <w:spacing w:before="108"/>
            </w:pPr>
            <w:r>
              <w:t>úroky). Objem úverov sa považuje za ukazovateľ očakávaných budúcich úverov.</w:t>
            </w:r>
          </w:p>
        </w:tc>
      </w:tr>
      <w:tr w:rsidR="007A5804"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7A5804" w:rsidRDefault="007B772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7A5804" w:rsidRDefault="007B7723">
            <w:pPr>
              <w:pStyle w:val="P68B1DB1-TableParagraph14"/>
              <w:spacing w:before="108"/>
              <w:rPr>
                <w:bCs/>
              </w:rPr>
            </w:pPr>
            <w:r>
              <w:t>Počet klientov</w:t>
            </w:r>
          </w:p>
          <w:p w14:paraId="7FE1BAE8" w14:textId="77777777" w:rsidR="007A5804" w:rsidRDefault="007B7723">
            <w:pPr>
              <w:pStyle w:val="P68B1DB1-TableParagraph17"/>
              <w:spacing w:before="108"/>
            </w:pPr>
            <w:r>
              <w:t>Celkový počet klientov, ktorým boli poskytnuté hodnoty vykázané v c0030 „hodnota“</w:t>
            </w:r>
          </w:p>
          <w:p w14:paraId="7FE1BAE9" w14:textId="77777777" w:rsidR="007A5804" w:rsidRDefault="007B7723">
            <w:pPr>
              <w:pStyle w:val="P68B1DB1-TableParagraph17"/>
              <w:spacing w:before="108"/>
            </w:pPr>
            <w:r>
              <w:t>nevybavené“. Ak klient používa viacero vkladových produktov/účtov, tento klient sa počíta len raz.</w:t>
            </w:r>
          </w:p>
          <w:p w14:paraId="7FE1BAEA" w14:textId="77777777" w:rsidR="007A5804" w:rsidRDefault="007B7723">
            <w:pPr>
              <w:pStyle w:val="P68B1DB1-TableParagraph17"/>
              <w:spacing w:before="108"/>
            </w:pPr>
            <w:r>
              <w:t>len raz.</w:t>
            </w:r>
          </w:p>
        </w:tc>
      </w:tr>
      <w:tr w:rsidR="007A5804"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7A5804" w:rsidRDefault="007B772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7A5804" w:rsidRDefault="007B7723">
            <w:pPr>
              <w:pStyle w:val="P68B1DB1-TableParagraph14"/>
              <w:spacing w:before="108"/>
              <w:ind w:left="85"/>
              <w:jc w:val="both"/>
              <w:rPr>
                <w:bCs/>
              </w:rPr>
            </w:pPr>
            <w:r>
              <w:t>Zostávajúca hodnota – cezhraničná hodnota</w:t>
            </w:r>
          </w:p>
          <w:p w14:paraId="7FE1BAF3" w14:textId="5BF86183" w:rsidR="007A5804" w:rsidRDefault="007B7723">
            <w:pPr>
              <w:pStyle w:val="P68B1DB1-TableParagraph13"/>
              <w:spacing w:before="108"/>
              <w:ind w:left="85"/>
              <w:jc w:val="both"/>
            </w:pPr>
            <w:r>
              <w:t>Hodnota nesplatených úverov (c0030) úverov nerezidentom, pozri vklady (c0060) „cezhraničné“</w:t>
            </w:r>
          </w:p>
          <w:p w14:paraId="7FE1BAF4" w14:textId="77777777" w:rsidR="007A5804" w:rsidRDefault="007B7723">
            <w:pPr>
              <w:pStyle w:val="P68B1DB1-TableParagraph13"/>
              <w:spacing w:before="108"/>
              <w:ind w:left="85"/>
              <w:jc w:val="both"/>
              <w:rPr>
                <w:b/>
                <w:bCs/>
              </w:rPr>
            </w:pPr>
            <w:r>
              <w:t>hodnota“.</w:t>
            </w:r>
          </w:p>
        </w:tc>
      </w:tr>
      <w:bookmarkEnd w:id="116"/>
      <w:tr w:rsidR="007A5804"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7A5804" w:rsidRDefault="007B7723">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7A5804" w:rsidRDefault="007B7723">
            <w:pPr>
              <w:pStyle w:val="P68B1DB1-TableParagraph14"/>
              <w:spacing w:before="108"/>
              <w:jc w:val="both"/>
              <w:rPr>
                <w:bCs/>
              </w:rPr>
            </w:pPr>
            <w:r>
              <w:t>Analýzy vplyvu a nahraditeľnosti</w:t>
            </w:r>
          </w:p>
          <w:p w14:paraId="7FE1BAFB" w14:textId="77777777" w:rsidR="007A5804" w:rsidRDefault="007B7723">
            <w:pPr>
              <w:pStyle w:val="P68B1DB1-TableParagraph13"/>
              <w:spacing w:before="108"/>
            </w:pPr>
            <w:r>
              <w:t>Kritériá posudzovania vplyvu na tretie strany zahŕňajú v súlade s delegovaným nariadením Komisie (EÚ) 2016/778 o zásadných funkciách tieto prvky:</w:t>
            </w:r>
          </w:p>
          <w:p w14:paraId="7FE1BAFC" w14:textId="77777777" w:rsidR="007A5804" w:rsidRDefault="007B7723">
            <w:pPr>
              <w:pStyle w:val="P68B1DB1-ListParagraph38"/>
              <w:numPr>
                <w:ilvl w:val="0"/>
                <w:numId w:val="131"/>
              </w:numPr>
              <w:spacing w:line="276" w:lineRule="auto"/>
            </w:pPr>
            <w:r>
              <w:t>povaha a dosah činnosti, globálny, vnútroštátny alebo regionálny dosah, objem a počet transakcií; počet klientov a protistrán; počet klientov, pre ktorých je inštitúcia jediným alebo hlavným bankovým partnerom.</w:t>
            </w:r>
          </w:p>
          <w:p w14:paraId="7FE1BAFD" w14:textId="77777777" w:rsidR="007A5804" w:rsidRDefault="007B7723">
            <w:pPr>
              <w:pStyle w:val="P68B1DB1-ListParagraph38"/>
              <w:numPr>
                <w:ilvl w:val="0"/>
                <w:numId w:val="131"/>
              </w:numPr>
              <w:spacing w:line="276" w:lineRule="auto"/>
            </w:pPr>
            <w:r>
              <w:t>význam inštitúcie na miestnej, regionálnej, vnútroštátnej alebo európskej úrovni, podľa vhodnosti pre príslušný trh. Význam inštitúcie sa môže posúdiť na základe trhového podielu, prepojenosti, zložitosti alebo cezhraničných činností;</w:t>
            </w:r>
          </w:p>
          <w:p w14:paraId="7FE1BAFE" w14:textId="77777777" w:rsidR="007A5804" w:rsidRDefault="007B7723">
            <w:pPr>
              <w:pStyle w:val="P68B1DB1-ListParagraph38"/>
              <w:numPr>
                <w:ilvl w:val="0"/>
                <w:numId w:val="131"/>
              </w:numPr>
              <w:spacing w:line="276" w:lineRule="auto"/>
            </w:pPr>
            <w:r>
              <w:t xml:space="preserve">povaha zákazníkov a zainteresovaných strán, ktorých sa funkcia týka, napríklad, ale nie výhradne, retailových zákazníkov, firemných zákazníkov, medzibankových zákazníkov, centrálnych zúčtovacích stredísk a verejných subjektov; </w:t>
            </w:r>
          </w:p>
          <w:p w14:paraId="7FE1BAFF" w14:textId="77777777" w:rsidR="007A5804" w:rsidRDefault="007B7723">
            <w:pPr>
              <w:pStyle w:val="P68B1DB1-ListParagraph38"/>
              <w:numPr>
                <w:ilvl w:val="0"/>
                <w:numId w:val="131"/>
              </w:numPr>
              <w:spacing w:line="276" w:lineRule="auto"/>
            </w:pPr>
            <w:r>
              <w:t>potenciálne narušenie funkcie v rámci trhov, infraštruktúr, zákazníkov a verejných služieb. Posúdenie môže zahŕňať najmä vplyv na likviditu dotknutých trhov, vplyv a rozsah narušenia obchodnej činnosti zákazníkov a krátkodobé potreby likvidity; vnímateľnosť pre protistrany, zákazníkov a verejnosť; schopnosť a rýchlosť reakcie zákazníka; význam pre fungovanie iných trhov; vplyv na likviditu, operácie a štruktúru iného trhu; vplyv na ostatné protistrany súvisiace s hlavnými klientmi a vzájomný vzťah funkcie s inými službami.</w:t>
            </w:r>
          </w:p>
          <w:p w14:paraId="7FE1BB00"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7A5804" w:rsidRDefault="007B7723">
            <w:pPr>
              <w:pStyle w:val="P68B1DB1-TableParagraph17"/>
              <w:spacing w:before="108"/>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7A5804" w:rsidRDefault="007B7723">
            <w:pPr>
              <w:pStyle w:val="P68B1DB1-TableParagraph14"/>
              <w:spacing w:before="108"/>
              <w:jc w:val="both"/>
              <w:rPr>
                <w:bCs/>
              </w:rPr>
            </w:pPr>
            <w:r>
              <w:t xml:space="preserve">Príroda a dosah </w:t>
            </w:r>
          </w:p>
          <w:p w14:paraId="7FE1BB04" w14:textId="77777777" w:rsidR="007A5804" w:rsidRDefault="007B7723">
            <w:pPr>
              <w:pStyle w:val="P68B1DB1-TableParagraph13"/>
              <w:spacing w:before="108"/>
              <w:jc w:val="both"/>
            </w:pPr>
            <w:r>
              <w:t>Globálny, vnútroštátny alebo regionálny dosah, objem a počet transakcií; počet klientov a protistrán; počet klientov, pre ktorých je inštitúcia jediným alebo hlavným bankovým partnerom.</w:t>
            </w:r>
          </w:p>
        </w:tc>
      </w:tr>
      <w:tr w:rsidR="007A5804"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7A5804" w:rsidRDefault="007B7723">
            <w:pPr>
              <w:pStyle w:val="P68B1DB1-TableParagraph17"/>
              <w:spacing w:before="108"/>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7A5804" w:rsidRDefault="007B7723">
            <w:pPr>
              <w:pStyle w:val="P68B1DB1-TableParagraph14"/>
              <w:spacing w:before="108"/>
              <w:jc w:val="both"/>
              <w:rPr>
                <w:bCs/>
              </w:rPr>
            </w:pPr>
            <w:r>
              <w:t>Ukazovateľ veľkosti 1</w:t>
            </w:r>
          </w:p>
          <w:p w14:paraId="50B226E0"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B08" w14:textId="658E0B92" w:rsidR="007A5804" w:rsidRDefault="007A5804">
            <w:pPr>
              <w:pStyle w:val="TableParagraph"/>
              <w:spacing w:before="108"/>
              <w:rPr>
                <w:rFonts w:ascii="Times New Roman" w:hAnsi="Times New Roman" w:cs="Times New Roman"/>
                <w:color w:val="000000" w:themeColor="text1"/>
                <w:sz w:val="20"/>
                <w:szCs w:val="20"/>
              </w:rPr>
            </w:pPr>
          </w:p>
          <w:p w14:paraId="7FE1BB09" w14:textId="199C9DE7" w:rsidR="007A5804" w:rsidRDefault="007B7723">
            <w:pPr>
              <w:pStyle w:val="P68B1DB1-ListParagraph32"/>
              <w:numPr>
                <w:ilvl w:val="0"/>
                <w:numId w:val="130"/>
              </w:numPr>
              <w:spacing w:line="276" w:lineRule="auto"/>
            </w:pPr>
            <w:r>
              <w:t xml:space="preserve">Odborný posudok veľkosti hodnoty nesplatených úverov (c0030) z pohľadu EÚ </w:t>
            </w:r>
            <w:r>
              <w:rPr>
                <w:i/>
              </w:rPr>
              <w:t>[o jednu úroveň vyššiu ako príslušný trh].</w:t>
            </w:r>
            <w:r>
              <w:t xml:space="preserve"> Pri posudzovaní tohto ukazovateľa veľkosti zohľadňujú aj potenciálne budúce úverové toky. Ak sa domnievate, že minulá aktivita presne odráža plánovanú úverovú aktivitu v krátkodobom až strednodobom horizonte, môžete použiť existujúci objem úverov ako zástupný ukazovateľ pre budúce úverové toky. </w:t>
            </w:r>
          </w:p>
          <w:p w14:paraId="7FE1BB0A" w14:textId="77777777" w:rsidR="007A5804" w:rsidRDefault="007B7723">
            <w:pPr>
              <w:pStyle w:val="P68B1DB1-ListParagraph32"/>
              <w:numPr>
                <w:ilvl w:val="1"/>
                <w:numId w:val="127"/>
              </w:numPr>
              <w:spacing w:line="276" w:lineRule="auto"/>
            </w:pPr>
            <w:r>
              <w:t>Aká veľká je podľa vás z pohľadu EÚ hodnota nesplatených a viazaných úverov ako náhrada budúcich úverových tokov?</w:t>
            </w:r>
          </w:p>
          <w:p w14:paraId="7FE1BB0B"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7A5804" w:rsidRDefault="007B7723">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7A5804" w:rsidRDefault="007B7723">
            <w:pPr>
              <w:pStyle w:val="P68B1DB1-TableParagraph14"/>
              <w:spacing w:before="108"/>
              <w:jc w:val="both"/>
              <w:rPr>
                <w:bCs/>
              </w:rPr>
            </w:pPr>
            <w:r>
              <w:t>Ukazovateľ veľkosti 2</w:t>
            </w:r>
          </w:p>
          <w:p w14:paraId="68B7FEDE"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B0F" w14:textId="40E27EAB" w:rsidR="007A5804" w:rsidRDefault="007A5804">
            <w:pPr>
              <w:pStyle w:val="TableParagraph"/>
              <w:spacing w:before="108"/>
              <w:rPr>
                <w:rFonts w:ascii="Times New Roman" w:hAnsi="Times New Roman" w:cs="Times New Roman"/>
                <w:color w:val="000000" w:themeColor="text1"/>
                <w:sz w:val="20"/>
                <w:szCs w:val="20"/>
              </w:rPr>
            </w:pPr>
          </w:p>
          <w:p w14:paraId="7FE1BB10" w14:textId="4C225025" w:rsidR="007A5804" w:rsidRDefault="007B7723">
            <w:pPr>
              <w:pStyle w:val="P68B1DB1-ListParagraph32"/>
              <w:numPr>
                <w:ilvl w:val="0"/>
                <w:numId w:val="121"/>
              </w:numPr>
              <w:spacing w:line="276" w:lineRule="auto"/>
            </w:pPr>
            <w:r>
              <w:t xml:space="preserve">Odborný posudok veľkosti </w:t>
            </w:r>
            <w:r>
              <w:rPr>
                <w:b/>
              </w:rPr>
              <w:t>počtu</w:t>
            </w:r>
            <w:r>
              <w:t xml:space="preserve"> klientov (c0040) z </w:t>
            </w:r>
            <w:r>
              <w:rPr>
                <w:b/>
              </w:rPr>
              <w:t>vnútroštátneho</w:t>
            </w:r>
            <w:r>
              <w:t xml:space="preserve"> hľadiska </w:t>
            </w:r>
            <w:r>
              <w:rPr>
                <w:i/>
              </w:rPr>
              <w:t>[na úrovni relevantného trhu]</w:t>
            </w:r>
            <w:r>
              <w:t>:</w:t>
            </w:r>
          </w:p>
          <w:p w14:paraId="7FE1BB11" w14:textId="77777777" w:rsidR="007A5804" w:rsidRDefault="007B7723">
            <w:pPr>
              <w:pStyle w:val="P68B1DB1-ListParagraph32"/>
              <w:numPr>
                <w:ilvl w:val="1"/>
                <w:numId w:val="121"/>
              </w:numPr>
              <w:spacing w:line="276" w:lineRule="auto"/>
            </w:pPr>
            <w:r>
              <w:t>Aký veľký je z vnútroštátneho hľadiska odhadovaný celkový počet klientov inštitúcie?</w:t>
            </w:r>
          </w:p>
          <w:p w14:paraId="7FE1BB17" w14:textId="77777777" w:rsidR="007A5804" w:rsidRDefault="007A5804">
            <w:pPr>
              <w:rPr>
                <w:rFonts w:ascii="Times New Roman" w:hAnsi="Times New Roman"/>
                <w:color w:val="000000" w:themeColor="text1"/>
                <w:sz w:val="20"/>
                <w:szCs w:val="20"/>
              </w:rPr>
            </w:pPr>
          </w:p>
        </w:tc>
      </w:tr>
      <w:tr w:rsidR="007A5804"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7A5804" w:rsidRDefault="007B7723">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7A5804" w:rsidRDefault="007B7723">
            <w:pPr>
              <w:pStyle w:val="P68B1DB1-TableParagraph14"/>
              <w:spacing w:before="108"/>
              <w:jc w:val="both"/>
              <w:rPr>
                <w:bCs/>
              </w:rPr>
            </w:pPr>
            <w:r>
              <w:t>Cezhraničný ukazovateľ</w:t>
            </w:r>
          </w:p>
          <w:p w14:paraId="7FE1BB1B" w14:textId="77777777" w:rsidR="007A5804" w:rsidRDefault="007B7723">
            <w:pPr>
              <w:pStyle w:val="P68B1DB1-TableParagraph13"/>
              <w:spacing w:before="108"/>
            </w:pPr>
            <w:r>
              <w:t>Posúdiť relatívny význam cezhraničných činností pre rôzne hospodárske funkcie.</w:t>
            </w:r>
          </w:p>
          <w:p w14:paraId="7FE1BB1C" w14:textId="77777777" w:rsidR="007A5804" w:rsidRDefault="007B7723">
            <w:pPr>
              <w:pStyle w:val="P68B1DB1-TableParagraph13"/>
              <w:spacing w:before="108"/>
            </w:pPr>
            <w:r>
              <w:t xml:space="preserve">Toto sa nemusí posudzovať v prípade správ, v ktorých sa relevantný trh považuje za regionálny. </w:t>
            </w:r>
          </w:p>
          <w:p w14:paraId="7FE1BB1D" w14:textId="77777777" w:rsidR="007A5804" w:rsidRDefault="007B7723">
            <w:pPr>
              <w:pStyle w:val="P68B1DB1-TableParagraph33"/>
              <w:spacing w:before="108"/>
              <w:jc w:val="both"/>
            </w:pPr>
            <w:r>
              <w:t xml:space="preserve">Počet krajín EÚ, v ktorých má vykazujúci subjekt podiel na trhu vyšší ako 2 % (vyjadrený v hodnote nesplatených úverov). Správa: </w:t>
            </w:r>
          </w:p>
          <w:p w14:paraId="7FE1BB1E" w14:textId="1382E45D" w:rsidR="007A5804" w:rsidRDefault="007B7723">
            <w:pPr>
              <w:pStyle w:val="P68B1DB1-TableParagraph33"/>
              <w:numPr>
                <w:ilvl w:val="0"/>
                <w:numId w:val="282"/>
              </w:numPr>
              <w:spacing w:before="108"/>
              <w:jc w:val="both"/>
            </w:pPr>
            <w:r>
              <w:t xml:space="preserve">≤ 1 krajina; </w:t>
            </w:r>
          </w:p>
          <w:p w14:paraId="7FE1BB1F" w14:textId="1384F453" w:rsidR="007A5804" w:rsidRDefault="007B7723">
            <w:pPr>
              <w:pStyle w:val="P68B1DB1-TableParagraph33"/>
              <w:numPr>
                <w:ilvl w:val="0"/>
                <w:numId w:val="282"/>
              </w:numPr>
              <w:spacing w:before="108"/>
              <w:jc w:val="both"/>
            </w:pPr>
            <w:r>
              <w:t xml:space="preserve">V 2 – 3 krajinách </w:t>
            </w:r>
          </w:p>
          <w:p w14:paraId="7FE1BB20" w14:textId="2782B087" w:rsidR="007A5804" w:rsidRDefault="007B7723">
            <w:pPr>
              <w:pStyle w:val="P68B1DB1-TableParagraph33"/>
              <w:numPr>
                <w:ilvl w:val="0"/>
                <w:numId w:val="282"/>
              </w:numPr>
              <w:spacing w:before="108"/>
              <w:jc w:val="both"/>
            </w:pPr>
            <w:r>
              <w:t xml:space="preserve">4 – 5 štátov </w:t>
            </w:r>
          </w:p>
          <w:p w14:paraId="7FE1BB21" w14:textId="6E7B19E5" w:rsidR="007A5804" w:rsidRDefault="007B7723">
            <w:pPr>
              <w:pStyle w:val="P68B1DB1-TableParagraph33"/>
              <w:numPr>
                <w:ilvl w:val="0"/>
                <w:numId w:val="282"/>
              </w:numPr>
              <w:spacing w:before="108"/>
              <w:jc w:val="both"/>
              <w:rPr>
                <w:rFonts w:cs="Times New Roman"/>
                <w:color w:val="000000" w:themeColor="text1"/>
              </w:rPr>
            </w:pPr>
            <w:r>
              <w:t>&gt; 5 krajín</w:t>
            </w:r>
          </w:p>
        </w:tc>
      </w:tr>
      <w:tr w:rsidR="007A5804"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7A5804" w:rsidRDefault="007B7723">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7A5804" w:rsidRDefault="007B7723">
            <w:pPr>
              <w:pStyle w:val="P68B1DB1-TableParagraph13"/>
              <w:spacing w:before="108"/>
              <w:jc w:val="both"/>
            </w:pPr>
            <w:r>
              <w:rPr>
                <w:b/>
              </w:rPr>
              <w:t xml:space="preserve">Relevantnosť </w:t>
            </w:r>
            <w:r>
              <w:t xml:space="preserve">— </w:t>
            </w:r>
          </w:p>
          <w:p w14:paraId="7FE1BB25" w14:textId="77777777" w:rsidR="007A5804" w:rsidRDefault="007B7723">
            <w:pPr>
              <w:pStyle w:val="P68B1DB1-TableParagraph13"/>
              <w:spacing w:before="108"/>
              <w:jc w:val="both"/>
            </w:pPr>
            <w:r>
              <w:t>Na miestnej, regionálnej, vnútroštátnej alebo európskej úrovni, podľa vhodnosti pre príslušný trh. Význam inštitúcie sa môže posúdiť na základe trhového podielu, prepojenosti, zložitosti alebo cezhraničných činností;</w:t>
            </w:r>
          </w:p>
          <w:p w14:paraId="7FE1BB26" w14:textId="77777777" w:rsidR="007A5804" w:rsidRDefault="007B7723">
            <w:pPr>
              <w:pStyle w:val="P68B1DB1-TableParagraph14"/>
              <w:spacing w:before="108"/>
              <w:jc w:val="both"/>
              <w:rPr>
                <w:bCs/>
              </w:rPr>
            </w:pPr>
            <w:r>
              <w:t>Podiel na trhu</w:t>
            </w:r>
          </w:p>
          <w:p w14:paraId="4A7FDA65" w14:textId="77777777" w:rsidR="007A5804" w:rsidRDefault="007B7723">
            <w:pPr>
              <w:pStyle w:val="P68B1DB1-Normal31"/>
              <w:spacing w:line="276" w:lineRule="auto"/>
              <w:jc w:val="both"/>
            </w:pPr>
            <w:r>
              <w:lastRenderedPageBreak/>
              <w:t xml:space="preserve">Posúdiť význam podielu vykazujúceho subjektu na trhu v porovnaní s vnútroštátnym alebo iným relevantným trhom, ako sa uvádza vo vzore. Toto posúdenie je vyjadrené kvalitatívne ako </w:t>
            </w:r>
          </w:p>
          <w:p w14:paraId="25EA33C7" w14:textId="77777777" w:rsidR="007A5804" w:rsidRDefault="007B7723">
            <w:pPr>
              <w:pStyle w:val="P68B1DB1-ListParagraph32"/>
              <w:numPr>
                <w:ilvl w:val="0"/>
                <w:numId w:val="276"/>
              </w:numPr>
              <w:spacing w:line="276" w:lineRule="auto"/>
              <w:jc w:val="both"/>
            </w:pPr>
            <w:r>
              <w:t>Vysoký, ak je podiel na trhu veľký</w:t>
            </w:r>
          </w:p>
          <w:p w14:paraId="24D12007" w14:textId="77777777" w:rsidR="007A5804" w:rsidRDefault="007B7723">
            <w:pPr>
              <w:pStyle w:val="P68B1DB1-ListParagraph32"/>
              <w:numPr>
                <w:ilvl w:val="0"/>
                <w:numId w:val="276"/>
              </w:numPr>
              <w:spacing w:line="276" w:lineRule="auto"/>
              <w:jc w:val="both"/>
            </w:pPr>
            <w:r>
              <w:t>Stredná – vysoká, ak je podiel na trhu stredný</w:t>
            </w:r>
          </w:p>
          <w:p w14:paraId="05C67201" w14:textId="77777777" w:rsidR="007A5804" w:rsidRDefault="007B7723">
            <w:pPr>
              <w:pStyle w:val="P68B1DB1-ListParagraph32"/>
              <w:numPr>
                <w:ilvl w:val="0"/>
                <w:numId w:val="276"/>
              </w:numPr>
              <w:spacing w:line="276" w:lineRule="auto"/>
              <w:jc w:val="both"/>
            </w:pPr>
            <w:r>
              <w:t xml:space="preserve">Stredne nízky, ak je podiel na trhu malý alebo </w:t>
            </w:r>
          </w:p>
          <w:p w14:paraId="29105274" w14:textId="77777777" w:rsidR="007A5804" w:rsidRDefault="007B7723">
            <w:pPr>
              <w:pStyle w:val="P68B1DB1-ListParagraph32"/>
              <w:numPr>
                <w:ilvl w:val="0"/>
                <w:numId w:val="276"/>
              </w:numPr>
              <w:spacing w:line="276" w:lineRule="auto"/>
              <w:jc w:val="both"/>
            </w:pPr>
            <w:r>
              <w:t xml:space="preserve">Nízky, ak je podiel na trhu zanedbateľný. </w:t>
            </w:r>
          </w:p>
          <w:p w14:paraId="7FE1BB2B" w14:textId="586F4387" w:rsidR="007A5804" w:rsidRDefault="007A5804">
            <w:pPr>
              <w:pStyle w:val="ListParagraph"/>
              <w:spacing w:line="276" w:lineRule="auto"/>
              <w:jc w:val="both"/>
              <w:rPr>
                <w:rFonts w:ascii="Times New Roman" w:eastAsiaTheme="minorHAnsi" w:hAnsi="Times New Roman"/>
                <w:color w:val="000000" w:themeColor="text1"/>
                <w:sz w:val="20"/>
                <w:szCs w:val="20"/>
              </w:rPr>
            </w:pPr>
          </w:p>
          <w:p w14:paraId="7FE1BB2C" w14:textId="77777777" w:rsidR="007A5804" w:rsidRDefault="007B7723">
            <w:pPr>
              <w:pStyle w:val="P68B1DB1-TableParagraph13"/>
              <w:spacing w:before="108"/>
            </w:pPr>
            <w:r>
              <w:t xml:space="preserve">V tomto posúdení sa zohľadňuje trhová štruktúra krajiny vykazujúceho subjektu (alebo iného relevantného trhu) a podiely na trhu vykázané čiastočne. </w:t>
            </w:r>
          </w:p>
          <w:p w14:paraId="7FE1BB2D" w14:textId="77777777" w:rsidR="007A5804" w:rsidRDefault="007B7723">
            <w:pPr>
              <w:pStyle w:val="P68B1DB1-TableParagraph13"/>
              <w:spacing w:before="108"/>
            </w:pPr>
            <w:r>
              <w:t>2.Kvantitatívne údaje:</w:t>
            </w:r>
          </w:p>
          <w:p w14:paraId="7FE1BB2E" w14:textId="77777777" w:rsidR="007A5804" w:rsidRDefault="007B7723">
            <w:pPr>
              <w:pStyle w:val="P68B1DB1-ListParagraph32"/>
              <w:numPr>
                <w:ilvl w:val="0"/>
                <w:numId w:val="117"/>
              </w:numPr>
              <w:spacing w:line="276" w:lineRule="auto"/>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B2F" w14:textId="77777777" w:rsidR="007A5804" w:rsidRDefault="007A5804">
            <w:pPr>
              <w:pStyle w:val="TableParagraph"/>
              <w:spacing w:before="108"/>
              <w:rPr>
                <w:rFonts w:ascii="Times New Roman" w:hAnsi="Times New Roman" w:cs="Times New Roman"/>
                <w:color w:val="000000" w:themeColor="text1"/>
                <w:sz w:val="20"/>
                <w:szCs w:val="20"/>
              </w:rPr>
            </w:pPr>
          </w:p>
          <w:p w14:paraId="7FE1BB30"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7A5804" w:rsidRDefault="007B7723">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7A5804" w:rsidRDefault="007B7723">
            <w:pPr>
              <w:pStyle w:val="P68B1DB1-TableParagraph14"/>
              <w:spacing w:before="108"/>
              <w:jc w:val="both"/>
              <w:rPr>
                <w:bCs/>
              </w:rPr>
            </w:pPr>
            <w:r>
              <w:t>Štruktúra trhu – koncentrácia trhu</w:t>
            </w:r>
          </w:p>
          <w:p w14:paraId="7FE1BB34" w14:textId="77777777" w:rsidR="007A5804" w:rsidRDefault="007B7723">
            <w:pPr>
              <w:pStyle w:val="P68B1DB1-TableParagraph13"/>
              <w:spacing w:before="108"/>
            </w:pPr>
            <w:r>
              <w:t xml:space="preserve">Koncentrácia trhu meraná počtom konkurentov, ktorí v súčasnosti vykonávajú svoju činnosť </w:t>
            </w:r>
          </w:p>
          <w:p w14:paraId="7FE1BB35" w14:textId="77777777" w:rsidR="007A5804" w:rsidRDefault="007B7723">
            <w:pPr>
              <w:pStyle w:val="P68B1DB1-TableParagraph13"/>
              <w:spacing w:before="108"/>
            </w:pPr>
            <w:r>
              <w:t xml:space="preserve">podobné hospodárske funkcie a/alebo ponúkajúce podobné služby za rovnakých podmienok (t. j. pre </w:t>
            </w:r>
          </w:p>
          <w:p w14:paraId="7FE1BB36" w14:textId="77777777" w:rsidR="007A5804" w:rsidRDefault="007B7723">
            <w:pPr>
              <w:pStyle w:val="P68B1DB1-TableParagraph13"/>
              <w:spacing w:before="108"/>
            </w:pPr>
            <w:r>
              <w:t xml:space="preserve">porovnateľný rozsah a kvalita a za porovnateľné náklady), ktoré potenciálne prevezmú </w:t>
            </w:r>
          </w:p>
          <w:p w14:paraId="7FE1BB37" w14:textId="77777777" w:rsidR="007A5804" w:rsidRDefault="007B7723">
            <w:pPr>
              <w:pStyle w:val="P68B1DB1-TableParagraph13"/>
              <w:spacing w:before="108"/>
            </w:pPr>
            <w:r>
              <w:t xml:space="preserve">(časť) klientov a/alebo obchodnej činnosti vykazujúceho subjektu v primeranom časovom rámci. </w:t>
            </w:r>
          </w:p>
          <w:p w14:paraId="7FE1BB38" w14:textId="77777777" w:rsidR="007A5804" w:rsidRDefault="007B7723">
            <w:pPr>
              <w:pStyle w:val="P68B1DB1-TableParagraph13"/>
              <w:spacing w:before="108"/>
            </w:pPr>
            <w:r>
              <w:t xml:space="preserve">Vykazuje sa v skupinách, ktoré sú rovnaké pre každú čiastkovú funkciu. </w:t>
            </w:r>
          </w:p>
          <w:p w14:paraId="6E06F623" w14:textId="77777777" w:rsidR="007A5804" w:rsidRDefault="007B7723">
            <w:pPr>
              <w:pStyle w:val="P68B1DB1-ListParagraph32"/>
              <w:numPr>
                <w:ilvl w:val="0"/>
                <w:numId w:val="277"/>
              </w:numPr>
              <w:jc w:val="both"/>
            </w:pPr>
            <w:r>
              <w:t xml:space="preserve">&gt; 20 konkurentov; </w:t>
            </w:r>
          </w:p>
          <w:p w14:paraId="1C1D9521" w14:textId="77777777" w:rsidR="007A5804" w:rsidRDefault="007B7723">
            <w:pPr>
              <w:pStyle w:val="P68B1DB1-ListParagraph32"/>
              <w:numPr>
                <w:ilvl w:val="0"/>
                <w:numId w:val="277"/>
              </w:numPr>
              <w:jc w:val="both"/>
            </w:pPr>
            <w:r>
              <w:t xml:space="preserve">11 – 20 konkurentov, </w:t>
            </w:r>
          </w:p>
          <w:p w14:paraId="35EEC292" w14:textId="77777777" w:rsidR="007A5804" w:rsidRDefault="007B7723">
            <w:pPr>
              <w:pStyle w:val="P68B1DB1-ListParagraph32"/>
              <w:numPr>
                <w:ilvl w:val="0"/>
                <w:numId w:val="277"/>
              </w:numPr>
              <w:jc w:val="both"/>
            </w:pPr>
            <w:r>
              <w:t xml:space="preserve">5 – 10 konkurentov, </w:t>
            </w:r>
          </w:p>
          <w:p w14:paraId="23AB1BA1" w14:textId="77777777" w:rsidR="007A5804" w:rsidRDefault="007B7723">
            <w:pPr>
              <w:pStyle w:val="P68B1DB1-ListParagraph32"/>
              <w:numPr>
                <w:ilvl w:val="0"/>
                <w:numId w:val="277"/>
              </w:numPr>
              <w:jc w:val="both"/>
              <w:rPr>
                <w:b/>
                <w:bCs/>
                <w:color w:val="000000" w:themeColor="text1"/>
              </w:rPr>
            </w:pPr>
            <w:r>
              <w:t>&amp;5 konkurentov</w:t>
            </w:r>
          </w:p>
          <w:p w14:paraId="7FE1BB3C" w14:textId="356BF98D" w:rsidR="007A5804" w:rsidRDefault="007A5804">
            <w:pPr>
              <w:jc w:val="both"/>
              <w:rPr>
                <w:rFonts w:ascii="Times New Roman" w:hAnsi="Times New Roman"/>
                <w:color w:val="000000" w:themeColor="text1"/>
                <w:sz w:val="20"/>
                <w:szCs w:val="20"/>
              </w:rPr>
            </w:pPr>
          </w:p>
        </w:tc>
      </w:tr>
      <w:tr w:rsidR="007A5804"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7A5804" w:rsidRDefault="007B7723">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7A5804" w:rsidRDefault="007B7723">
            <w:pPr>
              <w:pStyle w:val="P68B1DB1-TableParagraph14"/>
              <w:spacing w:before="108"/>
              <w:jc w:val="both"/>
              <w:rPr>
                <w:bCs/>
              </w:rPr>
            </w:pPr>
            <w:r>
              <w:t>Načasovanie – očakávaný čas substitúcie</w:t>
            </w:r>
          </w:p>
          <w:p w14:paraId="7FE1BB40" w14:textId="77777777" w:rsidR="007A5804" w:rsidRDefault="007B7723">
            <w:pPr>
              <w:pStyle w:val="P68B1DB1-TableParagraph13"/>
              <w:spacing w:before="108"/>
            </w:pPr>
            <w:r>
              <w:t>Odhadnúť čas potrebný na ekonomickú funkciu, ktorú poskytuje podávanie správ</w:t>
            </w:r>
          </w:p>
          <w:p w14:paraId="7FE1BB41" w14:textId="77777777" w:rsidR="007A5804" w:rsidRDefault="007B7723">
            <w:pPr>
              <w:pStyle w:val="P68B1DB1-TableParagraph13"/>
              <w:spacing w:before="108"/>
            </w:pPr>
            <w:r>
              <w:t xml:space="preserve">subjekt, ktorý má trh v krízovej situácii absorbovať. Súčasťou tejto podpory je: </w:t>
            </w:r>
          </w:p>
          <w:p w14:paraId="7FE1BB42" w14:textId="77777777" w:rsidR="007A5804" w:rsidRDefault="007B7723">
            <w:pPr>
              <w:pStyle w:val="P68B1DB1-ListParagraph38"/>
              <w:numPr>
                <w:ilvl w:val="0"/>
                <w:numId w:val="274"/>
              </w:numPr>
              <w:jc w:val="both"/>
            </w:pPr>
            <w:r>
              <w:t xml:space="preserve">očakávaný čas, ktorý jeden alebo viacerí konkurenti potrebujú na uskutočnenie právnych a technických krokov na prevzatie funkcie; ako aj  </w:t>
            </w:r>
          </w:p>
          <w:p w14:paraId="7FE1BB43" w14:textId="77777777" w:rsidR="007A5804" w:rsidRDefault="007B7723">
            <w:pPr>
              <w:pStyle w:val="P68B1DB1-ListParagraph38"/>
              <w:numPr>
                <w:ilvl w:val="0"/>
                <w:numId w:val="274"/>
              </w:numPr>
              <w:jc w:val="both"/>
            </w:pPr>
            <w:r>
              <w:t xml:space="preserve">čas, ktorý používatelia služby potrebujú na presťahovanie sa k inému poskytovateľovi služieb. </w:t>
            </w:r>
          </w:p>
          <w:p w14:paraId="7FE1BB44" w14:textId="77777777" w:rsidR="007A5804" w:rsidRDefault="007A5804">
            <w:pPr>
              <w:pStyle w:val="TableParagraph"/>
              <w:spacing w:before="108"/>
              <w:rPr>
                <w:rFonts w:ascii="Times New Roman" w:hAnsi="Times New Roman" w:cs="Times New Roman"/>
                <w:color w:val="000000" w:themeColor="text1"/>
                <w:sz w:val="20"/>
                <w:szCs w:val="20"/>
              </w:rPr>
            </w:pPr>
          </w:p>
          <w:p w14:paraId="7FE1BB45" w14:textId="77777777" w:rsidR="007A5804" w:rsidRDefault="007B7723">
            <w:pPr>
              <w:pStyle w:val="P68B1DB1-TableParagraph13"/>
              <w:spacing w:before="108"/>
            </w:pPr>
            <w:r>
              <w:t xml:space="preserve">V prípade úverov sa to napríklad nevzťahuje na útlm nesplateného portfólia alebo prevod tohto portfólia na potenciálneho kupujúceho, ale skôr na schopnosť domácností podnikov a vlád získať podobné úvery od iných poskytovateľov. </w:t>
            </w:r>
          </w:p>
          <w:p w14:paraId="7FE1BB46" w14:textId="77777777" w:rsidR="007A5804" w:rsidRDefault="007A5804">
            <w:pPr>
              <w:pStyle w:val="TableParagraph"/>
              <w:spacing w:before="108"/>
              <w:rPr>
                <w:rFonts w:ascii="Times New Roman" w:hAnsi="Times New Roman" w:cs="Times New Roman"/>
                <w:color w:val="000000" w:themeColor="text1"/>
                <w:sz w:val="20"/>
                <w:szCs w:val="20"/>
              </w:rPr>
            </w:pPr>
          </w:p>
          <w:p w14:paraId="7FE1BB47" w14:textId="77777777" w:rsidR="007A5804" w:rsidRDefault="007B7723">
            <w:pPr>
              <w:pStyle w:val="P68B1DB1-TableParagraph13"/>
              <w:spacing w:before="108"/>
            </w:pPr>
            <w:r>
              <w:t>Ako zástupný ukazovateľ pre služby poskytované inou inštitúciou uveďte odhad času, počas ktorého by vykazujúci subjekt v krízovej situácii za primerané náklady absorboval vo svojej vlastnej obchodnej činnosti (časť) služby, ktorú poskytuje iná inštitúcia. Uveďte odhadovaný čas substitúcie v skupinách uvedených vo vzore:</w:t>
            </w:r>
          </w:p>
          <w:p w14:paraId="7FE1BB48" w14:textId="77777777" w:rsidR="007A5804" w:rsidRDefault="007A5804">
            <w:pPr>
              <w:pStyle w:val="TableParagraph"/>
              <w:spacing w:before="108"/>
              <w:rPr>
                <w:rFonts w:ascii="Times New Roman" w:hAnsi="Times New Roman" w:cs="Times New Roman"/>
                <w:color w:val="000000" w:themeColor="text1"/>
                <w:sz w:val="20"/>
                <w:szCs w:val="20"/>
              </w:rPr>
            </w:pPr>
          </w:p>
        </w:tc>
      </w:tr>
      <w:tr w:rsidR="007A5804"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7A5804" w:rsidRDefault="007B7723">
            <w:pPr>
              <w:pStyle w:val="P68B1DB1-TableParagraph17"/>
              <w:spacing w:before="108"/>
              <w:jc w:val="both"/>
            </w:pPr>
            <w:r>
              <w:lastRenderedPageBreak/>
              <w:t>0140 – 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7A5804" w:rsidRDefault="007B7723">
            <w:pPr>
              <w:pStyle w:val="P68B1DB1-TableParagraph14"/>
              <w:spacing w:before="108"/>
              <w:jc w:val="both"/>
              <w:rPr>
                <w:bCs/>
              </w:rPr>
            </w:pPr>
            <w:r>
              <w:t>Schopnosť substitúcie</w:t>
            </w:r>
          </w:p>
        </w:tc>
      </w:tr>
      <w:tr w:rsidR="007A5804"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7A5804" w:rsidRDefault="007B7723">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7A5804" w:rsidRDefault="007B7723">
            <w:pPr>
              <w:pStyle w:val="P68B1DB1-TableParagraph14"/>
              <w:spacing w:before="108"/>
              <w:rPr>
                <w:bCs/>
              </w:rPr>
            </w:pPr>
            <w:r>
              <w:t>Právne prekážky vstupu na trh alebo expanzie</w:t>
            </w:r>
          </w:p>
          <w:p w14:paraId="7FE1BB4F" w14:textId="77777777" w:rsidR="007A5804" w:rsidRDefault="007A5804">
            <w:pPr>
              <w:pStyle w:val="TableParagraph"/>
              <w:spacing w:before="108"/>
              <w:rPr>
                <w:rFonts w:ascii="Times New Roman" w:hAnsi="Times New Roman" w:cs="Times New Roman"/>
                <w:color w:val="000000" w:themeColor="text1"/>
                <w:sz w:val="20"/>
                <w:szCs w:val="20"/>
              </w:rPr>
            </w:pPr>
          </w:p>
          <w:p w14:paraId="7FE1BB50" w14:textId="77777777" w:rsidR="007A5804" w:rsidRDefault="007B7723">
            <w:pPr>
              <w:pStyle w:val="P68B1DB1-TableParagraph13"/>
              <w:spacing w:before="108"/>
            </w:pPr>
            <w:r>
              <w:t xml:space="preserve">Právne prekážky pre konkurentov pri ponúkaní služby. Právne požiadavky na vykonávanie činnosti úverových inštitúcií (napr. bankové licencie alebo kapitálové požiadavky) sa nepovažujú za neprekonateľné prekážky v prítomnosti alternatívnych poskytovateľov. Tento ukazovateľ sa musí vykazovať v skupinách, ktoré sú rovnaké pre každú čiastkovú funkciu: </w:t>
            </w:r>
          </w:p>
          <w:p w14:paraId="7FE1BB51" w14:textId="068F91A0" w:rsidR="007A5804" w:rsidRDefault="007B7723">
            <w:pPr>
              <w:pStyle w:val="P68B1DB1-ListParagraph39"/>
              <w:numPr>
                <w:ilvl w:val="0"/>
                <w:numId w:val="275"/>
              </w:numPr>
              <w:jc w:val="both"/>
            </w:pPr>
            <w:r>
              <w:t xml:space="preserve">žiadne významné prekážky, </w:t>
            </w:r>
          </w:p>
          <w:p w14:paraId="7FE1BB52" w14:textId="6D8354EB" w:rsidR="007A5804" w:rsidRDefault="007B7723">
            <w:pPr>
              <w:pStyle w:val="P68B1DB1-ListParagraph39"/>
              <w:numPr>
                <w:ilvl w:val="0"/>
                <w:numId w:val="275"/>
              </w:numPr>
              <w:jc w:val="both"/>
            </w:pPr>
            <w:r>
              <w:t xml:space="preserve">niektoré prekážky, </w:t>
            </w:r>
          </w:p>
          <w:p w14:paraId="7FE1BB53" w14:textId="1BC21AC5" w:rsidR="007A5804" w:rsidRDefault="007B7723">
            <w:pPr>
              <w:pStyle w:val="P68B1DB1-ListParagraph39"/>
              <w:numPr>
                <w:ilvl w:val="0"/>
                <w:numId w:val="275"/>
              </w:numPr>
              <w:jc w:val="both"/>
            </w:pPr>
            <w:r>
              <w:t xml:space="preserve">podstatné (ale prekonateľné) bariéry, </w:t>
            </w:r>
          </w:p>
          <w:p w14:paraId="7FE1BB55" w14:textId="539429F5" w:rsidR="007A5804" w:rsidRDefault="007B7723">
            <w:pPr>
              <w:pStyle w:val="P68B1DB1-ListParagraph8"/>
              <w:numPr>
                <w:ilvl w:val="0"/>
                <w:numId w:val="275"/>
              </w:numPr>
              <w:jc w:val="both"/>
            </w:pPr>
            <w:r>
              <w:t>kritické (ťažko náročné) bariéry.</w:t>
            </w:r>
          </w:p>
        </w:tc>
      </w:tr>
      <w:tr w:rsidR="007A5804"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7A5804" w:rsidRDefault="007B7723">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7A5804" w:rsidRDefault="007B7723">
            <w:pPr>
              <w:pStyle w:val="P68B1DB1-TableParagraph14"/>
              <w:spacing w:before="108"/>
              <w:rPr>
                <w:bCs/>
              </w:rPr>
            </w:pPr>
            <w:r>
              <w:t>Prevádzkové požiadavky na vstup alebo rozšírenie</w:t>
            </w:r>
          </w:p>
          <w:p w14:paraId="7FE1BB59" w14:textId="77777777" w:rsidR="007A5804" w:rsidRDefault="007A5804">
            <w:pPr>
              <w:pStyle w:val="TableParagraph"/>
              <w:spacing w:before="108"/>
              <w:rPr>
                <w:rFonts w:ascii="Times New Roman" w:hAnsi="Times New Roman" w:cs="Times New Roman"/>
                <w:color w:val="000000" w:themeColor="text1"/>
                <w:sz w:val="20"/>
                <w:szCs w:val="20"/>
              </w:rPr>
            </w:pPr>
          </w:p>
          <w:p w14:paraId="7FE1BB5A" w14:textId="7291B555" w:rsidR="007A5804" w:rsidRDefault="007B7723">
            <w:pPr>
              <w:pStyle w:val="P68B1DB1-TableParagraph13"/>
              <w:spacing w:before="108"/>
            </w:pPr>
            <w:r>
              <w:t xml:space="preserve">Organizačné, technické a infraštruktúrne požiadavky pre konkurentov pri ponúkaní služby. Ponuka služieb súvisiacich s (pod)funkciou si vyžaduje, aby poskytovatelia investovali do (novej alebo dodatočnej) infraštruktúry alebo aby zmenili svoje organizácie. Posúdiť schopnosť trhu absorbovať daný podnik. </w:t>
            </w:r>
          </w:p>
          <w:p w14:paraId="7FE1BB5B" w14:textId="77777777" w:rsidR="007A5804" w:rsidRDefault="007B7723">
            <w:pPr>
              <w:pStyle w:val="P68B1DB1-TableParagraph13"/>
              <w:spacing w:before="108"/>
            </w:pPr>
            <w:r>
              <w:t xml:space="preserve">Tento ukazovateľ sa musí vykazovať v skupinách, ktoré sú rovnaké pre každú čiastkovú funkciu: </w:t>
            </w:r>
          </w:p>
          <w:p w14:paraId="7FE1BB5C" w14:textId="7C8E68F5" w:rsidR="007A5804" w:rsidRDefault="007B7723">
            <w:pPr>
              <w:pStyle w:val="P68B1DB1-ListParagraph39"/>
              <w:numPr>
                <w:ilvl w:val="0"/>
                <w:numId w:val="278"/>
              </w:numPr>
              <w:jc w:val="both"/>
            </w:pPr>
            <w:r>
              <w:t xml:space="preserve">bez väčších požiadaviek, </w:t>
            </w:r>
          </w:p>
          <w:p w14:paraId="7FE1BB5D" w14:textId="227F4B1C" w:rsidR="007A5804" w:rsidRDefault="007B7723">
            <w:pPr>
              <w:pStyle w:val="P68B1DB1-ListParagraph39"/>
              <w:numPr>
                <w:ilvl w:val="0"/>
                <w:numId w:val="278"/>
              </w:numPr>
              <w:jc w:val="both"/>
            </w:pPr>
            <w:r>
              <w:t xml:space="preserve">niektoré požiadavky, </w:t>
            </w:r>
          </w:p>
          <w:p w14:paraId="7FE1BB5E" w14:textId="11C740DB" w:rsidR="007A5804" w:rsidRDefault="007B7723">
            <w:pPr>
              <w:pStyle w:val="P68B1DB1-ListParagraph39"/>
              <w:numPr>
                <w:ilvl w:val="0"/>
                <w:numId w:val="278"/>
              </w:numPr>
              <w:jc w:val="both"/>
            </w:pPr>
            <w:r>
              <w:t xml:space="preserve">podstatné (ale prekonateľné) požiadavky, </w:t>
            </w:r>
          </w:p>
          <w:p w14:paraId="7FE1BB5F" w14:textId="701458A3" w:rsidR="007A5804" w:rsidRDefault="007B7723">
            <w:pPr>
              <w:pStyle w:val="P68B1DB1-ListParagraph39"/>
              <w:numPr>
                <w:ilvl w:val="0"/>
                <w:numId w:val="278"/>
              </w:numPr>
              <w:jc w:val="both"/>
            </w:pPr>
            <w:r>
              <w:t>kritické požiadavky (ťažko náročné z hľadiska presakovania).</w:t>
            </w:r>
          </w:p>
          <w:p w14:paraId="7FE1BB64" w14:textId="7064EEB7" w:rsidR="007A5804" w:rsidRDefault="007B7723">
            <w:pPr>
              <w:pStyle w:val="P68B1DB1-TableParagraph40"/>
              <w:spacing w:before="108"/>
              <w:ind w:left="720"/>
              <w:jc w:val="both"/>
              <w:rPr>
                <w:color w:val="000000" w:themeColor="text1"/>
              </w:rPr>
            </w:pPr>
            <w:r>
              <w:t xml:space="preserve"> </w:t>
            </w:r>
          </w:p>
        </w:tc>
      </w:tr>
      <w:tr w:rsidR="007A5804"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7A5804" w:rsidRDefault="007B7723">
            <w:pPr>
              <w:pStyle w:val="P68B1DB1-TableParagraph17"/>
              <w:spacing w:before="108"/>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7A5804" w:rsidRDefault="007B7723">
            <w:pPr>
              <w:pStyle w:val="P68B1DB1-TableParagraph14"/>
              <w:spacing w:before="108"/>
              <w:rPr>
                <w:bCs/>
              </w:rPr>
            </w:pPr>
            <w:r>
              <w:t>Posúdenie kritickosti</w:t>
            </w:r>
          </w:p>
        </w:tc>
      </w:tr>
      <w:tr w:rsidR="007A5804"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7A5804" w:rsidRDefault="007B7723">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7A5804" w:rsidRDefault="007B7723">
            <w:pPr>
              <w:pStyle w:val="P68B1DB1-TableParagraph14"/>
              <w:spacing w:before="108"/>
              <w:rPr>
                <w:bCs/>
              </w:rPr>
            </w:pPr>
            <w:r>
              <w:t xml:space="preserve">Vplyv na trh </w:t>
            </w:r>
          </w:p>
          <w:p w14:paraId="7FE1BB6B" w14:textId="77777777" w:rsidR="007A5804" w:rsidRDefault="007B7723">
            <w:pPr>
              <w:pStyle w:val="P68B1DB1-TableParagraph13"/>
              <w:spacing w:before="108"/>
            </w:pPr>
            <w:r>
              <w:t>Odhadovaný vplyv náhleho prerušenia funkcie na tretie strany, finančné trhy a reálnu ekonomiku so zreteľom na veľkosť, podiel na trhu v danom štáte, vonkajšiu a vnútornú prepojenosť, zložitosť a cezhraničné činnosti inštitúcie.</w:t>
            </w:r>
          </w:p>
          <w:p w14:paraId="7FE1BB6C" w14:textId="3006E0F1" w:rsidR="007A5804" w:rsidRDefault="007B7723">
            <w:pPr>
              <w:pStyle w:val="P68B1DB1-TableParagraph13"/>
              <w:spacing w:before="108"/>
            </w:pPr>
            <w:r>
              <w:t>Toto posúdenie je kvalitatívne vyjadrené ako „vysoké“, „stredne vysoké“, „stredne nízke“ alebo „nízke“.</w:t>
            </w:r>
          </w:p>
          <w:p w14:paraId="7FE1BB6D" w14:textId="091B1AD9" w:rsidR="007A5804" w:rsidRDefault="007B7723">
            <w:pPr>
              <w:pStyle w:val="P68B1DB1-TableParagraph13"/>
              <w:spacing w:before="108"/>
            </w:pPr>
            <w:r>
              <w:t>„High“ sa vyberie, ak má prerušenie značný vplyv na vnútroštátny trh; „Stredne vysoký“, ak je vplyv významný; „Stredne nízky“, ak je vplyv významný, ale obmedzený; a „Low“, ak je vplyv nízky.</w:t>
            </w:r>
          </w:p>
        </w:tc>
      </w:tr>
      <w:tr w:rsidR="007A5804"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7A5804" w:rsidRDefault="007B7723">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7A5804" w:rsidRDefault="007B7723">
            <w:pPr>
              <w:pStyle w:val="P68B1DB1-TableParagraph14"/>
              <w:spacing w:before="108"/>
              <w:rPr>
                <w:bCs/>
              </w:rPr>
            </w:pPr>
            <w:r>
              <w:t>Zastupiteľnosť</w:t>
            </w:r>
          </w:p>
          <w:p w14:paraId="7FE1BB71" w14:textId="77777777" w:rsidR="007A5804" w:rsidRDefault="007B7723">
            <w:pPr>
              <w:pStyle w:val="P68B1DB1-TableParagraph13"/>
              <w:spacing w:before="108"/>
            </w:pPr>
            <w:r>
              <w:t>Článok 6 ods. 3 delegovaného nariadenia (EÚ) 2016/778.</w:t>
            </w:r>
          </w:p>
          <w:p w14:paraId="7FE1BB72" w14:textId="77777777" w:rsidR="007A5804" w:rsidRDefault="007B7723">
            <w:pPr>
              <w:pStyle w:val="P68B1DB1-TableParagraph13"/>
              <w:spacing w:before="108"/>
            </w:pPr>
            <w:r>
              <w:t>Funkcia sa považuje za zastupiteľnú, ak ju možno nahradiť prijateľným spôsobom a v primeranej lehote, čím sa zabráni systémovým problémom pre reálnu ekonomiku a finančné trhy. Treba zohľadniť:</w:t>
            </w:r>
          </w:p>
          <w:p w14:paraId="7FE1BB73" w14:textId="77777777" w:rsidR="007A5804" w:rsidRDefault="007B7723">
            <w:pPr>
              <w:pStyle w:val="P68B1DB1-TableParagraph13"/>
              <w:spacing w:before="108"/>
            </w:pPr>
            <w:r>
              <w:t xml:space="preserve">(a) štruktúru trhu pre túto funkciu a dostupnosť náhradných poskytovateľov; </w:t>
            </w:r>
          </w:p>
          <w:p w14:paraId="7FE1BB74" w14:textId="77777777" w:rsidR="007A5804" w:rsidRDefault="007B7723">
            <w:pPr>
              <w:pStyle w:val="P68B1DB1-TableParagraph13"/>
              <w:spacing w:before="108"/>
            </w:pPr>
            <w:r>
              <w:t xml:space="preserve">(b) schopnosť iných poskytovateľov v oblasti kapacity, požiadaviek na výkon funkcie a potenciálnych prekážok pre vstup alebo rozšírenie; </w:t>
            </w:r>
          </w:p>
          <w:p w14:paraId="7FE1BB75" w14:textId="77777777" w:rsidR="007A5804" w:rsidRDefault="007B7723">
            <w:pPr>
              <w:pStyle w:val="P68B1DB1-TableParagraph13"/>
              <w:spacing w:before="108"/>
            </w:pPr>
            <w:r>
              <w:t xml:space="preserve">(c) motiváciu iných poskytovateľov, pokiaľ ide o prevzatie týchto činností; </w:t>
            </w:r>
          </w:p>
          <w:p w14:paraId="7FE1BB76" w14:textId="77777777" w:rsidR="007A5804" w:rsidRDefault="007B7723">
            <w:pPr>
              <w:pStyle w:val="P68B1DB1-TableParagraph13"/>
              <w:spacing w:before="108"/>
            </w:pPr>
            <w:r>
              <w:t xml:space="preserve">(d) čas, ktorý používatelia služby potrebujú na prechod k novému poskytovateľovi služieb, a s tým spojené náklady, čas, ktorý potrebujú ostatní konkurenti na prevzatie úloh, a či tento čas stačí na </w:t>
            </w:r>
            <w:r>
              <w:lastRenderedPageBreak/>
              <w:t>to, aby sa zabránilo výraznému narušeniu v závislosti od druhu služby.</w:t>
            </w:r>
          </w:p>
          <w:p w14:paraId="7FE1BB77" w14:textId="34C328B6" w:rsidR="007A5804" w:rsidRDefault="007B7723">
            <w:pPr>
              <w:pStyle w:val="P68B1DB1-TableParagraph13"/>
              <w:spacing w:before="108"/>
            </w:pPr>
            <w:r>
              <w:t xml:space="preserve">Uveďte celkové posúdenie očakávanej miery nahraditeľnosti pre každú funkciu, pričom sa zohľadnia rôzne rozmery, ktoré sa posudzovali predtým (podiel na trhu, koncentrácia trhu, čas potrebný na nahradenie, právne prekážky a prevádzkové požiadavky na vstup na trh alebo rozšírenie). Toto posúdenie je kvalitatívne vyjadrené ako „vysoké“, „stredne vysoké“, „stredne nízke“ alebo „nízke“. </w:t>
            </w:r>
          </w:p>
          <w:p w14:paraId="7FE1BB78" w14:textId="70240340" w:rsidR="007A5804" w:rsidRDefault="007B7723">
            <w:pPr>
              <w:pStyle w:val="P68B1DB1-TableParagraph13"/>
              <w:spacing w:before="108"/>
            </w:pPr>
            <w:r>
              <w:t>H ′ sa vyberie, ak funkciu môže ľahko zabezpečiť iná banka za porovnateľných podmienok v primeranom časovom rámci;</w:t>
            </w:r>
          </w:p>
          <w:p w14:paraId="7FE1BB79" w14:textId="3DFD8C4F" w:rsidR="007A5804" w:rsidRDefault="007B7723">
            <w:pPr>
              <w:pStyle w:val="P68B1DB1-TableParagraph13"/>
              <w:spacing w:before="108"/>
            </w:pPr>
            <w:r>
              <w:t xml:space="preserve">„Nízka“ ak funkciu nie je možné ľahko alebo rýchlo nahradiť; </w:t>
            </w:r>
          </w:p>
          <w:p w14:paraId="7FE1BB7A" w14:textId="4DB7815A" w:rsidR="007A5804" w:rsidRDefault="007B7723">
            <w:pPr>
              <w:pStyle w:val="P68B1DB1-TableParagraph13"/>
              <w:spacing w:before="108"/>
            </w:pPr>
            <w:r>
              <w:t>„Medium High“ a „Medium Low“ pre prechodné prípady zohľadňujúce rôzne rozmery (napr. trhový podiel, koncentrácia trhu, čas na nahradenie, ako aj právne prekážky pre vstup alebo rozšírenie a prevádzkové požiadavky na vstup alebo rozšírenie).</w:t>
            </w:r>
          </w:p>
        </w:tc>
      </w:tr>
      <w:tr w:rsidR="007A5804"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7A5804" w:rsidRDefault="007B7723">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7A5804" w:rsidRDefault="007B7723">
            <w:pPr>
              <w:pStyle w:val="P68B1DB1-TableParagraph14"/>
              <w:spacing w:before="108"/>
              <w:rPr>
                <w:bCs/>
              </w:rPr>
            </w:pPr>
            <w:r>
              <w:t>Zásadná funkcia</w:t>
            </w:r>
          </w:p>
          <w:p w14:paraId="7FE1BB7E" w14:textId="77777777" w:rsidR="007A5804" w:rsidRDefault="007B7723">
            <w:pPr>
              <w:pStyle w:val="P68B1DB1-TableParagraph13"/>
              <w:spacing w:before="108"/>
            </w:pPr>
            <w:r>
              <w:t>V tomto stĺpci sa uvádza, či sa hospodárska funkcia na trhu príslušného štátu považuje za zásadnú so zreteľom na analýzu dopadu a náhradnosti vykonanú inštitúciou.</w:t>
            </w:r>
          </w:p>
          <w:p w14:paraId="7FE1BB7F" w14:textId="77777777" w:rsidR="007A5804" w:rsidRDefault="007B7723">
            <w:pPr>
              <w:pStyle w:val="P68B1DB1-TableParagraph13"/>
              <w:spacing w:before="108"/>
            </w:pPr>
            <w:r>
              <w:t>Správa „áno“ alebo „nie“</w:t>
            </w:r>
          </w:p>
        </w:tc>
      </w:tr>
      <w:tr w:rsidR="007A5804"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7A5804" w:rsidRDefault="007B7723">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7A5804" w:rsidRDefault="007B7723">
            <w:pPr>
              <w:pStyle w:val="P68B1DB1-TableParagraph14"/>
              <w:spacing w:before="108"/>
              <w:rPr>
                <w:bCs/>
              </w:rPr>
            </w:pPr>
            <w:r>
              <w:t>Pripomienky skupiny</w:t>
            </w:r>
          </w:p>
          <w:p w14:paraId="7FE1BB83" w14:textId="77777777" w:rsidR="007A5804" w:rsidRDefault="007B7723">
            <w:pPr>
              <w:pStyle w:val="P68B1DB1-TableParagraph13"/>
              <w:spacing w:before="108"/>
            </w:pPr>
            <w:r>
              <w:t>Toto pole umožňuje vykazujúcej účtovnej jednotke vysvetliť akékoľvek predpoklady použité pri posudzovaní kritickosti vykazovanej funkcie (funkcií).</w:t>
            </w:r>
          </w:p>
        </w:tc>
      </w:tr>
    </w:tbl>
    <w:p w14:paraId="7FE1BB85" w14:textId="77777777" w:rsidR="007A5804" w:rsidRDefault="007A5804">
      <w:pPr>
        <w:rPr>
          <w:rFonts w:ascii="Times New Roman" w:hAnsi="Times New Roman" w:cs="Times New Roman"/>
          <w:color w:val="000000" w:themeColor="text1"/>
          <w:sz w:val="20"/>
          <w:szCs w:val="20"/>
        </w:rPr>
      </w:pPr>
    </w:p>
    <w:p w14:paraId="7FE1BB86" w14:textId="61485090" w:rsidR="007A5804" w:rsidRDefault="007B7723">
      <w:pPr>
        <w:pStyle w:val="P68B1DB1-Instructionsberschrift25"/>
        <w:numPr>
          <w:ilvl w:val="1"/>
          <w:numId w:val="49"/>
        </w:numPr>
        <w:ind w:left="357" w:hanging="357"/>
      </w:pPr>
      <w:bookmarkStart w:id="117" w:name="_Toc208245251"/>
      <w:r>
        <w:t>Z 07.01.3 FUNC 1 MZDA</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5804"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7A5804" w:rsidRDefault="007B7723">
            <w:pPr>
              <w:pStyle w:val="P68B1DB1-TableParagraph17"/>
              <w:spacing w:before="108"/>
              <w:ind w:left="85"/>
              <w:jc w:val="both"/>
            </w:pPr>
            <w:r>
              <w:t>Stĺpce</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7A5804" w:rsidRDefault="007B7723">
            <w:pPr>
              <w:pStyle w:val="P68B1DB1-TableParagraph17"/>
              <w:spacing w:before="108"/>
              <w:ind w:left="85" w:right="1"/>
              <w:jc w:val="both"/>
            </w:pPr>
            <w:r>
              <w:t>Pokyny</w:t>
            </w:r>
          </w:p>
        </w:tc>
      </w:tr>
      <w:tr w:rsidR="007A5804"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7A5804" w:rsidRDefault="007B772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7A5804" w:rsidRDefault="007B7723">
            <w:pPr>
              <w:pStyle w:val="P68B1DB1-TableParagraph14"/>
              <w:spacing w:before="108"/>
              <w:ind w:left="85"/>
              <w:jc w:val="both"/>
              <w:rPr>
                <w:bCs/>
              </w:rPr>
            </w:pPr>
            <w:r>
              <w:t>Opis hospodárskej funkcie</w:t>
            </w:r>
          </w:p>
          <w:p w14:paraId="7FE1BB94" w14:textId="56901CA7" w:rsidR="007A5804" w:rsidRDefault="007B772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Ak je ekonomická funkcia typu „iné“ (Z</w:t>
            </w:r>
            <w:r>
              <w:t>07.01.3 FUNC 1 PAY r0220 až r0240</w:t>
            </w:r>
            <w:r>
              <w:rPr>
                <w:rFonts w:ascii="Times New Roman" w:eastAsia="Cambria" w:hAnsi="Times New Roman" w:cs="Times New Roman"/>
                <w:color w:val="000000" w:themeColor="text1"/>
                <w:sz w:val="20"/>
                <w:szCs w:val="20"/>
              </w:rPr>
              <w:t xml:space="preserve">), uvedie sa opis tejto funkcie. </w:t>
            </w:r>
          </w:p>
        </w:tc>
      </w:tr>
      <w:tr w:rsidR="007A5804"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7A5804" w:rsidRDefault="007B772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7A5804" w:rsidRDefault="007B7723">
            <w:pPr>
              <w:pStyle w:val="P68B1DB1-TableParagraph14"/>
              <w:spacing w:before="108"/>
              <w:ind w:left="85"/>
              <w:jc w:val="both"/>
              <w:rPr>
                <w:bCs/>
              </w:rPr>
            </w:pPr>
            <w:r>
              <w:t xml:space="preserve">Podiel na trhu </w:t>
            </w:r>
          </w:p>
          <w:p w14:paraId="7FE1BB98" w14:textId="71A825FB" w:rsidR="007A5804" w:rsidRDefault="007B7723">
            <w:pPr>
              <w:pStyle w:val="P68B1DB1-TableParagraph17"/>
              <w:spacing w:before="108"/>
              <w:ind w:left="85"/>
            </w:pPr>
            <w:r>
              <w:t>Odhad trhového podielu inštitúcie alebo skupiny pre hospodársku funkciu v príslušnom štáte alebo geografickej oblasti. Percentuálny podiel celkového trhu z hľadiska peňažnej sumy. Zodpovedá to hodnote transakcií pre platobné služby pre peňažné finančné inštitúcie a nepeňažné finančné inštitúcie, hodnote otvorených pozícií pre zúčtovacie služby centrálnej protistrany a hodnote aktív v úschove za správcovské služby.</w:t>
            </w:r>
          </w:p>
        </w:tc>
      </w:tr>
      <w:tr w:rsidR="007A5804"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7A5804" w:rsidRDefault="007B772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7A5804" w:rsidRDefault="007B7723">
            <w:pPr>
              <w:pStyle w:val="P68B1DB1-TableParagraph14"/>
              <w:spacing w:before="108"/>
              <w:rPr>
                <w:bCs/>
              </w:rPr>
            </w:pPr>
            <w:r>
              <w:t>Hodnota transakcií</w:t>
            </w:r>
          </w:p>
          <w:p w14:paraId="7FE1BB9C" w14:textId="77777777" w:rsidR="007A5804" w:rsidRDefault="007B7723">
            <w:pPr>
              <w:pStyle w:val="P68B1DB1-TableParagraph17"/>
              <w:spacing w:before="108"/>
            </w:pPr>
            <w:r>
              <w:t>Vo všeobecnosti sa vykazujú priemerné denné transakcie v priebehu roka. Ak nie sú k dispozícii, môže sa vykázať priemer transakcií za kratšie obdobie (napr. niekoľko mesiacov).</w:t>
            </w:r>
          </w:p>
          <w:p w14:paraId="7FE1BB9D" w14:textId="32F9B039" w:rsidR="007A5804" w:rsidRDefault="007B7723">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Platobné služby (funkčné ID 3.1 a 3.2): Hodnota odoslaných transakcií.</w:t>
            </w:r>
            <w:r>
              <w:t xml:space="preserve"> </w:t>
            </w:r>
            <w:r>
              <w:rPr>
                <w:rFonts w:ascii="Times New Roman" w:eastAsia="Cambria" w:hAnsi="Times New Roman" w:cs="Times New Roman"/>
                <w:color w:val="000000" w:themeColor="text1"/>
                <w:sz w:val="20"/>
                <w:szCs w:val="20"/>
              </w:rPr>
              <w:t>Odkazy: Smernica (EÚ) 2015/2366 o platobných službách na vnútornom trhu, článok 4 ods. 5; Nariadenie Európskej centrálnej banky (EÚ) 2020/2011, ktorým sa mení nariadenie (EÚ) č. 1409/2013 o štatistike platieb (ECB/2020/59)</w:t>
            </w:r>
          </w:p>
          <w:p w14:paraId="7FE1BB9E" w14:textId="77777777" w:rsidR="007A5804" w:rsidRDefault="007B7723">
            <w:pPr>
              <w:pStyle w:val="P68B1DB1-TableParagraph17"/>
              <w:spacing w:before="108"/>
            </w:pPr>
            <w:r>
              <w:t>Pokladničná hotovosť (function ID 3.3): Hodnota transakcií bankomatov v bankomatoch v rámci podávania správ</w:t>
            </w:r>
          </w:p>
          <w:p w14:paraId="7FE1BB9F" w14:textId="34BA0294" w:rsidR="007A5804" w:rsidRDefault="007B7723">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inštitúcia, ako je vymedzená v nariadení Európskej centrálnej banky (EÚ) č. 1409/2013 o štatistike platieb</w:t>
            </w:r>
            <w:r>
              <w:rPr>
                <w:rFonts w:ascii="Times New Roman" w:hAnsi="Times New Roman" w:cs="Times New Roman"/>
                <w:b/>
              </w:rPr>
              <w:t xml:space="preserve"> </w:t>
            </w:r>
            <w:r>
              <w:rPr>
                <w:rFonts w:ascii="Times New Roman" w:eastAsia="Cambria" w:hAnsi="Times New Roman" w:cs="Times New Roman"/>
                <w:color w:val="000000" w:themeColor="text1"/>
              </w:rPr>
              <w:t xml:space="preserve"> (ECB/2013/43) tabuľke 5a, ako aj mimoburzová hotovosť</w:t>
            </w:r>
          </w:p>
          <w:p w14:paraId="7FE1BBA0" w14:textId="0D8555C2" w:rsidR="007A5804" w:rsidRDefault="007B7723">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výbery v pobočkách vykazujúceho subjektu podľa vymedzenia v</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tabuľke ECB/2014/15</w:t>
            </w:r>
          </w:p>
          <w:p w14:paraId="7FE1BBA1" w14:textId="77777777" w:rsidR="007A5804" w:rsidRDefault="007B7723">
            <w:pPr>
              <w:pStyle w:val="P68B1DB1-TableParagraph17"/>
              <w:spacing w:before="108"/>
            </w:pPr>
            <w:r>
              <w:t>Služby vyrovnania transakcií s cennými papiermi (function ID 3.4): Hodnota spracovaných prevodov cenných papierov</w:t>
            </w:r>
          </w:p>
          <w:p w14:paraId="7FE1BBA2" w14:textId="77777777" w:rsidR="007A5804" w:rsidRDefault="007B7723">
            <w:pPr>
              <w:pStyle w:val="P68B1DB1-TableParagraph17"/>
              <w:spacing w:before="108"/>
            </w:pPr>
            <w:r>
              <w:t>v mene klientov To zahŕňa transakcie vyrovnané vyrovnaním s cennými papiermi.</w:t>
            </w:r>
          </w:p>
          <w:p w14:paraId="7FE1BBA3" w14:textId="77777777" w:rsidR="007A5804" w:rsidRDefault="007B7723">
            <w:pPr>
              <w:pStyle w:val="P68B1DB1-TableParagraph17"/>
              <w:spacing w:before="108"/>
            </w:pPr>
            <w:r>
              <w:t>systém alebo interne vyrovnané vykazujúcimi subjektmi a „bezplatnosť“</w:t>
            </w:r>
          </w:p>
          <w:p w14:paraId="7FE1BBA4" w14:textId="77777777" w:rsidR="007A5804" w:rsidRDefault="007B7723">
            <w:pPr>
              <w:pStyle w:val="P68B1DB1-TableParagraph17"/>
              <w:spacing w:before="108"/>
            </w:pPr>
            <w:r>
              <w:t>transakcie. Uveďte len hodnotu odoslaných transakcií.</w:t>
            </w:r>
          </w:p>
        </w:tc>
      </w:tr>
      <w:tr w:rsidR="007A5804"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7A5804" w:rsidRDefault="007B7723">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7A5804" w:rsidRDefault="007B7723">
            <w:pPr>
              <w:pStyle w:val="P68B1DB1-TableParagraph14"/>
              <w:spacing w:before="108"/>
              <w:rPr>
                <w:bCs/>
              </w:rPr>
            </w:pPr>
            <w:r>
              <w:t>Hodnota transakcií, z ktorých sa opakujú</w:t>
            </w:r>
          </w:p>
          <w:p w14:paraId="7FE1BBA8" w14:textId="484D97FA" w:rsidR="007A5804" w:rsidRDefault="007B7723">
            <w:pPr>
              <w:pStyle w:val="P68B1DB1-TableParagraph17"/>
              <w:spacing w:before="108"/>
            </w:pPr>
            <w:r>
              <w:t>Hodnota transakcií vykázaných v (c0030), z ktorých sú vykonané prostredníctvom účtu pre pravidelné platobné služby.  Účty periodických platobných služieb sú účty platobných služieb, na ktorých bol účet odpísaný na ťarchu alebo pripísaný na účet v priemere najmenej 5 mesačných transakcií počas šiestich mesiacov predchádzajúcich koncovému dátumu, s výnimkou ročných poplatkov, iných poplatkov a úrokových platieb súvisiacich s účtom.</w:t>
            </w:r>
            <w:r>
              <w:tab/>
            </w:r>
            <w:r>
              <w:tab/>
            </w:r>
            <w:r>
              <w:tab/>
            </w:r>
            <w:r>
              <w:tab/>
            </w:r>
            <w:r>
              <w:tab/>
            </w:r>
            <w:r>
              <w:tab/>
            </w:r>
            <w:r>
              <w:tab/>
            </w:r>
            <w:r>
              <w:tab/>
            </w:r>
          </w:p>
        </w:tc>
      </w:tr>
      <w:tr w:rsidR="007A5804"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7A5804" w:rsidRDefault="007B772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7A5804" w:rsidRDefault="007B7723">
            <w:pPr>
              <w:pStyle w:val="P68B1DB1-Normal42"/>
              <w:rPr>
                <w:bCs/>
              </w:rPr>
            </w:pPr>
            <w:r>
              <w:t>Hodnota otvorených pozícií</w:t>
            </w:r>
          </w:p>
          <w:p w14:paraId="7FE1BBAC" w14:textId="77777777" w:rsidR="007A5804" w:rsidRDefault="007B7723">
            <w:pPr>
              <w:pStyle w:val="P68B1DB1-TableParagraph17"/>
              <w:spacing w:before="108"/>
              <w:jc w:val="both"/>
            </w:pPr>
            <w:r>
              <w:t>Vykazuje sa len pre funkciu ID 3.5 „Zúčtovacie služby centrálnych protistrán“: pozície (expozícia), ktoré</w:t>
            </w:r>
          </w:p>
          <w:p w14:paraId="7FE1BBAD" w14:textId="77777777" w:rsidR="007A5804" w:rsidRDefault="007B7723">
            <w:pPr>
              <w:pStyle w:val="P68B1DB1-TableParagraph17"/>
              <w:spacing w:before="108"/>
              <w:jc w:val="both"/>
            </w:pPr>
            <w:r>
              <w:t>CCP, ktorých je inštitúcia členom, prijímajú s inštitúciou v mene</w:t>
            </w:r>
          </w:p>
          <w:p w14:paraId="7FE1BBAE" w14:textId="63CC2224" w:rsidR="007A5804" w:rsidRDefault="007B7723">
            <w:pPr>
              <w:pStyle w:val="P68B1DB1-TableParagraph17"/>
              <w:spacing w:before="108"/>
              <w:jc w:val="both"/>
            </w:pPr>
            <w:r>
              <w:t>klienti. Uveďte priemerné denné hodnoty otvorených pozícií týkajúcich sa činnosti klienta u</w:t>
            </w:r>
          </w:p>
          <w:p w14:paraId="7FE1BBAF" w14:textId="77777777" w:rsidR="007A5804" w:rsidRDefault="007B7723">
            <w:pPr>
              <w:pStyle w:val="P68B1DB1-TableParagraph17"/>
              <w:spacing w:before="108"/>
              <w:jc w:val="both"/>
            </w:pPr>
            <w:r>
              <w:t>Centrálne protistrany. Ak nie sú k dispozícii, môžu sa vykázať priemery za kratšie obdobie (napr. niekoľko mesiacov).</w:t>
            </w:r>
          </w:p>
          <w:p w14:paraId="7FE1BBB0" w14:textId="77777777" w:rsidR="007A5804" w:rsidRDefault="007B7723">
            <w:pPr>
              <w:pStyle w:val="P68B1DB1-TableParagraph17"/>
              <w:spacing w:before="108"/>
              <w:jc w:val="both"/>
            </w:pPr>
            <w:r>
              <w:t>alebo otvorené pozície na konci roka.</w:t>
            </w:r>
          </w:p>
        </w:tc>
      </w:tr>
      <w:tr w:rsidR="007A5804"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7A5804" w:rsidRDefault="007B772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7A5804" w:rsidRDefault="007B7723">
            <w:pPr>
              <w:pStyle w:val="P68B1DB1-Normal42"/>
              <w:rPr>
                <w:bCs/>
              </w:rPr>
            </w:pPr>
            <w:r>
              <w:t>Hodnota aktív v úschove</w:t>
            </w:r>
          </w:p>
          <w:p w14:paraId="7FE1BBB4" w14:textId="77777777" w:rsidR="007A5804" w:rsidRDefault="007B7723">
            <w:pPr>
              <w:pStyle w:val="P68B1DB1-TableParagraph13"/>
              <w:spacing w:before="108"/>
              <w:jc w:val="both"/>
            </w:pPr>
            <w:r>
              <w:t>Uveďte len pre funkciu ID 3.6 „Služby správy vecí verejných“: výška spravovaných aktív;</w:t>
            </w:r>
          </w:p>
          <w:p w14:paraId="7FE1BBB5" w14:textId="77777777" w:rsidR="007A5804" w:rsidRDefault="007B7723">
            <w:pPr>
              <w:pStyle w:val="P68B1DB1-TableParagraph13"/>
              <w:spacing w:before="108"/>
              <w:jc w:val="both"/>
            </w:pPr>
            <w:r>
              <w:t>použitie reálnej hodnoty. Ostatné základy oceňovania vrátane nominálnej hodnoty sa môžu použiť v prípade, že reálna hodnota nie je k dispozícii.</w:t>
            </w:r>
          </w:p>
          <w:p w14:paraId="7FE1BBB6" w14:textId="77777777" w:rsidR="007A5804" w:rsidRDefault="007B7723">
            <w:pPr>
              <w:pStyle w:val="P68B1DB1-TableParagraph13"/>
              <w:spacing w:before="108"/>
              <w:jc w:val="both"/>
            </w:pPr>
            <w:r>
              <w:t>hodnota nie je k dispozícii. V prípadoch, keď inštitúcia poskytuje služby subjektom</w:t>
            </w:r>
          </w:p>
          <w:p w14:paraId="7FE1BBB7" w14:textId="77777777" w:rsidR="007A5804" w:rsidRDefault="007B7723">
            <w:pPr>
              <w:pStyle w:val="P68B1DB1-TableParagraph13"/>
              <w:spacing w:before="108"/>
              <w:jc w:val="both"/>
            </w:pPr>
            <w:r>
              <w:t>ako sú podniky kolektívneho investovania alebo penzijné fondy, príslušné aktíva môžu:</w:t>
            </w:r>
          </w:p>
          <w:p w14:paraId="7FE1BBB8" w14:textId="77777777" w:rsidR="007A5804" w:rsidRDefault="007B7723">
            <w:pPr>
              <w:pStyle w:val="P68B1DB1-TableParagraph13"/>
              <w:spacing w:before="108"/>
              <w:jc w:val="both"/>
            </w:pPr>
            <w:r>
              <w:t>byť uvedené v hodnote, v ktorej tieto subjekty vykazujú aktíva vo svojej vlastnej súvahe.</w:t>
            </w:r>
          </w:p>
          <w:p w14:paraId="7FE1BBB9" w14:textId="77777777" w:rsidR="007A5804" w:rsidRDefault="007B7723">
            <w:pPr>
              <w:pStyle w:val="P68B1DB1-TableParagraph13"/>
              <w:spacing w:before="108"/>
              <w:jc w:val="both"/>
              <w:rPr>
                <w:b/>
                <w:bCs/>
              </w:rPr>
            </w:pPr>
            <w:r>
              <w:t>Vykázané hodnoty zahŕňajú v prípade vhodnosti vzniknutý úrok.</w:t>
            </w:r>
          </w:p>
        </w:tc>
      </w:tr>
      <w:tr w:rsidR="007A5804"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7A5804" w:rsidRDefault="007B7723">
            <w:pPr>
              <w:pStyle w:val="P68B1DB1-TableParagraph17"/>
              <w:spacing w:before="108"/>
              <w:ind w:left="85"/>
              <w:jc w:val="both"/>
            </w:pPr>
            <w:r>
              <w:t>0070 – 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7A5804" w:rsidRDefault="007B7723">
            <w:pPr>
              <w:pStyle w:val="P68B1DB1-TableParagraph14"/>
              <w:spacing w:before="108"/>
              <w:ind w:left="85"/>
              <w:jc w:val="both"/>
              <w:rPr>
                <w:bCs/>
              </w:rPr>
            </w:pPr>
            <w:r>
              <w:t>Cezhraničná hodnota</w:t>
            </w:r>
          </w:p>
          <w:p w14:paraId="7FE1BBBD" w14:textId="77777777" w:rsidR="007A5804" w:rsidRDefault="007B7723">
            <w:pPr>
              <w:pStyle w:val="P68B1DB1-TableParagraph13"/>
              <w:spacing w:before="108"/>
              <w:ind w:left="85"/>
              <w:jc w:val="both"/>
            </w:pPr>
            <w:r>
              <w:t>V prípade odoslaných transakcií, aby sa zabránilo dvojitému započítaniu, cezhraničné transakcie sú:</w:t>
            </w:r>
          </w:p>
          <w:p w14:paraId="7FE1BBBE" w14:textId="77777777" w:rsidR="007A5804" w:rsidRDefault="007B7723">
            <w:pPr>
              <w:pStyle w:val="P68B1DB1-TableParagraph13"/>
              <w:spacing w:before="108"/>
              <w:ind w:left="85"/>
              <w:jc w:val="both"/>
              <w:rPr>
                <w:b/>
                <w:bCs/>
              </w:rPr>
            </w:pPr>
            <w:r>
              <w:t>počíta sa v krajine, z ktorej transakcia pochádza.</w:t>
            </w:r>
          </w:p>
        </w:tc>
      </w:tr>
      <w:tr w:rsidR="007A5804"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7A5804" w:rsidRDefault="007B7723">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7A5804" w:rsidRDefault="007B7723">
            <w:pPr>
              <w:pStyle w:val="P68B1DB1-Normal42"/>
              <w:rPr>
                <w:bCs/>
              </w:rPr>
            </w:pPr>
            <w:r>
              <w:t>Počet transakcií</w:t>
            </w:r>
          </w:p>
          <w:p w14:paraId="7FE1BBC2" w14:textId="18871174" w:rsidR="007A5804" w:rsidRDefault="007B7723">
            <w:pPr>
              <w:pStyle w:val="P68B1DB1-TableParagraph16"/>
              <w:spacing w:before="108"/>
              <w:jc w:val="both"/>
            </w:pPr>
            <w:r>
              <w:t xml:space="preserve">Vo všeobecnosti sa vykazuje priemerný počet denných transakcií za rok zodpovedajúci hodnotám vykázaným v rámci funkcií ID 3.1 – 3.4 riadky 0160 – 0190, stĺpec 0030. Ak nie </w:t>
            </w:r>
            <w:r>
              <w:lastRenderedPageBreak/>
              <w:t xml:space="preserve">sú k dispozícii, môžu sa vykázať priemery za kratšie obdobie (napr. niekoľko mesiacov). So zreteľom na rôzne funkcie sa používajú tieto opatrenia: </w:t>
            </w:r>
          </w:p>
          <w:p w14:paraId="7FE1BBC3" w14:textId="77777777" w:rsidR="007A5804" w:rsidRDefault="007B7723">
            <w:pPr>
              <w:pStyle w:val="P68B1DB1-TableParagraph16"/>
              <w:spacing w:before="108"/>
              <w:jc w:val="both"/>
            </w:pPr>
            <w:r>
              <w:t xml:space="preserve">Platobné služby (ID 3.1 až 3.2): Počet odoslaných transakcií. Odkazy: Smernica EÚ o platobných službách na vnútornom trhu (2015/2366), článok 4 ods. 5; Nariadenie ECB o štatistike platieb (ECB/2013/43). </w:t>
            </w:r>
          </w:p>
          <w:p w14:paraId="7FE1BBC4" w14:textId="176A1AD0" w:rsidR="007A5804" w:rsidRDefault="007B7723">
            <w:pPr>
              <w:pStyle w:val="P68B1DB1-TableParagraph16"/>
              <w:spacing w:before="108"/>
              <w:jc w:val="both"/>
            </w:pPr>
            <w:r>
              <w:t xml:space="preserve">Pokladničná hotovosť (ID 3.3): Počet transakcií prostredníctvom bankomatov podľa vymedzenia v tabuľke 5a v odporúčaní ECB/2021/16, ako aj OTC výbery hotovosti podľa vymedzenia v tabuľke 4 v odporúčaní ECB/2014/15. </w:t>
            </w:r>
          </w:p>
          <w:p w14:paraId="7FE1BBC5" w14:textId="77777777" w:rsidR="007A5804" w:rsidRDefault="007B7723">
            <w:pPr>
              <w:pStyle w:val="P68B1DB1-TableParagraph16"/>
              <w:spacing w:before="108"/>
              <w:jc w:val="both"/>
              <w:rPr>
                <w:b/>
                <w:bCs/>
                <w:color w:val="000000" w:themeColor="text1"/>
                <w:sz w:val="20"/>
                <w:szCs w:val="20"/>
              </w:rPr>
            </w:pPr>
            <w:r>
              <w:t>Služby vyrovnania transakcií s cennými papiermi (ID 3.4): Počet transakcií prevodov cenných papierov spracovaných v mene klientov. Patria sem transakcie vyrovnané systémom vyrovnania transakcií s cennými papiermi alebo vyrovnané interne vykazujúcimi subjektami a transakcie „bez platby“.</w:t>
            </w:r>
          </w:p>
        </w:tc>
      </w:tr>
      <w:tr w:rsidR="007A5804"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7A5804" w:rsidRDefault="007B7723">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7A5804" w:rsidRDefault="007B7723">
            <w:pPr>
              <w:pStyle w:val="P68B1DB1-TableParagraph14"/>
              <w:spacing w:before="108"/>
              <w:ind w:left="85"/>
              <w:jc w:val="both"/>
              <w:rPr>
                <w:bCs/>
              </w:rPr>
            </w:pPr>
            <w:r>
              <w:t>Počet klientov</w:t>
            </w:r>
          </w:p>
          <w:p w14:paraId="7FE1BBC9" w14:textId="5C934B58" w:rsidR="007A5804" w:rsidRDefault="007B7723">
            <w:pPr>
              <w:pStyle w:val="P68B1DB1-TableParagraph13"/>
              <w:spacing w:before="108"/>
              <w:ind w:left="85"/>
              <w:jc w:val="both"/>
            </w:pPr>
            <w:r>
              <w:t>Počet klientov (rezidentov a nerezidentov), ktorým sa služba poskytuje. Ak jeden klient využíva službu v rámci čiastkovej funkcie viac ako raz, klient sa počíta len raz.</w:t>
            </w:r>
          </w:p>
        </w:tc>
      </w:tr>
      <w:tr w:rsidR="007A5804"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7A5804" w:rsidRDefault="007B7723">
            <w:pPr>
              <w:pStyle w:val="P68B1DB1-TableParagraph17"/>
              <w:spacing w:before="108"/>
              <w:jc w:val="both"/>
            </w:pPr>
            <w:r>
              <w:t>0120 – 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7A5804" w:rsidRDefault="007B7723">
            <w:pPr>
              <w:pStyle w:val="P68B1DB1-TableParagraph14"/>
              <w:spacing w:before="108"/>
              <w:jc w:val="both"/>
              <w:rPr>
                <w:bCs/>
              </w:rPr>
            </w:pPr>
            <w:r>
              <w:t>Analýzy vplyvu a nahraditeľnosti</w:t>
            </w:r>
          </w:p>
          <w:p w14:paraId="7FE1BBD0" w14:textId="77777777" w:rsidR="007A5804" w:rsidRDefault="007B7723">
            <w:pPr>
              <w:pStyle w:val="P68B1DB1-TableParagraph13"/>
              <w:spacing w:before="108"/>
              <w:jc w:val="both"/>
            </w:pPr>
            <w:r>
              <w:t>Kritériá posudzovania vplyvu na tretie strany zahŕňajú v súlade s delegovaným nariadením Komisie (EÚ) 2016/778 o zásadných funkciách tieto prvky:</w:t>
            </w:r>
          </w:p>
          <w:p w14:paraId="7FE1BBD1" w14:textId="77777777" w:rsidR="007A5804" w:rsidRDefault="007B7723">
            <w:pPr>
              <w:pStyle w:val="P68B1DB1-ListParagraph38"/>
              <w:numPr>
                <w:ilvl w:val="0"/>
                <w:numId w:val="131"/>
              </w:numPr>
              <w:spacing w:line="276" w:lineRule="auto"/>
            </w:pPr>
            <w:r>
              <w:t>povaha a dosah činnosti, globálny, vnútroštátny alebo regionálny dosah, objem a počet transakcií; počet klientov a protistrán; počet klientov, pre ktorých je inštitúcia jediným alebo hlavným bankovým partnerom.</w:t>
            </w:r>
          </w:p>
          <w:p w14:paraId="7FE1BBD2" w14:textId="77777777" w:rsidR="007A5804" w:rsidRDefault="007B7723">
            <w:pPr>
              <w:pStyle w:val="P68B1DB1-ListParagraph38"/>
              <w:numPr>
                <w:ilvl w:val="0"/>
                <w:numId w:val="131"/>
              </w:numPr>
              <w:spacing w:line="276" w:lineRule="auto"/>
            </w:pPr>
            <w:r>
              <w:t>význam inštitúcie na miestnej, regionálnej, vnútroštátnej alebo európskej úrovni, podľa vhodnosti pre príslušný trh. Význam inštitúcie sa môže posúdiť na základe trhového podielu, prepojenosti, zložitosti alebo cezhraničných činností;</w:t>
            </w:r>
          </w:p>
          <w:p w14:paraId="7FE1BBD3" w14:textId="77777777" w:rsidR="007A5804" w:rsidRDefault="007B7723">
            <w:pPr>
              <w:pStyle w:val="P68B1DB1-ListParagraph38"/>
              <w:numPr>
                <w:ilvl w:val="0"/>
                <w:numId w:val="131"/>
              </w:numPr>
              <w:spacing w:line="276" w:lineRule="auto"/>
            </w:pPr>
            <w:r>
              <w:t xml:space="preserve">povaha zákazníkov a zainteresovaných strán, ktorých sa funkcia týka, napríklad, ale nie výhradne, retailových zákazníkov, firemných zákazníkov, medzibankových zákazníkov, centrálnych zúčtovacích stredísk a verejných subjektov; </w:t>
            </w:r>
          </w:p>
          <w:p w14:paraId="7FE1BBD4" w14:textId="77777777" w:rsidR="007A5804" w:rsidRDefault="007B7723">
            <w:pPr>
              <w:pStyle w:val="P68B1DB1-ListParagraph38"/>
              <w:numPr>
                <w:ilvl w:val="0"/>
                <w:numId w:val="131"/>
              </w:numPr>
              <w:spacing w:line="276" w:lineRule="auto"/>
            </w:pPr>
            <w:r>
              <w:t>potenciálne narušenie funkcie v rámci trhov, infraštruktúr, zákazníkov a verejných služieb. Posúdenie môže zahŕňať najmä vplyv na likviditu dotknutých trhov, vplyv a rozsah narušenia obchodnej činnosti zákazníkov a krátkodobé potreby likvidity; vnímateľnosť pre protistrany, zákazníkov a verejnosť; schopnosť a rýchlosť reakcie zákazníka; význam pre fungovanie iných trhov; vplyv na likviditu, operácie a štruktúru iného trhu; vplyv na ostatné protistrany súvisiace s hlavnými klientmi a vzájomný vzťah funkcie s inými službami.</w:t>
            </w:r>
          </w:p>
          <w:p w14:paraId="7FE1BBD5"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7A5804" w:rsidRDefault="007B7723">
            <w:pPr>
              <w:pStyle w:val="P68B1DB1-TableParagraph17"/>
              <w:spacing w:before="108"/>
              <w:jc w:val="both"/>
            </w:pPr>
            <w:r>
              <w:t>0120 – 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7A5804" w:rsidRDefault="007B7723">
            <w:pPr>
              <w:pStyle w:val="P68B1DB1-TableParagraph14"/>
              <w:spacing w:before="108"/>
              <w:jc w:val="both"/>
              <w:rPr>
                <w:bCs/>
              </w:rPr>
            </w:pPr>
            <w:r>
              <w:t xml:space="preserve">Príroda a dosah </w:t>
            </w:r>
          </w:p>
          <w:p w14:paraId="7FE1BBD9" w14:textId="77777777" w:rsidR="007A5804" w:rsidRDefault="007B7723">
            <w:pPr>
              <w:pStyle w:val="P68B1DB1-TableParagraph13"/>
              <w:spacing w:before="108"/>
              <w:jc w:val="both"/>
            </w:pPr>
            <w:r>
              <w:t>Globálny, vnútroštátny alebo regionálny dosah, objem a počet transakcií; počet klientov a protistrán; počet klientov, pre ktorých je inštitúcia jediným alebo hlavným bankovým partnerom.</w:t>
            </w:r>
          </w:p>
        </w:tc>
      </w:tr>
      <w:tr w:rsidR="007A5804"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7A5804" w:rsidRDefault="007B7723">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7A5804" w:rsidRDefault="007B7723">
            <w:pPr>
              <w:pStyle w:val="P68B1DB1-TableParagraph14"/>
              <w:spacing w:before="108"/>
              <w:jc w:val="both"/>
              <w:rPr>
                <w:bCs/>
              </w:rPr>
            </w:pPr>
            <w:r>
              <w:t>Ukazovateľ veľkosti 1</w:t>
            </w:r>
          </w:p>
          <w:p w14:paraId="0D530995"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BDD" w14:textId="31D8226E" w:rsidR="007A5804" w:rsidRDefault="007A5804">
            <w:pPr>
              <w:pStyle w:val="TableParagraph"/>
              <w:spacing w:before="108"/>
              <w:jc w:val="both"/>
              <w:rPr>
                <w:rFonts w:ascii="Times New Roman" w:hAnsi="Times New Roman" w:cs="Times New Roman"/>
                <w:color w:val="000000" w:themeColor="text1"/>
                <w:sz w:val="20"/>
                <w:szCs w:val="20"/>
              </w:rPr>
            </w:pPr>
          </w:p>
          <w:p w14:paraId="7FE1BBDE" w14:textId="19F9153D" w:rsidR="007A5804" w:rsidRDefault="007B7723">
            <w:pPr>
              <w:pStyle w:val="P68B1DB1-ListParagraph32"/>
              <w:numPr>
                <w:ilvl w:val="0"/>
                <w:numId w:val="300"/>
              </w:numPr>
              <w:spacing w:line="276" w:lineRule="auto"/>
            </w:pPr>
            <w:r>
              <w:t xml:space="preserve">Odborný posudok veľkosti </w:t>
            </w:r>
            <w:r>
              <w:rPr>
                <w:b/>
              </w:rPr>
              <w:t>hodnoty</w:t>
            </w:r>
            <w:r>
              <w:t xml:space="preserve"> transakcií (c0030 pre funkcie ID 3.1, 3.2, 3.3 a 3.4); otvorené pozície (c0050 pre ID 3.5); alebo celkové aktíva v úschove (c0060 pre ID 3.6) z pohľadu </w:t>
            </w:r>
            <w:r>
              <w:rPr>
                <w:b/>
              </w:rPr>
              <w:t>EÚ</w:t>
            </w:r>
            <w:r>
              <w:t xml:space="preserve"> [o</w:t>
            </w:r>
            <w:r>
              <w:rPr>
                <w:i/>
              </w:rPr>
              <w:t>jednu úroveň vyššiu ako príslušný trh]</w:t>
            </w:r>
            <w:r>
              <w:t xml:space="preserve">: </w:t>
            </w:r>
          </w:p>
          <w:p w14:paraId="7FE1BBDF" w14:textId="77777777" w:rsidR="007A5804" w:rsidRDefault="007B7723">
            <w:pPr>
              <w:pStyle w:val="P68B1DB1-ListParagraph32"/>
              <w:numPr>
                <w:ilvl w:val="0"/>
                <w:numId w:val="126"/>
              </w:numPr>
              <w:spacing w:line="276" w:lineRule="auto"/>
            </w:pPr>
            <w:r>
              <w:t xml:space="preserve">Aká veľká je podľa vás z pohľadu EÚ hodnota transakcií spracovaných vašou bankou </w:t>
            </w:r>
            <w:r>
              <w:rPr>
                <w:i/>
              </w:rPr>
              <w:t>alebo</w:t>
            </w:r>
            <w:r>
              <w:t xml:space="preserve"> otvorené pozície klientov vašej banky v centrálnych protistranách </w:t>
            </w:r>
            <w:r>
              <w:rPr>
                <w:i/>
              </w:rPr>
              <w:t>alebo</w:t>
            </w:r>
            <w:r>
              <w:t xml:space="preserve"> celkové aktíva, ktoré vaša inštitúcia drží v úschove pre svojich klientov?</w:t>
            </w:r>
          </w:p>
        </w:tc>
      </w:tr>
      <w:tr w:rsidR="007A5804"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7A5804" w:rsidRDefault="007B7723">
            <w:pPr>
              <w:pStyle w:val="P68B1DB1-TableParagraph17"/>
              <w:spacing w:before="108"/>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7A5804" w:rsidRDefault="007B7723">
            <w:pPr>
              <w:pStyle w:val="P68B1DB1-TableParagraph14"/>
              <w:spacing w:before="108"/>
              <w:jc w:val="both"/>
              <w:rPr>
                <w:bCs/>
              </w:rPr>
            </w:pPr>
            <w:r>
              <w:t>Ukazovateľ veľkosti 2</w:t>
            </w:r>
          </w:p>
          <w:p w14:paraId="7D6A05E9"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BE3" w14:textId="27BCCC99" w:rsidR="007A5804" w:rsidRDefault="007B7723">
            <w:pPr>
              <w:pStyle w:val="P68B1DB1-TableParagraph13"/>
              <w:spacing w:before="108"/>
              <w:jc w:val="both"/>
            </w:pPr>
            <w:r>
              <w:t xml:space="preserve"> </w:t>
            </w:r>
          </w:p>
          <w:p w14:paraId="7FE1BBE4" w14:textId="0FB26117" w:rsidR="007A5804" w:rsidRDefault="007B7723">
            <w:pPr>
              <w:pStyle w:val="P68B1DB1-ListParagraph32"/>
              <w:numPr>
                <w:ilvl w:val="0"/>
                <w:numId w:val="120"/>
              </w:numPr>
              <w:spacing w:line="276" w:lineRule="auto"/>
            </w:pPr>
            <w:r>
              <w:t xml:space="preserve">Odborný posudok veľkosti </w:t>
            </w:r>
            <w:r>
              <w:rPr>
                <w:b/>
              </w:rPr>
              <w:t>počtu</w:t>
            </w:r>
            <w:r>
              <w:t xml:space="preserve"> transakcií (c0100 pre funkciu ID 3.1, 3.2, 3.3 a 3.4); alebo počet klientov (c0110 pre ID 3.5 a 3.6) z </w:t>
            </w:r>
            <w:r>
              <w:rPr>
                <w:b/>
              </w:rPr>
              <w:t>vnútroštátneho</w:t>
            </w:r>
            <w:r>
              <w:t xml:space="preserve"> hľadiska</w:t>
            </w:r>
            <w:r>
              <w:rPr>
                <w:i/>
              </w:rPr>
              <w:t>[na úrovni relevantného trhu</w:t>
            </w:r>
            <w:r>
              <w:t>]:</w:t>
            </w:r>
          </w:p>
          <w:p w14:paraId="7FE1BBE5" w14:textId="77777777" w:rsidR="007A5804" w:rsidRDefault="007B7723">
            <w:pPr>
              <w:pStyle w:val="P68B1DB1-ListParagraph32"/>
              <w:numPr>
                <w:ilvl w:val="1"/>
                <w:numId w:val="124"/>
              </w:numPr>
              <w:spacing w:line="276" w:lineRule="auto"/>
            </w:pPr>
            <w:r>
              <w:t>Aký veľký je z vnútroštátneho hľadiska odhadovaný celkový počet transakcií</w:t>
            </w:r>
            <w:r>
              <w:rPr>
                <w:i/>
              </w:rPr>
              <w:t xml:space="preserve"> alebo</w:t>
            </w:r>
            <w:r>
              <w:t xml:space="preserve"> odhadovaný počet klientov vašej inštitúcie?</w:t>
            </w:r>
          </w:p>
          <w:p w14:paraId="7FE1BBE6" w14:textId="77777777" w:rsidR="007A5804" w:rsidRDefault="007A5804">
            <w:pPr>
              <w:spacing w:line="276" w:lineRule="auto"/>
              <w:rPr>
                <w:rFonts w:ascii="Times New Roman" w:hAnsi="Times New Roman"/>
                <w:color w:val="000000" w:themeColor="text1"/>
                <w:sz w:val="20"/>
                <w:szCs w:val="20"/>
              </w:rPr>
            </w:pPr>
          </w:p>
        </w:tc>
      </w:tr>
      <w:tr w:rsidR="007A5804"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7A5804" w:rsidRDefault="007B7723">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7A5804" w:rsidRDefault="007B7723">
            <w:pPr>
              <w:pStyle w:val="P68B1DB1-TableParagraph14"/>
              <w:spacing w:before="108"/>
              <w:jc w:val="both"/>
              <w:rPr>
                <w:bCs/>
              </w:rPr>
            </w:pPr>
            <w:r>
              <w:t>Cezhraničný ukazovateľ</w:t>
            </w:r>
          </w:p>
          <w:p w14:paraId="7FE1BBEA" w14:textId="77777777" w:rsidR="007A5804" w:rsidRDefault="007B7723">
            <w:pPr>
              <w:pStyle w:val="P68B1DB1-TableParagraph13"/>
              <w:spacing w:before="108"/>
              <w:jc w:val="both"/>
            </w:pPr>
            <w:r>
              <w:t>Posúdiť relatívny význam cezhraničných činností pre rôzne hospodárske funkcie.</w:t>
            </w:r>
          </w:p>
          <w:p w14:paraId="7FE1BBEB" w14:textId="77777777" w:rsidR="007A5804" w:rsidRDefault="007B7723">
            <w:pPr>
              <w:pStyle w:val="P68B1DB1-TableParagraph13"/>
              <w:spacing w:before="108"/>
              <w:jc w:val="both"/>
            </w:pPr>
            <w:r>
              <w:t xml:space="preserve">Toto sa nemusí posudzovať v prípade správ, v ktorých sa relevantný trh považuje za regionálny. </w:t>
            </w:r>
          </w:p>
          <w:p w14:paraId="31893031" w14:textId="17F40C8B" w:rsidR="007A5804" w:rsidRDefault="007B7723">
            <w:pPr>
              <w:pStyle w:val="P68B1DB1-TableParagraph33"/>
              <w:spacing w:before="108"/>
              <w:jc w:val="both"/>
            </w:pPr>
            <w:r>
              <w:t xml:space="preserve">Počet krajín EÚ, v ktorých má vykazujúci subjekt trhový podiel vyšší ako 2 % (vyjadrený v hodnote platobných transakcií, transakcií s cennými papiermi alebo hotovostných transakcií, otvorených pozícií klientov v centrálnych protistranách alebo celkových aktív v úschove). Správa: </w:t>
            </w:r>
          </w:p>
          <w:p w14:paraId="58BCAA6E" w14:textId="090336B0" w:rsidR="007A5804" w:rsidRDefault="007B7723">
            <w:pPr>
              <w:pStyle w:val="P68B1DB1-TableParagraph33"/>
              <w:numPr>
                <w:ilvl w:val="0"/>
                <w:numId w:val="282"/>
              </w:numPr>
              <w:spacing w:before="108"/>
              <w:jc w:val="both"/>
            </w:pPr>
            <w:r>
              <w:t xml:space="preserve">≤ 1 krajina; </w:t>
            </w:r>
          </w:p>
          <w:p w14:paraId="5B55A7F9" w14:textId="6B3C23F3" w:rsidR="007A5804" w:rsidRDefault="007B7723">
            <w:pPr>
              <w:pStyle w:val="P68B1DB1-TableParagraph33"/>
              <w:numPr>
                <w:ilvl w:val="0"/>
                <w:numId w:val="282"/>
              </w:numPr>
              <w:spacing w:before="108"/>
              <w:jc w:val="both"/>
            </w:pPr>
            <w:r>
              <w:t>V 2 – 3 krajinách</w:t>
            </w:r>
          </w:p>
          <w:p w14:paraId="6A334CED" w14:textId="15F946E0" w:rsidR="007A5804" w:rsidRDefault="007B7723">
            <w:pPr>
              <w:pStyle w:val="P68B1DB1-TableParagraph33"/>
              <w:numPr>
                <w:ilvl w:val="0"/>
                <w:numId w:val="282"/>
              </w:numPr>
              <w:spacing w:before="108"/>
              <w:jc w:val="both"/>
            </w:pPr>
            <w:r>
              <w:t xml:space="preserve">4 – 5 krajín; </w:t>
            </w:r>
          </w:p>
          <w:p w14:paraId="4D1B0AB8" w14:textId="03F4FDF2" w:rsidR="007A5804" w:rsidRDefault="007B7723">
            <w:pPr>
              <w:pStyle w:val="P68B1DB1-TableParagraph33"/>
              <w:numPr>
                <w:ilvl w:val="0"/>
                <w:numId w:val="282"/>
              </w:numPr>
              <w:spacing w:before="108"/>
              <w:jc w:val="both"/>
            </w:pPr>
            <w:r>
              <w:t xml:space="preserve">&gt; 5 krajín, </w:t>
            </w:r>
          </w:p>
          <w:p w14:paraId="7FE1BBED" w14:textId="6A2A41A1" w:rsidR="007A5804" w:rsidRDefault="007B7723">
            <w:pPr>
              <w:pStyle w:val="P68B1DB1-TableParagraph33"/>
              <w:spacing w:before="108"/>
              <w:jc w:val="both"/>
              <w:rPr>
                <w:rFonts w:cs="Times New Roman"/>
                <w:color w:val="000000" w:themeColor="text1"/>
              </w:rPr>
            </w:pPr>
            <w:r>
              <w:t xml:space="preserve"> </w:t>
            </w:r>
          </w:p>
        </w:tc>
      </w:tr>
      <w:tr w:rsidR="007A5804"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7A5804" w:rsidRDefault="007B7723">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7A5804" w:rsidRDefault="007B7723">
            <w:pPr>
              <w:pStyle w:val="P68B1DB1-TableParagraph14"/>
              <w:spacing w:before="108"/>
              <w:jc w:val="both"/>
              <w:rPr>
                <w:bCs/>
              </w:rPr>
            </w:pPr>
            <w:r>
              <w:t xml:space="preserve">Relevantnosť — </w:t>
            </w:r>
          </w:p>
          <w:p w14:paraId="7FE1BBF1" w14:textId="77777777" w:rsidR="007A5804" w:rsidRDefault="007B7723">
            <w:pPr>
              <w:pStyle w:val="P68B1DB1-TableParagraph13"/>
              <w:spacing w:before="108"/>
              <w:jc w:val="both"/>
            </w:pPr>
            <w:r>
              <w:t>Na miestnej, regionálnej, vnútroštátnej alebo európskej úrovni, podľa vhodnosti pre príslušný trh. Význam inštitúcie sa môže posúdiť na základe trhového podielu, prepojenosti, zložitosti alebo cezhraničných činností;</w:t>
            </w:r>
          </w:p>
          <w:p w14:paraId="7FE1BBF2" w14:textId="77777777" w:rsidR="007A5804" w:rsidRDefault="007B7723">
            <w:pPr>
              <w:pStyle w:val="P68B1DB1-TableParagraph14"/>
              <w:spacing w:before="108"/>
              <w:jc w:val="both"/>
              <w:rPr>
                <w:bCs/>
              </w:rPr>
            </w:pPr>
            <w:r>
              <w:t>Podiel na trhu</w:t>
            </w:r>
          </w:p>
          <w:p w14:paraId="30AC503F" w14:textId="77777777" w:rsidR="007A5804" w:rsidRDefault="007B7723">
            <w:pPr>
              <w:pStyle w:val="P68B1DB1-Normal31"/>
              <w:spacing w:line="276" w:lineRule="auto"/>
              <w:jc w:val="both"/>
            </w:pPr>
            <w:r>
              <w:t xml:space="preserve">Posúdiť význam podielu vykazujúceho subjektu na trhu v porovnaní s vnútroštátnym alebo iným relevantným trhom, ako sa uvádza vo vzore. Toto posúdenie je vyjadrené kvalitatívne ako </w:t>
            </w:r>
          </w:p>
          <w:p w14:paraId="5D8F45F8" w14:textId="77777777" w:rsidR="007A5804" w:rsidRDefault="007B7723">
            <w:pPr>
              <w:pStyle w:val="P68B1DB1-ListParagraph32"/>
              <w:numPr>
                <w:ilvl w:val="0"/>
                <w:numId w:val="276"/>
              </w:numPr>
              <w:spacing w:line="276" w:lineRule="auto"/>
              <w:jc w:val="both"/>
            </w:pPr>
            <w:r>
              <w:t>Vysoký, ak je podiel na trhu veľký</w:t>
            </w:r>
          </w:p>
          <w:p w14:paraId="5C7C2710" w14:textId="77777777" w:rsidR="007A5804" w:rsidRDefault="007B7723">
            <w:pPr>
              <w:pStyle w:val="P68B1DB1-ListParagraph32"/>
              <w:numPr>
                <w:ilvl w:val="0"/>
                <w:numId w:val="276"/>
              </w:numPr>
              <w:spacing w:line="276" w:lineRule="auto"/>
              <w:jc w:val="both"/>
            </w:pPr>
            <w:r>
              <w:t>Stredná – vysoká, ak je podiel na trhu stredný</w:t>
            </w:r>
          </w:p>
          <w:p w14:paraId="21F38734" w14:textId="77777777" w:rsidR="007A5804" w:rsidRDefault="007B7723">
            <w:pPr>
              <w:pStyle w:val="P68B1DB1-ListParagraph32"/>
              <w:numPr>
                <w:ilvl w:val="0"/>
                <w:numId w:val="276"/>
              </w:numPr>
              <w:spacing w:line="276" w:lineRule="auto"/>
              <w:jc w:val="both"/>
            </w:pPr>
            <w:r>
              <w:t xml:space="preserve">Stredne nízky, ak je podiel na trhu malý alebo </w:t>
            </w:r>
          </w:p>
          <w:p w14:paraId="16968912" w14:textId="77777777" w:rsidR="007A5804" w:rsidRDefault="007B7723">
            <w:pPr>
              <w:pStyle w:val="P68B1DB1-ListParagraph32"/>
              <w:numPr>
                <w:ilvl w:val="0"/>
                <w:numId w:val="276"/>
              </w:numPr>
              <w:spacing w:line="276" w:lineRule="auto"/>
              <w:jc w:val="both"/>
            </w:pPr>
            <w:r>
              <w:t xml:space="preserve">Nízky, ak je podiel na trhu zanedbateľný. </w:t>
            </w:r>
          </w:p>
          <w:p w14:paraId="7FE1BBF7" w14:textId="3931B1D9" w:rsidR="007A5804" w:rsidRDefault="007A5804">
            <w:pPr>
              <w:pStyle w:val="ListParagraph"/>
              <w:spacing w:line="276" w:lineRule="auto"/>
              <w:jc w:val="both"/>
              <w:rPr>
                <w:rFonts w:ascii="Times New Roman" w:eastAsiaTheme="minorHAnsi" w:hAnsi="Times New Roman"/>
                <w:color w:val="000000" w:themeColor="text1"/>
                <w:sz w:val="20"/>
                <w:szCs w:val="20"/>
              </w:rPr>
            </w:pPr>
          </w:p>
          <w:p w14:paraId="7FE1BBF8" w14:textId="77777777" w:rsidR="007A5804" w:rsidRDefault="007B7723">
            <w:pPr>
              <w:pStyle w:val="P68B1DB1-TableParagraph13"/>
              <w:spacing w:before="108"/>
              <w:jc w:val="both"/>
            </w:pPr>
            <w:r>
              <w:lastRenderedPageBreak/>
              <w:t xml:space="preserve">V tomto posúdení sa zohľadňuje trhová štruktúra krajiny vykazujúceho subjektu (alebo iného relevantného trhu) a podiely na trhu vykázané čiastočne. </w:t>
            </w:r>
          </w:p>
          <w:p w14:paraId="7FE1BBF9" w14:textId="77777777" w:rsidR="007A5804" w:rsidRDefault="007B7723">
            <w:pPr>
              <w:pStyle w:val="P68B1DB1-TableParagraph13"/>
              <w:spacing w:before="108"/>
              <w:jc w:val="both"/>
            </w:pPr>
            <w:r>
              <w:t>2.Kvantitatívne údaje:</w:t>
            </w:r>
          </w:p>
          <w:p w14:paraId="7FE1BBFA" w14:textId="77777777" w:rsidR="007A5804" w:rsidRDefault="007B7723">
            <w:pPr>
              <w:pStyle w:val="P68B1DB1-ListParagraph32"/>
              <w:numPr>
                <w:ilvl w:val="0"/>
                <w:numId w:val="117"/>
              </w:numPr>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BFB"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BFC"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7A5804" w:rsidRDefault="007B7723">
            <w:pPr>
              <w:pStyle w:val="P68B1DB1-TableParagraph17"/>
              <w:spacing w:before="108"/>
              <w:jc w:val="both"/>
            </w:pPr>
            <w:r>
              <w:lastRenderedPageBreak/>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7A5804" w:rsidRDefault="007B7723">
            <w:pPr>
              <w:pStyle w:val="P68B1DB1-TableParagraph14"/>
              <w:spacing w:before="108"/>
              <w:jc w:val="both"/>
              <w:rPr>
                <w:bCs/>
              </w:rPr>
            </w:pPr>
            <w:r>
              <w:t>Štruktúra trhu – koncentrácia trhu</w:t>
            </w:r>
          </w:p>
          <w:p w14:paraId="7FE1BC00" w14:textId="77777777" w:rsidR="007A5804" w:rsidRDefault="007B7723">
            <w:pPr>
              <w:pStyle w:val="P68B1DB1-TableParagraph13"/>
              <w:spacing w:before="108"/>
              <w:jc w:val="both"/>
            </w:pPr>
            <w:r>
              <w:t xml:space="preserve">Koncentrácia trhu meraná počtom konkurentov, ktorí v súčasnosti vykonávajú svoju činnosť </w:t>
            </w:r>
          </w:p>
          <w:p w14:paraId="7FE1BC01" w14:textId="77777777" w:rsidR="007A5804" w:rsidRDefault="007B7723">
            <w:pPr>
              <w:pStyle w:val="P68B1DB1-TableParagraph13"/>
              <w:spacing w:before="108"/>
              <w:jc w:val="both"/>
            </w:pPr>
            <w:r>
              <w:t xml:space="preserve">podobné hospodárske funkcie a/alebo ponúkajúce podobné služby za rovnakých podmienok (t. j. pre </w:t>
            </w:r>
          </w:p>
          <w:p w14:paraId="7FE1BC02" w14:textId="77777777" w:rsidR="007A5804" w:rsidRDefault="007B7723">
            <w:pPr>
              <w:pStyle w:val="P68B1DB1-TableParagraph13"/>
              <w:spacing w:before="108"/>
              <w:jc w:val="both"/>
            </w:pPr>
            <w:r>
              <w:t xml:space="preserve">porovnateľný rozsah a kvalita a za porovnateľné náklady), ktoré potenciálne prevezmú </w:t>
            </w:r>
          </w:p>
          <w:p w14:paraId="7FE1BC03" w14:textId="77777777" w:rsidR="007A5804" w:rsidRDefault="007B7723">
            <w:pPr>
              <w:pStyle w:val="P68B1DB1-TableParagraph13"/>
              <w:spacing w:before="108"/>
              <w:jc w:val="both"/>
            </w:pPr>
            <w:r>
              <w:t xml:space="preserve">(časť) klientov a/alebo obchodnej činnosti vykazujúceho subjektu v primeranom časovom rámci. </w:t>
            </w:r>
          </w:p>
          <w:p w14:paraId="7FE1BC04" w14:textId="77777777" w:rsidR="007A5804" w:rsidRDefault="007B7723">
            <w:pPr>
              <w:pStyle w:val="P68B1DB1-TableParagraph13"/>
              <w:spacing w:before="108"/>
              <w:jc w:val="both"/>
            </w:pPr>
            <w:r>
              <w:t xml:space="preserve">Vykazuje sa v skupinách, ktoré sú rovnaké pre každú čiastkovú funkciu. </w:t>
            </w:r>
          </w:p>
          <w:p w14:paraId="4C2F14CB" w14:textId="77777777" w:rsidR="007A5804" w:rsidRDefault="007B7723">
            <w:pPr>
              <w:pStyle w:val="P68B1DB1-ListParagraph32"/>
              <w:numPr>
                <w:ilvl w:val="0"/>
                <w:numId w:val="277"/>
              </w:numPr>
              <w:jc w:val="both"/>
            </w:pPr>
            <w:r>
              <w:t xml:space="preserve">&gt; 20 konkurentov; </w:t>
            </w:r>
          </w:p>
          <w:p w14:paraId="453D853E" w14:textId="77777777" w:rsidR="007A5804" w:rsidRDefault="007B7723">
            <w:pPr>
              <w:pStyle w:val="P68B1DB1-ListParagraph32"/>
              <w:numPr>
                <w:ilvl w:val="0"/>
                <w:numId w:val="277"/>
              </w:numPr>
              <w:jc w:val="both"/>
            </w:pPr>
            <w:r>
              <w:t xml:space="preserve">11 – 20 konkurentov, </w:t>
            </w:r>
          </w:p>
          <w:p w14:paraId="642D6421" w14:textId="77777777" w:rsidR="007A5804" w:rsidRDefault="007B7723">
            <w:pPr>
              <w:pStyle w:val="P68B1DB1-ListParagraph32"/>
              <w:numPr>
                <w:ilvl w:val="0"/>
                <w:numId w:val="277"/>
              </w:numPr>
              <w:jc w:val="both"/>
            </w:pPr>
            <w:r>
              <w:t xml:space="preserve">5 – 10 konkurentov, </w:t>
            </w:r>
          </w:p>
          <w:p w14:paraId="3C672034" w14:textId="77777777" w:rsidR="007A5804" w:rsidRDefault="007B7723">
            <w:pPr>
              <w:pStyle w:val="P68B1DB1-ListParagraph32"/>
              <w:numPr>
                <w:ilvl w:val="0"/>
                <w:numId w:val="277"/>
              </w:numPr>
              <w:jc w:val="both"/>
              <w:rPr>
                <w:b/>
                <w:bCs/>
                <w:color w:val="000000" w:themeColor="text1"/>
              </w:rPr>
            </w:pPr>
            <w:r>
              <w:t>&amp;5 konkurentov</w:t>
            </w:r>
          </w:p>
          <w:p w14:paraId="7FE1BC08" w14:textId="3B09659F" w:rsidR="007A5804" w:rsidRDefault="007A5804">
            <w:pPr>
              <w:jc w:val="both"/>
              <w:rPr>
                <w:rFonts w:ascii="Times New Roman" w:hAnsi="Times New Roman"/>
                <w:color w:val="000000" w:themeColor="text1"/>
                <w:sz w:val="20"/>
                <w:szCs w:val="20"/>
              </w:rPr>
            </w:pPr>
          </w:p>
        </w:tc>
      </w:tr>
      <w:tr w:rsidR="007A5804"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7A5804" w:rsidRDefault="007B7723">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7A5804" w:rsidRDefault="007B7723">
            <w:pPr>
              <w:pStyle w:val="P68B1DB1-TableParagraph14"/>
              <w:spacing w:before="108"/>
              <w:jc w:val="both"/>
              <w:rPr>
                <w:bCs/>
              </w:rPr>
            </w:pPr>
            <w:r>
              <w:t>Načasovanie – očakávaný čas substitúcie</w:t>
            </w:r>
          </w:p>
          <w:p w14:paraId="7FE1BC0C" w14:textId="77777777" w:rsidR="007A5804" w:rsidRDefault="007B7723">
            <w:pPr>
              <w:pStyle w:val="P68B1DB1-TableParagraph13"/>
              <w:spacing w:before="108"/>
              <w:jc w:val="both"/>
            </w:pPr>
            <w:r>
              <w:t>Odhadnúť čas potrebný na ekonomickú funkciu, ktorú poskytuje podávanie správ</w:t>
            </w:r>
          </w:p>
          <w:p w14:paraId="7FE1BC0D" w14:textId="77777777" w:rsidR="007A5804" w:rsidRDefault="007B7723">
            <w:pPr>
              <w:pStyle w:val="P68B1DB1-TableParagraph13"/>
              <w:spacing w:before="108"/>
              <w:jc w:val="both"/>
            </w:pPr>
            <w:r>
              <w:t xml:space="preserve">subjekt, ktorý má trh v krízovej situácii absorbovať. Súčasťou tejto podpory je: </w:t>
            </w:r>
          </w:p>
          <w:p w14:paraId="7FE1BC0E" w14:textId="77777777" w:rsidR="007A5804" w:rsidRDefault="007B7723">
            <w:pPr>
              <w:pStyle w:val="P68B1DB1-ListParagraph38"/>
              <w:numPr>
                <w:ilvl w:val="0"/>
                <w:numId w:val="274"/>
              </w:numPr>
              <w:jc w:val="both"/>
            </w:pPr>
            <w:r>
              <w:t xml:space="preserve">očakávaný čas, ktorý jeden alebo viacerí konkurenti potrebujú na uskutočnenie právnych a technických krokov na prevzatie funkcie; ako aj  </w:t>
            </w:r>
          </w:p>
          <w:p w14:paraId="7FE1BC0F" w14:textId="77777777" w:rsidR="007A5804" w:rsidRDefault="007B7723">
            <w:pPr>
              <w:pStyle w:val="P68B1DB1-ListParagraph38"/>
              <w:numPr>
                <w:ilvl w:val="0"/>
                <w:numId w:val="274"/>
              </w:numPr>
              <w:jc w:val="both"/>
            </w:pPr>
            <w:r>
              <w:t xml:space="preserve">čas, ktorý používatelia služby potrebujú na presťahovanie sa k inému poskytovateľovi služieb. </w:t>
            </w:r>
          </w:p>
          <w:p w14:paraId="7FE1BC10"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11" w14:textId="77777777" w:rsidR="007A5804" w:rsidRDefault="007B7723">
            <w:pPr>
              <w:pStyle w:val="P68B1DB1-TableParagraph13"/>
              <w:spacing w:before="108"/>
              <w:jc w:val="both"/>
            </w:pPr>
            <w:r>
              <w:t>Ako zástupný ukazovateľ pre služby poskytované inou inštitúciou uveďte odhad času, počas ktorého by vykazujúci subjekt v krízovej situácii za primerané náklady absorboval vo svojej vlastnej obchodnej činnosti (časť) služby, ktorú poskytuje iná inštitúcia. Uveďte odhadovaný čas substitúcie v skupinách uvedených vo vzore:</w:t>
            </w:r>
          </w:p>
          <w:p w14:paraId="7FE1BC12" w14:textId="77777777" w:rsidR="007A5804" w:rsidRDefault="007A5804">
            <w:pPr>
              <w:jc w:val="both"/>
              <w:rPr>
                <w:rFonts w:ascii="Times New Roman" w:eastAsia="Times New Roman" w:hAnsi="Times New Roman" w:cs="Times New Roman"/>
                <w:sz w:val="20"/>
                <w:szCs w:val="20"/>
              </w:rPr>
            </w:pPr>
          </w:p>
          <w:p w14:paraId="7FE1BC13" w14:textId="77777777" w:rsidR="007A5804" w:rsidRDefault="007B7723">
            <w:pPr>
              <w:pStyle w:val="P68B1DB1-Normal31"/>
              <w:jc w:val="both"/>
            </w:pPr>
            <w:bookmarkStart w:id="118" w:name="_Hlk194476081"/>
            <w:r>
              <w:t xml:space="preserve">Skupiny: </w:t>
            </w:r>
          </w:p>
          <w:p w14:paraId="7FE1BC14" w14:textId="728C4DE4" w:rsidR="007A5804" w:rsidRDefault="007B7723">
            <w:pPr>
              <w:pStyle w:val="P68B1DB1-ListParagraph32"/>
              <w:numPr>
                <w:ilvl w:val="0"/>
                <w:numId w:val="284"/>
              </w:numPr>
              <w:jc w:val="both"/>
            </w:pPr>
            <w:r>
              <w:t xml:space="preserve">&amp; 1 deň; </w:t>
            </w:r>
          </w:p>
          <w:p w14:paraId="7FE1BC15" w14:textId="15883A0D" w:rsidR="007A5804" w:rsidRDefault="007B7723">
            <w:pPr>
              <w:pStyle w:val="P68B1DB1-ListParagraph32"/>
              <w:numPr>
                <w:ilvl w:val="0"/>
                <w:numId w:val="284"/>
              </w:numPr>
              <w:jc w:val="both"/>
            </w:pPr>
            <w:r>
              <w:t xml:space="preserve">1 – 2 dni; </w:t>
            </w:r>
          </w:p>
          <w:p w14:paraId="7FE1BC16" w14:textId="0B950876" w:rsidR="007A5804" w:rsidRDefault="007B7723">
            <w:pPr>
              <w:pStyle w:val="P68B1DB1-ListParagraph32"/>
              <w:numPr>
                <w:ilvl w:val="0"/>
                <w:numId w:val="284"/>
              </w:numPr>
              <w:jc w:val="both"/>
            </w:pPr>
            <w:r>
              <w:t xml:space="preserve">&gt; 2 dni ≤ 1 týždeň, </w:t>
            </w:r>
          </w:p>
          <w:p w14:paraId="7FE1BC17" w14:textId="0973D87D" w:rsidR="007A5804" w:rsidRDefault="007B7723">
            <w:pPr>
              <w:pStyle w:val="P68B1DB1-ListParagraph32"/>
              <w:numPr>
                <w:ilvl w:val="0"/>
                <w:numId w:val="284"/>
              </w:numPr>
              <w:jc w:val="both"/>
            </w:pPr>
            <w:r>
              <w:t xml:space="preserve">&gt; 1 týždeň </w:t>
            </w:r>
          </w:p>
          <w:bookmarkEnd w:id="118"/>
          <w:p w14:paraId="7FE1BC18"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7A5804" w:rsidRDefault="007B7723">
            <w:pPr>
              <w:pStyle w:val="P68B1DB1-TableParagraph17"/>
              <w:spacing w:before="108"/>
              <w:jc w:val="both"/>
            </w:pPr>
            <w:r>
              <w:t>0180 – 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7A5804" w:rsidRDefault="007B7723">
            <w:pPr>
              <w:pStyle w:val="P68B1DB1-TableParagraph14"/>
              <w:spacing w:before="108"/>
              <w:jc w:val="both"/>
              <w:rPr>
                <w:bCs/>
              </w:rPr>
            </w:pPr>
            <w:r>
              <w:t>Schopnosť substitúcie</w:t>
            </w:r>
          </w:p>
        </w:tc>
      </w:tr>
      <w:tr w:rsidR="007A5804"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7A5804" w:rsidRDefault="007B7723">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7A5804" w:rsidRDefault="007B7723">
            <w:pPr>
              <w:pStyle w:val="P68B1DB1-TableParagraph14"/>
              <w:spacing w:before="108"/>
              <w:jc w:val="both"/>
              <w:rPr>
                <w:bCs/>
              </w:rPr>
            </w:pPr>
            <w:r>
              <w:t>Právne prekážky vstupu na trh alebo expanzie</w:t>
            </w:r>
          </w:p>
          <w:p w14:paraId="7FE1BC1F"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20" w14:textId="77777777" w:rsidR="007A5804" w:rsidRDefault="007B7723">
            <w:pPr>
              <w:pStyle w:val="P68B1DB1-TableParagraph13"/>
              <w:spacing w:before="108"/>
              <w:jc w:val="both"/>
            </w:pPr>
            <w:r>
              <w:t xml:space="preserve">Právne prekážky pre konkurentov pri ponúkaní služby. Právne požiadavky na vykonávanie činnosti úverových inštitúcií (napr. bankové licencie alebo kapitálové požiadavky) sa nepovažujú za neprekonateľné prekážky v prítomnosti alternatívnych poskytovateľov. Tento ukazovateľ sa musí </w:t>
            </w:r>
            <w:r>
              <w:lastRenderedPageBreak/>
              <w:t xml:space="preserve">vykazovať v skupinách, ktoré sú rovnaké pre každú čiastkovú funkciu: </w:t>
            </w:r>
          </w:p>
          <w:p w14:paraId="7FE1BC21" w14:textId="474C67C3" w:rsidR="007A5804" w:rsidRDefault="007B7723">
            <w:pPr>
              <w:pStyle w:val="P68B1DB1-ListParagraph39"/>
              <w:numPr>
                <w:ilvl w:val="0"/>
                <w:numId w:val="275"/>
              </w:numPr>
              <w:jc w:val="both"/>
            </w:pPr>
            <w:r>
              <w:t xml:space="preserve">žiadne významné prekážky, </w:t>
            </w:r>
          </w:p>
          <w:p w14:paraId="7FE1BC22" w14:textId="2597009C" w:rsidR="007A5804" w:rsidRDefault="007B7723">
            <w:pPr>
              <w:pStyle w:val="P68B1DB1-ListParagraph39"/>
              <w:numPr>
                <w:ilvl w:val="0"/>
                <w:numId w:val="275"/>
              </w:numPr>
              <w:jc w:val="both"/>
            </w:pPr>
            <w:r>
              <w:t xml:space="preserve">niektoré prekážky, </w:t>
            </w:r>
          </w:p>
          <w:p w14:paraId="7FE1BC23" w14:textId="78601E46" w:rsidR="007A5804" w:rsidRDefault="007B7723">
            <w:pPr>
              <w:pStyle w:val="P68B1DB1-ListParagraph39"/>
              <w:numPr>
                <w:ilvl w:val="0"/>
                <w:numId w:val="275"/>
              </w:numPr>
              <w:jc w:val="both"/>
            </w:pPr>
            <w:r>
              <w:t xml:space="preserve">podstatné (ale prekonateľné) bariéry, </w:t>
            </w:r>
          </w:p>
          <w:p w14:paraId="7FE1BC25" w14:textId="12D666ED" w:rsidR="007A5804" w:rsidRDefault="007B7723">
            <w:pPr>
              <w:pStyle w:val="P68B1DB1-ListParagraph8"/>
              <w:numPr>
                <w:ilvl w:val="0"/>
                <w:numId w:val="275"/>
              </w:numPr>
              <w:jc w:val="both"/>
            </w:pPr>
            <w:r>
              <w:t>kritické (ťažko náročné) bariéry.</w:t>
            </w:r>
          </w:p>
        </w:tc>
      </w:tr>
      <w:tr w:rsidR="007A5804"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7A5804" w:rsidRDefault="007B7723">
            <w:pPr>
              <w:pStyle w:val="P68B1DB1-TableParagraph17"/>
              <w:spacing w:before="108"/>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7A5804" w:rsidRDefault="007B7723">
            <w:pPr>
              <w:pStyle w:val="P68B1DB1-TableParagraph14"/>
              <w:spacing w:before="108"/>
              <w:jc w:val="both"/>
              <w:rPr>
                <w:bCs/>
              </w:rPr>
            </w:pPr>
            <w:r>
              <w:t>Prevádzkové požiadavky na vstup alebo rozšírenie</w:t>
            </w:r>
          </w:p>
          <w:p w14:paraId="7FE1BC29"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2A" w14:textId="46374DD1" w:rsidR="007A5804" w:rsidRDefault="007B7723">
            <w:pPr>
              <w:pStyle w:val="P68B1DB1-TableParagraph13"/>
              <w:spacing w:before="108"/>
              <w:jc w:val="both"/>
            </w:pPr>
            <w:r>
              <w:t xml:space="preserve">Organizačné, technické a infraštruktúrne požiadavky pre konkurentov pri ponúkaní služby. Ponuka služieb súvisiacich s (pod)funkciou si vyžaduje, aby poskytovatelia investovali do (novej alebo dodatočnej) infraštruktúry alebo aby zmenili svoje organizácie. Posúdiť schopnosť trhu absorbovať dané podnikanie, napríklad z hľadiska kapitálových požiadaviek. </w:t>
            </w:r>
          </w:p>
          <w:p w14:paraId="7FE1BC2B" w14:textId="77777777" w:rsidR="007A5804" w:rsidRDefault="007B7723">
            <w:pPr>
              <w:pStyle w:val="P68B1DB1-TableParagraph13"/>
              <w:spacing w:before="108"/>
              <w:jc w:val="both"/>
            </w:pPr>
            <w:r>
              <w:t xml:space="preserve">Tento ukazovateľ sa musí vykazovať v skupinách, ktoré sú rovnaké pre každú čiastkovú funkciu: </w:t>
            </w:r>
          </w:p>
          <w:p w14:paraId="7FE1BC2C" w14:textId="59F4E6B2" w:rsidR="007A5804" w:rsidRDefault="007B7723">
            <w:pPr>
              <w:pStyle w:val="P68B1DB1-ListParagraph39"/>
              <w:numPr>
                <w:ilvl w:val="0"/>
                <w:numId w:val="278"/>
              </w:numPr>
              <w:jc w:val="both"/>
            </w:pPr>
            <w:r>
              <w:t xml:space="preserve">bez väčších požiadaviek, </w:t>
            </w:r>
          </w:p>
          <w:p w14:paraId="7FE1BC2D" w14:textId="17A47EF8" w:rsidR="007A5804" w:rsidRDefault="007B7723">
            <w:pPr>
              <w:pStyle w:val="P68B1DB1-ListParagraph39"/>
              <w:numPr>
                <w:ilvl w:val="0"/>
                <w:numId w:val="278"/>
              </w:numPr>
              <w:jc w:val="both"/>
            </w:pPr>
            <w:r>
              <w:t xml:space="preserve">niektoré požiadavky, </w:t>
            </w:r>
          </w:p>
          <w:p w14:paraId="7FE1BC2E" w14:textId="6B2B459E" w:rsidR="007A5804" w:rsidRDefault="007B7723">
            <w:pPr>
              <w:pStyle w:val="P68B1DB1-ListParagraph39"/>
              <w:numPr>
                <w:ilvl w:val="0"/>
                <w:numId w:val="278"/>
              </w:numPr>
              <w:jc w:val="both"/>
            </w:pPr>
            <w:r>
              <w:t xml:space="preserve">podstatné (ale prekonateľné) požiadavky, </w:t>
            </w:r>
          </w:p>
          <w:p w14:paraId="7FE1BC2F" w14:textId="79851C7C" w:rsidR="007A5804" w:rsidRDefault="007B7723">
            <w:pPr>
              <w:pStyle w:val="P68B1DB1-ListParagraph39"/>
              <w:numPr>
                <w:ilvl w:val="0"/>
                <w:numId w:val="278"/>
              </w:numPr>
              <w:jc w:val="both"/>
            </w:pPr>
            <w:r>
              <w:t>kritické požiadavky (ťažko náročné z hľadiska presakovania).</w:t>
            </w:r>
          </w:p>
          <w:p w14:paraId="7FE1BC30"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7A5804" w:rsidRDefault="007B7723">
            <w:pPr>
              <w:pStyle w:val="P68B1DB1-TableParagraph17"/>
              <w:spacing w:before="108"/>
              <w:jc w:val="both"/>
            </w:pPr>
            <w:r>
              <w:t>0200 – 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7A5804" w:rsidRDefault="007B7723">
            <w:pPr>
              <w:pStyle w:val="P68B1DB1-TableParagraph14"/>
              <w:spacing w:before="108"/>
              <w:jc w:val="both"/>
              <w:rPr>
                <w:bCs/>
              </w:rPr>
            </w:pPr>
            <w:r>
              <w:t>Kapacita nástupu</w:t>
            </w:r>
          </w:p>
        </w:tc>
      </w:tr>
      <w:tr w:rsidR="007A5804"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7A5804" w:rsidRDefault="007B7723">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7A5804" w:rsidRDefault="007B7723">
            <w:pPr>
              <w:pStyle w:val="P68B1DB1-TableParagraph14"/>
              <w:spacing w:before="108"/>
              <w:rPr>
                <w:bCs/>
              </w:rPr>
            </w:pPr>
            <w:r>
              <w:t>Kapacita nástupu – počet aplikácií od nových zákazníkov za 1 pracovný deň (počet)</w:t>
            </w:r>
          </w:p>
          <w:p w14:paraId="2BBAFCB8" w14:textId="77777777" w:rsidR="007A5804" w:rsidRDefault="007B7723">
            <w:pPr>
              <w:pStyle w:val="P68B1DB1-TableParagraph13"/>
              <w:spacing w:before="108"/>
            </w:pPr>
            <w:r>
              <w:t>Od inštitúcií sa vyžaduje, aby poskytli najvyšší počet žiadostí, ak inštitúcia potvrdila žiadosť o bankovú službu.</w:t>
            </w:r>
          </w:p>
          <w:p w14:paraId="3F7DDDEF"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5AB7F16A" w14:textId="77777777" w:rsidR="007A5804" w:rsidRDefault="007B7723">
            <w:pPr>
              <w:pStyle w:val="P68B1DB1-TableParagraph13"/>
              <w:spacing w:before="108"/>
              <w:jc w:val="both"/>
              <w:rPr>
                <w:b/>
                <w:bCs/>
              </w:rPr>
            </w:pPr>
            <w:r>
              <w:t xml:space="preserve">Kapacita nástupu platobných služieb pre PFI, platobných služieb pre nepeňažné finančné inštitúcie a peňažných služieb z hľadiska počtu nových účtov je vyjadrená za jeden pracovný deň. </w:t>
            </w:r>
          </w:p>
          <w:p w14:paraId="10BCF6A2" w14:textId="77777777" w:rsidR="007A5804" w:rsidRDefault="007B7723">
            <w:pPr>
              <w:pStyle w:val="P68B1DB1-TableParagraph13"/>
              <w:spacing w:before="108"/>
              <w:jc w:val="both"/>
              <w:rPr>
                <w:b/>
                <w:bCs/>
              </w:rPr>
            </w:pPr>
            <w:r>
              <w:t>Od inštitúcií sa očakáva, že zohľadnia časový rámec uzatvárania zmluvných vzťahov s novými klientmi, keďže nový klient požiadal o bankovú službu.</w:t>
            </w:r>
          </w:p>
          <w:p w14:paraId="54138520" w14:textId="77777777" w:rsidR="007A5804" w:rsidRDefault="007A5804">
            <w:pPr>
              <w:pStyle w:val="TableParagraph"/>
              <w:spacing w:before="108"/>
              <w:rPr>
                <w:rFonts w:ascii="Times New Roman" w:hAnsi="Times New Roman" w:cs="Times New Roman"/>
                <w:b/>
                <w:bCs/>
                <w:color w:val="000000" w:themeColor="text1"/>
                <w:sz w:val="20"/>
                <w:szCs w:val="20"/>
              </w:rPr>
            </w:pPr>
          </w:p>
        </w:tc>
      </w:tr>
      <w:tr w:rsidR="007A5804"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7A5804" w:rsidRDefault="007B7723">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7A5804" w:rsidRDefault="007B7723">
            <w:pPr>
              <w:pStyle w:val="P68B1DB1-TableParagraph14"/>
              <w:spacing w:before="108"/>
              <w:rPr>
                <w:bCs/>
              </w:rPr>
            </w:pPr>
            <w:r>
              <w:t>Kapacita nástupu – počet žiadostí od nových zákazníkov počas 7 pracovných dní (počet)</w:t>
            </w:r>
          </w:p>
          <w:p w14:paraId="6C6045B8" w14:textId="77777777" w:rsidR="007A5804" w:rsidRDefault="007B7723">
            <w:pPr>
              <w:pStyle w:val="P68B1DB1-TableParagraph13"/>
              <w:spacing w:before="108"/>
            </w:pPr>
            <w:r>
              <w:t>Od inštitúcií sa vyžaduje, aby poskytli najvyšší počet žiadostí, ak inštitúcia potvrdila žiadosť o bankovú službu.</w:t>
            </w:r>
          </w:p>
          <w:p w14:paraId="59CBAFC9" w14:textId="77777777" w:rsidR="007A5804" w:rsidRDefault="007B7723">
            <w:pPr>
              <w:pStyle w:val="P68B1DB1-TableParagraph13"/>
              <w:spacing w:before="108"/>
              <w:jc w:val="both"/>
            </w:pPr>
            <w:r>
              <w:t>Kapacita uzatvárania zmluvných vzťahov pre služby vyrovnania transakcií s cennými papiermi, zúčtovacie služby centrálnych protistrán, správcovské služby, pokiaľ ide o počet nových účtov, je vyjadrená počas 7 pracovných dní.</w:t>
            </w:r>
          </w:p>
          <w:p w14:paraId="7623A7E1" w14:textId="77777777" w:rsidR="007A5804" w:rsidRDefault="007B7723">
            <w:pPr>
              <w:pStyle w:val="P68B1DB1-TableParagraph13"/>
              <w:spacing w:before="108"/>
              <w:jc w:val="both"/>
              <w:rPr>
                <w:b/>
                <w:bCs/>
              </w:rPr>
            </w:pPr>
            <w:r>
              <w:t>Od inštitúcií sa očakáva, že zohľadnia časový rámec uzatvárania zmluvných vzťahov s novými klientmi, keďže nový klient požiadal o bankovú službu.</w:t>
            </w:r>
          </w:p>
          <w:p w14:paraId="6541ECB8" w14:textId="7269F4A9" w:rsidR="007A5804" w:rsidRDefault="007A5804">
            <w:pPr>
              <w:pStyle w:val="TableParagraph"/>
              <w:spacing w:before="108"/>
              <w:rPr>
                <w:rFonts w:ascii="Times New Roman" w:hAnsi="Times New Roman" w:cs="Times New Roman"/>
                <w:b/>
                <w:bCs/>
                <w:color w:val="000000" w:themeColor="text1"/>
                <w:sz w:val="20"/>
                <w:szCs w:val="20"/>
              </w:rPr>
            </w:pPr>
          </w:p>
        </w:tc>
      </w:tr>
      <w:tr w:rsidR="007A5804"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7A5804" w:rsidRDefault="007B7723">
            <w:pPr>
              <w:pStyle w:val="P68B1DB1-TableParagraph17"/>
              <w:spacing w:before="108"/>
              <w:jc w:val="both"/>
            </w:pPr>
            <w:r>
              <w:t>0230 – 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7A5804" w:rsidRDefault="007B7723">
            <w:pPr>
              <w:pStyle w:val="P68B1DB1-TableParagraph14"/>
              <w:spacing w:before="108"/>
              <w:rPr>
                <w:bCs/>
              </w:rPr>
            </w:pPr>
            <w:r>
              <w:t>Posúdenie kritickosti</w:t>
            </w:r>
          </w:p>
        </w:tc>
      </w:tr>
      <w:tr w:rsidR="007A5804"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7A5804" w:rsidRDefault="007B7723">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7A5804" w:rsidRDefault="007B7723">
            <w:pPr>
              <w:pStyle w:val="P68B1DB1-TableParagraph13"/>
              <w:spacing w:before="108"/>
            </w:pPr>
            <w:r>
              <w:t xml:space="preserve">Vplyv na trh </w:t>
            </w:r>
          </w:p>
          <w:p w14:paraId="7FE1BC42" w14:textId="77777777" w:rsidR="007A5804" w:rsidRDefault="007B7723">
            <w:pPr>
              <w:pStyle w:val="P68B1DB1-TableParagraph13"/>
              <w:spacing w:before="108"/>
            </w:pPr>
            <w:r>
              <w:t>Odhadovaný vplyv náhleho prerušenia funkcie na tretie strany, finančné trhy a reálnu ekonomiku so zreteľom na veľkosť, podiel na trhu v danom štáte, vonkajšiu a vnútornú prepojenosť, zložitosť a cezhraničné činnosti inštitúcie.</w:t>
            </w:r>
          </w:p>
          <w:p w14:paraId="7FE1BC43" w14:textId="46266FB9" w:rsidR="007A5804" w:rsidRDefault="007B7723">
            <w:pPr>
              <w:pStyle w:val="P68B1DB1-TableParagraph13"/>
              <w:spacing w:before="108"/>
            </w:pPr>
            <w:r>
              <w:t>Toto posúdenie je kvalitatívne vyjadrené ako „vysoké“, „stredne vysoké“, „stredne nízke“ alebo „nízke“.</w:t>
            </w:r>
          </w:p>
          <w:p w14:paraId="7FE1BC44" w14:textId="7CCB4614" w:rsidR="007A5804" w:rsidRDefault="007B7723">
            <w:pPr>
              <w:pStyle w:val="P68B1DB1-TableParagraph13"/>
              <w:spacing w:before="108"/>
            </w:pPr>
            <w:r>
              <w:lastRenderedPageBreak/>
              <w:t>„High“ sa vyberie, ak má prerušenie značný vplyv na vnútroštátny trh; „Stredne vysoký“, ak je vplyv významný; „Stredne nízky“, ak je vplyv významný, ale obmedzený; a „Low“, ak je vplyv nízky.</w:t>
            </w:r>
          </w:p>
        </w:tc>
      </w:tr>
      <w:tr w:rsidR="007A5804"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7A5804" w:rsidRDefault="007B7723">
            <w:pPr>
              <w:pStyle w:val="P68B1DB1-TableParagraph17"/>
              <w:spacing w:before="108"/>
              <w:jc w:val="both"/>
            </w:pPr>
            <w:r>
              <w:lastRenderedPageBreak/>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7A5804" w:rsidRDefault="007B7723">
            <w:pPr>
              <w:pStyle w:val="P68B1DB1-TableParagraph14"/>
              <w:spacing w:before="108"/>
              <w:rPr>
                <w:bCs/>
              </w:rPr>
            </w:pPr>
            <w:r>
              <w:t>Zastupiteľnosť</w:t>
            </w:r>
          </w:p>
          <w:p w14:paraId="7FE1BC48" w14:textId="77777777" w:rsidR="007A5804" w:rsidRDefault="007B7723">
            <w:pPr>
              <w:pStyle w:val="P68B1DB1-TableParagraph13"/>
              <w:spacing w:before="108"/>
            </w:pPr>
            <w:r>
              <w:t>Článok 6 ods. 3 delegovaného nariadenia (EÚ) 2016/778.</w:t>
            </w:r>
          </w:p>
          <w:p w14:paraId="7FE1BC49" w14:textId="77777777" w:rsidR="007A5804" w:rsidRDefault="007B7723">
            <w:pPr>
              <w:pStyle w:val="P68B1DB1-TableParagraph13"/>
              <w:spacing w:before="108"/>
            </w:pPr>
            <w:r>
              <w:t>Funkcia sa považuje za zastupiteľnú, ak ju možno nahradiť prijateľným spôsobom a v primeranej lehote, čím sa zabráni systémovým problémom pre reálnu ekonomiku a finančné trhy. Treba zohľadniť:</w:t>
            </w:r>
          </w:p>
          <w:p w14:paraId="7FE1BC4A" w14:textId="77777777" w:rsidR="007A5804" w:rsidRDefault="007B7723">
            <w:pPr>
              <w:pStyle w:val="P68B1DB1-TableParagraph13"/>
              <w:spacing w:before="108"/>
            </w:pPr>
            <w:r>
              <w:t xml:space="preserve">(a) štruktúru trhu pre túto funkciu a dostupnosť náhradných poskytovateľov; </w:t>
            </w:r>
          </w:p>
          <w:p w14:paraId="7FE1BC4B" w14:textId="77777777" w:rsidR="007A5804" w:rsidRDefault="007B7723">
            <w:pPr>
              <w:pStyle w:val="P68B1DB1-TableParagraph13"/>
              <w:spacing w:before="108"/>
            </w:pPr>
            <w:r>
              <w:t xml:space="preserve">(b) schopnosť iných poskytovateľov v oblasti kapacity, požiadaviek na výkon funkcie a potenciálnych prekážok pre vstup alebo rozšírenie; </w:t>
            </w:r>
          </w:p>
          <w:p w14:paraId="7FE1BC4C" w14:textId="77777777" w:rsidR="007A5804" w:rsidRDefault="007B7723">
            <w:pPr>
              <w:pStyle w:val="P68B1DB1-TableParagraph13"/>
              <w:spacing w:before="108"/>
            </w:pPr>
            <w:r>
              <w:t xml:space="preserve">(c) motiváciu iných poskytovateľov, pokiaľ ide o prevzatie týchto činností; </w:t>
            </w:r>
          </w:p>
          <w:p w14:paraId="7FE1BC4D" w14:textId="77777777" w:rsidR="007A5804" w:rsidRDefault="007B7723">
            <w:pPr>
              <w:pStyle w:val="P68B1DB1-TableParagraph13"/>
              <w:spacing w:before="108"/>
            </w:pPr>
            <w:r>
              <w:t>(d) čas, ktorý používatelia služby potrebujú na prechod k novému poskytovateľovi služieb, a s tým spojené náklady, čas, ktorý potrebujú ostatní konkurenti na prevzatie úloh, a či tento čas stačí na to, aby sa zabránilo výraznému narušeniu v závislosti od druhu služby.</w:t>
            </w:r>
          </w:p>
          <w:p w14:paraId="7FE1BC4E" w14:textId="5259F9E9" w:rsidR="007A5804" w:rsidRDefault="007B7723">
            <w:pPr>
              <w:pStyle w:val="P68B1DB1-TableParagraph13"/>
              <w:spacing w:before="108"/>
            </w:pPr>
            <w:r>
              <w:t xml:space="preserve">Uveďte celkové posúdenie očakávanej miery nahraditeľnosti pre každú funkciu, pričom sa zohľadnia rôzne rozmery, ktoré sa posudzovali predtým (podiel na trhu, koncentrácia trhu, čas potrebný na nahradenie, právne prekážky a prevádzkové požiadavky na vstup na trh alebo rozšírenie). Toto posúdenie je kvalitatívne vyjadrené ako „vysoké“, „stredne vysoké“, „stredne nízke“ alebo „nízke“. </w:t>
            </w:r>
          </w:p>
          <w:p w14:paraId="7FE1BC4F" w14:textId="2848C2C9" w:rsidR="007A5804" w:rsidRDefault="007B7723">
            <w:pPr>
              <w:pStyle w:val="P68B1DB1-TableParagraph13"/>
              <w:spacing w:before="108"/>
            </w:pPr>
            <w:r>
              <w:t>H ′ sa vyberie, ak funkciu môže ľahko zabezpečiť iná banka za porovnateľných podmienok v primeranom časovom rámci;</w:t>
            </w:r>
          </w:p>
          <w:p w14:paraId="7FE1BC50" w14:textId="60D54ED6" w:rsidR="007A5804" w:rsidRDefault="007B7723">
            <w:pPr>
              <w:pStyle w:val="P68B1DB1-TableParagraph13"/>
              <w:spacing w:before="108"/>
            </w:pPr>
            <w:r>
              <w:t xml:space="preserve">„Nízka“ ak funkciu nie je možné ľahko alebo rýchlo nahradiť; </w:t>
            </w:r>
          </w:p>
          <w:p w14:paraId="7FE1BC51" w14:textId="0F9A1660" w:rsidR="007A5804" w:rsidRDefault="007B7723">
            <w:pPr>
              <w:pStyle w:val="P68B1DB1-TableParagraph13"/>
              <w:spacing w:before="108"/>
            </w:pPr>
            <w:r>
              <w:t>„Medium High“ a „Medium Low“ pre prechodné prípady zohľadňujúce rôzne rozmery (napr. trhový podiel, koncentrácia trhu, čas na nahradenie, ako aj právne prekážky pre vstup alebo rozšírenie a prevádzkové požiadavky na vstup alebo rozšírenie).</w:t>
            </w:r>
          </w:p>
        </w:tc>
      </w:tr>
      <w:tr w:rsidR="007A5804"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7A5804" w:rsidRDefault="007B7723">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7A5804" w:rsidRDefault="007B7723">
            <w:pPr>
              <w:pStyle w:val="P68B1DB1-TableParagraph14"/>
              <w:spacing w:before="108"/>
              <w:rPr>
                <w:bCs/>
              </w:rPr>
            </w:pPr>
            <w:r>
              <w:t>Zásadná funkcia</w:t>
            </w:r>
          </w:p>
          <w:p w14:paraId="7FE1BC55" w14:textId="77777777" w:rsidR="007A5804" w:rsidRDefault="007B7723">
            <w:pPr>
              <w:pStyle w:val="P68B1DB1-TableParagraph13"/>
              <w:spacing w:before="108"/>
            </w:pPr>
            <w:r>
              <w:t>V tomto stĺpci sa uvádza, či sa hospodárska funkcia na trhu príslušného štátu považuje za zásadnú so zreteľom na analýzu dopadu a náhradnosti, ktorú vykonala inštitúcia.</w:t>
            </w:r>
          </w:p>
          <w:p w14:paraId="7FE1BC56" w14:textId="77777777" w:rsidR="007A5804" w:rsidRDefault="007B7723">
            <w:pPr>
              <w:pStyle w:val="P68B1DB1-TableParagraph13"/>
              <w:spacing w:before="108"/>
            </w:pPr>
            <w:r>
              <w:t>Správa „áno“ alebo „nie“</w:t>
            </w:r>
          </w:p>
        </w:tc>
      </w:tr>
      <w:tr w:rsidR="007A5804"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7A5804" w:rsidRDefault="007B7723">
            <w:pPr>
              <w:pStyle w:val="P68B1DB1-TableParagraph17"/>
              <w:spacing w:before="108"/>
              <w:jc w:val="both"/>
            </w:pPr>
            <w:r>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7A5804" w:rsidRDefault="007B7723">
            <w:pPr>
              <w:pStyle w:val="P68B1DB1-TableParagraph14"/>
              <w:spacing w:before="108"/>
              <w:rPr>
                <w:bCs/>
              </w:rPr>
            </w:pPr>
            <w:r>
              <w:t>Pripomienky skupiny</w:t>
            </w:r>
          </w:p>
          <w:p w14:paraId="7FE1BC5A" w14:textId="77777777" w:rsidR="007A5804" w:rsidRDefault="007B7723">
            <w:pPr>
              <w:pStyle w:val="P68B1DB1-TableParagraph13"/>
              <w:spacing w:before="108"/>
            </w:pPr>
            <w:r>
              <w:t>Toto pole umožňuje vykazujúcej účtovnej jednotke vysvetliť akékoľvek predpoklady použité pri posudzovaní kritickosti vykazovanej funkcie (funkcií).</w:t>
            </w:r>
          </w:p>
        </w:tc>
      </w:tr>
    </w:tbl>
    <w:p w14:paraId="7FE1BC5C" w14:textId="77777777" w:rsidR="007A5804" w:rsidRDefault="007A5804">
      <w:pPr>
        <w:pStyle w:val="Instructionsberschrift2"/>
        <w:rPr>
          <w:rFonts w:ascii="Times New Roman" w:hAnsi="Times New Roman" w:cs="Times New Roman"/>
        </w:rPr>
      </w:pPr>
    </w:p>
    <w:p w14:paraId="7FE1BC5D" w14:textId="5C971E12" w:rsidR="007A5804" w:rsidRDefault="007B7723">
      <w:pPr>
        <w:pStyle w:val="P68B1DB1-Instructionsberschrift25"/>
      </w:pPr>
      <w:bookmarkStart w:id="119" w:name="_Toc208245252"/>
      <w:r>
        <w:t>II.13.</w:t>
      </w:r>
      <w:r>
        <w:tab/>
        <w:t>Z 07.01.4 FUNC 1 CM</w:t>
      </w:r>
      <w:bookmarkEnd w:id="119"/>
    </w:p>
    <w:p w14:paraId="7FE1BC65" w14:textId="77777777" w:rsidR="007A5804" w:rsidRDefault="007A580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5804"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7A5804" w:rsidRDefault="007B7723">
            <w:pPr>
              <w:pStyle w:val="P68B1DB1-TableParagraph17"/>
              <w:spacing w:before="108"/>
              <w:ind w:left="85"/>
              <w:jc w:val="both"/>
            </w:pPr>
            <w:r>
              <w:t>Stĺpce</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7A5804" w:rsidRDefault="007B7723">
            <w:pPr>
              <w:pStyle w:val="P68B1DB1-TableParagraph17"/>
              <w:spacing w:before="108"/>
              <w:ind w:left="85" w:right="1"/>
              <w:jc w:val="both"/>
            </w:pPr>
            <w:r>
              <w:t>Pokyny</w:t>
            </w:r>
          </w:p>
        </w:tc>
      </w:tr>
      <w:tr w:rsidR="007A5804"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7A5804" w:rsidRDefault="007B772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7A5804" w:rsidRDefault="007B7723">
            <w:pPr>
              <w:pStyle w:val="P68B1DB1-TableParagraph14"/>
              <w:spacing w:before="108"/>
              <w:ind w:left="85"/>
              <w:jc w:val="both"/>
              <w:rPr>
                <w:bCs/>
              </w:rPr>
            </w:pPr>
            <w:r>
              <w:t>Opis hospodárskej funkcie</w:t>
            </w:r>
          </w:p>
          <w:p w14:paraId="7FE1BC6B" w14:textId="673475F1" w:rsidR="007A5804" w:rsidRDefault="007B7723">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Ak je ekonomická funkcia typu „ostatné“ (Z</w:t>
            </w:r>
            <w:r>
              <w:t xml:space="preserve">07.01.4 FUNC 1 CM </w:t>
            </w:r>
            <w:r>
              <w:rPr>
                <w:rFonts w:ascii="Times New Roman" w:eastAsia="Cambria" w:hAnsi="Times New Roman" w:cs="Times New Roman"/>
                <w:color w:val="000000" w:themeColor="text1"/>
                <w:sz w:val="20"/>
                <w:szCs w:val="20"/>
              </w:rPr>
              <w:t xml:space="preserve">r0290 až r0310), uvedie sa opis tejto funkcie. </w:t>
            </w:r>
          </w:p>
        </w:tc>
      </w:tr>
      <w:tr w:rsidR="007A5804"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7A5804" w:rsidRDefault="007B7723">
            <w:pPr>
              <w:pStyle w:val="P68B1DB1-TableParagraph17"/>
              <w:spacing w:before="108"/>
              <w:ind w:left="85"/>
              <w:jc w:val="both"/>
            </w:pPr>
            <w:r>
              <w:lastRenderedPageBreak/>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7A5804" w:rsidRDefault="007B7723">
            <w:pPr>
              <w:pStyle w:val="P68B1DB1-TableParagraph14"/>
              <w:spacing w:before="108"/>
              <w:ind w:left="85"/>
              <w:jc w:val="both"/>
              <w:rPr>
                <w:bCs/>
              </w:rPr>
            </w:pPr>
            <w:r>
              <w:t xml:space="preserve">Podiel na trhu </w:t>
            </w:r>
          </w:p>
          <w:p w14:paraId="7FE1BC6F" w14:textId="629D801B" w:rsidR="007A5804" w:rsidRDefault="007B7723">
            <w:pPr>
              <w:pStyle w:val="P68B1DB1-TableParagraph17"/>
              <w:spacing w:before="108"/>
              <w:ind w:left="85"/>
            </w:pPr>
            <w:r>
              <w:t>Odhad trhového podielu inštitúcie alebo skupiny pre hospodársku funkciu v príslušnom štáte alebo geografickej oblasti. Percentuálny podiel celkového trhu z hľadiska pomyselnej hodnoty pre deriváty; účtovná hodnota pre sekundárne trhy a dôchodky z poplatkov za primárne trhy.</w:t>
            </w:r>
          </w:p>
        </w:tc>
      </w:tr>
      <w:tr w:rsidR="007A5804"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7A5804" w:rsidRDefault="007B7723">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7A5804" w:rsidRDefault="007B7723">
            <w:pPr>
              <w:pStyle w:val="P68B1DB1-TableParagraph14"/>
              <w:spacing w:before="108"/>
              <w:rPr>
                <w:bCs/>
              </w:rPr>
            </w:pPr>
            <w:r>
              <w:t>Pomyselná hodnota</w:t>
            </w:r>
          </w:p>
          <w:p w14:paraId="7FE1BC73" w14:textId="77777777" w:rsidR="007A5804" w:rsidRDefault="007B7723">
            <w:pPr>
              <w:pStyle w:val="P68B1DB1-TableParagraph17"/>
              <w:spacing w:before="108"/>
            </w:pPr>
            <w:r>
              <w:t xml:space="preserve">hrubá nominálna hodnota všetkých uzatvorených obchodov, ktoré k referenčnému dátumu ešte neboli vyrovnané. </w:t>
            </w:r>
          </w:p>
          <w:p w14:paraId="7FE1BC74" w14:textId="77777777" w:rsidR="007A5804" w:rsidRDefault="007B7723">
            <w:pPr>
              <w:pStyle w:val="P68B1DB1-TableParagraph17"/>
              <w:spacing w:before="108"/>
            </w:pPr>
            <w:r>
              <w:t>Referenčné dokumenty: FINREP, príloha V časť 2 ods. 133, pokiaľ ide o vymedzenie pojmu; pokiaľ ide o údaje vo FINREP, príloha III; IV a V:</w:t>
            </w:r>
          </w:p>
          <w:p w14:paraId="7FE1BC75" w14:textId="77777777" w:rsidR="007A5804" w:rsidRDefault="007B7723">
            <w:pPr>
              <w:pStyle w:val="P68B1DB1-TableParagraph17"/>
              <w:spacing w:before="108"/>
            </w:pPr>
            <w:r>
              <w:t>— Deriváty spolu (4.1 – 4.2): Vzor F 10.00 stĺpec 030 riadok 290.</w:t>
            </w:r>
          </w:p>
          <w:p w14:paraId="7FE1BC76" w14:textId="77777777" w:rsidR="007A5804" w:rsidRDefault="007B7723">
            <w:pPr>
              <w:pStyle w:val="P68B1DB1-TableParagraph17"/>
              <w:spacing w:before="108"/>
            </w:pPr>
            <w:r>
              <w:t>— Deriváty OTC (4.1): Vzor F 10.00 stĺpec 030 riadky 300 + 310 + 320.</w:t>
            </w:r>
          </w:p>
        </w:tc>
      </w:tr>
      <w:tr w:rsidR="007A5804"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7A5804" w:rsidRDefault="007B772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7A5804" w:rsidRDefault="007B7723">
            <w:pPr>
              <w:pStyle w:val="P68B1DB1-TableParagraph14"/>
              <w:spacing w:before="108"/>
              <w:rPr>
                <w:bCs/>
              </w:rPr>
            </w:pPr>
            <w:r>
              <w:t>Účtovná hodnota</w:t>
            </w:r>
          </w:p>
          <w:p w14:paraId="7FE1BC7A" w14:textId="77777777" w:rsidR="007A5804" w:rsidRDefault="007B7723">
            <w:pPr>
              <w:pStyle w:val="P68B1DB1-TableParagraph17"/>
              <w:spacing w:before="108"/>
            </w:pPr>
            <w:r>
              <w:t>Účtovná hodnota aktív – účtovná hodnota vykazovaná na strane aktív súvahy vrátane vzniknutého úroku [FINREP: Príloha V časť 1 ods. 27], pokiaľ ide o kapitálové nástroje a dlhové cenné papiere [FINREP: Príloha V časť 1 ods. 31] zatriedené ako „držané na obchodovanie“ [FINREP: Príloha V časť 1 ods. 15 písm. a) a odsek 16 písm. a)].</w:t>
            </w:r>
          </w:p>
          <w:p w14:paraId="7FE1BC7B" w14:textId="77777777" w:rsidR="007A5804" w:rsidRDefault="007B7723">
            <w:pPr>
              <w:pStyle w:val="P68B1DB1-TableParagraph17"/>
              <w:spacing w:before="108"/>
            </w:pPr>
            <w:r>
              <w:t>Referenčná značka: FINREP: Príloha III vzor F 04.01 stĺpec 010 riadky 010 + 060 + 120.</w:t>
            </w:r>
          </w:p>
        </w:tc>
      </w:tr>
      <w:tr w:rsidR="007A5804"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7A5804" w:rsidRDefault="007B772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7A5804" w:rsidRDefault="007B7723">
            <w:pPr>
              <w:pStyle w:val="P68B1DB1-TableParagraph14"/>
              <w:spacing w:before="108"/>
              <w:jc w:val="both"/>
              <w:rPr>
                <w:bCs/>
              </w:rPr>
            </w:pPr>
            <w:r>
              <w:t>Príjem z poplatkov</w:t>
            </w:r>
          </w:p>
          <w:p w14:paraId="7FE1BC7F" w14:textId="77777777" w:rsidR="007A5804" w:rsidRDefault="007B7723">
            <w:pPr>
              <w:pStyle w:val="P68B1DB1-TableParagraph13"/>
              <w:spacing w:before="108"/>
              <w:jc w:val="both"/>
            </w:pPr>
            <w:r>
              <w:t>Poplatky a provízie získané za zapájanie sa do vzniku alebo emisie cenných papierov, ktoré neboli iniciované alebo emitované inštitúciou.</w:t>
            </w:r>
          </w:p>
          <w:p w14:paraId="7FE1BC80" w14:textId="77777777" w:rsidR="007A5804" w:rsidRDefault="007B7723">
            <w:pPr>
              <w:pStyle w:val="P68B1DB1-TableParagraph13"/>
              <w:spacing w:before="108"/>
              <w:jc w:val="both"/>
            </w:pPr>
            <w:r>
              <w:t>Referenčná značka: FINREP: Prílohy III, IV vzor F 22.01 stĺpec 010 riadky 030 + 180.</w:t>
            </w:r>
          </w:p>
        </w:tc>
      </w:tr>
      <w:tr w:rsidR="007A5804"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7A5804" w:rsidRDefault="007B7723">
            <w:pPr>
              <w:pStyle w:val="P68B1DB1-TableParagraph17"/>
              <w:spacing w:before="108"/>
              <w:jc w:val="both"/>
            </w:pPr>
            <w:r>
              <w:t>0060 – 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7A5804" w:rsidRDefault="007B7723">
            <w:pPr>
              <w:pStyle w:val="P68B1DB1-TableParagraph14"/>
              <w:spacing w:before="108"/>
              <w:jc w:val="both"/>
              <w:rPr>
                <w:bCs/>
              </w:rPr>
            </w:pPr>
            <w:r>
              <w:t>Cezhraničná hodnota</w:t>
            </w:r>
          </w:p>
          <w:p w14:paraId="7FE1BC84" w14:textId="4F4878AE" w:rsidR="007A5804" w:rsidRDefault="007B7723">
            <w:pPr>
              <w:pStyle w:val="P68B1DB1-TableParagraph13"/>
              <w:spacing w:before="108"/>
              <w:jc w:val="both"/>
            </w:pPr>
            <w:r>
              <w:t xml:space="preserve">Deriváty:nesplatená pomyselná hodnota mimo domovskej alebo príslušnej krajiny. </w:t>
            </w:r>
          </w:p>
          <w:p w14:paraId="7FE1BC85" w14:textId="77777777" w:rsidR="007A5804" w:rsidRDefault="007B7723">
            <w:pPr>
              <w:pStyle w:val="P68B1DB1-TableParagraph13"/>
              <w:spacing w:before="108"/>
              <w:jc w:val="both"/>
            </w:pPr>
            <w:r>
              <w:t>Sekundárne trhy: hrubá účtovná hodnota nesplatená mimo domovskej alebo príslušnej krajiny. Referenčné údaje o pozadí: FINREP príloha III tabuľka 20.04 stĺpec 011 riadky 040 + 080, všetky krajiny okrem domovskej alebo príslušnej krajiny.</w:t>
            </w:r>
          </w:p>
          <w:p w14:paraId="7FE1BC86" w14:textId="68837303" w:rsidR="007A5804" w:rsidRDefault="007B7723">
            <w:pPr>
              <w:pStyle w:val="P68B1DB1-TableParagraph13"/>
              <w:spacing w:before="108"/>
              <w:jc w:val="both"/>
            </w:pPr>
            <w:r>
              <w:t>Primárne trhy: príjem z poplatkov vytvorený mimo domovskej alebo príslušnej krajiny.</w:t>
            </w:r>
          </w:p>
        </w:tc>
      </w:tr>
      <w:tr w:rsidR="007A5804"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7A5804" w:rsidRDefault="007B7723">
            <w:pPr>
              <w:pStyle w:val="P68B1DB1-TableParagraph17"/>
              <w:spacing w:before="108"/>
              <w:ind w:left="85"/>
              <w:jc w:val="both"/>
            </w:pPr>
            <w:r>
              <w:t>0090 – 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7A5804" w:rsidRDefault="007B7723">
            <w:pPr>
              <w:pStyle w:val="P68B1DB1-TableParagraph14"/>
              <w:spacing w:before="108"/>
              <w:jc w:val="both"/>
              <w:rPr>
                <w:bCs/>
              </w:rPr>
            </w:pPr>
            <w:r>
              <w:t>Počet protistrán alebo transakcií.</w:t>
            </w:r>
          </w:p>
          <w:p w14:paraId="7FE1BC8A" w14:textId="77777777" w:rsidR="007A5804" w:rsidRDefault="007B7723">
            <w:pPr>
              <w:pStyle w:val="P68B1DB1-TableParagraph13"/>
              <w:spacing w:before="108"/>
              <w:jc w:val="both"/>
              <w:rPr>
                <w:b/>
                <w:bCs/>
              </w:rPr>
            </w:pPr>
            <w:r>
              <w:t>V prípade derivátov a sekundárnych trhov celkový počet protistrán. V prípade primárnych trhov celkový počet upísaných transakcií.</w:t>
            </w:r>
          </w:p>
        </w:tc>
      </w:tr>
      <w:tr w:rsidR="007A5804"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7A5804" w:rsidRDefault="007B7723">
            <w:pPr>
              <w:pStyle w:val="P68B1DB1-TableParagraph17"/>
              <w:spacing w:before="108"/>
              <w:ind w:left="85"/>
              <w:jc w:val="both"/>
            </w:pPr>
            <w:r>
              <w:t>0110 – 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7A5804" w:rsidRDefault="007B7723">
            <w:pPr>
              <w:pStyle w:val="P68B1DB1-TableParagraph14"/>
              <w:spacing w:before="108"/>
              <w:jc w:val="both"/>
              <w:rPr>
                <w:bCs/>
              </w:rPr>
            </w:pPr>
            <w:r>
              <w:t>Analýzy vplyvu a nahraditeľnosti</w:t>
            </w:r>
          </w:p>
          <w:p w14:paraId="7FE1BC8E" w14:textId="77777777" w:rsidR="007A5804" w:rsidRDefault="007B7723">
            <w:pPr>
              <w:pStyle w:val="P68B1DB1-TableParagraph13"/>
              <w:spacing w:before="108"/>
              <w:jc w:val="both"/>
            </w:pPr>
            <w:r>
              <w:t>Kritériá posudzovania vplyvu na tretie strany zahŕňajú v súlade s delegovaným nariadením Komisie (EÚ) 2016/778 o zásadných funkciách tieto prvky:</w:t>
            </w:r>
          </w:p>
          <w:p w14:paraId="7FE1BC8F" w14:textId="77777777" w:rsidR="007A5804" w:rsidRDefault="007B7723">
            <w:pPr>
              <w:pStyle w:val="P68B1DB1-ListParagraph38"/>
              <w:numPr>
                <w:ilvl w:val="0"/>
                <w:numId w:val="131"/>
              </w:numPr>
              <w:spacing w:line="276" w:lineRule="auto"/>
            </w:pPr>
            <w:r>
              <w:t>povaha a dosah činnosti, globálny, vnútroštátny alebo regionálny dosah, objem a počet transakcií; počet klientov a protistrán; počet klientov, pre ktorých je inštitúcia jediným alebo hlavným bankovým partnerom.</w:t>
            </w:r>
          </w:p>
          <w:p w14:paraId="7FE1BC90" w14:textId="77777777" w:rsidR="007A5804" w:rsidRDefault="007B7723">
            <w:pPr>
              <w:pStyle w:val="P68B1DB1-ListParagraph38"/>
              <w:numPr>
                <w:ilvl w:val="0"/>
                <w:numId w:val="131"/>
              </w:numPr>
              <w:spacing w:line="276" w:lineRule="auto"/>
            </w:pPr>
            <w:r>
              <w:t>význam inštitúcie na miestnej, regionálnej, vnútroštátnej alebo európskej úrovni, podľa vhodnosti pre príslušný trh. Význam inštitúcie sa môže posúdiť na základe trhového podielu, prepojenosti, zložitosti alebo cezhraničných činností;</w:t>
            </w:r>
          </w:p>
          <w:p w14:paraId="7FE1BC91" w14:textId="77777777" w:rsidR="007A5804" w:rsidRDefault="007B7723">
            <w:pPr>
              <w:pStyle w:val="P68B1DB1-ListParagraph38"/>
              <w:numPr>
                <w:ilvl w:val="0"/>
                <w:numId w:val="131"/>
              </w:numPr>
              <w:spacing w:line="276" w:lineRule="auto"/>
            </w:pPr>
            <w:r>
              <w:t xml:space="preserve">povaha zákazníkov a zainteresovaných strán, ktorých sa funkcia týka, napríklad, ale nie výhradne, retailových zákazníkov, firemných zákazníkov, medzibankových zákazníkov, centrálnych zúčtovacích stredísk a verejných subjektov; </w:t>
            </w:r>
          </w:p>
          <w:p w14:paraId="7FE1BC92" w14:textId="77777777" w:rsidR="007A5804" w:rsidRDefault="007B7723">
            <w:pPr>
              <w:pStyle w:val="P68B1DB1-ListParagraph38"/>
              <w:numPr>
                <w:ilvl w:val="0"/>
                <w:numId w:val="131"/>
              </w:numPr>
              <w:spacing w:line="276" w:lineRule="auto"/>
            </w:pPr>
            <w:r>
              <w:lastRenderedPageBreak/>
              <w:t>potenciálne narušenie funkcie v rámci trhov, infraštruktúr, zákazníkov a verejných služieb. Posúdenie môže zahŕňať najmä vplyv na likviditu dotknutých trhov, vplyv a rozsah narušenia obchodnej činnosti zákazníkov a krátkodobé potreby likvidity; vnímateľnosť pre protistrany, zákazníkov a verejnosť; schopnosť a rýchlosť reakcie zákazníka; význam pre fungovanie iných trhov; vplyv na likviditu, operácie a štruktúru iného trhu; vplyv na ostatné protistrany súvisiace s hlavnými klientmi a vzájomný vzťah funkcie s inými službami.</w:t>
            </w:r>
          </w:p>
          <w:p w14:paraId="7FE1BC93"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7A5804" w:rsidRDefault="007B7723">
            <w:pPr>
              <w:pStyle w:val="P68B1DB1-TableParagraph17"/>
              <w:spacing w:before="108"/>
              <w:ind w:left="85"/>
              <w:jc w:val="both"/>
            </w:pPr>
            <w:r>
              <w:lastRenderedPageBreak/>
              <w:t>0110 – 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7A5804" w:rsidRDefault="007B7723">
            <w:pPr>
              <w:pStyle w:val="P68B1DB1-TableParagraph14"/>
              <w:spacing w:before="108"/>
              <w:jc w:val="both"/>
              <w:rPr>
                <w:bCs/>
              </w:rPr>
            </w:pPr>
            <w:r>
              <w:t xml:space="preserve">Príroda a dosah </w:t>
            </w:r>
          </w:p>
          <w:p w14:paraId="7FE1BC97" w14:textId="77777777" w:rsidR="007A5804" w:rsidRDefault="007B7723">
            <w:pPr>
              <w:pStyle w:val="P68B1DB1-TableParagraph13"/>
              <w:spacing w:before="108"/>
              <w:jc w:val="both"/>
            </w:pPr>
            <w:r>
              <w:t>Globálny, vnútroštátny alebo regionálny dosah, objem a počet transakcií; počet klientov a protistrán; počet klientov, pre ktorých je inštitúcia jediným alebo hlavným bankovým partnerom.</w:t>
            </w:r>
          </w:p>
        </w:tc>
      </w:tr>
      <w:tr w:rsidR="007A5804"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7A5804" w:rsidRDefault="007B7723">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7A5804" w:rsidRDefault="007B7723">
            <w:pPr>
              <w:pStyle w:val="P68B1DB1-TableParagraph14"/>
              <w:spacing w:before="108"/>
              <w:jc w:val="both"/>
              <w:rPr>
                <w:bCs/>
              </w:rPr>
            </w:pPr>
            <w:r>
              <w:t>Ukazovateľ veľkosti 1</w:t>
            </w:r>
          </w:p>
          <w:p w14:paraId="4965F0DF"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C9B" w14:textId="478A7B58" w:rsidR="007A5804" w:rsidRDefault="007B7723">
            <w:pPr>
              <w:pStyle w:val="P68B1DB1-TableParagraph13"/>
              <w:spacing w:before="108"/>
              <w:jc w:val="both"/>
            </w:pPr>
            <w:r>
              <w:t xml:space="preserve"> </w:t>
            </w:r>
          </w:p>
          <w:p w14:paraId="7FE1BC9C" w14:textId="3823487E" w:rsidR="007A5804" w:rsidRDefault="007B7723">
            <w:pPr>
              <w:pStyle w:val="P68B1DB1-ListParagraph32"/>
              <w:numPr>
                <w:ilvl w:val="0"/>
                <w:numId w:val="126"/>
              </w:numPr>
              <w:spacing w:line="276" w:lineRule="auto"/>
            </w:pPr>
            <w:r>
              <w:t xml:space="preserve">Odborný úsudok o veľkosti </w:t>
            </w:r>
            <w:r>
              <w:rPr>
                <w:b/>
              </w:rPr>
              <w:t>hodnoty</w:t>
            </w:r>
            <w:r>
              <w:t xml:space="preserve"> nesplatenej pomyselnej hodnoty (c0030 pre funkciu ID 4.1 a 4.2); účtovná hodnota (c0040 pre ID 4.3); alebo generovaný príjem z poplatkov (c0050 pre ID 4.4) z </w:t>
            </w:r>
            <w:r>
              <w:rPr>
                <w:b/>
              </w:rPr>
              <w:t>globálneho</w:t>
            </w:r>
            <w:r>
              <w:t xml:space="preserve"> hľadiska [o</w:t>
            </w:r>
            <w:r>
              <w:rPr>
                <w:i/>
              </w:rPr>
              <w:t>jednu úroveň vyššiu ako príslušný trh. Ak je relevantný trh globálny, veľkosť 1 sa stane nadbytočnou a nemusí sa vykazovať]</w:t>
            </w:r>
            <w:r>
              <w:t>:</w:t>
            </w:r>
          </w:p>
          <w:p w14:paraId="7FE1BC9D" w14:textId="77777777" w:rsidR="007A5804" w:rsidRDefault="007B7723">
            <w:pPr>
              <w:pStyle w:val="P68B1DB1-TableParagraph33"/>
              <w:spacing w:before="108"/>
              <w:jc w:val="both"/>
              <w:rPr>
                <w:rFonts w:cs="Times New Roman"/>
                <w:color w:val="000000" w:themeColor="text1"/>
              </w:rPr>
            </w:pPr>
            <w:r>
              <w:t>Aká veľká je podľa vás z globálneho hľadiska celková nesplatená pomyselná hodnota alebo účtovná hodnota alebo vytvorený príjem z poplatkov?</w:t>
            </w:r>
          </w:p>
        </w:tc>
      </w:tr>
      <w:tr w:rsidR="007A5804"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7A5804" w:rsidRDefault="007B7723">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7A5804" w:rsidRDefault="007B7723">
            <w:pPr>
              <w:pStyle w:val="P68B1DB1-TableParagraph14"/>
              <w:spacing w:before="108"/>
              <w:jc w:val="both"/>
              <w:rPr>
                <w:bCs/>
              </w:rPr>
            </w:pPr>
            <w:r>
              <w:t>Ukazovateľ veľkosti 2</w:t>
            </w:r>
          </w:p>
          <w:p w14:paraId="419C7762"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CA1" w14:textId="7FB998B3" w:rsidR="007A5804" w:rsidRDefault="007B7723">
            <w:pPr>
              <w:pStyle w:val="P68B1DB1-TableParagraph13"/>
              <w:spacing w:before="108"/>
              <w:jc w:val="both"/>
            </w:pPr>
            <w:r>
              <w:t xml:space="preserve"> </w:t>
            </w:r>
          </w:p>
          <w:p w14:paraId="3C42A32E" w14:textId="77777777" w:rsidR="007A5804" w:rsidRDefault="007B7723">
            <w:pPr>
              <w:pStyle w:val="P68B1DB1-ListParagraph32"/>
              <w:numPr>
                <w:ilvl w:val="0"/>
                <w:numId w:val="124"/>
              </w:numPr>
              <w:spacing w:line="276" w:lineRule="auto"/>
            </w:pPr>
            <w:r>
              <w:t xml:space="preserve">Odborný posudok veľkosti počtu protistrán (c0090 pre funkciu ID 4,1, 4.2, 4.3) alebo </w:t>
            </w:r>
            <w:r>
              <w:rPr>
                <w:b/>
              </w:rPr>
              <w:t>počtu</w:t>
            </w:r>
            <w:r>
              <w:t xml:space="preserve"> upísaných transakcií (c0100 pre ID 4.4) z </w:t>
            </w:r>
            <w:r>
              <w:rPr>
                <w:b/>
              </w:rPr>
              <w:t>vnútroštátneho</w:t>
            </w:r>
            <w:r>
              <w:t xml:space="preserve"> hľadiska</w:t>
            </w:r>
            <w:r>
              <w:rPr>
                <w:i/>
              </w:rPr>
              <w:t>[na úrovni relevantného trhu</w:t>
            </w:r>
            <w:r>
              <w:t>]:</w:t>
            </w:r>
          </w:p>
          <w:p w14:paraId="7FE1BCA3" w14:textId="77777777" w:rsidR="007A5804" w:rsidRDefault="007B7723">
            <w:pPr>
              <w:pStyle w:val="P68B1DB1-ListParagraph32"/>
              <w:numPr>
                <w:ilvl w:val="1"/>
                <w:numId w:val="124"/>
              </w:numPr>
              <w:spacing w:line="276" w:lineRule="auto"/>
            </w:pPr>
            <w:r>
              <w:t>Aký veľký je z vnútroštátneho hľadiska odhadovaný počet protistrán</w:t>
            </w:r>
            <w:r>
              <w:rPr>
                <w:i/>
              </w:rPr>
              <w:t xml:space="preserve"> alebo</w:t>
            </w:r>
            <w:r>
              <w:t xml:space="preserve"> upísaných transakcií vašej inštitúcie?</w:t>
            </w:r>
          </w:p>
          <w:p w14:paraId="7FE1BCA4"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7A5804" w:rsidRDefault="007B7723">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7A5804" w:rsidRDefault="007B7723">
            <w:pPr>
              <w:pStyle w:val="P68B1DB1-TableParagraph14"/>
              <w:spacing w:before="108"/>
              <w:jc w:val="both"/>
              <w:rPr>
                <w:bCs/>
              </w:rPr>
            </w:pPr>
            <w:r>
              <w:t>Cezhraničný ukazovateľ</w:t>
            </w:r>
          </w:p>
          <w:p w14:paraId="7FE1BCA8" w14:textId="77777777" w:rsidR="007A5804" w:rsidRDefault="007B7723">
            <w:pPr>
              <w:pStyle w:val="P68B1DB1-TableParagraph13"/>
              <w:spacing w:before="108"/>
              <w:jc w:val="both"/>
            </w:pPr>
            <w:r>
              <w:t>Posúdiť relatívny význam cezhraničných činností pre rôzne hospodárske funkcie.</w:t>
            </w:r>
          </w:p>
          <w:p w14:paraId="7FE1BCA9" w14:textId="77777777" w:rsidR="007A5804" w:rsidRDefault="007B7723">
            <w:pPr>
              <w:pStyle w:val="P68B1DB1-TableParagraph13"/>
              <w:spacing w:before="108"/>
              <w:jc w:val="both"/>
            </w:pPr>
            <w:r>
              <w:t xml:space="preserve">Toto sa nemusí posudzovať v prípade správ, v ktorých sa relevantný trh považuje za regionálny. </w:t>
            </w:r>
          </w:p>
          <w:p w14:paraId="7FE1BCAA" w14:textId="77777777" w:rsidR="007A5804" w:rsidRDefault="007B7723">
            <w:pPr>
              <w:pStyle w:val="P68B1DB1-ListParagraph32"/>
              <w:numPr>
                <w:ilvl w:val="0"/>
                <w:numId w:val="118"/>
              </w:numPr>
              <w:rPr>
                <w:i/>
                <w:iCs/>
              </w:rPr>
            </w:pPr>
            <w:r>
              <w:t xml:space="preserve">Podiel činnosti vykazujúceho subjektu vo viacerých jurisdikciách ako percentuálny podiel z celkovej hodnoty vyjadrený v pomyselných hodnotách (deriváty), účtovnej hodnote </w:t>
            </w:r>
            <w:r>
              <w:lastRenderedPageBreak/>
              <w:t xml:space="preserve">(sekundárne trhy), príjmoch z poplatkov od zahraničných zákazníkov (primárne trhy). Správa: </w:t>
            </w:r>
          </w:p>
          <w:p w14:paraId="7FE1BCAB" w14:textId="7D11D6B0" w:rsidR="007A5804" w:rsidRDefault="007B7723">
            <w:pPr>
              <w:pStyle w:val="P68B1DB1-ListParagraph32"/>
              <w:numPr>
                <w:ilvl w:val="1"/>
                <w:numId w:val="118"/>
              </w:numPr>
              <w:rPr>
                <w:i/>
                <w:iCs/>
              </w:rPr>
            </w:pPr>
            <w:bookmarkStart w:id="120" w:name="_Hlk194476322"/>
            <w:r>
              <w:t xml:space="preserve">&amp;5 %; </w:t>
            </w:r>
          </w:p>
          <w:p w14:paraId="7FE1BCAC" w14:textId="35A9186D" w:rsidR="007A5804" w:rsidRDefault="007B7723">
            <w:pPr>
              <w:pStyle w:val="P68B1DB1-ListParagraph32"/>
              <w:numPr>
                <w:ilvl w:val="1"/>
                <w:numId w:val="118"/>
              </w:numPr>
              <w:rPr>
                <w:i/>
                <w:iCs/>
              </w:rPr>
            </w:pPr>
            <w:r>
              <w:t xml:space="preserve">5 – 15 %; </w:t>
            </w:r>
          </w:p>
          <w:p w14:paraId="7FE1BCAD" w14:textId="54C07240" w:rsidR="007A5804" w:rsidRDefault="007B7723">
            <w:pPr>
              <w:pStyle w:val="P68B1DB1-ListParagraph32"/>
              <w:numPr>
                <w:ilvl w:val="1"/>
                <w:numId w:val="118"/>
              </w:numPr>
              <w:rPr>
                <w:i/>
                <w:iCs/>
              </w:rPr>
            </w:pPr>
            <w:r>
              <w:t xml:space="preserve">16 – 25 %, </w:t>
            </w:r>
          </w:p>
          <w:p w14:paraId="7FE1BCAE" w14:textId="34AC2F5B" w:rsidR="007A5804" w:rsidRDefault="007B7723">
            <w:pPr>
              <w:pStyle w:val="P68B1DB1-ListParagraph32"/>
              <w:numPr>
                <w:ilvl w:val="1"/>
                <w:numId w:val="118"/>
              </w:numPr>
              <w:rPr>
                <w:i/>
                <w:iCs/>
              </w:rPr>
            </w:pPr>
            <w:r>
              <w:t xml:space="preserve">&gt; 25 %. </w:t>
            </w:r>
          </w:p>
          <w:bookmarkEnd w:id="120"/>
          <w:p w14:paraId="7FE1BCAF"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7A5804" w:rsidRDefault="007B7723">
            <w:pPr>
              <w:pStyle w:val="P68B1DB1-TableParagraph17"/>
              <w:spacing w:before="108"/>
              <w:ind w:left="85"/>
              <w:jc w:val="both"/>
            </w:pPr>
            <w:r>
              <w:lastRenderedPageBreak/>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7A5804" w:rsidRDefault="007B7723">
            <w:pPr>
              <w:pStyle w:val="P68B1DB1-TableParagraph14"/>
              <w:spacing w:before="108"/>
              <w:jc w:val="both"/>
              <w:rPr>
                <w:bCs/>
              </w:rPr>
            </w:pPr>
            <w:r>
              <w:t xml:space="preserve">Relevantnosť — </w:t>
            </w:r>
          </w:p>
          <w:p w14:paraId="7FE1BCB3" w14:textId="77777777" w:rsidR="007A5804" w:rsidRDefault="007B7723">
            <w:pPr>
              <w:pStyle w:val="P68B1DB1-TableParagraph13"/>
              <w:spacing w:before="108"/>
              <w:jc w:val="both"/>
            </w:pPr>
            <w:r>
              <w:t>Na miestnej, regionálnej, vnútroštátnej alebo európskej úrovni, podľa vhodnosti pre príslušný trh. Význam inštitúcie sa môže posúdiť na základe trhového podielu, prepojenosti, zložitosti alebo cezhraničných činností;</w:t>
            </w:r>
          </w:p>
          <w:p w14:paraId="7FE1BCB4" w14:textId="77777777" w:rsidR="007A5804" w:rsidRDefault="007B7723">
            <w:pPr>
              <w:pStyle w:val="P68B1DB1-TableParagraph14"/>
              <w:spacing w:before="108"/>
              <w:jc w:val="both"/>
              <w:rPr>
                <w:bCs/>
              </w:rPr>
            </w:pPr>
            <w:r>
              <w:t>Podiel na trhu</w:t>
            </w:r>
          </w:p>
          <w:p w14:paraId="7FE1BCB5" w14:textId="77777777" w:rsidR="007A5804" w:rsidRDefault="007B7723">
            <w:pPr>
              <w:pStyle w:val="P68B1DB1-TableParagraph13"/>
              <w:spacing w:before="108"/>
              <w:jc w:val="both"/>
            </w:pPr>
            <w:r>
              <w:t xml:space="preserve">Posúdiť význam podielu vykazujúceho subjektu na trhu v porovnaní s vnútroštátnym alebo iným relevantným trhom, ako sa uvádza vo vzore. Toto posúdenie je vyjadrené kvalitatívne ako </w:t>
            </w:r>
          </w:p>
          <w:p w14:paraId="7FE1BCB6" w14:textId="3D988DC8" w:rsidR="007A5804" w:rsidRDefault="007B7723">
            <w:pPr>
              <w:pStyle w:val="P68B1DB1-ListParagraph38"/>
              <w:numPr>
                <w:ilvl w:val="0"/>
                <w:numId w:val="276"/>
              </w:numPr>
              <w:spacing w:line="276" w:lineRule="auto"/>
              <w:jc w:val="both"/>
            </w:pPr>
            <w:r>
              <w:t>Vysoký, ak je podiel na trhu veľký</w:t>
            </w:r>
          </w:p>
          <w:p w14:paraId="7FE1BCB7" w14:textId="2084195C" w:rsidR="007A5804" w:rsidRDefault="007B7723">
            <w:pPr>
              <w:pStyle w:val="P68B1DB1-ListParagraph38"/>
              <w:numPr>
                <w:ilvl w:val="0"/>
                <w:numId w:val="276"/>
              </w:numPr>
              <w:spacing w:line="276" w:lineRule="auto"/>
              <w:jc w:val="both"/>
            </w:pPr>
            <w:r>
              <w:t>Stredná – vysoká, ak je podiel na trhu stredný</w:t>
            </w:r>
          </w:p>
          <w:p w14:paraId="7FE1BCB8" w14:textId="06CDA0E3" w:rsidR="007A5804" w:rsidRDefault="007B7723">
            <w:pPr>
              <w:pStyle w:val="P68B1DB1-ListParagraph38"/>
              <w:numPr>
                <w:ilvl w:val="0"/>
                <w:numId w:val="276"/>
              </w:numPr>
              <w:spacing w:line="276" w:lineRule="auto"/>
              <w:jc w:val="both"/>
            </w:pPr>
            <w:r>
              <w:t xml:space="preserve">Stredný, ak je podiel na trhu malý alebo </w:t>
            </w:r>
          </w:p>
          <w:p w14:paraId="7FE1BCB9" w14:textId="19A1DC5D" w:rsidR="007A5804" w:rsidRDefault="007B7723">
            <w:pPr>
              <w:pStyle w:val="P68B1DB1-ListParagraph38"/>
              <w:numPr>
                <w:ilvl w:val="0"/>
                <w:numId w:val="276"/>
              </w:numPr>
              <w:spacing w:line="276" w:lineRule="auto"/>
              <w:jc w:val="both"/>
            </w:pPr>
            <w:r>
              <w:t xml:space="preserve">Nízky, ak je podiel na trhu zanedbateľný. </w:t>
            </w:r>
          </w:p>
          <w:p w14:paraId="7FE1BCBA" w14:textId="77777777" w:rsidR="007A5804" w:rsidRDefault="007B7723">
            <w:pPr>
              <w:pStyle w:val="P68B1DB1-TableParagraph13"/>
              <w:spacing w:before="108"/>
              <w:jc w:val="both"/>
            </w:pPr>
            <w:r>
              <w:t xml:space="preserve">V tomto posúdení sa zohľadňuje trhová štruktúra krajiny vykazujúceho subjektu (alebo iného relevantného trhu) a podiely na trhu vykázané čiastočne. </w:t>
            </w:r>
          </w:p>
          <w:p w14:paraId="7FE1BCBB" w14:textId="77777777" w:rsidR="007A5804" w:rsidRDefault="007B7723">
            <w:pPr>
              <w:pStyle w:val="P68B1DB1-TableParagraph13"/>
              <w:spacing w:before="108"/>
              <w:jc w:val="both"/>
            </w:pPr>
            <w:r>
              <w:t>2.Kvantitatívne údaje:</w:t>
            </w:r>
          </w:p>
          <w:p w14:paraId="7FE1BCBC" w14:textId="77777777" w:rsidR="007A5804" w:rsidRDefault="007B7723">
            <w:pPr>
              <w:pStyle w:val="P68B1DB1-ListParagraph32"/>
              <w:numPr>
                <w:ilvl w:val="0"/>
                <w:numId w:val="117"/>
              </w:numPr>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CBD"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BE"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7A5804" w:rsidRDefault="007B7723">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7A5804" w:rsidRDefault="007B7723">
            <w:pPr>
              <w:pStyle w:val="P68B1DB1-TableParagraph14"/>
              <w:spacing w:before="108"/>
              <w:jc w:val="both"/>
              <w:rPr>
                <w:bCs/>
              </w:rPr>
            </w:pPr>
            <w:r>
              <w:t>Štruktúra trhu – koncentrácia trhu</w:t>
            </w:r>
          </w:p>
          <w:p w14:paraId="7FE1BCC2" w14:textId="77777777" w:rsidR="007A5804" w:rsidRDefault="007B7723">
            <w:pPr>
              <w:pStyle w:val="P68B1DB1-TableParagraph13"/>
              <w:spacing w:before="108"/>
              <w:jc w:val="both"/>
            </w:pPr>
            <w:r>
              <w:t xml:space="preserve">Koncentrácia trhu meraná počtom konkurentov, ktorí v súčasnosti vykonávajú svoju činnosť </w:t>
            </w:r>
          </w:p>
          <w:p w14:paraId="7FE1BCC3" w14:textId="77777777" w:rsidR="007A5804" w:rsidRDefault="007B7723">
            <w:pPr>
              <w:pStyle w:val="P68B1DB1-TableParagraph13"/>
              <w:spacing w:before="108"/>
              <w:jc w:val="both"/>
            </w:pPr>
            <w:r>
              <w:t xml:space="preserve">podobné hospodárske funkcie a/alebo ponúkajúce podobné služby za rovnakých podmienok (t. j. pre </w:t>
            </w:r>
          </w:p>
          <w:p w14:paraId="7FE1BCC4" w14:textId="77777777" w:rsidR="007A5804" w:rsidRDefault="007B7723">
            <w:pPr>
              <w:pStyle w:val="P68B1DB1-TableParagraph13"/>
              <w:spacing w:before="108"/>
              <w:jc w:val="both"/>
            </w:pPr>
            <w:r>
              <w:t xml:space="preserve">porovnateľný rozsah a kvalita a za porovnateľné náklady), ktoré potenciálne prevezmú </w:t>
            </w:r>
          </w:p>
          <w:p w14:paraId="7FE1BCC5" w14:textId="77777777" w:rsidR="007A5804" w:rsidRDefault="007B7723">
            <w:pPr>
              <w:pStyle w:val="P68B1DB1-TableParagraph13"/>
              <w:spacing w:before="108"/>
              <w:jc w:val="both"/>
            </w:pPr>
            <w:r>
              <w:t xml:space="preserve">(časť) klientov a/alebo obchodnej činnosti vykazujúceho subjektu v primeranom časovom rámci. </w:t>
            </w:r>
          </w:p>
          <w:p w14:paraId="7FE1BCC6" w14:textId="77777777" w:rsidR="007A5804" w:rsidRDefault="007B7723">
            <w:pPr>
              <w:pStyle w:val="P68B1DB1-TableParagraph13"/>
              <w:spacing w:before="108"/>
              <w:jc w:val="both"/>
            </w:pPr>
            <w:r>
              <w:t xml:space="preserve">Vykazuje sa v skupinách, ktoré sú rovnaké pre každú čiastkovú funkciu. </w:t>
            </w:r>
          </w:p>
          <w:p w14:paraId="6E6D19F8" w14:textId="77777777" w:rsidR="007A5804" w:rsidRDefault="007B7723">
            <w:pPr>
              <w:pStyle w:val="P68B1DB1-ListParagraph32"/>
              <w:numPr>
                <w:ilvl w:val="0"/>
                <w:numId w:val="277"/>
              </w:numPr>
              <w:jc w:val="both"/>
            </w:pPr>
            <w:r>
              <w:t xml:space="preserve">&gt; 20 konkurentov; </w:t>
            </w:r>
          </w:p>
          <w:p w14:paraId="6A8A3C5F" w14:textId="77777777" w:rsidR="007A5804" w:rsidRDefault="007B7723">
            <w:pPr>
              <w:pStyle w:val="P68B1DB1-ListParagraph32"/>
              <w:numPr>
                <w:ilvl w:val="0"/>
                <w:numId w:val="277"/>
              </w:numPr>
              <w:jc w:val="both"/>
            </w:pPr>
            <w:r>
              <w:t xml:space="preserve">11 – 20 konkurentov, </w:t>
            </w:r>
          </w:p>
          <w:p w14:paraId="543AFD53" w14:textId="77777777" w:rsidR="007A5804" w:rsidRDefault="007B7723">
            <w:pPr>
              <w:pStyle w:val="P68B1DB1-ListParagraph32"/>
              <w:numPr>
                <w:ilvl w:val="0"/>
                <w:numId w:val="277"/>
              </w:numPr>
              <w:jc w:val="both"/>
            </w:pPr>
            <w:r>
              <w:t xml:space="preserve">5 – 10 konkurentov, </w:t>
            </w:r>
          </w:p>
          <w:p w14:paraId="761539CF" w14:textId="77777777" w:rsidR="007A5804" w:rsidRDefault="007B7723">
            <w:pPr>
              <w:pStyle w:val="P68B1DB1-ListParagraph32"/>
              <w:numPr>
                <w:ilvl w:val="0"/>
                <w:numId w:val="277"/>
              </w:numPr>
              <w:jc w:val="both"/>
              <w:rPr>
                <w:b/>
                <w:bCs/>
                <w:color w:val="000000" w:themeColor="text1"/>
              </w:rPr>
            </w:pPr>
            <w:r>
              <w:t>&amp;5 konkurentov</w:t>
            </w:r>
          </w:p>
          <w:p w14:paraId="7FE1BCCA" w14:textId="06EC2320" w:rsidR="007A5804" w:rsidRDefault="007A5804">
            <w:pPr>
              <w:jc w:val="both"/>
              <w:rPr>
                <w:rFonts w:ascii="Times New Roman" w:hAnsi="Times New Roman"/>
                <w:color w:val="000000" w:themeColor="text1"/>
                <w:sz w:val="20"/>
                <w:szCs w:val="20"/>
              </w:rPr>
            </w:pPr>
          </w:p>
        </w:tc>
      </w:tr>
      <w:tr w:rsidR="007A5804"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7A5804" w:rsidRDefault="007B7723">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7A5804" w:rsidRDefault="007B7723">
            <w:pPr>
              <w:pStyle w:val="P68B1DB1-TableParagraph14"/>
              <w:spacing w:before="108"/>
              <w:jc w:val="both"/>
              <w:rPr>
                <w:bCs/>
              </w:rPr>
            </w:pPr>
            <w:r>
              <w:t>Načasovanie – očakávaný čas substitúcie</w:t>
            </w:r>
          </w:p>
          <w:p w14:paraId="7FE1BCCE" w14:textId="77777777" w:rsidR="007A5804" w:rsidRDefault="007B7723">
            <w:pPr>
              <w:pStyle w:val="P68B1DB1-TableParagraph13"/>
              <w:spacing w:before="108"/>
              <w:jc w:val="both"/>
            </w:pPr>
            <w:r>
              <w:t>Odhadnúť čas potrebný na ekonomickú funkciu, ktorú poskytuje podávanie správ</w:t>
            </w:r>
          </w:p>
          <w:p w14:paraId="7FE1BCCF" w14:textId="77777777" w:rsidR="007A5804" w:rsidRDefault="007B7723">
            <w:pPr>
              <w:pStyle w:val="P68B1DB1-TableParagraph13"/>
              <w:spacing w:before="108"/>
              <w:jc w:val="both"/>
            </w:pPr>
            <w:r>
              <w:t xml:space="preserve">subjekt, ktorý má trh v krízovej situácii absorbovať. Súčasťou tejto podpory je: </w:t>
            </w:r>
          </w:p>
          <w:p w14:paraId="7FE1BCD0" w14:textId="77777777" w:rsidR="007A5804" w:rsidRDefault="007B7723">
            <w:pPr>
              <w:pStyle w:val="P68B1DB1-ListParagraph38"/>
              <w:numPr>
                <w:ilvl w:val="0"/>
                <w:numId w:val="274"/>
              </w:numPr>
              <w:jc w:val="both"/>
            </w:pPr>
            <w:r>
              <w:t xml:space="preserve">očakávaný čas, ktorý jeden alebo viacerí konkurenti potrebujú na uskutočnenie právnych a technických krokov na prevzatie funkcie; ako aj  </w:t>
            </w:r>
          </w:p>
          <w:p w14:paraId="7FE1BCD1" w14:textId="77777777" w:rsidR="007A5804" w:rsidRDefault="007B7723">
            <w:pPr>
              <w:pStyle w:val="P68B1DB1-ListParagraph38"/>
              <w:numPr>
                <w:ilvl w:val="0"/>
                <w:numId w:val="274"/>
              </w:numPr>
              <w:jc w:val="both"/>
            </w:pPr>
            <w:r>
              <w:t xml:space="preserve">čas, ktorý používatelia služby potrebujú na presťahovanie sa k inému poskytovateľovi služieb. </w:t>
            </w:r>
          </w:p>
          <w:p w14:paraId="7FE1BCD2"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D3" w14:textId="77777777" w:rsidR="007A5804" w:rsidRDefault="007B7723">
            <w:pPr>
              <w:pStyle w:val="P68B1DB1-TableParagraph13"/>
              <w:spacing w:before="108"/>
              <w:jc w:val="both"/>
            </w:pPr>
            <w:r>
              <w:lastRenderedPageBreak/>
              <w:t>Ako zástupný ukazovateľ pre služby poskytované inou inštitúciou uveďte odhad času, počas ktorého by vykazujúci subjekt v krízovej situácii za primerané náklady absorboval vo svojej vlastnej obchodnej činnosti (časť) služby, ktorú poskytuje iná inštitúcia. Uveďte odhadovaný čas substitúcie v skupinách uvedených vo vzore:</w:t>
            </w:r>
          </w:p>
          <w:p w14:paraId="7FE1BCD4" w14:textId="77777777" w:rsidR="007A5804" w:rsidRDefault="007B7723">
            <w:pPr>
              <w:pStyle w:val="P68B1DB1-Normal31"/>
              <w:jc w:val="both"/>
            </w:pPr>
            <w:r>
              <w:t xml:space="preserve">Skupiny: </w:t>
            </w:r>
          </w:p>
          <w:p w14:paraId="7FE1BCD5" w14:textId="275C74C6" w:rsidR="007A5804" w:rsidRDefault="007B7723">
            <w:pPr>
              <w:pStyle w:val="P68B1DB1-ListParagraph32"/>
              <w:numPr>
                <w:ilvl w:val="0"/>
                <w:numId w:val="286"/>
              </w:numPr>
              <w:jc w:val="both"/>
            </w:pPr>
            <w:r>
              <w:t xml:space="preserve">&amp; 1 týždeň; </w:t>
            </w:r>
          </w:p>
          <w:p w14:paraId="7FE1BCD6" w14:textId="712CDEEF" w:rsidR="007A5804" w:rsidRDefault="007B7723">
            <w:pPr>
              <w:pStyle w:val="P68B1DB1-ListParagraph32"/>
              <w:numPr>
                <w:ilvl w:val="0"/>
                <w:numId w:val="286"/>
              </w:numPr>
              <w:jc w:val="both"/>
            </w:pPr>
            <w:r>
              <w:t xml:space="preserve">1 týždeň – 1 mesiac; </w:t>
            </w:r>
          </w:p>
          <w:p w14:paraId="7FE1BCD7" w14:textId="5ECCCD1B" w:rsidR="007A5804" w:rsidRDefault="007B7723">
            <w:pPr>
              <w:pStyle w:val="P68B1DB1-ListParagraph32"/>
              <w:numPr>
                <w:ilvl w:val="0"/>
                <w:numId w:val="286"/>
              </w:numPr>
              <w:jc w:val="both"/>
            </w:pPr>
            <w:r>
              <w:t xml:space="preserve">&gt; 1 mesiac – 6 mesiacov, </w:t>
            </w:r>
          </w:p>
          <w:p w14:paraId="7FE1BCD8" w14:textId="66817B18" w:rsidR="007A5804" w:rsidRDefault="007B7723">
            <w:pPr>
              <w:pStyle w:val="P68B1DB1-ListParagraph32"/>
              <w:numPr>
                <w:ilvl w:val="0"/>
                <w:numId w:val="286"/>
              </w:numPr>
              <w:jc w:val="both"/>
            </w:pPr>
            <w:r>
              <w:t xml:space="preserve">&gt; 6 mesiacov  </w:t>
            </w:r>
          </w:p>
          <w:p w14:paraId="7FE1BCD9"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7A5804" w:rsidRDefault="007B7723">
            <w:pPr>
              <w:pStyle w:val="P68B1DB1-TableParagraph17"/>
              <w:spacing w:before="108"/>
              <w:ind w:left="85"/>
              <w:jc w:val="both"/>
            </w:pPr>
            <w:r>
              <w:lastRenderedPageBreak/>
              <w:t>0170 – 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7A5804" w:rsidRDefault="007B7723">
            <w:pPr>
              <w:pStyle w:val="P68B1DB1-TableParagraph14"/>
              <w:spacing w:before="108"/>
              <w:jc w:val="both"/>
              <w:rPr>
                <w:bCs/>
              </w:rPr>
            </w:pPr>
            <w:r>
              <w:t>Schopnosť substitúcie</w:t>
            </w:r>
          </w:p>
        </w:tc>
      </w:tr>
      <w:tr w:rsidR="007A5804"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7A5804" w:rsidRDefault="007B7723">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7A5804" w:rsidRDefault="007B7723">
            <w:pPr>
              <w:pStyle w:val="P68B1DB1-TableParagraph14"/>
              <w:spacing w:before="108"/>
              <w:jc w:val="both"/>
              <w:rPr>
                <w:bCs/>
              </w:rPr>
            </w:pPr>
            <w:r>
              <w:t>Právne prekážky vstupu na trh alebo expanzie</w:t>
            </w:r>
          </w:p>
          <w:p w14:paraId="7FE1BCE0"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E1" w14:textId="77777777" w:rsidR="007A5804" w:rsidRDefault="007B7723">
            <w:pPr>
              <w:pStyle w:val="P68B1DB1-TableParagraph13"/>
              <w:spacing w:before="108"/>
              <w:jc w:val="both"/>
            </w:pPr>
            <w:r>
              <w:t xml:space="preserve">Právne prekážky pre konkurentov pri ponúkaní služby. Právne požiadavky na vykonávanie činnosti úverových inštitúcií (napr. bankové licencie alebo kapitálové požiadavky) sa nepovažujú za neprekonateľné prekážky v prítomnosti alternatívnych poskytovateľov. Tento ukazovateľ sa musí vykazovať v skupinách, ktoré sú rovnaké pre každú čiastkovú funkciu: </w:t>
            </w:r>
          </w:p>
          <w:p w14:paraId="7FE1BCE2" w14:textId="67FD7AF2" w:rsidR="007A5804" w:rsidRDefault="007B7723">
            <w:pPr>
              <w:pStyle w:val="P68B1DB1-ListParagraph39"/>
              <w:numPr>
                <w:ilvl w:val="0"/>
                <w:numId w:val="275"/>
              </w:numPr>
              <w:jc w:val="both"/>
            </w:pPr>
            <w:r>
              <w:t xml:space="preserve">žiadne významné prekážky, </w:t>
            </w:r>
          </w:p>
          <w:p w14:paraId="7FE1BCE3" w14:textId="6C8F8F76" w:rsidR="007A5804" w:rsidRDefault="007B7723">
            <w:pPr>
              <w:pStyle w:val="P68B1DB1-ListParagraph39"/>
              <w:numPr>
                <w:ilvl w:val="0"/>
                <w:numId w:val="275"/>
              </w:numPr>
              <w:jc w:val="both"/>
            </w:pPr>
            <w:r>
              <w:t xml:space="preserve">niektoré prekážky, </w:t>
            </w:r>
          </w:p>
          <w:p w14:paraId="7FE1BCE4" w14:textId="389397E1" w:rsidR="007A5804" w:rsidRDefault="007B7723">
            <w:pPr>
              <w:pStyle w:val="P68B1DB1-ListParagraph39"/>
              <w:numPr>
                <w:ilvl w:val="0"/>
                <w:numId w:val="275"/>
              </w:numPr>
              <w:jc w:val="both"/>
            </w:pPr>
            <w:r>
              <w:t xml:space="preserve">podstatné (ale prekonateľné) bariéry, </w:t>
            </w:r>
          </w:p>
          <w:p w14:paraId="7FE1BCE6" w14:textId="5882E7D2" w:rsidR="007A5804" w:rsidRDefault="007B7723">
            <w:pPr>
              <w:pStyle w:val="P68B1DB1-ListParagraph8"/>
              <w:numPr>
                <w:ilvl w:val="0"/>
                <w:numId w:val="275"/>
              </w:numPr>
              <w:jc w:val="both"/>
            </w:pPr>
            <w:r>
              <w:t>kritické (ťažko náročné) bariéry.</w:t>
            </w:r>
          </w:p>
        </w:tc>
      </w:tr>
      <w:tr w:rsidR="007A5804"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7A5804" w:rsidRDefault="007B7723">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7A5804" w:rsidRDefault="007B7723">
            <w:pPr>
              <w:pStyle w:val="P68B1DB1-TableParagraph14"/>
              <w:spacing w:before="108"/>
              <w:jc w:val="both"/>
              <w:rPr>
                <w:bCs/>
              </w:rPr>
            </w:pPr>
            <w:r>
              <w:t>Prevádzkové požiadavky na vstup alebo rozšírenie</w:t>
            </w:r>
          </w:p>
          <w:p w14:paraId="7FE1BCEA" w14:textId="77777777" w:rsidR="007A5804" w:rsidRDefault="007A5804">
            <w:pPr>
              <w:pStyle w:val="TableParagraph"/>
              <w:spacing w:before="108"/>
              <w:jc w:val="both"/>
              <w:rPr>
                <w:rFonts w:ascii="Times New Roman" w:hAnsi="Times New Roman" w:cs="Times New Roman"/>
                <w:color w:val="000000" w:themeColor="text1"/>
                <w:sz w:val="20"/>
                <w:szCs w:val="20"/>
              </w:rPr>
            </w:pPr>
          </w:p>
          <w:p w14:paraId="7FE1BCEB" w14:textId="31044453" w:rsidR="007A5804" w:rsidRDefault="007B7723">
            <w:pPr>
              <w:pStyle w:val="P68B1DB1-TableParagraph13"/>
              <w:spacing w:before="108"/>
              <w:jc w:val="both"/>
            </w:pPr>
            <w:r>
              <w:t xml:space="preserve">Organizačné, technické a infraštruktúrne požiadavky pre konkurentov pri ponúkaní služby. Ponuka služieb súvisiacich s (pod)funkciou si vyžaduje, aby poskytovatelia investovali do (novej alebo dodatočnej) infraštruktúry alebo aby zmenili svoje organizácie. Posúdiť schopnosť trhu absorbovať dané podnikanie, napríklad z hľadiska kapitálových požiadaviek. </w:t>
            </w:r>
          </w:p>
          <w:p w14:paraId="7FE1BCEC" w14:textId="77777777" w:rsidR="007A5804" w:rsidRDefault="007B7723">
            <w:pPr>
              <w:pStyle w:val="P68B1DB1-TableParagraph13"/>
              <w:spacing w:before="108"/>
              <w:jc w:val="both"/>
            </w:pPr>
            <w:r>
              <w:t xml:space="preserve">Tento ukazovateľ sa musí vykazovať v skupinách, ktoré sú rovnaké pre každú čiastkovú funkciu: </w:t>
            </w:r>
          </w:p>
          <w:p w14:paraId="7FE1BCED" w14:textId="5283E021" w:rsidR="007A5804" w:rsidRDefault="007B7723">
            <w:pPr>
              <w:pStyle w:val="P68B1DB1-ListParagraph39"/>
              <w:numPr>
                <w:ilvl w:val="0"/>
                <w:numId w:val="278"/>
              </w:numPr>
              <w:jc w:val="both"/>
            </w:pPr>
            <w:r>
              <w:t xml:space="preserve">bez väčších požiadaviek, </w:t>
            </w:r>
          </w:p>
          <w:p w14:paraId="7FE1BCEE" w14:textId="5ADAB5CD" w:rsidR="007A5804" w:rsidRDefault="007B7723">
            <w:pPr>
              <w:pStyle w:val="P68B1DB1-ListParagraph39"/>
              <w:numPr>
                <w:ilvl w:val="0"/>
                <w:numId w:val="278"/>
              </w:numPr>
              <w:jc w:val="both"/>
            </w:pPr>
            <w:r>
              <w:t xml:space="preserve">niektoré požiadavky, </w:t>
            </w:r>
          </w:p>
          <w:p w14:paraId="7FE1BCEF" w14:textId="579CC165" w:rsidR="007A5804" w:rsidRDefault="007B7723">
            <w:pPr>
              <w:pStyle w:val="P68B1DB1-ListParagraph39"/>
              <w:numPr>
                <w:ilvl w:val="0"/>
                <w:numId w:val="278"/>
              </w:numPr>
              <w:jc w:val="both"/>
            </w:pPr>
            <w:r>
              <w:t xml:space="preserve">podstatné (ale prekonateľné) požiadavky, </w:t>
            </w:r>
          </w:p>
          <w:p w14:paraId="7FE1BCF0" w14:textId="5F9F9690" w:rsidR="007A5804" w:rsidRDefault="007B7723">
            <w:pPr>
              <w:pStyle w:val="P68B1DB1-ListParagraph39"/>
              <w:numPr>
                <w:ilvl w:val="0"/>
                <w:numId w:val="278"/>
              </w:numPr>
              <w:jc w:val="both"/>
            </w:pPr>
            <w:r>
              <w:t>kritické požiadavky (ťažko náročné z hľadiska presakovania).</w:t>
            </w:r>
          </w:p>
          <w:p w14:paraId="7FE1BCF1" w14:textId="77777777" w:rsidR="007A5804" w:rsidRDefault="007A5804">
            <w:pPr>
              <w:pStyle w:val="TableParagraph"/>
              <w:spacing w:before="108"/>
              <w:jc w:val="both"/>
              <w:rPr>
                <w:rFonts w:ascii="Times New Roman" w:hAnsi="Times New Roman" w:cs="Times New Roman"/>
                <w:color w:val="000000" w:themeColor="text1"/>
                <w:sz w:val="20"/>
                <w:szCs w:val="20"/>
              </w:rPr>
            </w:pPr>
          </w:p>
        </w:tc>
      </w:tr>
      <w:tr w:rsidR="007A5804"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7A5804" w:rsidRDefault="007B7723">
            <w:pPr>
              <w:pStyle w:val="P68B1DB1-TableParagraph17"/>
              <w:spacing w:before="108"/>
              <w:ind w:left="85"/>
              <w:jc w:val="both"/>
            </w:pPr>
            <w:r>
              <w:t>0190 – 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7A5804" w:rsidRDefault="007B7723">
            <w:pPr>
              <w:pStyle w:val="P68B1DB1-TableParagraph14"/>
              <w:spacing w:before="108"/>
              <w:jc w:val="both"/>
              <w:rPr>
                <w:bCs/>
              </w:rPr>
            </w:pPr>
            <w:r>
              <w:t>Posúdenie kritickosti</w:t>
            </w:r>
          </w:p>
        </w:tc>
      </w:tr>
      <w:tr w:rsidR="007A5804"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7A5804" w:rsidRDefault="007B7723">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7A5804" w:rsidRDefault="007B7723">
            <w:pPr>
              <w:pStyle w:val="P68B1DB1-TableParagraph14"/>
              <w:spacing w:before="108"/>
              <w:jc w:val="both"/>
              <w:rPr>
                <w:bCs/>
              </w:rPr>
            </w:pPr>
            <w:r>
              <w:t xml:space="preserve">Vplyv na trh </w:t>
            </w:r>
          </w:p>
          <w:p w14:paraId="7FE1BCF8" w14:textId="77777777" w:rsidR="007A5804" w:rsidRDefault="007B7723">
            <w:pPr>
              <w:pStyle w:val="P68B1DB1-TableParagraph13"/>
              <w:spacing w:before="108"/>
              <w:jc w:val="both"/>
            </w:pPr>
            <w:r>
              <w:t>Odhadovaný vplyv náhleho prerušenia funkcie na tretie strany, finančné trhy a reálnu ekonomiku so zreteľom na veľkosť, podiel na trhu v danom štáte, vonkajšiu a vnútornú prepojenosť, zložitosť a cezhraničné činnosti inštitúcie.</w:t>
            </w:r>
          </w:p>
          <w:p w14:paraId="7FE1BCF9" w14:textId="22534111" w:rsidR="007A5804" w:rsidRDefault="007B7723">
            <w:pPr>
              <w:pStyle w:val="P68B1DB1-TableParagraph13"/>
              <w:spacing w:before="108"/>
              <w:jc w:val="both"/>
            </w:pPr>
            <w:r>
              <w:t>Toto posúdenie je kvalitatívne vyjadrené ako „vysoké“, „stredne vysoké“, „stredne nízke“ alebo „nízke“.</w:t>
            </w:r>
          </w:p>
          <w:p w14:paraId="7FE1BCFA" w14:textId="60C791C3" w:rsidR="007A5804" w:rsidRDefault="007B7723">
            <w:pPr>
              <w:pStyle w:val="P68B1DB1-TableParagraph13"/>
              <w:spacing w:before="108"/>
              <w:jc w:val="both"/>
            </w:pPr>
            <w:r>
              <w:t>„H“ sa vyberie, ak má prerušenie značný vplyv na vnútroštátny trh; „Stredne vysoký“, ak je vplyv významný; „Stredne nízky“, ak je vplyv významný, ale obmedzený; a „Low“, ak je vplyv nízky.</w:t>
            </w:r>
          </w:p>
        </w:tc>
      </w:tr>
      <w:tr w:rsidR="007A5804"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7A5804" w:rsidRDefault="007B7723">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7A5804" w:rsidRDefault="007B7723">
            <w:pPr>
              <w:pStyle w:val="P68B1DB1-TableParagraph14"/>
              <w:spacing w:before="108"/>
              <w:jc w:val="both"/>
              <w:rPr>
                <w:bCs/>
              </w:rPr>
            </w:pPr>
            <w:r>
              <w:t>Zastupiteľnosť</w:t>
            </w:r>
          </w:p>
          <w:p w14:paraId="7FE1BCFE" w14:textId="77777777" w:rsidR="007A5804" w:rsidRDefault="007B7723">
            <w:pPr>
              <w:pStyle w:val="P68B1DB1-TableParagraph13"/>
              <w:spacing w:before="108"/>
              <w:jc w:val="both"/>
            </w:pPr>
            <w:r>
              <w:lastRenderedPageBreak/>
              <w:t>Článok 6 ods. 3 delegovaného nariadenia (EÚ) 2016/778.</w:t>
            </w:r>
          </w:p>
          <w:p w14:paraId="7FE1BCFF" w14:textId="77777777" w:rsidR="007A5804" w:rsidRDefault="007B7723">
            <w:pPr>
              <w:pStyle w:val="P68B1DB1-TableParagraph13"/>
              <w:spacing w:before="108"/>
              <w:jc w:val="both"/>
            </w:pPr>
            <w:r>
              <w:t>Funkcia sa považuje za zastupiteľnú, ak ju možno nahradiť prijateľným spôsobom a v primeranej lehote, čím sa zabráni systémovým problémom pre reálnu ekonomiku a finančné trhy. Treba zohľadniť:</w:t>
            </w:r>
          </w:p>
          <w:p w14:paraId="7FE1BD00" w14:textId="77777777" w:rsidR="007A5804" w:rsidRDefault="007B7723">
            <w:pPr>
              <w:pStyle w:val="P68B1DB1-TableParagraph13"/>
              <w:spacing w:before="108"/>
              <w:jc w:val="both"/>
            </w:pPr>
            <w:r>
              <w:t xml:space="preserve">(a) štruktúru trhu pre túto funkciu a dostupnosť náhradných poskytovateľov; </w:t>
            </w:r>
          </w:p>
          <w:p w14:paraId="7FE1BD01" w14:textId="77777777" w:rsidR="007A5804" w:rsidRDefault="007B7723">
            <w:pPr>
              <w:pStyle w:val="P68B1DB1-TableParagraph13"/>
              <w:spacing w:before="108"/>
              <w:jc w:val="both"/>
            </w:pPr>
            <w:r>
              <w:t xml:space="preserve">(b) schopnosť iných poskytovateľov v oblasti kapacity, požiadaviek na výkon funkcie a potenciálnych prekážok pre vstup alebo rozšírenie; </w:t>
            </w:r>
          </w:p>
          <w:p w14:paraId="7FE1BD02" w14:textId="77777777" w:rsidR="007A5804" w:rsidRDefault="007B7723">
            <w:pPr>
              <w:pStyle w:val="P68B1DB1-TableParagraph13"/>
              <w:spacing w:before="108"/>
              <w:jc w:val="both"/>
            </w:pPr>
            <w:r>
              <w:t xml:space="preserve">(c) motiváciu iných poskytovateľov, pokiaľ ide o prevzatie týchto činností; </w:t>
            </w:r>
          </w:p>
          <w:p w14:paraId="7FE1BD03" w14:textId="77777777" w:rsidR="007A5804" w:rsidRDefault="007B7723">
            <w:pPr>
              <w:pStyle w:val="P68B1DB1-TableParagraph13"/>
              <w:spacing w:before="108"/>
              <w:jc w:val="both"/>
            </w:pPr>
            <w:r>
              <w:t>(d) čas, ktorý používatelia služby potrebujú na prechod k novému poskytovateľovi služieb, a s tým spojené náklady, čas, ktorý potrebujú ostatní konkurenti na prevzatie úloh, a či tento čas stačí na to, aby sa zabránilo výraznému narušeniu v závislosti od druhu služby.</w:t>
            </w:r>
          </w:p>
          <w:p w14:paraId="7FE1BD04" w14:textId="379B1AA4" w:rsidR="007A5804" w:rsidRDefault="007B7723">
            <w:pPr>
              <w:pStyle w:val="P68B1DB1-TableParagraph13"/>
              <w:spacing w:before="108"/>
              <w:jc w:val="both"/>
            </w:pPr>
            <w:r>
              <w:t xml:space="preserve">Uveďte celkové posúdenie očakávanej miery nahraditeľnosti pre každú funkciu, pričom sa zohľadnia rôzne rozmery, ktoré sa posudzovali predtým (podiel na trhu, koncentrácia trhu, čas potrebný na nahradenie, právne prekážky a prevádzkové požiadavky na vstup na trh alebo rozšírenie). Toto posúdenie je kvalitatívne vyjadrené ako „vysoké“, „stredne vysoké“, „stredne nízke“ alebo „nízke“. </w:t>
            </w:r>
          </w:p>
          <w:p w14:paraId="7FE1BD05" w14:textId="3E0B0177" w:rsidR="007A5804" w:rsidRDefault="007B7723">
            <w:pPr>
              <w:pStyle w:val="P68B1DB1-TableParagraph13"/>
              <w:spacing w:before="108"/>
              <w:jc w:val="both"/>
            </w:pPr>
            <w:r>
              <w:t>H ′ sa vyberie, ak funkciu môže ľahko zabezpečiť iná banka za porovnateľných podmienok v primeranom časovom rámci;</w:t>
            </w:r>
          </w:p>
          <w:p w14:paraId="7FE1BD06" w14:textId="5459DD51" w:rsidR="007A5804" w:rsidRDefault="007B7723">
            <w:pPr>
              <w:pStyle w:val="P68B1DB1-TableParagraph13"/>
              <w:spacing w:before="108"/>
              <w:jc w:val="both"/>
            </w:pPr>
            <w:r>
              <w:t xml:space="preserve">„Nízka“ ak funkciu nie je možné ľahko alebo rýchlo nahradiť; </w:t>
            </w:r>
          </w:p>
          <w:p w14:paraId="7FE1BD07" w14:textId="113A35A6" w:rsidR="007A5804" w:rsidRDefault="007B7723">
            <w:pPr>
              <w:pStyle w:val="P68B1DB1-TableParagraph13"/>
              <w:spacing w:before="108"/>
              <w:jc w:val="both"/>
            </w:pPr>
            <w:r>
              <w:t>„Medium-High“ a „Medium-Low“ pre prechodné prípady zohľadňujúce rôzne rozmery (napr. trhový podiel, koncentrácia trhu, čas na nahradenie, ako aj právne prekážky pre vstup alebo rozšírenie a prevádzkové požiadavky na vstup alebo rozšírenie).</w:t>
            </w:r>
          </w:p>
        </w:tc>
      </w:tr>
      <w:tr w:rsidR="007A5804"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7A5804" w:rsidRDefault="007B7723">
            <w:pPr>
              <w:pStyle w:val="P68B1DB1-TableParagraph17"/>
              <w:spacing w:before="108"/>
              <w:ind w:left="85"/>
              <w:jc w:val="both"/>
            </w:pPr>
            <w:r>
              <w:lastRenderedPageBreak/>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7A5804" w:rsidRDefault="007B7723">
            <w:pPr>
              <w:pStyle w:val="P68B1DB1-TableParagraph14"/>
              <w:spacing w:before="108"/>
              <w:jc w:val="both"/>
              <w:rPr>
                <w:bCs/>
              </w:rPr>
            </w:pPr>
            <w:r>
              <w:t>Zásadná funkcia</w:t>
            </w:r>
          </w:p>
          <w:p w14:paraId="7FE1BD0B" w14:textId="77777777" w:rsidR="007A5804" w:rsidRDefault="007B7723">
            <w:pPr>
              <w:pStyle w:val="P68B1DB1-TableParagraph13"/>
              <w:spacing w:before="108"/>
              <w:jc w:val="both"/>
            </w:pPr>
            <w:r>
              <w:t>V tomto stĺpci sa uvádza, či sa hospodárska funkcia na trhu príslušného štátu považuje za zásadnú so zreteľom na analýzu dopadu a náhradnosti, ktorú vykonala inštitúcia.</w:t>
            </w:r>
          </w:p>
          <w:p w14:paraId="7FE1BD0C" w14:textId="77777777" w:rsidR="007A5804" w:rsidRDefault="007B7723">
            <w:pPr>
              <w:pStyle w:val="P68B1DB1-TableParagraph13"/>
              <w:spacing w:before="108"/>
              <w:jc w:val="both"/>
            </w:pPr>
            <w:r>
              <w:t>Správa „áno“ alebo „nie“</w:t>
            </w:r>
          </w:p>
        </w:tc>
      </w:tr>
      <w:tr w:rsidR="007A5804"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7A5804" w:rsidRDefault="007B7723">
            <w:pPr>
              <w:pStyle w:val="P68B1DB1-TableParagraph17"/>
              <w:spacing w:before="108"/>
              <w:ind w:left="85"/>
              <w:jc w:val="both"/>
            </w:pPr>
            <w:r>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7A5804" w:rsidRDefault="007B7723">
            <w:pPr>
              <w:pStyle w:val="P68B1DB1-TableParagraph14"/>
              <w:spacing w:before="108"/>
              <w:jc w:val="both"/>
              <w:rPr>
                <w:bCs/>
              </w:rPr>
            </w:pPr>
            <w:r>
              <w:t>Pripomienky skupiny</w:t>
            </w:r>
          </w:p>
          <w:p w14:paraId="7FE1BD10" w14:textId="77777777" w:rsidR="007A5804" w:rsidRDefault="007B7723">
            <w:pPr>
              <w:pStyle w:val="P68B1DB1-TableParagraph13"/>
              <w:spacing w:before="108"/>
              <w:jc w:val="both"/>
            </w:pPr>
            <w:r>
              <w:t>Toto pole umožňuje vykazujúcej účtovnej jednotke vysvetliť akékoľvek predpoklady použité pri posudzovaní kritickosti vykazovanej funkcie (funkcií).</w:t>
            </w:r>
          </w:p>
        </w:tc>
      </w:tr>
    </w:tbl>
    <w:p w14:paraId="7FE1BD12" w14:textId="77777777" w:rsidR="007A5804" w:rsidRDefault="007A5804">
      <w:pPr>
        <w:rPr>
          <w:rFonts w:ascii="Times New Roman" w:hAnsi="Times New Roman" w:cs="Times New Roman"/>
          <w:color w:val="000000" w:themeColor="text1"/>
          <w:sz w:val="20"/>
          <w:szCs w:val="20"/>
        </w:rPr>
      </w:pPr>
    </w:p>
    <w:p w14:paraId="7FE1BD13" w14:textId="77777777" w:rsidR="007A5804" w:rsidRDefault="007A5804">
      <w:pPr>
        <w:rPr>
          <w:rFonts w:ascii="Times New Roman" w:hAnsi="Times New Roman" w:cs="Times New Roman"/>
          <w:color w:val="000000" w:themeColor="text1"/>
          <w:sz w:val="20"/>
          <w:szCs w:val="20"/>
        </w:rPr>
      </w:pPr>
    </w:p>
    <w:p w14:paraId="7FE1BD14" w14:textId="168C612B" w:rsidR="007A5804" w:rsidRDefault="007B7723">
      <w:pPr>
        <w:pStyle w:val="P68B1DB1-Instructionsberschrift25"/>
      </w:pPr>
      <w:bookmarkStart w:id="121" w:name="_Toc208245253"/>
      <w:r>
        <w:t>II.13.</w:t>
      </w:r>
      <w:r>
        <w:tab/>
        <w:t>Z 07.01.5 FUNC 1 WF</w:t>
      </w:r>
      <w:bookmarkEnd w:id="121"/>
    </w:p>
    <w:p w14:paraId="7FE1BD1C" w14:textId="77777777" w:rsidR="007A5804" w:rsidRDefault="007A5804">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7A5804"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7A5804" w:rsidRDefault="007B7723">
            <w:pPr>
              <w:pStyle w:val="P68B1DB1-TableParagraph17"/>
              <w:spacing w:before="108"/>
              <w:ind w:left="85"/>
              <w:jc w:val="both"/>
            </w:pPr>
            <w:r>
              <w:t>Stĺpce</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7A5804" w:rsidRDefault="007B7723">
            <w:pPr>
              <w:pStyle w:val="P68B1DB1-TableParagraph17"/>
              <w:spacing w:before="108"/>
              <w:ind w:left="85" w:right="1"/>
              <w:jc w:val="both"/>
            </w:pPr>
            <w:r>
              <w:t>Pokyny</w:t>
            </w:r>
          </w:p>
        </w:tc>
      </w:tr>
      <w:tr w:rsidR="007A5804"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7A5804" w:rsidRDefault="007B7723">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7A5804" w:rsidRDefault="007B7723">
            <w:pPr>
              <w:pStyle w:val="P68B1DB1-TableParagraph14"/>
              <w:spacing w:before="108"/>
              <w:ind w:left="85"/>
              <w:jc w:val="both"/>
              <w:rPr>
                <w:bCs/>
              </w:rPr>
            </w:pPr>
            <w:r>
              <w:t>Opis hospodárskej funkcie</w:t>
            </w:r>
          </w:p>
          <w:p w14:paraId="7FE1BD22" w14:textId="3E7FC747" w:rsidR="007A5804" w:rsidRDefault="007B7723">
            <w:pPr>
              <w:pStyle w:val="P68B1DB1-TableParagraph17"/>
              <w:spacing w:before="108"/>
              <w:ind w:left="85"/>
            </w:pPr>
            <w:r>
              <w:t xml:space="preserve">Ak je ekonomická funkcia typu „iné“ (Z 07.01.5 FUNC 1 WF r0360 až r0380), uvedie sa opis tejto funkcie. </w:t>
            </w:r>
          </w:p>
        </w:tc>
      </w:tr>
      <w:tr w:rsidR="007A5804"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7A5804" w:rsidRDefault="007B7723">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7A5804" w:rsidRDefault="007B7723">
            <w:pPr>
              <w:pStyle w:val="P68B1DB1-TableParagraph14"/>
              <w:spacing w:before="108"/>
              <w:ind w:left="85"/>
              <w:jc w:val="both"/>
              <w:rPr>
                <w:bCs/>
              </w:rPr>
            </w:pPr>
            <w:r>
              <w:t xml:space="preserve">Podiel na trhu </w:t>
            </w:r>
          </w:p>
          <w:p w14:paraId="7FE1BD26" w14:textId="470CCD5A" w:rsidR="007A5804" w:rsidRDefault="007B7723">
            <w:pPr>
              <w:pStyle w:val="P68B1DB1-TableParagraph17"/>
              <w:spacing w:before="108"/>
              <w:ind w:left="85"/>
            </w:pPr>
            <w:r>
              <w:t>Odhad trhového podielu inštitúcie alebo skupiny pre hospodársku funkciu v príslušnom štáte alebo geografickej oblasti. Percentuálny podiel z celkového trhu z hľadiska hrubej účtovnej hodnoty.</w:t>
            </w:r>
          </w:p>
        </w:tc>
      </w:tr>
      <w:tr w:rsidR="007A5804"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7A5804" w:rsidRDefault="007B7723">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7A5804" w:rsidRDefault="007B7723">
            <w:pPr>
              <w:pStyle w:val="P68B1DB1-Normal42"/>
              <w:rPr>
                <w:bCs/>
              </w:rPr>
            </w:pPr>
            <w:r>
              <w:t>Hrubá účtovná hodnota</w:t>
            </w:r>
          </w:p>
          <w:p w14:paraId="7FE1BD2A" w14:textId="77777777" w:rsidR="007A5804" w:rsidRDefault="007B7723">
            <w:pPr>
              <w:pStyle w:val="P68B1DB1-TableParagraph17"/>
              <w:spacing w:before="108"/>
            </w:pPr>
            <w:r>
              <w:t xml:space="preserve">Použite hrubú účtovnú hodnota podľa vymedzenia na účely FINREP“. </w:t>
            </w:r>
          </w:p>
          <w:p w14:paraId="7FE1BD2B" w14:textId="77777777" w:rsidR="007A5804" w:rsidRDefault="007B7723">
            <w:pPr>
              <w:pStyle w:val="P68B1DB1-TableParagraph17"/>
              <w:spacing w:before="108"/>
            </w:pPr>
            <w:r>
              <w:t xml:space="preserve">Referenčné dokumenty: FINREP: Príloha V časť 1 ods. 34, FINREP: Prílohy III a IV, vzory: </w:t>
            </w:r>
          </w:p>
          <w:p w14:paraId="7FE1BD2C" w14:textId="77777777" w:rsidR="007A5804" w:rsidRDefault="007B7723">
            <w:pPr>
              <w:pStyle w:val="P68B1DB1-TableParagraph17"/>
              <w:spacing w:before="108"/>
            </w:pPr>
            <w:r>
              <w:t>— Prijímanie úverov (5.1): Vzor F 20.06 stĺpec 010 riadky 100 + 110, všetky štáty.</w:t>
            </w:r>
          </w:p>
          <w:p w14:paraId="7FE1BD2D" w14:textId="77777777" w:rsidR="007A5804" w:rsidRDefault="007B7723">
            <w:pPr>
              <w:pStyle w:val="P68B1DB1-TableParagraph17"/>
              <w:spacing w:before="108"/>
            </w:pPr>
            <w:r>
              <w:t>— Deriváty (aktíva) (5.2): Vzor F 20.04 stĺpec 010 riadok 010, všetky štáty.</w:t>
            </w:r>
          </w:p>
          <w:p w14:paraId="7FE1BD2E" w14:textId="77777777" w:rsidR="007A5804" w:rsidRDefault="007B7723">
            <w:pPr>
              <w:pStyle w:val="P68B1DB1-TableParagraph17"/>
              <w:spacing w:before="108"/>
            </w:pPr>
            <w:r>
              <w:t xml:space="preserve">— Poskytovanie úverov (5.3): Vzor F 20.04 stĺpec 010 riadky 170 + 180, všetky štáty. </w:t>
            </w:r>
          </w:p>
          <w:p w14:paraId="7FE1BD30" w14:textId="58CF223C" w:rsidR="007A5804" w:rsidRDefault="007B7723">
            <w:pPr>
              <w:pStyle w:val="P68B1DB1-TableParagraph17"/>
              <w:spacing w:before="108"/>
            </w:pPr>
            <w:r>
              <w:t>— Deriváty (aktíva) (5.4): Vzor F 20.06 stĺpec 010 riadok 010, všetky štáty.</w:t>
            </w:r>
          </w:p>
        </w:tc>
      </w:tr>
      <w:tr w:rsidR="007A5804"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7A5804" w:rsidRDefault="007B7723">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7A5804" w:rsidRDefault="007B7723">
            <w:pPr>
              <w:pStyle w:val="P68B1DB1-Normal42"/>
              <w:rPr>
                <w:bCs/>
              </w:rPr>
            </w:pPr>
            <w:r>
              <w:t>Počet protistrán</w:t>
            </w:r>
          </w:p>
          <w:p w14:paraId="7FE1BD34" w14:textId="77777777" w:rsidR="007A5804" w:rsidRDefault="007B7723">
            <w:pPr>
              <w:pStyle w:val="P68B1DB1-TableParagraph17"/>
              <w:spacing w:before="108"/>
            </w:pPr>
            <w:r>
              <w:t>Celkový počet protistrán Ak má jedna protistrana viac ako jeden účet a/alebo viac ako jednu transakciu, táto protistrana sa počíta len raz.</w:t>
            </w:r>
          </w:p>
        </w:tc>
      </w:tr>
      <w:tr w:rsidR="007A5804"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7A5804" w:rsidRDefault="007B7723">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7A5804" w:rsidRDefault="007B7723">
            <w:pPr>
              <w:pStyle w:val="P68B1DB1-TableParagraph14"/>
              <w:spacing w:before="108"/>
              <w:jc w:val="both"/>
              <w:rPr>
                <w:bCs/>
              </w:rPr>
            </w:pPr>
            <w:r>
              <w:t>(Obrátené) zmluvy o spätnom odkúpení</w:t>
            </w:r>
          </w:p>
          <w:p w14:paraId="7FE1BD38" w14:textId="77777777" w:rsidR="007A5804" w:rsidRDefault="007B7723">
            <w:pPr>
              <w:pStyle w:val="P68B1DB1-TableParagraph13"/>
              <w:spacing w:before="108"/>
              <w:jc w:val="both"/>
            </w:pPr>
            <w:r>
              <w:t>Vykazujú sa zmluvy o spätnom odkúpení v rámci veľkoobchodného vypožičiavania si prostriedkov. Spätné adkúpenie</w:t>
            </w:r>
          </w:p>
          <w:p w14:paraId="7FE1BD39" w14:textId="77777777" w:rsidR="007A5804" w:rsidRDefault="007B7723">
            <w:pPr>
              <w:pStyle w:val="P68B1DB1-TableParagraph13"/>
              <w:spacing w:before="108"/>
              <w:jc w:val="both"/>
            </w:pPr>
            <w:r>
              <w:t>dohody znamenajú hotovosť prijatú výmenou za cenné papiere predané za danú cenu podľa</w:t>
            </w:r>
          </w:p>
          <w:p w14:paraId="7FE1BD3A" w14:textId="77777777" w:rsidR="007A5804" w:rsidRDefault="007B7723">
            <w:pPr>
              <w:pStyle w:val="P68B1DB1-TableParagraph13"/>
              <w:spacing w:before="108"/>
              <w:jc w:val="both"/>
            </w:pPr>
            <w:r>
              <w:t>pevný záväzok spätne odkúpiť tie isté (alebo podobné) cenné papiere za pevnú cenu za</w:t>
            </w:r>
          </w:p>
          <w:p w14:paraId="7FE1BD3B" w14:textId="77777777" w:rsidR="007A5804" w:rsidRDefault="007B7723">
            <w:pPr>
              <w:pStyle w:val="P68B1DB1-TableParagraph13"/>
              <w:spacing w:before="108"/>
              <w:jc w:val="both"/>
            </w:pPr>
            <w:r>
              <w:t xml:space="preserve">špecifikovaný dátum v budúcnosti. </w:t>
            </w:r>
          </w:p>
          <w:p w14:paraId="7FE1BD3C" w14:textId="77777777" w:rsidR="007A5804" w:rsidRDefault="007B7723">
            <w:pPr>
              <w:pStyle w:val="P68B1DB1-TableParagraph13"/>
              <w:spacing w:before="108"/>
              <w:jc w:val="both"/>
            </w:pPr>
            <w:r>
              <w:t>Vykazujú sa obrátené repo úvery v rámci veľkoobchodných úverov. Reverzné repo úvery znamenajú financovanie poskytnuté výmenou za kúpené cenné papiere</w:t>
            </w:r>
          </w:p>
          <w:p w14:paraId="7FE1BD3D" w14:textId="77777777" w:rsidR="007A5804" w:rsidRDefault="007B7723">
            <w:pPr>
              <w:pStyle w:val="P68B1DB1-TableParagraph13"/>
              <w:spacing w:before="108"/>
              <w:jc w:val="both"/>
            </w:pPr>
            <w:r>
              <w:t>na základe zmlúv o spätnom odkúpení alebo vypožičaných na základe zmlúv o požičiavaní cenných papierov.</w:t>
            </w:r>
          </w:p>
          <w:p w14:paraId="7FE1BD3E" w14:textId="77777777" w:rsidR="007A5804" w:rsidRDefault="007B7723">
            <w:pPr>
              <w:pStyle w:val="P68B1DB1-TableParagraph13"/>
              <w:spacing w:before="108"/>
              <w:jc w:val="both"/>
            </w:pPr>
            <w:r>
              <w:t>Odkazy: Nariadenie (2015/2365) o transparentnosti financovania prostredníctvom cenných papierov</w:t>
            </w:r>
          </w:p>
          <w:p w14:paraId="7FE1BD3F" w14:textId="77777777" w:rsidR="007A5804" w:rsidRDefault="007B7723">
            <w:pPr>
              <w:pStyle w:val="P68B1DB1-TableParagraph13"/>
              <w:spacing w:before="108"/>
              <w:jc w:val="both"/>
            </w:pPr>
            <w:r>
              <w:t>transakcie a opätovné použitie podľa článku 3 ods. 9; FINREP: Príloha V. časť 2. Kapitola 5 odsek 85 písm. e)</w:t>
            </w:r>
          </w:p>
          <w:p w14:paraId="7FE1BD40" w14:textId="77777777" w:rsidR="007A5804" w:rsidRDefault="007B7723">
            <w:pPr>
              <w:pStyle w:val="P68B1DB1-TableParagraph13"/>
              <w:spacing w:before="108"/>
              <w:jc w:val="both"/>
            </w:pPr>
            <w:r>
              <w:t>a kapitola 14, bod 183; Príloha III:</w:t>
            </w:r>
          </w:p>
          <w:p w14:paraId="7FE1BD41" w14:textId="77777777" w:rsidR="007A5804" w:rsidRDefault="007B7723">
            <w:pPr>
              <w:pStyle w:val="P68B1DB1-TableParagraph13"/>
              <w:numPr>
                <w:ilvl w:val="0"/>
                <w:numId w:val="153"/>
              </w:numPr>
              <w:spacing w:before="108"/>
              <w:jc w:val="both"/>
            </w:pPr>
            <w:r>
              <w:t>Repo dohody: Tabuľka 08.01 stĺpce 010 + 020 + 030 riadky 200 + 250.</w:t>
            </w:r>
          </w:p>
          <w:p w14:paraId="7FE1BD42" w14:textId="77777777" w:rsidR="007A5804" w:rsidRDefault="007B7723">
            <w:pPr>
              <w:pStyle w:val="P68B1DB1-TableParagraph13"/>
              <w:numPr>
                <w:ilvl w:val="0"/>
                <w:numId w:val="153"/>
              </w:numPr>
              <w:spacing w:before="108"/>
              <w:jc w:val="both"/>
            </w:pPr>
            <w:r>
              <w:t>Reverzné repo dohody: Tabuľka 05.00 stĺpce 030 + 040 riadok 050.</w:t>
            </w:r>
          </w:p>
        </w:tc>
      </w:tr>
      <w:tr w:rsidR="007A5804"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7A5804" w:rsidRDefault="007B7723">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7A5804" w:rsidRDefault="007B7723">
            <w:pPr>
              <w:pStyle w:val="P68B1DB1-TableParagraph14"/>
              <w:spacing w:before="108"/>
              <w:jc w:val="both"/>
              <w:rPr>
                <w:bCs/>
              </w:rPr>
            </w:pPr>
            <w:r>
              <w:t>Cezhraničná hodnota</w:t>
            </w:r>
          </w:p>
          <w:p w14:paraId="7FE1BD46" w14:textId="77777777" w:rsidR="007A5804" w:rsidRDefault="007B7723">
            <w:pPr>
              <w:pStyle w:val="P68B1DB1-TableParagraph13"/>
              <w:spacing w:before="108"/>
              <w:jc w:val="both"/>
            </w:pPr>
            <w:r>
              <w:t>Pripočítajte hrubé účtovné hodnoty všetkých krajín s výnimkou domovskej alebo príslušnej krajiny.</w:t>
            </w:r>
          </w:p>
        </w:tc>
      </w:tr>
      <w:tr w:rsidR="007A5804"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7A5804" w:rsidRDefault="007B7723">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7A5804" w:rsidRDefault="007B7723">
            <w:pPr>
              <w:pStyle w:val="P68B1DB1-Normal42"/>
              <w:rPr>
                <w:bCs/>
              </w:rPr>
            </w:pPr>
            <w:r>
              <w:t>Hodnota v úverových inštitúciách</w:t>
            </w:r>
          </w:p>
          <w:p w14:paraId="7FE1BD4A" w14:textId="77777777" w:rsidR="007A5804" w:rsidRDefault="007B7723">
            <w:pPr>
              <w:pStyle w:val="P68B1DB1-TableParagraph13"/>
              <w:spacing w:before="108"/>
              <w:jc w:val="both"/>
            </w:pPr>
            <w:r>
              <w:t>Hrubá účtovná hodnota nesplatená v úverových inštitúciách. Vymedzenie odvetvia podľa</w:t>
            </w:r>
          </w:p>
          <w:p w14:paraId="7FE1BD4B" w14:textId="77777777" w:rsidR="007A5804" w:rsidRDefault="007B7723">
            <w:pPr>
              <w:pStyle w:val="P68B1DB1-TableParagraph13"/>
              <w:spacing w:before="108"/>
              <w:jc w:val="both"/>
            </w:pPr>
            <w:r>
              <w:t xml:space="preserve">FINREP (príloha V) </w:t>
            </w:r>
          </w:p>
          <w:p w14:paraId="7FE1BD4C" w14:textId="77777777" w:rsidR="007A5804" w:rsidRDefault="007B7723">
            <w:pPr>
              <w:pStyle w:val="P68B1DB1-TableParagraph13"/>
              <w:spacing w:before="108"/>
              <w:jc w:val="both"/>
            </w:pPr>
            <w:r>
              <w:t>Odkazy: FINREP: Príloha III:</w:t>
            </w:r>
          </w:p>
          <w:p w14:paraId="7FE1BD4D" w14:textId="77777777" w:rsidR="007A5804" w:rsidRDefault="007B7723">
            <w:pPr>
              <w:pStyle w:val="P68B1DB1-TableParagraph13"/>
              <w:numPr>
                <w:ilvl w:val="0"/>
                <w:numId w:val="153"/>
              </w:numPr>
              <w:spacing w:before="108"/>
              <w:jc w:val="both"/>
            </w:pPr>
            <w:r>
              <w:t>Pôžičky: Tabuľka 20.06 stĺpec 010 riadok 100, všetky štáty.</w:t>
            </w:r>
          </w:p>
          <w:p w14:paraId="7FE1BD4E" w14:textId="77777777" w:rsidR="007A5804" w:rsidRDefault="007B7723">
            <w:pPr>
              <w:pStyle w:val="P68B1DB1-TableParagraph13"/>
              <w:numPr>
                <w:ilvl w:val="0"/>
                <w:numId w:val="153"/>
              </w:numPr>
              <w:spacing w:before="108"/>
              <w:jc w:val="both"/>
            </w:pPr>
            <w:r>
              <w:t>Deriváty (aktíva): Tabuľka 20.04 stĺpec 010 riadok 020, všetky štáty.</w:t>
            </w:r>
          </w:p>
          <w:p w14:paraId="7FE1BD4F" w14:textId="77777777" w:rsidR="007A5804" w:rsidRDefault="007B7723">
            <w:pPr>
              <w:pStyle w:val="P68B1DB1-TableParagraph13"/>
              <w:numPr>
                <w:ilvl w:val="0"/>
                <w:numId w:val="153"/>
              </w:numPr>
              <w:spacing w:before="108"/>
              <w:jc w:val="both"/>
            </w:pPr>
            <w:r>
              <w:t>Poskytovanie úverov: Tabuľka 20.04 stĺpec 010 riadok 170, všetky štáty.</w:t>
            </w:r>
          </w:p>
          <w:p w14:paraId="7FE1BD50" w14:textId="77777777" w:rsidR="007A5804" w:rsidRDefault="007B7723">
            <w:pPr>
              <w:pStyle w:val="P68B1DB1-TableParagraph13"/>
              <w:numPr>
                <w:ilvl w:val="0"/>
                <w:numId w:val="153"/>
              </w:numPr>
              <w:spacing w:before="108"/>
              <w:jc w:val="both"/>
            </w:pPr>
            <w:r>
              <w:t>Derivátové záväzky: Tabuľka 20.06 stĺpec 010 riadok 020, všetky štáty.</w:t>
            </w:r>
          </w:p>
        </w:tc>
      </w:tr>
      <w:tr w:rsidR="007A5804"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7A5804" w:rsidRDefault="007B7723">
            <w:pPr>
              <w:pStyle w:val="P68B1DB1-TableParagraph17"/>
              <w:spacing w:before="108"/>
              <w:ind w:left="85"/>
              <w:jc w:val="both"/>
            </w:pPr>
            <w:r>
              <w:t>0080 – 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7A5804" w:rsidRDefault="007B7723">
            <w:pPr>
              <w:pStyle w:val="P68B1DB1-Normal42"/>
              <w:rPr>
                <w:bCs/>
              </w:rPr>
            </w:pPr>
            <w:r>
              <w:t>Analýzy vplyvu a nahraditeľnosti</w:t>
            </w:r>
          </w:p>
          <w:p w14:paraId="7FE1BD54" w14:textId="77777777" w:rsidR="007A5804" w:rsidRDefault="007B7723">
            <w:pPr>
              <w:pStyle w:val="P68B1DB1-Normal43"/>
            </w:pPr>
            <w:r>
              <w:t>Kritériá posudzovania vplyvu na tretie strany zahŕňajú v súlade s delegovaným nariadením Komisie (EÚ) 2016/778 o zásadných funkciách tieto prvky:</w:t>
            </w:r>
          </w:p>
          <w:p w14:paraId="7FE1BD55" w14:textId="77777777" w:rsidR="007A5804" w:rsidRDefault="007B7723">
            <w:pPr>
              <w:pStyle w:val="P68B1DB1-ListParagraph38"/>
              <w:numPr>
                <w:ilvl w:val="0"/>
                <w:numId w:val="131"/>
              </w:numPr>
              <w:spacing w:line="276" w:lineRule="auto"/>
            </w:pPr>
            <w:r>
              <w:lastRenderedPageBreak/>
              <w:t>povaha a dosah činnosti, globálny, vnútroštátny alebo regionálny dosah, objem a počet transakcií; počet klientov a protistrán; počet klientov, pre ktorých je inštitúcia jediným alebo hlavným bankovým partnerom.</w:t>
            </w:r>
          </w:p>
          <w:p w14:paraId="7FE1BD56" w14:textId="77777777" w:rsidR="007A5804" w:rsidRDefault="007B7723">
            <w:pPr>
              <w:pStyle w:val="P68B1DB1-ListParagraph38"/>
              <w:numPr>
                <w:ilvl w:val="0"/>
                <w:numId w:val="131"/>
              </w:numPr>
              <w:spacing w:line="276" w:lineRule="auto"/>
            </w:pPr>
            <w:r>
              <w:t>význam inštitúcie na miestnej, regionálnej, vnútroštátnej alebo európskej úrovni, podľa vhodnosti pre príslušný trh. Význam inštitúcie sa môže posúdiť na základe trhového podielu, prepojenosti, zložitosti alebo cezhraničných činností;</w:t>
            </w:r>
          </w:p>
          <w:p w14:paraId="7FE1BD57" w14:textId="77777777" w:rsidR="007A5804" w:rsidRDefault="007B7723">
            <w:pPr>
              <w:pStyle w:val="P68B1DB1-ListParagraph38"/>
              <w:numPr>
                <w:ilvl w:val="0"/>
                <w:numId w:val="131"/>
              </w:numPr>
              <w:spacing w:line="276" w:lineRule="auto"/>
            </w:pPr>
            <w:r>
              <w:t xml:space="preserve">povaha zákazníkov a zainteresovaných strán, ktorých sa funkcia týka, napríklad, ale nie výhradne, retailových zákazníkov, firemných zákazníkov, medzibankových zákazníkov, centrálnych zúčtovacích stredísk a verejných subjektov; </w:t>
            </w:r>
          </w:p>
          <w:p w14:paraId="7FE1BD58" w14:textId="77777777" w:rsidR="007A5804" w:rsidRDefault="007B7723">
            <w:pPr>
              <w:pStyle w:val="P68B1DB1-ListParagraph38"/>
              <w:numPr>
                <w:ilvl w:val="0"/>
                <w:numId w:val="131"/>
              </w:numPr>
              <w:spacing w:line="276" w:lineRule="auto"/>
            </w:pPr>
            <w:r>
              <w:t>potenciálne narušenie funkcie v rámci trhov, infraštruktúr, zákazníkov a verejných služieb. Posúdenie môže zahŕňať najmä vplyv na likviditu dotknutých trhov, vplyv a rozsah narušenia obchodnej činnosti zákazníkov a krátkodobé potreby likvidity; vnímateľnosť pre protistrany, zákazníkov a verejnosť; schopnosť a rýchlosť reakcie zákazníka; význam pre fungovanie iných trhov; vplyv na likviditu, operácie a štruktúru iného trhu; vplyv na ostatné protistrany súvisiace s hlavnými klientmi a vzájomný vzťah funkcie s inými službami.</w:t>
            </w:r>
          </w:p>
          <w:p w14:paraId="7FE1BD59" w14:textId="77777777" w:rsidR="007A5804" w:rsidRDefault="007A5804">
            <w:pPr>
              <w:rPr>
                <w:rFonts w:ascii="Times New Roman" w:eastAsiaTheme="minorHAnsi" w:hAnsi="Times New Roman" w:cs="Times New Roman"/>
                <w:color w:val="000000" w:themeColor="text1"/>
                <w:sz w:val="20"/>
                <w:szCs w:val="20"/>
              </w:rPr>
            </w:pPr>
          </w:p>
        </w:tc>
      </w:tr>
      <w:tr w:rsidR="007A5804"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7A5804" w:rsidRDefault="007B7723">
            <w:pPr>
              <w:pStyle w:val="P68B1DB1-TableParagraph17"/>
              <w:spacing w:before="108"/>
              <w:ind w:left="85"/>
              <w:jc w:val="both"/>
            </w:pPr>
            <w:r>
              <w:lastRenderedPageBreak/>
              <w:t>0080 – 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7A5804" w:rsidRDefault="007B7723">
            <w:pPr>
              <w:pStyle w:val="P68B1DB1-Normal42"/>
              <w:rPr>
                <w:bCs/>
              </w:rPr>
            </w:pPr>
            <w:r>
              <w:t xml:space="preserve">Príroda a dosah </w:t>
            </w:r>
          </w:p>
          <w:p w14:paraId="7FE1BD5D" w14:textId="77777777" w:rsidR="007A5804" w:rsidRDefault="007B7723">
            <w:pPr>
              <w:pStyle w:val="P68B1DB1-Normal43"/>
            </w:pPr>
            <w:r>
              <w:t>Globálny, vnútroštátny alebo regionálny dosah, objem a počet transakcií; počet klientov a protistrán; počet klientov, pre ktorých je inštitúcia jediným alebo hlavným bankovým partnerom.</w:t>
            </w:r>
          </w:p>
        </w:tc>
      </w:tr>
      <w:tr w:rsidR="007A5804"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7A5804" w:rsidRDefault="007B7723">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7A5804" w:rsidRDefault="007B7723">
            <w:pPr>
              <w:pStyle w:val="P68B1DB1-Normal42"/>
              <w:rPr>
                <w:bCs/>
              </w:rPr>
            </w:pPr>
            <w:r>
              <w:t>Ukazovateľ veľkosti 1</w:t>
            </w:r>
          </w:p>
          <w:p w14:paraId="611DAB08"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D61" w14:textId="0497CCAC" w:rsidR="007A5804" w:rsidRDefault="007B7723">
            <w:pPr>
              <w:pStyle w:val="P68B1DB1-Normal43"/>
            </w:pPr>
            <w:r>
              <w:t xml:space="preserve"> </w:t>
            </w:r>
          </w:p>
          <w:p w14:paraId="7FE1BD62" w14:textId="77777777" w:rsidR="007A5804" w:rsidRDefault="007B7723">
            <w:pPr>
              <w:pStyle w:val="P68B1DB1-ListParagraph32"/>
              <w:numPr>
                <w:ilvl w:val="0"/>
                <w:numId w:val="125"/>
              </w:numPr>
              <w:spacing w:line="276" w:lineRule="auto"/>
            </w:pPr>
            <w:r>
              <w:t xml:space="preserve">Odborný úsudok o veľkosti </w:t>
            </w:r>
            <w:r>
              <w:rPr>
                <w:b/>
              </w:rPr>
              <w:t>hodnoty</w:t>
            </w:r>
            <w:r>
              <w:t xml:space="preserve"> hrubej účtovnej hodnoty vykazujúcej inštitúcie (c0030) z </w:t>
            </w:r>
            <w:r>
              <w:rPr>
                <w:b/>
              </w:rPr>
              <w:t>globálneho</w:t>
            </w:r>
            <w:r>
              <w:t xml:space="preserve"> hľadiska [o</w:t>
            </w:r>
            <w:r>
              <w:rPr>
                <w:i/>
              </w:rPr>
              <w:t>jednu úroveň vyššiu ako príslušný trh. Ak je relevantný trh globálny, veľkosť 1 sa stane nadbytočnou a nemusí sa vykazovať]</w:t>
            </w:r>
            <w:r>
              <w:t>:</w:t>
            </w:r>
          </w:p>
          <w:p w14:paraId="7FE1BD63" w14:textId="77777777" w:rsidR="007A5804" w:rsidRDefault="007B7723">
            <w:pPr>
              <w:pStyle w:val="P68B1DB1-ListParagraph32"/>
              <w:numPr>
                <w:ilvl w:val="1"/>
                <w:numId w:val="125"/>
              </w:numPr>
              <w:spacing w:line="276" w:lineRule="auto"/>
            </w:pPr>
            <w:r>
              <w:t>Aká veľká je podľa vás z globálneho hľadiska hrubá účtovná hodnota vykazujúceho subjektu?</w:t>
            </w:r>
          </w:p>
          <w:p w14:paraId="7FE1BD64" w14:textId="77777777" w:rsidR="007A5804" w:rsidRDefault="007A5804">
            <w:pPr>
              <w:rPr>
                <w:rFonts w:ascii="Times New Roman" w:eastAsiaTheme="minorHAnsi" w:hAnsi="Times New Roman" w:cs="Times New Roman"/>
                <w:color w:val="000000" w:themeColor="text1"/>
                <w:sz w:val="20"/>
                <w:szCs w:val="20"/>
              </w:rPr>
            </w:pPr>
          </w:p>
        </w:tc>
      </w:tr>
      <w:tr w:rsidR="007A5804"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7A5804" w:rsidRDefault="007B7723">
            <w:pPr>
              <w:pStyle w:val="P68B1DB1-TableParagraph17"/>
              <w:spacing w:before="108"/>
              <w:ind w:left="85"/>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7A5804" w:rsidRDefault="007B7723">
            <w:pPr>
              <w:pStyle w:val="P68B1DB1-Normal42"/>
              <w:rPr>
                <w:bCs/>
              </w:rPr>
            </w:pPr>
            <w:r>
              <w:t>Ukazovateľ veľkosti 2</w:t>
            </w:r>
          </w:p>
          <w:p w14:paraId="75C87AE7" w14:textId="77777777" w:rsidR="007A5804" w:rsidRDefault="007B7723">
            <w:pPr>
              <w:pStyle w:val="P68B1DB1-Normal31"/>
              <w:spacing w:line="276" w:lineRule="auto"/>
              <w:jc w:val="both"/>
            </w:pPr>
            <w:r>
              <w:t xml:space="preserve">Posúdiť význam banky pri týchto činnostiach. Toto posúdenie je kvalitatívne vyjadrené ako „vysoká“, „stredne vysoká“, „stredná“ alebo „nízka“. Uveďte „vysoká“, ak je veľkosť funkcie veľká, „stredne vysoká“, ak je stredná, „stredne nízka“, ak je malá, a „nízka“, ak je zanedbateľná. Ako referenčnú hodnotu pre toto kvalitatívne posúdenie použite makroekonomické premenné, ako sú HDP, populácia (v prípade vkladov, úverov, platieb, peňažných prostriedkov, vyrovnania, zúčtovania a úschovy) alebo veľkosť trhu (pre kapitálové trhy a veľkoobchodné financovanie). </w:t>
            </w:r>
          </w:p>
          <w:p w14:paraId="7FE1BD68" w14:textId="10683EF9" w:rsidR="007A5804" w:rsidRDefault="007B7723">
            <w:pPr>
              <w:pStyle w:val="P68B1DB1-Normal43"/>
            </w:pPr>
            <w:r>
              <w:t xml:space="preserve"> </w:t>
            </w:r>
          </w:p>
          <w:p w14:paraId="7FE1BD69" w14:textId="77777777" w:rsidR="007A5804" w:rsidRDefault="007B7723">
            <w:pPr>
              <w:pStyle w:val="P68B1DB1-ListParagraph32"/>
              <w:numPr>
                <w:ilvl w:val="0"/>
                <w:numId w:val="119"/>
              </w:numPr>
              <w:spacing w:line="276" w:lineRule="auto"/>
            </w:pPr>
            <w:r>
              <w:t xml:space="preserve">Odborný posudok o veľkosti </w:t>
            </w:r>
            <w:r>
              <w:rPr>
                <w:b/>
              </w:rPr>
              <w:t>počtu</w:t>
            </w:r>
            <w:r>
              <w:t xml:space="preserve"> protistrán alebo transakcií (c0040) z </w:t>
            </w:r>
            <w:r>
              <w:rPr>
                <w:b/>
              </w:rPr>
              <w:t>vnútroštátneho</w:t>
            </w:r>
            <w:r>
              <w:t xml:space="preserve"> hľadiska</w:t>
            </w:r>
            <w:r>
              <w:rPr>
                <w:i/>
              </w:rPr>
              <w:t>[na úrovni relevantného trhu</w:t>
            </w:r>
            <w:r>
              <w:t>]:</w:t>
            </w:r>
          </w:p>
          <w:p w14:paraId="7FE1BD6A" w14:textId="77777777" w:rsidR="007A5804" w:rsidRDefault="007B7723">
            <w:pPr>
              <w:pStyle w:val="P68B1DB1-ListParagraph32"/>
              <w:numPr>
                <w:ilvl w:val="1"/>
                <w:numId w:val="119"/>
              </w:numPr>
              <w:spacing w:line="276" w:lineRule="auto"/>
            </w:pPr>
            <w:r>
              <w:t>Aký veľký je z vnútroštátneho hľadiska odhadovaný počet protistrán vo vašich inštitúciách?</w:t>
            </w:r>
          </w:p>
          <w:p w14:paraId="7FE1BD6B" w14:textId="77777777" w:rsidR="007A5804" w:rsidRDefault="007A5804">
            <w:pPr>
              <w:rPr>
                <w:rFonts w:ascii="Times New Roman" w:eastAsiaTheme="minorHAnsi" w:hAnsi="Times New Roman" w:cs="Times New Roman"/>
                <w:color w:val="000000" w:themeColor="text1"/>
                <w:sz w:val="20"/>
                <w:szCs w:val="20"/>
              </w:rPr>
            </w:pPr>
          </w:p>
        </w:tc>
      </w:tr>
      <w:tr w:rsidR="007A5804"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7A5804" w:rsidRDefault="007B7723">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7A5804" w:rsidRDefault="007B7723">
            <w:pPr>
              <w:pStyle w:val="P68B1DB1-Normal42"/>
              <w:rPr>
                <w:bCs/>
              </w:rPr>
            </w:pPr>
            <w:r>
              <w:t>Cezhraničný ukazovateľ</w:t>
            </w:r>
          </w:p>
          <w:p w14:paraId="7FE1BD6F" w14:textId="77777777" w:rsidR="007A5804" w:rsidRDefault="007B7723">
            <w:pPr>
              <w:pStyle w:val="P68B1DB1-Normal43"/>
            </w:pPr>
            <w:r>
              <w:t>Posúdiť relatívny význam cezhraničných činností pre rôzne hospodárske funkcie.</w:t>
            </w:r>
          </w:p>
          <w:p w14:paraId="7FE1BD70" w14:textId="77777777" w:rsidR="007A5804" w:rsidRDefault="007B7723">
            <w:pPr>
              <w:pStyle w:val="P68B1DB1-Normal43"/>
            </w:pPr>
            <w:r>
              <w:lastRenderedPageBreak/>
              <w:t xml:space="preserve">Toto sa nemusí posudzovať v prípade správ, v ktorých sa relevantný trh považuje za regionálny. </w:t>
            </w:r>
          </w:p>
          <w:p w14:paraId="482F1D03" w14:textId="77777777" w:rsidR="007A5804" w:rsidRDefault="007B7723">
            <w:pPr>
              <w:pStyle w:val="P68B1DB1-ListParagraph32"/>
              <w:numPr>
                <w:ilvl w:val="0"/>
                <w:numId w:val="118"/>
              </w:numPr>
              <w:rPr>
                <w:i/>
                <w:iCs/>
              </w:rPr>
            </w:pPr>
            <w:r>
              <w:t>Podiel činnosti vykazujúceho subjektu vo viacerých jurisdikciách ako percentuálny podiel z celkovej hodnoty, vyjadrený v hrubej účtovnej hodnote. Správa:</w:t>
            </w:r>
          </w:p>
          <w:p w14:paraId="7E6697A4" w14:textId="0A448298" w:rsidR="007A5804" w:rsidRDefault="007B7723">
            <w:pPr>
              <w:pStyle w:val="P68B1DB1-ListParagraph32"/>
              <w:numPr>
                <w:ilvl w:val="1"/>
                <w:numId w:val="118"/>
              </w:numPr>
              <w:rPr>
                <w:i/>
                <w:iCs/>
              </w:rPr>
            </w:pPr>
            <w:r>
              <w:t xml:space="preserve"> &amp;5 %; </w:t>
            </w:r>
          </w:p>
          <w:p w14:paraId="30B91FAF" w14:textId="5CD6C33D" w:rsidR="007A5804" w:rsidRDefault="007B7723">
            <w:pPr>
              <w:pStyle w:val="P68B1DB1-ListParagraph32"/>
              <w:numPr>
                <w:ilvl w:val="1"/>
                <w:numId w:val="118"/>
              </w:numPr>
              <w:rPr>
                <w:i/>
                <w:iCs/>
              </w:rPr>
            </w:pPr>
            <w:r>
              <w:t xml:space="preserve">5 – 15 %; </w:t>
            </w:r>
          </w:p>
          <w:p w14:paraId="50353685" w14:textId="2995AD20" w:rsidR="007A5804" w:rsidRDefault="007B7723">
            <w:pPr>
              <w:pStyle w:val="P68B1DB1-ListParagraph32"/>
              <w:numPr>
                <w:ilvl w:val="1"/>
                <w:numId w:val="118"/>
              </w:numPr>
              <w:rPr>
                <w:i/>
                <w:iCs/>
              </w:rPr>
            </w:pPr>
            <w:r>
              <w:t xml:space="preserve">15 – 25 %, </w:t>
            </w:r>
          </w:p>
          <w:p w14:paraId="7FE1BD71" w14:textId="6E1F5AA5" w:rsidR="007A5804" w:rsidRDefault="007B7723">
            <w:pPr>
              <w:pStyle w:val="P68B1DB1-ListParagraph32"/>
              <w:numPr>
                <w:ilvl w:val="1"/>
                <w:numId w:val="118"/>
              </w:numPr>
              <w:rPr>
                <w:i/>
                <w:iCs/>
              </w:rPr>
            </w:pPr>
            <w:r>
              <w:t>&gt; 25 %.</w:t>
            </w:r>
          </w:p>
          <w:p w14:paraId="7FE1BD72" w14:textId="77777777" w:rsidR="007A5804" w:rsidRDefault="007A5804">
            <w:pPr>
              <w:rPr>
                <w:rFonts w:ascii="Times New Roman" w:eastAsiaTheme="minorHAnsi" w:hAnsi="Times New Roman" w:cs="Times New Roman"/>
                <w:color w:val="000000" w:themeColor="text1"/>
                <w:sz w:val="20"/>
                <w:szCs w:val="20"/>
              </w:rPr>
            </w:pPr>
          </w:p>
        </w:tc>
      </w:tr>
      <w:tr w:rsidR="007A5804"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7A5804" w:rsidRDefault="007B7723">
            <w:pPr>
              <w:pStyle w:val="P68B1DB1-TableParagraph17"/>
              <w:spacing w:before="108"/>
              <w:ind w:left="85"/>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7A5804" w:rsidRDefault="007B7723">
            <w:pPr>
              <w:pStyle w:val="P68B1DB1-Normal42"/>
              <w:rPr>
                <w:bCs/>
              </w:rPr>
            </w:pPr>
            <w:r>
              <w:t xml:space="preserve">Relevantnosť — </w:t>
            </w:r>
          </w:p>
          <w:p w14:paraId="7FE1BD76" w14:textId="77777777" w:rsidR="007A5804" w:rsidRDefault="007B7723">
            <w:pPr>
              <w:pStyle w:val="P68B1DB1-Normal43"/>
            </w:pPr>
            <w:r>
              <w:t>Na miestnej, regionálnej, vnútroštátnej alebo európskej úrovni, podľa vhodnosti pre príslušný trh. Význam inštitúcie sa môže posúdiť na základe trhového podielu, prepojenosti, zložitosti alebo cezhraničných činností;</w:t>
            </w:r>
          </w:p>
          <w:p w14:paraId="7FE1BD77" w14:textId="77777777" w:rsidR="007A5804" w:rsidRDefault="007B7723">
            <w:pPr>
              <w:pStyle w:val="P68B1DB1-Normal42"/>
              <w:rPr>
                <w:bCs/>
              </w:rPr>
            </w:pPr>
            <w:r>
              <w:t>Podiel na trhu</w:t>
            </w:r>
          </w:p>
          <w:p w14:paraId="7FE1BD78" w14:textId="77777777" w:rsidR="007A5804" w:rsidRDefault="007B7723">
            <w:pPr>
              <w:pStyle w:val="P68B1DB1-Normal43"/>
            </w:pPr>
            <w:r>
              <w:t xml:space="preserve">Posúdiť význam podielu vykazujúceho subjektu na trhu v porovnaní s vnútroštátnym alebo iným relevantným trhom, ako sa uvádza vo vzore. Toto posúdenie je vyjadrené kvalitatívne ako </w:t>
            </w:r>
          </w:p>
          <w:p w14:paraId="7FE1BD79" w14:textId="43E56AB8" w:rsidR="007A5804" w:rsidRDefault="007B7723">
            <w:pPr>
              <w:pStyle w:val="P68B1DB1-ListParagraph38"/>
              <w:numPr>
                <w:ilvl w:val="0"/>
                <w:numId w:val="276"/>
              </w:numPr>
              <w:spacing w:line="276" w:lineRule="auto"/>
              <w:jc w:val="both"/>
            </w:pPr>
            <w:r>
              <w:t>Vysoký, ak je podiel na trhu veľký</w:t>
            </w:r>
          </w:p>
          <w:p w14:paraId="7FE1BD7A" w14:textId="533BFB92" w:rsidR="007A5804" w:rsidRDefault="007B7723">
            <w:pPr>
              <w:pStyle w:val="P68B1DB1-ListParagraph38"/>
              <w:numPr>
                <w:ilvl w:val="0"/>
                <w:numId w:val="276"/>
              </w:numPr>
              <w:spacing w:line="276" w:lineRule="auto"/>
              <w:jc w:val="both"/>
            </w:pPr>
            <w:r>
              <w:t>Stredná – vysoká, ak je podiel na trhu stredný</w:t>
            </w:r>
          </w:p>
          <w:p w14:paraId="7FE1BD7B" w14:textId="3F2EEB01" w:rsidR="007A5804" w:rsidRDefault="007B7723">
            <w:pPr>
              <w:pStyle w:val="P68B1DB1-ListParagraph38"/>
              <w:numPr>
                <w:ilvl w:val="0"/>
                <w:numId w:val="276"/>
              </w:numPr>
              <w:spacing w:line="276" w:lineRule="auto"/>
              <w:jc w:val="both"/>
            </w:pPr>
            <w:r>
              <w:t xml:space="preserve">Stredný, ak je podiel na trhu malý alebo </w:t>
            </w:r>
          </w:p>
          <w:p w14:paraId="7FE1BD7C" w14:textId="05FA4C79" w:rsidR="007A5804" w:rsidRDefault="007B7723">
            <w:pPr>
              <w:pStyle w:val="P68B1DB1-ListParagraph38"/>
              <w:numPr>
                <w:ilvl w:val="0"/>
                <w:numId w:val="276"/>
              </w:numPr>
              <w:spacing w:line="276" w:lineRule="auto"/>
              <w:jc w:val="both"/>
            </w:pPr>
            <w:r>
              <w:t xml:space="preserve">Nízky, ak je podiel na trhu zanedbateľný. </w:t>
            </w:r>
          </w:p>
          <w:p w14:paraId="7FE1BD7D" w14:textId="77777777" w:rsidR="007A5804" w:rsidRDefault="007B7723">
            <w:pPr>
              <w:pStyle w:val="P68B1DB1-Normal43"/>
            </w:pPr>
            <w:r>
              <w:t xml:space="preserve">V tomto posúdení sa zohľadňuje trhová štruktúra krajiny vykazujúceho subjektu (alebo iného relevantného trhu) a podiely na trhu vykázané čiastočne. </w:t>
            </w:r>
          </w:p>
          <w:p w14:paraId="7FE1BD7E" w14:textId="77777777" w:rsidR="007A5804" w:rsidRDefault="007B7723">
            <w:pPr>
              <w:pStyle w:val="P68B1DB1-Normal43"/>
            </w:pPr>
            <w:r>
              <w:t>2.Kvantitatívne údaje:</w:t>
            </w:r>
          </w:p>
          <w:p w14:paraId="7FE1BD7F" w14:textId="77777777" w:rsidR="007A5804" w:rsidRDefault="007B7723">
            <w:pPr>
              <w:pStyle w:val="P68B1DB1-ListParagraph32"/>
              <w:numPr>
                <w:ilvl w:val="0"/>
                <w:numId w:val="116"/>
              </w:numPr>
              <w:jc w:val="both"/>
              <w:rPr>
                <w:i/>
                <w:iCs/>
              </w:rPr>
            </w:pPr>
            <w:r>
              <w:t xml:space="preserve">Odborný posudok veľkosti </w:t>
            </w:r>
            <w:r>
              <w:rPr>
                <w:b/>
              </w:rPr>
              <w:t xml:space="preserve">vnútroštátneho </w:t>
            </w:r>
            <w:r>
              <w:t>podielu na trhu (vykázaný v c0020, s výnimkou prípadov, keď sa správa poskytuje pre inú relevantnú úroveň trhu, pričom v takom prípade sa očakáva posúdenie relevantného podielu na trhu).</w:t>
            </w:r>
          </w:p>
          <w:p w14:paraId="7FE1BD80" w14:textId="77777777" w:rsidR="007A5804" w:rsidRDefault="007A5804">
            <w:pPr>
              <w:rPr>
                <w:rFonts w:ascii="Times New Roman" w:eastAsiaTheme="minorHAnsi" w:hAnsi="Times New Roman" w:cs="Times New Roman"/>
                <w:color w:val="000000" w:themeColor="text1"/>
                <w:sz w:val="20"/>
                <w:szCs w:val="20"/>
              </w:rPr>
            </w:pPr>
          </w:p>
          <w:p w14:paraId="7FE1BD81" w14:textId="77777777" w:rsidR="007A5804" w:rsidRDefault="007A5804">
            <w:pPr>
              <w:rPr>
                <w:rFonts w:ascii="Times New Roman" w:eastAsiaTheme="minorHAnsi" w:hAnsi="Times New Roman" w:cs="Times New Roman"/>
                <w:color w:val="000000" w:themeColor="text1"/>
                <w:sz w:val="20"/>
                <w:szCs w:val="20"/>
              </w:rPr>
            </w:pPr>
          </w:p>
        </w:tc>
      </w:tr>
      <w:tr w:rsidR="007A5804"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7A5804" w:rsidRDefault="007B7723">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7A5804" w:rsidRDefault="007B7723">
            <w:pPr>
              <w:pStyle w:val="P68B1DB1-Normal42"/>
              <w:rPr>
                <w:bCs/>
              </w:rPr>
            </w:pPr>
            <w:r>
              <w:t>Štruktúra trhu – koncentrácia trhu</w:t>
            </w:r>
          </w:p>
          <w:p w14:paraId="7FE1BD85" w14:textId="77777777" w:rsidR="007A5804" w:rsidRDefault="007B7723">
            <w:pPr>
              <w:pStyle w:val="P68B1DB1-Normal43"/>
            </w:pPr>
            <w:r>
              <w:t xml:space="preserve">Koncentrácia trhu meraná počtom konkurentov, ktorí v súčasnosti vykonávajú svoju činnosť </w:t>
            </w:r>
          </w:p>
          <w:p w14:paraId="7FE1BD86" w14:textId="77777777" w:rsidR="007A5804" w:rsidRDefault="007B7723">
            <w:pPr>
              <w:pStyle w:val="P68B1DB1-Normal43"/>
            </w:pPr>
            <w:r>
              <w:t xml:space="preserve">podobné hospodárske funkcie a/alebo ponúkajúce podobné služby za rovnakých podmienok (t. j. pre </w:t>
            </w:r>
          </w:p>
          <w:p w14:paraId="7FE1BD87" w14:textId="77777777" w:rsidR="007A5804" w:rsidRDefault="007B7723">
            <w:pPr>
              <w:pStyle w:val="P68B1DB1-Normal43"/>
            </w:pPr>
            <w:r>
              <w:t xml:space="preserve">porovnateľný rozsah a kvalita a za porovnateľné náklady), ktoré potenciálne prevezmú </w:t>
            </w:r>
          </w:p>
          <w:p w14:paraId="7FE1BD88" w14:textId="77777777" w:rsidR="007A5804" w:rsidRDefault="007B7723">
            <w:pPr>
              <w:pStyle w:val="P68B1DB1-Normal43"/>
            </w:pPr>
            <w:r>
              <w:t xml:space="preserve">(časť) klientov a/alebo obchodnej činnosti vykazujúceho subjektu v primeranom časovom rámci. </w:t>
            </w:r>
          </w:p>
          <w:p w14:paraId="7FE1BD89" w14:textId="77777777" w:rsidR="007A5804" w:rsidRDefault="007B7723">
            <w:pPr>
              <w:pStyle w:val="P68B1DB1-Normal43"/>
            </w:pPr>
            <w:r>
              <w:t xml:space="preserve">Vykazuje sa v skupinách, ktoré sú rovnaké pre každú čiastkovú funkciu. </w:t>
            </w:r>
          </w:p>
          <w:p w14:paraId="5A8DDF15" w14:textId="77777777" w:rsidR="007A5804" w:rsidRDefault="007B7723">
            <w:pPr>
              <w:pStyle w:val="P68B1DB1-ListParagraph32"/>
              <w:numPr>
                <w:ilvl w:val="0"/>
                <w:numId w:val="277"/>
              </w:numPr>
              <w:jc w:val="both"/>
            </w:pPr>
            <w:r>
              <w:t xml:space="preserve">&gt; 20 konkurentov; </w:t>
            </w:r>
          </w:p>
          <w:p w14:paraId="0FB3FECD" w14:textId="77777777" w:rsidR="007A5804" w:rsidRDefault="007B7723">
            <w:pPr>
              <w:pStyle w:val="P68B1DB1-ListParagraph32"/>
              <w:numPr>
                <w:ilvl w:val="0"/>
                <w:numId w:val="277"/>
              </w:numPr>
              <w:jc w:val="both"/>
            </w:pPr>
            <w:r>
              <w:t xml:space="preserve">11 – 20 konkurentov, </w:t>
            </w:r>
          </w:p>
          <w:p w14:paraId="0742AD9B" w14:textId="77777777" w:rsidR="007A5804" w:rsidRDefault="007B7723">
            <w:pPr>
              <w:pStyle w:val="P68B1DB1-ListParagraph32"/>
              <w:numPr>
                <w:ilvl w:val="0"/>
                <w:numId w:val="277"/>
              </w:numPr>
              <w:jc w:val="both"/>
            </w:pPr>
            <w:r>
              <w:t xml:space="preserve">5 – 10 konkurentov, </w:t>
            </w:r>
          </w:p>
          <w:p w14:paraId="240AD074" w14:textId="77777777" w:rsidR="007A5804" w:rsidRDefault="007B7723">
            <w:pPr>
              <w:pStyle w:val="P68B1DB1-ListParagraph32"/>
              <w:numPr>
                <w:ilvl w:val="0"/>
                <w:numId w:val="277"/>
              </w:numPr>
              <w:jc w:val="both"/>
              <w:rPr>
                <w:b/>
                <w:bCs/>
                <w:color w:val="000000" w:themeColor="text1"/>
              </w:rPr>
            </w:pPr>
            <w:r>
              <w:t>&amp;5 konkurentov</w:t>
            </w:r>
          </w:p>
          <w:p w14:paraId="7FE1BD8D" w14:textId="2F17E01A" w:rsidR="007A5804" w:rsidRDefault="007A5804">
            <w:pPr>
              <w:jc w:val="both"/>
              <w:rPr>
                <w:rFonts w:ascii="Times New Roman" w:hAnsi="Times New Roman"/>
                <w:color w:val="000000" w:themeColor="text1"/>
                <w:sz w:val="20"/>
                <w:szCs w:val="20"/>
              </w:rPr>
            </w:pPr>
          </w:p>
        </w:tc>
      </w:tr>
      <w:tr w:rsidR="007A5804"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7A5804" w:rsidRDefault="007B7723">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7A5804" w:rsidRDefault="007B7723">
            <w:pPr>
              <w:pStyle w:val="P68B1DB1-Normal42"/>
              <w:rPr>
                <w:bCs/>
              </w:rPr>
            </w:pPr>
            <w:r>
              <w:t>Načasovanie – očakávaný čas substitúcie</w:t>
            </w:r>
          </w:p>
          <w:p w14:paraId="7FE1BD91" w14:textId="77777777" w:rsidR="007A5804" w:rsidRDefault="007B7723">
            <w:pPr>
              <w:pStyle w:val="P68B1DB1-Normal43"/>
            </w:pPr>
            <w:r>
              <w:t>Odhadnúť čas potrebný na ekonomickú funkciu, ktorú poskytuje podávanie správ</w:t>
            </w:r>
          </w:p>
          <w:p w14:paraId="7FE1BD92" w14:textId="77777777" w:rsidR="007A5804" w:rsidRDefault="007B7723">
            <w:pPr>
              <w:pStyle w:val="P68B1DB1-Normal43"/>
            </w:pPr>
            <w:r>
              <w:t xml:space="preserve">subjekt, ktorý má trh v krízovej situácii absorbovať. Súčasťou tejto podpory je: </w:t>
            </w:r>
          </w:p>
          <w:p w14:paraId="7FE1BD93" w14:textId="77777777" w:rsidR="007A5804" w:rsidRDefault="007B7723">
            <w:pPr>
              <w:pStyle w:val="P68B1DB1-ListParagraph38"/>
              <w:numPr>
                <w:ilvl w:val="0"/>
                <w:numId w:val="274"/>
              </w:numPr>
              <w:jc w:val="both"/>
            </w:pPr>
            <w:r>
              <w:t xml:space="preserve">očakávaný čas, ktorý jeden alebo viacerí konkurenti potrebujú na uskutočnenie právnych a technických krokov na prevzatie funkcie; ako aj  </w:t>
            </w:r>
          </w:p>
          <w:p w14:paraId="7FE1BD94" w14:textId="77777777" w:rsidR="007A5804" w:rsidRDefault="007B7723">
            <w:pPr>
              <w:pStyle w:val="P68B1DB1-ListParagraph38"/>
              <w:numPr>
                <w:ilvl w:val="0"/>
                <w:numId w:val="274"/>
              </w:numPr>
              <w:jc w:val="both"/>
            </w:pPr>
            <w:r>
              <w:t xml:space="preserve">čas, ktorý používatelia služby potrebujú na presťahovanie sa k inému poskytovateľovi služieb. </w:t>
            </w:r>
          </w:p>
          <w:p w14:paraId="7FE1BD95" w14:textId="77777777" w:rsidR="007A5804" w:rsidRDefault="007A5804">
            <w:pPr>
              <w:rPr>
                <w:rFonts w:ascii="Times New Roman" w:eastAsiaTheme="minorHAnsi" w:hAnsi="Times New Roman" w:cs="Times New Roman"/>
                <w:color w:val="000000" w:themeColor="text1"/>
                <w:sz w:val="20"/>
                <w:szCs w:val="20"/>
              </w:rPr>
            </w:pPr>
          </w:p>
          <w:p w14:paraId="7FE1BD96" w14:textId="77777777" w:rsidR="007A5804" w:rsidRDefault="007B7723">
            <w:pPr>
              <w:pStyle w:val="P68B1DB1-Normal43"/>
            </w:pPr>
            <w:r>
              <w:t>Ako zástupný ukazovateľ pre služby poskytované inou inštitúciou uveďte odhad času, počas ktorého by vykazujúci subjekt v krízovej situácii za primerané náklady absorboval vo svojej vlastnej obchodnej činnosti (časť) služby, ktorú poskytuje iná inštitúcia. Uveďte odhadovaný čas substitúcie v skupinách uvedených vo vzore:</w:t>
            </w:r>
          </w:p>
          <w:p w14:paraId="7FE1BD97" w14:textId="77777777" w:rsidR="007A5804" w:rsidRDefault="007B7723">
            <w:pPr>
              <w:pStyle w:val="P68B1DB1-Normal31"/>
            </w:pPr>
            <w:r>
              <w:t xml:space="preserve">Skupiny: </w:t>
            </w:r>
          </w:p>
          <w:p w14:paraId="7FE1BD98" w14:textId="077A9BD3" w:rsidR="007A5804" w:rsidRDefault="007B7723">
            <w:pPr>
              <w:pStyle w:val="P68B1DB1-ListParagraph32"/>
              <w:numPr>
                <w:ilvl w:val="0"/>
                <w:numId w:val="287"/>
              </w:numPr>
            </w:pPr>
            <w:r>
              <w:t xml:space="preserve">≤ 1 deň; </w:t>
            </w:r>
          </w:p>
          <w:p w14:paraId="7FE1BD99" w14:textId="07CCFE77" w:rsidR="007A5804" w:rsidRDefault="007B7723">
            <w:pPr>
              <w:pStyle w:val="P68B1DB1-ListParagraph32"/>
              <w:numPr>
                <w:ilvl w:val="0"/>
                <w:numId w:val="287"/>
              </w:numPr>
            </w:pPr>
            <w:r>
              <w:t xml:space="preserve">1 deň – 1 týždeň </w:t>
            </w:r>
          </w:p>
          <w:p w14:paraId="7FE1BD9A" w14:textId="47AC6C88" w:rsidR="007A5804" w:rsidRDefault="007B7723">
            <w:pPr>
              <w:pStyle w:val="P68B1DB1-ListParagraph32"/>
              <w:numPr>
                <w:ilvl w:val="0"/>
                <w:numId w:val="287"/>
              </w:numPr>
            </w:pPr>
            <w:r>
              <w:lastRenderedPageBreak/>
              <w:t xml:space="preserve">&gt; 1 týždeň – 1 mesiac; </w:t>
            </w:r>
          </w:p>
          <w:p w14:paraId="7FE1BD9B" w14:textId="3CEE3934" w:rsidR="007A5804" w:rsidRDefault="007B7723">
            <w:pPr>
              <w:pStyle w:val="P68B1DB1-ListParagraph32"/>
              <w:numPr>
                <w:ilvl w:val="0"/>
                <w:numId w:val="287"/>
              </w:numPr>
              <w:rPr>
                <w:color w:val="000000" w:themeColor="text1"/>
              </w:rPr>
            </w:pPr>
            <w:r>
              <w:t>&gt; 1 mesiac</w:t>
            </w:r>
          </w:p>
        </w:tc>
      </w:tr>
      <w:tr w:rsidR="007A5804"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7A5804" w:rsidRDefault="007B7723">
            <w:pPr>
              <w:pStyle w:val="P68B1DB1-TableParagraph17"/>
              <w:spacing w:before="108"/>
              <w:ind w:left="85"/>
              <w:jc w:val="both"/>
            </w:pPr>
            <w:r>
              <w:lastRenderedPageBreak/>
              <w:t>0140 – 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7A5804" w:rsidRDefault="007B7723">
            <w:pPr>
              <w:pStyle w:val="P68B1DB1-Normal42"/>
              <w:rPr>
                <w:bCs/>
              </w:rPr>
            </w:pPr>
            <w:r>
              <w:t>Schopnosť substitúcie</w:t>
            </w:r>
          </w:p>
        </w:tc>
      </w:tr>
      <w:tr w:rsidR="007A5804"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7A5804" w:rsidRDefault="007B7723">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7A5804" w:rsidRDefault="007B7723">
            <w:pPr>
              <w:pStyle w:val="P68B1DB1-Normal42"/>
              <w:rPr>
                <w:bCs/>
              </w:rPr>
            </w:pPr>
            <w:r>
              <w:t>Právne prekážky vstupu na trh alebo expanzie</w:t>
            </w:r>
          </w:p>
          <w:p w14:paraId="7FE1BDA2" w14:textId="77777777" w:rsidR="007A5804" w:rsidRDefault="007A5804">
            <w:pPr>
              <w:rPr>
                <w:rFonts w:ascii="Times New Roman" w:eastAsiaTheme="minorHAnsi" w:hAnsi="Times New Roman" w:cs="Times New Roman"/>
                <w:color w:val="000000" w:themeColor="text1"/>
                <w:sz w:val="20"/>
                <w:szCs w:val="20"/>
              </w:rPr>
            </w:pPr>
          </w:p>
          <w:p w14:paraId="7FE1BDA3" w14:textId="77777777" w:rsidR="007A5804" w:rsidRDefault="007B7723">
            <w:pPr>
              <w:pStyle w:val="P68B1DB1-Normal43"/>
            </w:pPr>
            <w:r>
              <w:t xml:space="preserve">Právne prekážky pre konkurentov pri ponúkaní služby. Právne požiadavky na vykonávanie činnosti úverových inštitúcií (napr. bankové licencie alebo kapitálové požiadavky) sa nepovažujú za neprekonateľné prekážky v prítomnosti alternatívnych poskytovateľov. Tento ukazovateľ sa musí vykazovať v skupinách, ktoré sú rovnaké pre každú čiastkovú funkciu: </w:t>
            </w:r>
          </w:p>
          <w:p w14:paraId="7FE1BDA4" w14:textId="5F64D555" w:rsidR="007A5804" w:rsidRDefault="007B7723">
            <w:pPr>
              <w:pStyle w:val="P68B1DB1-ListParagraph39"/>
              <w:numPr>
                <w:ilvl w:val="0"/>
                <w:numId w:val="275"/>
              </w:numPr>
              <w:jc w:val="both"/>
            </w:pPr>
            <w:r>
              <w:t xml:space="preserve">žiadne významné prekážky, </w:t>
            </w:r>
          </w:p>
          <w:p w14:paraId="7FE1BDA5" w14:textId="09B8D427" w:rsidR="007A5804" w:rsidRDefault="007B7723">
            <w:pPr>
              <w:pStyle w:val="P68B1DB1-ListParagraph39"/>
              <w:numPr>
                <w:ilvl w:val="0"/>
                <w:numId w:val="275"/>
              </w:numPr>
              <w:jc w:val="both"/>
            </w:pPr>
            <w:r>
              <w:t xml:space="preserve">niektoré prekážky, </w:t>
            </w:r>
          </w:p>
          <w:p w14:paraId="7FE1BDA6" w14:textId="14CFE055" w:rsidR="007A5804" w:rsidRDefault="007B7723">
            <w:pPr>
              <w:pStyle w:val="P68B1DB1-ListParagraph39"/>
              <w:numPr>
                <w:ilvl w:val="0"/>
                <w:numId w:val="275"/>
              </w:numPr>
              <w:jc w:val="both"/>
            </w:pPr>
            <w:r>
              <w:t xml:space="preserve">podstatné (ale prekonateľné) bariéry, </w:t>
            </w:r>
          </w:p>
          <w:p w14:paraId="7FE1BDA8" w14:textId="2895BA0A" w:rsidR="007A5804" w:rsidRDefault="007B7723">
            <w:pPr>
              <w:pStyle w:val="P68B1DB1-ListParagraph8"/>
              <w:numPr>
                <w:ilvl w:val="0"/>
                <w:numId w:val="275"/>
              </w:numPr>
              <w:jc w:val="both"/>
              <w:rPr>
                <w:rFonts w:eastAsiaTheme="minorHAnsi"/>
              </w:rPr>
            </w:pPr>
            <w:r>
              <w:t>kritické (ťažko náročné) bariéry.</w:t>
            </w:r>
          </w:p>
        </w:tc>
      </w:tr>
      <w:tr w:rsidR="007A5804"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7A5804" w:rsidRDefault="007B7723">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7A5804" w:rsidRDefault="007B7723">
            <w:pPr>
              <w:pStyle w:val="P68B1DB1-Normal42"/>
              <w:rPr>
                <w:bCs/>
              </w:rPr>
            </w:pPr>
            <w:r>
              <w:t>Prevádzkové požiadavky na vstup alebo rozšírenie</w:t>
            </w:r>
          </w:p>
          <w:p w14:paraId="7FE1BDAC" w14:textId="77777777" w:rsidR="007A5804" w:rsidRDefault="007A5804">
            <w:pPr>
              <w:rPr>
                <w:rFonts w:ascii="Times New Roman" w:eastAsiaTheme="minorHAnsi" w:hAnsi="Times New Roman" w:cs="Times New Roman"/>
                <w:color w:val="000000" w:themeColor="text1"/>
                <w:sz w:val="20"/>
                <w:szCs w:val="20"/>
              </w:rPr>
            </w:pPr>
          </w:p>
          <w:p w14:paraId="7FE1BDAD" w14:textId="130EC7BC" w:rsidR="007A5804" w:rsidRDefault="007B7723">
            <w:pPr>
              <w:pStyle w:val="P68B1DB1-Normal43"/>
            </w:pPr>
            <w:r>
              <w:t xml:space="preserve">Organizačné, technické a infraštruktúrne požiadavky pre konkurentov pri ponúkaní služby. Ponuka služieb súvisiacich s (pod)funkciou si vyžaduje, aby poskytovatelia investovali do (novej alebo dodatočnej) infraštruktúry alebo aby zmenili svoje organizácie. Posúdiť schopnosť trhu absorbovať dané podnikanie, napríklad z hľadiska kapitálových požiadaviek. </w:t>
            </w:r>
          </w:p>
          <w:p w14:paraId="7FE1BDAE" w14:textId="77777777" w:rsidR="007A5804" w:rsidRDefault="007B7723">
            <w:pPr>
              <w:pStyle w:val="P68B1DB1-Normal43"/>
            </w:pPr>
            <w:r>
              <w:t xml:space="preserve">Tento ukazovateľ sa musí vykazovať v skupinách, ktoré sú rovnaké pre každú čiastkovú funkciu: </w:t>
            </w:r>
          </w:p>
          <w:p w14:paraId="7FE1BDAF" w14:textId="39113051" w:rsidR="007A5804" w:rsidRDefault="007B7723">
            <w:pPr>
              <w:pStyle w:val="P68B1DB1-ListParagraph38"/>
              <w:numPr>
                <w:ilvl w:val="0"/>
                <w:numId w:val="278"/>
              </w:numPr>
              <w:jc w:val="both"/>
            </w:pPr>
            <w:r>
              <w:t xml:space="preserve">bez väčších požiadaviek, </w:t>
            </w:r>
          </w:p>
          <w:p w14:paraId="7FE1BDB0" w14:textId="63777608" w:rsidR="007A5804" w:rsidRDefault="007B7723">
            <w:pPr>
              <w:pStyle w:val="P68B1DB1-ListParagraph38"/>
              <w:numPr>
                <w:ilvl w:val="0"/>
                <w:numId w:val="278"/>
              </w:numPr>
              <w:jc w:val="both"/>
            </w:pPr>
            <w:r>
              <w:t xml:space="preserve">niektoré požiadavky, </w:t>
            </w:r>
          </w:p>
          <w:p w14:paraId="7FE1BDB1" w14:textId="78F7EC3E" w:rsidR="007A5804" w:rsidRDefault="007B7723">
            <w:pPr>
              <w:pStyle w:val="P68B1DB1-ListParagraph38"/>
              <w:numPr>
                <w:ilvl w:val="0"/>
                <w:numId w:val="278"/>
              </w:numPr>
              <w:jc w:val="both"/>
            </w:pPr>
            <w:r>
              <w:t xml:space="preserve">podstatné (ale prekonateľné) požiadavky, </w:t>
            </w:r>
          </w:p>
          <w:p w14:paraId="7FE1BDB2" w14:textId="5A2EF079" w:rsidR="007A5804" w:rsidRDefault="007B7723">
            <w:pPr>
              <w:pStyle w:val="P68B1DB1-ListParagraph38"/>
              <w:numPr>
                <w:ilvl w:val="0"/>
                <w:numId w:val="278"/>
              </w:numPr>
              <w:jc w:val="both"/>
            </w:pPr>
            <w:r>
              <w:t>kritické požiadavky (ťažko náročné z hľadiska presakovania).</w:t>
            </w:r>
          </w:p>
          <w:p w14:paraId="7FE1BDB3" w14:textId="77777777" w:rsidR="007A5804" w:rsidRDefault="007A5804">
            <w:pPr>
              <w:rPr>
                <w:rFonts w:ascii="Times New Roman" w:eastAsiaTheme="minorHAnsi" w:hAnsi="Times New Roman" w:cs="Times New Roman"/>
                <w:color w:val="000000" w:themeColor="text1"/>
                <w:sz w:val="20"/>
                <w:szCs w:val="20"/>
              </w:rPr>
            </w:pPr>
          </w:p>
        </w:tc>
      </w:tr>
      <w:tr w:rsidR="007A5804"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7A5804" w:rsidRDefault="007B7723">
            <w:pPr>
              <w:pStyle w:val="P68B1DB1-TableParagraph17"/>
              <w:spacing w:before="108"/>
              <w:ind w:left="85"/>
              <w:jc w:val="both"/>
            </w:pPr>
            <w:r>
              <w:t>0160 – 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7A5804" w:rsidRDefault="007B7723">
            <w:pPr>
              <w:pStyle w:val="P68B1DB1-Normal42"/>
              <w:rPr>
                <w:bCs/>
              </w:rPr>
            </w:pPr>
            <w:r>
              <w:t>Posúdenie kritickosti</w:t>
            </w:r>
          </w:p>
        </w:tc>
      </w:tr>
      <w:tr w:rsidR="007A5804"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7A5804" w:rsidRDefault="007B7723">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7A5804" w:rsidRDefault="007B7723">
            <w:pPr>
              <w:pStyle w:val="P68B1DB1-Normal42"/>
              <w:rPr>
                <w:bCs/>
              </w:rPr>
            </w:pPr>
            <w:r>
              <w:t xml:space="preserve">Vplyv na trh </w:t>
            </w:r>
          </w:p>
          <w:p w14:paraId="7FE1BDBA" w14:textId="77777777" w:rsidR="007A5804" w:rsidRDefault="007B7723">
            <w:pPr>
              <w:pStyle w:val="P68B1DB1-Normal43"/>
            </w:pPr>
            <w:r>
              <w:t>Odhadovaný vplyv náhleho prerušenia funkcie na tretie strany, finančné trhy a reálnu ekonomiku so zreteľom na veľkosť, podiel na trhu v danom štáte, vonkajšiu a vnútornú prepojenosť, zložitosť a cezhraničné činnosti inštitúcie.</w:t>
            </w:r>
          </w:p>
          <w:p w14:paraId="7FE1BDBB" w14:textId="26AC665D" w:rsidR="007A5804" w:rsidRDefault="007B7723">
            <w:pPr>
              <w:pStyle w:val="P68B1DB1-Normal43"/>
            </w:pPr>
            <w:r>
              <w:t>Toto posúdenie je kvalitatívne vyjadrené ako „vysoké“, „stredne vysoké“, „stredne nízke“ alebo „nízke“.</w:t>
            </w:r>
          </w:p>
          <w:p w14:paraId="7FE1BDBC" w14:textId="64D10370" w:rsidR="007A5804" w:rsidRDefault="007B7723">
            <w:pPr>
              <w:pStyle w:val="P68B1DB1-Normal43"/>
            </w:pPr>
            <w:r>
              <w:t>„Vysoký“ sa vyberie, ak má prerušenie značný vplyv na vnútroštátny trh; „Stredne vysoký“, ak je vplyv významný; „Stredne nízky“, ak je vplyv významný, ale obmedzený; a „Low“, ak je vplyv nízky.</w:t>
            </w:r>
          </w:p>
        </w:tc>
      </w:tr>
      <w:tr w:rsidR="007A5804"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7A5804" w:rsidRDefault="007B7723">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7A5804" w:rsidRDefault="007B7723">
            <w:pPr>
              <w:pStyle w:val="P68B1DB1-Normal42"/>
              <w:rPr>
                <w:bCs/>
              </w:rPr>
            </w:pPr>
            <w:r>
              <w:t>Zastupiteľnosť</w:t>
            </w:r>
          </w:p>
          <w:p w14:paraId="7FE1BDC0" w14:textId="77777777" w:rsidR="007A5804" w:rsidRDefault="007B7723">
            <w:pPr>
              <w:pStyle w:val="P68B1DB1-Normal43"/>
            </w:pPr>
            <w:r>
              <w:t>Článok 6 ods. 3 delegovaného nariadenia (EÚ) 2016/778.</w:t>
            </w:r>
          </w:p>
          <w:p w14:paraId="7FE1BDC1" w14:textId="77777777" w:rsidR="007A5804" w:rsidRDefault="007B7723">
            <w:pPr>
              <w:pStyle w:val="P68B1DB1-Normal43"/>
            </w:pPr>
            <w:r>
              <w:t>Funkcia sa považuje za zastupiteľnú, ak ju možno nahradiť prijateľným spôsobom a v primeranej lehote, čím sa zabráni systémovým problémom pre reálnu ekonomiku a finančné trhy. Treba zohľadniť:</w:t>
            </w:r>
          </w:p>
          <w:p w14:paraId="7FE1BDC2" w14:textId="77777777" w:rsidR="007A5804" w:rsidRDefault="007B7723">
            <w:pPr>
              <w:pStyle w:val="P68B1DB1-Normal43"/>
            </w:pPr>
            <w:r>
              <w:t xml:space="preserve">(a) štruktúru trhu pre túto funkciu a dostupnosť náhradných poskytovateľov; </w:t>
            </w:r>
          </w:p>
          <w:p w14:paraId="7FE1BDC3" w14:textId="77777777" w:rsidR="007A5804" w:rsidRDefault="007B7723">
            <w:pPr>
              <w:pStyle w:val="P68B1DB1-Normal43"/>
            </w:pPr>
            <w:r>
              <w:t xml:space="preserve">(b) schopnosť iných poskytovateľov v oblasti kapacity, požiadaviek na výkon funkcie a potenciálnych prekážok pre vstup alebo rozšírenie; </w:t>
            </w:r>
          </w:p>
          <w:p w14:paraId="7FE1BDC4" w14:textId="77777777" w:rsidR="007A5804" w:rsidRDefault="007B7723">
            <w:pPr>
              <w:pStyle w:val="P68B1DB1-Normal43"/>
            </w:pPr>
            <w:r>
              <w:t xml:space="preserve">(c) motiváciu iných poskytovateľov, pokiaľ ide o prevzatie týchto činností; </w:t>
            </w:r>
          </w:p>
          <w:p w14:paraId="7FE1BDC5" w14:textId="77777777" w:rsidR="007A5804" w:rsidRDefault="007B7723">
            <w:pPr>
              <w:pStyle w:val="P68B1DB1-Normal43"/>
            </w:pPr>
            <w:r>
              <w:t>(d) čas, ktorý používatelia služby potrebujú na prechod k novému poskytovateľovi služieb, a s tým spojené náklady, čas, ktorý potrebujú ostatní konkurenti na prevzatie úloh, a či tento čas stačí na to, aby sa zabránilo výraznému narušeniu v závislosti od druhu služby.</w:t>
            </w:r>
          </w:p>
          <w:p w14:paraId="7FE1BDC6" w14:textId="024DAF4C" w:rsidR="007A5804" w:rsidRDefault="007B7723">
            <w:pPr>
              <w:pStyle w:val="P68B1DB1-Normal3"/>
            </w:pPr>
            <w:r>
              <w:t xml:space="preserve">Uveďte celkové posúdenie očakávanej miery nahraditeľnosti pre každú funkciu, pričom sa zohľadnia rôzne rozmery, ktoré sa posudzovali predtým (podiel na trhu, koncentrácia trhu, čas potrebný na nahradenie, právne prekážky a prevádzkové požiadavky na vstup na trh alebo </w:t>
            </w:r>
            <w:r>
              <w:lastRenderedPageBreak/>
              <w:t xml:space="preserve">rozšírenie). Toto posúdenie je kvalitatívne vyjadrené ako „vysoké“, „stredne vysoké“, „stredne nízke“ alebo „nízke“. </w:t>
            </w:r>
          </w:p>
          <w:p w14:paraId="07F40115" w14:textId="77777777" w:rsidR="007A5804" w:rsidRDefault="007A5804">
            <w:pPr>
              <w:rPr>
                <w:rFonts w:ascii="Times New Roman" w:eastAsiaTheme="minorHAnsi" w:hAnsi="Times New Roman" w:cs="Times New Roman"/>
                <w:color w:val="000000" w:themeColor="text1"/>
                <w:sz w:val="20"/>
                <w:szCs w:val="20"/>
              </w:rPr>
            </w:pPr>
          </w:p>
          <w:p w14:paraId="7FE1BDC7" w14:textId="704E53DC" w:rsidR="007A5804" w:rsidRDefault="007B7723">
            <w:pPr>
              <w:pStyle w:val="P68B1DB1-Normal43"/>
            </w:pPr>
            <w:r>
              <w:t>H ′ sa vyberie, ak funkciu môže ľahko zabezpečiť iná banka za porovnateľných podmienok v primeranom časovom rámci;</w:t>
            </w:r>
          </w:p>
          <w:p w14:paraId="7FE1BDC8" w14:textId="794A9FE4" w:rsidR="007A5804" w:rsidRDefault="007B7723">
            <w:pPr>
              <w:pStyle w:val="P68B1DB1-Normal43"/>
            </w:pPr>
            <w:r>
              <w:t xml:space="preserve">„Nízka“ ak funkciu nie je možné ľahko alebo rýchlo nahradiť; </w:t>
            </w:r>
          </w:p>
          <w:p w14:paraId="7FE1BDC9" w14:textId="02A9D6A2" w:rsidR="007A5804" w:rsidRDefault="007B7723">
            <w:pPr>
              <w:pStyle w:val="P68B1DB1-Normal43"/>
            </w:pPr>
            <w:r>
              <w:t>„Medium-High“ a „Medium-Low“ pre prechodné prípady zohľadňujúce rôzne rozmery (napr. trhový podiel, koncentrácia trhu, čas na nahradenie, ako aj právne prekážky pre vstup alebo rozšírenie a prevádzkové požiadavky na vstup alebo rozšírenie).</w:t>
            </w:r>
          </w:p>
        </w:tc>
      </w:tr>
      <w:tr w:rsidR="007A5804"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7A5804" w:rsidRDefault="007B7723">
            <w:pPr>
              <w:pStyle w:val="P68B1DB1-TableParagraph17"/>
              <w:spacing w:before="108"/>
              <w:ind w:left="85"/>
              <w:jc w:val="both"/>
            </w:pPr>
            <w:r>
              <w:lastRenderedPageBreak/>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7A5804" w:rsidRDefault="007B7723">
            <w:pPr>
              <w:pStyle w:val="P68B1DB1-Normal42"/>
              <w:rPr>
                <w:bCs/>
              </w:rPr>
            </w:pPr>
            <w:r>
              <w:t>Zásadná funkcia</w:t>
            </w:r>
          </w:p>
          <w:p w14:paraId="7FE1BDCD" w14:textId="77777777" w:rsidR="007A5804" w:rsidRDefault="007B7723">
            <w:pPr>
              <w:pStyle w:val="P68B1DB1-Normal43"/>
            </w:pPr>
            <w:r>
              <w:t>V tomto stĺpci sa uvádza, či sa hospodárska funkcia na trhu príslušného štátu považuje za zásadnú so zreteľom na analýzu dopadu a náhradnosti vykonanú inštitúciou.</w:t>
            </w:r>
          </w:p>
          <w:p w14:paraId="7FE1BDCE" w14:textId="77777777" w:rsidR="007A5804" w:rsidRDefault="007B7723">
            <w:pPr>
              <w:pStyle w:val="P68B1DB1-Normal43"/>
            </w:pPr>
            <w:r>
              <w:t>Správa „áno“ alebo „nie“</w:t>
            </w:r>
          </w:p>
        </w:tc>
      </w:tr>
      <w:tr w:rsidR="007A5804"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7A5804" w:rsidRDefault="007B7723">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7A5804" w:rsidRDefault="007B7723">
            <w:pPr>
              <w:pStyle w:val="P68B1DB1-Normal42"/>
              <w:rPr>
                <w:bCs/>
              </w:rPr>
            </w:pPr>
            <w:r>
              <w:t>Pripomienky skupiny</w:t>
            </w:r>
          </w:p>
          <w:p w14:paraId="7FE1BDD2" w14:textId="77777777" w:rsidR="007A5804" w:rsidRDefault="007B7723">
            <w:pPr>
              <w:pStyle w:val="P68B1DB1-Normal43"/>
            </w:pPr>
            <w:r>
              <w:t>Toto pole umožňuje vykazujúcej účtovnej jednotke vysvetliť akékoľvek predpoklady použité pri posudzovaní kritickosti vykazovanej funkcie (funkcií).</w:t>
            </w:r>
          </w:p>
        </w:tc>
      </w:tr>
    </w:tbl>
    <w:p w14:paraId="7FE1BDD4" w14:textId="77777777" w:rsidR="007A5804" w:rsidRDefault="007A5804">
      <w:pPr>
        <w:rPr>
          <w:rFonts w:ascii="Times New Roman" w:hAnsi="Times New Roman" w:cs="Times New Roman"/>
          <w:color w:val="000000" w:themeColor="text1"/>
          <w:sz w:val="20"/>
          <w:szCs w:val="20"/>
        </w:rPr>
      </w:pPr>
    </w:p>
    <w:p w14:paraId="7FE1BFB4" w14:textId="77777777" w:rsidR="007A5804" w:rsidRDefault="007A5804">
      <w:pPr>
        <w:rPr>
          <w:rFonts w:ascii="Times New Roman" w:hAnsi="Times New Roman" w:cs="Times New Roman"/>
        </w:rPr>
      </w:pPr>
    </w:p>
    <w:p w14:paraId="7FE1BFB5" w14:textId="432A2FAA" w:rsidR="007A5804" w:rsidRDefault="007B7723">
      <w:pPr>
        <w:pStyle w:val="P68B1DB1-Instructionsberschrift25"/>
        <w:numPr>
          <w:ilvl w:val="1"/>
          <w:numId w:val="49"/>
        </w:numPr>
        <w:ind w:left="357" w:hanging="357"/>
      </w:pPr>
      <w:bookmarkStart w:id="122" w:name="_Toc208245254"/>
      <w:r>
        <w:t>Z 07.02 – Priradenie ekonomických funkcií k právnickým osobám (FUNC 2)</w:t>
      </w:r>
      <w:bookmarkEnd w:id="122"/>
      <w:r>
        <w:t xml:space="preserve"> </w:t>
      </w:r>
    </w:p>
    <w:p w14:paraId="7FE1BFB6" w14:textId="77777777" w:rsidR="007A5804" w:rsidRDefault="007B7723">
      <w:pPr>
        <w:pStyle w:val="P68B1DB1-Instructionsberschrift312"/>
        <w:rPr>
          <w:color w:val="auto"/>
        </w:rPr>
      </w:pPr>
      <w:r>
        <w:t>Pokyny</w:t>
      </w:r>
      <w:r>
        <w:rPr>
          <w:color w:val="auto"/>
        </w:rPr>
        <w:t xml:space="preserve"> týkajúce sa konkrétnych pozícií</w:t>
      </w:r>
    </w:p>
    <w:p w14:paraId="7FE1BFB7" w14:textId="7A5F9014" w:rsidR="007A5804" w:rsidRDefault="007B7723">
      <w:pPr>
        <w:pStyle w:val="P68B1DB1-InstructionsText26"/>
        <w:numPr>
          <w:ilvl w:val="0"/>
          <w:numId w:val="232"/>
        </w:numPr>
        <w:spacing w:before="0"/>
      </w:pPr>
      <w:r>
        <w:t>Tento vzor sa vykazuje za celú skupinu a s prihliadnutím na hospodárske funkcie, ktoré skupina poskytuje hospodárstvu.</w:t>
      </w:r>
    </w:p>
    <w:p w14:paraId="7FE1BFB8" w14:textId="77777777" w:rsidR="007A5804" w:rsidRDefault="007B7723">
      <w:pPr>
        <w:pStyle w:val="P68B1DB1-InstructionsText26"/>
        <w:numPr>
          <w:ilvl w:val="0"/>
          <w:numId w:val="232"/>
        </w:numPr>
        <w:spacing w:before="0"/>
      </w:pPr>
      <w:r>
        <w:t>Kombinácia hodnôt vykázaných v stĺpcoch 0010, 0020 a 0040 tohto vzoru tvorí primárny kľúč, ktorý musí byť jedinečný pre každý riadok vzoru.</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5804"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7A5804" w:rsidRDefault="007B7723">
            <w:pPr>
              <w:pStyle w:val="P68B1DB1-TableParagraph17"/>
              <w:spacing w:before="108"/>
              <w:ind w:left="85"/>
              <w:jc w:val="both"/>
            </w:pPr>
            <w:r>
              <w:t>Stĺpce</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7A5804" w:rsidRDefault="007B7723">
            <w:pPr>
              <w:pStyle w:val="P68B1DB1-TableParagraph17"/>
              <w:spacing w:before="108"/>
              <w:ind w:left="85" w:right="1"/>
              <w:jc w:val="both"/>
            </w:pPr>
            <w:r>
              <w:t>Pokyny</w:t>
            </w:r>
          </w:p>
        </w:tc>
      </w:tr>
      <w:tr w:rsidR="007A5804"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7A5804" w:rsidRDefault="007B7723">
            <w:pPr>
              <w:pStyle w:val="P68B1DB1-TableParagraph17"/>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7A5804" w:rsidRDefault="007B7723">
            <w:pPr>
              <w:pStyle w:val="P68B1DB1-TableParagraph14"/>
              <w:spacing w:before="108"/>
              <w:ind w:left="85"/>
              <w:jc w:val="both"/>
              <w:rPr>
                <w:bCs/>
              </w:rPr>
            </w:pPr>
            <w:r>
              <w:t>Hospodárska funkcia</w:t>
            </w:r>
          </w:p>
        </w:tc>
      </w:tr>
      <w:tr w:rsidR="007A5804"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7A5804" w:rsidRDefault="007B7723">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7A5804" w:rsidRDefault="007B7723">
            <w:pPr>
              <w:pStyle w:val="P68B1DB1-TableParagraph14"/>
              <w:spacing w:before="108"/>
              <w:ind w:left="85"/>
              <w:jc w:val="both"/>
              <w:rPr>
                <w:bCs/>
              </w:rPr>
            </w:pPr>
            <w:r>
              <w:t>Krajina</w:t>
            </w:r>
          </w:p>
          <w:p w14:paraId="7FE1BFC1" w14:textId="235DC4B1" w:rsidR="007A5804" w:rsidRDefault="007B7723">
            <w:pPr>
              <w:pStyle w:val="P68B1DB1-TableParagraph17"/>
              <w:spacing w:before="108"/>
              <w:ind w:left="85"/>
            </w:pPr>
            <w:r>
              <w:t>Krajina, pre ktorú sa poskytuje ekonomická funkcia</w:t>
            </w:r>
          </w:p>
        </w:tc>
      </w:tr>
      <w:tr w:rsidR="007A5804"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7A5804" w:rsidRDefault="007B7723">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7A5804" w:rsidRDefault="007B7723">
            <w:pPr>
              <w:pStyle w:val="P68B1DB1-TableParagraph14"/>
              <w:spacing w:before="108"/>
              <w:ind w:left="85"/>
              <w:jc w:val="both"/>
              <w:rPr>
                <w:bCs/>
              </w:rPr>
            </w:pPr>
            <w:r>
              <w:t>IDENTIFIKÁCIA</w:t>
            </w:r>
          </w:p>
          <w:p w14:paraId="7FE1BFC5" w14:textId="05F6B42D" w:rsidR="007A5804" w:rsidRDefault="007B7723">
            <w:pPr>
              <w:pStyle w:val="P68B1DB1-TableParagraph17"/>
              <w:spacing w:before="108"/>
              <w:ind w:left="85"/>
            </w:pPr>
            <w:r>
              <w:t>ID ekonomických funkcií [ako sa uvádza vo vzore Z 07.01 (FUNC 1) v prípade zásadných funkcií].</w:t>
            </w:r>
          </w:p>
        </w:tc>
      </w:tr>
      <w:tr w:rsidR="007A5804"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7A5804" w:rsidRDefault="007B7723">
            <w:pPr>
              <w:pStyle w:val="P68B1DB1-TableParagraph17"/>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7A5804" w:rsidRDefault="007B7723">
            <w:pPr>
              <w:pStyle w:val="P68B1DB1-TableParagraph14"/>
              <w:spacing w:before="108"/>
              <w:ind w:left="85"/>
              <w:jc w:val="both"/>
              <w:rPr>
                <w:bCs/>
              </w:rPr>
            </w:pPr>
            <w:r>
              <w:t>Právny subjekt</w:t>
            </w:r>
          </w:p>
        </w:tc>
      </w:tr>
      <w:tr w:rsidR="007A5804"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7A5804" w:rsidRDefault="007B7723">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7A5804" w:rsidRDefault="007B7723">
            <w:pPr>
              <w:pStyle w:val="P68B1DB1-TableParagraph14"/>
              <w:spacing w:before="108"/>
              <w:ind w:left="85"/>
              <w:jc w:val="both"/>
              <w:rPr>
                <w:bCs/>
              </w:rPr>
            </w:pPr>
            <w:r>
              <w:t>Názov subjektu</w:t>
            </w:r>
          </w:p>
          <w:p w14:paraId="7FE1BFCD" w14:textId="375A6177" w:rsidR="007A5804" w:rsidRDefault="007B7723">
            <w:pPr>
              <w:pStyle w:val="P68B1DB1-TableParagraph17"/>
              <w:spacing w:before="108"/>
              <w:ind w:left="85"/>
            </w:pPr>
            <w:r>
              <w:t>Názov subjektu vykonávajúceho ekonomickú funkciu vykázaný v Z 01.01 (ORG 1).</w:t>
            </w:r>
          </w:p>
          <w:p w14:paraId="7FE1BFCE" w14:textId="2159DCA3" w:rsidR="007A5804" w:rsidRDefault="007B7723">
            <w:pPr>
              <w:pStyle w:val="P68B1DB1-TableParagraph17"/>
              <w:spacing w:before="108"/>
              <w:ind w:left="85"/>
            </w:pPr>
            <w:r>
              <w:t>Ak existuje viacero subjektov vykonávajúcich rovnaké ekonomické funkcie v tom istom štáte, každý subjekt sa vykazuje v osobitnom riadku.</w:t>
            </w:r>
          </w:p>
        </w:tc>
      </w:tr>
      <w:tr w:rsidR="007A5804"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7A5804" w:rsidRDefault="007B7723">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7A5804" w:rsidRDefault="007B7723">
            <w:pPr>
              <w:pStyle w:val="P68B1DB1-TableParagraph14"/>
              <w:spacing w:before="108"/>
              <w:ind w:left="85"/>
              <w:jc w:val="both"/>
              <w:rPr>
                <w:bCs/>
              </w:rPr>
            </w:pPr>
            <w:r>
              <w:t>Kód</w:t>
            </w:r>
          </w:p>
          <w:p w14:paraId="7FE1BFD2" w14:textId="77777777" w:rsidR="007A5804" w:rsidRDefault="007B7723">
            <w:pPr>
              <w:pStyle w:val="P68B1DB1-TableParagraph17"/>
              <w:spacing w:before="108"/>
              <w:ind w:left="85"/>
            </w:pPr>
            <w:r>
              <w:t>Jedinečný identifikátor právnickej osoby v stĺpci 0020, vykazovaný vo vzore Z 01.01 (ORG 1).</w:t>
            </w:r>
          </w:p>
          <w:p w14:paraId="7FE1BFD3" w14:textId="0AEAE2F2" w:rsidR="007A5804" w:rsidRDefault="007B7723">
            <w:pPr>
              <w:pStyle w:val="P68B1DB1-TableParagraph17"/>
              <w:spacing w:before="108"/>
              <w:ind w:left="85"/>
            </w:pPr>
            <w:r>
              <w:t>Identifikácia subjektov sa vykonáva konzistentne vo všetkých vzoroch.</w:t>
            </w:r>
          </w:p>
        </w:tc>
      </w:tr>
      <w:tr w:rsidR="007A5804"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7A5804" w:rsidRDefault="007B7723">
            <w:pPr>
              <w:pStyle w:val="P68B1DB1-TableParagraph17"/>
              <w:spacing w:before="108"/>
              <w:ind w:left="85"/>
            </w:pPr>
            <w:r>
              <w:lastRenderedPageBreak/>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7A5804" w:rsidRDefault="007B7723">
            <w:pPr>
              <w:pStyle w:val="P68B1DB1-TableParagraph14"/>
              <w:spacing w:before="108"/>
              <w:ind w:left="85"/>
              <w:jc w:val="both"/>
              <w:rPr>
                <w:bCs/>
              </w:rPr>
            </w:pPr>
            <w:r>
              <w:t>Druh kódu</w:t>
            </w:r>
          </w:p>
          <w:p w14:paraId="29A7EF10" w14:textId="77777777" w:rsidR="007A5804" w:rsidRDefault="007B7723">
            <w:pPr>
              <w:pStyle w:val="P68B1DB1-TableParagraph13"/>
              <w:spacing w:before="108"/>
            </w:pPr>
            <w:r>
              <w:t>Vyberie sa z nasledujúcich možností: „Kód LEI“, „kód PFI“ alebo „Druh identifikátora iný ako LEI alebo kód PFI“.</w:t>
            </w:r>
          </w:p>
          <w:p w14:paraId="7FE1BFDA" w14:textId="77777777" w:rsidR="007A5804" w:rsidRDefault="007B7723">
            <w:pPr>
              <w:pStyle w:val="P68B1DB1-TableParagraph13"/>
              <w:spacing w:before="108"/>
              <w:ind w:left="85"/>
              <w:jc w:val="both"/>
              <w:rPr>
                <w:b/>
                <w:bCs/>
              </w:rPr>
            </w:pPr>
            <w:r>
              <w:t>Identifikácia subjektov sa vykonáva konzistentne vo všetkých vzoroch.</w:t>
            </w:r>
          </w:p>
        </w:tc>
      </w:tr>
      <w:tr w:rsidR="007A5804"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7A5804" w:rsidRDefault="007B7723">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7A5804" w:rsidRDefault="007B7723">
            <w:pPr>
              <w:pStyle w:val="P68B1DB1-TableParagraph14"/>
              <w:spacing w:before="108"/>
              <w:ind w:left="85"/>
              <w:jc w:val="both"/>
              <w:rPr>
                <w:bCs/>
              </w:rPr>
            </w:pPr>
            <w:r>
              <w:t>Peňažná suma</w:t>
            </w:r>
          </w:p>
          <w:p w14:paraId="7FE1BFDE" w14:textId="1157FFA9" w:rsidR="007A5804" w:rsidRDefault="007B7723">
            <w:pPr>
              <w:pStyle w:val="P68B1DB1-TableParagraph17"/>
              <w:spacing w:before="108"/>
              <w:ind w:left="85"/>
            </w:pPr>
            <w:r>
              <w:t>Peňažný príspevok právnickej osoby k peňažnej sume, ako je uvedené v vzore Z 07.01 (FUNC 1):</w:t>
            </w:r>
          </w:p>
          <w:p w14:paraId="7FE1BFDF" w14:textId="77777777" w:rsidR="007A5804" w:rsidRDefault="007B7723">
            <w:pPr>
              <w:pStyle w:val="P68B1DB1-TableParagraph17"/>
              <w:numPr>
                <w:ilvl w:val="0"/>
                <w:numId w:val="64"/>
              </w:numPr>
              <w:spacing w:before="108"/>
            </w:pPr>
            <w:r>
              <w:t>Vklady – hodnota na účtoch</w:t>
            </w:r>
          </w:p>
          <w:p w14:paraId="7FE1BFE0" w14:textId="77777777" w:rsidR="007A5804" w:rsidRDefault="007B7723">
            <w:pPr>
              <w:pStyle w:val="P68B1DB1-TableParagraph17"/>
              <w:numPr>
                <w:ilvl w:val="0"/>
                <w:numId w:val="64"/>
              </w:numPr>
              <w:spacing w:before="108"/>
            </w:pPr>
            <w:r>
              <w:t>Úvery – nesplatená hodnota</w:t>
            </w:r>
          </w:p>
          <w:p w14:paraId="7FE1BFE1" w14:textId="77777777" w:rsidR="007A5804" w:rsidRDefault="007B7723">
            <w:pPr>
              <w:pStyle w:val="P68B1DB1-TableParagraph17"/>
              <w:numPr>
                <w:ilvl w:val="0"/>
                <w:numId w:val="64"/>
              </w:numPr>
              <w:spacing w:before="108"/>
            </w:pPr>
            <w:r>
              <w:t>Platby – hodnota transakcií/otvorených pozícií/aktív v úschove (podľa potreby)</w:t>
            </w:r>
          </w:p>
          <w:p w14:paraId="7FE1BFE2" w14:textId="77777777" w:rsidR="007A5804" w:rsidRDefault="007B7723">
            <w:pPr>
              <w:pStyle w:val="P68B1DB1-TableParagraph17"/>
              <w:numPr>
                <w:ilvl w:val="0"/>
                <w:numId w:val="64"/>
              </w:numPr>
              <w:spacing w:before="108"/>
            </w:pPr>
            <w:r>
              <w:t>Kapitálové trhy – pomyselná suma/účtovná suma/príjmy z poplatkov (podľa potreby)</w:t>
            </w:r>
          </w:p>
          <w:p w14:paraId="7FE1BFE3" w14:textId="77777777" w:rsidR="007A5804" w:rsidRDefault="007B7723">
            <w:pPr>
              <w:pStyle w:val="P68B1DB1-TableParagraph17"/>
              <w:numPr>
                <w:ilvl w:val="0"/>
                <w:numId w:val="64"/>
              </w:numPr>
              <w:spacing w:before="108"/>
            </w:pPr>
            <w:r>
              <w:t>Veľkoobchodné financovanie – hrubá účtovná hodnota</w:t>
            </w:r>
          </w:p>
        </w:tc>
      </w:tr>
    </w:tbl>
    <w:p w14:paraId="7FE1BFE5" w14:textId="77777777" w:rsidR="007A5804" w:rsidRDefault="007A5804">
      <w:pPr>
        <w:rPr>
          <w:rFonts w:ascii="Times New Roman" w:hAnsi="Times New Roman" w:cs="Times New Roman"/>
          <w:color w:val="000000" w:themeColor="text1"/>
          <w:sz w:val="20"/>
          <w:szCs w:val="20"/>
        </w:rPr>
      </w:pPr>
    </w:p>
    <w:p w14:paraId="7FE1BFE6" w14:textId="30C6C61A" w:rsidR="007A5804" w:rsidRDefault="007B7723">
      <w:pPr>
        <w:pStyle w:val="P68B1DB1-Instructionsberschrift25"/>
        <w:numPr>
          <w:ilvl w:val="1"/>
          <w:numId w:val="49"/>
        </w:numPr>
        <w:ind w:left="357" w:hanging="357"/>
      </w:pPr>
      <w:bookmarkStart w:id="123" w:name="_Toc208245255"/>
      <w:r>
        <w:t>Z 07.03 – Priradenie hlavných oblasti obchodnej činnosti k právnickým osobám (FUNC 3)</w:t>
      </w:r>
      <w:bookmarkEnd w:id="123"/>
    </w:p>
    <w:p w14:paraId="7FE1BFE7" w14:textId="2A9EA2DA" w:rsidR="007A5804" w:rsidRDefault="007B7723">
      <w:pPr>
        <w:pStyle w:val="P68B1DB1-Instructionsberschrift312"/>
        <w:rPr>
          <w:bCs/>
        </w:rPr>
      </w:pPr>
      <w:r>
        <w:t>Pokyny týkajúce sa konkrétnych pozícií</w:t>
      </w:r>
    </w:p>
    <w:p w14:paraId="7FE1BFE8" w14:textId="22DA3D65" w:rsidR="007A5804" w:rsidRDefault="007B7723">
      <w:pPr>
        <w:pStyle w:val="P68B1DB1-InstructionsText26"/>
        <w:numPr>
          <w:ilvl w:val="0"/>
          <w:numId w:val="232"/>
        </w:numPr>
        <w:spacing w:before="0"/>
      </w:pPr>
      <w:r>
        <w:t>Kombinácia hodnôt vykázaných v stĺpcoch 0020 a 0050 tohto vzoru tvorí primárny kľúč, ktorý musí byť jedinečný pre každý riadok vzoru.</w:t>
      </w:r>
    </w:p>
    <w:p w14:paraId="7FE1BFE9" w14:textId="29720803" w:rsidR="007A5804" w:rsidRDefault="007B7723">
      <w:pPr>
        <w:pStyle w:val="P68B1DB1-InstructionsText26"/>
        <w:numPr>
          <w:ilvl w:val="0"/>
          <w:numId w:val="232"/>
        </w:numPr>
        <w:spacing w:before="0"/>
      </w:pPr>
      <w:r>
        <w:t xml:space="preserve">V tomto vzore sa identifikujú len príslušné právnické osoby.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5804"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7A5804" w:rsidRDefault="007B7723">
            <w:pPr>
              <w:pStyle w:val="P68B1DB1-TableParagraph17"/>
              <w:spacing w:before="108"/>
              <w:ind w:left="85"/>
              <w:jc w:val="both"/>
            </w:pPr>
            <w:r>
              <w:t>Stĺpce</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7A5804" w:rsidRDefault="007B7723">
            <w:pPr>
              <w:pStyle w:val="P68B1DB1-TableParagraph17"/>
              <w:spacing w:before="108"/>
              <w:ind w:left="85" w:right="1"/>
              <w:jc w:val="both"/>
            </w:pPr>
            <w:r>
              <w:t>Pokyny</w:t>
            </w:r>
          </w:p>
        </w:tc>
      </w:tr>
      <w:tr w:rsidR="007A5804"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7A5804" w:rsidRDefault="007B7723">
            <w:pPr>
              <w:pStyle w:val="P68B1DB1-TableParagraph17"/>
              <w:spacing w:before="108"/>
              <w:ind w:left="85"/>
            </w:pPr>
            <w:r>
              <w:t xml:space="preserve">0010 – 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7A5804" w:rsidRDefault="007B7723">
            <w:pPr>
              <w:pStyle w:val="P68B1DB1-TableParagraph14"/>
              <w:spacing w:before="108"/>
              <w:ind w:left="85"/>
              <w:jc w:val="both"/>
              <w:rPr>
                <w:bCs/>
              </w:rPr>
            </w:pPr>
            <w:r>
              <w:t>Hlavná oblasť obchodnej činnosti</w:t>
            </w:r>
          </w:p>
        </w:tc>
      </w:tr>
      <w:tr w:rsidR="007A5804"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7A5804" w:rsidRDefault="007B7723">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7A5804" w:rsidRDefault="007B7723">
            <w:pPr>
              <w:pStyle w:val="P68B1DB1-TableParagraph14"/>
              <w:spacing w:before="108"/>
              <w:ind w:left="85"/>
              <w:jc w:val="both"/>
              <w:rPr>
                <w:bCs/>
              </w:rPr>
            </w:pPr>
            <w:r>
              <w:t>Hlavná oblasť obchodnej činnosti</w:t>
            </w:r>
          </w:p>
          <w:p w14:paraId="7FE1BFF2" w14:textId="65133358" w:rsidR="007A5804" w:rsidRDefault="007B7723">
            <w:pPr>
              <w:pStyle w:val="P68B1DB1-TableParagraph17"/>
              <w:spacing w:before="108"/>
              <w:ind w:left="85"/>
            </w:pPr>
            <w:r>
              <w:t>Hlavná oblasť obchodnej činnosti v zmysle článku 2 ods. 1 bodu 36 a článku 2 ods. 2 smernice 2014/59/EÚ.</w:t>
            </w:r>
          </w:p>
          <w:p w14:paraId="7FE1BFF3" w14:textId="77777777" w:rsidR="007A5804" w:rsidRDefault="007B7723">
            <w:pPr>
              <w:pStyle w:val="P68B1DB1-TableParagraph17"/>
              <w:spacing w:before="108"/>
              <w:ind w:left="85"/>
            </w:pPr>
            <w:r>
              <w:t>Hlavnou oblasťou obchodnej činnosti je jedna z ďalej uvedených obchodných línií.</w:t>
            </w:r>
          </w:p>
          <w:p w14:paraId="7FE1BFF4" w14:textId="77777777" w:rsidR="007A5804" w:rsidRDefault="007B7723">
            <w:pPr>
              <w:pStyle w:val="P68B1DB1-TableParagraph17"/>
              <w:numPr>
                <w:ilvl w:val="0"/>
                <w:numId w:val="139"/>
              </w:numPr>
              <w:spacing w:before="108"/>
              <w:rPr>
                <w:rFonts w:eastAsiaTheme="minorEastAsia"/>
              </w:rPr>
            </w:pPr>
            <w:r>
              <w:t xml:space="preserve">Bankovníctvo pre spotrebiteľov </w:t>
            </w:r>
          </w:p>
          <w:p w14:paraId="7FE1BFF5" w14:textId="77777777" w:rsidR="007A5804" w:rsidRDefault="007B7723">
            <w:pPr>
              <w:pStyle w:val="P68B1DB1-TableParagraph17"/>
              <w:numPr>
                <w:ilvl w:val="0"/>
                <w:numId w:val="139"/>
              </w:numPr>
              <w:spacing w:before="108"/>
            </w:pPr>
            <w:r>
              <w:t>Korporátne bankovníctvo (firemní klienti)</w:t>
            </w:r>
          </w:p>
          <w:p w14:paraId="7FE1BFF6" w14:textId="77777777" w:rsidR="007A5804" w:rsidRDefault="007B7723">
            <w:pPr>
              <w:pStyle w:val="P68B1DB1-TableParagraph17"/>
              <w:numPr>
                <w:ilvl w:val="0"/>
                <w:numId w:val="139"/>
              </w:numPr>
              <w:spacing w:before="108"/>
            </w:pPr>
            <w:r>
              <w:t xml:space="preserve">Investičné bankovníctvo </w:t>
            </w:r>
          </w:p>
          <w:p w14:paraId="7FE1BFF7" w14:textId="77777777" w:rsidR="007A5804" w:rsidRDefault="007B7723">
            <w:pPr>
              <w:pStyle w:val="P68B1DB1-TableParagraph17"/>
              <w:numPr>
                <w:ilvl w:val="0"/>
                <w:numId w:val="139"/>
              </w:numPr>
              <w:spacing w:before="108"/>
            </w:pPr>
            <w:r>
              <w:t>Poisťovníctvo</w:t>
            </w:r>
          </w:p>
          <w:p w14:paraId="7FE1BFF8" w14:textId="77777777" w:rsidR="007A5804" w:rsidRDefault="007B7723">
            <w:pPr>
              <w:pStyle w:val="P68B1DB1-TableParagraph17"/>
              <w:numPr>
                <w:ilvl w:val="0"/>
                <w:numId w:val="139"/>
              </w:numPr>
              <w:spacing w:before="108"/>
            </w:pPr>
            <w:r>
              <w:t>Zaistenie</w:t>
            </w:r>
          </w:p>
          <w:p w14:paraId="7FE1BFF9" w14:textId="77777777" w:rsidR="007A5804" w:rsidRDefault="007B7723">
            <w:pPr>
              <w:pStyle w:val="P68B1DB1-TableParagraph17"/>
              <w:numPr>
                <w:ilvl w:val="0"/>
                <w:numId w:val="139"/>
              </w:numPr>
              <w:spacing w:before="108"/>
            </w:pPr>
            <w:r>
              <w:t>Retailové maklérstvo</w:t>
            </w:r>
          </w:p>
          <w:p w14:paraId="7FE1BFFA" w14:textId="77777777" w:rsidR="007A5804" w:rsidRDefault="007B7723">
            <w:pPr>
              <w:pStyle w:val="P68B1DB1-TableParagraph17"/>
              <w:numPr>
                <w:ilvl w:val="0"/>
                <w:numId w:val="139"/>
              </w:numPr>
              <w:spacing w:before="108"/>
            </w:pPr>
            <w:r>
              <w:t xml:space="preserve">Správa majetku </w:t>
            </w:r>
          </w:p>
          <w:p w14:paraId="7FE1BFFB" w14:textId="77777777" w:rsidR="007A5804" w:rsidRDefault="007B7723">
            <w:pPr>
              <w:pStyle w:val="P68B1DB1-TableParagraph17"/>
              <w:numPr>
                <w:ilvl w:val="0"/>
                <w:numId w:val="139"/>
              </w:numPr>
              <w:spacing w:before="108"/>
            </w:pPr>
            <w:r>
              <w:t>Realitná agentúra</w:t>
            </w:r>
          </w:p>
          <w:p w14:paraId="7FE1BFFC" w14:textId="77777777" w:rsidR="007A5804" w:rsidRDefault="007B7723">
            <w:pPr>
              <w:pStyle w:val="P68B1DB1-TableParagraph17"/>
              <w:numPr>
                <w:ilvl w:val="0"/>
                <w:numId w:val="139"/>
              </w:numPr>
              <w:spacing w:before="108"/>
            </w:pPr>
            <w:r>
              <w:t xml:space="preserve">Vedenie účtovníctva </w:t>
            </w:r>
          </w:p>
          <w:p w14:paraId="7FE1BFFD" w14:textId="77777777" w:rsidR="007A5804" w:rsidRDefault="007B7723">
            <w:pPr>
              <w:pStyle w:val="P68B1DB1-TableParagraph17"/>
              <w:numPr>
                <w:ilvl w:val="0"/>
                <w:numId w:val="139"/>
              </w:numPr>
              <w:spacing w:before="108"/>
            </w:pPr>
            <w:r>
              <w:t>Iné</w:t>
            </w:r>
          </w:p>
          <w:p w14:paraId="7FE1BFFE" w14:textId="77777777" w:rsidR="007A5804" w:rsidRDefault="007A5804">
            <w:pPr>
              <w:pStyle w:val="TableParagraph"/>
              <w:spacing w:before="108"/>
              <w:ind w:left="85"/>
              <w:rPr>
                <w:rFonts w:ascii="Times New Roman" w:eastAsia="Cambria" w:hAnsi="Times New Roman" w:cs="Times New Roman"/>
                <w:color w:val="000000" w:themeColor="text1"/>
                <w:sz w:val="20"/>
                <w:szCs w:val="20"/>
              </w:rPr>
            </w:pPr>
          </w:p>
        </w:tc>
      </w:tr>
      <w:tr w:rsidR="007A5804"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7A5804" w:rsidRDefault="007B7723">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7A5804" w:rsidRDefault="007B7723">
            <w:pPr>
              <w:pStyle w:val="P68B1DB1-TableParagraph14"/>
              <w:spacing w:before="108"/>
              <w:ind w:left="85"/>
              <w:jc w:val="both"/>
              <w:rPr>
                <w:bCs/>
              </w:rPr>
            </w:pPr>
            <w:r>
              <w:t>ID oblasti obchodnej činnosti</w:t>
            </w:r>
          </w:p>
          <w:p w14:paraId="7FE1C002" w14:textId="77777777" w:rsidR="007A5804" w:rsidRDefault="007B7723">
            <w:pPr>
              <w:pStyle w:val="P68B1DB1-TableParagraph17"/>
              <w:spacing w:before="108"/>
              <w:ind w:left="85"/>
            </w:pPr>
            <w:r>
              <w:t>Jedinečná identifikácia obchodnej činnosti poskytnutá inštitúciou.</w:t>
            </w:r>
          </w:p>
        </w:tc>
      </w:tr>
      <w:tr w:rsidR="007A5804"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7A5804" w:rsidRDefault="007B7723">
            <w:pPr>
              <w:pStyle w:val="P68B1DB1-TableParagraph17"/>
              <w:spacing w:before="108"/>
              <w:ind w:left="85"/>
            </w:pPr>
            <w:r>
              <w:lastRenderedPageBreak/>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7A5804" w:rsidRDefault="007B7723">
            <w:pPr>
              <w:pStyle w:val="P68B1DB1-TableParagraph14"/>
              <w:spacing w:before="108"/>
              <w:ind w:left="85"/>
              <w:jc w:val="both"/>
              <w:rPr>
                <w:bCs/>
              </w:rPr>
            </w:pPr>
            <w:r>
              <w:t>Opis</w:t>
            </w:r>
          </w:p>
          <w:p w14:paraId="7FE1C015" w14:textId="477A2340" w:rsidR="007A5804" w:rsidRDefault="007B7723">
            <w:pPr>
              <w:pStyle w:val="P68B1DB1-TableParagraph17"/>
              <w:spacing w:before="108"/>
              <w:ind w:left="85"/>
            </w:pPr>
            <w:r>
              <w:t>Opis oblasti obchodnej činnosti.</w:t>
            </w:r>
          </w:p>
        </w:tc>
      </w:tr>
      <w:tr w:rsidR="007A5804"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7A5804" w:rsidRDefault="007B7723">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7A5804" w:rsidRDefault="007B7723">
            <w:pPr>
              <w:pStyle w:val="P68B1DB1-TableParagraph14"/>
              <w:spacing w:before="108"/>
              <w:ind w:left="85"/>
              <w:jc w:val="both"/>
              <w:rPr>
                <w:bCs/>
              </w:rPr>
            </w:pPr>
            <w:r>
              <w:t>Názov subjektu</w:t>
            </w:r>
          </w:p>
          <w:p w14:paraId="7FE1C02D" w14:textId="45109CE8" w:rsidR="007A5804" w:rsidRDefault="007B7723">
            <w:pPr>
              <w:pStyle w:val="P68B1DB1-TableParagraph17"/>
              <w:spacing w:before="108"/>
              <w:ind w:left="85"/>
            </w:pPr>
            <w:r>
              <w:t>Názov subjektu vykázaný v Z 01.01 (ORG 1), ktorý poskytuje oblasť obchodnej činnosti.</w:t>
            </w:r>
          </w:p>
        </w:tc>
      </w:tr>
      <w:tr w:rsidR="007A5804"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7A5804" w:rsidRDefault="007B7723">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7A5804" w:rsidRDefault="007B7723">
            <w:pPr>
              <w:pStyle w:val="P68B1DB1-TableParagraph14"/>
              <w:spacing w:before="108"/>
              <w:ind w:left="85"/>
              <w:jc w:val="both"/>
              <w:rPr>
                <w:bCs/>
              </w:rPr>
            </w:pPr>
            <w:r>
              <w:t xml:space="preserve">Kód </w:t>
            </w:r>
          </w:p>
          <w:p w14:paraId="7FE1C031" w14:textId="77777777" w:rsidR="007A5804" w:rsidRDefault="007B7723">
            <w:pPr>
              <w:pStyle w:val="P68B1DB1-TableParagraph17"/>
              <w:spacing w:before="108"/>
              <w:ind w:left="85"/>
            </w:pPr>
            <w:r>
              <w:t>Jedinečný identifikátor právnickej osoby v stĺpci 0020, vykazovaný vo vzore Z 01.01 (ORG 1).</w:t>
            </w:r>
          </w:p>
          <w:p w14:paraId="7FE1C032" w14:textId="299C7D7B" w:rsidR="007A5804" w:rsidRDefault="007B7723">
            <w:pPr>
              <w:pStyle w:val="P68B1DB1-TableParagraph17"/>
              <w:spacing w:before="108"/>
              <w:ind w:left="85"/>
            </w:pPr>
            <w:r>
              <w:t>Identifikácia subjektov sa vykonáva konzistentne vo všetkých vzoroch.</w:t>
            </w:r>
          </w:p>
        </w:tc>
      </w:tr>
      <w:tr w:rsidR="007A5804"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7A5804" w:rsidRDefault="007B7723">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7A5804" w:rsidRDefault="007B7723">
            <w:pPr>
              <w:pStyle w:val="P68B1DB1-TableParagraph14"/>
              <w:spacing w:before="108"/>
              <w:ind w:left="85"/>
              <w:jc w:val="both"/>
              <w:rPr>
                <w:bCs/>
              </w:rPr>
            </w:pPr>
            <w:r>
              <w:t>Druh kódu</w:t>
            </w:r>
          </w:p>
          <w:p w14:paraId="4F36B5CB" w14:textId="0A20F8AD" w:rsidR="007A5804" w:rsidRDefault="007B7723">
            <w:pPr>
              <w:pStyle w:val="P68B1DB1-TableParagraph13"/>
              <w:spacing w:before="108"/>
              <w:ind w:left="85"/>
              <w:jc w:val="both"/>
              <w:rPr>
                <w:bCs/>
              </w:rPr>
            </w:pPr>
            <w:r>
              <w:t>Vyberie sa z nasledujúcich možností: „Kód LEI“, „kód PFI“ alebo „Druh identifikátora iný ako LEI alebo kód PFI“.</w:t>
            </w:r>
          </w:p>
          <w:p w14:paraId="7FE1C039" w14:textId="5BB46896" w:rsidR="007A5804" w:rsidRDefault="007B7723">
            <w:pPr>
              <w:pStyle w:val="P68B1DB1-TableParagraph13"/>
              <w:spacing w:before="108"/>
              <w:ind w:left="85"/>
              <w:jc w:val="both"/>
              <w:rPr>
                <w:b/>
                <w:bCs/>
              </w:rPr>
            </w:pPr>
            <w:r>
              <w:t xml:space="preserve">Identifikácia subjektov sa vykonáva konzistentne vo všetkých vzoroch. </w:t>
            </w:r>
          </w:p>
        </w:tc>
      </w:tr>
    </w:tbl>
    <w:p w14:paraId="7FE1C03B" w14:textId="7E256DE6" w:rsidR="007A5804" w:rsidRDefault="007B7723">
      <w:pPr>
        <w:pStyle w:val="P68B1DB1-Instructionsberschrift25"/>
        <w:numPr>
          <w:ilvl w:val="1"/>
          <w:numId w:val="49"/>
        </w:numPr>
        <w:ind w:left="357" w:hanging="357"/>
      </w:pPr>
      <w:bookmarkStart w:id="124" w:name="_Toc208245256"/>
      <w:r>
        <w:t>R 07.04 – Priradenie ekonomických funkcií k hlavným oblastiam obchodnej činnosti (FUNC 4)</w:t>
      </w:r>
      <w:bookmarkEnd w:id="124"/>
    </w:p>
    <w:p w14:paraId="7FE1C03C" w14:textId="77777777" w:rsidR="007A5804" w:rsidRDefault="007B7723">
      <w:pPr>
        <w:pStyle w:val="P68B1DB1-Instructionsberschrift312"/>
        <w:rPr>
          <w:bCs/>
        </w:rPr>
      </w:pPr>
      <w:r>
        <w:t>Pokyny týkajúce sa konkrétnych pozícií</w:t>
      </w:r>
    </w:p>
    <w:p w14:paraId="7FE1C03E" w14:textId="1250AC76" w:rsidR="007A5804" w:rsidRDefault="007B7723">
      <w:pPr>
        <w:pStyle w:val="P68B1DB1-InstructionsText26"/>
        <w:numPr>
          <w:ilvl w:val="0"/>
          <w:numId w:val="0"/>
        </w:numPr>
        <w:spacing w:before="0"/>
        <w:ind w:left="1800"/>
      </w:pPr>
      <w:r>
        <w:t>Kombinácia hodnôt vykázaných v stĺpcoch 0010, 0020 a 0040 tohto vzoru tvorí primárny kľúč, ktorý musí byť jedinečný pre každý riadok vzoru.</w:t>
      </w:r>
    </w:p>
    <w:p w14:paraId="67939923" w14:textId="5A2745A8" w:rsidR="007A5804" w:rsidRDefault="007B7723">
      <w:pPr>
        <w:pStyle w:val="CommentText"/>
        <w:rPr>
          <w:rFonts w:ascii="Times New Roman" w:hAnsi="Times New Roman" w:cs="Times New Roman"/>
        </w:rPr>
      </w:pPr>
      <w:r>
        <w:rPr>
          <w:rFonts w:ascii="Times New Roman" w:hAnsi="Times New Roman" w:cs="Times New Roman"/>
        </w:rPr>
        <w:t>Len kritické funkcie, ako sú identifikované v</w:t>
      </w:r>
      <w:r>
        <w:rPr>
          <w:i/>
        </w:rPr>
        <w:t xml:space="preserve"> s. 07.01.1 FUNC 1 DEP; c0170; Z 07.01.2 FUNC 1 LEN, c0180; Z 07.01.3 FUNC 1 PAY, c0250; Z 07.01.4 FUNC 1 CM, c0210; V tomto vzore sa vykazuje z </w:t>
      </w:r>
      <w:r>
        <w:rPr>
          <w:rFonts w:ascii="Times New Roman" w:hAnsi="Times New Roman" w:cs="Times New Roman"/>
        </w:rPr>
        <w:t>07.01.5 FUNC 1 WF, c0180, s.</w:t>
      </w:r>
    </w:p>
    <w:p w14:paraId="7FE1C040" w14:textId="77777777" w:rsidR="007A5804" w:rsidRDefault="007A5804">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7A5804"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7A5804" w:rsidRDefault="007B7723">
            <w:pPr>
              <w:pStyle w:val="P68B1DB1-TableParagraph17"/>
              <w:spacing w:before="108"/>
              <w:ind w:left="85"/>
              <w:jc w:val="both"/>
            </w:pPr>
            <w:r>
              <w:t>Stĺpce</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7A5804" w:rsidRDefault="007B7723">
            <w:pPr>
              <w:pStyle w:val="P68B1DB1-TableParagraph17"/>
              <w:spacing w:before="108"/>
              <w:ind w:left="85" w:right="1"/>
              <w:jc w:val="both"/>
            </w:pPr>
            <w:r>
              <w:t>Pokyny</w:t>
            </w:r>
          </w:p>
        </w:tc>
      </w:tr>
      <w:tr w:rsidR="007A5804"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7A5804" w:rsidRDefault="007B7723">
            <w:pPr>
              <w:pStyle w:val="P68B1DB1-TableParagraph13"/>
              <w:spacing w:before="108"/>
              <w:ind w:left="85"/>
            </w:pPr>
            <w:r>
              <w:t xml:space="preserve">0010 – 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7A5804" w:rsidRDefault="007B7723">
            <w:pPr>
              <w:pStyle w:val="P68B1DB1-TableParagraph14"/>
              <w:spacing w:before="108"/>
              <w:ind w:left="85"/>
              <w:jc w:val="both"/>
              <w:rPr>
                <w:bCs/>
              </w:rPr>
            </w:pPr>
            <w:r>
              <w:t xml:space="preserve"> Zásadná funkcia</w:t>
            </w:r>
          </w:p>
        </w:tc>
      </w:tr>
      <w:tr w:rsidR="007A5804"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7A5804" w:rsidRDefault="007B7723">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7A5804" w:rsidRDefault="007B7723">
            <w:pPr>
              <w:pStyle w:val="P68B1DB1-TableParagraph14"/>
              <w:spacing w:before="108"/>
              <w:ind w:left="85"/>
              <w:jc w:val="both"/>
              <w:rPr>
                <w:bCs/>
              </w:rPr>
            </w:pPr>
            <w:r>
              <w:t>Krajina</w:t>
            </w:r>
          </w:p>
          <w:p w14:paraId="7FE1C049" w14:textId="77777777" w:rsidR="007A5804" w:rsidRDefault="007B7723">
            <w:pPr>
              <w:pStyle w:val="P68B1DB1-TableParagraph17"/>
              <w:spacing w:before="108"/>
              <w:ind w:left="85"/>
            </w:pPr>
            <w:r>
              <w:t>Štát, pre ktorý je funkcia zásadná, vykázaný v Z 07.01 (FUNC 1)</w:t>
            </w:r>
          </w:p>
        </w:tc>
      </w:tr>
      <w:tr w:rsidR="007A5804"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7A5804" w:rsidRDefault="007B7723">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7A5804" w:rsidRDefault="007B7723">
            <w:pPr>
              <w:pStyle w:val="P68B1DB1-TableParagraph14"/>
              <w:spacing w:before="108"/>
              <w:ind w:left="85"/>
              <w:jc w:val="both"/>
              <w:rPr>
                <w:bCs/>
              </w:rPr>
            </w:pPr>
            <w:r>
              <w:t>IDENTIFIKÁCIA</w:t>
            </w:r>
          </w:p>
          <w:p w14:paraId="7FE1C04D" w14:textId="4D9D2A77" w:rsidR="007A5804" w:rsidRDefault="007B7723">
            <w:pPr>
              <w:pStyle w:val="P68B1DB1-TableParagraph17"/>
              <w:spacing w:before="108"/>
              <w:ind w:left="85"/>
            </w:pPr>
            <w:r>
              <w:t>Identifikácia zásadných funkcií uvedených vo vzore Z 07.01 (FUNC 1)</w:t>
            </w:r>
          </w:p>
        </w:tc>
      </w:tr>
      <w:tr w:rsidR="007A5804"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7A5804" w:rsidRDefault="007B7723">
            <w:pPr>
              <w:pStyle w:val="P68B1DB1-TableParagraph13"/>
              <w:spacing w:before="108"/>
              <w:ind w:left="85"/>
            </w:pPr>
            <w:r>
              <w:t xml:space="preserve">0030 – 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7A5804" w:rsidRDefault="007B7723">
            <w:pPr>
              <w:pStyle w:val="P68B1DB1-TableParagraph14"/>
              <w:spacing w:before="108"/>
              <w:ind w:left="85"/>
              <w:jc w:val="both"/>
              <w:rPr>
                <w:bCs/>
              </w:rPr>
            </w:pPr>
            <w:r>
              <w:t>Hlavná oblasť obchodnej činnosti</w:t>
            </w:r>
          </w:p>
        </w:tc>
      </w:tr>
      <w:tr w:rsidR="007A5804"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7A5804" w:rsidRDefault="007B7723">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7A5804" w:rsidRDefault="007B7723">
            <w:pPr>
              <w:pStyle w:val="P68B1DB1-TableParagraph14"/>
              <w:spacing w:before="108"/>
              <w:ind w:left="85"/>
              <w:jc w:val="both"/>
              <w:rPr>
                <w:bCs/>
              </w:rPr>
            </w:pPr>
            <w:r>
              <w:t>Hlavná oblasť obchodnej činnosti</w:t>
            </w:r>
          </w:p>
          <w:p w14:paraId="7FE1C056" w14:textId="77777777" w:rsidR="007A5804" w:rsidRDefault="007B7723">
            <w:pPr>
              <w:pStyle w:val="P68B1DB1-TableParagraph17"/>
              <w:spacing w:before="108"/>
              <w:ind w:left="85"/>
            </w:pPr>
            <w:r>
              <w:t>Hlavná oblasť obchodnej činnosti v zmysle článku 2 ods. 1 bodu 36 a článku 2 ods. 2 smernice 2014/59/EÚ vykázaná v Z 07.03 (FUNC 3).</w:t>
            </w:r>
          </w:p>
        </w:tc>
      </w:tr>
      <w:tr w:rsidR="007A5804"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7A5804" w:rsidRDefault="007B7723">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7A5804" w:rsidRDefault="007B7723">
            <w:pPr>
              <w:pStyle w:val="P68B1DB1-TableParagraph14"/>
              <w:spacing w:before="108"/>
              <w:ind w:left="85"/>
              <w:jc w:val="both"/>
              <w:rPr>
                <w:bCs/>
              </w:rPr>
            </w:pPr>
            <w:r>
              <w:t>Obchodná línia: ID oblasti obchodnej činnosti</w:t>
            </w:r>
          </w:p>
          <w:p w14:paraId="7FE1C05A" w14:textId="77777777" w:rsidR="007A5804" w:rsidRDefault="007B7723">
            <w:pPr>
              <w:pStyle w:val="P68B1DB1-TableParagraph17"/>
              <w:spacing w:before="108"/>
              <w:ind w:left="85"/>
            </w:pPr>
            <w:r>
              <w:t>Jedinečná identifikácia obchodnej činnosti poskytnutá inštitúciou; rovnaký ID, ako sa vykazuje vo vzore Z 07.03 (FUNC 3).</w:t>
            </w:r>
          </w:p>
        </w:tc>
      </w:tr>
    </w:tbl>
    <w:p w14:paraId="7FE1C222" w14:textId="77777777" w:rsidR="007A5804" w:rsidRDefault="007A5804">
      <w:pPr>
        <w:rPr>
          <w:rFonts w:ascii="Times New Roman" w:hAnsi="Times New Roman" w:cs="Times New Roman"/>
          <w:b/>
          <w:color w:val="000000" w:themeColor="text1"/>
          <w:sz w:val="20"/>
          <w:szCs w:val="20"/>
          <w:u w:val="single"/>
        </w:rPr>
      </w:pPr>
    </w:p>
    <w:p w14:paraId="7FE1C223" w14:textId="77777777" w:rsidR="007A5804" w:rsidRDefault="007B7723">
      <w:pPr>
        <w:pStyle w:val="P68B1DB1-Instructionsberschrift244"/>
        <w:numPr>
          <w:ilvl w:val="1"/>
          <w:numId w:val="49"/>
        </w:numPr>
        <w:ind w:left="357" w:hanging="357"/>
      </w:pPr>
      <w:bookmarkStart w:id="125" w:name="_Toc208245257"/>
      <w:r>
        <w:lastRenderedPageBreak/>
        <w:t>Príslušné služby</w:t>
      </w:r>
      <w:bookmarkEnd w:id="125"/>
    </w:p>
    <w:p w14:paraId="7FE1C224" w14:textId="70045BAA" w:rsidR="007A5804" w:rsidRDefault="007B7723">
      <w:pPr>
        <w:pStyle w:val="P68B1DB1-Instructionsberschrift25"/>
        <w:numPr>
          <w:ilvl w:val="1"/>
          <w:numId w:val="49"/>
        </w:numPr>
        <w:ind w:left="357" w:hanging="357"/>
        <w:rPr>
          <w:rFonts w:eastAsia="Calibri"/>
        </w:rPr>
      </w:pPr>
      <w:bookmarkStart w:id="126" w:name="_Toc208245258"/>
      <w:r>
        <w:t>Z 08.01 – Relevantné služby (SERV 1)</w:t>
      </w:r>
      <w:bookmarkEnd w:id="126"/>
      <w:r>
        <w:t xml:space="preserve"> </w:t>
      </w:r>
    </w:p>
    <w:p w14:paraId="7FE1C225" w14:textId="77777777" w:rsidR="007A5804" w:rsidRDefault="007B7723">
      <w:pPr>
        <w:pStyle w:val="P68B1DB1-Normal45"/>
        <w:spacing w:line="276" w:lineRule="auto"/>
        <w:jc w:val="both"/>
      </w:pPr>
      <w:r>
        <w:t>II.8.1 Všeobecné pokyny</w:t>
      </w:r>
    </w:p>
    <w:p w14:paraId="7FE1C226" w14:textId="77777777" w:rsidR="007A5804" w:rsidRDefault="007A5804">
      <w:pPr>
        <w:spacing w:line="276" w:lineRule="auto"/>
        <w:jc w:val="both"/>
        <w:rPr>
          <w:rFonts w:ascii="Times New Roman" w:eastAsia="Calibri" w:hAnsi="Times New Roman" w:cs="Times New Roman"/>
          <w:sz w:val="20"/>
        </w:rPr>
      </w:pPr>
    </w:p>
    <w:p w14:paraId="7FE1C228" w14:textId="765604DB" w:rsidR="007A5804" w:rsidRDefault="007B7723">
      <w:pPr>
        <w:pStyle w:val="P68B1DB1-Instructionsberschrift346"/>
        <w:numPr>
          <w:ilvl w:val="4"/>
          <w:numId w:val="49"/>
        </w:numPr>
        <w:ind w:left="928"/>
        <w:contextualSpacing/>
        <w:jc w:val="both"/>
        <w:rPr>
          <w:color w:val="auto"/>
        </w:rPr>
      </w:pPr>
      <w:r>
        <w:t xml:space="preserve">Informácie, ktoré sa majú zahrnúť do tohto vzoru, sa vykazujú raz za celú skupinu, obsahujú zoznam </w:t>
      </w:r>
      <w:r>
        <w:rPr>
          <w:color w:val="auto"/>
        </w:rPr>
        <w:t xml:space="preserve">relevantných </w:t>
      </w:r>
      <w:r>
        <w:t xml:space="preserve">služieb prijatých ktorýmkoľvek subjektom skupiny a spájajú ich so zásadnými funkciami </w:t>
      </w:r>
      <w:r>
        <w:rPr>
          <w:color w:val="auto"/>
        </w:rPr>
        <w:t xml:space="preserve">a hlavnými podnikateľskými liniami poskytovanými  </w:t>
      </w:r>
      <w:r>
        <w:t>skupinou.</w:t>
      </w:r>
    </w:p>
    <w:p w14:paraId="7FE1C229" w14:textId="77777777" w:rsidR="007A5804" w:rsidRDefault="007B7723">
      <w:pPr>
        <w:pStyle w:val="Instructionsberschrift3"/>
        <w:ind w:left="928"/>
        <w:contextualSpacing/>
        <w:jc w:val="both"/>
        <w:rPr>
          <w:rFonts w:eastAsia="MS Mincho"/>
          <w:color w:val="auto"/>
          <w:u w:val="none"/>
        </w:rPr>
      </w:pPr>
      <w:r>
        <w:rPr>
          <w:rFonts w:eastAsia="Calibri"/>
          <w:b/>
          <w:color w:val="auto"/>
          <w:u w:val="none"/>
        </w:rPr>
        <w:t>Príslušné služby</w:t>
      </w:r>
      <w:r>
        <w:rPr>
          <w:rStyle w:val="FootnoteReference"/>
          <w:rFonts w:ascii="Times New Roman" w:eastAsia="Calibri" w:hAnsi="Times New Roman"/>
          <w:color w:val="auto"/>
          <w:sz w:val="20"/>
          <w:szCs w:val="20"/>
          <w:u w:val="none"/>
        </w:rPr>
        <w:footnoteReference w:id="22"/>
      </w:r>
      <w:r>
        <w:rPr>
          <w:rFonts w:eastAsia="Calibri"/>
          <w:color w:val="auto"/>
          <w:u w:val="none"/>
        </w:rPr>
        <w:t>: kritické a základné služby</w:t>
      </w:r>
    </w:p>
    <w:p w14:paraId="7FE1C22A" w14:textId="77777777" w:rsidR="007A5804" w:rsidRDefault="007B7723">
      <w:pPr>
        <w:pStyle w:val="P68B1DB1-Instructionsberschrift347"/>
        <w:ind w:left="928"/>
        <w:contextualSpacing/>
        <w:jc w:val="both"/>
        <w:rPr>
          <w:rFonts w:eastAsia="MS Mincho"/>
        </w:rPr>
      </w:pPr>
      <w:r>
        <w:rPr>
          <w:rFonts w:eastAsia="Calibri"/>
          <w:b/>
        </w:rPr>
        <w:t>Kritické služby</w:t>
      </w:r>
      <w:r>
        <w:footnoteReference w:id="23"/>
      </w:r>
      <w:r>
        <w:t>: služby, ktoré sa poskytujú obchodným jednotkám alebo subjektom skupiny i) ktorých diskontinuita by vážne bránila alebo bránila výkonu jednej alebo viacerých zásadných funkcií; a ii) ktoré nemôže poskytnúť iný poskytovateľ v primeranom časovom rámci v porovnateľnom rozsahu, pokiaľ ide o jeho predmet, kvalitu a náklady.</w:t>
      </w:r>
    </w:p>
    <w:p w14:paraId="7FE1C22B" w14:textId="77777777" w:rsidR="007A5804" w:rsidRDefault="007B7723">
      <w:pPr>
        <w:pStyle w:val="Instructionsberschrift3"/>
        <w:ind w:left="928"/>
        <w:contextualSpacing/>
        <w:jc w:val="both"/>
        <w:rPr>
          <w:rFonts w:eastAsia="MS Mincho"/>
          <w:color w:val="auto"/>
          <w:u w:val="none"/>
        </w:rPr>
      </w:pPr>
      <w:r>
        <w:rPr>
          <w:b/>
          <w:u w:val="none"/>
        </w:rPr>
        <w:t>Základné služby</w:t>
      </w:r>
      <w:r>
        <w:rPr>
          <w:u w:val="none"/>
        </w:rPr>
        <w:t>: Služby spojené s hlavnými oblasťami obchodnej činnosti</w:t>
      </w:r>
      <w:r>
        <w:rPr>
          <w:u w:val="none"/>
        </w:rPr>
        <w:footnoteReference w:id="24"/>
      </w:r>
      <w:r>
        <w:rPr>
          <w:u w:val="none"/>
        </w:rPr>
        <w:t>, ktorých kontinuita je potrebná na účinné vykonávanie stratégie riešenia krízových situácií a akúkoľvek následnú reštrukturalizáciu i) ktorých prerušenie by vážne bránilo alebo bránilo výkonnosti týchto hlavných oblastí obchodnej činnosti; a ii) ktoré nemôže poskytnúť iný poskytovateľ v primeranom časovom rámci v porovnateľnom rozsahu, pokiaľ ide o jeho predmet, kvalitu a náklady.</w:t>
      </w:r>
      <w:r>
        <w:rPr>
          <w:rStyle w:val="FootnoteReference"/>
          <w:rFonts w:ascii="Times New Roman" w:eastAsia="Calibri" w:hAnsi="Times New Roman"/>
          <w:color w:val="auto"/>
          <w:sz w:val="20"/>
          <w:szCs w:val="20"/>
          <w:u w:val="none"/>
        </w:rPr>
        <w:footnoteReference w:id="25"/>
      </w:r>
    </w:p>
    <w:p w14:paraId="7FE1C22C" w14:textId="5D0544C9" w:rsidR="007A5804" w:rsidRDefault="007B7723">
      <w:pPr>
        <w:pStyle w:val="P68B1DB1-Instructionsberschrift348"/>
        <w:numPr>
          <w:ilvl w:val="4"/>
          <w:numId w:val="49"/>
        </w:numPr>
        <w:ind w:left="928"/>
        <w:contextualSpacing/>
        <w:jc w:val="both"/>
        <w:rPr>
          <w:color w:val="auto"/>
        </w:rPr>
      </w:pPr>
      <w:r>
        <w:rPr>
          <w:color w:val="auto"/>
        </w:rPr>
        <w:t xml:space="preserve">Podľa odôvodnenia 8 delegovaného nariadenia Komisie (EÚ) 2016/778 týkajúceho sa kritických služieb a v ňom, ktoré sa analogicky uplatňuje na pokrytie základných služieb vymedzených vyššie, príslušné </w:t>
      </w:r>
      <w:r>
        <w:t xml:space="preserve">služby sú podkladové operácie, činnosti a služby vykonávané pre jednu (špecializované služby) alebo pre viac obchodných útvarov alebo právnych subjektov (zdieľané služby) v rámci skupiny, ktoré sú potrebné na poskytovanie jednej alebo viacerých kritických funkcií </w:t>
      </w:r>
      <w:r>
        <w:rPr>
          <w:color w:val="auto"/>
        </w:rPr>
        <w:t xml:space="preserve">alebo hlavných oblastí obchodnej činnosti. Príslušné </w:t>
      </w:r>
      <w:r>
        <w:t xml:space="preserve">služby môže poskytovať </w:t>
      </w:r>
      <w:r>
        <w:rPr>
          <w:color w:val="auto"/>
        </w:rPr>
        <w:t xml:space="preserve">jeden obchodný útvar inému obchodnému útvaru tej istej právnickej osoby (služby v rámci subjektu), </w:t>
      </w:r>
      <w:r>
        <w:t>subjekty v rámci skupiny (</w:t>
      </w:r>
      <w:r>
        <w:rPr>
          <w:color w:val="auto"/>
        </w:rPr>
        <w:t xml:space="preserve">vnútroskupinová </w:t>
      </w:r>
      <w:r>
        <w:t>služba) alebo</w:t>
      </w:r>
      <w:r>
        <w:rPr>
          <w:color w:val="auto"/>
        </w:rPr>
        <w:t>môžu</w:t>
      </w:r>
      <w:r>
        <w:t xml:space="preserve"> byť externe zabezpečované externým poskytovateľom (externá služba).</w:t>
      </w:r>
    </w:p>
    <w:p w14:paraId="7FE1C22D" w14:textId="2E2CBD58" w:rsidR="007A5804" w:rsidRDefault="007B7723">
      <w:pPr>
        <w:pStyle w:val="P68B1DB1-Instructionsberschrift310"/>
        <w:numPr>
          <w:ilvl w:val="4"/>
          <w:numId w:val="49"/>
        </w:numPr>
        <w:ind w:left="928"/>
        <w:contextualSpacing/>
        <w:jc w:val="both"/>
        <w:rPr>
          <w:rFonts w:eastAsia="MS Mincho"/>
          <w:color w:val="auto"/>
        </w:rPr>
      </w:pPr>
      <w:r>
        <w:rPr>
          <w:rFonts w:eastAsia="MS Mincho"/>
        </w:rPr>
        <w:t>Nie všetky polia sa vzťahujú na všetky druhy služieb (zvýraznené v nižšie uvedených pokynoch). V takom prípade uveďte „NOT APPLICABLE“ v príslušnej bunke.</w:t>
      </w:r>
      <w:r>
        <w:t xml:space="preserve"> </w:t>
      </w:r>
    </w:p>
    <w:p w14:paraId="7FE1C22E" w14:textId="0568A925" w:rsidR="007A5804" w:rsidRDefault="007B7723">
      <w:pPr>
        <w:pStyle w:val="P68B1DB1-Instructionsberschrift346"/>
        <w:numPr>
          <w:ilvl w:val="4"/>
          <w:numId w:val="49"/>
        </w:numPr>
        <w:ind w:left="928"/>
        <w:contextualSpacing/>
        <w:jc w:val="both"/>
        <w:rPr>
          <w:color w:val="auto"/>
        </w:rPr>
      </w:pPr>
      <w:r>
        <w:t xml:space="preserve">Kombinácia hodnôt vykázaných v stĺpcoch 0010, </w:t>
      </w:r>
      <w:r>
        <w:rPr>
          <w:color w:val="auto"/>
        </w:rPr>
        <w:t>0020</w:t>
      </w:r>
      <w:r>
        <w:t xml:space="preserve">, </w:t>
      </w:r>
      <w:r>
        <w:rPr>
          <w:color w:val="auto"/>
        </w:rPr>
        <w:t>0040,</w:t>
      </w:r>
      <w:r>
        <w:t xml:space="preserve"> </w:t>
      </w:r>
      <w:r>
        <w:rPr>
          <w:color w:val="auto"/>
        </w:rPr>
        <w:t>0060 a 0130 tohto</w:t>
      </w:r>
      <w:r>
        <w:t xml:space="preserve"> vzoru tvorí primárny kľúč, ktorý musí byť jedinečný pre každý riadok vzoru.</w:t>
      </w:r>
    </w:p>
    <w:p w14:paraId="7FE1C22F" w14:textId="77777777" w:rsidR="007A5804" w:rsidRDefault="007A5804">
      <w:pPr>
        <w:pStyle w:val="Instructionsberschrift3"/>
        <w:numPr>
          <w:ilvl w:val="0"/>
          <w:numId w:val="0"/>
        </w:numPr>
        <w:ind w:left="720"/>
      </w:pPr>
    </w:p>
    <w:p w14:paraId="7FE1C230" w14:textId="77777777" w:rsidR="007A5804" w:rsidRDefault="007B7723">
      <w:pPr>
        <w:pStyle w:val="P68B1DB1-Instructionsberschrift312"/>
        <w:rPr>
          <w:bCs/>
        </w:rPr>
      </w:pPr>
      <w:r>
        <w:t>Pokyny týkajúce sa konkrétnych pozícií</w:t>
      </w:r>
    </w:p>
    <w:p w14:paraId="7FE1C23F" w14:textId="77777777" w:rsidR="007A5804" w:rsidRDefault="007A5804">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7A5804" w14:paraId="7FE1C242" w14:textId="77777777">
        <w:trPr>
          <w:trHeight w:val="808"/>
          <w:tblHeader/>
        </w:trPr>
        <w:tc>
          <w:tcPr>
            <w:tcW w:w="1129" w:type="dxa"/>
            <w:shd w:val="clear" w:color="auto" w:fill="E7E6E6"/>
          </w:tcPr>
          <w:p w14:paraId="7FE1C240" w14:textId="77777777" w:rsidR="007A5804" w:rsidRDefault="007B7723">
            <w:pPr>
              <w:pStyle w:val="P68B1DB1-Normal49"/>
              <w:spacing w:before="120" w:after="120" w:line="276" w:lineRule="auto"/>
            </w:pPr>
            <w:r>
              <w:lastRenderedPageBreak/>
              <w:t>Stĺpce</w:t>
            </w:r>
          </w:p>
        </w:tc>
        <w:tc>
          <w:tcPr>
            <w:tcW w:w="7938" w:type="dxa"/>
            <w:shd w:val="clear" w:color="auto" w:fill="E7E6E6"/>
          </w:tcPr>
          <w:p w14:paraId="7FE1C241" w14:textId="77777777" w:rsidR="007A5804" w:rsidRDefault="007B7723">
            <w:pPr>
              <w:pStyle w:val="P68B1DB1-Normal49"/>
              <w:spacing w:before="120" w:after="120" w:line="276" w:lineRule="auto"/>
            </w:pPr>
            <w:r>
              <w:t>Pokyny</w:t>
            </w:r>
          </w:p>
        </w:tc>
      </w:tr>
      <w:tr w:rsidR="007A5804" w14:paraId="7FE1C247" w14:textId="77777777">
        <w:trPr>
          <w:trHeight w:val="450"/>
        </w:trPr>
        <w:tc>
          <w:tcPr>
            <w:tcW w:w="1129" w:type="dxa"/>
            <w:shd w:val="clear" w:color="auto" w:fill="FFFFFF" w:themeFill="background1"/>
          </w:tcPr>
          <w:p w14:paraId="7FE1C243" w14:textId="77777777" w:rsidR="007A5804" w:rsidRDefault="007B7723">
            <w:pPr>
              <w:pStyle w:val="P68B1DB1-Normal50"/>
              <w:spacing w:before="120" w:after="120" w:line="276" w:lineRule="auto"/>
            </w:pPr>
            <w:r>
              <w:t>0005</w:t>
            </w:r>
          </w:p>
        </w:tc>
        <w:tc>
          <w:tcPr>
            <w:tcW w:w="7938" w:type="dxa"/>
            <w:shd w:val="clear" w:color="auto" w:fill="FFFFFF" w:themeFill="background1"/>
          </w:tcPr>
          <w:p w14:paraId="7FE1C244" w14:textId="77777777" w:rsidR="007A5804" w:rsidRDefault="007B7723">
            <w:pPr>
              <w:pStyle w:val="P68B1DB1-Normal49"/>
              <w:spacing w:before="120" w:after="120" w:line="276" w:lineRule="auto"/>
              <w:rPr>
                <w:bCs/>
              </w:rPr>
            </w:pPr>
            <w:r>
              <w:t>Service Identifier (identifikátor služby)</w:t>
            </w:r>
          </w:p>
          <w:p w14:paraId="7FE1C245" w14:textId="77777777" w:rsidR="007A5804" w:rsidRDefault="007B7723">
            <w:pPr>
              <w:pStyle w:val="P68B1DB1-Normal50"/>
              <w:spacing w:before="120" w:after="120" w:line="276" w:lineRule="auto"/>
              <w:rPr>
                <w:iCs/>
              </w:rPr>
            </w:pPr>
            <w:r>
              <w:t>Identifikátor služby sa vzťahuje na službu vykázanú v položke c0020.</w:t>
            </w:r>
          </w:p>
          <w:p w14:paraId="7FE1C246" w14:textId="77777777" w:rsidR="007A5804" w:rsidRDefault="007B7723">
            <w:pPr>
              <w:pStyle w:val="P68B1DB1-Normal51"/>
              <w:spacing w:before="120" w:after="120" w:line="276" w:lineRule="auto"/>
            </w:pPr>
            <w:r>
              <w:t>Obrázok alebo voľný text</w:t>
            </w:r>
          </w:p>
        </w:tc>
      </w:tr>
      <w:tr w:rsidR="007A5804" w14:paraId="7FE1C28C" w14:textId="77777777">
        <w:trPr>
          <w:trHeight w:val="463"/>
        </w:trPr>
        <w:tc>
          <w:tcPr>
            <w:tcW w:w="1129" w:type="dxa"/>
            <w:shd w:val="clear" w:color="auto" w:fill="FFFFFF" w:themeFill="background1"/>
          </w:tcPr>
          <w:p w14:paraId="7FE1C248" w14:textId="77777777" w:rsidR="007A5804" w:rsidRDefault="007B7723">
            <w:pPr>
              <w:pStyle w:val="P68B1DB1-Normal50"/>
              <w:spacing w:before="120" w:after="120" w:line="276" w:lineRule="auto"/>
            </w:pPr>
            <w:r>
              <w:t>0010</w:t>
            </w:r>
          </w:p>
        </w:tc>
        <w:tc>
          <w:tcPr>
            <w:tcW w:w="7938" w:type="dxa"/>
            <w:shd w:val="clear" w:color="auto" w:fill="FFFFFF" w:themeFill="background1"/>
          </w:tcPr>
          <w:p w14:paraId="7FE1C249" w14:textId="77777777" w:rsidR="007A5804" w:rsidRDefault="007B7723">
            <w:pPr>
              <w:pStyle w:val="P68B1DB1-Normal49"/>
              <w:autoSpaceDE w:val="0"/>
              <w:autoSpaceDN w:val="0"/>
              <w:adjustRightInd w:val="0"/>
              <w:rPr>
                <w:rFonts w:eastAsia="MS Mincho"/>
                <w:bCs/>
              </w:rPr>
            </w:pPr>
            <w:r>
              <w:t>Druh služby</w:t>
            </w:r>
          </w:p>
          <w:p w14:paraId="7FE1C24A" w14:textId="77777777" w:rsidR="007A5804" w:rsidRDefault="007B7723">
            <w:pPr>
              <w:pStyle w:val="P68B1DB1-Normal52"/>
              <w:autoSpaceDE w:val="0"/>
              <w:autoSpaceDN w:val="0"/>
              <w:adjustRightInd w:val="0"/>
            </w:pPr>
            <w:r>
              <w:t xml:space="preserve">Druh služby je jeden z druhov služieb uvedených nižšie. </w:t>
            </w:r>
          </w:p>
          <w:p w14:paraId="7FE1C24B" w14:textId="77777777" w:rsidR="007A5804" w:rsidRDefault="007B7723">
            <w:pPr>
              <w:pStyle w:val="P68B1DB1-Normal50"/>
              <w:spacing w:before="120" w:after="120" w:line="276" w:lineRule="auto"/>
            </w:pPr>
            <w:r>
              <w:t xml:space="preserve">Vykazuje sa podľa možnosti podkategória (dvojmiestny identifikačný kód). Ak neexistuje žiadna podkategória alebo žiadna podkategória riadne neopisuje služby poskytované inštitúciou, uvádza sa hlavná kategória (jednomiestny identifikačný kód). </w:t>
            </w:r>
          </w:p>
          <w:p w14:paraId="5B37DFFD" w14:textId="2C2BBAE4" w:rsidR="007A5804" w:rsidRDefault="007B7723">
            <w:pPr>
              <w:pStyle w:val="P68B1DB1-Normal52"/>
            </w:pPr>
            <w:r>
              <w:t xml:space="preserve">Podpora ľudských zdrojov </w:t>
            </w:r>
          </w:p>
          <w:p w14:paraId="7DD533D5" w14:textId="73E47A6F" w:rsidR="007A5804" w:rsidRDefault="007B7723">
            <w:pPr>
              <w:pStyle w:val="P68B1DB1-ListParagraph53"/>
              <w:numPr>
                <w:ilvl w:val="0"/>
                <w:numId w:val="288"/>
              </w:numPr>
              <w:autoSpaceDE w:val="0"/>
              <w:autoSpaceDN w:val="0"/>
              <w:adjustRightInd w:val="0"/>
              <w:ind w:left="1165"/>
            </w:pPr>
            <w:r>
              <w:t xml:space="preserve">správa zamestnancov vrátane správy zmlúv a odmeňovania </w:t>
            </w:r>
          </w:p>
          <w:p w14:paraId="43AF548E" w14:textId="675245F6" w:rsidR="007A5804" w:rsidRDefault="007B7723">
            <w:pPr>
              <w:pStyle w:val="P68B1DB1-ListParagraph53"/>
              <w:numPr>
                <w:ilvl w:val="0"/>
                <w:numId w:val="288"/>
              </w:numPr>
              <w:autoSpaceDE w:val="0"/>
              <w:autoSpaceDN w:val="0"/>
              <w:adjustRightInd w:val="0"/>
              <w:ind w:left="1165"/>
            </w:pPr>
            <w:r>
              <w:t>vnútorná komunikácia</w:t>
            </w:r>
          </w:p>
          <w:p w14:paraId="7FE1C250" w14:textId="1F903A05" w:rsidR="007A5804" w:rsidRDefault="007B7723">
            <w:pPr>
              <w:pStyle w:val="P68B1DB1-ListParagraph53"/>
              <w:numPr>
                <w:ilvl w:val="0"/>
                <w:numId w:val="288"/>
              </w:numPr>
              <w:autoSpaceDE w:val="0"/>
              <w:autoSpaceDN w:val="0"/>
              <w:adjustRightInd w:val="0"/>
              <w:ind w:left="1165"/>
            </w:pPr>
            <w:r>
              <w:t>iný typ služby na podporu ľudských zdrojov</w:t>
            </w:r>
          </w:p>
          <w:p w14:paraId="7FE1C251" w14:textId="77777777" w:rsidR="007A5804" w:rsidRDefault="007A5804">
            <w:pPr>
              <w:autoSpaceDE w:val="0"/>
              <w:autoSpaceDN w:val="0"/>
              <w:adjustRightInd w:val="0"/>
              <w:ind w:left="708"/>
              <w:rPr>
                <w:rFonts w:ascii="Times New Roman" w:eastAsia="MS Mincho" w:hAnsi="Times New Roman" w:cs="Times New Roman"/>
                <w:sz w:val="20"/>
                <w:szCs w:val="20"/>
              </w:rPr>
            </w:pPr>
          </w:p>
          <w:p w14:paraId="7FE1C252" w14:textId="7A6979E5" w:rsidR="007A5804" w:rsidRDefault="007B7723">
            <w:pPr>
              <w:pStyle w:val="P68B1DB1-Normal52"/>
              <w:autoSpaceDE w:val="0"/>
              <w:autoSpaceDN w:val="0"/>
              <w:adjustRightInd w:val="0"/>
            </w:pPr>
            <w:r>
              <w:t xml:space="preserve"> Informačné technológie </w:t>
            </w:r>
          </w:p>
          <w:p w14:paraId="7FE1C253" w14:textId="3B762F9E" w:rsidR="007A5804" w:rsidRDefault="007B7723">
            <w:pPr>
              <w:pStyle w:val="P68B1DB1-ListParagraph53"/>
              <w:numPr>
                <w:ilvl w:val="1"/>
                <w:numId w:val="290"/>
              </w:numPr>
              <w:autoSpaceDE w:val="0"/>
              <w:autoSpaceDN w:val="0"/>
              <w:adjustRightInd w:val="0"/>
              <w:ind w:left="1449"/>
            </w:pPr>
            <w:r>
              <w:t xml:space="preserve">Informačné technológie a komunikačný hardvér </w:t>
            </w:r>
          </w:p>
          <w:p w14:paraId="7FE1C254" w14:textId="400D89C1" w:rsidR="007A5804" w:rsidRDefault="007B7723">
            <w:pPr>
              <w:pStyle w:val="P68B1DB1-ListParagraph53"/>
              <w:numPr>
                <w:ilvl w:val="1"/>
                <w:numId w:val="290"/>
              </w:numPr>
              <w:autoSpaceDE w:val="0"/>
              <w:autoSpaceDN w:val="0"/>
              <w:adjustRightInd w:val="0"/>
              <w:ind w:left="1449"/>
            </w:pPr>
            <w:r>
              <w:t xml:space="preserve">uchovávanie a spracúvanie údajov </w:t>
            </w:r>
          </w:p>
          <w:p w14:paraId="7FE1C255" w14:textId="626A8448" w:rsidR="007A5804" w:rsidRDefault="007B7723">
            <w:pPr>
              <w:pStyle w:val="P68B1DB1-ListParagraph53"/>
              <w:numPr>
                <w:ilvl w:val="1"/>
                <w:numId w:val="290"/>
              </w:numPr>
              <w:autoSpaceDE w:val="0"/>
              <w:autoSpaceDN w:val="0"/>
              <w:adjustRightInd w:val="0"/>
              <w:ind w:left="1449"/>
            </w:pPr>
            <w:r>
              <w:t xml:space="preserve">iná infraštruktúra informačných technológií, pracovné stanice, telekomunikácie, servery, dátové centrá a súvisiace služby </w:t>
            </w:r>
          </w:p>
          <w:p w14:paraId="7FE1C256" w14:textId="2B61AFD3" w:rsidR="007A5804" w:rsidRDefault="007B7723">
            <w:pPr>
              <w:pStyle w:val="P68B1DB1-ListParagraph53"/>
              <w:numPr>
                <w:ilvl w:val="1"/>
                <w:numId w:val="290"/>
              </w:numPr>
              <w:autoSpaceDE w:val="0"/>
              <w:autoSpaceDN w:val="0"/>
              <w:adjustRightInd w:val="0"/>
              <w:ind w:left="1449"/>
            </w:pPr>
            <w:r>
              <w:t xml:space="preserve">správa softvérových licencií a aplikačný softvér </w:t>
            </w:r>
          </w:p>
          <w:p w14:paraId="7FE1C257" w14:textId="5DA2FA2E" w:rsidR="007A5804" w:rsidRDefault="007B7723">
            <w:pPr>
              <w:pStyle w:val="P68B1DB1-ListParagraph53"/>
              <w:numPr>
                <w:ilvl w:val="1"/>
                <w:numId w:val="290"/>
              </w:numPr>
              <w:autoSpaceDE w:val="0"/>
              <w:autoSpaceDN w:val="0"/>
              <w:adjustRightInd w:val="0"/>
              <w:ind w:left="1449"/>
            </w:pPr>
            <w:r>
              <w:t xml:space="preserve">prístup k externým poskytovateľom, najmä poskytovateľom údajov a infraštruktúry </w:t>
            </w:r>
          </w:p>
          <w:p w14:paraId="7FE1C258" w14:textId="5064B052" w:rsidR="007A5804" w:rsidRDefault="007B7723">
            <w:pPr>
              <w:pStyle w:val="P68B1DB1-ListParagraph53"/>
              <w:numPr>
                <w:ilvl w:val="1"/>
                <w:numId w:val="290"/>
              </w:numPr>
              <w:autoSpaceDE w:val="0"/>
              <w:autoSpaceDN w:val="0"/>
              <w:adjustRightInd w:val="0"/>
              <w:ind w:left="1449"/>
            </w:pPr>
            <w:r>
              <w:t xml:space="preserve">údržba aplikácií vrátane údržby softvérových aplikácií a súvisiace toky údajov </w:t>
            </w:r>
          </w:p>
          <w:p w14:paraId="7FE1C259" w14:textId="41CD0C0F" w:rsidR="007A5804" w:rsidRDefault="007B7723">
            <w:pPr>
              <w:pStyle w:val="P68B1DB1-ListParagraph53"/>
              <w:numPr>
                <w:ilvl w:val="1"/>
                <w:numId w:val="290"/>
              </w:numPr>
              <w:autoSpaceDE w:val="0"/>
              <w:autoSpaceDN w:val="0"/>
              <w:adjustRightInd w:val="0"/>
              <w:ind w:left="1449"/>
            </w:pPr>
            <w:r>
              <w:t xml:space="preserve">tvorba správ, toky interných informácií a databázy </w:t>
            </w:r>
          </w:p>
          <w:p w14:paraId="7FE1C25A" w14:textId="72548638" w:rsidR="007A5804" w:rsidRDefault="007B7723">
            <w:pPr>
              <w:pStyle w:val="P68B1DB1-ListParagraph53"/>
              <w:numPr>
                <w:ilvl w:val="1"/>
                <w:numId w:val="290"/>
              </w:numPr>
              <w:autoSpaceDE w:val="0"/>
              <w:autoSpaceDN w:val="0"/>
              <w:adjustRightInd w:val="0"/>
              <w:ind w:left="1449"/>
            </w:pPr>
            <w:r>
              <w:t xml:space="preserve">podpora používateľov </w:t>
            </w:r>
          </w:p>
          <w:p w14:paraId="7FE1C25B" w14:textId="2FAE0C54" w:rsidR="007A5804" w:rsidRDefault="007B7723">
            <w:pPr>
              <w:pStyle w:val="P68B1DB1-ListParagraph53"/>
              <w:numPr>
                <w:ilvl w:val="1"/>
                <w:numId w:val="290"/>
              </w:numPr>
              <w:autoSpaceDE w:val="0"/>
              <w:autoSpaceDN w:val="0"/>
              <w:adjustRightInd w:val="0"/>
              <w:ind w:left="1449"/>
            </w:pPr>
            <w:r>
              <w:t>obnova v stave núdze a po katastrofe</w:t>
            </w:r>
          </w:p>
          <w:p w14:paraId="7FE1C25C" w14:textId="431BC144" w:rsidR="007A5804" w:rsidRDefault="007B7723">
            <w:pPr>
              <w:pStyle w:val="P68B1DB1-ListParagraph53"/>
              <w:numPr>
                <w:ilvl w:val="1"/>
                <w:numId w:val="290"/>
              </w:numPr>
              <w:autoSpaceDE w:val="0"/>
              <w:autoSpaceDN w:val="0"/>
              <w:adjustRightInd w:val="0"/>
              <w:ind w:left="1449"/>
            </w:pPr>
            <w:r>
              <w:t>iný typ služby v oblasti informačných technológií</w:t>
            </w:r>
          </w:p>
          <w:p w14:paraId="7FE1C25D" w14:textId="77777777" w:rsidR="007A5804" w:rsidRDefault="007A5804">
            <w:pPr>
              <w:autoSpaceDE w:val="0"/>
              <w:autoSpaceDN w:val="0"/>
              <w:adjustRightInd w:val="0"/>
              <w:rPr>
                <w:rFonts w:ascii="Times New Roman" w:eastAsia="MS Mincho" w:hAnsi="Times New Roman" w:cs="Times New Roman"/>
                <w:sz w:val="20"/>
                <w:szCs w:val="20"/>
              </w:rPr>
            </w:pPr>
          </w:p>
          <w:p w14:paraId="7FE1C25E" w14:textId="1AD223E0" w:rsidR="007A5804" w:rsidRDefault="007B7723">
            <w:pPr>
              <w:pStyle w:val="P68B1DB1-Normal52"/>
              <w:autoSpaceDE w:val="0"/>
              <w:autoSpaceDN w:val="0"/>
              <w:adjustRightInd w:val="0"/>
            </w:pPr>
            <w:r>
              <w:t xml:space="preserve">Spracovanie transakcií vrátane otázok právnych transakcií, najmä boja proti praniu špinavých peňazí. </w:t>
            </w:r>
          </w:p>
          <w:p w14:paraId="7FE1C25F" w14:textId="77777777" w:rsidR="007A5804" w:rsidRDefault="007A5804">
            <w:pPr>
              <w:autoSpaceDE w:val="0"/>
              <w:autoSpaceDN w:val="0"/>
              <w:adjustRightInd w:val="0"/>
              <w:rPr>
                <w:rFonts w:ascii="Times New Roman" w:eastAsia="MS Mincho" w:hAnsi="Times New Roman" w:cs="Times New Roman"/>
                <w:sz w:val="20"/>
                <w:szCs w:val="20"/>
              </w:rPr>
            </w:pPr>
          </w:p>
          <w:p w14:paraId="7FE1C260" w14:textId="0AB6F782" w:rsidR="007A5804" w:rsidRDefault="007B7723">
            <w:pPr>
              <w:pStyle w:val="P68B1DB1-Normal52"/>
              <w:autoSpaceDE w:val="0"/>
              <w:autoSpaceDN w:val="0"/>
              <w:adjustRightInd w:val="0"/>
            </w:pPr>
            <w:bookmarkStart w:id="127" w:name="_Hlk191374143"/>
            <w:r>
              <w:t>Poskytnutie alebo správa nehnuteľností a zariadení a súvisiace zariadenia</w:t>
            </w:r>
            <w:bookmarkEnd w:id="127"/>
            <w:r>
              <w:t xml:space="preserve"> </w:t>
            </w:r>
          </w:p>
          <w:p w14:paraId="7FE1C261" w14:textId="62999FEF" w:rsidR="007A5804" w:rsidRDefault="007B7723">
            <w:pPr>
              <w:pStyle w:val="P68B1DB1-ListParagraph53"/>
              <w:numPr>
                <w:ilvl w:val="0"/>
                <w:numId w:val="291"/>
              </w:numPr>
              <w:autoSpaceDE w:val="0"/>
              <w:autoSpaceDN w:val="0"/>
              <w:adjustRightInd w:val="0"/>
            </w:pPr>
            <w:r>
              <w:t xml:space="preserve">kancelárske a skladovacie priestory </w:t>
            </w:r>
          </w:p>
          <w:p w14:paraId="7FE1C262" w14:textId="3A997023" w:rsidR="007A5804" w:rsidRDefault="007B7723">
            <w:pPr>
              <w:pStyle w:val="P68B1DB1-ListParagraph53"/>
              <w:numPr>
                <w:ilvl w:val="0"/>
                <w:numId w:val="291"/>
              </w:numPr>
              <w:autoSpaceDE w:val="0"/>
              <w:autoSpaceDN w:val="0"/>
              <w:adjustRightInd w:val="0"/>
            </w:pPr>
            <w:r>
              <w:t xml:space="preserve">interné riadenie zariadení </w:t>
            </w:r>
          </w:p>
          <w:p w14:paraId="7FE1C263" w14:textId="2B6FC02A" w:rsidR="007A5804" w:rsidRDefault="007B7723">
            <w:pPr>
              <w:pStyle w:val="P68B1DB1-ListParagraph53"/>
              <w:numPr>
                <w:ilvl w:val="0"/>
                <w:numId w:val="291"/>
              </w:numPr>
              <w:autoSpaceDE w:val="0"/>
              <w:autoSpaceDN w:val="0"/>
              <w:adjustRightInd w:val="0"/>
            </w:pPr>
            <w:r>
              <w:t xml:space="preserve">bezpečnosť a kontrola prístupu </w:t>
            </w:r>
          </w:p>
          <w:p w14:paraId="7FE1C264" w14:textId="792BCFBD" w:rsidR="007A5804" w:rsidRDefault="007B7723">
            <w:pPr>
              <w:pStyle w:val="P68B1DB1-ListParagraph53"/>
              <w:numPr>
                <w:ilvl w:val="0"/>
                <w:numId w:val="291"/>
              </w:numPr>
              <w:autoSpaceDE w:val="0"/>
              <w:autoSpaceDN w:val="0"/>
              <w:adjustRightInd w:val="0"/>
            </w:pPr>
            <w:r>
              <w:t xml:space="preserve">riadenie portfólia nehnuteľností </w:t>
            </w:r>
          </w:p>
          <w:p w14:paraId="7FE1C265" w14:textId="52ACD32B" w:rsidR="007A5804" w:rsidRDefault="007B7723">
            <w:pPr>
              <w:pStyle w:val="P68B1DB1-ListParagraph53"/>
              <w:numPr>
                <w:ilvl w:val="0"/>
                <w:numId w:val="291"/>
              </w:numPr>
              <w:autoSpaceDE w:val="0"/>
              <w:autoSpaceDN w:val="0"/>
              <w:adjustRightInd w:val="0"/>
            </w:pPr>
            <w:r>
              <w:t>iný typ služby poskytovania alebo správy nehnuteľností a zariadení a súvisiace zariadenia</w:t>
            </w:r>
          </w:p>
          <w:p w14:paraId="7FE1C266" w14:textId="77777777" w:rsidR="007A5804" w:rsidRDefault="007A5804">
            <w:pPr>
              <w:autoSpaceDE w:val="0"/>
              <w:autoSpaceDN w:val="0"/>
              <w:adjustRightInd w:val="0"/>
              <w:rPr>
                <w:rFonts w:ascii="Times New Roman" w:eastAsia="MS Mincho" w:hAnsi="Times New Roman" w:cs="Times New Roman"/>
                <w:sz w:val="20"/>
                <w:szCs w:val="20"/>
              </w:rPr>
            </w:pPr>
          </w:p>
          <w:p w14:paraId="7FE1C267" w14:textId="4B2E0CD6" w:rsidR="007A5804" w:rsidRDefault="007B7723">
            <w:pPr>
              <w:pStyle w:val="P68B1DB1-Normal52"/>
              <w:autoSpaceDE w:val="0"/>
              <w:autoSpaceDN w:val="0"/>
              <w:adjustRightInd w:val="0"/>
            </w:pPr>
            <w:r>
              <w:t xml:space="preserve">Právne služby a útvary vykonávajúce funkciu dodržiavania súladu s predpismi: </w:t>
            </w:r>
          </w:p>
          <w:p w14:paraId="7FE1C268" w14:textId="40AF3D04" w:rsidR="007A5804" w:rsidRDefault="007B7723">
            <w:pPr>
              <w:pStyle w:val="P68B1DB1-ListParagraph53"/>
              <w:numPr>
                <w:ilvl w:val="0"/>
                <w:numId w:val="292"/>
              </w:numPr>
              <w:autoSpaceDE w:val="0"/>
              <w:autoSpaceDN w:val="0"/>
              <w:adjustRightInd w:val="0"/>
            </w:pPr>
            <w:r>
              <w:t xml:space="preserve">právna podpora spoločnostiam </w:t>
            </w:r>
          </w:p>
          <w:p w14:paraId="7FE1C269" w14:textId="1DC4A30A" w:rsidR="007A5804" w:rsidRDefault="007B7723">
            <w:pPr>
              <w:pStyle w:val="P68B1DB1-ListParagraph53"/>
              <w:numPr>
                <w:ilvl w:val="0"/>
                <w:numId w:val="292"/>
              </w:numPr>
              <w:autoSpaceDE w:val="0"/>
              <w:autoSpaceDN w:val="0"/>
              <w:adjustRightInd w:val="0"/>
            </w:pPr>
            <w:r>
              <w:t xml:space="preserve">právne služby týkajúce sa obchodných činností a transakcií </w:t>
            </w:r>
          </w:p>
          <w:p w14:paraId="7FE1C26A" w14:textId="1BAF6F48" w:rsidR="007A5804" w:rsidRDefault="007B7723">
            <w:pPr>
              <w:pStyle w:val="P68B1DB1-ListParagraph53"/>
              <w:numPr>
                <w:ilvl w:val="0"/>
                <w:numId w:val="292"/>
              </w:numPr>
              <w:autoSpaceDE w:val="0"/>
              <w:autoSpaceDN w:val="0"/>
              <w:adjustRightInd w:val="0"/>
            </w:pPr>
            <w:r>
              <w:t xml:space="preserve">podpora súladu </w:t>
            </w:r>
          </w:p>
          <w:p w14:paraId="7FE1C26B" w14:textId="344CDCEC" w:rsidR="007A5804" w:rsidRDefault="007B7723">
            <w:pPr>
              <w:pStyle w:val="P68B1DB1-ListParagraph53"/>
              <w:numPr>
                <w:ilvl w:val="0"/>
                <w:numId w:val="292"/>
              </w:numPr>
              <w:autoSpaceDE w:val="0"/>
              <w:autoSpaceDN w:val="0"/>
              <w:adjustRightInd w:val="0"/>
            </w:pPr>
            <w:r>
              <w:t>iné právne služby a typ služby na zabezpečenie súladu</w:t>
            </w:r>
          </w:p>
          <w:p w14:paraId="7FE1C26C" w14:textId="77777777" w:rsidR="007A5804" w:rsidRDefault="007A5804">
            <w:pPr>
              <w:autoSpaceDE w:val="0"/>
              <w:autoSpaceDN w:val="0"/>
              <w:adjustRightInd w:val="0"/>
              <w:ind w:left="708"/>
              <w:rPr>
                <w:rFonts w:ascii="Times New Roman" w:eastAsia="MS Mincho" w:hAnsi="Times New Roman" w:cs="Times New Roman"/>
                <w:sz w:val="20"/>
                <w:szCs w:val="20"/>
              </w:rPr>
            </w:pPr>
          </w:p>
          <w:p w14:paraId="7FE1C26D" w14:textId="03C41351" w:rsidR="007A5804" w:rsidRDefault="007B7723">
            <w:pPr>
              <w:pStyle w:val="P68B1DB1-Normal52"/>
              <w:autoSpaceDE w:val="0"/>
              <w:autoSpaceDN w:val="0"/>
              <w:adjustRightInd w:val="0"/>
            </w:pPr>
            <w:r>
              <w:t xml:space="preserve">Služby súvisiace s pokladnicou </w:t>
            </w:r>
          </w:p>
          <w:p w14:paraId="7FE1C26E" w14:textId="1425CC24" w:rsidR="007A5804" w:rsidRDefault="007B7723">
            <w:pPr>
              <w:pStyle w:val="P68B1DB1-ListParagraph53"/>
              <w:numPr>
                <w:ilvl w:val="0"/>
                <w:numId w:val="293"/>
              </w:numPr>
              <w:autoSpaceDE w:val="0"/>
              <w:autoSpaceDN w:val="0"/>
              <w:adjustRightInd w:val="0"/>
            </w:pPr>
            <w:r>
              <w:t xml:space="preserve">koordinácia, správa a riadenie činností pokladnice </w:t>
            </w:r>
          </w:p>
          <w:p w14:paraId="7FE1C26F" w14:textId="09154006" w:rsidR="007A5804" w:rsidRDefault="007B7723">
            <w:pPr>
              <w:pStyle w:val="P68B1DB1-ListParagraph53"/>
              <w:numPr>
                <w:ilvl w:val="0"/>
                <w:numId w:val="293"/>
              </w:numPr>
              <w:autoSpaceDE w:val="0"/>
              <w:autoSpaceDN w:val="0"/>
              <w:adjustRightInd w:val="0"/>
            </w:pPr>
            <w:r>
              <w:t xml:space="preserve">koordinácia, správa a riadenie refinancovania subjektov vrátane riadenia kolaterálov </w:t>
            </w:r>
          </w:p>
          <w:p w14:paraId="7FE1C270" w14:textId="0F45C979" w:rsidR="007A5804" w:rsidRDefault="007B7723">
            <w:pPr>
              <w:pStyle w:val="P68B1DB1-ListParagraph53"/>
              <w:numPr>
                <w:ilvl w:val="0"/>
                <w:numId w:val="293"/>
              </w:numPr>
              <w:autoSpaceDE w:val="0"/>
              <w:autoSpaceDN w:val="0"/>
              <w:adjustRightInd w:val="0"/>
            </w:pPr>
            <w:r>
              <w:t xml:space="preserve">funkcia vykazovania, najmä so zreteľom na regulačné ukazovatele likvidity </w:t>
            </w:r>
          </w:p>
          <w:p w14:paraId="7FE1C271" w14:textId="034EEFA4" w:rsidR="007A5804" w:rsidRDefault="007B7723">
            <w:pPr>
              <w:pStyle w:val="P68B1DB1-ListParagraph53"/>
              <w:numPr>
                <w:ilvl w:val="0"/>
                <w:numId w:val="293"/>
              </w:numPr>
              <w:autoSpaceDE w:val="0"/>
              <w:autoSpaceDN w:val="0"/>
              <w:adjustRightInd w:val="0"/>
            </w:pPr>
            <w:r>
              <w:lastRenderedPageBreak/>
              <w:t xml:space="preserve">koordinácia, správa a riadenie strednodobých a dlhodobých programov financovania a refinancovanie subjektov skupiny </w:t>
            </w:r>
          </w:p>
          <w:p w14:paraId="7FE1C272" w14:textId="064C2167" w:rsidR="007A5804" w:rsidRDefault="007B7723">
            <w:pPr>
              <w:pStyle w:val="P68B1DB1-ListParagraph53"/>
              <w:numPr>
                <w:ilvl w:val="0"/>
                <w:numId w:val="293"/>
              </w:numPr>
              <w:autoSpaceDE w:val="0"/>
              <w:autoSpaceDN w:val="0"/>
              <w:adjustRightInd w:val="0"/>
            </w:pPr>
            <w:r>
              <w:t>koordinácia, správa a riadenie refinancovania, najmä krátkodobé otázky</w:t>
            </w:r>
          </w:p>
          <w:p w14:paraId="7FE1C273" w14:textId="31AA1016" w:rsidR="007A5804" w:rsidRDefault="007B7723">
            <w:pPr>
              <w:pStyle w:val="P68B1DB1-ListParagraph53"/>
              <w:numPr>
                <w:ilvl w:val="0"/>
                <w:numId w:val="293"/>
              </w:numPr>
              <w:autoSpaceDE w:val="0"/>
              <w:autoSpaceDN w:val="0"/>
              <w:adjustRightInd w:val="0"/>
            </w:pPr>
            <w:r>
              <w:t>iný druh pokladničnej služby</w:t>
            </w:r>
          </w:p>
          <w:p w14:paraId="7FE1C274" w14:textId="77777777" w:rsidR="007A5804" w:rsidRDefault="007A5804">
            <w:pPr>
              <w:autoSpaceDE w:val="0"/>
              <w:autoSpaceDN w:val="0"/>
              <w:adjustRightInd w:val="0"/>
              <w:rPr>
                <w:rFonts w:ascii="Times New Roman" w:eastAsia="MS Mincho" w:hAnsi="Times New Roman" w:cs="Times New Roman"/>
                <w:sz w:val="20"/>
                <w:szCs w:val="20"/>
              </w:rPr>
            </w:pPr>
          </w:p>
          <w:p w14:paraId="7FE1C275" w14:textId="6437F825" w:rsidR="007A5804" w:rsidRDefault="007B7723">
            <w:pPr>
              <w:pStyle w:val="P68B1DB1-Normal52"/>
              <w:autoSpaceDE w:val="0"/>
              <w:autoSpaceDN w:val="0"/>
              <w:adjustRightInd w:val="0"/>
            </w:pPr>
            <w:r>
              <w:t xml:space="preserve">Riadenie obchodovania/správa aktív </w:t>
            </w:r>
          </w:p>
          <w:p w14:paraId="7FE1C276" w14:textId="52377E11" w:rsidR="007A5804" w:rsidRDefault="007B7723">
            <w:pPr>
              <w:pStyle w:val="P68B1DB1-ListParagraph53"/>
              <w:numPr>
                <w:ilvl w:val="0"/>
                <w:numId w:val="294"/>
              </w:numPr>
              <w:autoSpaceDE w:val="0"/>
              <w:autoSpaceDN w:val="0"/>
              <w:adjustRightInd w:val="0"/>
            </w:pPr>
            <w:r>
              <w:t xml:space="preserve">spracovanie operácií: zadávanie, návrh, realizácia obchodu, obsluha obchodných produktov </w:t>
            </w:r>
          </w:p>
          <w:p w14:paraId="7FE1C277" w14:textId="35EC336F" w:rsidR="007A5804" w:rsidRDefault="007B7723">
            <w:pPr>
              <w:pStyle w:val="P68B1DB1-ListParagraph53"/>
              <w:numPr>
                <w:ilvl w:val="0"/>
                <w:numId w:val="294"/>
              </w:numPr>
              <w:autoSpaceDE w:val="0"/>
              <w:autoSpaceDN w:val="0"/>
              <w:adjustRightInd w:val="0"/>
            </w:pPr>
            <w:r>
              <w:t xml:space="preserve">potvrdenie, úhrada, platba </w:t>
            </w:r>
          </w:p>
          <w:p w14:paraId="7FE1C278" w14:textId="417DFA52" w:rsidR="007A5804" w:rsidRDefault="007B7723">
            <w:pPr>
              <w:pStyle w:val="P68B1DB1-ListParagraph53"/>
              <w:numPr>
                <w:ilvl w:val="0"/>
                <w:numId w:val="294"/>
              </w:numPr>
              <w:autoSpaceDE w:val="0"/>
              <w:autoSpaceDN w:val="0"/>
              <w:adjustRightInd w:val="0"/>
            </w:pPr>
            <w:r>
              <w:t xml:space="preserve">riadenie pozícií a protistrán so zreteľom na vykazovanie údajov a vzťahy k protistranám </w:t>
            </w:r>
          </w:p>
          <w:p w14:paraId="7FE1C279" w14:textId="18F90331" w:rsidR="007A5804" w:rsidRDefault="007B7723">
            <w:pPr>
              <w:pStyle w:val="P68B1DB1-ListParagraph53"/>
              <w:numPr>
                <w:ilvl w:val="0"/>
                <w:numId w:val="294"/>
              </w:numPr>
              <w:autoSpaceDE w:val="0"/>
              <w:autoSpaceDN w:val="0"/>
              <w:adjustRightInd w:val="0"/>
            </w:pPr>
            <w:r>
              <w:t xml:space="preserve">riadenie pozícií (riziko a zosúladenie) </w:t>
            </w:r>
          </w:p>
          <w:p w14:paraId="7FE1C27A" w14:textId="23FC3BC1" w:rsidR="007A5804" w:rsidRDefault="007B7723">
            <w:pPr>
              <w:pStyle w:val="P68B1DB1-ListParagraph53"/>
              <w:numPr>
                <w:ilvl w:val="0"/>
                <w:numId w:val="294"/>
              </w:numPr>
              <w:autoSpaceDE w:val="0"/>
              <w:autoSpaceDN w:val="0"/>
              <w:adjustRightInd w:val="0"/>
            </w:pPr>
            <w:r>
              <w:t>iný druh služby obchodovania/správy aktív</w:t>
            </w:r>
          </w:p>
          <w:p w14:paraId="7FE1C27B" w14:textId="77777777" w:rsidR="007A5804" w:rsidRDefault="007A5804">
            <w:pPr>
              <w:autoSpaceDE w:val="0"/>
              <w:autoSpaceDN w:val="0"/>
              <w:adjustRightInd w:val="0"/>
              <w:ind w:left="708"/>
              <w:rPr>
                <w:rFonts w:ascii="Times New Roman" w:eastAsia="MS Mincho" w:hAnsi="Times New Roman" w:cs="Times New Roman"/>
                <w:sz w:val="20"/>
                <w:szCs w:val="20"/>
              </w:rPr>
            </w:pPr>
          </w:p>
          <w:p w14:paraId="7FE1C27C" w14:textId="1E8D237F" w:rsidR="007A5804" w:rsidRDefault="007B7723">
            <w:pPr>
              <w:pStyle w:val="P68B1DB1-Normal52"/>
              <w:autoSpaceDE w:val="0"/>
              <w:autoSpaceDN w:val="0"/>
              <w:adjustRightInd w:val="0"/>
            </w:pPr>
            <w:r>
              <w:t xml:space="preserve">Riadenie a hodnotenie rizík </w:t>
            </w:r>
          </w:p>
          <w:p w14:paraId="7FE1C27D" w14:textId="27978472" w:rsidR="007A5804" w:rsidRDefault="007B7723">
            <w:pPr>
              <w:pStyle w:val="P68B1DB1-ListParagraph53"/>
              <w:numPr>
                <w:ilvl w:val="0"/>
                <w:numId w:val="295"/>
              </w:numPr>
              <w:autoSpaceDE w:val="0"/>
              <w:autoSpaceDN w:val="0"/>
              <w:adjustRightInd w:val="0"/>
            </w:pPr>
            <w:r>
              <w:t>riadenie ústredného rizika alebo rizika pre oblasti obchodnej činnosti alebo riadenie rizík súvisiacich s typom rizika</w:t>
            </w:r>
          </w:p>
          <w:p w14:paraId="7FE1C27E" w14:textId="7AC0E3ED" w:rsidR="007A5804" w:rsidRDefault="007B7723">
            <w:pPr>
              <w:pStyle w:val="P68B1DB1-ListParagraph53"/>
              <w:numPr>
                <w:ilvl w:val="0"/>
                <w:numId w:val="295"/>
              </w:numPr>
              <w:autoSpaceDE w:val="0"/>
              <w:autoSpaceDN w:val="0"/>
              <w:adjustRightInd w:val="0"/>
            </w:pPr>
            <w:r>
              <w:t xml:space="preserve">tvorba správ o rizikách </w:t>
            </w:r>
          </w:p>
          <w:p w14:paraId="7FE1C27F" w14:textId="54F4E51F" w:rsidR="007A5804" w:rsidRDefault="007B7723">
            <w:pPr>
              <w:pStyle w:val="P68B1DB1-ListParagraph53"/>
              <w:numPr>
                <w:ilvl w:val="0"/>
                <w:numId w:val="295"/>
              </w:numPr>
              <w:autoSpaceDE w:val="0"/>
              <w:autoSpaceDN w:val="0"/>
              <w:adjustRightInd w:val="0"/>
            </w:pPr>
            <w:r>
              <w:t>iný typ služby riadenia rizík a oceňovania</w:t>
            </w:r>
          </w:p>
          <w:p w14:paraId="7FE1C280" w14:textId="77777777" w:rsidR="007A5804" w:rsidRDefault="007A5804">
            <w:pPr>
              <w:autoSpaceDE w:val="0"/>
              <w:autoSpaceDN w:val="0"/>
              <w:adjustRightInd w:val="0"/>
              <w:rPr>
                <w:rFonts w:ascii="Times New Roman" w:eastAsia="MS Mincho" w:hAnsi="Times New Roman" w:cs="Times New Roman"/>
                <w:sz w:val="20"/>
                <w:szCs w:val="20"/>
              </w:rPr>
            </w:pPr>
          </w:p>
          <w:p w14:paraId="7FE1C281" w14:textId="5206B100" w:rsidR="007A5804" w:rsidRDefault="007B7723">
            <w:pPr>
              <w:pStyle w:val="P68B1DB1-Normal52"/>
              <w:autoSpaceDE w:val="0"/>
              <w:autoSpaceDN w:val="0"/>
              <w:adjustRightInd w:val="0"/>
            </w:pPr>
            <w:r>
              <w:t xml:space="preserve">Vedenie účtovníctva </w:t>
            </w:r>
          </w:p>
          <w:p w14:paraId="7FE1C282" w14:textId="65C12590" w:rsidR="007A5804" w:rsidRDefault="007B7723">
            <w:pPr>
              <w:pStyle w:val="P68B1DB1-ListParagraph53"/>
              <w:numPr>
                <w:ilvl w:val="0"/>
                <w:numId w:val="296"/>
              </w:numPr>
              <w:autoSpaceDE w:val="0"/>
              <w:autoSpaceDN w:val="0"/>
              <w:adjustRightInd w:val="0"/>
            </w:pPr>
            <w:r>
              <w:t xml:space="preserve">zákonné a regulačné vykazovanie </w:t>
            </w:r>
          </w:p>
          <w:p w14:paraId="7FE1C283" w14:textId="3DCAF9FA" w:rsidR="007A5804" w:rsidRDefault="007B7723">
            <w:pPr>
              <w:pStyle w:val="P68B1DB1-ListParagraph53"/>
              <w:numPr>
                <w:ilvl w:val="0"/>
                <w:numId w:val="296"/>
              </w:numPr>
              <w:autoSpaceDE w:val="0"/>
              <w:autoSpaceDN w:val="0"/>
              <w:adjustRightInd w:val="0"/>
            </w:pPr>
            <w:r>
              <w:t xml:space="preserve">oceňovanie, najmä trhových pozícií </w:t>
            </w:r>
          </w:p>
          <w:p w14:paraId="7FE1C284" w14:textId="2EE4BE8B" w:rsidR="007A5804" w:rsidRDefault="007B7723">
            <w:pPr>
              <w:pStyle w:val="P68B1DB1-ListParagraph53"/>
              <w:numPr>
                <w:ilvl w:val="0"/>
                <w:numId w:val="296"/>
              </w:numPr>
              <w:autoSpaceDE w:val="0"/>
              <w:autoSpaceDN w:val="0"/>
              <w:adjustRightInd w:val="0"/>
            </w:pPr>
            <w:r>
              <w:t xml:space="preserve">podávanie správ o hospodárení </w:t>
            </w:r>
          </w:p>
          <w:p w14:paraId="7FE1C285" w14:textId="186EA25B" w:rsidR="007A5804" w:rsidRDefault="007B7723">
            <w:pPr>
              <w:pStyle w:val="P68B1DB1-ListParagraph53"/>
              <w:numPr>
                <w:ilvl w:val="0"/>
                <w:numId w:val="296"/>
              </w:numPr>
              <w:autoSpaceDE w:val="0"/>
              <w:autoSpaceDN w:val="0"/>
              <w:adjustRightInd w:val="0"/>
            </w:pPr>
            <w:r>
              <w:t>iný typ účtovnej služby</w:t>
            </w:r>
          </w:p>
          <w:p w14:paraId="7FE1C286" w14:textId="77777777" w:rsidR="007A5804" w:rsidRDefault="007A5804">
            <w:pPr>
              <w:autoSpaceDE w:val="0"/>
              <w:autoSpaceDN w:val="0"/>
              <w:adjustRightInd w:val="0"/>
              <w:ind w:left="708"/>
              <w:rPr>
                <w:rFonts w:ascii="Times New Roman" w:eastAsia="MS Mincho" w:hAnsi="Times New Roman" w:cs="Times New Roman"/>
                <w:sz w:val="20"/>
                <w:szCs w:val="20"/>
              </w:rPr>
            </w:pPr>
          </w:p>
          <w:p w14:paraId="7FE1C287" w14:textId="675737F3" w:rsidR="007A5804" w:rsidRDefault="007B7723">
            <w:pPr>
              <w:pStyle w:val="P68B1DB1-Normal54"/>
              <w:autoSpaceDE w:val="0"/>
              <w:autoSpaceDN w:val="0"/>
              <w:adjustRightInd w:val="0"/>
              <w:rPr>
                <w:sz w:val="24"/>
              </w:rPr>
            </w:pPr>
            <w:r>
              <w:rPr>
                <w:sz w:val="20"/>
              </w:rPr>
              <w:t>Manipulácia s hotovosťou</w:t>
            </w:r>
            <w:r>
              <w:rPr>
                <w:sz w:val="24"/>
              </w:rPr>
              <w:t xml:space="preserve"> </w:t>
            </w:r>
          </w:p>
          <w:p w14:paraId="7FE1C288" w14:textId="77777777" w:rsidR="007A5804" w:rsidRDefault="007A5804">
            <w:pPr>
              <w:autoSpaceDE w:val="0"/>
              <w:autoSpaceDN w:val="0"/>
              <w:adjustRightInd w:val="0"/>
              <w:rPr>
                <w:rFonts w:ascii="Times New Roman" w:eastAsia="MS Mincho" w:hAnsi="Times New Roman" w:cs="Times New Roman"/>
                <w:sz w:val="24"/>
                <w:szCs w:val="20"/>
              </w:rPr>
            </w:pPr>
          </w:p>
          <w:p w14:paraId="7FE1C289" w14:textId="180A5CA4" w:rsidR="007A5804" w:rsidRDefault="007B7723">
            <w:pPr>
              <w:pStyle w:val="P68B1DB1-Normal52"/>
              <w:autoSpaceDE w:val="0"/>
              <w:autoSpaceDN w:val="0"/>
              <w:adjustRightInd w:val="0"/>
            </w:pPr>
            <w:r>
              <w:t>Iný typ služby</w:t>
            </w:r>
          </w:p>
          <w:p w14:paraId="7FE1C28B" w14:textId="56625F93" w:rsidR="007A5804" w:rsidRDefault="007A5804">
            <w:pPr>
              <w:spacing w:line="276" w:lineRule="auto"/>
              <w:jc w:val="both"/>
              <w:rPr>
                <w:rFonts w:ascii="Times New Roman" w:eastAsia="Calibri" w:hAnsi="Times New Roman" w:cs="Times New Roman"/>
                <w:b/>
                <w:i/>
                <w:sz w:val="20"/>
                <w:szCs w:val="20"/>
              </w:rPr>
            </w:pPr>
          </w:p>
        </w:tc>
      </w:tr>
      <w:tr w:rsidR="007A5804" w14:paraId="7FE1C292" w14:textId="77777777">
        <w:trPr>
          <w:trHeight w:val="463"/>
        </w:trPr>
        <w:tc>
          <w:tcPr>
            <w:tcW w:w="1129" w:type="dxa"/>
            <w:shd w:val="clear" w:color="auto" w:fill="FFFFFF" w:themeFill="background1"/>
          </w:tcPr>
          <w:p w14:paraId="7FE1C28D" w14:textId="77777777" w:rsidR="007A5804" w:rsidRDefault="007B7723">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7A5804" w:rsidRDefault="007B7723">
            <w:pPr>
              <w:pStyle w:val="P68B1DB1-Normal49"/>
              <w:spacing w:line="276" w:lineRule="auto"/>
              <w:jc w:val="both"/>
              <w:rPr>
                <w:bCs/>
              </w:rPr>
            </w:pPr>
            <w:r>
              <w:t>Jedinečný názov služby podľa taxonómie banky</w:t>
            </w:r>
          </w:p>
          <w:p w14:paraId="1C0060B3" w14:textId="77777777" w:rsidR="007A5804" w:rsidRDefault="007B7723">
            <w:pPr>
              <w:rPr>
                <w:rFonts w:ascii="Times New Roman" w:eastAsiaTheme="minorHAnsi" w:hAnsi="Times New Roman" w:cs="Times New Roman"/>
                <w:sz w:val="24"/>
              </w:rPr>
            </w:pPr>
            <w:r>
              <w:rPr>
                <w:rFonts w:ascii="Times New Roman" w:eastAsia="Calibri" w:hAnsi="Times New Roman" w:cs="Times New Roman"/>
                <w:sz w:val="20"/>
              </w:rPr>
              <w:t>Názov/krátky opis služby podľa vlastnej prísnej taxonómie banky (úroveň 3), v ktorej sa služby a podsúbory týchto služieb kategorizujú do hierarchických úrovní. Napríklad taxonómia služieb, ktorá kategorizuje služby na troch hierarchických úrovniach, kde na najvyššej úrovni existuje skupina služieb (L1: Finančné služby), v rámci ktorých sú služby zastúpené na úrovni 2 (L2: štátna pokladnica, finančná analýza, dane, vzťahy s investormi atď.) a čiastkové služby na úrovni 3 (L3 – v rámci pokladnice: riadenie likvidity, správa aktív a pasív, riadenie kolaterálu atď.). Očakáva sa, že banka bude vykazovať služby na podrobnejšej úrovni než vykazovanie poskytnuté pre úroveň 2 (c0010), aby sa každá konkrétna služba vymedzila presným a cieleným spôsobom.</w:t>
            </w:r>
            <w:r>
              <w:rPr>
                <w:rFonts w:ascii="Times New Roman" w:eastAsiaTheme="minorHAnsi" w:hAnsi="Times New Roman" w:cs="Times New Roman"/>
                <w:sz w:val="24"/>
              </w:rPr>
              <w:t xml:space="preserve"> </w:t>
            </w:r>
          </w:p>
          <w:p w14:paraId="7FE1C290" w14:textId="77777777" w:rsidR="007A5804" w:rsidRDefault="007A5804">
            <w:pPr>
              <w:spacing w:line="276" w:lineRule="auto"/>
              <w:jc w:val="both"/>
              <w:rPr>
                <w:rFonts w:ascii="Times New Roman" w:eastAsia="Calibri" w:hAnsi="Times New Roman" w:cs="Times New Roman"/>
                <w:sz w:val="20"/>
              </w:rPr>
            </w:pPr>
          </w:p>
          <w:p w14:paraId="7FE1C291" w14:textId="77777777" w:rsidR="007A5804" w:rsidRDefault="007A5804">
            <w:pPr>
              <w:spacing w:line="276" w:lineRule="auto"/>
              <w:jc w:val="both"/>
              <w:rPr>
                <w:rFonts w:ascii="Times New Roman" w:eastAsia="Calibri" w:hAnsi="Times New Roman" w:cs="Times New Roman"/>
                <w:i/>
                <w:sz w:val="20"/>
              </w:rPr>
            </w:pPr>
          </w:p>
        </w:tc>
      </w:tr>
      <w:tr w:rsidR="007A5804" w14:paraId="7FE1C298" w14:textId="77777777">
        <w:trPr>
          <w:trHeight w:val="463"/>
        </w:trPr>
        <w:tc>
          <w:tcPr>
            <w:tcW w:w="1129" w:type="dxa"/>
            <w:shd w:val="clear" w:color="auto" w:fill="FFFFFF" w:themeFill="background1"/>
          </w:tcPr>
          <w:p w14:paraId="7FE1C293" w14:textId="77777777" w:rsidR="007A5804" w:rsidRDefault="007B7723">
            <w:pPr>
              <w:pStyle w:val="P68B1DB1-Normal50"/>
              <w:spacing w:before="120" w:after="120" w:line="276" w:lineRule="auto"/>
            </w:pPr>
            <w:r>
              <w:t>0030 – 0040</w:t>
            </w:r>
          </w:p>
          <w:p w14:paraId="7FE1C294" w14:textId="77777777" w:rsidR="007A5804" w:rsidRDefault="007A580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7A5804" w:rsidRDefault="007B7723">
            <w:pPr>
              <w:pStyle w:val="P68B1DB1-Normal49"/>
              <w:spacing w:line="276" w:lineRule="auto"/>
              <w:jc w:val="both"/>
              <w:rPr>
                <w:bCs/>
              </w:rPr>
            </w:pPr>
            <w:r>
              <w:t>Príjemca služieb</w:t>
            </w:r>
          </w:p>
          <w:p w14:paraId="7FE1C296" w14:textId="6BB16960" w:rsidR="007A5804" w:rsidRDefault="007B7723">
            <w:pPr>
              <w:pStyle w:val="P68B1DB1-Normal45"/>
              <w:spacing w:line="276" w:lineRule="auto"/>
              <w:jc w:val="both"/>
            </w:pPr>
            <w:r>
              <w:t>Subjekt skupiny prijímajúci služby vykázané v stĺpci 0010 od iného subjektu skupiny alebo externého poskytovateľa vykázaného v stĺpcoch 0050 – 0110.</w:t>
            </w:r>
          </w:p>
          <w:p w14:paraId="7FE1C297" w14:textId="77777777" w:rsidR="007A5804" w:rsidRDefault="007A5804">
            <w:pPr>
              <w:spacing w:line="276" w:lineRule="auto"/>
              <w:jc w:val="both"/>
              <w:rPr>
                <w:rFonts w:ascii="Times New Roman" w:eastAsia="Calibri" w:hAnsi="Times New Roman" w:cs="Times New Roman"/>
                <w:sz w:val="20"/>
              </w:rPr>
            </w:pPr>
          </w:p>
        </w:tc>
      </w:tr>
      <w:tr w:rsidR="007A5804" w14:paraId="7FE1C29F" w14:textId="77777777">
        <w:trPr>
          <w:trHeight w:val="463"/>
        </w:trPr>
        <w:tc>
          <w:tcPr>
            <w:tcW w:w="1129" w:type="dxa"/>
            <w:shd w:val="clear" w:color="auto" w:fill="FFFFFF" w:themeFill="background1"/>
          </w:tcPr>
          <w:p w14:paraId="7FE1C299" w14:textId="77777777" w:rsidR="007A5804" w:rsidRDefault="007B7723">
            <w:pPr>
              <w:pStyle w:val="P68B1DB1-Normal50"/>
              <w:spacing w:before="120" w:after="120" w:line="276" w:lineRule="auto"/>
            </w:pPr>
            <w:r>
              <w:t>0030</w:t>
            </w:r>
          </w:p>
          <w:p w14:paraId="7FE1C29A" w14:textId="77777777" w:rsidR="007A5804" w:rsidRDefault="007A580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7A5804" w:rsidRDefault="007B7723">
            <w:pPr>
              <w:pStyle w:val="P68B1DB1-Normal49"/>
              <w:spacing w:before="120" w:after="120" w:line="276" w:lineRule="auto"/>
              <w:rPr>
                <w:bCs/>
              </w:rPr>
            </w:pPr>
            <w:r>
              <w:t>Názov</w:t>
            </w:r>
          </w:p>
          <w:p w14:paraId="7FE1C29C" w14:textId="5429A4DF" w:rsidR="007A5804" w:rsidRDefault="007B7723">
            <w:pPr>
              <w:pStyle w:val="P68B1DB1-Normal45"/>
              <w:spacing w:line="276" w:lineRule="auto"/>
              <w:jc w:val="both"/>
            </w:pPr>
            <w:r>
              <w:t>Musí sa odlišovať od názvu uvedeného v stĺpci 0050, pokiaľ nejde o službu v rámci subjektu. V tomto prípade sa očakáva, že názov subjektu príjemcu služieb a názov subjektu poskytovateľa služieb sa budú zhodovať.</w:t>
            </w:r>
          </w:p>
          <w:p w14:paraId="7FE1C29D" w14:textId="77777777" w:rsidR="007A5804" w:rsidRDefault="007A5804">
            <w:pPr>
              <w:spacing w:line="276" w:lineRule="auto"/>
              <w:jc w:val="both"/>
              <w:rPr>
                <w:rFonts w:ascii="Times New Roman" w:eastAsia="Calibri" w:hAnsi="Times New Roman" w:cs="Times New Roman"/>
                <w:sz w:val="20"/>
              </w:rPr>
            </w:pPr>
          </w:p>
          <w:p w14:paraId="7FE1C29E" w14:textId="77777777" w:rsidR="007A5804" w:rsidRDefault="007A5804">
            <w:pPr>
              <w:spacing w:line="276" w:lineRule="auto"/>
              <w:jc w:val="both"/>
              <w:rPr>
                <w:rFonts w:ascii="Times New Roman" w:eastAsia="Calibri" w:hAnsi="Times New Roman" w:cs="Times New Roman"/>
                <w:b/>
                <w:sz w:val="20"/>
              </w:rPr>
            </w:pPr>
          </w:p>
        </w:tc>
      </w:tr>
      <w:tr w:rsidR="007A5804" w14:paraId="7FE1C2A6" w14:textId="77777777">
        <w:trPr>
          <w:trHeight w:val="463"/>
        </w:trPr>
        <w:tc>
          <w:tcPr>
            <w:tcW w:w="1129" w:type="dxa"/>
            <w:shd w:val="clear" w:color="auto" w:fill="FFFFFF" w:themeFill="background1"/>
          </w:tcPr>
          <w:p w14:paraId="7FE1C2A0" w14:textId="77777777" w:rsidR="007A5804" w:rsidRDefault="007B7723">
            <w:pPr>
              <w:pStyle w:val="P68B1DB1-Normal50"/>
              <w:spacing w:before="120" w:after="120" w:line="276" w:lineRule="auto"/>
            </w:pPr>
            <w:r>
              <w:lastRenderedPageBreak/>
              <w:t>0040</w:t>
            </w:r>
          </w:p>
          <w:p w14:paraId="7FE1C2A1" w14:textId="77777777" w:rsidR="007A5804" w:rsidRDefault="007A5804">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7A5804" w:rsidRDefault="007B7723">
            <w:pPr>
              <w:pStyle w:val="P68B1DB1-Normal49"/>
              <w:spacing w:before="120" w:after="120" w:line="276" w:lineRule="auto"/>
              <w:rPr>
                <w:bCs/>
              </w:rPr>
            </w:pPr>
            <w:r>
              <w:t>Kód</w:t>
            </w:r>
          </w:p>
          <w:p w14:paraId="7FE1C2A3" w14:textId="77777777" w:rsidR="007A5804" w:rsidRDefault="007B7723">
            <w:pPr>
              <w:pStyle w:val="P68B1DB1-Normal45"/>
              <w:spacing w:line="276" w:lineRule="auto"/>
              <w:jc w:val="both"/>
            </w:pPr>
            <w:r>
              <w:t>Jedinečný identifikátor právnickej osoby v stĺpci 0030 vykazovaný vo vzore Z 01.01 (ORG).</w:t>
            </w:r>
          </w:p>
          <w:p w14:paraId="7FE1C2A4" w14:textId="77777777" w:rsidR="007A5804" w:rsidRDefault="007B7723">
            <w:pPr>
              <w:pStyle w:val="P68B1DB1-Normal45"/>
              <w:spacing w:line="276" w:lineRule="auto"/>
              <w:jc w:val="both"/>
            </w:pPr>
            <w:r>
              <w:t>Musí sa odlišovať od identifikátora vykázaného v stĺpci 0060, pokiaľ nejde o službu v rámci subjektu. V tomto prípade sa očakáva, že kód príjemcu služby a kód poskytovateľa služieb sa budú zhodovať.</w:t>
            </w:r>
          </w:p>
          <w:p w14:paraId="7FE1C2A5" w14:textId="77777777" w:rsidR="007A5804" w:rsidRDefault="007A5804">
            <w:pPr>
              <w:spacing w:line="276" w:lineRule="auto"/>
              <w:jc w:val="both"/>
              <w:rPr>
                <w:rFonts w:ascii="Times New Roman" w:eastAsia="Calibri" w:hAnsi="Times New Roman" w:cs="Times New Roman"/>
                <w:b/>
                <w:i/>
                <w:sz w:val="20"/>
              </w:rPr>
            </w:pPr>
          </w:p>
        </w:tc>
      </w:tr>
      <w:tr w:rsidR="007A5804" w14:paraId="7FE1C2AC" w14:textId="77777777">
        <w:trPr>
          <w:trHeight w:val="463"/>
        </w:trPr>
        <w:tc>
          <w:tcPr>
            <w:tcW w:w="1129" w:type="dxa"/>
            <w:shd w:val="clear" w:color="auto" w:fill="FFFFFF" w:themeFill="background1"/>
          </w:tcPr>
          <w:p w14:paraId="7FE1C2A7" w14:textId="77777777" w:rsidR="007A5804" w:rsidRDefault="007B7723">
            <w:pPr>
              <w:pStyle w:val="P68B1DB1-Normal50"/>
              <w:spacing w:before="120" w:after="120" w:line="276" w:lineRule="auto"/>
            </w:pPr>
            <w:r>
              <w:t>0050 – 0110</w:t>
            </w:r>
          </w:p>
          <w:p w14:paraId="7FE1C2A8" w14:textId="77777777" w:rsidR="007A5804" w:rsidRDefault="007A5804">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7A5804" w:rsidRDefault="007B7723">
            <w:pPr>
              <w:pStyle w:val="P68B1DB1-Normal55"/>
              <w:spacing w:line="276" w:lineRule="auto"/>
              <w:jc w:val="both"/>
              <w:rPr>
                <w:bCs/>
              </w:rPr>
            </w:pPr>
            <w:r>
              <w:rPr>
                <w:szCs w:val="20"/>
              </w:rPr>
              <w:t>Poskytovateľ služieb</w:t>
            </w:r>
            <w:r>
              <w:t xml:space="preserve"> </w:t>
            </w:r>
          </w:p>
          <w:p w14:paraId="7FE1C2AA" w14:textId="77777777" w:rsidR="007A5804" w:rsidRDefault="007B7723">
            <w:pPr>
              <w:pStyle w:val="P68B1DB1-Normal45"/>
              <w:spacing w:line="276" w:lineRule="auto"/>
              <w:jc w:val="both"/>
            </w:pPr>
            <w:r>
              <w:t>Právnická osoba (v prípade služieb v rámci subjektu alebo v rámci skupiny) alebo externý poskytovateľ (v prípade externých služieb), ktorý poskytuje službu vykázanú v stĺpci 0020 subjektu skupiny vykázanému v stĺpci 0030.</w:t>
            </w:r>
          </w:p>
          <w:p w14:paraId="7FE1C2AB" w14:textId="77777777" w:rsidR="007A5804" w:rsidRDefault="007A5804">
            <w:pPr>
              <w:spacing w:line="276" w:lineRule="auto"/>
              <w:jc w:val="both"/>
              <w:rPr>
                <w:rFonts w:ascii="Times New Roman" w:eastAsia="Calibri" w:hAnsi="Times New Roman" w:cs="Times New Roman"/>
                <w:sz w:val="20"/>
              </w:rPr>
            </w:pPr>
          </w:p>
        </w:tc>
      </w:tr>
      <w:tr w:rsidR="007A5804" w14:paraId="244B34A5" w14:textId="77777777">
        <w:trPr>
          <w:trHeight w:val="463"/>
        </w:trPr>
        <w:tc>
          <w:tcPr>
            <w:tcW w:w="1129" w:type="dxa"/>
            <w:shd w:val="clear" w:color="auto" w:fill="FFFFFF" w:themeFill="background1"/>
          </w:tcPr>
          <w:p w14:paraId="26770022" w14:textId="77E4D0B7" w:rsidR="007A5804" w:rsidRDefault="007B7723">
            <w:pPr>
              <w:pStyle w:val="P68B1DB1-Normal50"/>
              <w:spacing w:before="120" w:after="120" w:line="276" w:lineRule="auto"/>
            </w:pPr>
            <w:r>
              <w:t>0050 – 0070</w:t>
            </w:r>
          </w:p>
        </w:tc>
        <w:tc>
          <w:tcPr>
            <w:tcW w:w="7938" w:type="dxa"/>
            <w:shd w:val="clear" w:color="auto" w:fill="FFFFFF" w:themeFill="background1"/>
          </w:tcPr>
          <w:p w14:paraId="3E4CD319" w14:textId="6DCA5709" w:rsidR="007A5804" w:rsidRDefault="007B7723">
            <w:pPr>
              <w:pStyle w:val="P68B1DB1-Normal49"/>
              <w:spacing w:line="276" w:lineRule="auto"/>
              <w:jc w:val="both"/>
              <w:rPr>
                <w:bCs/>
              </w:rPr>
            </w:pPr>
            <w:r>
              <w:t>Organizačná jednotka</w:t>
            </w:r>
          </w:p>
        </w:tc>
      </w:tr>
      <w:tr w:rsidR="007A5804" w14:paraId="7FE1C2B2" w14:textId="77777777">
        <w:trPr>
          <w:trHeight w:val="463"/>
        </w:trPr>
        <w:tc>
          <w:tcPr>
            <w:tcW w:w="1129" w:type="dxa"/>
            <w:shd w:val="clear" w:color="auto" w:fill="FFFFFF" w:themeFill="background1"/>
          </w:tcPr>
          <w:p w14:paraId="7FE1C2AD" w14:textId="77777777" w:rsidR="007A5804" w:rsidRDefault="007B7723">
            <w:pPr>
              <w:pStyle w:val="P68B1DB1-Normal50"/>
              <w:spacing w:before="120" w:after="120" w:line="276" w:lineRule="auto"/>
            </w:pPr>
            <w:r>
              <w:t>0050</w:t>
            </w:r>
          </w:p>
          <w:p w14:paraId="7FE1C2AE" w14:textId="77777777" w:rsidR="007A5804" w:rsidRDefault="007A5804">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7A5804" w:rsidRDefault="007B7723">
            <w:pPr>
              <w:pStyle w:val="P68B1DB1-Normal49"/>
              <w:spacing w:before="120" w:after="120" w:line="276" w:lineRule="auto"/>
              <w:rPr>
                <w:bCs/>
              </w:rPr>
            </w:pPr>
            <w:r>
              <w:t>Názov</w:t>
            </w:r>
          </w:p>
          <w:p w14:paraId="7FE1C2B0" w14:textId="77777777" w:rsidR="007A5804" w:rsidRDefault="007B7723">
            <w:pPr>
              <w:pStyle w:val="P68B1DB1-Normal45"/>
              <w:spacing w:line="276" w:lineRule="auto"/>
              <w:jc w:val="both"/>
            </w:pPr>
            <w:r>
              <w:t>Musí sa odlišovať od názvu uvedeného v stĺpci 0030, pokiaľ nejde o službu v rámci subjektu. V tomto prípade sa očakáva, že názov subjektu príjemcu služieb a názov subjektu poskytovateľa služieb sa budú zhodovať.</w:t>
            </w:r>
          </w:p>
          <w:p w14:paraId="7FE1C2B1" w14:textId="77777777" w:rsidR="007A5804" w:rsidRDefault="007A5804">
            <w:pPr>
              <w:spacing w:line="276" w:lineRule="auto"/>
              <w:jc w:val="both"/>
              <w:rPr>
                <w:rFonts w:ascii="Times New Roman" w:eastAsia="Calibri" w:hAnsi="Times New Roman" w:cs="Times New Roman"/>
                <w:b/>
                <w:sz w:val="20"/>
              </w:rPr>
            </w:pPr>
          </w:p>
        </w:tc>
      </w:tr>
      <w:tr w:rsidR="007A5804" w14:paraId="7FE1C2BE" w14:textId="77777777">
        <w:trPr>
          <w:trHeight w:val="463"/>
        </w:trPr>
        <w:tc>
          <w:tcPr>
            <w:tcW w:w="1129" w:type="dxa"/>
            <w:shd w:val="clear" w:color="auto" w:fill="FFFFFF" w:themeFill="background1"/>
          </w:tcPr>
          <w:p w14:paraId="7FE1C2B3" w14:textId="77777777" w:rsidR="007A5804" w:rsidRDefault="007B7723">
            <w:pPr>
              <w:pStyle w:val="P68B1DB1-Normal45"/>
              <w:spacing w:line="276" w:lineRule="auto"/>
              <w:jc w:val="both"/>
            </w:pPr>
            <w:r>
              <w:t>0060</w:t>
            </w:r>
          </w:p>
          <w:p w14:paraId="7FE1C2B4" w14:textId="77777777" w:rsidR="007A5804" w:rsidRDefault="007A580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7A5804" w:rsidRDefault="007B7723">
            <w:pPr>
              <w:pStyle w:val="P68B1DB1-Normal55"/>
              <w:spacing w:line="276" w:lineRule="auto"/>
              <w:jc w:val="both"/>
              <w:rPr>
                <w:bCs/>
              </w:rPr>
            </w:pPr>
            <w:r>
              <w:t>Kód</w:t>
            </w:r>
          </w:p>
          <w:p w14:paraId="7FE1C2B6" w14:textId="77777777" w:rsidR="007A5804" w:rsidRDefault="007B7723">
            <w:pPr>
              <w:pStyle w:val="P68B1DB1-Normal45"/>
              <w:spacing w:line="276" w:lineRule="auto"/>
              <w:jc w:val="both"/>
              <w:rPr>
                <w:strike/>
              </w:rPr>
            </w:pPr>
            <w:r>
              <w:t>Jedinečný identifikátor právnickej osoby v stĺpci 0050. Musí sa odlišovať od identifikátora uvedeného v stĺpci 0040, pokiaľ nejde o službu v rámci subjektu. V tomto prípade sa očakáva, že kód príjemcu služby a kód poskytovateľa služieb sa budú zhodovať.</w:t>
            </w:r>
          </w:p>
          <w:p w14:paraId="7FE1C2B7" w14:textId="77777777" w:rsidR="007A5804" w:rsidRDefault="007B7723">
            <w:pPr>
              <w:pStyle w:val="P68B1DB1-Normal45"/>
              <w:spacing w:line="276" w:lineRule="auto"/>
              <w:jc w:val="both"/>
            </w:pPr>
            <w:r>
              <w:t>Ak je poskytovateľ služby subjektom skupiny, kód musí byť rovnaký, ako sa vykazuje v stĺpci vzoru Z 01.01 (ORG).</w:t>
            </w:r>
          </w:p>
          <w:p w14:paraId="7FE1C2B8" w14:textId="77777777" w:rsidR="007A5804" w:rsidRDefault="007B7723">
            <w:pPr>
              <w:pStyle w:val="P68B1DB1-Normal45"/>
              <w:spacing w:line="276" w:lineRule="auto"/>
              <w:jc w:val="both"/>
            </w:pPr>
            <w:r>
              <w:t>Ak poskytovateľ služieb nie je subjektom skupiny, kód tohto subjektu je:</w:t>
            </w:r>
          </w:p>
          <w:p w14:paraId="7FE1C2B9" w14:textId="77777777" w:rsidR="007A5804" w:rsidRDefault="007B7723">
            <w:pPr>
              <w:pStyle w:val="P68B1DB1-Normal45"/>
              <w:spacing w:line="276" w:lineRule="auto"/>
              <w:jc w:val="both"/>
            </w:pPr>
            <w:r>
              <w:t>— v prípade subjektov s identifikátorom právneho subjektu (LEI) 20-miestny alfanumerický kód LEI;</w:t>
            </w:r>
          </w:p>
          <w:p w14:paraId="7FE1C2BA" w14:textId="77777777" w:rsidR="007A5804" w:rsidRDefault="007B7723">
            <w:pPr>
              <w:pStyle w:val="P68B1DB1-Normal45"/>
              <w:spacing w:line="276" w:lineRule="auto"/>
              <w:jc w:val="both"/>
            </w:pPr>
            <w:r>
              <w:t>— v prípade subjektov bez identifikátora právnickej osoby registračné číslo spoločnosti podľa vnútroštátneho práva</w:t>
            </w:r>
            <w:r>
              <w:rPr>
                <w:strike/>
              </w:rPr>
              <w:t>.</w:t>
            </w:r>
          </w:p>
          <w:p w14:paraId="7FE1C2BB" w14:textId="77777777" w:rsidR="007A5804" w:rsidRDefault="007A5804">
            <w:pPr>
              <w:spacing w:line="276" w:lineRule="auto"/>
              <w:jc w:val="both"/>
              <w:rPr>
                <w:rFonts w:ascii="Times New Roman" w:eastAsia="Calibri" w:hAnsi="Times New Roman" w:cs="Times New Roman"/>
                <w:sz w:val="20"/>
              </w:rPr>
            </w:pPr>
          </w:p>
          <w:p w14:paraId="7FE1C2BC" w14:textId="77777777" w:rsidR="007A5804" w:rsidRDefault="007B7723">
            <w:pPr>
              <w:pStyle w:val="P68B1DB1-Normal45"/>
              <w:spacing w:line="276" w:lineRule="auto"/>
              <w:jc w:val="both"/>
            </w:pPr>
            <w:r>
              <w:t>V oboch prípadoch musí byť kód jedinečný a musí sa používať konzistentne vo všetkých vzoroch.</w:t>
            </w:r>
          </w:p>
          <w:p w14:paraId="7FE1C2BD" w14:textId="77777777" w:rsidR="007A5804" w:rsidRDefault="007B7723">
            <w:pPr>
              <w:pStyle w:val="P68B1DB1-Normal56"/>
              <w:spacing w:line="276" w:lineRule="auto"/>
              <w:jc w:val="both"/>
            </w:pPr>
            <w:r>
              <w:t xml:space="preserve"> </w:t>
            </w:r>
          </w:p>
        </w:tc>
      </w:tr>
      <w:tr w:rsidR="007A5804" w14:paraId="7FE1C2C7" w14:textId="77777777">
        <w:trPr>
          <w:trHeight w:val="463"/>
        </w:trPr>
        <w:tc>
          <w:tcPr>
            <w:tcW w:w="1129" w:type="dxa"/>
            <w:shd w:val="clear" w:color="auto" w:fill="FFFFFF" w:themeFill="background1"/>
          </w:tcPr>
          <w:p w14:paraId="7FE1C2BF" w14:textId="77777777" w:rsidR="007A5804" w:rsidRDefault="007B7723">
            <w:pPr>
              <w:pStyle w:val="P68B1DB1-Normal45"/>
              <w:spacing w:line="276" w:lineRule="auto"/>
              <w:jc w:val="both"/>
            </w:pPr>
            <w:r>
              <w:t>0070</w:t>
            </w:r>
          </w:p>
        </w:tc>
        <w:tc>
          <w:tcPr>
            <w:tcW w:w="7938" w:type="dxa"/>
            <w:shd w:val="clear" w:color="auto" w:fill="FFFFFF" w:themeFill="background1"/>
          </w:tcPr>
          <w:p w14:paraId="7FE1C2C0" w14:textId="77777777" w:rsidR="007A5804" w:rsidRDefault="007B7723">
            <w:pPr>
              <w:pStyle w:val="P68B1DB1-Normal55"/>
              <w:spacing w:line="276" w:lineRule="auto"/>
              <w:jc w:val="both"/>
              <w:rPr>
                <w:bCs/>
              </w:rPr>
            </w:pPr>
            <w:r>
              <w:t xml:space="preserve">Druh kódu </w:t>
            </w:r>
          </w:p>
          <w:p w14:paraId="7FE1C2C3" w14:textId="5EDF8AF2" w:rsidR="007A5804" w:rsidRDefault="007B7723">
            <w:pPr>
              <w:pStyle w:val="P68B1DB1-Normal57"/>
              <w:spacing w:line="276" w:lineRule="auto"/>
              <w:contextualSpacing/>
              <w:jc w:val="both"/>
              <w:rPr>
                <w:bCs/>
              </w:rPr>
            </w:pPr>
            <w:r>
              <w:t>Uveďte jednu z týchto hodnôt:</w:t>
            </w:r>
          </w:p>
          <w:p w14:paraId="7FE1C2C4" w14:textId="77777777" w:rsidR="007A5804" w:rsidRDefault="007B7723">
            <w:pPr>
              <w:pStyle w:val="P68B1DB1-ListParagraph58"/>
              <w:numPr>
                <w:ilvl w:val="0"/>
                <w:numId w:val="64"/>
              </w:numPr>
              <w:spacing w:line="276" w:lineRule="auto"/>
              <w:contextualSpacing/>
              <w:jc w:val="both"/>
            </w:pPr>
            <w:r>
              <w:t>IDENTIFIKAČNÝ KÓD</w:t>
            </w:r>
          </w:p>
          <w:p w14:paraId="7FE1C2C5" w14:textId="77777777" w:rsidR="007A5804" w:rsidRDefault="007B7723">
            <w:pPr>
              <w:pStyle w:val="P68B1DB1-ListParagraph58"/>
              <w:numPr>
                <w:ilvl w:val="0"/>
                <w:numId w:val="64"/>
              </w:numPr>
              <w:spacing w:line="276" w:lineRule="auto"/>
              <w:contextualSpacing/>
              <w:jc w:val="both"/>
            </w:pPr>
            <w:r>
              <w:t>Registračné číslo spoločnosti,</w:t>
            </w:r>
          </w:p>
          <w:p w14:paraId="7FE1C2C6" w14:textId="77777777" w:rsidR="007A5804" w:rsidRDefault="007A5804">
            <w:pPr>
              <w:spacing w:line="276" w:lineRule="auto"/>
              <w:jc w:val="both"/>
              <w:rPr>
                <w:rFonts w:ascii="Times New Roman" w:eastAsia="Calibri" w:hAnsi="Times New Roman" w:cs="Times New Roman"/>
                <w:sz w:val="20"/>
              </w:rPr>
            </w:pPr>
          </w:p>
        </w:tc>
      </w:tr>
      <w:tr w:rsidR="007A5804" w14:paraId="5AC7028E" w14:textId="77777777">
        <w:trPr>
          <w:trHeight w:val="463"/>
        </w:trPr>
        <w:tc>
          <w:tcPr>
            <w:tcW w:w="1129" w:type="dxa"/>
            <w:shd w:val="clear" w:color="auto" w:fill="FFFFFF" w:themeFill="background1"/>
          </w:tcPr>
          <w:p w14:paraId="3ECEFB75" w14:textId="74BF0EC5" w:rsidR="007A5804" w:rsidRDefault="007B7723">
            <w:pPr>
              <w:pStyle w:val="P68B1DB1-Normal45"/>
              <w:spacing w:line="276" w:lineRule="auto"/>
              <w:jc w:val="both"/>
            </w:pPr>
            <w:r>
              <w:t>0080 – 0100</w:t>
            </w:r>
          </w:p>
        </w:tc>
        <w:tc>
          <w:tcPr>
            <w:tcW w:w="7938" w:type="dxa"/>
            <w:shd w:val="clear" w:color="auto" w:fill="FFFFFF" w:themeFill="background1"/>
          </w:tcPr>
          <w:p w14:paraId="259185CE" w14:textId="65A5A83F" w:rsidR="007A5804" w:rsidRDefault="007B7723">
            <w:pPr>
              <w:pStyle w:val="P68B1DB1-Normal55"/>
              <w:spacing w:line="276" w:lineRule="auto"/>
              <w:jc w:val="both"/>
              <w:rPr>
                <w:bCs/>
              </w:rPr>
            </w:pPr>
            <w:r>
              <w:t>Materská spoločnosť</w:t>
            </w:r>
          </w:p>
        </w:tc>
      </w:tr>
      <w:tr w:rsidR="007A5804" w14:paraId="7FE1C2CC" w14:textId="77777777">
        <w:trPr>
          <w:trHeight w:val="463"/>
        </w:trPr>
        <w:tc>
          <w:tcPr>
            <w:tcW w:w="1129" w:type="dxa"/>
          </w:tcPr>
          <w:p w14:paraId="7FE1C2C8" w14:textId="77777777" w:rsidR="007A5804" w:rsidRDefault="007B7723">
            <w:pPr>
              <w:pStyle w:val="P68B1DB1-Normal45"/>
              <w:spacing w:line="276" w:lineRule="auto"/>
              <w:jc w:val="both"/>
            </w:pPr>
            <w:r>
              <w:t>0080</w:t>
            </w:r>
          </w:p>
        </w:tc>
        <w:tc>
          <w:tcPr>
            <w:tcW w:w="7938" w:type="dxa"/>
            <w:shd w:val="clear" w:color="auto" w:fill="FFFFFF" w:themeFill="background1"/>
          </w:tcPr>
          <w:p w14:paraId="0DC1DDCB" w14:textId="24E6B1FE" w:rsidR="007A5804" w:rsidRDefault="007B7723">
            <w:pPr>
              <w:pStyle w:val="P68B1DB1-Normal55"/>
              <w:spacing w:line="276" w:lineRule="auto"/>
              <w:jc w:val="both"/>
            </w:pPr>
            <w:r>
              <w:t>Názov</w:t>
            </w:r>
          </w:p>
          <w:p w14:paraId="7FE1C2CA" w14:textId="07E2401A" w:rsidR="007A5804" w:rsidRDefault="007B7723">
            <w:pPr>
              <w:pStyle w:val="P68B1DB1-Normal45"/>
              <w:spacing w:line="276" w:lineRule="auto"/>
              <w:jc w:val="both"/>
            </w:pPr>
            <w:r>
              <w:t>Názov (konečnej) materskej spoločnosti poskytovateľa služieb vykázaného v stĺpci 0050, ak nejde o subjekt skupiny. V ostatných prípadoch sa neuvádza.</w:t>
            </w:r>
          </w:p>
          <w:p w14:paraId="7FE1C2CB" w14:textId="77777777" w:rsidR="007A5804" w:rsidRDefault="007A5804">
            <w:pPr>
              <w:spacing w:line="276" w:lineRule="auto"/>
              <w:jc w:val="both"/>
              <w:rPr>
                <w:rFonts w:ascii="Times New Roman" w:hAnsi="Times New Roman" w:cs="Times New Roman"/>
              </w:rPr>
            </w:pPr>
          </w:p>
        </w:tc>
      </w:tr>
      <w:tr w:rsidR="007A5804" w14:paraId="7FE1C2D3" w14:textId="77777777">
        <w:trPr>
          <w:trHeight w:val="463"/>
        </w:trPr>
        <w:tc>
          <w:tcPr>
            <w:tcW w:w="1129" w:type="dxa"/>
          </w:tcPr>
          <w:p w14:paraId="7FE1C2CD" w14:textId="77777777" w:rsidR="007A5804" w:rsidRDefault="007B7723">
            <w:pPr>
              <w:pStyle w:val="P68B1DB1-Normal45"/>
              <w:spacing w:line="276" w:lineRule="auto"/>
              <w:jc w:val="both"/>
            </w:pPr>
            <w:r>
              <w:lastRenderedPageBreak/>
              <w:t>0090</w:t>
            </w:r>
          </w:p>
        </w:tc>
        <w:tc>
          <w:tcPr>
            <w:tcW w:w="7938" w:type="dxa"/>
            <w:shd w:val="clear" w:color="auto" w:fill="FFFFFF" w:themeFill="background1"/>
          </w:tcPr>
          <w:p w14:paraId="7FE1C2CE" w14:textId="414718EB" w:rsidR="007A5804" w:rsidRDefault="007B7723">
            <w:pPr>
              <w:pStyle w:val="P68B1DB1-Normal55"/>
              <w:spacing w:line="276" w:lineRule="auto"/>
              <w:jc w:val="both"/>
              <w:rPr>
                <w:bCs/>
              </w:rPr>
            </w:pPr>
            <w:r>
              <w:t>Kód</w:t>
            </w:r>
          </w:p>
          <w:p w14:paraId="7FE1C2CF" w14:textId="77777777" w:rsidR="007A5804" w:rsidRDefault="007B7723">
            <w:pPr>
              <w:pStyle w:val="P68B1DB1-Normal45"/>
              <w:spacing w:line="276" w:lineRule="auto"/>
              <w:jc w:val="both"/>
            </w:pPr>
            <w:r>
              <w:t>Kód materskej spoločnosti vykázaný v stĺpci 0080 je:</w:t>
            </w:r>
          </w:p>
          <w:p w14:paraId="7FE1C2D0" w14:textId="77777777" w:rsidR="007A5804" w:rsidRDefault="007B7723">
            <w:pPr>
              <w:pStyle w:val="P68B1DB1-Normal45"/>
              <w:spacing w:line="276" w:lineRule="auto"/>
              <w:jc w:val="both"/>
            </w:pPr>
            <w:r>
              <w:t>— v prípade subjektov s identifikátorom právneho subjektu (LEI) 20-miestny alfanumerický kód LEI;</w:t>
            </w:r>
          </w:p>
          <w:p w14:paraId="7FE1C2D1" w14:textId="77777777" w:rsidR="007A5804" w:rsidRDefault="007B7723">
            <w:pPr>
              <w:pStyle w:val="P68B1DB1-Normal45"/>
              <w:spacing w:line="276" w:lineRule="auto"/>
              <w:jc w:val="both"/>
            </w:pPr>
            <w:r>
              <w:t xml:space="preserve">— v prípade subjektov bez identifikátora právnickej osoby registračné číslo spoločnosti podľa vnútroštátneho práva. </w:t>
            </w:r>
          </w:p>
          <w:p w14:paraId="7FE1C2D2" w14:textId="77777777" w:rsidR="007A5804" w:rsidRDefault="007A5804">
            <w:pPr>
              <w:spacing w:line="276" w:lineRule="auto"/>
              <w:jc w:val="both"/>
              <w:rPr>
                <w:rFonts w:ascii="Times New Roman" w:eastAsia="Calibri" w:hAnsi="Times New Roman" w:cs="Times New Roman"/>
                <w:sz w:val="20"/>
              </w:rPr>
            </w:pPr>
          </w:p>
        </w:tc>
      </w:tr>
      <w:tr w:rsidR="007A5804" w14:paraId="7FE1C2DC" w14:textId="77777777">
        <w:trPr>
          <w:trHeight w:val="463"/>
        </w:trPr>
        <w:tc>
          <w:tcPr>
            <w:tcW w:w="1129" w:type="dxa"/>
          </w:tcPr>
          <w:p w14:paraId="7FE1C2D4" w14:textId="77777777" w:rsidR="007A5804" w:rsidRDefault="007B7723">
            <w:pPr>
              <w:pStyle w:val="P68B1DB1-Normal45"/>
              <w:spacing w:line="276" w:lineRule="auto"/>
              <w:jc w:val="both"/>
            </w:pPr>
            <w:r>
              <w:t>0100</w:t>
            </w:r>
          </w:p>
        </w:tc>
        <w:tc>
          <w:tcPr>
            <w:tcW w:w="7938" w:type="dxa"/>
            <w:shd w:val="clear" w:color="auto" w:fill="FFFFFF" w:themeFill="background1"/>
          </w:tcPr>
          <w:p w14:paraId="7FE1C2D5" w14:textId="77777777" w:rsidR="007A5804" w:rsidRDefault="007B7723">
            <w:pPr>
              <w:pStyle w:val="P68B1DB1-Normal55"/>
              <w:spacing w:line="276" w:lineRule="auto"/>
              <w:jc w:val="both"/>
              <w:rPr>
                <w:bCs/>
              </w:rPr>
            </w:pPr>
            <w:r>
              <w:t xml:space="preserve">Druh kódu </w:t>
            </w:r>
          </w:p>
          <w:p w14:paraId="7FE1C2D6" w14:textId="77777777" w:rsidR="007A5804" w:rsidRDefault="007B7723">
            <w:pPr>
              <w:pStyle w:val="P68B1DB1-Normal57"/>
              <w:spacing w:line="276" w:lineRule="auto"/>
              <w:contextualSpacing/>
              <w:jc w:val="both"/>
              <w:rPr>
                <w:bCs/>
              </w:rPr>
            </w:pPr>
            <w:r>
              <w:t>Uveďte jednu z týchto hodnôt:</w:t>
            </w:r>
          </w:p>
          <w:p w14:paraId="7FE1C2D7" w14:textId="77777777" w:rsidR="007A5804" w:rsidRDefault="007B7723">
            <w:pPr>
              <w:pStyle w:val="P68B1DB1-ListParagraph58"/>
              <w:numPr>
                <w:ilvl w:val="0"/>
                <w:numId w:val="64"/>
              </w:numPr>
              <w:spacing w:line="276" w:lineRule="auto"/>
              <w:contextualSpacing/>
              <w:jc w:val="both"/>
            </w:pPr>
            <w:r>
              <w:t>IDENTIFIKAČNÝ KÓD</w:t>
            </w:r>
          </w:p>
          <w:p w14:paraId="7FE1C2D8" w14:textId="77777777" w:rsidR="007A5804" w:rsidRDefault="007B7723">
            <w:pPr>
              <w:pStyle w:val="P68B1DB1-ListParagraph58"/>
              <w:numPr>
                <w:ilvl w:val="0"/>
                <w:numId w:val="64"/>
              </w:numPr>
              <w:spacing w:line="276" w:lineRule="auto"/>
              <w:contextualSpacing/>
              <w:jc w:val="both"/>
            </w:pPr>
            <w:r>
              <w:t>Registračné číslo spoločnosti,</w:t>
            </w:r>
          </w:p>
          <w:p w14:paraId="7FE1C2DB" w14:textId="010B0D6D" w:rsidR="007A5804" w:rsidRDefault="007A5804">
            <w:pPr>
              <w:spacing w:line="276" w:lineRule="auto"/>
              <w:jc w:val="both"/>
              <w:rPr>
                <w:rFonts w:ascii="Times New Roman" w:eastAsia="Calibri" w:hAnsi="Times New Roman" w:cs="Times New Roman"/>
                <w:sz w:val="20"/>
              </w:rPr>
            </w:pPr>
          </w:p>
        </w:tc>
      </w:tr>
      <w:tr w:rsidR="007A5804" w14:paraId="7FE1C2E4" w14:textId="77777777">
        <w:trPr>
          <w:trHeight w:val="463"/>
        </w:trPr>
        <w:tc>
          <w:tcPr>
            <w:tcW w:w="1129" w:type="dxa"/>
            <w:shd w:val="clear" w:color="auto" w:fill="FFFFFF" w:themeFill="background1"/>
          </w:tcPr>
          <w:p w14:paraId="7FE1C2DD" w14:textId="77777777" w:rsidR="007A5804" w:rsidRDefault="007B7723">
            <w:pPr>
              <w:pStyle w:val="P68B1DB1-Normal45"/>
              <w:spacing w:line="276" w:lineRule="auto"/>
              <w:jc w:val="both"/>
            </w:pPr>
            <w:r>
              <w:t>0110</w:t>
            </w:r>
          </w:p>
        </w:tc>
        <w:tc>
          <w:tcPr>
            <w:tcW w:w="7938" w:type="dxa"/>
            <w:shd w:val="clear" w:color="auto" w:fill="FFFFFF" w:themeFill="background1"/>
          </w:tcPr>
          <w:p w14:paraId="7FE1C2DE" w14:textId="77777777" w:rsidR="007A5804" w:rsidRDefault="007B7723">
            <w:pPr>
              <w:pStyle w:val="P68B1DB1-Normal45"/>
              <w:spacing w:line="276" w:lineRule="auto"/>
              <w:jc w:val="both"/>
            </w:pPr>
            <w:r>
              <w:rPr>
                <w:b/>
              </w:rPr>
              <w:t>Poskytovanie služieb</w:t>
            </w:r>
            <w:r>
              <w:t xml:space="preserve"> </w:t>
            </w:r>
          </w:p>
          <w:p w14:paraId="7FE1C2DF" w14:textId="77777777" w:rsidR="007A5804" w:rsidRDefault="007B7723">
            <w:pPr>
              <w:pStyle w:val="P68B1DB1-Normal45"/>
              <w:spacing w:line="276" w:lineRule="auto"/>
              <w:jc w:val="both"/>
            </w:pPr>
            <w:r>
              <w:t>„Vnútropodnikový subjekt“, ak službu poskytuje jeden obchodný útvar inej obchodnej jednotke tej istej právnickej osoby.</w:t>
            </w:r>
          </w:p>
          <w:p w14:paraId="7FE1C2E0" w14:textId="200EB8B6" w:rsidR="007A5804" w:rsidRDefault="007B7723">
            <w:pPr>
              <w:spacing w:line="276" w:lineRule="auto"/>
              <w:jc w:val="both"/>
              <w:rPr>
                <w:rFonts w:ascii="Times New Roman" w:eastAsia="Calibri" w:hAnsi="Times New Roman" w:cs="Times New Roman"/>
                <w:sz w:val="20"/>
              </w:rPr>
            </w:pPr>
            <w:r>
              <w:rPr>
                <w:rFonts w:ascii="Times New Roman" w:eastAsia="Calibri" w:hAnsi="Times New Roman" w:cs="Times New Roman"/>
                <w:sz w:val="20"/>
              </w:rPr>
              <w:t>„Vnútroskupinový – regulovaný subjekt“</w:t>
            </w:r>
            <w:r>
              <w:rPr>
                <w:rFonts w:ascii="Times New Roman" w:hAnsi="Times New Roman" w:cs="Times New Roman"/>
              </w:rPr>
              <w:t xml:space="preserve">, ak </w:t>
            </w:r>
            <w:r>
              <w:rPr>
                <w:rFonts w:ascii="Times New Roman" w:eastAsia="Calibri" w:hAnsi="Times New Roman" w:cs="Times New Roman"/>
                <w:sz w:val="20"/>
              </w:rPr>
              <w:t>službu poskytuje</w:t>
            </w:r>
            <w:r>
              <w:rPr>
                <w:rFonts w:ascii="Times New Roman" w:hAnsi="Times New Roman" w:cs="Times New Roman"/>
              </w:rPr>
              <w:t xml:space="preserve"> </w:t>
            </w:r>
            <w:r>
              <w:rPr>
                <w:rFonts w:ascii="Times New Roman" w:eastAsia="Calibri" w:hAnsi="Times New Roman" w:cs="Times New Roman"/>
                <w:sz w:val="20"/>
              </w:rPr>
              <w:t>subjekt skupiny, na ktorý sa vzťahuje prudenciálna regulácia týkajúca sa kapitálu/likvidity na individuálnom základe, vrátane prípadov, keď sa upúšťa od prudenciálnych požiadaviek.</w:t>
            </w:r>
          </w:p>
          <w:p w14:paraId="7FE1C2E1" w14:textId="6FD0E03D" w:rsidR="007A5804" w:rsidRDefault="007B7723">
            <w:pPr>
              <w:pStyle w:val="P68B1DB1-Normal45"/>
              <w:spacing w:line="276" w:lineRule="auto"/>
              <w:jc w:val="both"/>
            </w:pPr>
            <w:r>
              <w:t>„Vnútroskupinový – neregulovaný subjekt“, ak službu poskytuje subjekt skupiny, ktorý je prevádzkovým subjektom, na ktorý sa nevzťahuje prudenciálna regulácia týkajúca sa kapitálu/likvidity na individuálnom základe, vrátane prípadov, keď sa upúšťa od prudenciálnych požiadaviek.</w:t>
            </w:r>
          </w:p>
          <w:p w14:paraId="7FE1C2E2" w14:textId="7B6AA381" w:rsidR="007A5804" w:rsidRDefault="007B7723">
            <w:pPr>
              <w:pStyle w:val="P68B1DB1-Normal45"/>
              <w:spacing w:line="276" w:lineRule="auto"/>
              <w:jc w:val="both"/>
            </w:pPr>
            <w:r>
              <w:t>„Externý subjekt“, ak službu poskytuje externý poskytovateľ, ktorý je mimo skupiny.</w:t>
            </w:r>
          </w:p>
          <w:p w14:paraId="7FE1C2E3" w14:textId="77777777" w:rsidR="007A5804" w:rsidRDefault="007A5804">
            <w:pPr>
              <w:spacing w:line="276" w:lineRule="auto"/>
              <w:jc w:val="both"/>
              <w:rPr>
                <w:rFonts w:ascii="Times New Roman" w:eastAsia="Calibri" w:hAnsi="Times New Roman" w:cs="Times New Roman"/>
                <w:i/>
                <w:sz w:val="20"/>
              </w:rPr>
            </w:pPr>
          </w:p>
        </w:tc>
      </w:tr>
      <w:tr w:rsidR="007A5804" w14:paraId="7FE1C2EB" w14:textId="77777777">
        <w:trPr>
          <w:trHeight w:val="463"/>
        </w:trPr>
        <w:tc>
          <w:tcPr>
            <w:tcW w:w="1129" w:type="dxa"/>
            <w:shd w:val="clear" w:color="auto" w:fill="FFFFFF" w:themeFill="background1"/>
          </w:tcPr>
          <w:p w14:paraId="7FE1C2E5" w14:textId="77777777" w:rsidR="007A5804" w:rsidRDefault="007B7723">
            <w:pPr>
              <w:pStyle w:val="P68B1DB1-Normal50"/>
              <w:spacing w:line="276" w:lineRule="auto"/>
              <w:jc w:val="both"/>
            </w:pPr>
            <w:r>
              <w:t>0120</w:t>
            </w:r>
          </w:p>
          <w:p w14:paraId="7FE1C2E6" w14:textId="77777777" w:rsidR="007A5804" w:rsidRDefault="007A5804">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7A5804" w:rsidRDefault="007B7723">
            <w:pPr>
              <w:pStyle w:val="P68B1DB1-Normal49"/>
              <w:spacing w:line="276" w:lineRule="auto"/>
              <w:jc w:val="both"/>
              <w:rPr>
                <w:bCs/>
                <w:strike/>
              </w:rPr>
            </w:pPr>
            <w:r>
              <w:t>Kritickosť</w:t>
            </w:r>
            <w:r>
              <w:rPr>
                <w:strike/>
              </w:rPr>
              <w:t xml:space="preserve"> </w:t>
            </w:r>
          </w:p>
          <w:p w14:paraId="7FE1C2E8" w14:textId="77777777" w:rsidR="007A5804" w:rsidRDefault="007B7723">
            <w:pPr>
              <w:pStyle w:val="P68B1DB1-ListParagraph58"/>
              <w:numPr>
                <w:ilvl w:val="0"/>
                <w:numId w:val="239"/>
              </w:numPr>
              <w:spacing w:line="276" w:lineRule="auto"/>
              <w:contextualSpacing/>
              <w:jc w:val="both"/>
            </w:pPr>
            <w:r>
              <w:t>Mimoriadne dôležité: ak je služba potrebná na výkon jednej alebo viacerých zásadných funkcií, ktorých prerušenie by vážne bránilo výkonu týchto zásadných funkcií alebo mu bránilo.</w:t>
            </w:r>
          </w:p>
          <w:p w14:paraId="7FE1C2E9" w14:textId="77777777" w:rsidR="007A5804" w:rsidRDefault="007B7723">
            <w:pPr>
              <w:pStyle w:val="P68B1DB1-ListParagraph9"/>
              <w:numPr>
                <w:ilvl w:val="0"/>
                <w:numId w:val="239"/>
              </w:numPr>
              <w:spacing w:line="276" w:lineRule="auto"/>
              <w:contextualSpacing/>
              <w:jc w:val="both"/>
              <w:rPr>
                <w:sz w:val="20"/>
              </w:rPr>
            </w:pPr>
            <w:r>
              <w:rPr>
                <w:sz w:val="20"/>
              </w:rPr>
              <w:t>Základné: akje služba spojená s hlavnými oblasťami obchodnej činnosti, ktorých kontinuita je potrebná na účinné vykonávanie stratégie riešenia krízových situácií a akúkoľvek následnú reštrukturalizáciu.</w:t>
            </w:r>
          </w:p>
          <w:p w14:paraId="7FE1C2EA" w14:textId="3B37659B" w:rsidR="007A5804" w:rsidRDefault="007B7723">
            <w:pPr>
              <w:pStyle w:val="P68B1DB1-ListParagraph58"/>
              <w:numPr>
                <w:ilvl w:val="0"/>
                <w:numId w:val="239"/>
              </w:numPr>
              <w:spacing w:line="276" w:lineRule="auto"/>
              <w:contextualSpacing/>
              <w:jc w:val="both"/>
            </w:pPr>
            <w:r>
              <w:t>Kritické a zásadné</w:t>
            </w:r>
          </w:p>
        </w:tc>
      </w:tr>
      <w:tr w:rsidR="007A5804" w14:paraId="7FE1C2F0" w14:textId="77777777">
        <w:trPr>
          <w:trHeight w:val="463"/>
        </w:trPr>
        <w:tc>
          <w:tcPr>
            <w:tcW w:w="1129" w:type="dxa"/>
            <w:shd w:val="clear" w:color="auto" w:fill="FFFFFF" w:themeFill="background1"/>
          </w:tcPr>
          <w:p w14:paraId="7FE1C2EC" w14:textId="77777777" w:rsidR="007A5804" w:rsidRDefault="007B7723">
            <w:pPr>
              <w:pStyle w:val="P68B1DB1-Normal45"/>
              <w:spacing w:line="276" w:lineRule="auto"/>
              <w:jc w:val="both"/>
            </w:pPr>
            <w:r>
              <w:t>0130</w:t>
            </w:r>
          </w:p>
        </w:tc>
        <w:tc>
          <w:tcPr>
            <w:tcW w:w="7938" w:type="dxa"/>
            <w:shd w:val="clear" w:color="auto" w:fill="FFFFFF" w:themeFill="background1"/>
          </w:tcPr>
          <w:p w14:paraId="7FE1C2ED" w14:textId="77777777" w:rsidR="007A5804" w:rsidRDefault="007B7723">
            <w:pPr>
              <w:pStyle w:val="P68B1DB1-Normal49"/>
              <w:spacing w:line="276" w:lineRule="auto"/>
              <w:jc w:val="both"/>
              <w:rPr>
                <w:bCs/>
              </w:rPr>
            </w:pPr>
            <w:r>
              <w:t>Identifikátor zmluvy</w:t>
            </w:r>
          </w:p>
          <w:p w14:paraId="7FE1C2EE" w14:textId="77777777" w:rsidR="007A5804" w:rsidRDefault="007B7723">
            <w:pPr>
              <w:pStyle w:val="P68B1DB1-Normal45"/>
              <w:spacing w:line="276" w:lineRule="auto"/>
              <w:jc w:val="both"/>
            </w:pPr>
            <w:r>
              <w:t>Jedinečný identifikátor zmluvy, z ktorej vychádza služba, podľa taxonómie služieb skupiny.</w:t>
            </w:r>
          </w:p>
          <w:p w14:paraId="7FE1C2EF" w14:textId="77777777" w:rsidR="007A5804" w:rsidRDefault="007A5804">
            <w:pPr>
              <w:spacing w:line="276" w:lineRule="auto"/>
              <w:jc w:val="both"/>
              <w:rPr>
                <w:rFonts w:ascii="Times New Roman" w:eastAsia="Calibri" w:hAnsi="Times New Roman" w:cs="Times New Roman"/>
                <w:sz w:val="20"/>
              </w:rPr>
            </w:pPr>
          </w:p>
        </w:tc>
      </w:tr>
      <w:tr w:rsidR="007A5804" w14:paraId="7FE1C2F6" w14:textId="77777777">
        <w:trPr>
          <w:trHeight w:val="628"/>
        </w:trPr>
        <w:tc>
          <w:tcPr>
            <w:tcW w:w="1129" w:type="dxa"/>
          </w:tcPr>
          <w:p w14:paraId="7FE1C2F1" w14:textId="77777777" w:rsidR="007A5804" w:rsidRDefault="007B7723">
            <w:pPr>
              <w:pStyle w:val="P68B1DB1-Normal45"/>
              <w:spacing w:line="276" w:lineRule="auto"/>
              <w:jc w:val="both"/>
            </w:pPr>
            <w:r>
              <w:t>0140</w:t>
            </w:r>
          </w:p>
          <w:p w14:paraId="7FE1C2F2" w14:textId="77777777" w:rsidR="007A5804" w:rsidRDefault="007A5804">
            <w:pPr>
              <w:spacing w:line="276" w:lineRule="auto"/>
              <w:jc w:val="both"/>
              <w:rPr>
                <w:rFonts w:ascii="Times New Roman" w:eastAsia="Calibri" w:hAnsi="Times New Roman" w:cs="Times New Roman"/>
                <w:strike/>
                <w:sz w:val="20"/>
              </w:rPr>
            </w:pPr>
          </w:p>
        </w:tc>
        <w:tc>
          <w:tcPr>
            <w:tcW w:w="7938" w:type="dxa"/>
          </w:tcPr>
          <w:p w14:paraId="7FE1C2F3" w14:textId="77777777" w:rsidR="007A5804" w:rsidRDefault="007B7723">
            <w:pPr>
              <w:pStyle w:val="P68B1DB1-Normal55"/>
              <w:spacing w:line="276" w:lineRule="auto"/>
              <w:jc w:val="both"/>
            </w:pPr>
            <w:r>
              <w:rPr>
                <w:szCs w:val="20"/>
              </w:rPr>
              <w:t>Rozhodné právo</w:t>
            </w:r>
            <w:r>
              <w:t xml:space="preserve"> </w:t>
            </w:r>
          </w:p>
          <w:p w14:paraId="7FE1C2F4" w14:textId="77777777" w:rsidR="007A5804" w:rsidRDefault="007B7723">
            <w:pPr>
              <w:pStyle w:val="P68B1DB1-Normal45"/>
              <w:spacing w:line="276" w:lineRule="auto"/>
              <w:jc w:val="both"/>
            </w:pPr>
            <w:r>
              <w:t>Kód ISO štátu, ktorého právom sa riadi zmluva.</w:t>
            </w:r>
          </w:p>
          <w:p w14:paraId="7FE1C2F5" w14:textId="77777777" w:rsidR="007A5804" w:rsidRDefault="007A5804">
            <w:pPr>
              <w:spacing w:line="276" w:lineRule="auto"/>
              <w:jc w:val="both"/>
              <w:rPr>
                <w:rFonts w:ascii="Times New Roman" w:eastAsia="Calibri" w:hAnsi="Times New Roman" w:cs="Times New Roman"/>
                <w:sz w:val="20"/>
              </w:rPr>
            </w:pPr>
          </w:p>
        </w:tc>
      </w:tr>
      <w:tr w:rsidR="007A5804" w14:paraId="7FE1C2FC" w14:textId="77777777">
        <w:trPr>
          <w:trHeight w:val="628"/>
        </w:trPr>
        <w:tc>
          <w:tcPr>
            <w:tcW w:w="1129" w:type="dxa"/>
          </w:tcPr>
          <w:p w14:paraId="7FE1C2F7" w14:textId="77777777" w:rsidR="007A5804" w:rsidRDefault="007B7723">
            <w:pPr>
              <w:pStyle w:val="P68B1DB1-Normal45"/>
              <w:spacing w:line="276" w:lineRule="auto"/>
              <w:jc w:val="both"/>
            </w:pPr>
            <w:r>
              <w:t>0150 – 0170</w:t>
            </w:r>
          </w:p>
          <w:p w14:paraId="7FE1C2F8" w14:textId="77777777" w:rsidR="007A5804" w:rsidRDefault="007A5804">
            <w:pPr>
              <w:spacing w:line="276" w:lineRule="auto"/>
              <w:jc w:val="both"/>
              <w:rPr>
                <w:rFonts w:ascii="Times New Roman" w:eastAsia="Calibri" w:hAnsi="Times New Roman" w:cs="Times New Roman"/>
                <w:strike/>
                <w:sz w:val="20"/>
              </w:rPr>
            </w:pPr>
          </w:p>
        </w:tc>
        <w:tc>
          <w:tcPr>
            <w:tcW w:w="7938" w:type="dxa"/>
          </w:tcPr>
          <w:p w14:paraId="7FE1C2F9" w14:textId="77777777" w:rsidR="007A5804" w:rsidRDefault="007B7723">
            <w:pPr>
              <w:pStyle w:val="P68B1DB1-Normal49"/>
              <w:spacing w:before="120" w:after="120" w:line="276" w:lineRule="auto"/>
              <w:rPr>
                <w:bCs/>
                <w:iCs/>
              </w:rPr>
            </w:pPr>
            <w:r>
              <w:t xml:space="preserve">Odolnosť voči riešeniu krízových situácií </w:t>
            </w:r>
          </w:p>
          <w:p w14:paraId="7FE1C2FA" w14:textId="77777777" w:rsidR="007A5804" w:rsidRDefault="007B7723">
            <w:pPr>
              <w:pStyle w:val="P68B1DB1-NormalWeb59"/>
              <w:spacing w:before="0" w:beforeAutospacing="0" w:after="0" w:afterAutospacing="0"/>
              <w:rPr>
                <w:iCs/>
                <w:szCs w:val="20"/>
              </w:rPr>
            </w:pPr>
            <w:r>
              <w:rPr>
                <w:szCs w:val="20"/>
              </w:rPr>
              <w:t xml:space="preserve">Posúdenie, či by zmluva na podporu služby vykázaná v stĺpci 0020 mohla pokračovať a previesť počas vykonávania stratégie riešenia krízových situácií vrátane plánu reorganizácie obchodnej činnosti v </w:t>
            </w:r>
            <w:r>
              <w:t>súlade s EBA/GL/2022/01 a príslušnými vnútroštátnymi právnymi predpismi.</w:t>
            </w:r>
          </w:p>
          <w:p w14:paraId="7FE1C2FB" w14:textId="77777777" w:rsidR="007A5804" w:rsidRDefault="007A5804">
            <w:pPr>
              <w:spacing w:line="276" w:lineRule="auto"/>
              <w:jc w:val="both"/>
              <w:rPr>
                <w:rFonts w:ascii="Times New Roman" w:eastAsia="Calibri" w:hAnsi="Times New Roman" w:cs="Times New Roman"/>
                <w:iCs/>
                <w:sz w:val="20"/>
                <w:szCs w:val="20"/>
              </w:rPr>
            </w:pPr>
          </w:p>
        </w:tc>
      </w:tr>
      <w:tr w:rsidR="007A5804" w14:paraId="7FE1C30C" w14:textId="77777777">
        <w:trPr>
          <w:trHeight w:val="2120"/>
        </w:trPr>
        <w:tc>
          <w:tcPr>
            <w:tcW w:w="1129" w:type="dxa"/>
          </w:tcPr>
          <w:p w14:paraId="7FE1C2FD" w14:textId="77777777" w:rsidR="007A5804" w:rsidRDefault="007B7723">
            <w:pPr>
              <w:pStyle w:val="P68B1DB1-Normal45"/>
              <w:spacing w:line="276" w:lineRule="auto"/>
              <w:jc w:val="both"/>
            </w:pPr>
            <w:r>
              <w:lastRenderedPageBreak/>
              <w:t>0150</w:t>
            </w:r>
          </w:p>
        </w:tc>
        <w:tc>
          <w:tcPr>
            <w:tcW w:w="7938" w:type="dxa"/>
          </w:tcPr>
          <w:p w14:paraId="7FE1C2FE" w14:textId="77777777" w:rsidR="007A5804" w:rsidRDefault="007B7723">
            <w:pPr>
              <w:pStyle w:val="P68B1DB1-Normal55"/>
              <w:spacing w:line="276" w:lineRule="auto"/>
              <w:jc w:val="both"/>
              <w:rPr>
                <w:bCs/>
              </w:rPr>
            </w:pPr>
            <w:r>
              <w:rPr>
                <w:szCs w:val="20"/>
              </w:rPr>
              <w:t>Prvky odolnosti voči riešeniu krízových situácií</w:t>
            </w:r>
            <w:r>
              <w:t xml:space="preserve"> </w:t>
            </w:r>
          </w:p>
          <w:p w14:paraId="7FE1C2FF" w14:textId="77777777" w:rsidR="007A5804" w:rsidRDefault="007B7723">
            <w:pPr>
              <w:pStyle w:val="P68B1DB1-Normal50"/>
              <w:spacing w:line="276" w:lineRule="auto"/>
              <w:jc w:val="both"/>
              <w:rPr>
                <w:iCs/>
              </w:rPr>
            </w:pPr>
            <w:r>
              <w:t>Vlastnosti odolné voči riešeniu krízových situácií sú vlastnosti, ktoré by mala mať príslušná zmluva o poskytovaní služieb, aby sa mohla považovať za odolnú voči riešeniu krízových situácií. Za predpokladu, že sa naďalej plnia hmotnoprávne záväzky vyplývajúce zo zmluvy, zahŕňajú:</w:t>
            </w:r>
          </w:p>
          <w:p w14:paraId="7FE1C300" w14:textId="77777777" w:rsidR="007A5804" w:rsidRDefault="007B7723">
            <w:pPr>
              <w:pStyle w:val="P68B1DB1-ListParagraph60"/>
              <w:numPr>
                <w:ilvl w:val="0"/>
                <w:numId w:val="240"/>
              </w:numPr>
              <w:spacing w:line="276" w:lineRule="auto"/>
              <w:ind w:left="500"/>
              <w:contextualSpacing/>
              <w:jc w:val="both"/>
              <w:rPr>
                <w:iCs/>
              </w:rPr>
            </w:pPr>
            <w:r>
              <w:t xml:space="preserve">aby nedošlo k ukončeniu, pozastaveniu alebo zmene z dôvodu riešenia krízových situácií (vrátane reorganizácie obchodnej činnosti podľa článku 51 smernice 2014/59/EÚ), </w:t>
            </w:r>
          </w:p>
          <w:p w14:paraId="7FE1C301" w14:textId="77777777" w:rsidR="007A5804" w:rsidRDefault="007B7723">
            <w:pPr>
              <w:pStyle w:val="P68B1DB1-ListParagraph60"/>
              <w:numPr>
                <w:ilvl w:val="0"/>
                <w:numId w:val="240"/>
              </w:numPr>
              <w:spacing w:line="276" w:lineRule="auto"/>
              <w:ind w:left="500"/>
              <w:contextualSpacing/>
              <w:jc w:val="both"/>
              <w:rPr>
                <w:iCs/>
              </w:rPr>
            </w:pPr>
            <w:r>
              <w:t xml:space="preserve">prevoditeľnosť poskytovania služby na nového príjemcu buď príjemcom služby, alebo orgánom pre riešenie krízových situácií z dôvodu riešenia krízových situácií (vrátane reorganizácie podľa článku 51 smernice 2014/59/EÚ), </w:t>
            </w:r>
          </w:p>
          <w:p w14:paraId="7FE1C302" w14:textId="77777777" w:rsidR="007A5804" w:rsidRDefault="007B7723">
            <w:pPr>
              <w:pStyle w:val="P68B1DB1-ListParagraph60"/>
              <w:numPr>
                <w:ilvl w:val="0"/>
                <w:numId w:val="240"/>
              </w:numPr>
              <w:spacing w:line="276" w:lineRule="auto"/>
              <w:ind w:left="500"/>
              <w:contextualSpacing/>
              <w:jc w:val="both"/>
              <w:rPr>
                <w:iCs/>
              </w:rPr>
            </w:pPr>
            <w:r>
              <w:t>podpora pri prevode alebo ukončení počas riešenia krízovej situácie (vrátane reorganizácie podľa článku 51 smernice 2014/59/EÚ) na primerané obdobie (napríklad 24 mesiacov) zo strany súčasného poskytovateľa služieb a za rovnakých podmienok, a a zároveň</w:t>
            </w:r>
          </w:p>
          <w:p w14:paraId="7FE1C303" w14:textId="77777777" w:rsidR="007A5804" w:rsidRDefault="007B7723">
            <w:pPr>
              <w:pStyle w:val="P68B1DB1-ListParagraph60"/>
              <w:numPr>
                <w:ilvl w:val="0"/>
                <w:numId w:val="240"/>
              </w:numPr>
              <w:spacing w:line="276" w:lineRule="auto"/>
              <w:ind w:left="500"/>
              <w:contextualSpacing/>
              <w:jc w:val="both"/>
              <w:rPr>
                <w:iCs/>
              </w:rPr>
            </w:pPr>
            <w:r>
              <w:t>nepretržité poskytovanie služieb odpredanému subjektu skupiny počas riešenia krízovej situácie (vrátane reorganizácie podľa článku 51 smernice 2014/59/EÚ) počas primeraného obdobia po odpredaji – napríklad 24 mesiacov.</w:t>
            </w:r>
          </w:p>
          <w:p w14:paraId="7FE1C304" w14:textId="77777777" w:rsidR="007A5804" w:rsidRDefault="007B7723">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Vzťahuje sa to na zmluvy, ktorých rozhodným právom a jurisdikciou je právo a jurisdikcia členského štátu EÚ (ďalej len „</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zmluvy EÚ“), a na zmluvy, na ktoré sa vzťahuje právo tretej krajiny.</w:t>
            </w:r>
          </w:p>
          <w:p w14:paraId="7FE1C305" w14:textId="77777777" w:rsidR="007A5804" w:rsidRDefault="007A5804">
            <w:pPr>
              <w:spacing w:line="276" w:lineRule="auto"/>
              <w:jc w:val="both"/>
              <w:rPr>
                <w:rFonts w:ascii="Times New Roman" w:eastAsia="Calibri" w:hAnsi="Times New Roman" w:cs="Times New Roman"/>
                <w:sz w:val="20"/>
              </w:rPr>
            </w:pPr>
          </w:p>
          <w:p w14:paraId="7FE1C306" w14:textId="77777777" w:rsidR="007A5804" w:rsidRDefault="007B7723">
            <w:pPr>
              <w:pStyle w:val="P68B1DB1-Normal45"/>
              <w:spacing w:line="276" w:lineRule="auto"/>
              <w:jc w:val="both"/>
            </w:pPr>
            <w:r>
              <w:t>Uveďte jednu z týchto hodnôt:</w:t>
            </w:r>
          </w:p>
          <w:p w14:paraId="7FE1C307" w14:textId="77777777" w:rsidR="007A5804" w:rsidRDefault="007B7723">
            <w:pPr>
              <w:pStyle w:val="P68B1DB1-Normal50"/>
              <w:spacing w:line="276" w:lineRule="auto"/>
              <w:jc w:val="both"/>
            </w:pPr>
            <w:r>
              <w:t>„Áno“ – ak je zmluva posúdená ako</w:t>
            </w:r>
            <w:r>
              <w:rPr>
                <w:strike/>
              </w:rPr>
              <w:t xml:space="preserve">neovplyvniteľná riešením krízovej </w:t>
            </w:r>
            <w:r>
              <w:t>situácie</w:t>
            </w:r>
          </w:p>
          <w:p w14:paraId="7FE1C308" w14:textId="77777777" w:rsidR="007A5804" w:rsidRDefault="007B7723">
            <w:pPr>
              <w:pStyle w:val="P68B1DB1-Normal50"/>
              <w:spacing w:line="276" w:lineRule="auto"/>
              <w:jc w:val="both"/>
            </w:pPr>
            <w:r>
              <w:t>„Nie“ – ak zmluva nie je posúdená ako</w:t>
            </w:r>
            <w:r>
              <w:rPr>
                <w:strike/>
              </w:rPr>
              <w:t xml:space="preserve"> neovplyvniteľná riešením krízovej </w:t>
            </w:r>
            <w:r>
              <w:t>situácie</w:t>
            </w:r>
          </w:p>
          <w:p w14:paraId="7FE1C309" w14:textId="77777777" w:rsidR="007A5804" w:rsidRDefault="007B7723">
            <w:pPr>
              <w:pStyle w:val="P68B1DB1-Normal50"/>
              <w:spacing w:line="276" w:lineRule="auto"/>
              <w:jc w:val="both"/>
            </w:pPr>
            <w:r>
              <w:t>„Neposúdené“ – ak sa posúdenie nevykonalo</w:t>
            </w:r>
          </w:p>
          <w:p w14:paraId="7FE1C30A" w14:textId="5741BAA8" w:rsidR="007A5804" w:rsidRDefault="007B7723">
            <w:pPr>
              <w:pStyle w:val="P68B1DB1-Normal50"/>
              <w:spacing w:line="276" w:lineRule="auto"/>
              <w:jc w:val="both"/>
            </w:pPr>
            <w:r>
              <w:t>„Nie APPLICABLE“ – pre služby v rámci subjektu</w:t>
            </w:r>
          </w:p>
          <w:p w14:paraId="7FE1C30B" w14:textId="77777777" w:rsidR="007A5804" w:rsidRDefault="007A5804">
            <w:pPr>
              <w:spacing w:line="276" w:lineRule="auto"/>
              <w:jc w:val="both"/>
              <w:rPr>
                <w:rFonts w:ascii="Times New Roman" w:eastAsia="Calibri" w:hAnsi="Times New Roman" w:cs="Times New Roman"/>
                <w:sz w:val="20"/>
              </w:rPr>
            </w:pPr>
          </w:p>
        </w:tc>
      </w:tr>
      <w:tr w:rsidR="007A5804" w14:paraId="7FE1C316" w14:textId="77777777">
        <w:trPr>
          <w:trHeight w:val="2120"/>
        </w:trPr>
        <w:tc>
          <w:tcPr>
            <w:tcW w:w="1129" w:type="dxa"/>
          </w:tcPr>
          <w:p w14:paraId="7FE1C30D" w14:textId="77777777" w:rsidR="007A5804" w:rsidRDefault="007B7723">
            <w:pPr>
              <w:pStyle w:val="P68B1DB1-Normal45"/>
              <w:spacing w:line="276" w:lineRule="auto"/>
              <w:jc w:val="both"/>
            </w:pPr>
            <w:r>
              <w:t>0160</w:t>
            </w:r>
          </w:p>
        </w:tc>
        <w:tc>
          <w:tcPr>
            <w:tcW w:w="7938" w:type="dxa"/>
          </w:tcPr>
          <w:p w14:paraId="7FE1C30E" w14:textId="77777777" w:rsidR="007A5804" w:rsidRDefault="007B7723">
            <w:pPr>
              <w:pStyle w:val="P68B1DB1-Normal55"/>
              <w:spacing w:line="276" w:lineRule="auto"/>
              <w:jc w:val="both"/>
              <w:rPr>
                <w:bCs/>
                <w:iCs/>
              </w:rPr>
            </w:pPr>
            <w:r>
              <w:t>Plán reorganizácie podnikov (BRP)</w:t>
            </w:r>
          </w:p>
          <w:p w14:paraId="7FE1C30F" w14:textId="77777777" w:rsidR="007A5804" w:rsidRDefault="007B7723">
            <w:pPr>
              <w:pStyle w:val="P68B1DB1-Normal45"/>
              <w:spacing w:line="276" w:lineRule="auto"/>
              <w:jc w:val="both"/>
              <w:rPr>
                <w:iCs/>
              </w:rPr>
            </w:pPr>
            <w:r>
              <w:t xml:space="preserve">Ak si stratégia riešenia krízových situácií (uprednostňovaná alebo variantná) vyžaduje plán reorganizácie obchodnej činnosti, očakáva sa, že zmluvy EÚ budú obsahovať výslovné doložky s cieľom zabezpečiť ich odolnosť voči riešeniu krízových situácií pri vykonávaní RPR. </w:t>
            </w:r>
          </w:p>
          <w:p w14:paraId="7FE1C310" w14:textId="77777777" w:rsidR="007A5804" w:rsidRDefault="007A5804">
            <w:pPr>
              <w:spacing w:line="276" w:lineRule="auto"/>
              <w:jc w:val="both"/>
              <w:rPr>
                <w:rFonts w:ascii="Times New Roman" w:eastAsia="Calibri" w:hAnsi="Times New Roman" w:cs="Times New Roman"/>
                <w:iCs/>
                <w:sz w:val="20"/>
              </w:rPr>
            </w:pPr>
          </w:p>
          <w:p w14:paraId="7FE1C311" w14:textId="77777777" w:rsidR="007A5804" w:rsidRDefault="007B7723">
            <w:pPr>
              <w:pStyle w:val="P68B1DB1-Normal45"/>
              <w:spacing w:line="276" w:lineRule="auto"/>
              <w:jc w:val="both"/>
              <w:rPr>
                <w:iCs/>
              </w:rPr>
            </w:pPr>
            <w:r>
              <w:t>Uveďte jednu z týchto hodnôt:</w:t>
            </w:r>
          </w:p>
          <w:p w14:paraId="7FE1C312" w14:textId="77777777"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Áno“ – ak zmluva obsahuje výslovné ustanovenia na zabezpečenie ich odolnosti voči riešeniu krízových situácií pri vykonávaní RPR</w:t>
            </w:r>
          </w:p>
          <w:p w14:paraId="7FE1C313" w14:textId="77777777"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Nie“ – ak zmluva neobsahuje výslovné ustanovenia na zabezpečenie ich odolnosti voči riešeniu krízových situácií pri vykonávaní RPR</w:t>
            </w:r>
          </w:p>
          <w:p w14:paraId="7FE1C314" w14:textId="77777777" w:rsidR="007A5804" w:rsidRDefault="007B7723">
            <w:pPr>
              <w:spacing w:line="276" w:lineRule="auto"/>
              <w:jc w:val="both"/>
              <w:rPr>
                <w:rFonts w:ascii="Times New Roman" w:eastAsia="Calibri" w:hAnsi="Times New Roman" w:cs="Times New Roman"/>
                <w:iCs/>
                <w:sz w:val="20"/>
              </w:rPr>
            </w:pPr>
            <w:r>
              <w:rPr>
                <w:rFonts w:ascii="Times New Roman" w:eastAsia="Calibri" w:hAnsi="Times New Roman" w:cs="Times New Roman"/>
                <w:sz w:val="20"/>
              </w:rPr>
              <w:t>„Neposúdené“ – ak sa posúdenie nevykonalo</w:t>
            </w:r>
          </w:p>
          <w:p w14:paraId="7FE1C315" w14:textId="0FA2A696"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Nie APPLICABLE“ – pre služby v rámci subjektu alebo pre vnútroskupinové a externé služby, ak si stratégia riešenia krízových situácií (uprednostňovaná a variantná) nevyžaduje plán reorganizácie obchodnej činnosti </w:t>
            </w:r>
          </w:p>
        </w:tc>
      </w:tr>
      <w:tr w:rsidR="007A5804" w14:paraId="7FE1C320" w14:textId="77777777">
        <w:trPr>
          <w:trHeight w:val="416"/>
        </w:trPr>
        <w:tc>
          <w:tcPr>
            <w:tcW w:w="1129" w:type="dxa"/>
          </w:tcPr>
          <w:p w14:paraId="7FE1C317" w14:textId="77777777" w:rsidR="007A5804" w:rsidRDefault="007B7723">
            <w:pPr>
              <w:pStyle w:val="P68B1DB1-Normal45"/>
              <w:spacing w:line="276" w:lineRule="auto"/>
              <w:jc w:val="both"/>
            </w:pPr>
            <w:r>
              <w:t>0170</w:t>
            </w:r>
          </w:p>
        </w:tc>
        <w:tc>
          <w:tcPr>
            <w:tcW w:w="7938" w:type="dxa"/>
          </w:tcPr>
          <w:p w14:paraId="7FE1C318" w14:textId="77777777" w:rsidR="007A5804" w:rsidRDefault="007B7723">
            <w:pPr>
              <w:pStyle w:val="P68B1DB1-Normal55"/>
              <w:spacing w:line="276" w:lineRule="auto"/>
              <w:jc w:val="both"/>
              <w:rPr>
                <w:bCs/>
              </w:rPr>
            </w:pPr>
            <w:r>
              <w:t xml:space="preserve">Alternatívne zmierňujúce opatrenia </w:t>
            </w:r>
          </w:p>
          <w:p w14:paraId="7FE1C319" w14:textId="77777777" w:rsidR="007A5804" w:rsidRDefault="007B7723">
            <w:pPr>
              <w:pStyle w:val="P68B1DB1-Normal45"/>
              <w:spacing w:line="276" w:lineRule="auto"/>
              <w:jc w:val="both"/>
            </w:pPr>
            <w:r>
              <w:t xml:space="preserve">Ak sa očakáva, že sa dosiahne odolnosť voči riešeniu krízových situácií, ale banky to nedokázali dosiahnuť, očakáva sa, že banky preskúmajú alternatívne zmierňujúce opatrenia. </w:t>
            </w:r>
          </w:p>
          <w:p w14:paraId="7FE1C31A" w14:textId="77777777" w:rsidR="007A5804" w:rsidRDefault="007A5804">
            <w:pPr>
              <w:spacing w:line="276" w:lineRule="auto"/>
              <w:jc w:val="both"/>
              <w:rPr>
                <w:rFonts w:ascii="Times New Roman" w:eastAsia="Calibri" w:hAnsi="Times New Roman" w:cs="Times New Roman"/>
                <w:sz w:val="20"/>
              </w:rPr>
            </w:pPr>
          </w:p>
          <w:p w14:paraId="7FE1C31B" w14:textId="77777777" w:rsidR="007A5804" w:rsidRDefault="007B7723">
            <w:pPr>
              <w:pStyle w:val="P68B1DB1-Normal45"/>
              <w:spacing w:line="276" w:lineRule="auto"/>
              <w:jc w:val="both"/>
              <w:rPr>
                <w:iCs/>
              </w:rPr>
            </w:pPr>
            <w:r>
              <w:t>Uveďte jednu z týchto hodnôt:</w:t>
            </w:r>
          </w:p>
          <w:p w14:paraId="7FE1C31C" w14:textId="77777777"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lastRenderedPageBreak/>
              <w:t>„</w:t>
            </w:r>
            <w:r>
              <w:rPr>
                <w:rFonts w:ascii="Times New Roman" w:eastAsia="Calibri" w:hAnsi="Times New Roman" w:cs="Times New Roman"/>
                <w:sz w:val="20"/>
              </w:rPr>
              <w:t>Áno“ – ak banka vykonala alternatívne zmierňujúce opatrenia</w:t>
            </w:r>
          </w:p>
          <w:p w14:paraId="7FE1C31D" w14:textId="77777777"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Nie“ – ak banka nevykonala alternatívne zmierňujúce opatrenia</w:t>
            </w:r>
          </w:p>
          <w:p w14:paraId="7FE1C31E" w14:textId="7B22C50F" w:rsidR="007A5804" w:rsidRDefault="007B7723">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Nie APPLICABLE“ – v prípadoch, keď je ktorýkoľvek zo stĺpcov 0150, 0160 označený ako „áno“ alebo „NEURČENÉ“</w:t>
            </w:r>
          </w:p>
          <w:p w14:paraId="7FE1C31F" w14:textId="77777777" w:rsidR="007A5804" w:rsidRDefault="007A5804">
            <w:pPr>
              <w:spacing w:line="276" w:lineRule="auto"/>
              <w:jc w:val="both"/>
              <w:rPr>
                <w:rFonts w:ascii="Times New Roman" w:eastAsia="Calibri" w:hAnsi="Times New Roman" w:cs="Times New Roman"/>
                <w:sz w:val="20"/>
              </w:rPr>
            </w:pPr>
          </w:p>
        </w:tc>
      </w:tr>
      <w:tr w:rsidR="007A5804" w14:paraId="7FE1C327" w14:textId="77777777">
        <w:trPr>
          <w:trHeight w:val="1257"/>
        </w:trPr>
        <w:tc>
          <w:tcPr>
            <w:tcW w:w="1129" w:type="dxa"/>
          </w:tcPr>
          <w:p w14:paraId="7FE1C321" w14:textId="77777777" w:rsidR="007A5804" w:rsidRDefault="007B7723">
            <w:pPr>
              <w:pStyle w:val="P68B1DB1-Normal45"/>
              <w:spacing w:line="276" w:lineRule="auto"/>
              <w:jc w:val="both"/>
            </w:pPr>
            <w:r>
              <w:lastRenderedPageBreak/>
              <w:t>0180</w:t>
            </w:r>
          </w:p>
        </w:tc>
        <w:tc>
          <w:tcPr>
            <w:tcW w:w="7938" w:type="dxa"/>
          </w:tcPr>
          <w:p w14:paraId="7FE1C322" w14:textId="77777777" w:rsidR="007A5804" w:rsidRDefault="007B7723">
            <w:pPr>
              <w:pStyle w:val="P68B1DB1-Normal55"/>
              <w:spacing w:line="276" w:lineRule="auto"/>
              <w:jc w:val="both"/>
              <w:rPr>
                <w:iCs/>
              </w:rPr>
            </w:pPr>
            <w:r>
              <w:rPr>
                <w:szCs w:val="20"/>
              </w:rPr>
              <w:t>Kritický externý poskytovateľ IKT služieb podľa nariadenia DORA</w:t>
            </w:r>
            <w:r>
              <w:t xml:space="preserve"> </w:t>
            </w:r>
          </w:p>
          <w:p w14:paraId="7FE1C323" w14:textId="77777777" w:rsidR="007A5804" w:rsidRDefault="007B7723">
            <w:pPr>
              <w:pStyle w:val="P68B1DB1-Normal45"/>
              <w:spacing w:line="276" w:lineRule="auto"/>
              <w:jc w:val="both"/>
              <w:rPr>
                <w:iCs/>
              </w:rPr>
            </w:pPr>
            <w:r>
              <w:t>Uveďte jednu z týchto hodnôt:</w:t>
            </w:r>
          </w:p>
          <w:p w14:paraId="7FE1C324" w14:textId="77777777" w:rsidR="007A5804" w:rsidRDefault="007B7723">
            <w:pPr>
              <w:pStyle w:val="P68B1DB1-Normal50"/>
              <w:spacing w:line="276" w:lineRule="auto"/>
              <w:jc w:val="both"/>
            </w:pPr>
            <w:r>
              <w:t>„Áno“ – ak ide o kritického externého poskytovateľa IKT služieb podľa článku 3 ods. 23 nariadenia 2022/2554 (DORA)</w:t>
            </w:r>
          </w:p>
          <w:p w14:paraId="7FE1C325" w14:textId="77777777" w:rsidR="007A5804" w:rsidRDefault="007B7723">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Nie“ – ak nejde o kritického externého poskytovateľa IKT služieb podľa článku 3 ods. 23 nariadenia 2022/2554 (DORA)</w:t>
            </w:r>
          </w:p>
          <w:p w14:paraId="7FE1C326" w14:textId="77777777" w:rsidR="007A5804" w:rsidRDefault="007A5804">
            <w:pPr>
              <w:spacing w:line="276" w:lineRule="auto"/>
              <w:jc w:val="both"/>
              <w:rPr>
                <w:rFonts w:ascii="Times New Roman" w:eastAsia="Calibri" w:hAnsi="Times New Roman" w:cs="Times New Roman"/>
                <w:sz w:val="20"/>
              </w:rPr>
            </w:pPr>
          </w:p>
        </w:tc>
      </w:tr>
      <w:tr w:rsidR="007A5804" w14:paraId="7FE1C32E" w14:textId="77777777">
        <w:trPr>
          <w:trHeight w:val="1257"/>
        </w:trPr>
        <w:tc>
          <w:tcPr>
            <w:tcW w:w="1129" w:type="dxa"/>
          </w:tcPr>
          <w:p w14:paraId="7FE1C328" w14:textId="77777777" w:rsidR="007A5804" w:rsidRDefault="007B7723">
            <w:pPr>
              <w:pStyle w:val="P68B1DB1-Normal45"/>
              <w:spacing w:line="276" w:lineRule="auto"/>
              <w:jc w:val="both"/>
            </w:pPr>
            <w:r>
              <w:t>0190</w:t>
            </w:r>
          </w:p>
        </w:tc>
        <w:tc>
          <w:tcPr>
            <w:tcW w:w="7938" w:type="dxa"/>
          </w:tcPr>
          <w:p w14:paraId="7FE1C329" w14:textId="77777777" w:rsidR="007A5804" w:rsidRDefault="007B7723">
            <w:pPr>
              <w:pStyle w:val="P68B1DB1-Normal55"/>
              <w:spacing w:line="276" w:lineRule="auto"/>
              <w:jc w:val="both"/>
              <w:rPr>
                <w:iCs/>
              </w:rPr>
            </w:pPr>
            <w:r>
              <w:rPr>
                <w:szCs w:val="20"/>
              </w:rPr>
              <w:t>Služba IKT podľa DORA</w:t>
            </w:r>
            <w:r>
              <w:t xml:space="preserve"> </w:t>
            </w:r>
          </w:p>
          <w:p w14:paraId="7FE1C32A" w14:textId="77777777" w:rsidR="007A5804" w:rsidRDefault="007B7723">
            <w:pPr>
              <w:pStyle w:val="P68B1DB1-Normal45"/>
              <w:spacing w:line="276" w:lineRule="auto"/>
              <w:jc w:val="both"/>
              <w:rPr>
                <w:iCs/>
              </w:rPr>
            </w:pPr>
            <w:r>
              <w:t>Uveďte jednu z týchto hodnôt:</w:t>
            </w:r>
          </w:p>
          <w:p w14:paraId="7FE1C32B" w14:textId="3A99D278" w:rsidR="007A5804" w:rsidRDefault="007B7723">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„Áno“ – ak ide o IKT službu podľa článku 3 ods. 21 nariadenia 2022/2554</w:t>
            </w:r>
            <w:r>
              <w:rPr>
                <w:rStyle w:val="FootnoteReference"/>
                <w:rFonts w:eastAsia="Calibri" w:cs="Times New Roman"/>
              </w:rPr>
              <w:footnoteReference w:id="27"/>
            </w:r>
            <w:r>
              <w:rPr>
                <w:rFonts w:ascii="Times New Roman" w:eastAsia="Calibri" w:hAnsi="Times New Roman" w:cs="Times New Roman"/>
                <w:sz w:val="20"/>
                <w:szCs w:val="20"/>
              </w:rPr>
              <w:t xml:space="preserve"> (DORA)</w:t>
            </w:r>
          </w:p>
          <w:p w14:paraId="7FE1C32C" w14:textId="77777777" w:rsidR="007A5804" w:rsidRDefault="007B7723">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Nie“ – ak nejde o IKT službu podľa článku 3 ods. 21 nariadenia 2022/2554 (DORA)</w:t>
            </w:r>
          </w:p>
          <w:p w14:paraId="7FE1C32D" w14:textId="77777777" w:rsidR="007A5804" w:rsidRDefault="007A5804">
            <w:pPr>
              <w:spacing w:line="276" w:lineRule="auto"/>
              <w:jc w:val="both"/>
              <w:rPr>
                <w:rFonts w:ascii="Times New Roman" w:eastAsia="Calibri" w:hAnsi="Times New Roman" w:cs="Times New Roman"/>
                <w:iCs/>
                <w:sz w:val="20"/>
              </w:rPr>
            </w:pPr>
          </w:p>
        </w:tc>
      </w:tr>
    </w:tbl>
    <w:p w14:paraId="7FE1C32F" w14:textId="77777777" w:rsidR="007A5804" w:rsidRDefault="007A5804">
      <w:pPr>
        <w:spacing w:line="276" w:lineRule="auto"/>
        <w:jc w:val="both"/>
        <w:rPr>
          <w:rFonts w:ascii="Times New Roman" w:eastAsia="Calibri" w:hAnsi="Times New Roman" w:cs="Times New Roman"/>
          <w:color w:val="0070C0"/>
          <w:sz w:val="20"/>
        </w:rPr>
      </w:pPr>
    </w:p>
    <w:p w14:paraId="7FE1C478" w14:textId="77777777" w:rsidR="007A5804" w:rsidRDefault="007A5804">
      <w:pPr>
        <w:rPr>
          <w:rFonts w:ascii="Times New Roman" w:eastAsia="Times New Roman" w:hAnsi="Times New Roman" w:cs="Times New Roman"/>
          <w:sz w:val="20"/>
          <w:szCs w:val="20"/>
          <w:u w:val="single"/>
        </w:rPr>
      </w:pPr>
    </w:p>
    <w:p w14:paraId="7FE1C479" w14:textId="77777777" w:rsidR="007A5804" w:rsidRDefault="007A5804">
      <w:pPr>
        <w:rPr>
          <w:rFonts w:ascii="Times New Roman" w:eastAsia="Times New Roman" w:hAnsi="Times New Roman" w:cs="Times New Roman"/>
          <w:sz w:val="20"/>
          <w:szCs w:val="20"/>
          <w:u w:val="single"/>
        </w:rPr>
      </w:pPr>
    </w:p>
    <w:p w14:paraId="7FE1C47A" w14:textId="77777777" w:rsidR="007A5804" w:rsidRDefault="007B7723">
      <w:pPr>
        <w:pStyle w:val="P68B1DB1-Instructionsberschrift25"/>
        <w:numPr>
          <w:ilvl w:val="1"/>
          <w:numId w:val="49"/>
        </w:numPr>
        <w:ind w:left="357" w:hanging="357"/>
        <w:rPr>
          <w:szCs w:val="20"/>
        </w:rPr>
      </w:pPr>
      <w:bookmarkStart w:id="128" w:name="_Toc208245259"/>
      <w:r>
        <w:t>Z 08.02 – Príslušné služby – priraďovanie k prevádzkovým aktívam (SERV 2)</w:t>
      </w:r>
      <w:bookmarkEnd w:id="128"/>
    </w:p>
    <w:p w14:paraId="7FE1C47B" w14:textId="77777777" w:rsidR="007A5804" w:rsidRDefault="007B7723">
      <w:pPr>
        <w:pStyle w:val="P68B1DB1-Normal50"/>
        <w:spacing w:line="276" w:lineRule="auto"/>
        <w:jc w:val="both"/>
      </w:pPr>
      <w:r>
        <w:t>Všeobecné pokyny</w:t>
      </w:r>
    </w:p>
    <w:p w14:paraId="7FE1C47C" w14:textId="77777777" w:rsidR="007A5804" w:rsidRDefault="007B7723">
      <w:pPr>
        <w:pStyle w:val="P68B1DB1-Instructionsberschrift346"/>
        <w:numPr>
          <w:ilvl w:val="4"/>
          <w:numId w:val="259"/>
        </w:numPr>
        <w:contextualSpacing/>
        <w:jc w:val="both"/>
        <w:rPr>
          <w:color w:val="auto"/>
        </w:rPr>
      </w:pPr>
      <w:bookmarkStart w:id="129" w:name="_Hlk161330001"/>
      <w:r>
        <w:rPr>
          <w:color w:val="auto"/>
          <w:szCs w:val="24"/>
        </w:rPr>
        <w:t>Informácie, ktoré sa majú zahrnúť do tohto vzoru, sa vykazujú raz za celú skupinu, obsahujú zoznam relevantných služieb prijatých ktorýmkoľvek subjektom skupiny a spájajú ich s relevantnými operatívnymi aktívami</w:t>
      </w:r>
      <w:r>
        <w:t>.</w:t>
      </w:r>
    </w:p>
    <w:p w14:paraId="7FE1C47D" w14:textId="790BE864" w:rsidR="007A5804" w:rsidRDefault="007B7723">
      <w:pPr>
        <w:pStyle w:val="P68B1DB1-Instructionsberschrift348"/>
        <w:numPr>
          <w:ilvl w:val="4"/>
          <w:numId w:val="49"/>
        </w:numPr>
        <w:contextualSpacing/>
        <w:jc w:val="both"/>
        <w:rPr>
          <w:color w:val="auto"/>
        </w:rPr>
      </w:pPr>
      <w:r>
        <w:t>Hodnoty vykázané v stĺpcoch 0010, 0020, 0030 a 0080 tohto vzoru tvoria primárny kľúč, ktorý musí byť jedinečný pre každý riadok vzoru.</w:t>
      </w:r>
    </w:p>
    <w:bookmarkEnd w:id="129"/>
    <w:p w14:paraId="7FE1C482" w14:textId="77777777" w:rsidR="007A5804" w:rsidRDefault="007A5804">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7A5804" w14:paraId="7FE1C54A" w14:textId="77777777">
        <w:trPr>
          <w:trHeight w:val="495"/>
          <w:tblHeader/>
        </w:trPr>
        <w:tc>
          <w:tcPr>
            <w:tcW w:w="1418" w:type="dxa"/>
            <w:shd w:val="clear" w:color="auto" w:fill="E7E6E6"/>
          </w:tcPr>
          <w:p w14:paraId="7FE1C548" w14:textId="77777777" w:rsidR="007A5804" w:rsidRDefault="007B7723">
            <w:pPr>
              <w:pStyle w:val="P68B1DB1-Normal61"/>
              <w:spacing w:before="120" w:after="120" w:line="276" w:lineRule="auto"/>
            </w:pPr>
            <w:r>
              <w:t>Stĺpce</w:t>
            </w:r>
          </w:p>
        </w:tc>
        <w:tc>
          <w:tcPr>
            <w:tcW w:w="7791" w:type="dxa"/>
            <w:shd w:val="clear" w:color="auto" w:fill="E7E6E6"/>
          </w:tcPr>
          <w:p w14:paraId="7FE1C549" w14:textId="77777777" w:rsidR="007A5804" w:rsidRDefault="007B7723">
            <w:pPr>
              <w:pStyle w:val="P68B1DB1-Normal61"/>
              <w:spacing w:before="120" w:after="120" w:line="276" w:lineRule="auto"/>
            </w:pPr>
            <w:r>
              <w:t>Pokyny</w:t>
            </w:r>
          </w:p>
        </w:tc>
      </w:tr>
      <w:tr w:rsidR="007A5804" w14:paraId="7FE1C550" w14:textId="77777777">
        <w:trPr>
          <w:trHeight w:val="450"/>
        </w:trPr>
        <w:tc>
          <w:tcPr>
            <w:tcW w:w="1418" w:type="dxa"/>
            <w:shd w:val="clear" w:color="auto" w:fill="FFFFFF" w:themeFill="background1"/>
          </w:tcPr>
          <w:p w14:paraId="7FE1C54B" w14:textId="77777777" w:rsidR="007A5804" w:rsidRDefault="007B7723">
            <w:pPr>
              <w:pStyle w:val="P68B1DB1-Normal62"/>
              <w:spacing w:before="120" w:after="120" w:line="276" w:lineRule="auto"/>
            </w:pPr>
            <w:r>
              <w:t>0005</w:t>
            </w:r>
          </w:p>
        </w:tc>
        <w:tc>
          <w:tcPr>
            <w:tcW w:w="7791" w:type="dxa"/>
            <w:shd w:val="clear" w:color="auto" w:fill="FFFFFF" w:themeFill="background1"/>
          </w:tcPr>
          <w:p w14:paraId="7FE1C54C" w14:textId="77777777" w:rsidR="007A5804" w:rsidRDefault="007B7723">
            <w:pPr>
              <w:pStyle w:val="P68B1DB1-Normal61"/>
              <w:spacing w:before="120" w:after="120" w:line="276" w:lineRule="auto"/>
            </w:pPr>
            <w:r>
              <w:t xml:space="preserve">Service Identifier (identifikátor služby) </w:t>
            </w:r>
          </w:p>
          <w:p w14:paraId="7FE1C54D" w14:textId="77777777" w:rsidR="007A5804" w:rsidRDefault="007B7723">
            <w:pPr>
              <w:pStyle w:val="P68B1DB1-Normal62"/>
              <w:spacing w:before="120" w:after="120" w:line="276" w:lineRule="auto"/>
            </w:pPr>
            <w:r>
              <w:t>Použite identifikátor služby uvedený v Z 08.01 (SERV 1).</w:t>
            </w:r>
          </w:p>
          <w:p w14:paraId="7FE1C54E" w14:textId="77777777" w:rsidR="007A5804" w:rsidRDefault="007B7723">
            <w:pPr>
              <w:pStyle w:val="P68B1DB1-Normal62"/>
              <w:spacing w:before="120" w:after="120" w:line="276" w:lineRule="auto"/>
            </w:pPr>
            <w:r>
              <w:t>Identifikátor služby sa vzťahuje na službu vykázanú v položke c0020.</w:t>
            </w:r>
          </w:p>
          <w:p w14:paraId="7FE1C54F" w14:textId="77777777" w:rsidR="007A5804" w:rsidRDefault="007A5804">
            <w:pPr>
              <w:spacing w:before="120" w:after="120" w:line="276" w:lineRule="auto"/>
              <w:rPr>
                <w:rFonts w:ascii="Times New Roman" w:hAnsi="Times New Roman"/>
                <w:i/>
                <w:sz w:val="20"/>
                <w:szCs w:val="20"/>
              </w:rPr>
            </w:pPr>
          </w:p>
        </w:tc>
      </w:tr>
      <w:tr w:rsidR="007A5804" w14:paraId="7FE1C594" w14:textId="77777777">
        <w:trPr>
          <w:trHeight w:val="450"/>
        </w:trPr>
        <w:tc>
          <w:tcPr>
            <w:tcW w:w="1418" w:type="dxa"/>
            <w:shd w:val="clear" w:color="auto" w:fill="FFFFFF" w:themeFill="background1"/>
          </w:tcPr>
          <w:p w14:paraId="7FE1C551" w14:textId="77777777" w:rsidR="007A5804" w:rsidRDefault="007B7723">
            <w:pPr>
              <w:pStyle w:val="P68B1DB1-Normal62"/>
              <w:spacing w:before="120" w:after="120" w:line="276" w:lineRule="auto"/>
            </w:pPr>
            <w:r>
              <w:t>0010</w:t>
            </w:r>
          </w:p>
        </w:tc>
        <w:tc>
          <w:tcPr>
            <w:tcW w:w="7791" w:type="dxa"/>
            <w:shd w:val="clear" w:color="auto" w:fill="FFFFFF" w:themeFill="background1"/>
          </w:tcPr>
          <w:p w14:paraId="7FE1C552" w14:textId="77777777" w:rsidR="007A5804" w:rsidRDefault="007B7723">
            <w:pPr>
              <w:pStyle w:val="P68B1DB1-Normal61"/>
              <w:autoSpaceDE w:val="0"/>
              <w:autoSpaceDN w:val="0"/>
              <w:adjustRightInd w:val="0"/>
              <w:rPr>
                <w:rFonts w:eastAsia="MS Mincho"/>
              </w:rPr>
            </w:pPr>
            <w:r>
              <w:t xml:space="preserve">Druh služby </w:t>
            </w:r>
          </w:p>
          <w:p w14:paraId="7FE1C57A" w14:textId="35040E48" w:rsidR="007A5804" w:rsidRDefault="007B7723">
            <w:pPr>
              <w:pStyle w:val="P68B1DB1-Normal63"/>
              <w:autoSpaceDE w:val="0"/>
              <w:autoSpaceDN w:val="0"/>
              <w:adjustRightInd w:val="0"/>
            </w:pPr>
            <w:r>
              <w:t>Typ služby musí byť jedným z druhov služieb uvedených v Z 08.01 0010.</w:t>
            </w:r>
          </w:p>
          <w:p w14:paraId="7FE1C593" w14:textId="77777777" w:rsidR="007A5804" w:rsidRDefault="007A5804">
            <w:pPr>
              <w:autoSpaceDE w:val="0"/>
              <w:autoSpaceDN w:val="0"/>
              <w:adjustRightInd w:val="0"/>
              <w:rPr>
                <w:rFonts w:ascii="Times New Roman" w:hAnsi="Times New Roman"/>
                <w:sz w:val="20"/>
                <w:szCs w:val="20"/>
              </w:rPr>
            </w:pPr>
          </w:p>
        </w:tc>
      </w:tr>
      <w:tr w:rsidR="007A5804" w14:paraId="7FE1C599" w14:textId="77777777">
        <w:trPr>
          <w:trHeight w:val="450"/>
        </w:trPr>
        <w:tc>
          <w:tcPr>
            <w:tcW w:w="1418" w:type="dxa"/>
            <w:shd w:val="clear" w:color="auto" w:fill="FFFFFF" w:themeFill="background1"/>
          </w:tcPr>
          <w:p w14:paraId="7FE1C595" w14:textId="77777777" w:rsidR="007A5804" w:rsidRDefault="007B7723">
            <w:pPr>
              <w:pStyle w:val="P68B1DB1-Normal62"/>
              <w:spacing w:before="120" w:after="120" w:line="276" w:lineRule="auto"/>
            </w:pPr>
            <w:r>
              <w:lastRenderedPageBreak/>
              <w:t>0020</w:t>
            </w:r>
          </w:p>
        </w:tc>
        <w:tc>
          <w:tcPr>
            <w:tcW w:w="7791" w:type="dxa"/>
            <w:shd w:val="clear" w:color="auto" w:fill="FFFFFF" w:themeFill="background1"/>
          </w:tcPr>
          <w:p w14:paraId="7FE1C596" w14:textId="77777777" w:rsidR="007A5804" w:rsidRDefault="007B7723">
            <w:pPr>
              <w:pStyle w:val="P68B1DB1-Normal61"/>
              <w:spacing w:line="276" w:lineRule="auto"/>
              <w:jc w:val="both"/>
              <w:rPr>
                <w:bCs/>
              </w:rPr>
            </w:pPr>
            <w:r>
              <w:t xml:space="preserve">Jedinečný názov služby podľa taxonómie banky </w:t>
            </w:r>
          </w:p>
          <w:p w14:paraId="7FE1C597" w14:textId="31873D66" w:rsidR="007A5804" w:rsidRDefault="007B7723">
            <w:pPr>
              <w:pStyle w:val="P68B1DB1-Normal64"/>
              <w:rPr>
                <w:rFonts w:eastAsiaTheme="minorHAnsi"/>
                <w:sz w:val="24"/>
              </w:rPr>
            </w:pPr>
            <w:r>
              <w:t>Názov/krátky opis služby podľa vlastnej prísnej taxonómie banky (úroveň 3) vykázaný v stĺpci 0020 Z 08.01 (SERV 1). Očakáva sa, že banka bude vykazovať služby na podrobnejšej úrovni než vykazovanie poskytnuté pre úroveň 2 (c0010), aby sa každá konkrétna služba vymedzila presným a cieleným spôsobom.</w:t>
            </w:r>
          </w:p>
          <w:p w14:paraId="7FE1C598" w14:textId="77777777" w:rsidR="007A5804" w:rsidRDefault="007A5804">
            <w:pPr>
              <w:spacing w:before="120" w:after="120" w:line="276" w:lineRule="auto"/>
              <w:rPr>
                <w:rFonts w:ascii="Times New Roman" w:hAnsi="Times New Roman"/>
                <w:sz w:val="20"/>
                <w:szCs w:val="20"/>
              </w:rPr>
            </w:pPr>
          </w:p>
        </w:tc>
      </w:tr>
      <w:tr w:rsidR="007A5804" w14:paraId="7FE1C59E" w14:textId="77777777">
        <w:trPr>
          <w:trHeight w:val="450"/>
        </w:trPr>
        <w:tc>
          <w:tcPr>
            <w:tcW w:w="1418" w:type="dxa"/>
            <w:shd w:val="clear" w:color="auto" w:fill="FFFFFF" w:themeFill="background1"/>
          </w:tcPr>
          <w:p w14:paraId="7FE1C59A" w14:textId="77777777" w:rsidR="007A5804" w:rsidRDefault="007B7723">
            <w:pPr>
              <w:pStyle w:val="P68B1DB1-Normal62"/>
              <w:spacing w:before="120" w:after="120" w:line="276" w:lineRule="auto"/>
            </w:pPr>
            <w:r>
              <w:t>0030</w:t>
            </w:r>
          </w:p>
        </w:tc>
        <w:tc>
          <w:tcPr>
            <w:tcW w:w="7791" w:type="dxa"/>
            <w:shd w:val="clear" w:color="auto" w:fill="FFFFFF" w:themeFill="background1"/>
          </w:tcPr>
          <w:p w14:paraId="7FE1C59B" w14:textId="77777777" w:rsidR="007A5804" w:rsidRDefault="007B7723">
            <w:pPr>
              <w:pStyle w:val="P68B1DB1-Normal61"/>
              <w:spacing w:before="120" w:after="120" w:line="276" w:lineRule="auto"/>
              <w:rPr>
                <w:bCs/>
              </w:rPr>
            </w:pPr>
            <w:r>
              <w:t>Identifikátor aktíva</w:t>
            </w:r>
          </w:p>
          <w:p w14:paraId="7FE1C59C" w14:textId="77777777" w:rsidR="007A5804" w:rsidRDefault="007B7723">
            <w:pPr>
              <w:pStyle w:val="P68B1DB1-Normal64"/>
              <w:spacing w:line="276" w:lineRule="auto"/>
              <w:jc w:val="both"/>
            </w:pPr>
            <w:r>
              <w:t>Identifikátor aktíva sa vzťahuje na aktívum vykázané v c0050.</w:t>
            </w:r>
          </w:p>
          <w:p w14:paraId="7FE1C59D" w14:textId="77777777" w:rsidR="007A5804" w:rsidRDefault="007A5804">
            <w:pPr>
              <w:spacing w:before="120" w:after="120" w:line="276" w:lineRule="auto"/>
              <w:rPr>
                <w:rFonts w:ascii="Times New Roman" w:hAnsi="Times New Roman"/>
                <w:sz w:val="20"/>
                <w:szCs w:val="20"/>
              </w:rPr>
            </w:pPr>
          </w:p>
        </w:tc>
      </w:tr>
      <w:tr w:rsidR="007A5804" w14:paraId="7FE1C5AD" w14:textId="77777777">
        <w:trPr>
          <w:trHeight w:val="450"/>
        </w:trPr>
        <w:tc>
          <w:tcPr>
            <w:tcW w:w="1418" w:type="dxa"/>
            <w:shd w:val="clear" w:color="auto" w:fill="FFFFFF" w:themeFill="background1"/>
          </w:tcPr>
          <w:p w14:paraId="7FE1C59F" w14:textId="77777777" w:rsidR="007A5804" w:rsidRDefault="007B7723">
            <w:pPr>
              <w:pStyle w:val="P68B1DB1-Normal62"/>
              <w:spacing w:before="120" w:after="120" w:line="276" w:lineRule="auto"/>
            </w:pPr>
            <w:r>
              <w:t>0040</w:t>
            </w:r>
          </w:p>
        </w:tc>
        <w:tc>
          <w:tcPr>
            <w:tcW w:w="7791" w:type="dxa"/>
            <w:shd w:val="clear" w:color="auto" w:fill="FFFFFF" w:themeFill="background1"/>
          </w:tcPr>
          <w:p w14:paraId="7FE1C5A0" w14:textId="77777777" w:rsidR="007A5804" w:rsidRDefault="007B7723">
            <w:pPr>
              <w:pStyle w:val="P68B1DB1-Normal64"/>
              <w:spacing w:line="276" w:lineRule="auto"/>
              <w:jc w:val="both"/>
            </w:pPr>
            <w:r>
              <w:rPr>
                <w:b/>
                <w:szCs w:val="20"/>
              </w:rPr>
              <w:t>Typ aktíva</w:t>
            </w:r>
            <w:r>
              <w:t xml:space="preserve"> </w:t>
            </w:r>
          </w:p>
          <w:p w14:paraId="7FE1C5A1" w14:textId="77777777" w:rsidR="007A5804" w:rsidRDefault="007B7723">
            <w:pPr>
              <w:pStyle w:val="P68B1DB1-Normal64"/>
              <w:spacing w:line="276" w:lineRule="auto"/>
              <w:jc w:val="both"/>
            </w:pPr>
            <w:r>
              <w:t xml:space="preserve">— Informačné technológie a komunikačný hardvér </w:t>
            </w:r>
          </w:p>
          <w:p w14:paraId="7FE1C5A2" w14:textId="77777777" w:rsidR="007A5804" w:rsidRDefault="007A5804">
            <w:pPr>
              <w:spacing w:line="276" w:lineRule="auto"/>
              <w:rPr>
                <w:rFonts w:ascii="Times New Roman" w:hAnsi="Times New Roman"/>
                <w:sz w:val="20"/>
              </w:rPr>
            </w:pPr>
          </w:p>
          <w:p w14:paraId="7FE1C5A3" w14:textId="77777777" w:rsidR="007A5804" w:rsidRDefault="007B7723">
            <w:pPr>
              <w:pStyle w:val="P68B1DB1-Normal64"/>
              <w:spacing w:line="276" w:lineRule="auto"/>
            </w:pPr>
            <w:r>
              <w:t>— Iná IT infraštruktúra (ako sú pracovné stanice, telekomunikácie, servery, dátové centrá a súvisiace aktíva)</w:t>
            </w:r>
          </w:p>
          <w:p w14:paraId="7FE1C5A4" w14:textId="77777777" w:rsidR="007A5804" w:rsidRDefault="007A5804">
            <w:pPr>
              <w:spacing w:line="276" w:lineRule="auto"/>
              <w:rPr>
                <w:rFonts w:ascii="Times New Roman" w:hAnsi="Times New Roman"/>
                <w:sz w:val="20"/>
              </w:rPr>
            </w:pPr>
          </w:p>
          <w:p w14:paraId="7FE1C5A5" w14:textId="77777777" w:rsidR="007A5804" w:rsidRDefault="007B7723">
            <w:pPr>
              <w:pStyle w:val="P68B1DB1-Normal64"/>
              <w:spacing w:line="276" w:lineRule="auto"/>
            </w:pPr>
            <w:r>
              <w:t xml:space="preserve">— Priestory a skladovacie priestory </w:t>
            </w:r>
          </w:p>
          <w:p w14:paraId="7FE1C5A6" w14:textId="77777777" w:rsidR="007A5804" w:rsidRDefault="007A5804">
            <w:pPr>
              <w:spacing w:line="276" w:lineRule="auto"/>
              <w:rPr>
                <w:rFonts w:ascii="Times New Roman" w:hAnsi="Times New Roman"/>
                <w:sz w:val="20"/>
              </w:rPr>
            </w:pPr>
          </w:p>
          <w:p w14:paraId="7FE1C5A7" w14:textId="77777777" w:rsidR="007A5804" w:rsidRDefault="007B7723">
            <w:pPr>
              <w:pStyle w:val="P68B1DB1-Normal64"/>
              <w:spacing w:line="276" w:lineRule="auto"/>
            </w:pPr>
            <w:r>
              <w:t>— Duševné vlastníctvo (napríklad patenty, ochranné známky atď.)</w:t>
            </w:r>
          </w:p>
          <w:p w14:paraId="7FE1C5A8" w14:textId="77777777" w:rsidR="007A5804" w:rsidRDefault="007A5804">
            <w:pPr>
              <w:spacing w:line="276" w:lineRule="auto"/>
              <w:rPr>
                <w:rFonts w:ascii="Times New Roman" w:hAnsi="Times New Roman"/>
                <w:sz w:val="20"/>
              </w:rPr>
            </w:pPr>
          </w:p>
          <w:p w14:paraId="7FE1C5A9" w14:textId="77777777" w:rsidR="007A5804" w:rsidRDefault="007B7723">
            <w:pPr>
              <w:pStyle w:val="P68B1DB1-Normal64"/>
              <w:spacing w:line="276" w:lineRule="auto"/>
            </w:pPr>
            <w:r>
              <w:t xml:space="preserve"> — Samoobslužné zariadenia v pobočkách a bankomatoch</w:t>
            </w:r>
          </w:p>
          <w:p w14:paraId="7FE1C5AA" w14:textId="77777777" w:rsidR="007A5804" w:rsidRDefault="007A5804">
            <w:pPr>
              <w:spacing w:line="276" w:lineRule="auto"/>
              <w:rPr>
                <w:rFonts w:ascii="Times New Roman" w:hAnsi="Times New Roman"/>
                <w:sz w:val="20"/>
              </w:rPr>
            </w:pPr>
          </w:p>
          <w:p w14:paraId="7FE1C5AB" w14:textId="07413E54" w:rsidR="007A5804" w:rsidRDefault="007B7723">
            <w:pPr>
              <w:pStyle w:val="P68B1DB1-Normal62"/>
              <w:spacing w:line="276" w:lineRule="auto"/>
              <w:jc w:val="both"/>
              <w:rPr>
                <w:b/>
              </w:rPr>
            </w:pPr>
            <w:r>
              <w:t>— Iný druh aktíva</w:t>
            </w:r>
          </w:p>
          <w:p w14:paraId="7FE1C5AC" w14:textId="77777777" w:rsidR="007A5804" w:rsidRDefault="007A5804">
            <w:pPr>
              <w:spacing w:line="276" w:lineRule="auto"/>
              <w:jc w:val="both"/>
              <w:rPr>
                <w:rFonts w:ascii="Times New Roman" w:hAnsi="Times New Roman"/>
                <w:sz w:val="20"/>
              </w:rPr>
            </w:pPr>
          </w:p>
        </w:tc>
      </w:tr>
      <w:tr w:rsidR="007A5804" w14:paraId="7FE1C5B2" w14:textId="77777777">
        <w:trPr>
          <w:trHeight w:val="450"/>
        </w:trPr>
        <w:tc>
          <w:tcPr>
            <w:tcW w:w="1418" w:type="dxa"/>
            <w:shd w:val="clear" w:color="auto" w:fill="FFFFFF" w:themeFill="background1"/>
          </w:tcPr>
          <w:p w14:paraId="7FE1C5AE" w14:textId="77777777" w:rsidR="007A5804" w:rsidRDefault="007B7723">
            <w:pPr>
              <w:pStyle w:val="P68B1DB1-Normal62"/>
              <w:spacing w:before="120" w:after="120" w:line="276" w:lineRule="auto"/>
            </w:pPr>
            <w:r>
              <w:t>0050</w:t>
            </w:r>
          </w:p>
        </w:tc>
        <w:tc>
          <w:tcPr>
            <w:tcW w:w="7791" w:type="dxa"/>
            <w:shd w:val="clear" w:color="auto" w:fill="FFFFFF" w:themeFill="background1"/>
          </w:tcPr>
          <w:p w14:paraId="7FE1C5AF" w14:textId="77777777" w:rsidR="007A5804" w:rsidRDefault="007B7723">
            <w:pPr>
              <w:pStyle w:val="P68B1DB1-Normal61"/>
              <w:spacing w:line="276" w:lineRule="auto"/>
              <w:jc w:val="both"/>
            </w:pPr>
            <w:r>
              <w:t xml:space="preserve">Názov aktíva </w:t>
            </w:r>
          </w:p>
          <w:p w14:paraId="7FE1C5B0" w14:textId="77777777" w:rsidR="007A5804" w:rsidRDefault="007B7723">
            <w:pPr>
              <w:pStyle w:val="P68B1DB1-Normal64"/>
              <w:spacing w:line="276" w:lineRule="auto"/>
              <w:jc w:val="both"/>
            </w:pPr>
            <w:r>
              <w:t>Obchodný alebo interný názov aktiva.</w:t>
            </w:r>
          </w:p>
          <w:p w14:paraId="7FE1C5B1" w14:textId="77777777" w:rsidR="007A5804" w:rsidRDefault="007A5804">
            <w:pPr>
              <w:spacing w:line="276" w:lineRule="auto"/>
              <w:jc w:val="both"/>
              <w:rPr>
                <w:rFonts w:ascii="Times New Roman" w:hAnsi="Times New Roman"/>
                <w:sz w:val="20"/>
              </w:rPr>
            </w:pPr>
          </w:p>
        </w:tc>
      </w:tr>
      <w:tr w:rsidR="007A5804" w14:paraId="7FE1C5BA" w14:textId="77777777">
        <w:trPr>
          <w:trHeight w:val="450"/>
        </w:trPr>
        <w:tc>
          <w:tcPr>
            <w:tcW w:w="1418" w:type="dxa"/>
            <w:shd w:val="clear" w:color="auto" w:fill="FFFFFF" w:themeFill="background1"/>
          </w:tcPr>
          <w:p w14:paraId="7FE1C5B3" w14:textId="77777777" w:rsidR="007A5804" w:rsidRDefault="007B7723">
            <w:pPr>
              <w:pStyle w:val="P68B1DB1-Normal62"/>
              <w:spacing w:before="120" w:after="120" w:line="276" w:lineRule="auto"/>
            </w:pPr>
            <w:r>
              <w:t>0060</w:t>
            </w:r>
          </w:p>
        </w:tc>
        <w:tc>
          <w:tcPr>
            <w:tcW w:w="7791" w:type="dxa"/>
            <w:shd w:val="clear" w:color="auto" w:fill="FFFFFF" w:themeFill="background1"/>
          </w:tcPr>
          <w:p w14:paraId="7FE1C5B4" w14:textId="77777777" w:rsidR="007A5804" w:rsidRDefault="007B7723">
            <w:pPr>
              <w:pStyle w:val="P68B1DB1-Normal65"/>
              <w:spacing w:line="276" w:lineRule="auto"/>
              <w:jc w:val="both"/>
              <w:rPr>
                <w:iCs/>
              </w:rPr>
            </w:pPr>
            <w:r>
              <w:rPr>
                <w:szCs w:val="20"/>
              </w:rPr>
              <w:t>Kritickosť</w:t>
            </w:r>
            <w:r>
              <w:t xml:space="preserve"> </w:t>
            </w:r>
          </w:p>
          <w:p w14:paraId="7FE1C5B5" w14:textId="77777777" w:rsidR="007A5804" w:rsidRDefault="007B7723">
            <w:pPr>
              <w:pStyle w:val="P68B1DB1-Normal64"/>
              <w:spacing w:line="276" w:lineRule="auto"/>
              <w:jc w:val="both"/>
              <w:rPr>
                <w:iCs/>
              </w:rPr>
            </w:pPr>
            <w:r>
              <w:t>Uveďte jednu z týchto hodnôt:</w:t>
            </w:r>
          </w:p>
          <w:p w14:paraId="7FE1C5B6" w14:textId="77777777" w:rsidR="007A5804" w:rsidRDefault="007B7723">
            <w:pPr>
              <w:pStyle w:val="P68B1DB1-ListParagraph58"/>
              <w:numPr>
                <w:ilvl w:val="0"/>
                <w:numId w:val="236"/>
              </w:numPr>
              <w:spacing w:line="276" w:lineRule="auto"/>
              <w:contextualSpacing/>
              <w:jc w:val="both"/>
              <w:rPr>
                <w:iCs/>
              </w:rPr>
            </w:pPr>
            <w:r>
              <w:t>Mimoriadne dôležité: ak je služba potrebná na výkon jednej alebo viacerých zásadných funkcií, ktorých prerušenie by vážne bránilo výkonu týchto zásadných funkcií alebo mu bránilo.</w:t>
            </w:r>
          </w:p>
          <w:p w14:paraId="7FE1C5B7" w14:textId="77777777" w:rsidR="007A5804" w:rsidRDefault="007B7723">
            <w:pPr>
              <w:pStyle w:val="P68B1DB1-ListParagraph58"/>
              <w:numPr>
                <w:ilvl w:val="0"/>
                <w:numId w:val="236"/>
              </w:numPr>
              <w:spacing w:line="276" w:lineRule="auto"/>
              <w:contextualSpacing/>
              <w:jc w:val="both"/>
              <w:rPr>
                <w:iCs/>
              </w:rPr>
            </w:pPr>
            <w:r>
              <w:t>Základné: ak je služba spojená s hlavnými oblasťami obchodnej činnosti, ktorých kontinuita je potrebná na účinné vykonávanie stratégie riešenia krízových situácií a akúkoľvek následnú reštrukturalizáciu.</w:t>
            </w:r>
          </w:p>
          <w:p w14:paraId="7FE1C5B8" w14:textId="475A76CC" w:rsidR="007A5804" w:rsidRDefault="007B7723">
            <w:pPr>
              <w:pStyle w:val="P68B1DB1-ListParagraph58"/>
              <w:numPr>
                <w:ilvl w:val="0"/>
                <w:numId w:val="236"/>
              </w:numPr>
              <w:spacing w:line="276" w:lineRule="auto"/>
              <w:contextualSpacing/>
              <w:jc w:val="both"/>
              <w:rPr>
                <w:iCs/>
              </w:rPr>
            </w:pPr>
            <w:r>
              <w:t>Kritické a zásadné</w:t>
            </w:r>
          </w:p>
          <w:p w14:paraId="7FE1C5B9" w14:textId="77777777" w:rsidR="007A5804" w:rsidRDefault="007A5804">
            <w:pPr>
              <w:spacing w:line="276" w:lineRule="auto"/>
              <w:jc w:val="both"/>
              <w:rPr>
                <w:rFonts w:ascii="Times New Roman" w:hAnsi="Times New Roman"/>
                <w:sz w:val="20"/>
              </w:rPr>
            </w:pPr>
          </w:p>
        </w:tc>
      </w:tr>
      <w:tr w:rsidR="007A5804" w14:paraId="7FE1C5C3" w14:textId="77777777">
        <w:trPr>
          <w:trHeight w:val="450"/>
        </w:trPr>
        <w:tc>
          <w:tcPr>
            <w:tcW w:w="1418" w:type="dxa"/>
            <w:shd w:val="clear" w:color="auto" w:fill="FFFFFF" w:themeFill="background1"/>
          </w:tcPr>
          <w:p w14:paraId="7FE1C5BB" w14:textId="77777777" w:rsidR="007A5804" w:rsidRDefault="007B7723">
            <w:pPr>
              <w:pStyle w:val="P68B1DB1-Normal62"/>
              <w:spacing w:before="120" w:after="120" w:line="276" w:lineRule="auto"/>
            </w:pPr>
            <w:r>
              <w:t>0070</w:t>
            </w:r>
          </w:p>
        </w:tc>
        <w:tc>
          <w:tcPr>
            <w:tcW w:w="7791" w:type="dxa"/>
            <w:shd w:val="clear" w:color="auto" w:fill="FFFFFF" w:themeFill="background1"/>
          </w:tcPr>
          <w:p w14:paraId="7FE1C5BC" w14:textId="77777777" w:rsidR="007A5804" w:rsidRDefault="007B7723">
            <w:pPr>
              <w:pStyle w:val="P68B1DB1-Normal64"/>
              <w:spacing w:line="276" w:lineRule="auto"/>
              <w:jc w:val="both"/>
              <w:rPr>
                <w:iCs/>
              </w:rPr>
            </w:pPr>
            <w:r>
              <w:rPr>
                <w:b/>
                <w:szCs w:val="20"/>
              </w:rPr>
              <w:t>Právny/zmluvný typ</w:t>
            </w:r>
            <w:r>
              <w:t xml:space="preserve"> </w:t>
            </w:r>
          </w:p>
          <w:p w14:paraId="7FE1C5BD" w14:textId="77777777" w:rsidR="007A5804" w:rsidRDefault="007B7723">
            <w:pPr>
              <w:pStyle w:val="P68B1DB1-Normal64"/>
              <w:spacing w:line="276" w:lineRule="auto"/>
              <w:jc w:val="both"/>
              <w:rPr>
                <w:iCs/>
              </w:rPr>
            </w:pPr>
            <w:r>
              <w:t>Uveďte jednu z týchto hodnôt:</w:t>
            </w:r>
          </w:p>
          <w:p w14:paraId="7FE1C5BE" w14:textId="77777777" w:rsidR="007A5804" w:rsidRDefault="007B7723">
            <w:pPr>
              <w:pStyle w:val="P68B1DB1-Normal66"/>
              <w:numPr>
                <w:ilvl w:val="0"/>
                <w:numId w:val="236"/>
              </w:numPr>
              <w:contextualSpacing/>
              <w:jc w:val="both"/>
            </w:pPr>
            <w:r>
              <w:t>Vo vlastníctve</w:t>
            </w:r>
          </w:p>
          <w:p w14:paraId="7FE1C5BF" w14:textId="77777777" w:rsidR="007A5804" w:rsidRDefault="007B7723">
            <w:pPr>
              <w:pStyle w:val="P68B1DB1-Normal66"/>
              <w:numPr>
                <w:ilvl w:val="0"/>
                <w:numId w:val="236"/>
              </w:numPr>
              <w:contextualSpacing/>
              <w:jc w:val="both"/>
            </w:pPr>
            <w:r>
              <w:t>Prenajaté</w:t>
            </w:r>
          </w:p>
          <w:p w14:paraId="7FE1C5C0" w14:textId="77777777" w:rsidR="007A5804" w:rsidRDefault="007B7723">
            <w:pPr>
              <w:pStyle w:val="P68B1DB1-Normal66"/>
              <w:numPr>
                <w:ilvl w:val="0"/>
                <w:numId w:val="236"/>
              </w:numPr>
              <w:contextualSpacing/>
              <w:jc w:val="both"/>
            </w:pPr>
            <w:r>
              <w:t>Licenciu</w:t>
            </w:r>
          </w:p>
          <w:p w14:paraId="7FE1C5C1" w14:textId="3AFF0D43" w:rsidR="007A5804" w:rsidRDefault="007B7723">
            <w:pPr>
              <w:pStyle w:val="P68B1DB1-Normal66"/>
              <w:numPr>
                <w:ilvl w:val="0"/>
                <w:numId w:val="236"/>
              </w:numPr>
              <w:contextualSpacing/>
              <w:jc w:val="both"/>
            </w:pPr>
            <w:r>
              <w:t>Iný právny/zmluvný typ</w:t>
            </w:r>
          </w:p>
          <w:p w14:paraId="7FE1C5C2" w14:textId="77777777" w:rsidR="007A5804" w:rsidRDefault="007A5804">
            <w:pPr>
              <w:spacing w:line="276" w:lineRule="auto"/>
              <w:jc w:val="both"/>
              <w:rPr>
                <w:rFonts w:ascii="Times New Roman" w:hAnsi="Times New Roman"/>
                <w:sz w:val="20"/>
              </w:rPr>
            </w:pPr>
          </w:p>
        </w:tc>
      </w:tr>
      <w:tr w:rsidR="007A5804" w14:paraId="7FE1C5C9" w14:textId="77777777">
        <w:trPr>
          <w:trHeight w:val="450"/>
        </w:trPr>
        <w:tc>
          <w:tcPr>
            <w:tcW w:w="1418" w:type="dxa"/>
            <w:shd w:val="clear" w:color="auto" w:fill="FFFFFF" w:themeFill="background1"/>
          </w:tcPr>
          <w:p w14:paraId="7FE1C5C4" w14:textId="77777777" w:rsidR="007A5804" w:rsidRDefault="007B7723">
            <w:pPr>
              <w:pStyle w:val="P68B1DB1-Normal62"/>
              <w:spacing w:before="120" w:after="120" w:line="276" w:lineRule="auto"/>
            </w:pPr>
            <w:r>
              <w:t>0080</w:t>
            </w:r>
          </w:p>
        </w:tc>
        <w:tc>
          <w:tcPr>
            <w:tcW w:w="7791" w:type="dxa"/>
            <w:shd w:val="clear" w:color="auto" w:fill="FFFFFF" w:themeFill="background1"/>
          </w:tcPr>
          <w:p w14:paraId="7FE1C5C5" w14:textId="77777777" w:rsidR="007A5804" w:rsidRDefault="007B7723">
            <w:pPr>
              <w:pStyle w:val="P68B1DB1-Normal61"/>
              <w:spacing w:before="120" w:after="120" w:line="276" w:lineRule="auto"/>
              <w:rPr>
                <w:bCs/>
              </w:rPr>
            </w:pPr>
            <w:r>
              <w:t>Identifikátor zmluvy</w:t>
            </w:r>
          </w:p>
          <w:p w14:paraId="7FE1C5C6" w14:textId="77777777" w:rsidR="007A5804" w:rsidRDefault="007B7723">
            <w:pPr>
              <w:pStyle w:val="P68B1DB1-Normal64"/>
              <w:spacing w:line="276" w:lineRule="auto"/>
              <w:jc w:val="both"/>
              <w:rPr>
                <w:i/>
              </w:rPr>
            </w:pPr>
            <w:r>
              <w:t>Jedinečný identifikátor zmluvy, na ktorej je aktívum založené, podľa taxonómie služieb skupiny.</w:t>
            </w:r>
          </w:p>
          <w:p w14:paraId="7FE1C5C7" w14:textId="77777777" w:rsidR="007A5804" w:rsidRDefault="007A5804">
            <w:pPr>
              <w:spacing w:line="276" w:lineRule="auto"/>
              <w:jc w:val="both"/>
              <w:rPr>
                <w:rFonts w:ascii="Times New Roman" w:hAnsi="Times New Roman"/>
                <w:i/>
                <w:sz w:val="20"/>
              </w:rPr>
            </w:pPr>
          </w:p>
          <w:p w14:paraId="7FE1C5C8" w14:textId="77777777" w:rsidR="007A5804" w:rsidRDefault="007A5804">
            <w:pPr>
              <w:spacing w:line="276" w:lineRule="auto"/>
              <w:jc w:val="both"/>
              <w:rPr>
                <w:rFonts w:ascii="Times New Roman" w:hAnsi="Times New Roman"/>
                <w:iCs/>
                <w:sz w:val="20"/>
              </w:rPr>
            </w:pPr>
          </w:p>
        </w:tc>
      </w:tr>
      <w:tr w:rsidR="007A5804" w14:paraId="7FE1C5CE" w14:textId="77777777">
        <w:trPr>
          <w:trHeight w:val="450"/>
        </w:trPr>
        <w:tc>
          <w:tcPr>
            <w:tcW w:w="1418" w:type="dxa"/>
            <w:shd w:val="clear" w:color="auto" w:fill="FFFFFF" w:themeFill="background1"/>
          </w:tcPr>
          <w:p w14:paraId="7FE1C5CA" w14:textId="77777777" w:rsidR="007A5804" w:rsidRDefault="007B7723">
            <w:pPr>
              <w:pStyle w:val="P68B1DB1-Normal62"/>
              <w:spacing w:before="120" w:after="120" w:line="276" w:lineRule="auto"/>
            </w:pPr>
            <w:r>
              <w:lastRenderedPageBreak/>
              <w:t>0090</w:t>
            </w:r>
          </w:p>
        </w:tc>
        <w:tc>
          <w:tcPr>
            <w:tcW w:w="7791" w:type="dxa"/>
            <w:shd w:val="clear" w:color="auto" w:fill="FFFFFF" w:themeFill="background1"/>
          </w:tcPr>
          <w:p w14:paraId="7FE1C5CB" w14:textId="77777777" w:rsidR="007A5804" w:rsidRDefault="007B7723">
            <w:pPr>
              <w:pStyle w:val="P68B1DB1-Normal65"/>
              <w:spacing w:line="276" w:lineRule="auto"/>
              <w:jc w:val="both"/>
            </w:pPr>
            <w:r>
              <w:rPr>
                <w:szCs w:val="20"/>
              </w:rPr>
              <w:t>Rozhodné právo</w:t>
            </w:r>
            <w:r>
              <w:t xml:space="preserve"> </w:t>
            </w:r>
          </w:p>
          <w:p w14:paraId="7FE1C5CC" w14:textId="77777777" w:rsidR="007A5804" w:rsidRDefault="007B7723">
            <w:pPr>
              <w:pStyle w:val="P68B1DB1-Normal64"/>
              <w:spacing w:line="276" w:lineRule="auto"/>
              <w:jc w:val="both"/>
            </w:pPr>
            <w:r>
              <w:t>Kód ISO štátu, ktorého právom sa riadi zmluva.</w:t>
            </w:r>
          </w:p>
          <w:p w14:paraId="7FE1C5CD" w14:textId="77777777" w:rsidR="007A5804" w:rsidRDefault="007A5804">
            <w:pPr>
              <w:spacing w:line="276" w:lineRule="auto"/>
              <w:jc w:val="both"/>
              <w:rPr>
                <w:rFonts w:ascii="Times New Roman" w:hAnsi="Times New Roman"/>
                <w:iCs/>
                <w:sz w:val="20"/>
              </w:rPr>
            </w:pPr>
          </w:p>
        </w:tc>
      </w:tr>
      <w:tr w:rsidR="007A5804" w14:paraId="7FE1C5D4" w14:textId="77777777">
        <w:trPr>
          <w:trHeight w:val="463"/>
        </w:trPr>
        <w:tc>
          <w:tcPr>
            <w:tcW w:w="1418" w:type="dxa"/>
            <w:shd w:val="clear" w:color="auto" w:fill="FFFFFF" w:themeFill="background1"/>
          </w:tcPr>
          <w:p w14:paraId="7FE1C5CF" w14:textId="77777777" w:rsidR="007A5804" w:rsidRDefault="007B7723">
            <w:pPr>
              <w:pStyle w:val="P68B1DB1-Normal64"/>
              <w:spacing w:line="276" w:lineRule="auto"/>
              <w:jc w:val="both"/>
            </w:pPr>
            <w:r>
              <w:t>0100 – 0120</w:t>
            </w:r>
          </w:p>
          <w:p w14:paraId="7FE1C5D0" w14:textId="77777777" w:rsidR="007A5804" w:rsidRDefault="007A5804">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7A5804" w:rsidRDefault="007B7723">
            <w:pPr>
              <w:pStyle w:val="P68B1DB1-Normal61"/>
              <w:spacing w:before="120" w:after="120" w:line="276" w:lineRule="auto"/>
              <w:rPr>
                <w:bCs/>
                <w:iCs/>
              </w:rPr>
            </w:pPr>
            <w:r>
              <w:t xml:space="preserve">Odolnosť voči riešeniu krízových situácií </w:t>
            </w:r>
          </w:p>
          <w:p w14:paraId="7FE1C5D2" w14:textId="77777777" w:rsidR="007A5804" w:rsidRDefault="007B7723">
            <w:pPr>
              <w:pStyle w:val="P68B1DB1-NormalWeb59"/>
              <w:spacing w:before="0" w:beforeAutospacing="0" w:after="0" w:afterAutospacing="0"/>
              <w:rPr>
                <w:iCs/>
                <w:szCs w:val="20"/>
              </w:rPr>
            </w:pPr>
            <w:r>
              <w:rPr>
                <w:szCs w:val="20"/>
              </w:rPr>
              <w:t xml:space="preserve">Posúdenie, či by zmluva na podporu aktíva vykázaného v stĺpci 0030 mohla pokračovať a previesť počas vykonávania stratégie riešenia krízových situácií vrátane plánu reorganizácie obchodnej činnosti v </w:t>
            </w:r>
            <w:r>
              <w:t>súlade s usmerneniami EBA/GL/2022/01 a príslušnými vnútroštátnymi právnymi predpismi.</w:t>
            </w:r>
          </w:p>
          <w:p w14:paraId="7FE1C5D3" w14:textId="77777777" w:rsidR="007A5804" w:rsidRDefault="007A5804">
            <w:pPr>
              <w:pStyle w:val="NormalWeb"/>
              <w:spacing w:before="0" w:beforeAutospacing="0" w:after="0" w:afterAutospacing="0"/>
              <w:rPr>
                <w:sz w:val="20"/>
              </w:rPr>
            </w:pPr>
          </w:p>
        </w:tc>
      </w:tr>
      <w:tr w:rsidR="007A5804" w14:paraId="7FE1C5E4" w14:textId="77777777">
        <w:trPr>
          <w:trHeight w:val="463"/>
        </w:trPr>
        <w:tc>
          <w:tcPr>
            <w:tcW w:w="1418" w:type="dxa"/>
            <w:shd w:val="clear" w:color="auto" w:fill="FFFFFF" w:themeFill="background1"/>
          </w:tcPr>
          <w:p w14:paraId="7FE1C5D5" w14:textId="77777777" w:rsidR="007A5804" w:rsidRDefault="007B7723">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7A5804" w:rsidRDefault="007B7723">
            <w:pPr>
              <w:pStyle w:val="P68B1DB1-Normal65"/>
              <w:spacing w:line="276" w:lineRule="auto"/>
              <w:jc w:val="both"/>
              <w:rPr>
                <w:bCs/>
              </w:rPr>
            </w:pPr>
            <w:r>
              <w:rPr>
                <w:szCs w:val="20"/>
              </w:rPr>
              <w:t>Prvky odolnosti voči riešeniu krízových situácií</w:t>
            </w:r>
            <w:r>
              <w:t xml:space="preserve"> </w:t>
            </w:r>
          </w:p>
          <w:p w14:paraId="7FE1C5D7" w14:textId="77777777" w:rsidR="007A5804" w:rsidRDefault="007B7723">
            <w:pPr>
              <w:pStyle w:val="P68B1DB1-Normal62"/>
              <w:spacing w:line="276" w:lineRule="auto"/>
              <w:jc w:val="both"/>
              <w:rPr>
                <w:iCs/>
              </w:rPr>
            </w:pPr>
            <w:r>
              <w:t>Vlastnosti odolné voči riešeniu krízových situácií sú vlastnosti, ktoré by mala mať príslušná zmluva, aby sa mohla považovať za odolnú voči riešeniu krízových situácií. Za predpokladu, že sa naďalej plnia hmotnoprávne záväzky vyplývajúce zo zmluvy, zahŕňajú:</w:t>
            </w:r>
          </w:p>
          <w:p w14:paraId="7FE1C5D8" w14:textId="77777777" w:rsidR="007A5804" w:rsidRDefault="007B7723">
            <w:pPr>
              <w:pStyle w:val="P68B1DB1-ListParagraph60"/>
              <w:numPr>
                <w:ilvl w:val="0"/>
                <w:numId w:val="263"/>
              </w:numPr>
              <w:spacing w:line="276" w:lineRule="auto"/>
              <w:contextualSpacing/>
              <w:jc w:val="both"/>
              <w:rPr>
                <w:iCs/>
              </w:rPr>
            </w:pPr>
            <w:r>
              <w:t xml:space="preserve">aby nedošlo k ukončeniu, pozastaveniu alebo zmene z dôvodu riešenia krízových situácií (vrátane reorganizácie obchodnej činnosti podľa článku 51 smernice 2014/59/EÚ), </w:t>
            </w:r>
          </w:p>
          <w:p w14:paraId="7FE1C5D9" w14:textId="77777777" w:rsidR="007A5804" w:rsidRDefault="007B7723">
            <w:pPr>
              <w:pStyle w:val="P68B1DB1-ListParagraph60"/>
              <w:numPr>
                <w:ilvl w:val="0"/>
                <w:numId w:val="263"/>
              </w:numPr>
              <w:spacing w:line="276" w:lineRule="auto"/>
              <w:contextualSpacing/>
              <w:jc w:val="both"/>
              <w:rPr>
                <w:iCs/>
              </w:rPr>
            </w:pPr>
            <w:r>
              <w:t xml:space="preserve">prevoditeľnosť poskytovania služby na nového príjemcu buď príjemcom služby, alebo orgánom pre riešenie krízových situácií z dôvodu riešenia krízových situácií (vrátane reorganizácie podľa článku 51 smernice 2014/59/EÚ), </w:t>
            </w:r>
          </w:p>
          <w:p w14:paraId="7FE1C5DA" w14:textId="77777777" w:rsidR="007A5804" w:rsidRDefault="007B7723">
            <w:pPr>
              <w:pStyle w:val="P68B1DB1-ListParagraph60"/>
              <w:numPr>
                <w:ilvl w:val="0"/>
                <w:numId w:val="263"/>
              </w:numPr>
              <w:spacing w:line="276" w:lineRule="auto"/>
              <w:contextualSpacing/>
              <w:jc w:val="both"/>
              <w:rPr>
                <w:iCs/>
              </w:rPr>
            </w:pPr>
            <w:r>
              <w:t>podpora pri prevode alebo ukončení počas riešenia krízovej situácie (vrátane reorganizácie podľa článku 51 smernice 2014/59/EÚ) na primerané obdobie (napríklad 24 mesiacov) zo strany súčasného poskytovateľa služieb a za rovnakých podmienok, a a zároveň</w:t>
            </w:r>
          </w:p>
          <w:p w14:paraId="7FE1C5DB" w14:textId="77777777" w:rsidR="007A5804" w:rsidRDefault="007B7723">
            <w:pPr>
              <w:pStyle w:val="P68B1DB1-ListParagraph60"/>
              <w:numPr>
                <w:ilvl w:val="0"/>
                <w:numId w:val="263"/>
              </w:numPr>
              <w:spacing w:line="276" w:lineRule="auto"/>
              <w:contextualSpacing/>
              <w:jc w:val="both"/>
              <w:rPr>
                <w:iCs/>
              </w:rPr>
            </w:pPr>
            <w:r>
              <w:t>nepretržité poskytovanie služieb odpredanému subjektu skupiny počas riešenia krízovej situácie (vrátane reorganizácie podľa článku 51 smernice 2014/59/EÚ) počas primeraného obdobia po odpredaji – napríklad 24 mesiacov.</w:t>
            </w:r>
          </w:p>
          <w:p w14:paraId="7FE1C5DC" w14:textId="77777777" w:rsidR="007A5804" w:rsidRDefault="007B7723">
            <w:pPr>
              <w:spacing w:line="276" w:lineRule="auto"/>
              <w:jc w:val="both"/>
              <w:rPr>
                <w:rFonts w:ascii="Times New Roman" w:hAnsi="Times New Roman"/>
                <w:iCs/>
                <w:sz w:val="20"/>
                <w:szCs w:val="20"/>
              </w:rPr>
            </w:pPr>
            <w:r>
              <w:rPr>
                <w:rFonts w:ascii="Times New Roman" w:hAnsi="Times New Roman"/>
                <w:sz w:val="20"/>
                <w:szCs w:val="20"/>
              </w:rPr>
              <w:t>Vzťahuje sa to na zmluvy, ktorých rozhodným právom a jurisdikciou je právo a jurisdikcia členského štátu EÚ (ďalej len „</w:t>
            </w:r>
            <w:r>
              <w:rPr>
                <w:rStyle w:val="FootnoteReference"/>
                <w:rFonts w:ascii="Times New Roman" w:hAnsi="Times New Roman"/>
                <w:sz w:val="20"/>
                <w:szCs w:val="20"/>
              </w:rPr>
              <w:footnoteReference w:id="28"/>
            </w:r>
            <w:r>
              <w:rPr>
                <w:rFonts w:ascii="Times New Roman" w:hAnsi="Times New Roman"/>
                <w:sz w:val="20"/>
                <w:szCs w:val="20"/>
              </w:rPr>
              <w:t>zmluvy EÚ“), a na zmluvy, na ktoré sa vzťahuje právo tretej krajiny.</w:t>
            </w:r>
          </w:p>
          <w:p w14:paraId="7FE1C5DD" w14:textId="77777777" w:rsidR="007A5804" w:rsidRDefault="007A5804">
            <w:pPr>
              <w:spacing w:line="276" w:lineRule="auto"/>
              <w:jc w:val="both"/>
              <w:rPr>
                <w:rFonts w:ascii="Times New Roman" w:hAnsi="Times New Roman"/>
                <w:sz w:val="20"/>
              </w:rPr>
            </w:pPr>
          </w:p>
          <w:p w14:paraId="7FE1C5DE" w14:textId="77777777" w:rsidR="007A5804" w:rsidRDefault="007B7723">
            <w:pPr>
              <w:pStyle w:val="P68B1DB1-Normal64"/>
              <w:spacing w:line="276" w:lineRule="auto"/>
              <w:jc w:val="both"/>
            </w:pPr>
            <w:r>
              <w:t>Uveďte jednu z týchto hodnôt:</w:t>
            </w:r>
          </w:p>
          <w:p w14:paraId="7FE1C5DF" w14:textId="77777777" w:rsidR="007A5804" w:rsidRDefault="007B7723">
            <w:pPr>
              <w:pStyle w:val="P68B1DB1-Normal62"/>
              <w:spacing w:line="276" w:lineRule="auto"/>
              <w:jc w:val="both"/>
            </w:pPr>
            <w:r>
              <w:t>„Áno“ – ak je zmluva posúdená ako neovplyvniteľná riešením krízovej situácie</w:t>
            </w:r>
          </w:p>
          <w:p w14:paraId="7FE1C5E0" w14:textId="77777777" w:rsidR="007A5804" w:rsidRDefault="007B7723">
            <w:pPr>
              <w:pStyle w:val="P68B1DB1-Normal62"/>
              <w:spacing w:line="276" w:lineRule="auto"/>
              <w:jc w:val="both"/>
            </w:pPr>
            <w:r>
              <w:t>„Nie“ – ak zmluva nie je posúdená ako neovplyvniteľná riešením krízovej situácie</w:t>
            </w:r>
          </w:p>
          <w:p w14:paraId="7FE1C5E1" w14:textId="77777777" w:rsidR="007A5804" w:rsidRDefault="007B7723">
            <w:pPr>
              <w:pStyle w:val="P68B1DB1-Normal62"/>
              <w:spacing w:line="276" w:lineRule="auto"/>
              <w:jc w:val="both"/>
            </w:pPr>
            <w:r>
              <w:t>„Neposúdené“ – ak sa posúdenie nevykonalo</w:t>
            </w:r>
          </w:p>
          <w:p w14:paraId="7FE1C5E2" w14:textId="748C3D0F" w:rsidR="007A5804" w:rsidRDefault="007B7723">
            <w:pPr>
              <w:pStyle w:val="P68B1DB1-Normal62"/>
              <w:spacing w:line="276" w:lineRule="auto"/>
              <w:jc w:val="both"/>
            </w:pPr>
            <w:r>
              <w:t>„Nie APPLICABLE“ – pre služby v rámci subjektu</w:t>
            </w:r>
          </w:p>
          <w:p w14:paraId="7FE1C5E3" w14:textId="77777777" w:rsidR="007A5804" w:rsidRDefault="007A5804">
            <w:pPr>
              <w:spacing w:line="276" w:lineRule="auto"/>
              <w:jc w:val="both"/>
              <w:rPr>
                <w:rFonts w:ascii="Times New Roman" w:hAnsi="Times New Roman"/>
                <w:sz w:val="20"/>
              </w:rPr>
            </w:pPr>
          </w:p>
        </w:tc>
      </w:tr>
      <w:tr w:rsidR="007A5804" w14:paraId="7FE1C5EF" w14:textId="77777777">
        <w:trPr>
          <w:trHeight w:val="463"/>
        </w:trPr>
        <w:tc>
          <w:tcPr>
            <w:tcW w:w="1418" w:type="dxa"/>
            <w:shd w:val="clear" w:color="auto" w:fill="FFFFFF" w:themeFill="background1"/>
          </w:tcPr>
          <w:p w14:paraId="7FE1C5E5" w14:textId="77777777" w:rsidR="007A5804" w:rsidRDefault="007B7723">
            <w:pPr>
              <w:pStyle w:val="P68B1DB1-Normal64"/>
              <w:spacing w:before="120" w:after="120" w:line="276" w:lineRule="auto"/>
              <w:rPr>
                <w:szCs w:val="20"/>
              </w:rPr>
            </w:pPr>
            <w:r>
              <w:t>0110</w:t>
            </w:r>
          </w:p>
        </w:tc>
        <w:tc>
          <w:tcPr>
            <w:tcW w:w="7791" w:type="dxa"/>
            <w:shd w:val="clear" w:color="auto" w:fill="FFFFFF" w:themeFill="background1"/>
          </w:tcPr>
          <w:p w14:paraId="7FE1C5E6" w14:textId="77777777" w:rsidR="007A5804" w:rsidRDefault="007B7723">
            <w:pPr>
              <w:pStyle w:val="P68B1DB1-Normal65"/>
              <w:spacing w:line="276" w:lineRule="auto"/>
              <w:jc w:val="both"/>
              <w:rPr>
                <w:bCs/>
                <w:iCs/>
              </w:rPr>
            </w:pPr>
            <w:r>
              <w:t>Plán reorganizácie podnikov (BRP)</w:t>
            </w:r>
          </w:p>
          <w:p w14:paraId="7FE1C5E7" w14:textId="77777777" w:rsidR="007A5804" w:rsidRDefault="007B7723">
            <w:pPr>
              <w:pStyle w:val="P68B1DB1-Normal64"/>
              <w:spacing w:line="276" w:lineRule="auto"/>
              <w:jc w:val="both"/>
              <w:rPr>
                <w:iCs/>
              </w:rPr>
            </w:pPr>
            <w:r>
              <w:t>Ak si stratégia riešenia krízových situácií (uprednostňovaná alebo variantná) vyžaduje plán reorganizácie obchodnej činnosti, očakáva sa, že zmluvy EÚ budú obsahovať výslovné doložky s cieľom zabezpečiť ich odolnosť voči riešeniu krízových situácií pri vykonávaní plánov reorganizácie obchodnej činnosti (BRP).</w:t>
            </w:r>
          </w:p>
          <w:p w14:paraId="7FE1C5E8" w14:textId="77777777" w:rsidR="007A5804" w:rsidRDefault="007A5804">
            <w:pPr>
              <w:spacing w:line="276" w:lineRule="auto"/>
              <w:jc w:val="both"/>
              <w:rPr>
                <w:rFonts w:ascii="Times New Roman" w:hAnsi="Times New Roman"/>
                <w:iCs/>
                <w:sz w:val="20"/>
              </w:rPr>
            </w:pPr>
          </w:p>
          <w:p w14:paraId="7FE1C5E9" w14:textId="77777777" w:rsidR="007A5804" w:rsidRDefault="007B7723">
            <w:pPr>
              <w:pStyle w:val="P68B1DB1-Normal64"/>
              <w:spacing w:line="276" w:lineRule="auto"/>
              <w:jc w:val="both"/>
              <w:rPr>
                <w:iCs/>
              </w:rPr>
            </w:pPr>
            <w:r>
              <w:t>Uveďte jednu z týchto hodnôt:</w:t>
            </w:r>
          </w:p>
          <w:p w14:paraId="7FE1C5EA" w14:textId="77777777" w:rsidR="007A5804" w:rsidRDefault="007B7723">
            <w:pPr>
              <w:pStyle w:val="P68B1DB1-Normal67"/>
              <w:spacing w:line="276" w:lineRule="auto"/>
              <w:jc w:val="both"/>
              <w:rPr>
                <w:iCs/>
                <w:sz w:val="20"/>
              </w:rPr>
            </w:pPr>
            <w:r>
              <w:lastRenderedPageBreak/>
              <w:t>„</w:t>
            </w:r>
            <w:r>
              <w:rPr>
                <w:sz w:val="20"/>
              </w:rPr>
              <w:t>Áno“ – ak zmluva obsahuje výslovné ustanovenia na zabezpečenie ich odolnosti voči riešeniu krízových situácií pri vykonávaní RPR</w:t>
            </w:r>
          </w:p>
          <w:p w14:paraId="7FE1C5EB" w14:textId="77777777" w:rsidR="007A5804" w:rsidRDefault="007B7723">
            <w:pPr>
              <w:pStyle w:val="P68B1DB1-Normal67"/>
              <w:spacing w:line="276" w:lineRule="auto"/>
              <w:jc w:val="both"/>
              <w:rPr>
                <w:iCs/>
                <w:sz w:val="20"/>
              </w:rPr>
            </w:pPr>
            <w:r>
              <w:t>„</w:t>
            </w:r>
            <w:r>
              <w:rPr>
                <w:sz w:val="20"/>
              </w:rPr>
              <w:t>Nie“ – ak zmluva neobsahuje výslovné ustanovenia na zabezpečenie ich odolnosti voči riešeniu krízových situácií pri vykonávaní RPR</w:t>
            </w:r>
          </w:p>
          <w:p w14:paraId="7FE1C5EC" w14:textId="77777777" w:rsidR="007A5804" w:rsidRDefault="007B7723">
            <w:pPr>
              <w:pStyle w:val="P68B1DB1-Normal67"/>
              <w:spacing w:line="276" w:lineRule="auto"/>
              <w:jc w:val="both"/>
              <w:rPr>
                <w:iCs/>
                <w:sz w:val="20"/>
              </w:rPr>
            </w:pPr>
            <w:r>
              <w:rPr>
                <w:sz w:val="20"/>
              </w:rPr>
              <w:t>„Neposúdené“ – ak sa posúdenie nevykonalo</w:t>
            </w:r>
          </w:p>
          <w:p w14:paraId="7FE1C5ED" w14:textId="430F5732" w:rsidR="007A5804" w:rsidRDefault="007B7723">
            <w:pPr>
              <w:pStyle w:val="P68B1DB1-Normal67"/>
              <w:spacing w:line="276" w:lineRule="auto"/>
              <w:jc w:val="both"/>
              <w:rPr>
                <w:iCs/>
                <w:sz w:val="20"/>
              </w:rPr>
            </w:pPr>
            <w:r>
              <w:t>„</w:t>
            </w:r>
            <w:r>
              <w:rPr>
                <w:sz w:val="20"/>
              </w:rPr>
              <w:t xml:space="preserve">Nie APPLICABLE“ – pre služby v rámci subjektu alebo pre vnútroskupinové a externé služby, ak si stratégia riešenia krízových situácií (uprednostňovaná a variantná) nevyžaduje plán reorganizácie obchodnej činnosti </w:t>
            </w:r>
          </w:p>
          <w:p w14:paraId="7FE1C5EE" w14:textId="77777777" w:rsidR="007A5804" w:rsidRDefault="007A5804">
            <w:pPr>
              <w:spacing w:line="276" w:lineRule="auto"/>
              <w:jc w:val="both"/>
              <w:rPr>
                <w:rFonts w:ascii="Times New Roman" w:hAnsi="Times New Roman"/>
                <w:i/>
                <w:sz w:val="20"/>
              </w:rPr>
            </w:pPr>
          </w:p>
        </w:tc>
      </w:tr>
      <w:tr w:rsidR="007A5804" w14:paraId="7FE1C5F9" w14:textId="77777777">
        <w:trPr>
          <w:trHeight w:val="463"/>
        </w:trPr>
        <w:tc>
          <w:tcPr>
            <w:tcW w:w="1418" w:type="dxa"/>
            <w:shd w:val="clear" w:color="auto" w:fill="FFFFFF" w:themeFill="background1"/>
          </w:tcPr>
          <w:p w14:paraId="7FE1C5F0" w14:textId="77777777" w:rsidR="007A5804" w:rsidRDefault="007B7723">
            <w:pPr>
              <w:pStyle w:val="P68B1DB1-Normal64"/>
              <w:spacing w:before="120" w:after="120" w:line="276" w:lineRule="auto"/>
              <w:rPr>
                <w:szCs w:val="20"/>
              </w:rPr>
            </w:pPr>
            <w:r>
              <w:lastRenderedPageBreak/>
              <w:t>0120</w:t>
            </w:r>
          </w:p>
        </w:tc>
        <w:tc>
          <w:tcPr>
            <w:tcW w:w="7791" w:type="dxa"/>
            <w:shd w:val="clear" w:color="auto" w:fill="FFFFFF" w:themeFill="background1"/>
          </w:tcPr>
          <w:p w14:paraId="7FE1C5F1" w14:textId="77777777" w:rsidR="007A5804" w:rsidRDefault="007B7723">
            <w:pPr>
              <w:pStyle w:val="P68B1DB1-Normal64"/>
              <w:spacing w:line="276" w:lineRule="auto"/>
              <w:jc w:val="both"/>
            </w:pPr>
            <w:r>
              <w:rPr>
                <w:b/>
              </w:rPr>
              <w:t>Alternatívne zmierňujúce opatrenia</w:t>
            </w:r>
            <w:r>
              <w:t xml:space="preserve"> </w:t>
            </w:r>
          </w:p>
          <w:p w14:paraId="7FE1C5F2" w14:textId="77777777" w:rsidR="007A5804" w:rsidRDefault="007B7723">
            <w:pPr>
              <w:pStyle w:val="P68B1DB1-Normal64"/>
              <w:spacing w:line="276" w:lineRule="auto"/>
              <w:jc w:val="both"/>
            </w:pPr>
            <w:r>
              <w:t xml:space="preserve">Ak sa očakáva, že sa dosiahne odolnosť voči riešeniu krízových situácií, ale banky to nedokázali dosiahnuť, očakáva sa, že banky preskúmajú alternatívne zmierňujúce opatrenia. </w:t>
            </w:r>
          </w:p>
          <w:p w14:paraId="7FE1C5F3" w14:textId="77777777" w:rsidR="007A5804" w:rsidRDefault="007A5804">
            <w:pPr>
              <w:spacing w:line="276" w:lineRule="auto"/>
              <w:jc w:val="both"/>
              <w:rPr>
                <w:rFonts w:ascii="Times New Roman" w:hAnsi="Times New Roman"/>
                <w:sz w:val="20"/>
              </w:rPr>
            </w:pPr>
          </w:p>
          <w:p w14:paraId="7FE1C5F4" w14:textId="77777777" w:rsidR="007A5804" w:rsidRDefault="007B7723">
            <w:pPr>
              <w:pStyle w:val="P68B1DB1-Normal64"/>
              <w:spacing w:line="276" w:lineRule="auto"/>
              <w:jc w:val="both"/>
              <w:rPr>
                <w:iCs/>
              </w:rPr>
            </w:pPr>
            <w:r>
              <w:t>Uveďte jednu z týchto hodnôt:</w:t>
            </w:r>
          </w:p>
          <w:p w14:paraId="7FE1C5F5" w14:textId="77777777" w:rsidR="007A5804" w:rsidRDefault="007B7723">
            <w:pPr>
              <w:pStyle w:val="P68B1DB1-Normal67"/>
              <w:spacing w:line="276" w:lineRule="auto"/>
              <w:jc w:val="both"/>
              <w:rPr>
                <w:iCs/>
                <w:sz w:val="20"/>
              </w:rPr>
            </w:pPr>
            <w:r>
              <w:t>„</w:t>
            </w:r>
            <w:r>
              <w:rPr>
                <w:sz w:val="20"/>
              </w:rPr>
              <w:t>Áno“ – ak banka vykonala alternatívne zmierňujúce opatrenia</w:t>
            </w:r>
          </w:p>
          <w:p w14:paraId="7FE1C5F6" w14:textId="77777777" w:rsidR="007A5804" w:rsidRDefault="007B7723">
            <w:pPr>
              <w:pStyle w:val="P68B1DB1-Normal67"/>
              <w:spacing w:line="276" w:lineRule="auto"/>
              <w:jc w:val="both"/>
              <w:rPr>
                <w:iCs/>
                <w:sz w:val="20"/>
              </w:rPr>
            </w:pPr>
            <w:r>
              <w:t>„</w:t>
            </w:r>
            <w:r>
              <w:rPr>
                <w:sz w:val="20"/>
              </w:rPr>
              <w:t>Nie“ – ak banka nevykonala alternatívne zmierňujúce opatrenia</w:t>
            </w:r>
          </w:p>
          <w:p w14:paraId="7FE1C5F7" w14:textId="20F99367" w:rsidR="007A5804" w:rsidRDefault="007B7723">
            <w:pPr>
              <w:pStyle w:val="P68B1DB1-Normal67"/>
              <w:spacing w:line="276" w:lineRule="auto"/>
              <w:jc w:val="both"/>
              <w:rPr>
                <w:iCs/>
                <w:sz w:val="20"/>
              </w:rPr>
            </w:pPr>
            <w:r>
              <w:t>„</w:t>
            </w:r>
            <w:r>
              <w:rPr>
                <w:sz w:val="20"/>
              </w:rPr>
              <w:t>Nie APPLICABLE“ – v prípadoch, keď je ktorýkoľvek zo stĺpcov 0150, 0160 označený ako „áno“ alebo „NEURČENÉ“</w:t>
            </w:r>
          </w:p>
          <w:p w14:paraId="7FE1C5F8" w14:textId="77777777" w:rsidR="007A5804" w:rsidRDefault="007A5804">
            <w:pPr>
              <w:spacing w:line="276" w:lineRule="auto"/>
              <w:jc w:val="both"/>
              <w:rPr>
                <w:rFonts w:ascii="Times New Roman" w:hAnsi="Times New Roman"/>
                <w:sz w:val="20"/>
              </w:rPr>
            </w:pPr>
          </w:p>
        </w:tc>
      </w:tr>
    </w:tbl>
    <w:p w14:paraId="7FE1C5FA" w14:textId="77777777" w:rsidR="007A5804" w:rsidRDefault="007A5804">
      <w:pPr>
        <w:rPr>
          <w:rFonts w:ascii="Times New Roman" w:eastAsia="Times New Roman" w:hAnsi="Times New Roman" w:cs="Times New Roman"/>
          <w:sz w:val="20"/>
          <w:szCs w:val="20"/>
          <w:u w:val="single"/>
        </w:rPr>
      </w:pPr>
    </w:p>
    <w:p w14:paraId="7FE1C5FB" w14:textId="77777777" w:rsidR="007A5804" w:rsidRDefault="007A5804">
      <w:pPr>
        <w:rPr>
          <w:rFonts w:ascii="Times New Roman" w:hAnsi="Times New Roman" w:cs="Times New Roman"/>
        </w:rPr>
      </w:pPr>
    </w:p>
    <w:p w14:paraId="7FE1C5FC" w14:textId="77777777" w:rsidR="007A5804" w:rsidRDefault="007B7723">
      <w:pPr>
        <w:pStyle w:val="P68B1DB1-Instructionsberschrift25"/>
        <w:numPr>
          <w:ilvl w:val="1"/>
          <w:numId w:val="49"/>
        </w:numPr>
        <w:ind w:left="357" w:hanging="357"/>
        <w:rPr>
          <w:rFonts w:eastAsia="Calibri"/>
          <w:szCs w:val="20"/>
        </w:rPr>
      </w:pPr>
      <w:bookmarkStart w:id="130" w:name="_Toc208245260"/>
      <w:r>
        <w:t>Z 08.03 – Príslušné služby – mapovanie úloh (SERV 3)</w:t>
      </w:r>
      <w:bookmarkEnd w:id="130"/>
    </w:p>
    <w:p w14:paraId="7FE1C5FD" w14:textId="77777777" w:rsidR="007A5804" w:rsidRDefault="007B7723">
      <w:pPr>
        <w:pStyle w:val="P68B1DB1-Normal50"/>
        <w:spacing w:line="276" w:lineRule="auto"/>
        <w:jc w:val="both"/>
      </w:pPr>
      <w:r>
        <w:t>Všeobecné pokyny</w:t>
      </w:r>
    </w:p>
    <w:p w14:paraId="7FE1C5FE" w14:textId="77777777" w:rsidR="007A5804" w:rsidRDefault="007B7723">
      <w:pPr>
        <w:pStyle w:val="P68B1DB1-Instructionsberschrift346"/>
        <w:numPr>
          <w:ilvl w:val="2"/>
          <w:numId w:val="211"/>
        </w:numPr>
        <w:ind w:left="993"/>
        <w:contextualSpacing/>
        <w:jc w:val="both"/>
      </w:pPr>
      <w:r>
        <w:rPr>
          <w:color w:val="auto"/>
          <w:szCs w:val="24"/>
        </w:rPr>
        <w:t>Informácie, ktoré sa majú zahrnúť do tohto vzoru, sa vykazujú raz za celú skupinu, obsahujú zoznam relevantných služieb prijatých ktorýmkoľvek subjektom skupiny a spájajú ich so relevantnými funkciami poskytovanými skupinou</w:t>
      </w:r>
      <w:r>
        <w:t>.</w:t>
      </w:r>
    </w:p>
    <w:p w14:paraId="7FE1C5FF" w14:textId="77777777" w:rsidR="007A5804" w:rsidRDefault="007B7723">
      <w:pPr>
        <w:pStyle w:val="P68B1DB1-Instructionsberschrift368"/>
        <w:numPr>
          <w:ilvl w:val="2"/>
          <w:numId w:val="211"/>
        </w:numPr>
        <w:ind w:left="993"/>
        <w:contextualSpacing/>
        <w:jc w:val="both"/>
      </w:pPr>
      <w:r>
        <w:t>Hodnoty vykázané v stĺpcoch 0010, 0020 a 0030 tohto vzoru tvoria primárny kľúč, ktorý musí byť jedinečný pre každý riadok vzoru.</w:t>
      </w:r>
    </w:p>
    <w:p w14:paraId="7FE1C604" w14:textId="77777777" w:rsidR="007A5804" w:rsidRDefault="007A5804">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7A5804" w14:paraId="7FE1C607" w14:textId="77777777">
        <w:trPr>
          <w:trHeight w:val="519"/>
          <w:tblHeader/>
        </w:trPr>
        <w:tc>
          <w:tcPr>
            <w:tcW w:w="1418" w:type="dxa"/>
            <w:shd w:val="clear" w:color="auto" w:fill="D9D9D9" w:themeFill="background1" w:themeFillShade="D9"/>
          </w:tcPr>
          <w:p w14:paraId="7FE1C605" w14:textId="77777777" w:rsidR="007A5804" w:rsidRDefault="007B7723">
            <w:pPr>
              <w:pStyle w:val="P68B1DB1-Normal61"/>
              <w:spacing w:before="120" w:after="120" w:line="276" w:lineRule="auto"/>
            </w:pPr>
            <w:r>
              <w:t>Stĺpce</w:t>
            </w:r>
          </w:p>
        </w:tc>
        <w:tc>
          <w:tcPr>
            <w:tcW w:w="7649" w:type="dxa"/>
            <w:shd w:val="clear" w:color="auto" w:fill="D9D9D9" w:themeFill="background1" w:themeFillShade="D9"/>
          </w:tcPr>
          <w:p w14:paraId="7FE1C606" w14:textId="77777777" w:rsidR="007A5804" w:rsidRDefault="007B7723">
            <w:pPr>
              <w:pStyle w:val="P68B1DB1-Normal61"/>
              <w:spacing w:before="120" w:after="120" w:line="276" w:lineRule="auto"/>
            </w:pPr>
            <w:r>
              <w:t>Pokyny</w:t>
            </w:r>
          </w:p>
        </w:tc>
      </w:tr>
      <w:tr w:rsidR="007A5804" w14:paraId="7FE1C60C" w14:textId="77777777">
        <w:trPr>
          <w:trHeight w:val="450"/>
        </w:trPr>
        <w:tc>
          <w:tcPr>
            <w:tcW w:w="1418" w:type="dxa"/>
          </w:tcPr>
          <w:p w14:paraId="7FE1C608" w14:textId="77777777" w:rsidR="007A5804" w:rsidRDefault="007B7723">
            <w:pPr>
              <w:pStyle w:val="P68B1DB1-Normal62"/>
              <w:spacing w:before="120" w:after="120" w:line="276" w:lineRule="auto"/>
            </w:pPr>
            <w:r>
              <w:t>0005</w:t>
            </w:r>
          </w:p>
        </w:tc>
        <w:tc>
          <w:tcPr>
            <w:tcW w:w="7649" w:type="dxa"/>
          </w:tcPr>
          <w:p w14:paraId="7FE1C609" w14:textId="77777777" w:rsidR="007A5804" w:rsidRDefault="007B7723">
            <w:pPr>
              <w:pStyle w:val="P68B1DB1-Normal61"/>
              <w:spacing w:before="120" w:after="120" w:line="276" w:lineRule="auto"/>
              <w:rPr>
                <w:bCs/>
              </w:rPr>
            </w:pPr>
            <w:r>
              <w:t xml:space="preserve">Service Identifier (identifikátor služby) </w:t>
            </w:r>
          </w:p>
          <w:p w14:paraId="7FE1C60A" w14:textId="77777777" w:rsidR="007A5804" w:rsidRDefault="007B7723">
            <w:pPr>
              <w:pStyle w:val="P68B1DB1-Normal62"/>
              <w:spacing w:before="120" w:after="120" w:line="276" w:lineRule="auto"/>
            </w:pPr>
            <w:r>
              <w:t>Použite identifikátor služby uvedený v Z 08.01 (SERV 1).</w:t>
            </w:r>
          </w:p>
          <w:p w14:paraId="7FE1C60B" w14:textId="77777777" w:rsidR="007A5804" w:rsidRDefault="007B7723">
            <w:pPr>
              <w:pStyle w:val="P68B1DB1-Normal62"/>
              <w:spacing w:before="120" w:after="120" w:line="276" w:lineRule="auto"/>
              <w:rPr>
                <w:iCs/>
              </w:rPr>
            </w:pPr>
            <w:r>
              <w:t>Identifikátor služby sa vzťahuje na službu vykázanú v položke c0020.</w:t>
            </w:r>
          </w:p>
        </w:tc>
      </w:tr>
      <w:tr w:rsidR="007A5804" w14:paraId="7FE1C650" w14:textId="77777777">
        <w:trPr>
          <w:trHeight w:val="450"/>
        </w:trPr>
        <w:tc>
          <w:tcPr>
            <w:tcW w:w="1418" w:type="dxa"/>
          </w:tcPr>
          <w:p w14:paraId="7FE1C60D" w14:textId="77777777" w:rsidR="007A5804" w:rsidRDefault="007B7723">
            <w:pPr>
              <w:pStyle w:val="P68B1DB1-Normal62"/>
              <w:spacing w:before="120" w:after="120" w:line="276" w:lineRule="auto"/>
            </w:pPr>
            <w:r>
              <w:t>0010</w:t>
            </w:r>
          </w:p>
        </w:tc>
        <w:tc>
          <w:tcPr>
            <w:tcW w:w="7649" w:type="dxa"/>
          </w:tcPr>
          <w:p w14:paraId="7FE1C60E" w14:textId="77777777" w:rsidR="007A5804" w:rsidRDefault="007B7723">
            <w:pPr>
              <w:pStyle w:val="P68B1DB1-Normal61"/>
              <w:autoSpaceDE w:val="0"/>
              <w:autoSpaceDN w:val="0"/>
              <w:adjustRightInd w:val="0"/>
              <w:rPr>
                <w:rFonts w:eastAsia="MS Mincho"/>
                <w:bCs/>
              </w:rPr>
            </w:pPr>
            <w:r>
              <w:t xml:space="preserve">Druh služby </w:t>
            </w:r>
          </w:p>
          <w:p w14:paraId="7FE1C645" w14:textId="21F3184E" w:rsidR="007A5804" w:rsidRDefault="007B7723">
            <w:pPr>
              <w:pStyle w:val="P68B1DB1-Normal63"/>
              <w:autoSpaceDE w:val="0"/>
              <w:autoSpaceDN w:val="0"/>
              <w:adjustRightInd w:val="0"/>
            </w:pPr>
            <w:r>
              <w:t xml:space="preserve">Typ služby musí byť jedným z druhov služieb uvedených v Z 08.01 0010. </w:t>
            </w:r>
          </w:p>
          <w:p w14:paraId="7FE1C64F" w14:textId="2C039B1C" w:rsidR="007A5804" w:rsidRDefault="007A5804">
            <w:pPr>
              <w:spacing w:before="120" w:after="120" w:line="276" w:lineRule="auto"/>
              <w:rPr>
                <w:rFonts w:ascii="Times New Roman" w:hAnsi="Times New Roman"/>
                <w:sz w:val="20"/>
                <w:szCs w:val="20"/>
              </w:rPr>
            </w:pPr>
          </w:p>
        </w:tc>
      </w:tr>
      <w:tr w:rsidR="007A5804" w14:paraId="7FE1C655" w14:textId="77777777">
        <w:trPr>
          <w:trHeight w:val="450"/>
        </w:trPr>
        <w:tc>
          <w:tcPr>
            <w:tcW w:w="1418" w:type="dxa"/>
          </w:tcPr>
          <w:p w14:paraId="7FE1C651" w14:textId="77777777" w:rsidR="007A5804" w:rsidRDefault="007B7723">
            <w:pPr>
              <w:pStyle w:val="P68B1DB1-Normal62"/>
              <w:spacing w:before="120" w:after="120" w:line="276" w:lineRule="auto"/>
            </w:pPr>
            <w:r>
              <w:t>0020</w:t>
            </w:r>
          </w:p>
        </w:tc>
        <w:tc>
          <w:tcPr>
            <w:tcW w:w="7649" w:type="dxa"/>
          </w:tcPr>
          <w:p w14:paraId="7FE1C652" w14:textId="77777777" w:rsidR="007A5804" w:rsidRDefault="007B7723">
            <w:pPr>
              <w:pStyle w:val="P68B1DB1-Normal65"/>
              <w:spacing w:line="276" w:lineRule="auto"/>
              <w:jc w:val="both"/>
            </w:pPr>
            <w:r>
              <w:rPr>
                <w:szCs w:val="20"/>
              </w:rPr>
              <w:t>Jedinečný názov služby podľa taxonómie banky</w:t>
            </w:r>
            <w:r>
              <w:t xml:space="preserve"> </w:t>
            </w:r>
          </w:p>
          <w:p w14:paraId="7FE1C653" w14:textId="61186926" w:rsidR="007A5804" w:rsidRDefault="007B7723">
            <w:pPr>
              <w:pStyle w:val="P68B1DB1-Normal64"/>
              <w:rPr>
                <w:rFonts w:eastAsiaTheme="minorHAnsi"/>
                <w:sz w:val="24"/>
              </w:rPr>
            </w:pPr>
            <w:r>
              <w:t>Názov/krátky opis služby podľa vlastnej prísnej taxonómie banky (úroveň 3) vykázaný v stĺpci 0020 Z 08.01 (SERV 1). Očakáva sa, že banka bude vykazovať služby na podrobnejšej úrovni než vykazovanie poskytnuté pre úroveň 2 (c0010), aby sa každá konkrétna služba vymedzila presným a cieleným spôsobom.</w:t>
            </w:r>
          </w:p>
          <w:p w14:paraId="7FE1C654" w14:textId="77777777" w:rsidR="007A5804" w:rsidRDefault="007A5804">
            <w:pPr>
              <w:spacing w:before="120" w:after="120" w:line="276" w:lineRule="auto"/>
              <w:rPr>
                <w:rFonts w:ascii="Times New Roman" w:hAnsi="Times New Roman"/>
                <w:sz w:val="20"/>
                <w:szCs w:val="20"/>
              </w:rPr>
            </w:pPr>
          </w:p>
        </w:tc>
      </w:tr>
      <w:tr w:rsidR="007A5804" w14:paraId="7FE1C65A" w14:textId="77777777">
        <w:trPr>
          <w:trHeight w:val="450"/>
        </w:trPr>
        <w:tc>
          <w:tcPr>
            <w:tcW w:w="1418" w:type="dxa"/>
          </w:tcPr>
          <w:p w14:paraId="7FE1C656" w14:textId="77777777" w:rsidR="007A5804" w:rsidRDefault="007B7723">
            <w:pPr>
              <w:pStyle w:val="P68B1DB1-Normal62"/>
              <w:spacing w:before="120" w:after="120" w:line="276" w:lineRule="auto"/>
              <w:rPr>
                <w:b/>
              </w:rPr>
            </w:pPr>
            <w:r>
              <w:lastRenderedPageBreak/>
              <w:t>0030</w:t>
            </w:r>
          </w:p>
        </w:tc>
        <w:tc>
          <w:tcPr>
            <w:tcW w:w="7649" w:type="dxa"/>
          </w:tcPr>
          <w:p w14:paraId="7FE1C657" w14:textId="77777777" w:rsidR="007A5804" w:rsidRDefault="007B7723">
            <w:pPr>
              <w:pStyle w:val="P68B1DB1-Normal65"/>
              <w:spacing w:before="120" w:after="120" w:line="276" w:lineRule="auto"/>
              <w:rPr>
                <w:bCs/>
              </w:rPr>
            </w:pPr>
            <w:r>
              <w:rPr>
                <w:szCs w:val="20"/>
              </w:rPr>
              <w:t>ID roly</w:t>
            </w:r>
            <w:r>
              <w:t xml:space="preserve"> </w:t>
            </w:r>
          </w:p>
          <w:p w14:paraId="7FE1C658" w14:textId="77777777" w:rsidR="007A5804" w:rsidRDefault="007B7723">
            <w:pPr>
              <w:pStyle w:val="P68B1DB1-Normal64"/>
              <w:spacing w:before="120" w:after="120" w:line="276" w:lineRule="auto"/>
            </w:pPr>
            <w:r>
              <w:t>Identifikátor úlohy sa vzťahuje na úlohu vykázanú v c0040.</w:t>
            </w:r>
          </w:p>
          <w:p w14:paraId="7FE1C659" w14:textId="77777777" w:rsidR="007A5804" w:rsidRDefault="007A5804">
            <w:pPr>
              <w:spacing w:before="120" w:after="120" w:line="276" w:lineRule="auto"/>
              <w:rPr>
                <w:rFonts w:ascii="Times New Roman" w:hAnsi="Times New Roman"/>
                <w:sz w:val="20"/>
                <w:szCs w:val="20"/>
              </w:rPr>
            </w:pPr>
          </w:p>
        </w:tc>
      </w:tr>
      <w:tr w:rsidR="007A5804" w14:paraId="7FE1C65F" w14:textId="77777777">
        <w:trPr>
          <w:trHeight w:val="450"/>
        </w:trPr>
        <w:tc>
          <w:tcPr>
            <w:tcW w:w="1418" w:type="dxa"/>
          </w:tcPr>
          <w:p w14:paraId="7FE1C65B" w14:textId="77777777" w:rsidR="007A5804" w:rsidRDefault="007B7723">
            <w:pPr>
              <w:pStyle w:val="P68B1DB1-Normal62"/>
              <w:spacing w:before="120" w:after="120" w:line="276" w:lineRule="auto"/>
            </w:pPr>
            <w:r>
              <w:t>0040</w:t>
            </w:r>
          </w:p>
        </w:tc>
        <w:tc>
          <w:tcPr>
            <w:tcW w:w="7649" w:type="dxa"/>
          </w:tcPr>
          <w:p w14:paraId="7FE1C65C" w14:textId="77777777" w:rsidR="007A5804" w:rsidRDefault="007B7723">
            <w:pPr>
              <w:pStyle w:val="P68B1DB1-Normal61"/>
              <w:spacing w:before="120" w:after="120" w:line="276" w:lineRule="auto"/>
              <w:rPr>
                <w:bCs/>
              </w:rPr>
            </w:pPr>
            <w:r>
              <w:t>Názov úlohy</w:t>
            </w:r>
          </w:p>
          <w:p w14:paraId="7FE1C65D" w14:textId="77777777" w:rsidR="007A5804" w:rsidRDefault="007B7723">
            <w:pPr>
              <w:pStyle w:val="P68B1DB1-Normal64"/>
              <w:spacing w:line="276" w:lineRule="auto"/>
              <w:jc w:val="both"/>
            </w:pPr>
            <w:r>
              <w:t>Interný názov použitý pre konkrétnu úlohu.</w:t>
            </w:r>
          </w:p>
          <w:p w14:paraId="7FE1C65E" w14:textId="77777777" w:rsidR="007A5804" w:rsidRDefault="007A5804">
            <w:pPr>
              <w:spacing w:before="120" w:after="120" w:line="276" w:lineRule="auto"/>
              <w:rPr>
                <w:rFonts w:ascii="Times New Roman" w:hAnsi="Times New Roman"/>
                <w:sz w:val="20"/>
                <w:szCs w:val="20"/>
              </w:rPr>
            </w:pPr>
          </w:p>
        </w:tc>
      </w:tr>
      <w:tr w:rsidR="007A5804" w14:paraId="7FE1C664" w14:textId="77777777">
        <w:trPr>
          <w:trHeight w:val="450"/>
        </w:trPr>
        <w:tc>
          <w:tcPr>
            <w:tcW w:w="1418" w:type="dxa"/>
          </w:tcPr>
          <w:p w14:paraId="7FE1C660" w14:textId="77777777" w:rsidR="007A5804" w:rsidRDefault="007B7723">
            <w:pPr>
              <w:pStyle w:val="P68B1DB1-Normal62"/>
              <w:spacing w:before="120" w:after="120" w:line="276" w:lineRule="auto"/>
            </w:pPr>
            <w:r>
              <w:t>0050</w:t>
            </w:r>
          </w:p>
        </w:tc>
        <w:tc>
          <w:tcPr>
            <w:tcW w:w="7649" w:type="dxa"/>
          </w:tcPr>
          <w:p w14:paraId="7FE1C661" w14:textId="77777777" w:rsidR="007A5804" w:rsidRDefault="007B7723">
            <w:pPr>
              <w:pStyle w:val="P68B1DB1-Normal61"/>
              <w:spacing w:before="120" w:after="120" w:line="276" w:lineRule="auto"/>
              <w:rPr>
                <w:bCs/>
              </w:rPr>
            </w:pPr>
            <w:r>
              <w:t>Útvar</w:t>
            </w:r>
          </w:p>
          <w:p w14:paraId="7FE1C662" w14:textId="77777777" w:rsidR="007A5804" w:rsidRDefault="007B7723">
            <w:pPr>
              <w:pStyle w:val="P68B1DB1-Normal64"/>
              <w:spacing w:line="276" w:lineRule="auto"/>
              <w:jc w:val="both"/>
            </w:pPr>
            <w:r>
              <w:t>Interný názov používaný pre konkrétny útvar, do ktorého patrí funkcia uvedená v c0040.</w:t>
            </w:r>
          </w:p>
          <w:p w14:paraId="7FE1C663" w14:textId="77777777" w:rsidR="007A5804" w:rsidRDefault="007A5804">
            <w:pPr>
              <w:spacing w:line="276" w:lineRule="auto"/>
              <w:jc w:val="both"/>
              <w:rPr>
                <w:rFonts w:ascii="Times New Roman" w:hAnsi="Times New Roman"/>
                <w:iCs/>
                <w:sz w:val="20"/>
              </w:rPr>
            </w:pPr>
          </w:p>
        </w:tc>
      </w:tr>
      <w:tr w:rsidR="007A5804" w14:paraId="7FE1C66C" w14:textId="77777777">
        <w:trPr>
          <w:trHeight w:val="450"/>
        </w:trPr>
        <w:tc>
          <w:tcPr>
            <w:tcW w:w="1418" w:type="dxa"/>
          </w:tcPr>
          <w:p w14:paraId="7FE1C665" w14:textId="77777777" w:rsidR="007A5804" w:rsidRDefault="007B7723">
            <w:pPr>
              <w:pStyle w:val="P68B1DB1-Normal62"/>
              <w:spacing w:before="120" w:after="120" w:line="276" w:lineRule="auto"/>
            </w:pPr>
            <w:r>
              <w:t>0060</w:t>
            </w:r>
          </w:p>
        </w:tc>
        <w:tc>
          <w:tcPr>
            <w:tcW w:w="7649" w:type="dxa"/>
          </w:tcPr>
          <w:p w14:paraId="7FE1C666" w14:textId="77777777" w:rsidR="007A5804" w:rsidRDefault="007B7723">
            <w:pPr>
              <w:pStyle w:val="P68B1DB1-Normal61"/>
              <w:spacing w:before="120" w:after="120" w:line="276" w:lineRule="auto"/>
              <w:rPr>
                <w:bCs/>
              </w:rPr>
            </w:pPr>
            <w:r>
              <w:t>Kritickosť</w:t>
            </w:r>
          </w:p>
          <w:p w14:paraId="7FE1C667" w14:textId="77777777" w:rsidR="007A5804" w:rsidRDefault="007B7723">
            <w:pPr>
              <w:pStyle w:val="P68B1DB1-Normal64"/>
              <w:spacing w:line="276" w:lineRule="auto"/>
              <w:jc w:val="both"/>
              <w:rPr>
                <w:iCs/>
              </w:rPr>
            </w:pPr>
            <w:r>
              <w:t>Uveďte jednu z týchto hodnôt:</w:t>
            </w:r>
          </w:p>
          <w:p w14:paraId="7FE1C668" w14:textId="77777777" w:rsidR="007A5804" w:rsidRDefault="007B7723">
            <w:pPr>
              <w:pStyle w:val="P68B1DB1-ListParagraph58"/>
              <w:numPr>
                <w:ilvl w:val="0"/>
                <w:numId w:val="236"/>
              </w:numPr>
              <w:spacing w:line="276" w:lineRule="auto"/>
              <w:contextualSpacing/>
              <w:jc w:val="both"/>
              <w:rPr>
                <w:iCs/>
              </w:rPr>
            </w:pPr>
            <w:r>
              <w:t>Mimoriadne dôležité: ak je služba potrebná na výkon jednej alebo viacerých zásadných funkcií, ktorých prerušenie by vážne bránilo výkonu týchto zásadných funkcií alebo mu bránilo.</w:t>
            </w:r>
          </w:p>
          <w:p w14:paraId="7FE1C669" w14:textId="77777777" w:rsidR="007A5804" w:rsidRDefault="007B7723">
            <w:pPr>
              <w:pStyle w:val="P68B1DB1-ListParagraph58"/>
              <w:numPr>
                <w:ilvl w:val="0"/>
                <w:numId w:val="236"/>
              </w:numPr>
              <w:spacing w:line="276" w:lineRule="auto"/>
              <w:contextualSpacing/>
              <w:jc w:val="both"/>
              <w:rPr>
                <w:iCs/>
              </w:rPr>
            </w:pPr>
            <w:r>
              <w:t>Základné: ak je služba spojená s hlavnými oblasťami obchodnej činnosti, ktorých kontinuita je potrebná na účinné vykonávanie stratégie riešenia krízových situácií a akúkoľvek následnú reštrukturalizáciu.</w:t>
            </w:r>
          </w:p>
          <w:p w14:paraId="7FE1C66A" w14:textId="21623EFD" w:rsidR="007A5804" w:rsidRDefault="007B7723">
            <w:pPr>
              <w:pStyle w:val="P68B1DB1-ListParagraph58"/>
              <w:numPr>
                <w:ilvl w:val="0"/>
                <w:numId w:val="236"/>
              </w:numPr>
              <w:spacing w:line="276" w:lineRule="auto"/>
              <w:contextualSpacing/>
              <w:jc w:val="both"/>
              <w:rPr>
                <w:iCs/>
              </w:rPr>
            </w:pPr>
            <w:r>
              <w:t>Kritické a zásadné</w:t>
            </w:r>
          </w:p>
          <w:p w14:paraId="7FE1C66B" w14:textId="77777777" w:rsidR="007A5804" w:rsidRDefault="007A5804">
            <w:pPr>
              <w:spacing w:before="120" w:after="120" w:line="276" w:lineRule="auto"/>
              <w:rPr>
                <w:rFonts w:ascii="Times New Roman" w:hAnsi="Times New Roman"/>
                <w:sz w:val="20"/>
                <w:szCs w:val="20"/>
              </w:rPr>
            </w:pPr>
          </w:p>
        </w:tc>
      </w:tr>
    </w:tbl>
    <w:p w14:paraId="7FE1C6D5" w14:textId="77777777" w:rsidR="007A5804" w:rsidRDefault="007A5804">
      <w:pPr>
        <w:rPr>
          <w:rFonts w:ascii="Times New Roman" w:hAnsi="Times New Roman" w:cs="Times New Roman"/>
        </w:rPr>
      </w:pPr>
    </w:p>
    <w:p w14:paraId="7FE1C6D6" w14:textId="77777777" w:rsidR="007A5804" w:rsidRDefault="007B7723">
      <w:pPr>
        <w:pStyle w:val="P68B1DB1-Instructionsberschrift25"/>
        <w:numPr>
          <w:ilvl w:val="1"/>
          <w:numId w:val="49"/>
        </w:numPr>
        <w:ind w:left="357" w:hanging="357"/>
        <w:rPr>
          <w:rFonts w:eastAsia="Calibri"/>
          <w:szCs w:val="20"/>
        </w:rPr>
      </w:pPr>
      <w:bookmarkStart w:id="131" w:name="_Toc208245261"/>
      <w:r>
        <w:t>Z 08.04 – Kritické služby – priradenie ku kritickým funkciám (SERV 4)</w:t>
      </w:r>
      <w:bookmarkEnd w:id="131"/>
    </w:p>
    <w:p w14:paraId="7FE1C6D7" w14:textId="77777777" w:rsidR="007A5804" w:rsidRDefault="007B7723">
      <w:pPr>
        <w:pStyle w:val="P68B1DB1-Instructionsberschrift269"/>
        <w:ind w:left="357"/>
      </w:pPr>
      <w:bookmarkStart w:id="132" w:name="_Toc164263859"/>
      <w:bookmarkStart w:id="133" w:name="_Toc208245262"/>
      <w:r>
        <w:t>Všeobecné pokyny</w:t>
      </w:r>
      <w:bookmarkEnd w:id="132"/>
      <w:bookmarkEnd w:id="133"/>
    </w:p>
    <w:p w14:paraId="7FE1C6D8" w14:textId="77777777" w:rsidR="007A5804" w:rsidRDefault="007A5804">
      <w:pPr>
        <w:spacing w:line="276" w:lineRule="auto"/>
        <w:jc w:val="both"/>
        <w:rPr>
          <w:rFonts w:ascii="Times New Roman" w:eastAsia="Calibri" w:hAnsi="Times New Roman" w:cs="Times New Roman"/>
          <w:sz w:val="20"/>
          <w:szCs w:val="20"/>
        </w:rPr>
      </w:pPr>
    </w:p>
    <w:p w14:paraId="7FE1C6D9" w14:textId="77777777" w:rsidR="007A5804" w:rsidRDefault="007B7723">
      <w:pPr>
        <w:pStyle w:val="P68B1DB1-ListParagraph53"/>
        <w:numPr>
          <w:ilvl w:val="0"/>
          <w:numId w:val="267"/>
        </w:numPr>
        <w:ind w:left="1418"/>
        <w:contextualSpacing/>
        <w:jc w:val="both"/>
      </w:pPr>
      <w:r>
        <w:t>Informácie, ktoré sa majú zahrnúť do tohto vzoru, sa vykazujú raz za celú skupinu, obsahujú zoznam kritických služieb prijatých ktorýmkoľvek subjektom skupiny a spájajú ich so zásadnými funkciami poskytovanými skupinou.</w:t>
      </w:r>
    </w:p>
    <w:p w14:paraId="7FE1C6DA" w14:textId="77777777" w:rsidR="007A5804" w:rsidRDefault="007B7723">
      <w:pPr>
        <w:pStyle w:val="P68B1DB1-ListParagraph53"/>
        <w:numPr>
          <w:ilvl w:val="0"/>
          <w:numId w:val="267"/>
        </w:numPr>
        <w:ind w:left="1418"/>
        <w:contextualSpacing/>
        <w:jc w:val="both"/>
      </w:pPr>
      <w:r>
        <w:t>Hodnoty vykázané v stĺpcoch 0010, 0020, 0030 a 0040 tohto vzoru tvoria primárny kľúč, ktorý musí byť jedinečný pre každý riadok vzoru.</w:t>
      </w:r>
    </w:p>
    <w:p w14:paraId="7FE1C6DB" w14:textId="77777777" w:rsidR="007A5804" w:rsidRDefault="007A5804">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7A5804" w14:paraId="7FE1C6DE" w14:textId="77777777">
        <w:trPr>
          <w:trHeight w:val="445"/>
          <w:tblHeader/>
        </w:trPr>
        <w:tc>
          <w:tcPr>
            <w:tcW w:w="1418" w:type="dxa"/>
            <w:shd w:val="clear" w:color="auto" w:fill="E7E6E6"/>
          </w:tcPr>
          <w:p w14:paraId="7FE1C6DC" w14:textId="77777777" w:rsidR="007A5804" w:rsidRDefault="007B7723">
            <w:pPr>
              <w:pStyle w:val="P68B1DB1-Normal61"/>
              <w:spacing w:before="120" w:after="120" w:line="276" w:lineRule="auto"/>
            </w:pPr>
            <w:r>
              <w:t>Stĺpce</w:t>
            </w:r>
          </w:p>
        </w:tc>
        <w:tc>
          <w:tcPr>
            <w:tcW w:w="7508" w:type="dxa"/>
            <w:shd w:val="clear" w:color="auto" w:fill="E7E6E6"/>
          </w:tcPr>
          <w:p w14:paraId="7FE1C6DD" w14:textId="77777777" w:rsidR="007A5804" w:rsidRDefault="007B7723">
            <w:pPr>
              <w:pStyle w:val="P68B1DB1-Normal61"/>
              <w:spacing w:before="120" w:after="120" w:line="276" w:lineRule="auto"/>
            </w:pPr>
            <w:r>
              <w:t>Pokyny</w:t>
            </w:r>
          </w:p>
        </w:tc>
      </w:tr>
      <w:tr w:rsidR="007A5804" w14:paraId="7FE1C6E3" w14:textId="77777777">
        <w:trPr>
          <w:trHeight w:val="450"/>
        </w:trPr>
        <w:tc>
          <w:tcPr>
            <w:tcW w:w="1418" w:type="dxa"/>
            <w:shd w:val="clear" w:color="auto" w:fill="FFFFFF"/>
          </w:tcPr>
          <w:p w14:paraId="7FE1C6DF" w14:textId="77777777" w:rsidR="007A5804" w:rsidRDefault="007B7723">
            <w:pPr>
              <w:pStyle w:val="P68B1DB1-Normal62"/>
              <w:spacing w:before="120" w:after="120" w:line="276" w:lineRule="auto"/>
            </w:pPr>
            <w:r>
              <w:t>0005</w:t>
            </w:r>
          </w:p>
        </w:tc>
        <w:tc>
          <w:tcPr>
            <w:tcW w:w="7508" w:type="dxa"/>
            <w:shd w:val="clear" w:color="auto" w:fill="FFFFFF"/>
          </w:tcPr>
          <w:p w14:paraId="7FE1C6E0" w14:textId="77777777" w:rsidR="007A5804" w:rsidRDefault="007B7723">
            <w:pPr>
              <w:pStyle w:val="P68B1DB1-Normal61"/>
              <w:spacing w:before="120" w:after="120" w:line="276" w:lineRule="auto"/>
            </w:pPr>
            <w:r>
              <w:t xml:space="preserve">Service Identifier (identifikátor služby) </w:t>
            </w:r>
          </w:p>
          <w:p w14:paraId="7FE1C6E1" w14:textId="77777777" w:rsidR="007A5804" w:rsidRDefault="007B7723">
            <w:pPr>
              <w:pStyle w:val="P68B1DB1-Normal62"/>
              <w:spacing w:before="120" w:after="120" w:line="276" w:lineRule="auto"/>
            </w:pPr>
            <w:r>
              <w:t>Použite identifikátor služby uvedený v Z 08.01 (SERV 1).</w:t>
            </w:r>
          </w:p>
          <w:p w14:paraId="7FE1C6E2" w14:textId="77777777" w:rsidR="007A5804" w:rsidRDefault="007B7723">
            <w:pPr>
              <w:pStyle w:val="P68B1DB1-Normal62"/>
              <w:spacing w:before="120" w:after="120" w:line="276" w:lineRule="auto"/>
              <w:rPr>
                <w:i/>
              </w:rPr>
            </w:pPr>
            <w:r>
              <w:t>Identifikátor služby sa vzťahuje na službu vykázanú v položke c0020.</w:t>
            </w:r>
          </w:p>
        </w:tc>
      </w:tr>
      <w:tr w:rsidR="007A5804" w14:paraId="7FE1C727" w14:textId="77777777">
        <w:trPr>
          <w:trHeight w:val="450"/>
        </w:trPr>
        <w:tc>
          <w:tcPr>
            <w:tcW w:w="1418" w:type="dxa"/>
            <w:shd w:val="clear" w:color="auto" w:fill="FFFFFF"/>
          </w:tcPr>
          <w:p w14:paraId="7FE1C6E4" w14:textId="77777777" w:rsidR="007A5804" w:rsidRDefault="007B7723">
            <w:pPr>
              <w:pStyle w:val="P68B1DB1-Normal62"/>
              <w:spacing w:before="120" w:after="120" w:line="276" w:lineRule="auto"/>
            </w:pPr>
            <w:r>
              <w:t>0010</w:t>
            </w:r>
          </w:p>
        </w:tc>
        <w:tc>
          <w:tcPr>
            <w:tcW w:w="7508" w:type="dxa"/>
            <w:shd w:val="clear" w:color="auto" w:fill="FFFFFF"/>
          </w:tcPr>
          <w:p w14:paraId="7FE1C6E5" w14:textId="77777777" w:rsidR="007A5804" w:rsidRDefault="007B7723">
            <w:pPr>
              <w:pStyle w:val="P68B1DB1-Normal61"/>
              <w:autoSpaceDE w:val="0"/>
              <w:autoSpaceDN w:val="0"/>
              <w:adjustRightInd w:val="0"/>
              <w:rPr>
                <w:rFonts w:eastAsia="MS Mincho"/>
                <w:bCs/>
              </w:rPr>
            </w:pPr>
            <w:r>
              <w:t xml:space="preserve">Druh služby </w:t>
            </w:r>
          </w:p>
          <w:p w14:paraId="7FE1C6E6" w14:textId="328A5068" w:rsidR="007A5804" w:rsidRDefault="007B7723">
            <w:pPr>
              <w:pStyle w:val="P68B1DB1-Normal63"/>
              <w:autoSpaceDE w:val="0"/>
              <w:autoSpaceDN w:val="0"/>
              <w:adjustRightInd w:val="0"/>
            </w:pPr>
            <w:r>
              <w:t xml:space="preserve">Typ služby musí byť jedným z druhov služieb uvedených v Z 08.01 0010. </w:t>
            </w:r>
          </w:p>
          <w:p w14:paraId="7FE1C726" w14:textId="7C7FFCB5" w:rsidR="007A5804" w:rsidRDefault="007A5804">
            <w:pPr>
              <w:spacing w:before="120" w:after="120" w:line="276" w:lineRule="auto"/>
              <w:rPr>
                <w:rFonts w:ascii="Times New Roman" w:hAnsi="Times New Roman"/>
                <w:sz w:val="20"/>
                <w:szCs w:val="20"/>
              </w:rPr>
            </w:pPr>
          </w:p>
        </w:tc>
      </w:tr>
      <w:tr w:rsidR="007A5804" w14:paraId="7FE1C72C" w14:textId="77777777">
        <w:trPr>
          <w:trHeight w:val="450"/>
        </w:trPr>
        <w:tc>
          <w:tcPr>
            <w:tcW w:w="1418" w:type="dxa"/>
            <w:shd w:val="clear" w:color="auto" w:fill="FFFFFF"/>
          </w:tcPr>
          <w:p w14:paraId="7FE1C728" w14:textId="77777777" w:rsidR="007A5804" w:rsidRDefault="007B7723">
            <w:pPr>
              <w:pStyle w:val="P68B1DB1-Normal62"/>
              <w:spacing w:before="120" w:after="120" w:line="276" w:lineRule="auto"/>
            </w:pPr>
            <w:r>
              <w:lastRenderedPageBreak/>
              <w:t>0020</w:t>
            </w:r>
          </w:p>
        </w:tc>
        <w:tc>
          <w:tcPr>
            <w:tcW w:w="7508" w:type="dxa"/>
            <w:shd w:val="clear" w:color="auto" w:fill="FFFFFF"/>
          </w:tcPr>
          <w:p w14:paraId="7FE1C729" w14:textId="77777777" w:rsidR="007A5804" w:rsidRDefault="007B7723">
            <w:pPr>
              <w:pStyle w:val="P68B1DB1-Normal65"/>
              <w:spacing w:line="276" w:lineRule="auto"/>
              <w:jc w:val="both"/>
            </w:pPr>
            <w:r>
              <w:rPr>
                <w:szCs w:val="20"/>
              </w:rPr>
              <w:t>Jedinečný názov služby podľa taxonómie banky</w:t>
            </w:r>
            <w:r>
              <w:t xml:space="preserve"> </w:t>
            </w:r>
          </w:p>
          <w:p w14:paraId="7FE1C72A" w14:textId="14809522" w:rsidR="007A5804" w:rsidRDefault="007B7723">
            <w:pPr>
              <w:pStyle w:val="P68B1DB1-Normal64"/>
            </w:pPr>
            <w:r>
              <w:t>Názov/krátky opis služby podľa vlastnej prísnej taxonómie banky (úroveň 3) vykázaný v stĺpci 0020 Z 08.01 (SERV 1). Očakáva sa, že banka bude vykazovať služby na podrobnejšej úrovni než vykazovanie poskytnuté pre úroveň 2 (c0010), aby sa každá konkrétna služba vymedzila presným a cieleným spôsobom.</w:t>
            </w:r>
          </w:p>
          <w:p w14:paraId="7FE1C72B" w14:textId="77777777" w:rsidR="007A5804" w:rsidRDefault="007A5804">
            <w:pPr>
              <w:spacing w:before="120" w:after="120" w:line="276" w:lineRule="auto"/>
              <w:rPr>
                <w:rFonts w:ascii="Times New Roman" w:hAnsi="Times New Roman"/>
                <w:sz w:val="20"/>
                <w:szCs w:val="20"/>
              </w:rPr>
            </w:pPr>
          </w:p>
        </w:tc>
      </w:tr>
      <w:tr w:rsidR="007A5804" w14:paraId="7FE1C731" w14:textId="77777777">
        <w:trPr>
          <w:trHeight w:val="450"/>
        </w:trPr>
        <w:tc>
          <w:tcPr>
            <w:tcW w:w="1418" w:type="dxa"/>
            <w:shd w:val="clear" w:color="auto" w:fill="FFFFFF"/>
          </w:tcPr>
          <w:p w14:paraId="7FE1C72D" w14:textId="77777777" w:rsidR="007A5804" w:rsidRDefault="007B7723">
            <w:pPr>
              <w:pStyle w:val="P68B1DB1-Normal62"/>
              <w:spacing w:before="120" w:after="120" w:line="276" w:lineRule="auto"/>
            </w:pPr>
            <w:r>
              <w:t>0030 – 0040</w:t>
            </w:r>
          </w:p>
        </w:tc>
        <w:tc>
          <w:tcPr>
            <w:tcW w:w="7508" w:type="dxa"/>
            <w:shd w:val="clear" w:color="auto" w:fill="FFFFFF"/>
          </w:tcPr>
          <w:p w14:paraId="7FE1C72E" w14:textId="77777777" w:rsidR="007A5804" w:rsidRDefault="007B7723">
            <w:pPr>
              <w:pStyle w:val="P68B1DB1-Normal65"/>
              <w:spacing w:line="276" w:lineRule="auto"/>
              <w:jc w:val="both"/>
              <w:rPr>
                <w:bCs/>
              </w:rPr>
            </w:pPr>
            <w:r>
              <w:rPr>
                <w:szCs w:val="20"/>
              </w:rPr>
              <w:t>Zásadné funkcie</w:t>
            </w:r>
            <w:r>
              <w:t xml:space="preserve"> </w:t>
            </w:r>
          </w:p>
          <w:p w14:paraId="7FE1C72F" w14:textId="77777777" w:rsidR="007A5804" w:rsidRDefault="007B7723">
            <w:pPr>
              <w:pStyle w:val="P68B1DB1-Normal64"/>
              <w:spacing w:line="276" w:lineRule="auto"/>
              <w:jc w:val="both"/>
            </w:pPr>
            <w:r>
              <w:t>Zásadná funkcia, ktorej výkon by v prípade narušenia kritickej služby utrpel závažné problémy alebo by bol úplne znemožnený. Ide o jednu z funkcií, ktoré sa považujú za zásadné vo vzore Z 07.01 (FUNC 1).</w:t>
            </w:r>
          </w:p>
          <w:p w14:paraId="7FE1C730" w14:textId="77777777" w:rsidR="007A5804" w:rsidRDefault="007A5804">
            <w:pPr>
              <w:spacing w:line="276" w:lineRule="auto"/>
              <w:jc w:val="both"/>
              <w:rPr>
                <w:rFonts w:ascii="Times New Roman" w:hAnsi="Times New Roman"/>
                <w:sz w:val="20"/>
              </w:rPr>
            </w:pPr>
          </w:p>
        </w:tc>
      </w:tr>
      <w:tr w:rsidR="007A5804" w14:paraId="7FE1C736" w14:textId="77777777">
        <w:trPr>
          <w:trHeight w:val="450"/>
        </w:trPr>
        <w:tc>
          <w:tcPr>
            <w:tcW w:w="1418" w:type="dxa"/>
            <w:shd w:val="clear" w:color="auto" w:fill="FFFFFF"/>
          </w:tcPr>
          <w:p w14:paraId="7FE1C732" w14:textId="77777777" w:rsidR="007A5804" w:rsidRDefault="007B7723">
            <w:pPr>
              <w:pStyle w:val="P68B1DB1-Normal64"/>
              <w:spacing w:before="120" w:after="120" w:line="276" w:lineRule="auto"/>
              <w:rPr>
                <w:szCs w:val="20"/>
              </w:rPr>
            </w:pPr>
            <w:r>
              <w:t>0030</w:t>
            </w:r>
          </w:p>
        </w:tc>
        <w:tc>
          <w:tcPr>
            <w:tcW w:w="7508" w:type="dxa"/>
            <w:shd w:val="clear" w:color="auto" w:fill="FFFFFF"/>
          </w:tcPr>
          <w:p w14:paraId="7FE1C733" w14:textId="77777777" w:rsidR="007A5804" w:rsidRDefault="007B7723">
            <w:pPr>
              <w:pStyle w:val="P68B1DB1-Normal65"/>
              <w:spacing w:line="276" w:lineRule="auto"/>
              <w:jc w:val="both"/>
              <w:rPr>
                <w:bCs/>
              </w:rPr>
            </w:pPr>
            <w:r>
              <w:t>Krajina</w:t>
            </w:r>
          </w:p>
          <w:p w14:paraId="7FE1C734" w14:textId="77777777" w:rsidR="007A5804" w:rsidRDefault="007B7723">
            <w:pPr>
              <w:pStyle w:val="P68B1DB1-Normal64"/>
              <w:spacing w:line="276" w:lineRule="auto"/>
              <w:jc w:val="both"/>
            </w:pPr>
            <w:r>
              <w:t>Štát, pre ktorý je funkcia zásadná, vykazovaný v Z 07.01 (FUNC 1)</w:t>
            </w:r>
          </w:p>
          <w:p w14:paraId="7FE1C735" w14:textId="77777777" w:rsidR="007A5804" w:rsidRDefault="007A5804">
            <w:pPr>
              <w:spacing w:line="276" w:lineRule="auto"/>
              <w:jc w:val="both"/>
              <w:rPr>
                <w:rFonts w:ascii="Times New Roman" w:hAnsi="Times New Roman"/>
                <w:sz w:val="20"/>
              </w:rPr>
            </w:pPr>
          </w:p>
        </w:tc>
      </w:tr>
      <w:tr w:rsidR="007A5804" w14:paraId="7FE1C73B" w14:textId="77777777">
        <w:trPr>
          <w:trHeight w:val="450"/>
        </w:trPr>
        <w:tc>
          <w:tcPr>
            <w:tcW w:w="1418" w:type="dxa"/>
            <w:shd w:val="clear" w:color="auto" w:fill="FFFFFF"/>
          </w:tcPr>
          <w:p w14:paraId="7FE1C737" w14:textId="77777777" w:rsidR="007A5804" w:rsidRDefault="007B7723">
            <w:pPr>
              <w:pStyle w:val="P68B1DB1-Normal64"/>
              <w:spacing w:before="120" w:after="120" w:line="276" w:lineRule="auto"/>
              <w:rPr>
                <w:szCs w:val="20"/>
              </w:rPr>
            </w:pPr>
            <w:r>
              <w:t>0040</w:t>
            </w:r>
          </w:p>
        </w:tc>
        <w:tc>
          <w:tcPr>
            <w:tcW w:w="7508" w:type="dxa"/>
            <w:shd w:val="clear" w:color="auto" w:fill="FFFFFF"/>
          </w:tcPr>
          <w:p w14:paraId="7FE1C738" w14:textId="77777777" w:rsidR="007A5804" w:rsidRDefault="007B7723">
            <w:pPr>
              <w:pStyle w:val="P68B1DB1-Normal65"/>
              <w:spacing w:line="276" w:lineRule="auto"/>
              <w:jc w:val="both"/>
              <w:rPr>
                <w:bCs/>
              </w:rPr>
            </w:pPr>
            <w:r>
              <w:t>IDENTIFIKÁCIA</w:t>
            </w:r>
          </w:p>
          <w:p w14:paraId="7FE1C739" w14:textId="77777777" w:rsidR="007A5804" w:rsidRDefault="007B7723">
            <w:pPr>
              <w:pStyle w:val="P68B1DB1-Normal64"/>
              <w:spacing w:line="276" w:lineRule="auto"/>
              <w:jc w:val="both"/>
            </w:pPr>
            <w:r>
              <w:t>Identifikátor zásadných funkcií podľa vymedzenia v kapitole 2.7.1.4 vyššie a vo vzore Z 07.01 (FUNC 1)</w:t>
            </w:r>
          </w:p>
          <w:p w14:paraId="7FE1C73A" w14:textId="77777777" w:rsidR="007A5804" w:rsidRDefault="007A5804">
            <w:pPr>
              <w:spacing w:line="276" w:lineRule="auto"/>
              <w:jc w:val="both"/>
              <w:rPr>
                <w:rFonts w:ascii="Times New Roman" w:hAnsi="Times New Roman"/>
                <w:sz w:val="20"/>
              </w:rPr>
            </w:pPr>
          </w:p>
        </w:tc>
      </w:tr>
    </w:tbl>
    <w:p w14:paraId="7FE1C746" w14:textId="77777777" w:rsidR="007A5804" w:rsidRDefault="007A5804">
      <w:pPr>
        <w:rPr>
          <w:rFonts w:ascii="Times New Roman" w:hAnsi="Times New Roman" w:cs="Times New Roman"/>
        </w:rPr>
      </w:pPr>
    </w:p>
    <w:p w14:paraId="7FE1C747" w14:textId="77777777" w:rsidR="007A5804" w:rsidRDefault="007A5804">
      <w:pPr>
        <w:pStyle w:val="Instructionsberschrift2"/>
        <w:rPr>
          <w:rFonts w:ascii="Times New Roman" w:eastAsia="Calibri" w:hAnsi="Times New Roman" w:cs="Times New Roman"/>
          <w:szCs w:val="20"/>
        </w:rPr>
      </w:pPr>
    </w:p>
    <w:p w14:paraId="7FE1C748" w14:textId="77777777" w:rsidR="007A5804" w:rsidRDefault="007B7723">
      <w:pPr>
        <w:pStyle w:val="P68B1DB1-Instructionsberschrift25"/>
        <w:numPr>
          <w:ilvl w:val="1"/>
          <w:numId w:val="49"/>
        </w:numPr>
        <w:ind w:left="357" w:hanging="357"/>
        <w:rPr>
          <w:rFonts w:eastAsia="Calibri"/>
          <w:szCs w:val="20"/>
        </w:rPr>
      </w:pPr>
      <w:bookmarkStart w:id="134" w:name="_Toc208245263"/>
      <w:r>
        <w:t>Z 08.05 – Základné služby – priradenie k hlavným oblastiam obchodnej činnosti (SERV 5)</w:t>
      </w:r>
      <w:bookmarkEnd w:id="134"/>
    </w:p>
    <w:p w14:paraId="7FE1C749" w14:textId="77777777" w:rsidR="007A5804" w:rsidRDefault="007B7723">
      <w:pPr>
        <w:pStyle w:val="P68B1DB1-Normal70"/>
        <w:spacing w:line="276" w:lineRule="auto"/>
        <w:jc w:val="both"/>
        <w:rPr>
          <w:sz w:val="20"/>
          <w:szCs w:val="20"/>
        </w:rPr>
      </w:pPr>
      <w:r>
        <w:t>Pokyny týkajúce sa konkrétnych pozícií</w:t>
      </w:r>
    </w:p>
    <w:p w14:paraId="7FE1C74A" w14:textId="77777777" w:rsidR="007A5804" w:rsidRDefault="007B7723">
      <w:pPr>
        <w:pStyle w:val="P68B1DB1-Instructionsberschrift368"/>
        <w:numPr>
          <w:ilvl w:val="2"/>
          <w:numId w:val="210"/>
        </w:numPr>
        <w:ind w:left="1418"/>
        <w:contextualSpacing/>
        <w:jc w:val="both"/>
      </w:pPr>
      <w:r>
        <w:t>Informácie, ktoré sa majú zahrnúť do tohto vzoru, sa vykazujú raz za celú skupinu, obsahujú zoznam zásadných služieb prijatých ktorýmkoľvek subjektom skupiny a spájajú ich so zásadnými funkciami poskytovanými skupinou.</w:t>
      </w:r>
    </w:p>
    <w:p w14:paraId="7FE1C74B" w14:textId="77777777" w:rsidR="007A5804" w:rsidRDefault="007B7723">
      <w:pPr>
        <w:pStyle w:val="P68B1DB1-Instructionsberschrift368"/>
        <w:numPr>
          <w:ilvl w:val="2"/>
          <w:numId w:val="210"/>
        </w:numPr>
        <w:ind w:left="1418"/>
        <w:contextualSpacing/>
        <w:jc w:val="both"/>
      </w:pPr>
      <w:r>
        <w:t>Hodnoty vykázané v stĺpcoch 0010, 0020 a 0040 tohto vzoru tvoria primárny kľúč, ktorý musí byť jedinečný pre každý riadok vzoru.</w:t>
      </w:r>
    </w:p>
    <w:p w14:paraId="7FE1C74C" w14:textId="77777777" w:rsidR="007A5804" w:rsidRDefault="007A5804">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7A5804" w14:paraId="7FE1C74F" w14:textId="77777777">
        <w:trPr>
          <w:trHeight w:val="644"/>
          <w:tblHeader/>
        </w:trPr>
        <w:tc>
          <w:tcPr>
            <w:tcW w:w="1418" w:type="dxa"/>
            <w:shd w:val="clear" w:color="auto" w:fill="E7E6E6"/>
          </w:tcPr>
          <w:p w14:paraId="7FE1C74D" w14:textId="77777777" w:rsidR="007A5804" w:rsidRDefault="007B7723">
            <w:pPr>
              <w:pStyle w:val="P68B1DB1-Normal61"/>
              <w:spacing w:before="120" w:after="120" w:line="276" w:lineRule="auto"/>
            </w:pPr>
            <w:r>
              <w:t>Stĺpce</w:t>
            </w:r>
          </w:p>
        </w:tc>
        <w:tc>
          <w:tcPr>
            <w:tcW w:w="7649" w:type="dxa"/>
            <w:shd w:val="clear" w:color="auto" w:fill="E7E6E6"/>
          </w:tcPr>
          <w:p w14:paraId="7FE1C74E" w14:textId="77777777" w:rsidR="007A5804" w:rsidRDefault="007B7723">
            <w:pPr>
              <w:pStyle w:val="P68B1DB1-Normal61"/>
              <w:spacing w:before="120" w:after="120" w:line="276" w:lineRule="auto"/>
            </w:pPr>
            <w:r>
              <w:t>Pokyny</w:t>
            </w:r>
          </w:p>
        </w:tc>
      </w:tr>
      <w:tr w:rsidR="007A5804" w14:paraId="7FE1C754" w14:textId="77777777">
        <w:trPr>
          <w:trHeight w:val="450"/>
        </w:trPr>
        <w:tc>
          <w:tcPr>
            <w:tcW w:w="1418" w:type="dxa"/>
            <w:shd w:val="clear" w:color="auto" w:fill="FFFFFF"/>
          </w:tcPr>
          <w:p w14:paraId="7FE1C750" w14:textId="77777777" w:rsidR="007A5804" w:rsidRDefault="007B7723">
            <w:pPr>
              <w:pStyle w:val="P68B1DB1-Normal62"/>
              <w:spacing w:before="120" w:after="120" w:line="276" w:lineRule="auto"/>
            </w:pPr>
            <w:r>
              <w:t>0005</w:t>
            </w:r>
          </w:p>
        </w:tc>
        <w:tc>
          <w:tcPr>
            <w:tcW w:w="7649" w:type="dxa"/>
            <w:shd w:val="clear" w:color="auto" w:fill="FFFFFF"/>
          </w:tcPr>
          <w:p w14:paraId="7FE1C751" w14:textId="77777777" w:rsidR="007A5804" w:rsidRDefault="007B7723">
            <w:pPr>
              <w:pStyle w:val="P68B1DB1-Normal61"/>
              <w:spacing w:before="120" w:after="120" w:line="276" w:lineRule="auto"/>
            </w:pPr>
            <w:r>
              <w:t xml:space="preserve">Service Identifier (identifikátor služby) </w:t>
            </w:r>
          </w:p>
          <w:p w14:paraId="7FE1C752" w14:textId="77777777" w:rsidR="007A5804" w:rsidRDefault="007B7723">
            <w:pPr>
              <w:pStyle w:val="P68B1DB1-Normal62"/>
              <w:spacing w:before="120" w:after="120" w:line="276" w:lineRule="auto"/>
            </w:pPr>
            <w:r>
              <w:t>Použite identifikátor služby uvedený v Z 08.01 (SERV 1).</w:t>
            </w:r>
          </w:p>
          <w:p w14:paraId="7FE1C753" w14:textId="77777777" w:rsidR="007A5804" w:rsidRDefault="007B7723">
            <w:pPr>
              <w:pStyle w:val="P68B1DB1-Normal62"/>
              <w:spacing w:before="120" w:after="120" w:line="276" w:lineRule="auto"/>
              <w:rPr>
                <w:i/>
              </w:rPr>
            </w:pPr>
            <w:r>
              <w:t>Identifikátor služby sa vzťahuje na službu vykázanú v položke c0020.</w:t>
            </w:r>
          </w:p>
        </w:tc>
      </w:tr>
      <w:tr w:rsidR="007A5804" w14:paraId="7FE1C798" w14:textId="77777777">
        <w:trPr>
          <w:trHeight w:val="450"/>
        </w:trPr>
        <w:tc>
          <w:tcPr>
            <w:tcW w:w="1418" w:type="dxa"/>
            <w:shd w:val="clear" w:color="auto" w:fill="FFFFFF"/>
          </w:tcPr>
          <w:p w14:paraId="7FE1C755" w14:textId="77777777" w:rsidR="007A5804" w:rsidRDefault="007B7723">
            <w:pPr>
              <w:pStyle w:val="P68B1DB1-Normal62"/>
              <w:spacing w:before="120" w:after="120" w:line="276" w:lineRule="auto"/>
            </w:pPr>
            <w:r>
              <w:t>0010</w:t>
            </w:r>
          </w:p>
        </w:tc>
        <w:tc>
          <w:tcPr>
            <w:tcW w:w="7649" w:type="dxa"/>
            <w:shd w:val="clear" w:color="auto" w:fill="FFFFFF"/>
          </w:tcPr>
          <w:p w14:paraId="7FE1C756" w14:textId="77777777" w:rsidR="007A5804" w:rsidRDefault="007B7723">
            <w:pPr>
              <w:pStyle w:val="P68B1DB1-Normal61"/>
              <w:autoSpaceDE w:val="0"/>
              <w:autoSpaceDN w:val="0"/>
              <w:adjustRightInd w:val="0"/>
              <w:rPr>
                <w:rFonts w:eastAsia="MS Mincho"/>
                <w:bCs/>
              </w:rPr>
            </w:pPr>
            <w:r>
              <w:t xml:space="preserve">Druh služby </w:t>
            </w:r>
          </w:p>
          <w:p w14:paraId="7FE1C757" w14:textId="15BF69BF" w:rsidR="007A5804" w:rsidRDefault="007B7723">
            <w:pPr>
              <w:pStyle w:val="P68B1DB1-Normal63"/>
              <w:autoSpaceDE w:val="0"/>
              <w:autoSpaceDN w:val="0"/>
              <w:adjustRightInd w:val="0"/>
            </w:pPr>
            <w:r>
              <w:t xml:space="preserve">Typ služby musí byť jedným z druhov služieb uvedených v Z 08.01 0010. </w:t>
            </w:r>
          </w:p>
          <w:p w14:paraId="7FE1C797" w14:textId="77777777" w:rsidR="007A5804" w:rsidRDefault="007A5804">
            <w:pPr>
              <w:autoSpaceDE w:val="0"/>
              <w:autoSpaceDN w:val="0"/>
              <w:adjustRightInd w:val="0"/>
              <w:rPr>
                <w:rFonts w:ascii="Times New Roman" w:hAnsi="Times New Roman"/>
                <w:sz w:val="20"/>
                <w:szCs w:val="20"/>
              </w:rPr>
            </w:pPr>
          </w:p>
        </w:tc>
      </w:tr>
      <w:tr w:rsidR="007A5804" w14:paraId="7FE1C79D" w14:textId="77777777">
        <w:trPr>
          <w:trHeight w:val="450"/>
        </w:trPr>
        <w:tc>
          <w:tcPr>
            <w:tcW w:w="1418" w:type="dxa"/>
            <w:shd w:val="clear" w:color="auto" w:fill="FFFFFF"/>
          </w:tcPr>
          <w:p w14:paraId="7FE1C799" w14:textId="77777777" w:rsidR="007A5804" w:rsidRDefault="007B7723">
            <w:pPr>
              <w:pStyle w:val="P68B1DB1-Normal62"/>
              <w:spacing w:before="120" w:after="120" w:line="276" w:lineRule="auto"/>
            </w:pPr>
            <w:r>
              <w:t>0020</w:t>
            </w:r>
          </w:p>
        </w:tc>
        <w:tc>
          <w:tcPr>
            <w:tcW w:w="7649" w:type="dxa"/>
            <w:shd w:val="clear" w:color="auto" w:fill="FFFFFF"/>
          </w:tcPr>
          <w:p w14:paraId="7FE1C79A" w14:textId="77777777" w:rsidR="007A5804" w:rsidRDefault="007B7723">
            <w:pPr>
              <w:pStyle w:val="P68B1DB1-Normal65"/>
              <w:spacing w:line="276" w:lineRule="auto"/>
              <w:jc w:val="both"/>
            </w:pPr>
            <w:r>
              <w:rPr>
                <w:szCs w:val="20"/>
              </w:rPr>
              <w:t>Jedinečný názov služby podľa taxonómie banky</w:t>
            </w:r>
            <w:r>
              <w:t xml:space="preserve"> </w:t>
            </w:r>
          </w:p>
          <w:p w14:paraId="7FE1C79B" w14:textId="18F1A227" w:rsidR="007A5804" w:rsidRDefault="007B7723">
            <w:pPr>
              <w:pStyle w:val="P68B1DB1-Normal64"/>
            </w:pPr>
            <w:r>
              <w:t>Názov/krátky opis služby podľa vlastnej prísnej taxonómie banky (úroveň 3) vykázaný v stĺpci 0020 Z 08.01 (SERV 1). Očakáva sa, že banka bude vykazovať služby na podrobnejšej úrovni než vykazovanie poskytnuté pre úroveň 2 (c0010), aby sa každá konkrétna služba vymedzila presným a cieleným spôsobom.</w:t>
            </w:r>
          </w:p>
          <w:p w14:paraId="7FE1C79C" w14:textId="77777777" w:rsidR="007A5804" w:rsidRDefault="007A5804">
            <w:pPr>
              <w:spacing w:before="120" w:after="120" w:line="276" w:lineRule="auto"/>
              <w:rPr>
                <w:rFonts w:ascii="Times New Roman" w:hAnsi="Times New Roman"/>
                <w:sz w:val="20"/>
                <w:szCs w:val="20"/>
              </w:rPr>
            </w:pPr>
          </w:p>
        </w:tc>
      </w:tr>
      <w:tr w:rsidR="007A5804" w14:paraId="7FE1C7A2" w14:textId="77777777">
        <w:trPr>
          <w:trHeight w:val="450"/>
        </w:trPr>
        <w:tc>
          <w:tcPr>
            <w:tcW w:w="1418" w:type="dxa"/>
            <w:shd w:val="clear" w:color="auto" w:fill="FFFFFF"/>
          </w:tcPr>
          <w:p w14:paraId="7FE1C79E" w14:textId="77777777" w:rsidR="007A5804" w:rsidRDefault="007B7723">
            <w:pPr>
              <w:pStyle w:val="P68B1DB1-Normal64"/>
              <w:spacing w:before="120" w:after="120" w:line="276" w:lineRule="auto"/>
              <w:rPr>
                <w:szCs w:val="20"/>
              </w:rPr>
            </w:pPr>
            <w:r>
              <w:lastRenderedPageBreak/>
              <w:t>0030 – 0040</w:t>
            </w:r>
          </w:p>
        </w:tc>
        <w:tc>
          <w:tcPr>
            <w:tcW w:w="7649" w:type="dxa"/>
            <w:shd w:val="clear" w:color="auto" w:fill="FFFFFF"/>
          </w:tcPr>
          <w:p w14:paraId="7FE1C79F" w14:textId="77777777" w:rsidR="007A5804" w:rsidRDefault="007B7723">
            <w:pPr>
              <w:pStyle w:val="P68B1DB1-Normal65"/>
              <w:spacing w:line="276" w:lineRule="auto"/>
              <w:jc w:val="both"/>
            </w:pPr>
            <w:r>
              <w:rPr>
                <w:szCs w:val="20"/>
              </w:rPr>
              <w:t>Hlavná oblasť obchodnej činnosti</w:t>
            </w:r>
            <w:r>
              <w:t xml:space="preserve"> </w:t>
            </w:r>
          </w:p>
          <w:p w14:paraId="7FE1C7A0" w14:textId="69CF44DD" w:rsidR="007A5804" w:rsidRDefault="007B7723">
            <w:pPr>
              <w:pStyle w:val="P68B1DB1-Normal67"/>
              <w:spacing w:line="276" w:lineRule="auto"/>
              <w:jc w:val="both"/>
              <w:rPr>
                <w:sz w:val="20"/>
              </w:rPr>
            </w:pPr>
            <w:r>
              <w:rPr>
                <w:sz w:val="20"/>
              </w:rPr>
              <w:t>Hlavná oblasť obchodnej činnosti v zmysle článku 2 ods. 1 bodu 36 a článku 2 ods. 2 smernice 2014/59/EÚ.</w:t>
            </w:r>
            <w:r>
              <w:t xml:space="preserve"> </w:t>
            </w:r>
          </w:p>
          <w:p w14:paraId="7FE1C7A1" w14:textId="77777777" w:rsidR="007A5804" w:rsidRDefault="007A5804">
            <w:pPr>
              <w:spacing w:line="276" w:lineRule="auto"/>
              <w:jc w:val="both"/>
              <w:rPr>
                <w:rFonts w:ascii="Times New Roman" w:hAnsi="Times New Roman"/>
                <w:sz w:val="20"/>
              </w:rPr>
            </w:pPr>
          </w:p>
        </w:tc>
      </w:tr>
      <w:tr w:rsidR="007A5804" w14:paraId="7FE1C7A7" w14:textId="77777777">
        <w:trPr>
          <w:trHeight w:val="450"/>
        </w:trPr>
        <w:tc>
          <w:tcPr>
            <w:tcW w:w="1418" w:type="dxa"/>
            <w:shd w:val="clear" w:color="auto" w:fill="FFFFFF"/>
          </w:tcPr>
          <w:p w14:paraId="7FE1C7A3" w14:textId="77777777" w:rsidR="007A5804" w:rsidRDefault="007B7723">
            <w:pPr>
              <w:pStyle w:val="P68B1DB1-Normal64"/>
              <w:spacing w:before="120" w:after="120" w:line="276" w:lineRule="auto"/>
              <w:rPr>
                <w:szCs w:val="20"/>
              </w:rPr>
            </w:pPr>
            <w:r>
              <w:t>0030</w:t>
            </w:r>
          </w:p>
        </w:tc>
        <w:tc>
          <w:tcPr>
            <w:tcW w:w="7649" w:type="dxa"/>
            <w:shd w:val="clear" w:color="auto" w:fill="FFFFFF"/>
          </w:tcPr>
          <w:p w14:paraId="7FE1C7A4" w14:textId="77777777" w:rsidR="007A5804" w:rsidRDefault="007B7723">
            <w:pPr>
              <w:pStyle w:val="P68B1DB1-Normal65"/>
              <w:spacing w:line="276" w:lineRule="auto"/>
              <w:jc w:val="both"/>
              <w:rPr>
                <w:bCs/>
              </w:rPr>
            </w:pPr>
            <w:r>
              <w:t>Názov</w:t>
            </w:r>
          </w:p>
          <w:p w14:paraId="7FE1C7A5" w14:textId="77777777" w:rsidR="007A5804" w:rsidRDefault="007B7723">
            <w:pPr>
              <w:pStyle w:val="P68B1DB1-Normal64"/>
              <w:jc w:val="both"/>
            </w:pPr>
            <w:r>
              <w:t>Ide o jednu z hlavných oblastí obchodnej činnosti vykázaných vo vzore Z 07.03 0010.</w:t>
            </w:r>
          </w:p>
          <w:p w14:paraId="7FE1C7A6" w14:textId="77777777" w:rsidR="007A5804" w:rsidRDefault="007A5804">
            <w:pPr>
              <w:spacing w:line="276" w:lineRule="auto"/>
              <w:jc w:val="both"/>
              <w:rPr>
                <w:rFonts w:ascii="Times New Roman" w:hAnsi="Times New Roman"/>
                <w:sz w:val="20"/>
              </w:rPr>
            </w:pPr>
          </w:p>
        </w:tc>
      </w:tr>
      <w:tr w:rsidR="007A5804" w14:paraId="7FE1C7AD" w14:textId="77777777">
        <w:trPr>
          <w:trHeight w:val="450"/>
        </w:trPr>
        <w:tc>
          <w:tcPr>
            <w:tcW w:w="1418" w:type="dxa"/>
            <w:shd w:val="clear" w:color="auto" w:fill="FFFFFF"/>
          </w:tcPr>
          <w:p w14:paraId="7FE1C7A8" w14:textId="77777777" w:rsidR="007A5804" w:rsidRDefault="007B7723">
            <w:pPr>
              <w:pStyle w:val="P68B1DB1-Normal64"/>
              <w:spacing w:before="120" w:after="120" w:line="276" w:lineRule="auto"/>
              <w:rPr>
                <w:szCs w:val="20"/>
              </w:rPr>
            </w:pPr>
            <w:r>
              <w:t>0040</w:t>
            </w:r>
          </w:p>
        </w:tc>
        <w:tc>
          <w:tcPr>
            <w:tcW w:w="7649" w:type="dxa"/>
            <w:shd w:val="clear" w:color="auto" w:fill="FFFFFF"/>
          </w:tcPr>
          <w:p w14:paraId="7FE1C7A9" w14:textId="77777777" w:rsidR="007A5804" w:rsidRDefault="007B7723">
            <w:pPr>
              <w:pStyle w:val="P68B1DB1-Normal65"/>
              <w:spacing w:line="276" w:lineRule="auto"/>
              <w:jc w:val="both"/>
              <w:rPr>
                <w:bCs/>
              </w:rPr>
            </w:pPr>
            <w:r>
              <w:t>IDENTIFIKÁCIA</w:t>
            </w:r>
          </w:p>
          <w:p w14:paraId="7FE1C7AA" w14:textId="77777777" w:rsidR="007A5804" w:rsidRDefault="007B7723">
            <w:pPr>
              <w:pStyle w:val="P68B1DB1-Normal64"/>
              <w:spacing w:line="276" w:lineRule="auto"/>
              <w:jc w:val="both"/>
            </w:pPr>
            <w:r>
              <w:t xml:space="preserve">Identifikácia hlavných oblastí obchodnej činnosti, ktorých kontinuita je potrebná na účinné vykonávanie stratégie riešenia krízových situácií a akúkoľvek následnú reštrukturalizáciu. Ide o jeden z identifikačných znakov vykázaných vo vzore Z 07.03 0020. </w:t>
            </w:r>
          </w:p>
          <w:p w14:paraId="7FE1C7AB" w14:textId="77777777" w:rsidR="007A5804" w:rsidRDefault="007A5804">
            <w:pPr>
              <w:spacing w:line="276" w:lineRule="auto"/>
              <w:jc w:val="both"/>
              <w:rPr>
                <w:rFonts w:ascii="Times New Roman" w:hAnsi="Times New Roman"/>
                <w:sz w:val="20"/>
              </w:rPr>
            </w:pPr>
          </w:p>
          <w:p w14:paraId="7FE1C7AC" w14:textId="77777777" w:rsidR="007A5804" w:rsidRDefault="007A5804">
            <w:pPr>
              <w:spacing w:line="276" w:lineRule="auto"/>
              <w:jc w:val="both"/>
              <w:rPr>
                <w:rFonts w:ascii="Times New Roman" w:hAnsi="Times New Roman"/>
                <w:sz w:val="20"/>
              </w:rPr>
            </w:pPr>
          </w:p>
        </w:tc>
      </w:tr>
    </w:tbl>
    <w:p w14:paraId="7FE1C7B8" w14:textId="77777777" w:rsidR="007A5804" w:rsidRDefault="007A5804">
      <w:pPr>
        <w:rPr>
          <w:rFonts w:ascii="Times New Roman" w:hAnsi="Times New Roman" w:cs="Times New Roman"/>
        </w:rPr>
      </w:pPr>
    </w:p>
    <w:p w14:paraId="7FE1C7B9" w14:textId="77777777" w:rsidR="007A5804" w:rsidRDefault="007A5804">
      <w:pPr>
        <w:pStyle w:val="Instructionsberschrift2"/>
        <w:rPr>
          <w:rFonts w:ascii="Times New Roman" w:eastAsia="Calibri" w:hAnsi="Times New Roman" w:cs="Times New Roman"/>
          <w:szCs w:val="20"/>
        </w:rPr>
      </w:pPr>
    </w:p>
    <w:p w14:paraId="7FE1C7BA" w14:textId="77777777" w:rsidR="007A5804" w:rsidRDefault="007B7723">
      <w:pPr>
        <w:pStyle w:val="P68B1DB1-Instructionsberschrift271"/>
        <w:numPr>
          <w:ilvl w:val="1"/>
          <w:numId w:val="49"/>
        </w:numPr>
        <w:ind w:left="357" w:hanging="357"/>
      </w:pPr>
      <w:bookmarkStart w:id="135" w:name="_Toc208245264"/>
      <w:r>
        <w:t>Služby FMI</w:t>
      </w:r>
      <w:bookmarkEnd w:id="135"/>
    </w:p>
    <w:p w14:paraId="7FE1C7BC" w14:textId="227D5127" w:rsidR="007A5804" w:rsidRDefault="007B7723">
      <w:pPr>
        <w:pStyle w:val="P68B1DB1-Numberedtitlelevel372"/>
      </w:pPr>
      <w:r>
        <w:t>Všeobecné poznámky</w:t>
      </w:r>
    </w:p>
    <w:p w14:paraId="7FE1C7BD" w14:textId="77777777" w:rsidR="007A5804" w:rsidRDefault="007B7723">
      <w:pPr>
        <w:pStyle w:val="P68B1DB1-InstructionsText26"/>
        <w:numPr>
          <w:ilvl w:val="2"/>
          <w:numId w:val="209"/>
        </w:numPr>
        <w:spacing w:before="0"/>
        <w:ind w:left="1276"/>
      </w:pPr>
      <w:r>
        <w:t>Uveďte každý priamy a nepriamy prístup k FMI a systémom uvedeným v stĺpci 0040. Tento vzor sa vykazuje raz za celú inštitúciu alebo skupinu.</w:t>
      </w:r>
    </w:p>
    <w:p w14:paraId="7FE1C7BE" w14:textId="77777777" w:rsidR="007A5804" w:rsidRDefault="007B7723">
      <w:pPr>
        <w:pStyle w:val="P68B1DB1-InstructionsText26"/>
        <w:numPr>
          <w:ilvl w:val="2"/>
          <w:numId w:val="209"/>
        </w:numPr>
        <w:spacing w:before="0"/>
        <w:ind w:left="1276"/>
      </w:pPr>
      <w:r>
        <w:t>Jeden vzor, ktorý sa vykazuje pre inštitúciu alebo skupinu. Každý príslušný právny subjekt, ktorý má prístup k FMI, či už priamo, alebo nepriamo, sa vykazuje osobitne ako používateľ. Vykazuje sa vzťah v rámci skupiny, ako aj vzťah s tretími stranami.</w:t>
      </w:r>
    </w:p>
    <w:p w14:paraId="7FE1C7BF" w14:textId="5CCDA51A" w:rsidR="007A5804" w:rsidRDefault="007B7723">
      <w:pPr>
        <w:pStyle w:val="P68B1DB1-ListParagraph32"/>
        <w:numPr>
          <w:ilvl w:val="2"/>
          <w:numId w:val="209"/>
        </w:numPr>
        <w:ind w:left="1276"/>
      </w:pPr>
      <w:r>
        <w:t>Kombinácia hodnôt vykázaných v stĺpcoch 0030, 0040, 0070 a 0110 tohto vzoru tvorí primárny kľúč, ktorý musí byť jedinečný pre každý riadok vzoru a je vykázaný ako prvá stĺpca tohto vzoru.</w:t>
      </w:r>
    </w:p>
    <w:p w14:paraId="7FE1C7C0" w14:textId="77777777" w:rsidR="007A5804" w:rsidRDefault="007A5804">
      <w:pPr>
        <w:pStyle w:val="ListParagraph"/>
        <w:ind w:left="1276"/>
        <w:rPr>
          <w:rFonts w:ascii="Times New Roman" w:eastAsia="Times New Roman" w:hAnsi="Times New Roman"/>
          <w:sz w:val="20"/>
          <w:szCs w:val="20"/>
        </w:rPr>
      </w:pPr>
    </w:p>
    <w:p w14:paraId="7FE1C7C1" w14:textId="77777777" w:rsidR="007A5804" w:rsidRDefault="007B7723">
      <w:pPr>
        <w:pStyle w:val="P68B1DB1-InstructionsText26"/>
        <w:numPr>
          <w:ilvl w:val="2"/>
          <w:numId w:val="209"/>
        </w:numPr>
        <w:spacing w:before="0"/>
        <w:ind w:left="1276"/>
      </w:pPr>
      <w:r>
        <w:t>Ak je potrebné vykázať viac ako jednu položku v poliach vo forme voľného formulára, každú položku oddelí bodkočiarkou (;).</w:t>
      </w:r>
    </w:p>
    <w:p w14:paraId="7FE1C7C2" w14:textId="77777777" w:rsidR="007A5804" w:rsidRDefault="007A5804">
      <w:pPr>
        <w:pStyle w:val="Instructionsberschrift2"/>
        <w:ind w:left="357"/>
        <w:rPr>
          <w:rFonts w:ascii="Times New Roman" w:eastAsia="Calibri" w:hAnsi="Times New Roman" w:cs="Times New Roman"/>
          <w:szCs w:val="20"/>
        </w:rPr>
      </w:pPr>
    </w:p>
    <w:p w14:paraId="7FE1C7C3" w14:textId="77777777" w:rsidR="007A5804" w:rsidRDefault="007B7723">
      <w:pPr>
        <w:pStyle w:val="P68B1DB1-Instructionsberschrift271"/>
        <w:numPr>
          <w:ilvl w:val="1"/>
          <w:numId w:val="49"/>
        </w:numPr>
        <w:ind w:left="357" w:hanging="357"/>
      </w:pPr>
      <w:bookmarkStart w:id="136" w:name="_Toc208245265"/>
      <w:r>
        <w:t>Z 09.01 – Služby FMI – Poskytovatelia a používatelia (FMI 1)</w:t>
      </w:r>
      <w:bookmarkEnd w:id="136"/>
    </w:p>
    <w:p w14:paraId="7FE1C7C5" w14:textId="6BE08ACD" w:rsidR="007A5804" w:rsidRDefault="007A5804">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7A5804"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7A5804" w:rsidRDefault="007B7723">
            <w:pPr>
              <w:pStyle w:val="P68B1DB1-TableParagraph17"/>
              <w:spacing w:before="108"/>
              <w:ind w:left="85"/>
            </w:pPr>
            <w:r>
              <w:t xml:space="preserve">Stĺpce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7A5804" w:rsidRDefault="007B7723">
            <w:pPr>
              <w:pStyle w:val="P68B1DB1-TableParagraph17"/>
              <w:spacing w:before="108"/>
              <w:ind w:left="85"/>
            </w:pPr>
            <w:r>
              <w:t xml:space="preserve">Pokyny </w:t>
            </w:r>
          </w:p>
        </w:tc>
      </w:tr>
      <w:tr w:rsidR="007A5804"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7A5804" w:rsidRDefault="007B7723">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7A5804" w:rsidRDefault="007B7723">
            <w:pPr>
              <w:pStyle w:val="P68B1DB1-TableParagraph73"/>
              <w:spacing w:before="108"/>
              <w:jc w:val="both"/>
            </w:pPr>
            <w:r>
              <w:t>ID predstavujúce kombináciu používateľa, FMI, typu systému a sprostredkovateľa</w:t>
            </w:r>
          </w:p>
          <w:p w14:paraId="7FE1C7CB" w14:textId="2039C9E5" w:rsidR="007A5804" w:rsidRDefault="007B7723">
            <w:pPr>
              <w:pStyle w:val="P68B1DB1-Normal31"/>
            </w:pPr>
            <w:r>
              <w:t xml:space="preserve">Použite jediný identifikátor pre každý riadok, ktorý zodpovedá jedinečnej kombinácii používateľa, infraštruktúry finančného trhu, typu systému a sprostredkovateľa. Vo vzoroch Z 09.01 až Z 09.04 sa podľa potreby musí použiť rovnaký identifikačný kód zodpovedajúci rovnakej kombinácii. </w:t>
            </w:r>
          </w:p>
          <w:p w14:paraId="7FE1C7CC" w14:textId="77777777" w:rsidR="007A5804" w:rsidRDefault="007A5804">
            <w:pPr>
              <w:rPr>
                <w:rFonts w:ascii="Times New Roman" w:eastAsia="Times New Roman" w:hAnsi="Times New Roman" w:cs="Times New Roman"/>
                <w:sz w:val="20"/>
                <w:szCs w:val="20"/>
              </w:rPr>
            </w:pPr>
          </w:p>
        </w:tc>
      </w:tr>
      <w:tr w:rsidR="007A5804"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7A5804" w:rsidRDefault="007B7723">
            <w:pPr>
              <w:pStyle w:val="P68B1DB1-Normal74"/>
            </w:pPr>
            <w:r>
              <w:t>0020 – 0030</w:t>
            </w:r>
          </w:p>
        </w:tc>
        <w:tc>
          <w:tcPr>
            <w:tcW w:w="7832" w:type="dxa"/>
            <w:tcBorders>
              <w:top w:val="single" w:sz="8" w:space="0" w:color="auto"/>
              <w:left w:val="single" w:sz="8" w:space="0" w:color="auto"/>
              <w:bottom w:val="single" w:sz="8" w:space="0" w:color="auto"/>
            </w:tcBorders>
            <w:vAlign w:val="bottom"/>
          </w:tcPr>
          <w:p w14:paraId="7FE1C7CF" w14:textId="77777777" w:rsidR="007A5804" w:rsidRDefault="007B7723">
            <w:pPr>
              <w:pStyle w:val="P68B1DB1-TableParagraph75"/>
              <w:spacing w:before="108"/>
              <w:ind w:left="85"/>
              <w:jc w:val="both"/>
              <w:rPr>
                <w:color w:val="D13438"/>
                <w:u w:val="single"/>
              </w:rPr>
            </w:pPr>
            <w:r>
              <w:t>Používatelia</w:t>
            </w:r>
          </w:p>
        </w:tc>
      </w:tr>
      <w:tr w:rsidR="007A5804"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7A5804" w:rsidRDefault="007B7723">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7A5804" w:rsidRDefault="007B7723">
            <w:pPr>
              <w:pStyle w:val="P68B1DB1-TableParagraph73"/>
              <w:spacing w:before="108" w:after="120"/>
              <w:jc w:val="both"/>
            </w:pPr>
            <w:r>
              <w:t>Názov subjektu</w:t>
            </w:r>
          </w:p>
          <w:p w14:paraId="7FE1C7D3" w14:textId="1C1A6E42" w:rsidR="007A5804" w:rsidRDefault="007B7723">
            <w:pPr>
              <w:pStyle w:val="P68B1DB1-TableParagraph40"/>
              <w:spacing w:before="108"/>
              <w:ind w:left="85"/>
              <w:jc w:val="both"/>
              <w:rPr>
                <w:b/>
                <w:bCs/>
                <w:i/>
                <w:iCs/>
                <w:color w:val="D13438"/>
                <w:u w:val="single"/>
              </w:rPr>
            </w:pPr>
            <w:r>
              <w:lastRenderedPageBreak/>
              <w:t xml:space="preserve">Názov právnickej osoby využívajúcej platobné služby, služby týkajúce sa úschovy, vyrovnania, zúčtovania alebo archívu obchodných údajov vykazovanej v Z 01.01 – Právnické osoby (ORG 1). Oficiálny názov, ako sa uvádza v štatutárnych aktoch, vrátane označenia právnej formy. </w:t>
            </w:r>
          </w:p>
        </w:tc>
      </w:tr>
      <w:tr w:rsidR="007A5804"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7A5804" w:rsidRDefault="007B7723">
            <w:pPr>
              <w:pStyle w:val="P68B1DB1-Normal31"/>
            </w:pPr>
            <w:r>
              <w:lastRenderedPageBreak/>
              <w:t>0030</w:t>
            </w:r>
          </w:p>
        </w:tc>
        <w:tc>
          <w:tcPr>
            <w:tcW w:w="7832" w:type="dxa"/>
            <w:tcBorders>
              <w:top w:val="single" w:sz="8" w:space="0" w:color="auto"/>
              <w:left w:val="single" w:sz="8" w:space="0" w:color="auto"/>
              <w:bottom w:val="single" w:sz="8" w:space="0" w:color="auto"/>
            </w:tcBorders>
            <w:vAlign w:val="bottom"/>
          </w:tcPr>
          <w:p w14:paraId="7FE1C7D6" w14:textId="77777777" w:rsidR="007A5804" w:rsidRDefault="007B7723">
            <w:pPr>
              <w:pStyle w:val="P68B1DB1-TableParagraph73"/>
              <w:spacing w:before="108"/>
              <w:jc w:val="both"/>
            </w:pPr>
            <w:r>
              <w:t>Kód subjektu</w:t>
            </w:r>
          </w:p>
          <w:p w14:paraId="7FE1C7D7" w14:textId="6DA7FBC1" w:rsidR="007A5804" w:rsidRDefault="007B7723">
            <w:pPr>
              <w:pStyle w:val="P68B1DB1-TableParagraph40"/>
              <w:spacing w:before="108"/>
              <w:jc w:val="both"/>
            </w:pPr>
            <w:r>
              <w:t xml:space="preserve">20-miestny alfanumerický kód LEI právneho subjektu využívajúceho služby platieb, úschovy, vyrovnania, zúčtovania alebo archívu obchodných údajov, ako sa uvádza vo vzore Z 01.01 – Právne subjekty (ORG 1). </w:t>
            </w:r>
          </w:p>
          <w:p w14:paraId="7FE1C7D8" w14:textId="77777777" w:rsidR="007A5804" w:rsidRDefault="007B7723">
            <w:pPr>
              <w:pStyle w:val="P68B1DB1-Normal31"/>
            </w:pPr>
            <w:r>
              <w:t xml:space="preserve">Ak nie je k dispozícii identifikátor LEI, musí sa použiť jedinečný identifikátor peňažných finančných inštitúcií ECB (identifikátor MFI) subjektu na použitie v RIAD. </w:t>
            </w:r>
          </w:p>
        </w:tc>
      </w:tr>
      <w:tr w:rsidR="007A5804"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7A5804" w:rsidRDefault="007B7723">
            <w:pPr>
              <w:pStyle w:val="P68B1DB1-Normal74"/>
            </w:pPr>
            <w:r>
              <w:t>0040 – 0270</w:t>
            </w:r>
          </w:p>
        </w:tc>
        <w:tc>
          <w:tcPr>
            <w:tcW w:w="7832" w:type="dxa"/>
            <w:tcBorders>
              <w:top w:val="single" w:sz="8" w:space="0" w:color="auto"/>
              <w:left w:val="single" w:sz="8" w:space="0" w:color="auto"/>
              <w:bottom w:val="single" w:sz="8" w:space="0" w:color="auto"/>
            </w:tcBorders>
            <w:vAlign w:val="bottom"/>
          </w:tcPr>
          <w:p w14:paraId="7FE1C7DB" w14:textId="77777777" w:rsidR="007A5804" w:rsidRDefault="007B7723">
            <w:pPr>
              <w:pStyle w:val="P68B1DB1-TableParagraph75"/>
              <w:spacing w:before="108"/>
              <w:ind w:left="85"/>
              <w:jc w:val="both"/>
            </w:pPr>
            <w:r>
              <w:t>Poskytovateľ</w:t>
            </w:r>
          </w:p>
        </w:tc>
      </w:tr>
      <w:tr w:rsidR="007A5804"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7A5804" w:rsidRDefault="007B7723">
            <w:pPr>
              <w:pStyle w:val="P68B1DB1-Normal74"/>
            </w:pPr>
            <w:r>
              <w:t>0040 – 0090</w:t>
            </w:r>
          </w:p>
        </w:tc>
        <w:tc>
          <w:tcPr>
            <w:tcW w:w="7832" w:type="dxa"/>
            <w:tcBorders>
              <w:top w:val="single" w:sz="8" w:space="0" w:color="auto"/>
              <w:left w:val="single" w:sz="8" w:space="0" w:color="auto"/>
              <w:bottom w:val="single" w:sz="8" w:space="0" w:color="auto"/>
            </w:tcBorders>
            <w:vAlign w:val="bottom"/>
          </w:tcPr>
          <w:p w14:paraId="7FE1C7DE" w14:textId="77777777" w:rsidR="007A5804" w:rsidRDefault="007B7723">
            <w:pPr>
              <w:pStyle w:val="P68B1DB1-TableParagraph75"/>
              <w:spacing w:before="108"/>
              <w:ind w:left="85"/>
              <w:jc w:val="both"/>
            </w:pPr>
            <w:r>
              <w:t>FMI</w:t>
            </w:r>
          </w:p>
        </w:tc>
      </w:tr>
      <w:tr w:rsidR="007A5804"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7A5804" w:rsidRDefault="007B7723">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7A5804" w:rsidRDefault="007B7723">
            <w:pPr>
              <w:pStyle w:val="P68B1DB1-TableParagraph73"/>
              <w:spacing w:before="108"/>
              <w:ind w:left="85"/>
              <w:jc w:val="both"/>
            </w:pPr>
            <w:r>
              <w:t>Druh systému</w:t>
            </w:r>
          </w:p>
          <w:p w14:paraId="7FE1C7E2" w14:textId="77777777" w:rsidR="007A5804" w:rsidRDefault="007B7723">
            <w:pPr>
              <w:pStyle w:val="P68B1DB1-TableParagraph40"/>
              <w:spacing w:before="108"/>
              <w:ind w:left="85"/>
              <w:jc w:val="both"/>
            </w:pPr>
            <w:r>
              <w:t>Typ systému poskytujúceho služby používateľovi. Vyberte jeden z týchto typov:</w:t>
            </w:r>
          </w:p>
          <w:p w14:paraId="7FE1C7E3" w14:textId="64030D90" w:rsidR="007A5804" w:rsidRDefault="007B7723">
            <w:pPr>
              <w:pStyle w:val="P68B1DB1-TableParagraph40"/>
              <w:spacing w:before="108"/>
              <w:ind w:left="85"/>
              <w:jc w:val="both"/>
            </w:pPr>
            <w:r>
              <w:t xml:space="preserve">Platobné systémy </w:t>
            </w:r>
          </w:p>
          <w:p w14:paraId="7FE1C7E4" w14:textId="642C3011" w:rsidR="007A5804" w:rsidRDefault="007B7723">
            <w:pPr>
              <w:pStyle w:val="P68B1DB1-TableParagraph40"/>
              <w:spacing w:before="108"/>
              <w:ind w:left="85"/>
              <w:jc w:val="both"/>
            </w:pPr>
            <w:r>
              <w:t>„CDCP a ICSD“</w:t>
            </w:r>
          </w:p>
          <w:p w14:paraId="7FE1C7E5" w14:textId="513B4E7C" w:rsidR="007A5804" w:rsidRDefault="007B7723">
            <w:pPr>
              <w:pStyle w:val="P68B1DB1-TableParagraph40"/>
              <w:spacing w:before="108"/>
              <w:ind w:left="85"/>
              <w:jc w:val="both"/>
            </w:pPr>
            <w:r>
              <w:t>„Systém zúčtovania cenných papierov“</w:t>
            </w:r>
          </w:p>
          <w:p w14:paraId="7FE1C7E6" w14:textId="61451372" w:rsidR="007A5804" w:rsidRDefault="007B772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„Centrálne protistrany pre zúčtovanie cenných papierov“</w:t>
            </w:r>
            <w:r>
              <w:rPr>
                <w:rStyle w:val="FootnoteReference"/>
                <w:rFonts w:ascii="Times New Roman" w:eastAsia="Times New Roman" w:hAnsi="Times New Roman" w:cs="Times New Roman"/>
              </w:rPr>
              <w:footnoteReference w:id="29"/>
            </w:r>
          </w:p>
          <w:p w14:paraId="7FE1C7E7" w14:textId="75E09D2C" w:rsidR="007A5804" w:rsidRDefault="007B7723">
            <w:pPr>
              <w:pStyle w:val="P68B1DB1-TableParagraph40"/>
              <w:spacing w:before="108"/>
              <w:ind w:left="85"/>
              <w:jc w:val="both"/>
            </w:pPr>
            <w:r>
              <w:t>„Centrálne protistrany pre zúčtovanie derivátov“</w:t>
            </w:r>
          </w:p>
          <w:p w14:paraId="7FE1C7E8" w14:textId="44FAA23C" w:rsidR="007A5804" w:rsidRDefault="007B7723">
            <w:pPr>
              <w:pStyle w:val="P68B1DB1-TableParagraph40"/>
              <w:spacing w:before="108"/>
              <w:ind w:left="85"/>
              <w:jc w:val="both"/>
            </w:pPr>
            <w:r>
              <w:t>„Registrované archívy obchodných údajov“.</w:t>
            </w:r>
          </w:p>
          <w:p w14:paraId="7FE1C7E9" w14:textId="424A35E7" w:rsidR="007A5804" w:rsidRDefault="007B772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„Multilaterálne systémy obchodovania“</w:t>
            </w:r>
            <w:r>
              <w:rPr>
                <w:rStyle w:val="FootnoteReference"/>
                <w:rFonts w:ascii="Times New Roman" w:eastAsia="Times New Roman" w:hAnsi="Times New Roman" w:cs="Times New Roman"/>
                <w:sz w:val="20"/>
                <w:szCs w:val="20"/>
              </w:rPr>
              <w:footnoteReference w:id="30"/>
            </w:r>
          </w:p>
          <w:p w14:paraId="7FE1C7EB" w14:textId="51093740" w:rsidR="007A5804" w:rsidRDefault="007B7723">
            <w:pPr>
              <w:pStyle w:val="P68B1DB1-TableParagraph40"/>
              <w:spacing w:before="108"/>
              <w:ind w:left="85"/>
              <w:jc w:val="both"/>
            </w:pPr>
            <w:r>
              <w:t>„Systémy kariet používané na maloobchodné platby“</w:t>
            </w:r>
          </w:p>
          <w:p w14:paraId="7FE1C7EC" w14:textId="69997621" w:rsidR="007A5804" w:rsidRDefault="007B7723">
            <w:pPr>
              <w:pStyle w:val="P68B1DB1-TableParagraph40"/>
              <w:spacing w:before="108"/>
              <w:ind w:left="85"/>
              <w:jc w:val="both"/>
            </w:pPr>
            <w:r>
              <w:t>„Neuplatňuje sa“ – pre iné platobné služby, služby zúčtovania, vyrovnania alebo úschovy poskytované subjektom, ktorý nepatrí do žiadnej z uvedených kategórií, napr. korešpondenčné banky a/alebo správcovské banky, v prípade ktorých inštitúcia nedokáže identifikovať konečné FMI. V stĺpci 0110 sa uvádza poskytnutá služba.</w:t>
            </w:r>
          </w:p>
        </w:tc>
      </w:tr>
      <w:tr w:rsidR="007A5804"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7A5804" w:rsidRDefault="007B7723">
            <w:pPr>
              <w:pStyle w:val="P68B1DB1-Normal31"/>
            </w:pPr>
            <w:r>
              <w:t>0050 – 0060</w:t>
            </w:r>
          </w:p>
        </w:tc>
        <w:tc>
          <w:tcPr>
            <w:tcW w:w="7832" w:type="dxa"/>
            <w:tcBorders>
              <w:top w:val="single" w:sz="8" w:space="0" w:color="auto"/>
              <w:left w:val="single" w:sz="8" w:space="0" w:color="auto"/>
              <w:bottom w:val="single" w:sz="8" w:space="0" w:color="auto"/>
            </w:tcBorders>
            <w:vAlign w:val="bottom"/>
          </w:tcPr>
          <w:p w14:paraId="7FE1C7EF" w14:textId="77777777" w:rsidR="007A5804" w:rsidRDefault="007B7723">
            <w:pPr>
              <w:pStyle w:val="P68B1DB1-TableParagraph73"/>
              <w:spacing w:before="108"/>
              <w:ind w:left="85"/>
              <w:jc w:val="both"/>
            </w:pPr>
            <w:r>
              <w:t>Názov FMI</w:t>
            </w:r>
          </w:p>
          <w:p w14:paraId="7FE1C7F0" w14:textId="77777777" w:rsidR="007A5804" w:rsidRDefault="007B7723">
            <w:pPr>
              <w:pStyle w:val="P68B1DB1-TableParagraph40"/>
              <w:spacing w:before="108"/>
              <w:ind w:left="85"/>
              <w:jc w:val="both"/>
            </w:pPr>
            <w:r>
              <w:t xml:space="preserve">Obchodný názov infraštruktúry finančného trhu. </w:t>
            </w:r>
          </w:p>
          <w:p w14:paraId="7FE1C7F1" w14:textId="6A71A5BE" w:rsidR="007A5804" w:rsidRDefault="007B7723">
            <w:pPr>
              <w:pStyle w:val="P68B1DB1-TableParagraph40"/>
              <w:numPr>
                <w:ilvl w:val="0"/>
                <w:numId w:val="246"/>
              </w:numPr>
              <w:spacing w:before="108"/>
              <w:jc w:val="both"/>
            </w:pPr>
            <w:r>
              <w:t>Ak sa nachádza v stĺpci 0050, preddefinovaný názov FMI uvedený v prílohe I k týmto pokynom;</w:t>
            </w:r>
          </w:p>
          <w:p w14:paraId="7FE1C7F2" w14:textId="77777777" w:rsidR="007A5804" w:rsidRDefault="007B7723">
            <w:pPr>
              <w:pStyle w:val="P68B1DB1-TableParagraph40"/>
              <w:numPr>
                <w:ilvl w:val="0"/>
                <w:numId w:val="246"/>
              </w:numPr>
              <w:spacing w:before="108" w:after="120"/>
              <w:ind w:left="442" w:hanging="357"/>
              <w:jc w:val="both"/>
            </w:pPr>
            <w:r>
              <w:t xml:space="preserve">Ak nie je uvedený v stĺpci 0050, uveďte názov v stĺpci 0060 s voľným textom. </w:t>
            </w:r>
          </w:p>
          <w:p w14:paraId="7FE1C7F3" w14:textId="77777777" w:rsidR="007A5804" w:rsidRDefault="007B7723">
            <w:pPr>
              <w:pStyle w:val="P68B1DB1-Normal31"/>
            </w:pPr>
            <w:r>
              <w:t xml:space="preserve">Ak sa v stĺpci 0040 vykazuje „neuplatňuje sa“, tieto stĺpce sa ponechávajú prázdne. </w:t>
            </w:r>
          </w:p>
        </w:tc>
      </w:tr>
      <w:tr w:rsidR="007A5804"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7A5804" w:rsidRDefault="007B7723">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7A5804" w:rsidRDefault="007B7723">
            <w:pPr>
              <w:pStyle w:val="P68B1DB1-TableParagraph73"/>
              <w:spacing w:before="108"/>
              <w:ind w:left="85"/>
              <w:jc w:val="both"/>
            </w:pPr>
            <w:r>
              <w:t>Kód infraštruktúry finančného trhu (FMI)</w:t>
            </w:r>
          </w:p>
          <w:p w14:paraId="7FE1C7F7" w14:textId="77777777" w:rsidR="007A5804" w:rsidRDefault="007B7723">
            <w:pPr>
              <w:pStyle w:val="P68B1DB1-TableParagraph40"/>
              <w:spacing w:before="108"/>
              <w:ind w:left="85"/>
              <w:jc w:val="both"/>
            </w:pPr>
            <w:r>
              <w:t xml:space="preserve">20-miestny alfanumerický kód LEI FMI. </w:t>
            </w:r>
          </w:p>
          <w:p w14:paraId="7FE1C7F8" w14:textId="77777777" w:rsidR="007A5804" w:rsidRDefault="007B7723">
            <w:pPr>
              <w:pStyle w:val="P68B1DB1-TableParagraph40"/>
              <w:spacing w:before="108"/>
              <w:ind w:left="85"/>
              <w:jc w:val="both"/>
            </w:pPr>
            <w:r>
              <w:t xml:space="preserve">Ak FMI nemá k dispozícii LEI, použite kód LEI prevádzkovateľa. </w:t>
            </w:r>
          </w:p>
          <w:p w14:paraId="7FE1C7F9" w14:textId="77777777" w:rsidR="007A5804" w:rsidRDefault="007B7723">
            <w:pPr>
              <w:pStyle w:val="P68B1DB1-TableParagraph40"/>
              <w:spacing w:before="108"/>
              <w:ind w:left="85"/>
              <w:jc w:val="both"/>
            </w:pPr>
            <w:r>
              <w:t>Ak sa v stĺpci 0040 vykazuje „neuplatňuje sa (druh systému FMI)“ alebo ak FMI nemá kód, tento stĺpec obsahuje „neuvádza sa“.</w:t>
            </w:r>
          </w:p>
          <w:p w14:paraId="7FE1C7FA" w14:textId="77777777" w:rsidR="007A5804" w:rsidRDefault="007A5804">
            <w:pPr>
              <w:rPr>
                <w:rFonts w:ascii="Times New Roman" w:eastAsia="Times New Roman" w:hAnsi="Times New Roman" w:cs="Times New Roman"/>
                <w:color w:val="D13438"/>
                <w:sz w:val="20"/>
                <w:szCs w:val="20"/>
                <w:u w:val="single"/>
              </w:rPr>
            </w:pPr>
          </w:p>
        </w:tc>
      </w:tr>
      <w:tr w:rsidR="007A5804"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7A5804" w:rsidRDefault="007B7723">
            <w:pPr>
              <w:pStyle w:val="P68B1DB1-Normal31"/>
            </w:pPr>
            <w:r>
              <w:lastRenderedPageBreak/>
              <w:t>0080</w:t>
            </w:r>
          </w:p>
        </w:tc>
        <w:tc>
          <w:tcPr>
            <w:tcW w:w="7832" w:type="dxa"/>
            <w:tcBorders>
              <w:top w:val="single" w:sz="8" w:space="0" w:color="auto"/>
              <w:left w:val="single" w:sz="8" w:space="0" w:color="auto"/>
              <w:bottom w:val="single" w:sz="8" w:space="0" w:color="auto"/>
            </w:tcBorders>
            <w:vAlign w:val="bottom"/>
          </w:tcPr>
          <w:p w14:paraId="7FE1C7FD" w14:textId="77777777" w:rsidR="007A5804" w:rsidRDefault="007B7723">
            <w:pPr>
              <w:pStyle w:val="P68B1DB1-Normal76"/>
              <w:spacing w:after="120"/>
            </w:pPr>
            <w:r>
              <w:t>Prevádzkovateľ FMI</w:t>
            </w:r>
          </w:p>
          <w:p w14:paraId="7FE1C7FE" w14:textId="77777777" w:rsidR="007A5804" w:rsidRDefault="007B7723">
            <w:pPr>
              <w:pStyle w:val="P68B1DB1-Normal31"/>
              <w:rPr>
                <w:b/>
              </w:rPr>
            </w:pPr>
            <w:r>
              <w:t xml:space="preserve">Názov prevádzkovateľa FMI. </w:t>
            </w:r>
          </w:p>
          <w:p w14:paraId="7FE1C7FF" w14:textId="77777777" w:rsidR="007A5804" w:rsidRDefault="007A5804">
            <w:pPr>
              <w:rPr>
                <w:rFonts w:ascii="Times New Roman" w:hAnsi="Times New Roman" w:cs="Times New Roman"/>
                <w:color w:val="D13438"/>
                <w:sz w:val="20"/>
                <w:szCs w:val="20"/>
                <w:highlight w:val="yellow"/>
                <w:u w:val="single"/>
              </w:rPr>
            </w:pPr>
          </w:p>
        </w:tc>
      </w:tr>
      <w:tr w:rsidR="007A5804"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7A5804" w:rsidRDefault="007B7723">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7A5804" w:rsidRDefault="007B7723">
            <w:pPr>
              <w:pStyle w:val="P68B1DB1-Normal76"/>
            </w:pPr>
            <w:r>
              <w:t>Účasť na režime</w:t>
            </w:r>
          </w:p>
          <w:p w14:paraId="7FE1C803" w14:textId="77777777" w:rsidR="007A5804" w:rsidRDefault="007B772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Uveďte jednu z týchto hodnôt</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7A5804" w:rsidRDefault="007B7723">
            <w:pPr>
              <w:pStyle w:val="P68B1DB1-TableParagraph40"/>
              <w:numPr>
                <w:ilvl w:val="0"/>
                <w:numId w:val="181"/>
              </w:numPr>
              <w:spacing w:before="108"/>
              <w:jc w:val="both"/>
            </w:pPr>
            <w:r>
              <w:t xml:space="preserve">„Priame“ v prípade priamej účasti v FMI/členstva v FMI. </w:t>
            </w:r>
          </w:p>
          <w:p w14:paraId="7FE1C805" w14:textId="77777777" w:rsidR="007A5804" w:rsidRDefault="007B7723">
            <w:pPr>
              <w:pStyle w:val="P68B1DB1-TableParagraph40"/>
              <w:numPr>
                <w:ilvl w:val="0"/>
                <w:numId w:val="181"/>
              </w:numPr>
              <w:spacing w:before="108"/>
              <w:jc w:val="both"/>
            </w:pPr>
            <w:r>
              <w:t xml:space="preserve">„Nepriama“ v prípade nepriamej účasti v FMI/členstva v FMI. </w:t>
            </w:r>
          </w:p>
          <w:p w14:paraId="7FE1C806" w14:textId="77777777" w:rsidR="007A5804" w:rsidRDefault="007B7723">
            <w:pPr>
              <w:pStyle w:val="P68B1DB1-TableParagraph40"/>
              <w:numPr>
                <w:ilvl w:val="0"/>
                <w:numId w:val="181"/>
              </w:numPr>
              <w:spacing w:before="108"/>
              <w:jc w:val="both"/>
              <w:rPr>
                <w:b/>
              </w:rPr>
            </w:pPr>
            <w:r>
              <w:t>„Neuplatňuje sa (spôsob účasti na FMI)“, keď sa v stĺpci 0040 vykazuje „neuplatňuje sa (druh systému FMI)“.</w:t>
            </w:r>
          </w:p>
          <w:p w14:paraId="7FE1C807" w14:textId="77777777" w:rsidR="007A5804" w:rsidRDefault="007A5804">
            <w:pPr>
              <w:pStyle w:val="TableParagraph"/>
              <w:spacing w:before="108"/>
              <w:ind w:left="85"/>
              <w:jc w:val="both"/>
              <w:rPr>
                <w:rFonts w:ascii="Times New Roman" w:eastAsia="Times New Roman" w:hAnsi="Times New Roman" w:cs="Times New Roman"/>
                <w:b/>
                <w:sz w:val="20"/>
                <w:szCs w:val="20"/>
              </w:rPr>
            </w:pPr>
          </w:p>
        </w:tc>
      </w:tr>
      <w:tr w:rsidR="007A5804"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7A5804" w:rsidRDefault="007B7723">
            <w:pPr>
              <w:pStyle w:val="P68B1DB1-Normal74"/>
            </w:pPr>
            <w:r>
              <w:t>0100 – 0110</w:t>
            </w:r>
          </w:p>
        </w:tc>
        <w:tc>
          <w:tcPr>
            <w:tcW w:w="7832" w:type="dxa"/>
            <w:tcBorders>
              <w:top w:val="single" w:sz="8" w:space="0" w:color="auto"/>
              <w:left w:val="single" w:sz="8" w:space="0" w:color="auto"/>
              <w:bottom w:val="single" w:sz="8" w:space="0" w:color="auto"/>
            </w:tcBorders>
            <w:vAlign w:val="bottom"/>
          </w:tcPr>
          <w:p w14:paraId="7FE1C80A" w14:textId="77777777" w:rsidR="007A5804" w:rsidRDefault="007B7723">
            <w:pPr>
              <w:pStyle w:val="P68B1DB1-TableParagraph75"/>
              <w:spacing w:before="108"/>
              <w:ind w:left="85"/>
              <w:jc w:val="both"/>
            </w:pPr>
            <w:r>
              <w:t>Sprostredkovateľ</w:t>
            </w:r>
          </w:p>
        </w:tc>
      </w:tr>
      <w:tr w:rsidR="007A5804"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7A5804" w:rsidRDefault="007B7723">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7A5804" w:rsidRDefault="007B7723">
            <w:pPr>
              <w:pStyle w:val="P68B1DB1-Normal76"/>
            </w:pPr>
            <w:r>
              <w:t>Meno sprostredkovateľa</w:t>
            </w:r>
          </w:p>
          <w:p w14:paraId="7FE1C80E" w14:textId="77777777" w:rsidR="007A5804" w:rsidRDefault="007B7723">
            <w:pPr>
              <w:pStyle w:val="P68B1DB1-TableParagraph40"/>
              <w:spacing w:before="108"/>
              <w:ind w:left="85"/>
              <w:jc w:val="both"/>
            </w:pPr>
            <w:r>
              <w:t xml:space="preserve">Obchodné meno sprostredkovateľa, s ktorým má používateľ zmluvný vzťah a ktorý poskytovateľ má prístup k FMI. Vykazuje sa, keď sa v stĺpci 0100 „Mód účasti na infraštruktúre finančného trhu“ vykazuje „nepriamy“ alebo „neuplatňuje sa (spôsob účasti)“. </w:t>
            </w:r>
          </w:p>
          <w:p w14:paraId="7FE1C80F" w14:textId="77777777" w:rsidR="007A5804" w:rsidRDefault="007B7723">
            <w:pPr>
              <w:pStyle w:val="P68B1DB1-TableParagraph40"/>
              <w:spacing w:before="108"/>
              <w:ind w:left="85"/>
              <w:jc w:val="both"/>
            </w:pPr>
            <w:r>
              <w:t>V prípade, že sprostredkovateľ ponúka nepriamy prístup k niekoľkým FMI, vyplňte jeden riadok na každú FMI, ku ktorému sprostredkovateľ ponúka nepriamy prístup.</w:t>
            </w:r>
          </w:p>
          <w:p w14:paraId="7FE1C810" w14:textId="77777777" w:rsidR="007A5804" w:rsidRDefault="007B7723">
            <w:pPr>
              <w:pStyle w:val="P68B1DB1-TableParagraph40"/>
              <w:spacing w:before="108"/>
              <w:ind w:left="85"/>
              <w:jc w:val="both"/>
              <w:rPr>
                <w:b/>
              </w:rPr>
            </w:pPr>
            <w:r>
              <w:t>Ak je v stĺpci 0090 vykázané „priame“, tento stĺpec zostáva prázdny.</w:t>
            </w:r>
          </w:p>
        </w:tc>
      </w:tr>
      <w:tr w:rsidR="007A5804"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7A5804" w:rsidRDefault="007B7723">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7A5804" w:rsidRDefault="007B7723">
            <w:pPr>
              <w:pStyle w:val="P68B1DB1-Normal76"/>
            </w:pPr>
            <w:r>
              <w:t>Sprostredkovateľský kód</w:t>
            </w:r>
          </w:p>
          <w:p w14:paraId="7FE1C814" w14:textId="77777777" w:rsidR="007A5804" w:rsidRDefault="007B7723">
            <w:pPr>
              <w:pStyle w:val="P68B1DB1-TableParagraph40"/>
              <w:spacing w:before="108"/>
              <w:ind w:left="85"/>
              <w:jc w:val="both"/>
            </w:pPr>
            <w:r>
              <w:t xml:space="preserve">20-miestny alfanumerický kód LEI sprostredkovateľa. </w:t>
            </w:r>
          </w:p>
          <w:p w14:paraId="7FE1C815" w14:textId="77777777" w:rsidR="007A5804" w:rsidRDefault="007B7723">
            <w:pPr>
              <w:pStyle w:val="P68B1DB1-TableParagraph13"/>
              <w:spacing w:before="108"/>
              <w:ind w:left="85"/>
              <w:jc w:val="both"/>
              <w:rPr>
                <w:rFonts w:eastAsia="Cambria"/>
              </w:rPr>
            </w:pPr>
            <w:r>
              <w:t>Typ kódu je prednostne kód LEI.</w:t>
            </w:r>
          </w:p>
          <w:p w14:paraId="7FE1C816" w14:textId="77777777" w:rsidR="007A5804" w:rsidRDefault="007B7723">
            <w:pPr>
              <w:pStyle w:val="P68B1DB1-TableParagraph17"/>
              <w:spacing w:before="108"/>
            </w:pPr>
            <w:r>
              <w:t xml:space="preserve">  Ak identifikátor LEI nie je k dispozícii, vykazuje sa ID PFI, alebo ak nie je k dispozícii, vykazuje sa národný kód.</w:t>
            </w:r>
          </w:p>
          <w:p w14:paraId="7FE1C817" w14:textId="3F55AEB3" w:rsidR="007A5804" w:rsidRDefault="007B7723">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Identifikácia subjektov sa vykonáva konzistentne vo vzoroch Z 09.01 až Z 09.05, ak je to vhodné.</w:t>
            </w:r>
            <w:r>
              <w:rPr>
                <w:rFonts w:ascii="Times New Roman" w:eastAsia="Times New Roman" w:hAnsi="Times New Roman" w:cs="Times New Roman"/>
              </w:rPr>
              <w:t xml:space="preserve"> </w:t>
            </w:r>
          </w:p>
          <w:p w14:paraId="7FE1C818" w14:textId="77777777" w:rsidR="007A5804" w:rsidRDefault="007B7723">
            <w:pPr>
              <w:pStyle w:val="P68B1DB1-TableParagraph40"/>
              <w:spacing w:before="108"/>
              <w:ind w:left="85"/>
              <w:jc w:val="both"/>
              <w:rPr>
                <w:b/>
              </w:rPr>
            </w:pPr>
            <w:r>
              <w:t>Ak je v stĺpci 0090 vykázané „priame“, tento stĺpec zostáva prázdny.</w:t>
            </w:r>
          </w:p>
        </w:tc>
      </w:tr>
      <w:tr w:rsidR="007A5804"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7A5804" w:rsidRDefault="007B7723">
            <w:pPr>
              <w:pStyle w:val="P68B1DB1-Normal74"/>
            </w:pPr>
            <w:r>
              <w:t>0120 – 0260</w:t>
            </w:r>
          </w:p>
        </w:tc>
        <w:tc>
          <w:tcPr>
            <w:tcW w:w="7832" w:type="dxa"/>
            <w:tcBorders>
              <w:top w:val="single" w:sz="8" w:space="0" w:color="auto"/>
              <w:left w:val="single" w:sz="8" w:space="0" w:color="auto"/>
              <w:bottom w:val="single" w:sz="8" w:space="0" w:color="auto"/>
            </w:tcBorders>
            <w:vAlign w:val="bottom"/>
          </w:tcPr>
          <w:p w14:paraId="7FE1C81B" w14:textId="77777777" w:rsidR="007A5804" w:rsidRDefault="007B7723">
            <w:pPr>
              <w:pStyle w:val="P68B1DB1-Normal77"/>
              <w:rPr>
                <w:color w:val="D13438"/>
                <w:u w:val="single"/>
              </w:rPr>
            </w:pPr>
            <w:r>
              <w:t>Zákazky a služby</w:t>
            </w:r>
          </w:p>
        </w:tc>
      </w:tr>
      <w:tr w:rsidR="007A5804"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7A5804" w:rsidRDefault="007B7723">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7A5804" w:rsidRDefault="007B7723">
            <w:pPr>
              <w:pStyle w:val="P68B1DB1-TableParagraph73"/>
              <w:spacing w:before="108"/>
              <w:ind w:left="85"/>
              <w:jc w:val="both"/>
            </w:pPr>
            <w:r>
              <w:t>Identifikátor zmluvy</w:t>
            </w:r>
          </w:p>
          <w:p w14:paraId="7FE1C81F" w14:textId="77777777" w:rsidR="007A5804" w:rsidRDefault="007B7723">
            <w:pPr>
              <w:pStyle w:val="P68B1DB1-TableParagraph40"/>
              <w:spacing w:before="108"/>
              <w:jc w:val="both"/>
              <w:rPr>
                <w:b/>
              </w:rPr>
            </w:pPr>
            <w:r>
              <w:t>Interný identifikátor zmluvy používateľa, ktorým sa riadi vzťah s FMI/sprostredkovateľom, ktorý poskytuje službu.</w:t>
            </w:r>
          </w:p>
        </w:tc>
      </w:tr>
      <w:tr w:rsidR="007A5804"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7A5804" w:rsidRDefault="007B7723">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7A5804" w:rsidRDefault="007B7723">
            <w:pPr>
              <w:pStyle w:val="P68B1DB1-TableParagraph73"/>
              <w:spacing w:before="108"/>
              <w:ind w:left="85"/>
              <w:jc w:val="both"/>
              <w:rPr>
                <w:bCs/>
              </w:rPr>
            </w:pPr>
            <w:r>
              <w:t>Rozhodné právo</w:t>
            </w:r>
          </w:p>
          <w:p w14:paraId="7FE1C823" w14:textId="77777777" w:rsidR="007A5804" w:rsidRDefault="007B7723">
            <w:pPr>
              <w:pStyle w:val="P68B1DB1-TableParagraph40"/>
              <w:spacing w:before="108"/>
              <w:ind w:left="85"/>
              <w:jc w:val="both"/>
            </w:pPr>
            <w:r>
              <w:t xml:space="preserve">Kód ISO 3166 – 1-alfa-2 identifikácie krajiny, ktorej právom sa riadi zmluvný vzťah s FMI. </w:t>
            </w:r>
          </w:p>
          <w:p w14:paraId="7FE1C824" w14:textId="77777777" w:rsidR="007A5804" w:rsidRDefault="007B7723">
            <w:pPr>
              <w:pStyle w:val="P68B1DB1-TableParagraph40"/>
              <w:numPr>
                <w:ilvl w:val="0"/>
                <w:numId w:val="247"/>
              </w:numPr>
              <w:spacing w:before="108"/>
              <w:jc w:val="both"/>
              <w:rPr>
                <w:b/>
                <w:bCs/>
              </w:rPr>
            </w:pPr>
            <w:r>
              <w:t>V prípade priamych prístupov rozhodné právo zmluvy medzi FMI a používateľom</w:t>
            </w:r>
          </w:p>
          <w:p w14:paraId="7FE1C825" w14:textId="77777777" w:rsidR="007A5804" w:rsidRDefault="007B7723">
            <w:pPr>
              <w:pStyle w:val="P68B1DB1-TableParagraph40"/>
              <w:numPr>
                <w:ilvl w:val="0"/>
                <w:numId w:val="247"/>
              </w:numPr>
              <w:spacing w:before="108"/>
              <w:jc w:val="both"/>
            </w:pPr>
            <w:r>
              <w:t>V prípade nepriamych prístupov rozhodné právo zmluvy medzi sprostredkovateľom a používateľom.</w:t>
            </w:r>
          </w:p>
        </w:tc>
      </w:tr>
      <w:tr w:rsidR="007A5804"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7A5804" w:rsidRDefault="007B7723">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7A5804" w:rsidRDefault="007B7723">
            <w:pPr>
              <w:pStyle w:val="P68B1DB1-TableParagraph73"/>
              <w:spacing w:before="108"/>
              <w:ind w:left="85"/>
              <w:jc w:val="both"/>
              <w:rPr>
                <w:bCs/>
              </w:rPr>
            </w:pPr>
            <w:r>
              <w:t xml:space="preserve">Zmluva odolná voči riešeniu krízových situácií </w:t>
            </w:r>
          </w:p>
          <w:p w14:paraId="7FE1C829" w14:textId="77777777" w:rsidR="007A5804" w:rsidRDefault="007B7723">
            <w:pPr>
              <w:pStyle w:val="P68B1DB1-TableParagraph40"/>
              <w:spacing w:before="108"/>
              <w:ind w:left="85"/>
              <w:jc w:val="both"/>
            </w:pPr>
            <w:r>
              <w:t>Uveďte jednu z týchto hodnôt:</w:t>
            </w:r>
          </w:p>
          <w:p w14:paraId="7FE1C82A" w14:textId="6A33252E" w:rsidR="007A5804" w:rsidRDefault="007B772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„Áno“ – ak vykazujúci subjekt posúdil zmluvu ako odolnú voči riešeniu krízových situácií</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7A5804" w:rsidRDefault="007B7723">
            <w:pPr>
              <w:pStyle w:val="P68B1DB1-TableParagraph40"/>
              <w:spacing w:before="108"/>
              <w:ind w:left="85"/>
              <w:jc w:val="both"/>
            </w:pPr>
            <w:r>
              <w:t>„Nie“ – ak vykazujúci subjekt posúdil zmluvu ako zmluvu, ktorá nie je odolná voči riešeniu krízových situácií.</w:t>
            </w:r>
          </w:p>
          <w:p w14:paraId="7FE1C82C" w14:textId="77777777" w:rsidR="007A5804" w:rsidRDefault="007B7723">
            <w:pPr>
              <w:pStyle w:val="P68B1DB1-TableParagraph40"/>
              <w:spacing w:before="108"/>
              <w:ind w:left="85"/>
              <w:jc w:val="both"/>
            </w:pPr>
            <w:r>
              <w:t>„Neposúdené“ – ak informácie nie sú k dispozícii.</w:t>
            </w:r>
          </w:p>
          <w:p w14:paraId="7FE1C82D" w14:textId="77777777" w:rsidR="007A5804" w:rsidRDefault="007B7723">
            <w:pPr>
              <w:pStyle w:val="P68B1DB1-TableParagraph40"/>
              <w:spacing w:before="108"/>
              <w:ind w:left="85"/>
              <w:jc w:val="both"/>
              <w:rPr>
                <w:b/>
                <w:bCs/>
                <w:i/>
                <w:iCs/>
                <w:u w:val="single"/>
              </w:rPr>
            </w:pPr>
            <w:r>
              <w:t xml:space="preserve">Podávať správy len sprostredkovateľom. Uveďte „Y“ pre všetky zmluvy podľa práva EHP.  </w:t>
            </w:r>
          </w:p>
        </w:tc>
      </w:tr>
      <w:tr w:rsidR="007A5804"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7A5804" w:rsidRDefault="007B7723">
            <w:pPr>
              <w:pStyle w:val="P68B1DB1-Normal31"/>
            </w:pPr>
            <w:r>
              <w:lastRenderedPageBreak/>
              <w:t>0150 – 0200</w:t>
            </w:r>
          </w:p>
        </w:tc>
        <w:tc>
          <w:tcPr>
            <w:tcW w:w="7832" w:type="dxa"/>
            <w:tcBorders>
              <w:top w:val="single" w:sz="8" w:space="0" w:color="auto"/>
              <w:left w:val="single" w:sz="8" w:space="0" w:color="auto"/>
              <w:bottom w:val="single" w:sz="8" w:space="0" w:color="auto"/>
            </w:tcBorders>
            <w:vAlign w:val="bottom"/>
          </w:tcPr>
          <w:p w14:paraId="7FE1C830" w14:textId="77777777" w:rsidR="007A5804" w:rsidRDefault="007B7723">
            <w:pPr>
              <w:pStyle w:val="P68B1DB1-TableParagraph73"/>
              <w:spacing w:before="108"/>
              <w:ind w:left="85"/>
              <w:jc w:val="both"/>
            </w:pPr>
            <w:r>
              <w:t>Meny relevantné pre vykazujúci subjekt</w:t>
            </w:r>
          </w:p>
          <w:p w14:paraId="7FE1C831" w14:textId="77777777" w:rsidR="007A5804" w:rsidRDefault="007B7723">
            <w:pPr>
              <w:pStyle w:val="P68B1DB1-TableParagraph40"/>
              <w:spacing w:before="108"/>
              <w:ind w:left="85"/>
              <w:jc w:val="both"/>
            </w:pPr>
            <w:r>
              <w:t>Meny, v ktorých sa v systéme prijímajú a vyrovnávajú transakcie vykazujúceho subjektu. Vykazujú sa len meny, ktoré predstavujú aspoň 5 % celkových operácií vykazujúcej inštitúcie v rámci FMI/sprostredkovateľa.</w:t>
            </w:r>
          </w:p>
          <w:p w14:paraId="7FE1C832" w14:textId="77777777" w:rsidR="007A5804" w:rsidRDefault="007B7723">
            <w:pPr>
              <w:pStyle w:val="P68B1DB1-TableParagraph40"/>
              <w:spacing w:before="108"/>
              <w:ind w:left="85"/>
              <w:jc w:val="both"/>
              <w:rPr>
                <w:b/>
              </w:rPr>
            </w:pPr>
            <w:r>
              <w:t>Stĺpec 150 – 200 sa navzájom nevylučujú. Pre „ostatné meny“ (stĺpec 0170): ISO 4217 – trojmiestny kód meny, resp. mien.</w:t>
            </w:r>
          </w:p>
        </w:tc>
      </w:tr>
      <w:tr w:rsidR="007A5804"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7A5804" w:rsidRDefault="007B7723">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7A5804" w:rsidRDefault="007B7723">
            <w:pPr>
              <w:pStyle w:val="P68B1DB1-TableParagraph73"/>
              <w:spacing w:before="108"/>
              <w:ind w:left="85"/>
              <w:jc w:val="both"/>
            </w:pPr>
            <w:r>
              <w:t>Služby poskytované FMI/sprostredkovateľovi</w:t>
            </w:r>
          </w:p>
          <w:p w14:paraId="7FE1C836" w14:textId="3FA389EC" w:rsidR="007A5804" w:rsidRDefault="007B7723">
            <w:pPr>
              <w:pStyle w:val="P68B1DB1-TableParagraph40"/>
              <w:spacing w:before="108"/>
              <w:ind w:left="85"/>
              <w:jc w:val="both"/>
            </w:pPr>
            <w:r>
              <w:t xml:space="preserve">Vykazuje sa len vtedy, keď používateľ poskytuje služby FMI/sprostredkovateľovi, ako je poskytovateľ cien, poskytovateľ likvidity, hotovostné vyrovnanie (uveďte menu), úschova, nepriamy prístup k (zahraničným) centrálnym depozitárom cenných papierov, investičná protistrana, iné. </w:t>
            </w:r>
          </w:p>
        </w:tc>
      </w:tr>
      <w:tr w:rsidR="007A5804"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7A5804" w:rsidRDefault="007B7723">
            <w:pPr>
              <w:pStyle w:val="P68B1DB1-Normal31"/>
            </w:pPr>
            <w:r>
              <w:t>0220</w:t>
            </w:r>
          </w:p>
        </w:tc>
        <w:tc>
          <w:tcPr>
            <w:tcW w:w="7832" w:type="dxa"/>
            <w:tcBorders>
              <w:top w:val="single" w:sz="8" w:space="0" w:color="auto"/>
              <w:left w:val="single" w:sz="8" w:space="0" w:color="auto"/>
              <w:bottom w:val="single" w:sz="8" w:space="0" w:color="auto"/>
            </w:tcBorders>
            <w:vAlign w:val="bottom"/>
          </w:tcPr>
          <w:p w14:paraId="7FE1C839" w14:textId="77777777" w:rsidR="007A5804" w:rsidRDefault="007B7723">
            <w:pPr>
              <w:pStyle w:val="P68B1DB1-TableParagraph73"/>
              <w:spacing w:before="108"/>
              <w:ind w:left="85"/>
              <w:jc w:val="both"/>
            </w:pPr>
            <w:r>
              <w:t>Služby poskytované FMI/sprostredkovateľom</w:t>
            </w:r>
          </w:p>
          <w:p w14:paraId="7FE1C83A" w14:textId="77777777" w:rsidR="007A5804" w:rsidRDefault="007B7723">
            <w:pPr>
              <w:pStyle w:val="P68B1DB1-TableParagraph40"/>
              <w:spacing w:before="108"/>
              <w:ind w:left="85"/>
              <w:jc w:val="both"/>
            </w:pPr>
            <w:r>
              <w:t>Služby, ktoré FMI/sprostredkovateľ poskytuje vykazujúcej účtovnej jednotke. Uveďte, či 0040 je „neuvádza sa“.</w:t>
            </w:r>
          </w:p>
        </w:tc>
      </w:tr>
      <w:tr w:rsidR="007A5804"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7A5804" w:rsidRDefault="007B7723">
            <w:pPr>
              <w:pStyle w:val="P68B1DB1-Normal74"/>
            </w:pPr>
            <w:r>
              <w:t>0230 – 0250</w:t>
            </w:r>
          </w:p>
        </w:tc>
        <w:tc>
          <w:tcPr>
            <w:tcW w:w="7832" w:type="dxa"/>
            <w:tcBorders>
              <w:top w:val="single" w:sz="8" w:space="0" w:color="auto"/>
              <w:left w:val="single" w:sz="8" w:space="0" w:color="auto"/>
              <w:bottom w:val="single" w:sz="8" w:space="0" w:color="auto"/>
            </w:tcBorders>
            <w:vAlign w:val="bottom"/>
          </w:tcPr>
          <w:p w14:paraId="7FE1C83D" w14:textId="77777777" w:rsidR="007A5804" w:rsidRDefault="007B7723">
            <w:pPr>
              <w:pStyle w:val="P68B1DB1-TableParagraph75"/>
              <w:spacing w:before="108"/>
              <w:ind w:left="85"/>
              <w:jc w:val="both"/>
            </w:pPr>
            <w:r>
              <w:t>Poskytovatelia služieb</w:t>
            </w:r>
          </w:p>
        </w:tc>
      </w:tr>
      <w:tr w:rsidR="007A5804"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7A5804" w:rsidRDefault="007B7723">
            <w:pPr>
              <w:pStyle w:val="P68B1DB1-Normal31"/>
            </w:pPr>
            <w:r>
              <w:t>0230 – 0250</w:t>
            </w:r>
          </w:p>
        </w:tc>
        <w:tc>
          <w:tcPr>
            <w:tcW w:w="7832" w:type="dxa"/>
            <w:tcBorders>
              <w:top w:val="single" w:sz="8" w:space="0" w:color="auto"/>
              <w:left w:val="single" w:sz="8" w:space="0" w:color="auto"/>
              <w:bottom w:val="single" w:sz="8" w:space="0" w:color="auto"/>
            </w:tcBorders>
            <w:vAlign w:val="bottom"/>
          </w:tcPr>
          <w:p w14:paraId="7FE1C840" w14:textId="77777777" w:rsidR="007A5804" w:rsidRDefault="007B7723">
            <w:pPr>
              <w:pStyle w:val="P68B1DB1-TableParagraph73"/>
              <w:spacing w:before="108"/>
              <w:ind w:left="85"/>
              <w:jc w:val="both"/>
            </w:pPr>
            <w:r>
              <w:t>Poskytovateľmi komunikačných služieb,</w:t>
            </w:r>
          </w:p>
          <w:p w14:paraId="7FE1C841" w14:textId="7B818514" w:rsidR="007A5804" w:rsidRDefault="007B7723">
            <w:pPr>
              <w:pStyle w:val="P68B1DB1-TableParagraph40"/>
              <w:spacing w:before="108"/>
              <w:ind w:left="85"/>
              <w:jc w:val="both"/>
            </w:pPr>
            <w:r>
              <w:t xml:space="preserve">Poskytovatelia komunikačných služieb, ktorých inštitúcia využíva na prístup k FMI. Stĺpce 230 – 250 sa navzájom nevylučujú. </w:t>
            </w:r>
          </w:p>
          <w:p w14:paraId="32DB4B00" w14:textId="3747D290" w:rsidR="007A5804" w:rsidRDefault="007B7723">
            <w:pPr>
              <w:pStyle w:val="P68B1DB1-TableParagraph40"/>
              <w:spacing w:before="108"/>
              <w:ind w:left="85"/>
              <w:jc w:val="both"/>
            </w:pPr>
            <w:r>
              <w:t>Pre „propriety FMI“-c0230 a „SWIFT“ – c0240, správa:</w:t>
            </w:r>
          </w:p>
          <w:p w14:paraId="1D0FFCBE" w14:textId="373924D7" w:rsidR="007A5804" w:rsidRDefault="007B7723">
            <w:pPr>
              <w:pStyle w:val="P68B1DB1-TableParagraph40"/>
              <w:numPr>
                <w:ilvl w:val="0"/>
                <w:numId w:val="181"/>
              </w:numPr>
              <w:spacing w:before="108"/>
              <w:jc w:val="both"/>
            </w:pPr>
            <w:r>
              <w:t>Áno</w:t>
            </w:r>
          </w:p>
          <w:p w14:paraId="26472FE9" w14:textId="3ED80557" w:rsidR="007A5804" w:rsidRDefault="007B7723">
            <w:pPr>
              <w:pStyle w:val="P68B1DB1-TableParagraph40"/>
              <w:numPr>
                <w:ilvl w:val="0"/>
                <w:numId w:val="181"/>
              </w:numPr>
              <w:spacing w:before="108"/>
              <w:jc w:val="both"/>
            </w:pPr>
            <w:r>
              <w:t>Číslo</w:t>
            </w:r>
          </w:p>
          <w:p w14:paraId="7FE1C842" w14:textId="0C70DB31" w:rsidR="007A5804" w:rsidRDefault="007B7723">
            <w:pPr>
              <w:pStyle w:val="P68B1DB1-TableParagraph40"/>
              <w:spacing w:before="108"/>
              <w:ind w:left="85"/>
              <w:jc w:val="both"/>
            </w:pPr>
            <w:r>
              <w:t>Pre „ostatných poskytovateľov komunikačných služieb“ – c0250: uveďte obchodný názov poskytovateľa.</w:t>
            </w:r>
          </w:p>
        </w:tc>
      </w:tr>
      <w:tr w:rsidR="007A5804"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7A5804" w:rsidRDefault="007B7723">
            <w:pPr>
              <w:pStyle w:val="P68B1DB1-Normal74"/>
            </w:pPr>
            <w:r>
              <w:t>0260 – 0270</w:t>
            </w:r>
          </w:p>
        </w:tc>
        <w:tc>
          <w:tcPr>
            <w:tcW w:w="7832" w:type="dxa"/>
            <w:tcBorders>
              <w:top w:val="single" w:sz="8" w:space="0" w:color="auto"/>
              <w:left w:val="single" w:sz="8" w:space="0" w:color="auto"/>
              <w:bottom w:val="single" w:sz="8" w:space="0" w:color="auto"/>
            </w:tcBorders>
            <w:vAlign w:val="bottom"/>
          </w:tcPr>
          <w:p w14:paraId="7FE1C845" w14:textId="77777777" w:rsidR="007A5804" w:rsidRDefault="007B7723">
            <w:pPr>
              <w:pStyle w:val="P68B1DB1-TableParagraph75"/>
              <w:spacing w:before="108"/>
              <w:ind w:left="85"/>
              <w:jc w:val="both"/>
            </w:pPr>
            <w:r>
              <w:t>Iní poskytovatelia služieb, ktorí umožňujú prístup k infraštruktúre finančného trhu</w:t>
            </w:r>
          </w:p>
        </w:tc>
      </w:tr>
      <w:tr w:rsidR="007A5804"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7A5804" w:rsidRDefault="007B7723">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7A5804" w:rsidRDefault="007B7723">
            <w:pPr>
              <w:pStyle w:val="P68B1DB1-TableParagraph73"/>
              <w:spacing w:before="108"/>
              <w:ind w:left="85"/>
            </w:pPr>
            <w:r>
              <w:t xml:space="preserve">Názov ďalších poskytovateľov služieb </w:t>
            </w:r>
          </w:p>
          <w:p w14:paraId="7FE1C849" w14:textId="77777777" w:rsidR="007A5804" w:rsidRDefault="007B7723">
            <w:pPr>
              <w:pStyle w:val="P68B1DB1-TableParagraph40"/>
              <w:spacing w:before="108"/>
              <w:ind w:left="85"/>
              <w:jc w:val="both"/>
              <w:rPr>
                <w:b/>
              </w:rPr>
            </w:pPr>
            <w:r>
              <w:t xml:space="preserve">Poskytovatelia iní ako sprostredkovateľ, ktorí sú nevyhnutne potrebný pre používateľa, ak je to vhodné: zúčtovacia banka, hotovostná korešpondent/nostro agent, poskytovateľ likvidity.  </w:t>
            </w:r>
            <w:r>
              <w:br/>
              <w:t>Obchodný názov poskytovateľov.</w:t>
            </w:r>
          </w:p>
        </w:tc>
      </w:tr>
      <w:tr w:rsidR="007A5804"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7A5804" w:rsidRDefault="007B7723">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7A5804" w:rsidRDefault="007B7723">
            <w:pPr>
              <w:pStyle w:val="P68B1DB1-TableParagraph73"/>
              <w:spacing w:before="108"/>
              <w:ind w:left="85"/>
              <w:jc w:val="both"/>
            </w:pPr>
            <w:r>
              <w:t xml:space="preserve">Doplnkové služby </w:t>
            </w:r>
          </w:p>
          <w:p w14:paraId="7FE1C84D" w14:textId="77777777" w:rsidR="007A5804" w:rsidRDefault="007B7723">
            <w:pPr>
              <w:pStyle w:val="P68B1DB1-TableParagraph40"/>
              <w:spacing w:before="108"/>
              <w:ind w:left="85"/>
              <w:jc w:val="both"/>
              <w:rPr>
                <w:b/>
              </w:rPr>
            </w:pPr>
            <w:r>
              <w:t xml:space="preserve">Služby poskytovateľov vykázané v 0260. </w:t>
            </w:r>
          </w:p>
        </w:tc>
      </w:tr>
      <w:tr w:rsidR="007A5804"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7A5804" w:rsidRDefault="007B7723">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7A5804" w:rsidRDefault="007B7723">
            <w:pPr>
              <w:pStyle w:val="P68B1DB1-TableParagraph73"/>
              <w:spacing w:before="108"/>
              <w:ind w:left="85"/>
              <w:jc w:val="both"/>
            </w:pPr>
            <w:r>
              <w:t>Kontaktné miesto FMI/sprostredkovateľ</w:t>
            </w:r>
          </w:p>
          <w:p w14:paraId="7FE1C851" w14:textId="77777777" w:rsidR="007A5804" w:rsidRDefault="007B7723">
            <w:pPr>
              <w:pStyle w:val="P68B1DB1-TableParagraph40"/>
              <w:spacing w:before="108"/>
              <w:ind w:left="85"/>
              <w:jc w:val="both"/>
            </w:pPr>
            <w:r>
              <w:t>Kontaktné miesto na FMI v prípade riešenia krízovej situácie vykazujúceho subjektu. Správa:</w:t>
            </w:r>
          </w:p>
          <w:p w14:paraId="7FE1C852" w14:textId="77777777" w:rsidR="007A5804" w:rsidRDefault="007B7723">
            <w:pPr>
              <w:pStyle w:val="P68B1DB1-TableParagraph40"/>
              <w:numPr>
                <w:ilvl w:val="0"/>
                <w:numId w:val="181"/>
              </w:numPr>
              <w:ind w:left="799" w:hanging="357"/>
              <w:jc w:val="both"/>
            </w:pPr>
            <w:r>
              <w:t>Názov</w:t>
            </w:r>
          </w:p>
          <w:p w14:paraId="7FE1C853" w14:textId="77777777" w:rsidR="007A5804" w:rsidRDefault="007B7723">
            <w:pPr>
              <w:pStyle w:val="P68B1DB1-TableParagraph40"/>
              <w:numPr>
                <w:ilvl w:val="0"/>
                <w:numId w:val="181"/>
              </w:numPr>
              <w:ind w:left="799" w:hanging="357"/>
              <w:jc w:val="both"/>
            </w:pPr>
            <w:r>
              <w:t>Názov pracovného miesta</w:t>
            </w:r>
          </w:p>
          <w:p w14:paraId="7FE1C854" w14:textId="5FE95CD9" w:rsidR="007A5804" w:rsidRDefault="007B7723">
            <w:pPr>
              <w:pStyle w:val="P68B1DB1-TableParagraph40"/>
              <w:numPr>
                <w:ilvl w:val="0"/>
                <w:numId w:val="181"/>
              </w:numPr>
              <w:ind w:left="799" w:hanging="357"/>
              <w:jc w:val="both"/>
            </w:pPr>
            <w:r>
              <w:t>E-mailová adresa</w:t>
            </w:r>
          </w:p>
        </w:tc>
      </w:tr>
    </w:tbl>
    <w:p w14:paraId="7FE1C856" w14:textId="77777777" w:rsidR="007A5804" w:rsidRDefault="007B7723">
      <w:pPr>
        <w:pStyle w:val="P68B1DB1-Normal78"/>
      </w:pPr>
      <w:r>
        <w:lastRenderedPageBreak/>
        <w:br/>
      </w:r>
      <w:r>
        <w:br/>
      </w:r>
    </w:p>
    <w:p w14:paraId="7FE1C857" w14:textId="77777777" w:rsidR="007A5804" w:rsidRDefault="007B7723">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Napríklad jedinečný identifikačný identifikátor (ID PFI) subjektu, ktorý sa používa v RIAD ECB.</w:t>
      </w:r>
    </w:p>
    <w:p w14:paraId="7FE1C858" w14:textId="77777777" w:rsidR="007A5804" w:rsidRDefault="007B7723">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Slovník pojmov týkajúcich sa platobných, zúčtovacích a zúčtovacích systémov ECB, december 2009.</w:t>
      </w:r>
    </w:p>
    <w:p w14:paraId="7FE1C859" w14:textId="77777777" w:rsidR="007A5804" w:rsidRDefault="007B7723">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Tamže.</w:t>
      </w:r>
    </w:p>
    <w:p w14:paraId="7FE1C85A" w14:textId="77777777" w:rsidR="007A5804" w:rsidRDefault="007B7723">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Napríklad jedinečný identifikátor peňažných finančných inštitúcií ECB (ID PFI) subjektu na použitie v RIAD.</w:t>
      </w:r>
    </w:p>
    <w:p w14:paraId="7FE1C8BF" w14:textId="77777777" w:rsidR="007A5804" w:rsidRDefault="007A5804">
      <w:pPr>
        <w:rPr>
          <w:rFonts w:ascii="Times New Roman" w:hAnsi="Times New Roman" w:cs="Times New Roman"/>
        </w:rPr>
      </w:pPr>
    </w:p>
    <w:p w14:paraId="7FE1C8C0" w14:textId="77777777" w:rsidR="007A5804" w:rsidRDefault="007A5804">
      <w:pPr>
        <w:rPr>
          <w:rFonts w:ascii="Times New Roman" w:hAnsi="Times New Roman"/>
          <w:sz w:val="20"/>
          <w:szCs w:val="20"/>
          <w:u w:val="single"/>
        </w:rPr>
      </w:pPr>
    </w:p>
    <w:p w14:paraId="7FE1C8C1" w14:textId="77777777" w:rsidR="007A5804" w:rsidRDefault="007B7723">
      <w:pPr>
        <w:pStyle w:val="P68B1DB1-Instructionsberschrift25"/>
        <w:numPr>
          <w:ilvl w:val="1"/>
          <w:numId w:val="49"/>
        </w:numPr>
        <w:ind w:left="357" w:hanging="357"/>
        <w:rPr>
          <w:rFonts w:eastAsia="Calibri"/>
          <w:szCs w:val="20"/>
        </w:rPr>
      </w:pPr>
      <w:bookmarkStart w:id="137" w:name="_Toc208245266"/>
      <w:r>
        <w:t>Z 09.02 – Priraďovanie ku kritickým a základným FMI (FMI 2)</w:t>
      </w:r>
      <w:bookmarkEnd w:id="137"/>
    </w:p>
    <w:p w14:paraId="7FE1C8C3" w14:textId="77777777" w:rsidR="007A5804" w:rsidRDefault="007B7723">
      <w:pPr>
        <w:pStyle w:val="P68B1DB1-InstructionsText279"/>
        <w:numPr>
          <w:ilvl w:val="2"/>
          <w:numId w:val="209"/>
        </w:numPr>
        <w:spacing w:before="0"/>
        <w:ind w:left="1276"/>
      </w:pPr>
      <w:r>
        <w:t>Kritickí a kľúčoví poskytovatelia služieb infraštruktúry finančného trhu sú služby infraštruktúry finančného trhu, ku ktorým sa priamo alebo nepriamo pristupuje a ktorých ukončenie môže predstavovať vážnu prekážku výkonu jednej alebo viacerých zásadných funkcií alebo hlavných oblastí obchodnej činnosti používateľa alebo im brániť.</w:t>
      </w:r>
    </w:p>
    <w:p w14:paraId="7FE1C8C4" w14:textId="77777777" w:rsidR="007A5804" w:rsidRDefault="007B7723">
      <w:pPr>
        <w:pStyle w:val="P68B1DB1-ListParagraph80"/>
        <w:numPr>
          <w:ilvl w:val="2"/>
          <w:numId w:val="209"/>
        </w:numPr>
        <w:ind w:left="1276"/>
      </w:pPr>
      <w:r>
        <w:t>V tomto hárku uveďte len tie FMI vo všetkých typoch systémov, ktoré vykazujúci subjekt považuje za kritické alebo zásadné. Nezahŕňajte žiadnu inú FMI, ktorá nie je ani kritická, ani podstatná.</w:t>
      </w:r>
    </w:p>
    <w:p w14:paraId="7FE1C8C5" w14:textId="77777777" w:rsidR="007A5804" w:rsidRDefault="007A5804">
      <w:pPr>
        <w:pStyle w:val="ListParagraph"/>
        <w:ind w:left="1276"/>
        <w:rPr>
          <w:rFonts w:ascii="Times New Roman" w:eastAsiaTheme="majorEastAsia" w:hAnsi="Times New Roman"/>
          <w:sz w:val="20"/>
          <w:szCs w:val="20"/>
        </w:rPr>
      </w:pPr>
    </w:p>
    <w:p w14:paraId="7FE1C8C6" w14:textId="77777777" w:rsidR="007A5804" w:rsidRDefault="007B7723">
      <w:pPr>
        <w:pStyle w:val="P68B1DB1-InstructionsText279"/>
        <w:numPr>
          <w:ilvl w:val="2"/>
          <w:numId w:val="209"/>
        </w:numPr>
        <w:spacing w:before="0"/>
        <w:ind w:left="1276"/>
      </w:pPr>
      <w:r>
        <w:t xml:space="preserve">Na účely určenia kritických a základných FMI sa zohľadňuje možnosť súbežného ukončenia účasti.  </w:t>
      </w:r>
    </w:p>
    <w:p w14:paraId="7FE1C8C7" w14:textId="77777777" w:rsidR="007A5804" w:rsidRDefault="007A5804">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7A5804"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7A5804" w:rsidRDefault="007B7723">
            <w:pPr>
              <w:pStyle w:val="P68B1DB1-TableParagraph17"/>
              <w:spacing w:before="108"/>
              <w:ind w:left="85"/>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7A5804" w:rsidRDefault="007B7723">
            <w:pPr>
              <w:pStyle w:val="P68B1DB1-TableParagraph17"/>
              <w:spacing w:before="108"/>
              <w:ind w:left="85"/>
            </w:pPr>
            <w:r>
              <w:t xml:space="preserve">Pokyny </w:t>
            </w:r>
          </w:p>
        </w:tc>
      </w:tr>
      <w:tr w:rsidR="007A5804"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7A5804" w:rsidRDefault="007B7723">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7A5804" w:rsidRDefault="007B7723">
            <w:pPr>
              <w:pStyle w:val="P68B1DB1-TableParagraph73"/>
              <w:spacing w:before="108"/>
              <w:ind w:left="85"/>
              <w:jc w:val="both"/>
            </w:pPr>
            <w:r>
              <w:t>ID predstavujúce kombináciu používateľa, FMI, typu systému a sprostredkovateľa</w:t>
            </w:r>
          </w:p>
          <w:p w14:paraId="7FE1C8CD" w14:textId="389563D7" w:rsidR="007A5804" w:rsidRDefault="007B7723">
            <w:pPr>
              <w:pStyle w:val="P68B1DB1-TableParagraph40"/>
              <w:spacing w:before="108"/>
              <w:ind w:left="85"/>
              <w:jc w:val="both"/>
              <w:rPr>
                <w:b/>
              </w:rPr>
            </w:pPr>
            <w:r>
              <w:t>Použite jediný identifikátor pre každý riadok, ktorý zodpovedá jedinečnej kombinácii používateľa, infraštruktúry finančného trhu, typu systému a sprostredkovateľa. Vo vzoroch Z 09.01 až Z 09.05 sa podľa potreby musí použiť rovnaký identifikačný kód zodpovedajúci rovnakej kombinácii.</w:t>
            </w:r>
          </w:p>
        </w:tc>
      </w:tr>
      <w:tr w:rsidR="007A5804"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7A5804" w:rsidRDefault="007B7723">
            <w:pPr>
              <w:pStyle w:val="P68B1DB1-Normal74"/>
            </w:pPr>
            <w:r>
              <w:t>0020 – 0040</w:t>
            </w:r>
          </w:p>
        </w:tc>
        <w:tc>
          <w:tcPr>
            <w:tcW w:w="7832" w:type="dxa"/>
            <w:tcBorders>
              <w:top w:val="single" w:sz="8" w:space="0" w:color="auto"/>
              <w:left w:val="single" w:sz="8" w:space="0" w:color="auto"/>
              <w:bottom w:val="single" w:sz="8" w:space="0" w:color="auto"/>
            </w:tcBorders>
            <w:vAlign w:val="bottom"/>
          </w:tcPr>
          <w:p w14:paraId="7FE1C8D0" w14:textId="77777777" w:rsidR="007A5804" w:rsidRDefault="007B7723">
            <w:pPr>
              <w:pStyle w:val="P68B1DB1-TableParagraph75"/>
              <w:spacing w:before="108"/>
              <w:ind w:left="85"/>
              <w:jc w:val="both"/>
              <w:rPr>
                <w:bCs/>
                <w:iCs/>
              </w:rPr>
            </w:pPr>
            <w:r>
              <w:t>Kritické infraštruktúry finančného trhu</w:t>
            </w:r>
          </w:p>
        </w:tc>
      </w:tr>
      <w:tr w:rsidR="007A5804"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7A5804" w:rsidRDefault="007B7723">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7A5804" w:rsidRDefault="007B7723">
            <w:pPr>
              <w:pStyle w:val="P68B1DB1-TableParagraph73"/>
              <w:spacing w:before="108"/>
              <w:ind w:left="85"/>
              <w:jc w:val="both"/>
            </w:pPr>
            <w:r>
              <w:t>Kritická infraštruktúra finančného trhu: Á/N</w:t>
            </w:r>
          </w:p>
          <w:p w14:paraId="7FE1C8D4" w14:textId="4439D1A6" w:rsidR="007A5804" w:rsidRDefault="007B7723">
            <w:pPr>
              <w:pStyle w:val="P68B1DB1-TableParagraph40"/>
              <w:numPr>
                <w:ilvl w:val="0"/>
                <w:numId w:val="248"/>
              </w:numPr>
              <w:spacing w:before="108"/>
              <w:jc w:val="both"/>
            </w:pPr>
            <w:r>
              <w:t>„Áno“, ak je FMI kritická</w:t>
            </w:r>
          </w:p>
          <w:p w14:paraId="7FE1C8D5" w14:textId="792CB29B" w:rsidR="007A5804" w:rsidRDefault="007B7723">
            <w:pPr>
              <w:pStyle w:val="P68B1DB1-TableParagraph40"/>
              <w:numPr>
                <w:ilvl w:val="0"/>
                <w:numId w:val="248"/>
              </w:numPr>
              <w:spacing w:before="108"/>
              <w:jc w:val="both"/>
              <w:rPr>
                <w:b/>
                <w:bCs/>
              </w:rPr>
            </w:pPr>
            <w:r>
              <w:t>„Nie“, ak FMI nie je kritická</w:t>
            </w:r>
            <w:r>
              <w:rPr>
                <w:b/>
              </w:rPr>
              <w:t xml:space="preserve"> </w:t>
            </w:r>
          </w:p>
          <w:p w14:paraId="7FE1C8D6" w14:textId="77777777" w:rsidR="007A5804" w:rsidRDefault="007B7723">
            <w:pPr>
              <w:pStyle w:val="P68B1DB1-TableParagraph40"/>
              <w:spacing w:before="108"/>
              <w:ind w:left="85"/>
              <w:jc w:val="both"/>
            </w:pPr>
            <w:r>
              <w:t>Stĺpce 0020 a 0050 sa navzájom nevylučujú.</w:t>
            </w:r>
          </w:p>
        </w:tc>
      </w:tr>
      <w:tr w:rsidR="007A5804"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7A5804" w:rsidRDefault="007B7723">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7A5804" w:rsidRDefault="007B7723">
            <w:pPr>
              <w:pStyle w:val="P68B1DB1-TableParagraph73"/>
              <w:spacing w:before="108"/>
              <w:ind w:left="85"/>
              <w:jc w:val="both"/>
            </w:pPr>
            <w:r>
              <w:t>Krajina</w:t>
            </w:r>
          </w:p>
          <w:p w14:paraId="7FE1C8DA" w14:textId="56240ABE" w:rsidR="007A5804" w:rsidRDefault="007B7723">
            <w:pPr>
              <w:pStyle w:val="P68B1DB1-TableParagraph40"/>
              <w:spacing w:before="108"/>
              <w:ind w:left="85"/>
              <w:jc w:val="both"/>
            </w:pPr>
            <w:r>
              <w:t xml:space="preserve">Krajina, v ktorej sa poskytuje kritická funkcia, ako sa uvádza v Z 07.01 </w:t>
            </w:r>
          </w:p>
        </w:tc>
      </w:tr>
      <w:tr w:rsidR="007A5804"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7A5804" w:rsidRDefault="007B7723">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7A5804" w:rsidRDefault="007B7723">
            <w:pPr>
              <w:pStyle w:val="P68B1DB1-TableParagraph73"/>
              <w:spacing w:before="108"/>
              <w:ind w:left="85"/>
              <w:jc w:val="both"/>
            </w:pPr>
            <w:r>
              <w:t>ID kritickej funkcie</w:t>
            </w:r>
          </w:p>
          <w:p w14:paraId="7FE1C8DE" w14:textId="77777777" w:rsidR="007A5804" w:rsidRDefault="007B7723">
            <w:pPr>
              <w:pStyle w:val="P68B1DB1-TableParagraph40"/>
              <w:spacing w:before="108"/>
              <w:ind w:left="85"/>
              <w:jc w:val="both"/>
            </w:pPr>
            <w:r>
              <w:t>Kritickú(-é) funkciu(-y) vykonávanú(-é) subjektom, ktorej výkon by bol sťažený alebo znemožnený narušením prístupu k poskytovateľovi služieb FMI.</w:t>
            </w:r>
          </w:p>
          <w:p w14:paraId="79796B83" w14:textId="298E6F56" w:rsidR="007A5804" w:rsidRDefault="007B7723">
            <w:pPr>
              <w:pStyle w:val="P68B1DB1-TableParagraph40"/>
              <w:spacing w:before="108"/>
              <w:ind w:left="85"/>
              <w:jc w:val="both"/>
              <w:rPr>
                <w:b/>
                <w:bCs/>
              </w:rPr>
            </w:pPr>
            <w:r>
              <w:t>Identifikácia zásadných funkcií uvedených v Z07.01</w:t>
            </w:r>
            <w:r>
              <w:rPr>
                <w:b/>
              </w:rPr>
              <w:t>:</w:t>
            </w:r>
          </w:p>
          <w:p w14:paraId="58520404" w14:textId="77777777" w:rsidR="007A5804" w:rsidRDefault="007A5804">
            <w:pPr>
              <w:pStyle w:val="TableParagraph"/>
              <w:spacing w:before="108"/>
              <w:ind w:left="85"/>
              <w:jc w:val="both"/>
              <w:rPr>
                <w:rFonts w:ascii="Times New Roman" w:eastAsia="Times New Roman" w:hAnsi="Times New Roman" w:cs="Times New Roman"/>
                <w:b/>
                <w:bCs/>
                <w:sz w:val="20"/>
                <w:szCs w:val="20"/>
              </w:rPr>
            </w:pPr>
          </w:p>
          <w:p w14:paraId="0E718D7B" w14:textId="77777777" w:rsidR="007A5804" w:rsidRDefault="007B7723">
            <w:pPr>
              <w:pStyle w:val="P68B1DB1-Normal19"/>
              <w:rPr>
                <w:rFonts w:eastAsiaTheme="minorHAnsi"/>
              </w:rPr>
            </w:pPr>
            <w:r>
              <w:t>Vklady</w:t>
            </w:r>
          </w:p>
          <w:p w14:paraId="354D6B7F" w14:textId="77777777" w:rsidR="007A5804" w:rsidRDefault="007B7723">
            <w:pPr>
              <w:pStyle w:val="P68B1DB1-Normal19"/>
              <w:ind w:left="708"/>
            </w:pPr>
            <w:r>
              <w:t>Vklady z domácností</w:t>
            </w:r>
          </w:p>
          <w:p w14:paraId="71C89914" w14:textId="77777777" w:rsidR="007A5804" w:rsidRDefault="007B7723">
            <w:pPr>
              <w:pStyle w:val="P68B1DB1-Normal19"/>
              <w:ind w:left="708"/>
            </w:pPr>
            <w:r>
              <w:t xml:space="preserve">Vklady od nefinančných korporácií </w:t>
            </w:r>
          </w:p>
          <w:p w14:paraId="7621A95F" w14:textId="69E34691" w:rsidR="007A5804" w:rsidRDefault="007B7723">
            <w:pPr>
              <w:pStyle w:val="P68B1DB1-Normal19"/>
              <w:ind w:left="1405"/>
            </w:pPr>
            <w:r>
              <w:t>Vklady od nefinančných korporácií, MSP</w:t>
            </w:r>
          </w:p>
          <w:p w14:paraId="046B913C" w14:textId="73440AD0" w:rsidR="007A5804" w:rsidRDefault="007B7723">
            <w:pPr>
              <w:pStyle w:val="P68B1DB1-Normal19"/>
              <w:ind w:left="1405"/>
            </w:pPr>
            <w:r>
              <w:t>Vklady od nefinančných korporácií – malých a stredných podnikov</w:t>
            </w:r>
          </w:p>
          <w:p w14:paraId="2DAF57AE" w14:textId="77777777" w:rsidR="007A5804" w:rsidRDefault="007B7723">
            <w:pPr>
              <w:pStyle w:val="P68B1DB1-Normal19"/>
              <w:ind w:left="708"/>
            </w:pPr>
            <w:r>
              <w:t>Vklady od verejnej správy</w:t>
            </w:r>
          </w:p>
          <w:p w14:paraId="3AC3807C" w14:textId="77777777" w:rsidR="007A5804" w:rsidRDefault="007B7723">
            <w:pPr>
              <w:pStyle w:val="P68B1DB1-Normal19"/>
              <w:ind w:left="708"/>
            </w:pPr>
            <w:r>
              <w:t>Vklady z iných sektorov/protistrany (1)</w:t>
            </w:r>
          </w:p>
          <w:p w14:paraId="7924D974" w14:textId="77777777" w:rsidR="007A5804" w:rsidRDefault="007B7723">
            <w:pPr>
              <w:pStyle w:val="P68B1DB1-Normal19"/>
              <w:ind w:left="708"/>
            </w:pPr>
            <w:r>
              <w:lastRenderedPageBreak/>
              <w:t>Vklady z iných sektorov/protistrany (2)</w:t>
            </w:r>
          </w:p>
          <w:p w14:paraId="15B73120" w14:textId="77777777" w:rsidR="007A5804" w:rsidRDefault="007B7723">
            <w:pPr>
              <w:pStyle w:val="P68B1DB1-Normal19"/>
              <w:ind w:left="708"/>
            </w:pPr>
            <w:r>
              <w:t>Vklady z iných sektorov/protistrany (3)</w:t>
            </w:r>
          </w:p>
          <w:p w14:paraId="2FE46760" w14:textId="77777777" w:rsidR="007A5804" w:rsidRDefault="007A5804">
            <w:pPr>
              <w:rPr>
                <w:rFonts w:ascii="Times New Roman" w:hAnsi="Times New Roman" w:cs="Times New Roman"/>
                <w:sz w:val="20"/>
                <w:szCs w:val="20"/>
              </w:rPr>
            </w:pPr>
          </w:p>
          <w:p w14:paraId="685EA40A" w14:textId="77777777" w:rsidR="007A5804" w:rsidRDefault="007B7723">
            <w:pPr>
              <w:pStyle w:val="P68B1DB1-Normal19"/>
            </w:pPr>
            <w:r>
              <w:t>Úvery</w:t>
            </w:r>
          </w:p>
          <w:p w14:paraId="11C80F7E" w14:textId="77777777" w:rsidR="007A5804" w:rsidRDefault="007B7723">
            <w:pPr>
              <w:pStyle w:val="P68B1DB1-Normal19"/>
              <w:ind w:left="708"/>
            </w:pPr>
            <w:r>
              <w:t>Poskytovanie úverov domácnostiam</w:t>
            </w:r>
          </w:p>
          <w:p w14:paraId="430711EA" w14:textId="77777777" w:rsidR="007A5804" w:rsidRDefault="007B7723">
            <w:pPr>
              <w:pStyle w:val="P68B1DB1-Normal19"/>
              <w:ind w:left="1416"/>
            </w:pPr>
            <w:r>
              <w:t>Poskytovanie úverov domácnostiam na bývanie</w:t>
            </w:r>
          </w:p>
          <w:p w14:paraId="0147203E" w14:textId="77777777" w:rsidR="007A5804" w:rsidRDefault="007B7723">
            <w:pPr>
              <w:pStyle w:val="P68B1DB1-Normal19"/>
              <w:ind w:left="1416"/>
            </w:pPr>
            <w:r>
              <w:t>Poskytovanie úverov domácnostiam na iné účely ako na kúpu nehnuteľnosti na bývanie</w:t>
            </w:r>
          </w:p>
          <w:p w14:paraId="20ACA306" w14:textId="77777777" w:rsidR="007A5804" w:rsidRDefault="007B7723">
            <w:pPr>
              <w:pStyle w:val="P68B1DB1-Normal19"/>
              <w:ind w:left="708"/>
            </w:pPr>
            <w:r>
              <w:t>Úvery nefinančným korporáciám</w:t>
            </w:r>
          </w:p>
          <w:p w14:paraId="19F6CF03" w14:textId="3FBCFA7C" w:rsidR="007A5804" w:rsidRDefault="007B7723">
            <w:pPr>
              <w:pStyle w:val="P68B1DB1-Normal19"/>
              <w:ind w:left="1416"/>
            </w:pPr>
            <w:r>
              <w:t>Úvery nefinančným korporáciám</w:t>
            </w:r>
          </w:p>
          <w:p w14:paraId="2C705D0D" w14:textId="77777777" w:rsidR="007A5804" w:rsidRDefault="007B7723">
            <w:pPr>
              <w:pStyle w:val="P68B1DB1-Normal19"/>
              <w:ind w:left="1416"/>
            </w:pPr>
            <w:r>
              <w:t>Úvery nefinančným korporáciám – nefinančným MSP</w:t>
            </w:r>
          </w:p>
          <w:p w14:paraId="6DAE8B55" w14:textId="77777777" w:rsidR="007A5804" w:rsidRDefault="007B7723">
            <w:pPr>
              <w:pStyle w:val="P68B1DB1-Normal19"/>
              <w:ind w:left="708"/>
            </w:pPr>
            <w:r>
              <w:t>Prenájom orgánom verejnej správy</w:t>
            </w:r>
          </w:p>
          <w:p w14:paraId="5C2428A3" w14:textId="77777777" w:rsidR="007A5804" w:rsidRDefault="007B7723">
            <w:pPr>
              <w:pStyle w:val="P68B1DB1-Normal19"/>
              <w:ind w:left="708"/>
            </w:pPr>
            <w:r>
              <w:t>Poskytovanie úverov iným sektorom/protistranám (1)</w:t>
            </w:r>
          </w:p>
          <w:p w14:paraId="7237D4E5" w14:textId="77777777" w:rsidR="007A5804" w:rsidRDefault="007B7723">
            <w:pPr>
              <w:pStyle w:val="P68B1DB1-Normal19"/>
              <w:ind w:left="708"/>
            </w:pPr>
            <w:r>
              <w:t>Poskytovanie úverov iným sektorom/protistranám (2)</w:t>
            </w:r>
          </w:p>
          <w:p w14:paraId="62EF53AB" w14:textId="77777777" w:rsidR="007A5804" w:rsidRDefault="007B7723">
            <w:pPr>
              <w:pStyle w:val="P68B1DB1-Normal19"/>
              <w:ind w:left="708"/>
            </w:pPr>
            <w:r>
              <w:t>Poskytovanie úverov iným sektorom/protistranám (3)</w:t>
            </w:r>
          </w:p>
          <w:p w14:paraId="1269B857" w14:textId="77777777" w:rsidR="007A5804" w:rsidRDefault="007A5804">
            <w:pPr>
              <w:rPr>
                <w:rFonts w:ascii="Times New Roman" w:hAnsi="Times New Roman" w:cs="Times New Roman"/>
                <w:sz w:val="20"/>
                <w:szCs w:val="20"/>
              </w:rPr>
            </w:pPr>
          </w:p>
          <w:p w14:paraId="7CD1A6B0" w14:textId="77777777" w:rsidR="007A5804" w:rsidRDefault="007B7723">
            <w:pPr>
              <w:pStyle w:val="P68B1DB1-Normal19"/>
            </w:pPr>
            <w:r>
              <w:t xml:space="preserve">Platba, peňažné prostriedky, vyrovnanie, zúčtovanie, úschova </w:t>
            </w:r>
          </w:p>
          <w:p w14:paraId="11F499EA" w14:textId="77777777" w:rsidR="007A5804" w:rsidRDefault="007B7723">
            <w:pPr>
              <w:pStyle w:val="P68B1DB1-Normal19"/>
              <w:ind w:left="708"/>
            </w:pPr>
            <w:r>
              <w:t>Platobné služby pre peňažné finančné inštitúcie</w:t>
            </w:r>
          </w:p>
          <w:p w14:paraId="6FC14FBE" w14:textId="4F1706DC" w:rsidR="007A5804" w:rsidRDefault="007B7723">
            <w:pPr>
              <w:pStyle w:val="P68B1DB1-Normal19"/>
              <w:ind w:left="708"/>
            </w:pPr>
            <w:bookmarkStart w:id="138" w:name="_Hlk192600698"/>
            <w:r>
              <w:t>Platobné služby pre nepeňažné finančné inštitúcie</w:t>
            </w:r>
          </w:p>
          <w:p w14:paraId="704B9B25" w14:textId="77777777" w:rsidR="007A5804" w:rsidRDefault="007B7723">
            <w:pPr>
              <w:pStyle w:val="P68B1DB1-Normal19"/>
              <w:ind w:left="1405"/>
            </w:pPr>
            <w:r>
              <w:t>Platobné služby pre nepeňažné finančné inštitúcie pre domácnosti</w:t>
            </w:r>
          </w:p>
          <w:p w14:paraId="1F8BC691" w14:textId="4FE22A42" w:rsidR="007A5804" w:rsidRDefault="007B7723">
            <w:pPr>
              <w:pStyle w:val="P68B1DB1-Normal19"/>
              <w:ind w:left="1405"/>
            </w:pPr>
            <w:r>
              <w:t>Platobné služby nefinančným korporáciám</w:t>
            </w:r>
          </w:p>
          <w:p w14:paraId="39782E47" w14:textId="1287030F" w:rsidR="007A5804" w:rsidRDefault="007B7723">
            <w:pPr>
              <w:pStyle w:val="P68B1DB1-Normal19"/>
              <w:ind w:left="1972"/>
            </w:pPr>
            <w:r>
              <w:t>Platobné služby pre nepeňažné finančné inštitúcie pre MSP nefinančných korporácií</w:t>
            </w:r>
          </w:p>
          <w:p w14:paraId="416F0C20" w14:textId="504D6059" w:rsidR="007A5804" w:rsidRDefault="007B7723">
            <w:pPr>
              <w:pStyle w:val="P68B1DB1-Normal19"/>
              <w:ind w:left="1972"/>
            </w:pPr>
            <w:r>
              <w:t>Platobné služby nepeňažným finančným inštitúciám pre nefinančné korporácie – malé a stredné podniky</w:t>
            </w:r>
            <w:bookmarkEnd w:id="138"/>
          </w:p>
          <w:p w14:paraId="661D0C87" w14:textId="77777777" w:rsidR="007A5804" w:rsidRDefault="007B7723">
            <w:pPr>
              <w:pStyle w:val="P68B1DB1-Normal19"/>
              <w:ind w:left="708"/>
            </w:pPr>
            <w:r>
              <w:t>Hotovostné služby</w:t>
            </w:r>
          </w:p>
          <w:p w14:paraId="03769573" w14:textId="77777777" w:rsidR="007A5804" w:rsidRDefault="007B7723">
            <w:pPr>
              <w:pStyle w:val="P68B1DB1-Normal19"/>
              <w:ind w:left="708"/>
            </w:pPr>
            <w:r>
              <w:t>Služby vyrovnania transakcií s cennými papiermi</w:t>
            </w:r>
          </w:p>
          <w:p w14:paraId="775020A9" w14:textId="77777777" w:rsidR="007A5804" w:rsidRDefault="007B7723">
            <w:pPr>
              <w:pStyle w:val="P68B1DB1-Normal19"/>
              <w:ind w:left="708"/>
            </w:pPr>
            <w:r>
              <w:t>Služby zúčtovania centrálnych protistrán</w:t>
            </w:r>
          </w:p>
          <w:p w14:paraId="5801E2F6" w14:textId="77777777" w:rsidR="007A5804" w:rsidRDefault="007B7723">
            <w:pPr>
              <w:pStyle w:val="P68B1DB1-Normal19"/>
              <w:ind w:left="708"/>
            </w:pPr>
            <w:r>
              <w:t>Služby súvisiace so spravovaním úschov</w:t>
            </w:r>
          </w:p>
          <w:p w14:paraId="5B6CE30A" w14:textId="77777777" w:rsidR="007A5804" w:rsidRDefault="007B7723">
            <w:pPr>
              <w:pStyle w:val="P68B1DB1-Normal19"/>
              <w:ind w:left="708"/>
            </w:pPr>
            <w:r>
              <w:t>Iné služby/činnosti/funkcie (1) v oblasti platieb, hotovosti, vyrovnania, zúčtovania a úschovy</w:t>
            </w:r>
          </w:p>
          <w:p w14:paraId="7B4ED125" w14:textId="77777777" w:rsidR="007A5804" w:rsidRDefault="007B7723">
            <w:pPr>
              <w:pStyle w:val="P68B1DB1-Normal19"/>
              <w:ind w:left="708"/>
            </w:pPr>
            <w:r>
              <w:t>Iné služby/činnosti/funkcie (2) v oblasti platieb, hotovosti, vyrovnania, zúčtovania a úschovy</w:t>
            </w:r>
          </w:p>
          <w:p w14:paraId="19BA6278" w14:textId="77777777" w:rsidR="007A5804" w:rsidRDefault="007B7723">
            <w:pPr>
              <w:pStyle w:val="P68B1DB1-Normal19"/>
              <w:ind w:left="708"/>
            </w:pPr>
            <w:r>
              <w:t>Iné služby/činnosti/funkcie (3) v oblasti platieb, hotovosti, vyrovnania, zúčtovania a úschovy</w:t>
            </w:r>
          </w:p>
          <w:p w14:paraId="1E6049F9" w14:textId="77777777" w:rsidR="007A5804" w:rsidRDefault="007A5804">
            <w:pPr>
              <w:rPr>
                <w:rFonts w:ascii="Times New Roman" w:hAnsi="Times New Roman" w:cs="Times New Roman"/>
                <w:sz w:val="20"/>
                <w:szCs w:val="20"/>
              </w:rPr>
            </w:pPr>
          </w:p>
          <w:p w14:paraId="6F0287A8" w14:textId="77777777" w:rsidR="007A5804" w:rsidRDefault="007B7723">
            <w:pPr>
              <w:pStyle w:val="P68B1DB1-Normal19"/>
            </w:pPr>
            <w:r>
              <w:t>Kapitálové trhy</w:t>
            </w:r>
          </w:p>
          <w:p w14:paraId="4F1B2CB2" w14:textId="77777777" w:rsidR="007A5804" w:rsidRDefault="007B7723">
            <w:pPr>
              <w:pStyle w:val="P68B1DB1-Normal19"/>
              <w:ind w:left="708"/>
            </w:pPr>
            <w:r>
              <w:t xml:space="preserve">Deriváty držané na obchodovanie </w:t>
            </w:r>
          </w:p>
          <w:p w14:paraId="608E7B75" w14:textId="77777777" w:rsidR="007A5804" w:rsidRDefault="007B7723">
            <w:pPr>
              <w:pStyle w:val="P68B1DB1-Normal19"/>
              <w:ind w:left="1416"/>
            </w:pPr>
            <w:r>
              <w:t>Deriváty držané na obchodovanie v OTC</w:t>
            </w:r>
          </w:p>
          <w:p w14:paraId="55232CB1" w14:textId="77777777" w:rsidR="007A5804" w:rsidRDefault="007B7723">
            <w:pPr>
              <w:pStyle w:val="P68B1DB1-Normal19"/>
              <w:ind w:left="1416"/>
            </w:pPr>
            <w:r>
              <w:t>Deriváty držané na obchodovanie v iných ako OTC</w:t>
            </w:r>
          </w:p>
          <w:p w14:paraId="41765F70" w14:textId="77777777" w:rsidR="007A5804" w:rsidRDefault="007B7723">
            <w:pPr>
              <w:pStyle w:val="P68B1DB1-Normal19"/>
              <w:ind w:left="708"/>
            </w:pPr>
            <w:r>
              <w:t>Sekundárne trhy/obchodovanie:</w:t>
            </w:r>
          </w:p>
          <w:p w14:paraId="75381D0F" w14:textId="77777777" w:rsidR="007A5804" w:rsidRDefault="007B7723">
            <w:pPr>
              <w:pStyle w:val="P68B1DB1-Normal19"/>
              <w:ind w:left="708"/>
            </w:pPr>
            <w:r>
              <w:t>Primárne trhy/upisovanie</w:t>
            </w:r>
          </w:p>
          <w:p w14:paraId="04BFAC55" w14:textId="77777777" w:rsidR="007A5804" w:rsidRDefault="007B7723">
            <w:pPr>
              <w:pStyle w:val="P68B1DB1-Normal19"/>
              <w:ind w:left="708"/>
            </w:pPr>
            <w:r>
              <w:t>Iné služby/činnosti/funkcie (1) v kapitálových trhoch (1)</w:t>
            </w:r>
          </w:p>
          <w:p w14:paraId="4842F14D" w14:textId="77777777" w:rsidR="007A5804" w:rsidRDefault="007B7723">
            <w:pPr>
              <w:pStyle w:val="P68B1DB1-Normal19"/>
              <w:ind w:left="708"/>
            </w:pPr>
            <w:r>
              <w:t>Iné služby/činnosti/funkcie (2) v kapitálových trhoch</w:t>
            </w:r>
          </w:p>
          <w:p w14:paraId="4B2FE832" w14:textId="77777777" w:rsidR="007A5804" w:rsidRDefault="007B7723">
            <w:pPr>
              <w:pStyle w:val="P68B1DB1-Normal19"/>
              <w:ind w:left="708"/>
            </w:pPr>
            <w:r>
              <w:t>Iné služby/činnosti/funkcie (3) v kapitálových trhoch</w:t>
            </w:r>
          </w:p>
          <w:p w14:paraId="07EB9C1C" w14:textId="77777777" w:rsidR="007A5804" w:rsidRDefault="007A5804">
            <w:pPr>
              <w:ind w:left="708"/>
              <w:rPr>
                <w:rFonts w:ascii="Times New Roman" w:hAnsi="Times New Roman" w:cs="Times New Roman"/>
                <w:sz w:val="20"/>
                <w:szCs w:val="20"/>
              </w:rPr>
            </w:pPr>
          </w:p>
          <w:p w14:paraId="74D09EC2" w14:textId="77777777" w:rsidR="007A5804" w:rsidRDefault="007B7723">
            <w:pPr>
              <w:pStyle w:val="P68B1DB1-Normal19"/>
            </w:pPr>
            <w:r>
              <w:t>Veľkoobchodné financovanie</w:t>
            </w:r>
          </w:p>
          <w:p w14:paraId="02676859" w14:textId="77777777" w:rsidR="007A5804" w:rsidRDefault="007B7723">
            <w:pPr>
              <w:pStyle w:val="P68B1DB1-ListParagraph60"/>
            </w:pPr>
            <w:r>
              <w:t>Prijímanie úverov</w:t>
            </w:r>
          </w:p>
          <w:p w14:paraId="541AD926" w14:textId="77777777" w:rsidR="007A5804" w:rsidRDefault="007B7723">
            <w:pPr>
              <w:pStyle w:val="P68B1DB1-ListParagraph60"/>
            </w:pPr>
            <w:r>
              <w:t>Deriváty (aktíva)</w:t>
            </w:r>
          </w:p>
          <w:p w14:paraId="25097734" w14:textId="77777777" w:rsidR="007A5804" w:rsidRDefault="007B7723">
            <w:pPr>
              <w:pStyle w:val="P68B1DB1-ListParagraph60"/>
            </w:pPr>
            <w:r>
              <w:t>Úvery</w:t>
            </w:r>
          </w:p>
          <w:p w14:paraId="772EBBB0" w14:textId="77777777" w:rsidR="007A5804" w:rsidRDefault="007B7723">
            <w:pPr>
              <w:pStyle w:val="P68B1DB1-ListParagraph60"/>
            </w:pPr>
            <w:r>
              <w:t>Deriváty (záväzky)</w:t>
            </w:r>
          </w:p>
          <w:p w14:paraId="56E338CF" w14:textId="77777777" w:rsidR="007A5804" w:rsidRDefault="007B7723">
            <w:pPr>
              <w:pStyle w:val="P68B1DB1-ListParagraph60"/>
            </w:pPr>
            <w:r>
              <w:t>Iné druhy výrobkov (1) na veľkoobchodných trhoch</w:t>
            </w:r>
          </w:p>
          <w:p w14:paraId="6607505D" w14:textId="77777777" w:rsidR="007A5804" w:rsidRDefault="007B7723">
            <w:pPr>
              <w:pStyle w:val="P68B1DB1-ListParagraph60"/>
            </w:pPr>
            <w:r>
              <w:t>Iné druhy výrobkov (2) na veľkoobchodných trhoch</w:t>
            </w:r>
          </w:p>
          <w:p w14:paraId="41A2E098" w14:textId="77777777" w:rsidR="007A5804" w:rsidRDefault="007B7723">
            <w:pPr>
              <w:pStyle w:val="P68B1DB1-ListParagraph60"/>
            </w:pPr>
            <w:r>
              <w:t>Iné druhy výrobkov (3) na veľkoobchodných trhoch</w:t>
            </w:r>
          </w:p>
          <w:p w14:paraId="7FE1C8DF" w14:textId="2134965F" w:rsidR="007A5804" w:rsidRDefault="007A5804">
            <w:pPr>
              <w:pStyle w:val="TableParagraph"/>
              <w:spacing w:before="108"/>
              <w:ind w:left="85"/>
              <w:jc w:val="both"/>
              <w:rPr>
                <w:rFonts w:ascii="Times New Roman" w:eastAsia="Times New Roman" w:hAnsi="Times New Roman" w:cs="Times New Roman"/>
                <w:b/>
                <w:bCs/>
                <w:i/>
                <w:iCs/>
                <w:sz w:val="20"/>
                <w:szCs w:val="20"/>
              </w:rPr>
            </w:pPr>
          </w:p>
        </w:tc>
      </w:tr>
      <w:tr w:rsidR="007A5804"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7A5804" w:rsidRDefault="007B7723">
            <w:pPr>
              <w:pStyle w:val="P68B1DB1-Normal31"/>
            </w:pPr>
            <w:r>
              <w:lastRenderedPageBreak/>
              <w:t>0050 – 0060</w:t>
            </w:r>
          </w:p>
        </w:tc>
        <w:tc>
          <w:tcPr>
            <w:tcW w:w="7832" w:type="dxa"/>
            <w:tcBorders>
              <w:top w:val="single" w:sz="8" w:space="0" w:color="auto"/>
              <w:left w:val="single" w:sz="8" w:space="0" w:color="auto"/>
              <w:bottom w:val="single" w:sz="8" w:space="0" w:color="auto"/>
            </w:tcBorders>
            <w:vAlign w:val="bottom"/>
          </w:tcPr>
          <w:p w14:paraId="7FE1C8E2" w14:textId="77777777" w:rsidR="007A5804" w:rsidRDefault="007B7723">
            <w:pPr>
              <w:pStyle w:val="P68B1DB1-Heading481"/>
              <w:numPr>
                <w:ilvl w:val="3"/>
                <w:numId w:val="0"/>
              </w:numPr>
              <w:ind w:left="360"/>
            </w:pPr>
            <w:r>
              <w:t>Základné infraštruktúry finančného trhu</w:t>
            </w:r>
          </w:p>
        </w:tc>
      </w:tr>
      <w:tr w:rsidR="007A5804"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7A5804" w:rsidRDefault="007B7723">
            <w:pPr>
              <w:pStyle w:val="P68B1DB1-Normal31"/>
              <w:rPr>
                <w:strike/>
              </w:rPr>
            </w:pPr>
            <w:r>
              <w:lastRenderedPageBreak/>
              <w:t>0050</w:t>
            </w:r>
          </w:p>
        </w:tc>
        <w:tc>
          <w:tcPr>
            <w:tcW w:w="7832" w:type="dxa"/>
            <w:tcBorders>
              <w:top w:val="single" w:sz="8" w:space="0" w:color="auto"/>
              <w:left w:val="single" w:sz="8" w:space="0" w:color="auto"/>
              <w:bottom w:val="single" w:sz="8" w:space="0" w:color="auto"/>
            </w:tcBorders>
            <w:vAlign w:val="bottom"/>
          </w:tcPr>
          <w:p w14:paraId="7FE1C8E5" w14:textId="77777777" w:rsidR="007A5804" w:rsidRDefault="007B7723">
            <w:pPr>
              <w:pStyle w:val="P68B1DB1-TableParagraph73"/>
              <w:spacing w:before="108"/>
              <w:ind w:left="85"/>
              <w:jc w:val="both"/>
            </w:pPr>
            <w:r>
              <w:t>Základná FMI: Á/N</w:t>
            </w:r>
          </w:p>
          <w:p w14:paraId="7FE1C8E6" w14:textId="46FA6345" w:rsidR="007A5804" w:rsidRDefault="007B7723">
            <w:pPr>
              <w:pStyle w:val="P68B1DB1-TableParagraph40"/>
              <w:numPr>
                <w:ilvl w:val="0"/>
                <w:numId w:val="248"/>
              </w:numPr>
              <w:spacing w:before="108"/>
              <w:jc w:val="both"/>
            </w:pPr>
            <w:r>
              <w:t>„Áno“, ak je FMI nevyhnutná</w:t>
            </w:r>
          </w:p>
          <w:p w14:paraId="7FE1C8E7" w14:textId="0EBF3638" w:rsidR="007A5804" w:rsidRDefault="007B7723">
            <w:pPr>
              <w:pStyle w:val="P68B1DB1-TableParagraph40"/>
              <w:numPr>
                <w:ilvl w:val="0"/>
                <w:numId w:val="248"/>
              </w:numPr>
              <w:spacing w:before="108"/>
              <w:jc w:val="both"/>
            </w:pPr>
            <w:r>
              <w:t>„Nie“, ak FMI nie je nevyhnutná</w:t>
            </w:r>
          </w:p>
          <w:p w14:paraId="7FE1C8E8" w14:textId="77777777" w:rsidR="007A5804" w:rsidRDefault="007B7723">
            <w:pPr>
              <w:pStyle w:val="P68B1DB1-Heading482"/>
              <w:numPr>
                <w:ilvl w:val="3"/>
                <w:numId w:val="0"/>
              </w:numPr>
              <w:ind w:left="360"/>
            </w:pPr>
            <w:r>
              <w:t>Stĺpce 0020 a 0050 sa navzájom nevylučujú.</w:t>
            </w:r>
          </w:p>
        </w:tc>
      </w:tr>
      <w:tr w:rsidR="007A5804"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7A5804" w:rsidRDefault="007B7723">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7A5804" w:rsidRDefault="007B7723">
            <w:pPr>
              <w:pStyle w:val="P68B1DB1-TableParagraph73"/>
              <w:spacing w:before="108"/>
              <w:ind w:left="85"/>
              <w:jc w:val="both"/>
            </w:pPr>
            <w:r>
              <w:t>ID hlavnej oblasti obchodnej činnosti</w:t>
            </w:r>
          </w:p>
          <w:p w14:paraId="7FE1C8EC" w14:textId="62673BB2" w:rsidR="007A5804" w:rsidRDefault="007B7723">
            <w:pPr>
              <w:pStyle w:val="P68B1DB1-TableParagraph40"/>
              <w:spacing w:before="108"/>
              <w:ind w:left="85"/>
              <w:jc w:val="both"/>
              <w:rPr>
                <w:u w:val="single"/>
              </w:rPr>
            </w:pPr>
            <w:r>
              <w:t>Hlavné oblasti obchodnej činnosti vykonávané používateľom, ktorých výkonnosť by bola sťažená alebo znemožnená narušením prístupu k poskytovateľovi služieb FMI.</w:t>
            </w:r>
          </w:p>
          <w:p w14:paraId="7FE1C8ED" w14:textId="77777777" w:rsidR="007A5804" w:rsidRDefault="007B7723">
            <w:pPr>
              <w:pStyle w:val="P68B1DB1-TableParagraph40"/>
              <w:spacing w:before="108"/>
              <w:ind w:left="85"/>
              <w:jc w:val="both"/>
              <w:rPr>
                <w:b/>
                <w:bCs/>
              </w:rPr>
            </w:pPr>
            <w:r>
              <w:t>Identifikačný kód hlavnej oblasti obchodnej činnosti vykázaný v stĺpci 0010 Z 07.03.</w:t>
            </w:r>
          </w:p>
        </w:tc>
      </w:tr>
    </w:tbl>
    <w:p w14:paraId="7FE1C8EF" w14:textId="77777777" w:rsidR="007A5804" w:rsidRDefault="007A5804">
      <w:pPr>
        <w:pStyle w:val="Instructionsberschrift2"/>
        <w:ind w:left="357"/>
        <w:rPr>
          <w:rFonts w:ascii="Times New Roman" w:eastAsia="Calibri" w:hAnsi="Times New Roman" w:cs="Times New Roman"/>
          <w:szCs w:val="20"/>
        </w:rPr>
      </w:pPr>
    </w:p>
    <w:p w14:paraId="7FE1C8F0" w14:textId="77777777" w:rsidR="007A5804" w:rsidRDefault="007B7723">
      <w:pPr>
        <w:pStyle w:val="P68B1DB1-Instructionsberschrift271"/>
        <w:numPr>
          <w:ilvl w:val="1"/>
          <w:numId w:val="49"/>
        </w:numPr>
        <w:ind w:left="357" w:hanging="357"/>
      </w:pPr>
      <w:bookmarkStart w:id="139" w:name="_Toc208245267"/>
      <w:r>
        <w:t>Z 09.03 – Služby FMI – Kľúčové metre (FMI 3)</w:t>
      </w:r>
      <w:bookmarkEnd w:id="139"/>
    </w:p>
    <w:p w14:paraId="7FE1C8F1" w14:textId="77777777" w:rsidR="007A5804" w:rsidRDefault="007B7723">
      <w:pPr>
        <w:pStyle w:val="P68B1DB1-Numberedtitlelevel383"/>
      </w:pPr>
      <w:r>
        <w:t>Pokyny týkajúce sa konkrétnych pozícií</w:t>
      </w:r>
    </w:p>
    <w:p w14:paraId="7FE1C8F2" w14:textId="6D7EB755" w:rsidR="007A5804" w:rsidRDefault="007B7723">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Uveďte len v prípade platobných systémov, (medzinárodných) centrálnych depozitárov cenných papierov, zúčtovacích služieb pre transakcie s cennými papiermi, derivátov centrálnej protistrany, cenných papierov centrálnej protistrany, pokiaľ nie je uvedené inak</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7A5804"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7A5804" w:rsidRDefault="007B7723">
            <w:pPr>
              <w:pStyle w:val="P68B1DB1-TableParagraph17"/>
              <w:spacing w:before="108"/>
              <w:ind w:left="85"/>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7A5804" w:rsidRDefault="007B7723">
            <w:pPr>
              <w:pStyle w:val="P68B1DB1-TableParagraph17"/>
              <w:spacing w:before="108"/>
              <w:ind w:left="85"/>
            </w:pPr>
            <w:r>
              <w:t xml:space="preserve">Pokyny </w:t>
            </w:r>
          </w:p>
        </w:tc>
      </w:tr>
      <w:tr w:rsidR="007A5804"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7A5804" w:rsidRDefault="007B7723">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7A5804" w:rsidRDefault="007B7723">
            <w:pPr>
              <w:pStyle w:val="P68B1DB1-TableParagraph73"/>
              <w:spacing w:before="108"/>
              <w:jc w:val="both"/>
            </w:pPr>
            <w:r>
              <w:t>ID predstavujúce kombináciu používateľa, FMI, typu systému a sprostredkovateľa</w:t>
            </w:r>
          </w:p>
          <w:p w14:paraId="7FE1C8F8" w14:textId="314C2ABF" w:rsidR="007A5804" w:rsidRDefault="007B7723">
            <w:pPr>
              <w:pStyle w:val="P68B1DB1-TableParagraph40"/>
              <w:spacing w:before="108"/>
              <w:jc w:val="both"/>
              <w:rPr>
                <w:b/>
                <w:bCs/>
                <w:i/>
                <w:iCs/>
              </w:rPr>
            </w:pPr>
            <w:r>
              <w:t>Použite jediný identifikátor pre každý riadok, ktorý zodpovedá jedinečnej kombinácii používateľa, infraštruktúry finančného trhu, typu systému a sprostredkovateľa. Vo vzoroch Z 09.01 až Z 09.05 sa podľa potreby musí použiť rovnaký identifikačný kód zodpovedajúci rovnakej kombinácii.</w:t>
            </w:r>
          </w:p>
        </w:tc>
      </w:tr>
      <w:tr w:rsidR="007A5804"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7A5804" w:rsidRDefault="007B7723">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7A5804" w:rsidRDefault="007B7723">
            <w:pPr>
              <w:pStyle w:val="P68B1DB1-TableParagraph73"/>
              <w:spacing w:before="108"/>
              <w:jc w:val="both"/>
            </w:pPr>
            <w:r>
              <w:t>Jednotlivý dokument</w:t>
            </w:r>
          </w:p>
          <w:p w14:paraId="7FE1C8FC" w14:textId="77777777" w:rsidR="007A5804" w:rsidRDefault="007B7723">
            <w:pPr>
              <w:pStyle w:val="P68B1DB1-TableParagraph40"/>
              <w:spacing w:before="108"/>
              <w:ind w:left="85"/>
              <w:jc w:val="both"/>
              <w:rPr>
                <w:b/>
                <w:bCs/>
                <w:i/>
                <w:iCs/>
                <w:strike/>
              </w:rPr>
            </w:pPr>
            <w:r>
              <w:t xml:space="preserve">Trhové segmenty, v ktorých používateľ pôsobí. Jeden riadok na segment. Vykazuje sa len v prípade centrálnych protistrán. </w:t>
            </w:r>
          </w:p>
        </w:tc>
      </w:tr>
      <w:tr w:rsidR="007A5804"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7A5804" w:rsidRDefault="007B7723">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7A5804" w:rsidRDefault="007B7723">
            <w:pPr>
              <w:pStyle w:val="P68B1DB1-TableParagraph73"/>
              <w:spacing w:before="108"/>
              <w:jc w:val="both"/>
            </w:pPr>
            <w:r>
              <w:t>Príspevok do fondu pre prípad zlyhania</w:t>
            </w:r>
          </w:p>
          <w:p w14:paraId="7FE1C900" w14:textId="77777777" w:rsidR="007A5804" w:rsidRDefault="007B7723">
            <w:pPr>
              <w:pStyle w:val="P68B1DB1-TableParagraph40"/>
              <w:spacing w:before="108"/>
              <w:jc w:val="both"/>
            </w:pPr>
            <w:r>
              <w:t xml:space="preserve">Príspevok do fondu pre prípad zlyhania. Priemerná suma za rok. </w:t>
            </w:r>
          </w:p>
          <w:p w14:paraId="7FE1C901" w14:textId="77777777" w:rsidR="007A5804" w:rsidRDefault="007B7723">
            <w:pPr>
              <w:pStyle w:val="P68B1DB1-TableParagraph40"/>
              <w:spacing w:before="108"/>
              <w:ind w:left="85"/>
              <w:jc w:val="both"/>
              <w:rPr>
                <w:b/>
                <w:bCs/>
                <w:i/>
                <w:iCs/>
              </w:rPr>
            </w:pPr>
            <w:r>
              <w:t>Vykazuje sa len v prípade centrálnych protistrán.</w:t>
            </w:r>
          </w:p>
        </w:tc>
      </w:tr>
      <w:tr w:rsidR="007A5804"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7A5804" w:rsidRDefault="007B7723">
            <w:pPr>
              <w:pStyle w:val="P68B1DB1-Normal31"/>
            </w:pPr>
            <w:r>
              <w:t>0040 – 0050</w:t>
            </w:r>
          </w:p>
        </w:tc>
        <w:tc>
          <w:tcPr>
            <w:tcW w:w="7832" w:type="dxa"/>
            <w:tcBorders>
              <w:top w:val="single" w:sz="8" w:space="0" w:color="auto"/>
              <w:left w:val="single" w:sz="8" w:space="0" w:color="auto"/>
              <w:bottom w:val="single" w:sz="8" w:space="0" w:color="auto"/>
            </w:tcBorders>
            <w:vAlign w:val="bottom"/>
          </w:tcPr>
          <w:p w14:paraId="7FE1C904" w14:textId="63CC55B1" w:rsidR="007A5804" w:rsidRDefault="007B7723">
            <w:pPr>
              <w:pStyle w:val="P68B1DB1-TableParagraph73"/>
              <w:spacing w:before="108"/>
              <w:jc w:val="both"/>
              <w:rPr>
                <w:bCs/>
              </w:rPr>
            </w:pPr>
            <w:r>
              <w:t>Počiatočná marža na vlastný účet a účet klienta</w:t>
            </w:r>
          </w:p>
          <w:p w14:paraId="7FE1C905" w14:textId="1C30A5D8" w:rsidR="007A5804" w:rsidRDefault="007B7723">
            <w:pPr>
              <w:pStyle w:val="P68B1DB1-TableParagraph40"/>
              <w:spacing w:before="108"/>
              <w:ind w:left="85"/>
              <w:jc w:val="both"/>
              <w:rPr>
                <w:b/>
              </w:rPr>
            </w:pPr>
            <w:r>
              <w:t>Poskytnutá počiatočná marža v členení podľa domových a klientskych účtov. Priemerná suma za rok. Vykazuje sa len v prípade centrálnych protistrán. Stĺpec 0050 obsahuje súhrnné hodnoty aj hodnoty jednotlivých klientskych účtov.</w:t>
            </w:r>
          </w:p>
        </w:tc>
      </w:tr>
      <w:tr w:rsidR="007A5804"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7A5804" w:rsidRDefault="007B7723">
            <w:pPr>
              <w:pStyle w:val="P68B1DB1-Normal31"/>
            </w:pPr>
            <w:r>
              <w:t>0060 – 0070</w:t>
            </w:r>
          </w:p>
        </w:tc>
        <w:tc>
          <w:tcPr>
            <w:tcW w:w="7832" w:type="dxa"/>
            <w:tcBorders>
              <w:top w:val="single" w:sz="8" w:space="0" w:color="auto"/>
              <w:left w:val="single" w:sz="8" w:space="0" w:color="auto"/>
              <w:bottom w:val="single" w:sz="8" w:space="0" w:color="auto"/>
            </w:tcBorders>
            <w:vAlign w:val="bottom"/>
          </w:tcPr>
          <w:p w14:paraId="7FE1C908" w14:textId="77777777" w:rsidR="007A5804" w:rsidRDefault="007B7723">
            <w:pPr>
              <w:pStyle w:val="P68B1DB1-TableParagraph73"/>
              <w:spacing w:before="108"/>
              <w:ind w:left="85"/>
              <w:jc w:val="both"/>
            </w:pPr>
            <w:r>
              <w:t>Hodnota pozícií na vlastných účtoch a účtoch klientov</w:t>
            </w:r>
          </w:p>
          <w:p w14:paraId="7FE1C909" w14:textId="2662FB34" w:rsidR="007A5804" w:rsidRDefault="007B7723">
            <w:pPr>
              <w:pStyle w:val="P68B1DB1-TableParagraph40"/>
              <w:spacing w:before="108"/>
              <w:ind w:left="85"/>
              <w:jc w:val="both"/>
            </w:pPr>
            <w:r>
              <w:t>Vykazuje sa len v prípade centrálnych protistrán a (I)CDCP. Stĺpec 0070 obsahuje súhrnné hodnoty aj hodnoty jednotlivých klientskych účtov.</w:t>
            </w:r>
          </w:p>
          <w:p w14:paraId="7FE1C90A" w14:textId="77777777" w:rsidR="007A5804" w:rsidRDefault="007B7723">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Centrálne protistrany: Hodnota pozícií v centrálnych protistranách v príslušných typoch účtov</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7A5804" w:rsidRDefault="007B7723">
            <w:pPr>
              <w:pStyle w:val="P68B1DB1-TableParagraph40"/>
              <w:numPr>
                <w:ilvl w:val="0"/>
                <w:numId w:val="249"/>
              </w:numPr>
              <w:spacing w:before="108"/>
              <w:jc w:val="both"/>
            </w:pPr>
            <w:r>
              <w:lastRenderedPageBreak/>
              <w:t xml:space="preserve">I)CDCP: Hodnota cenných papierov držaných na príslušných typoch účtov. </w:t>
            </w:r>
          </w:p>
          <w:p w14:paraId="7FE1C90C" w14:textId="77777777" w:rsidR="007A5804" w:rsidRDefault="007B7723">
            <w:pPr>
              <w:pStyle w:val="P68B1DB1-TableParagraph40"/>
              <w:spacing w:before="108"/>
              <w:ind w:left="85"/>
              <w:jc w:val="both"/>
              <w:rPr>
                <w:b/>
              </w:rPr>
            </w:pPr>
            <w:r>
              <w:t xml:space="preserve">Priemerná hodnota na konci dňa vyrovnania za predchádzajúci rok. </w:t>
            </w:r>
          </w:p>
        </w:tc>
      </w:tr>
      <w:tr w:rsidR="007A5804"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7A5804" w:rsidRDefault="007B7723">
            <w:pPr>
              <w:pStyle w:val="P68B1DB1-Normal31"/>
              <w:rPr>
                <w:strike/>
              </w:rPr>
            </w:pPr>
            <w:r>
              <w:lastRenderedPageBreak/>
              <w:t>0080 – 0090</w:t>
            </w:r>
          </w:p>
        </w:tc>
        <w:tc>
          <w:tcPr>
            <w:tcW w:w="7832" w:type="dxa"/>
            <w:tcBorders>
              <w:top w:val="single" w:sz="8" w:space="0" w:color="auto"/>
              <w:left w:val="single" w:sz="8" w:space="0" w:color="auto"/>
              <w:bottom w:val="single" w:sz="8" w:space="0" w:color="auto"/>
            </w:tcBorders>
            <w:vAlign w:val="bottom"/>
          </w:tcPr>
          <w:p w14:paraId="7FE1C90F" w14:textId="77777777" w:rsidR="007A5804" w:rsidRDefault="007B7723">
            <w:pPr>
              <w:pStyle w:val="P68B1DB1-TableParagraph73"/>
              <w:spacing w:before="108"/>
              <w:ind w:left="85"/>
              <w:jc w:val="both"/>
            </w:pPr>
            <w:r>
              <w:t xml:space="preserve">Počet klientov </w:t>
            </w:r>
          </w:p>
          <w:p w14:paraId="7FE1C910" w14:textId="77777777" w:rsidR="007A5804" w:rsidRDefault="007B7723">
            <w:pPr>
              <w:pStyle w:val="P68B1DB1-TableParagraph40"/>
              <w:spacing w:before="108"/>
              <w:ind w:left="85"/>
              <w:jc w:val="both"/>
            </w:pPr>
            <w:r>
              <w:t xml:space="preserve">Vykazuje sa len v prípade centrálnych protistrán a (I)CDCP. </w:t>
            </w:r>
          </w:p>
          <w:p w14:paraId="7FE1C911" w14:textId="77777777" w:rsidR="007A5804" w:rsidRDefault="007B7723">
            <w:pPr>
              <w:pStyle w:val="P68B1DB1-Heading482"/>
              <w:numPr>
                <w:ilvl w:val="3"/>
                <w:numId w:val="0"/>
              </w:numPr>
              <w:ind w:left="360"/>
              <w:rPr>
                <w:strike/>
                <w:color w:val="D13438"/>
              </w:rPr>
            </w:pPr>
            <w:r>
              <w:t>Celkový počet klientov zahrnutých do rôznych typov účtov klienta.</w:t>
            </w:r>
          </w:p>
        </w:tc>
      </w:tr>
      <w:tr w:rsidR="007A5804"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7A5804" w:rsidRDefault="007B7723">
            <w:pPr>
              <w:pStyle w:val="P68B1DB1-Normal31"/>
              <w:rPr>
                <w:strike/>
              </w:rPr>
            </w:pPr>
            <w:r>
              <w:t>0100 – 0110</w:t>
            </w:r>
          </w:p>
        </w:tc>
        <w:tc>
          <w:tcPr>
            <w:tcW w:w="7832" w:type="dxa"/>
            <w:tcBorders>
              <w:top w:val="single" w:sz="8" w:space="0" w:color="auto"/>
              <w:left w:val="single" w:sz="8" w:space="0" w:color="auto"/>
              <w:bottom w:val="single" w:sz="8" w:space="0" w:color="auto"/>
            </w:tcBorders>
            <w:vAlign w:val="bottom"/>
          </w:tcPr>
          <w:p w14:paraId="7FE1C914" w14:textId="77777777" w:rsidR="007A5804" w:rsidRDefault="007B7723">
            <w:pPr>
              <w:pStyle w:val="P68B1DB1-TableParagraph73"/>
              <w:spacing w:before="108"/>
              <w:ind w:left="85"/>
              <w:jc w:val="both"/>
            </w:pPr>
            <w:r>
              <w:t>Počet transakcií na vlastný účet a účet klienta</w:t>
            </w:r>
          </w:p>
          <w:p w14:paraId="7FE1C915" w14:textId="77777777" w:rsidR="007A5804" w:rsidRDefault="007B7723">
            <w:pPr>
              <w:pStyle w:val="P68B1DB1-Heading482"/>
              <w:numPr>
                <w:ilvl w:val="3"/>
                <w:numId w:val="0"/>
              </w:numPr>
              <w:ind w:left="360"/>
              <w:rPr>
                <w:strike/>
                <w:color w:val="D13438"/>
                <w:u w:val="single"/>
              </w:rPr>
            </w:pPr>
            <w:r>
              <w:t xml:space="preserve">Celkový počet transakcií vykonaných počas roka pre príslušné typy účtov. </w:t>
            </w:r>
          </w:p>
        </w:tc>
      </w:tr>
      <w:tr w:rsidR="007A5804"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7A5804" w:rsidRDefault="007B7723">
            <w:pPr>
              <w:pStyle w:val="P68B1DB1-Normal31"/>
              <w:rPr>
                <w:strike/>
              </w:rPr>
            </w:pPr>
            <w:r>
              <w:t>0120 – 0130</w:t>
            </w:r>
          </w:p>
        </w:tc>
        <w:tc>
          <w:tcPr>
            <w:tcW w:w="7832" w:type="dxa"/>
            <w:tcBorders>
              <w:top w:val="single" w:sz="8" w:space="0" w:color="auto"/>
              <w:left w:val="single" w:sz="8" w:space="0" w:color="auto"/>
              <w:bottom w:val="single" w:sz="8" w:space="0" w:color="auto"/>
            </w:tcBorders>
            <w:vAlign w:val="bottom"/>
          </w:tcPr>
          <w:p w14:paraId="7FE1C918" w14:textId="77777777" w:rsidR="007A5804" w:rsidRDefault="007B7723">
            <w:pPr>
              <w:pStyle w:val="P68B1DB1-TableParagraph73"/>
              <w:spacing w:before="108"/>
              <w:ind w:left="85"/>
              <w:jc w:val="both"/>
            </w:pPr>
            <w:r>
              <w:t>Hodnota transakcií na vlastný účet a účet klienta</w:t>
            </w:r>
          </w:p>
          <w:p w14:paraId="7FE1C919" w14:textId="7A080DD4" w:rsidR="007A5804" w:rsidRDefault="007B7723">
            <w:pPr>
              <w:pStyle w:val="P68B1DB1-TableParagraph40"/>
              <w:spacing w:before="108"/>
              <w:ind w:left="85"/>
              <w:jc w:val="both"/>
            </w:pPr>
            <w:r>
              <w:t xml:space="preserve">Hodnota transakcií vo vykazovanom roku z príslušných druhov účtov. Stĺpec 0130 zahŕňa súhrnné aj oddelené hodnoty účtov klientov. </w:t>
            </w:r>
          </w:p>
          <w:p w14:paraId="7FE1C91A" w14:textId="77777777" w:rsidR="007A5804" w:rsidRDefault="007B7723">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Správa pre PS, CCP, (I)CSD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7A5804" w:rsidRDefault="007B7723">
            <w:pPr>
              <w:pStyle w:val="P68B1DB1-TableParagraph40"/>
              <w:numPr>
                <w:ilvl w:val="0"/>
                <w:numId w:val="250"/>
              </w:numPr>
              <w:spacing w:before="108"/>
              <w:jc w:val="both"/>
            </w:pPr>
            <w:r>
              <w:t>PS: Hodnota odoslaných transakcií.</w:t>
            </w:r>
          </w:p>
          <w:p w14:paraId="7FE1C91C" w14:textId="77777777" w:rsidR="007A5804" w:rsidRDefault="007B7723">
            <w:pPr>
              <w:pStyle w:val="P68B1DB1-TableParagraph40"/>
              <w:numPr>
                <w:ilvl w:val="0"/>
                <w:numId w:val="250"/>
              </w:numPr>
              <w:spacing w:before="108"/>
              <w:jc w:val="both"/>
            </w:pPr>
            <w:r>
              <w:t>Centrálne protistrany: Celková hodnota transakcií vykonaných počas roka. V prípade derivátov centrálnej protistrany:</w:t>
            </w:r>
          </w:p>
          <w:p w14:paraId="7FE1C91D" w14:textId="77777777" w:rsidR="007A5804" w:rsidRDefault="007B7723">
            <w:pPr>
              <w:pStyle w:val="P68B1DB1-TableParagraph40"/>
              <w:numPr>
                <w:ilvl w:val="1"/>
                <w:numId w:val="250"/>
              </w:numPr>
              <w:spacing w:before="108"/>
              <w:jc w:val="both"/>
            </w:pPr>
            <w:r>
              <w:t>Opcie = realizačná cena;</w:t>
            </w:r>
          </w:p>
          <w:p w14:paraId="7FE1C91E" w14:textId="77777777" w:rsidR="007A5804" w:rsidRDefault="007B7723">
            <w:pPr>
              <w:pStyle w:val="P68B1DB1-TableParagraph40"/>
              <w:numPr>
                <w:ilvl w:val="1"/>
                <w:numId w:val="250"/>
              </w:numPr>
              <w:spacing w:before="108"/>
              <w:jc w:val="both"/>
            </w:pPr>
            <w:r>
              <w:t>Futures = hodnota podkladového aktíva v čase transakcie alebo, ak existuje pomyselné podkladové aktívum, trhová cena futures v čase transakcie.</w:t>
            </w:r>
          </w:p>
          <w:p w14:paraId="7FE1C91F" w14:textId="77777777" w:rsidR="007A5804" w:rsidRDefault="007B7723">
            <w:pPr>
              <w:pStyle w:val="P68B1DB1-TableParagraph40"/>
              <w:numPr>
                <w:ilvl w:val="1"/>
                <w:numId w:val="250"/>
              </w:numPr>
              <w:spacing w:before="108"/>
              <w:jc w:val="both"/>
            </w:pPr>
            <w:r>
              <w:t>Swapy = celková trhová hodnota transakcií nesplatených ku koncu roka.</w:t>
            </w:r>
          </w:p>
          <w:p w14:paraId="7FE1C920" w14:textId="22076F29" w:rsidR="007A5804" w:rsidRDefault="007B7723">
            <w:pPr>
              <w:pStyle w:val="P68B1DB1-TableParagraph40"/>
              <w:numPr>
                <w:ilvl w:val="0"/>
                <w:numId w:val="250"/>
              </w:numPr>
              <w:spacing w:before="108"/>
              <w:jc w:val="both"/>
              <w:rPr>
                <w:strike/>
                <w:color w:val="D13438"/>
                <w:u w:val="single"/>
              </w:rPr>
            </w:pPr>
            <w:r>
              <w:t xml:space="preserve">(I)CSD: (CENTRÁLNY DEPOZITÁR CENNÝCH PAPIEROV): Celková hodnota pokynov na dodanie. </w:t>
            </w:r>
          </w:p>
        </w:tc>
      </w:tr>
      <w:tr w:rsidR="007A5804"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7A5804" w:rsidRDefault="007B7723">
            <w:pPr>
              <w:pStyle w:val="P68B1DB1-Normal31"/>
              <w:rPr>
                <w:strike/>
              </w:rPr>
            </w:pPr>
            <w:r>
              <w:t>0140</w:t>
            </w:r>
          </w:p>
        </w:tc>
        <w:tc>
          <w:tcPr>
            <w:tcW w:w="7832" w:type="dxa"/>
            <w:tcBorders>
              <w:top w:val="single" w:sz="8" w:space="0" w:color="auto"/>
              <w:left w:val="single" w:sz="8" w:space="0" w:color="auto"/>
              <w:bottom w:val="single" w:sz="8" w:space="0" w:color="auto"/>
            </w:tcBorders>
            <w:vAlign w:val="bottom"/>
          </w:tcPr>
          <w:p w14:paraId="7FE1C923" w14:textId="77777777" w:rsidR="007A5804" w:rsidRDefault="007B7723">
            <w:pPr>
              <w:pStyle w:val="P68B1DB1-TableParagraph73"/>
              <w:spacing w:before="108" w:after="120"/>
              <w:ind w:left="85"/>
              <w:jc w:val="both"/>
            </w:pPr>
            <w:r>
              <w:t>Kumulovaná pomyselná hodnota</w:t>
            </w:r>
          </w:p>
          <w:p w14:paraId="7FE1C924" w14:textId="77777777" w:rsidR="007A5804" w:rsidRDefault="007B7723">
            <w:pPr>
              <w:pStyle w:val="P68B1DB1-TableParagraph40"/>
              <w:spacing w:before="108"/>
              <w:ind w:left="85"/>
              <w:jc w:val="both"/>
            </w:pPr>
            <w:r>
              <w:t xml:space="preserve">Súčet pomyselných hodnôt transakcií vykonaných počas roka pre domáce aj klientske účty. Uveďte v miliardách EUR. </w:t>
            </w:r>
          </w:p>
          <w:p w14:paraId="7FE1C925" w14:textId="77777777" w:rsidR="007A5804" w:rsidRDefault="007B7723">
            <w:pPr>
              <w:pStyle w:val="P68B1DB1-Heading482"/>
              <w:numPr>
                <w:ilvl w:val="3"/>
                <w:numId w:val="0"/>
              </w:numPr>
              <w:ind w:left="360"/>
              <w:rPr>
                <w:strike/>
                <w:color w:val="D13438"/>
                <w:u w:val="single"/>
              </w:rPr>
            </w:pPr>
            <w:r>
              <w:t>Len v prípade derivátov centrálnych protistrán.</w:t>
            </w:r>
          </w:p>
        </w:tc>
      </w:tr>
      <w:tr w:rsidR="007A5804"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7A5804" w:rsidRDefault="007B7723">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7A5804" w:rsidRDefault="007B7723">
            <w:pPr>
              <w:pStyle w:val="P68B1DB1-TableParagraph73"/>
              <w:spacing w:before="108"/>
              <w:ind w:left="85"/>
              <w:jc w:val="both"/>
            </w:pPr>
            <w:r>
              <w:t>Úverová linka</w:t>
            </w:r>
          </w:p>
          <w:p w14:paraId="7FE1C929" w14:textId="77777777" w:rsidR="007A5804" w:rsidRDefault="007B7723">
            <w:pPr>
              <w:pStyle w:val="P68B1DB1-Heading482"/>
              <w:numPr>
                <w:ilvl w:val="3"/>
                <w:numId w:val="0"/>
              </w:numPr>
              <w:ind w:left="360"/>
              <w:rPr>
                <w:strike/>
                <w:color w:val="D13438"/>
                <w:u w:val="single"/>
              </w:rPr>
            </w:pPr>
            <w:r>
              <w:t xml:space="preserve">Viazaná alebo neviazaná úverová linka poskytnutá systémom v prípade priameho prístupu alebo sprostredkovateľom alebo iným poskytovateľom likvidity v prípade nepriameho prístupu. V prípade nezverejnených súm maximálne využitie počas roka. </w:t>
            </w:r>
          </w:p>
        </w:tc>
      </w:tr>
      <w:tr w:rsidR="007A5804"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7A5804" w:rsidRDefault="007B7723">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7A5804" w:rsidRDefault="007B7723">
            <w:pPr>
              <w:pStyle w:val="P68B1DB1-TableParagraph73"/>
              <w:spacing w:before="108"/>
              <w:ind w:left="85"/>
              <w:jc w:val="both"/>
            </w:pPr>
            <w:r>
              <w:t>Vrchol požiadaviek na likviditu alebo kolaterál</w:t>
            </w:r>
          </w:p>
          <w:p w14:paraId="7FE1C92D" w14:textId="77777777" w:rsidR="007A5804" w:rsidRDefault="007B7723">
            <w:pPr>
              <w:pStyle w:val="P68B1DB1-TableParagraph40"/>
              <w:spacing w:before="108"/>
              <w:ind w:left="85"/>
              <w:jc w:val="both"/>
            </w:pPr>
            <w:r>
              <w:t>Vykazuje sa len v prípade PS, (I)CSD, prípadne centrálnych protistrán. Najvyššia hodnota za predchádzajúci rok.</w:t>
            </w:r>
          </w:p>
          <w:p w14:paraId="7FE1C92E" w14:textId="77777777" w:rsidR="007A5804" w:rsidRDefault="007B7723">
            <w:pPr>
              <w:pStyle w:val="P68B1DB1-TableParagraph40"/>
              <w:numPr>
                <w:ilvl w:val="0"/>
                <w:numId w:val="251"/>
              </w:numPr>
              <w:spacing w:before="108"/>
              <w:jc w:val="both"/>
            </w:pPr>
            <w:r>
              <w:t xml:space="preserve">V prípade (I)CDCP a PS: špička využívania úverovej linky.  </w:t>
            </w:r>
          </w:p>
          <w:p w14:paraId="7FE1C92F" w14:textId="77777777" w:rsidR="007A5804" w:rsidRDefault="007B7723">
            <w:pPr>
              <w:pStyle w:val="P68B1DB1-TableParagraph40"/>
              <w:numPr>
                <w:ilvl w:val="0"/>
                <w:numId w:val="251"/>
              </w:numPr>
              <w:spacing w:before="108"/>
              <w:jc w:val="both"/>
            </w:pPr>
            <w:r>
              <w:t>V prípade centrálnych protistrán: vrchol požiadaviek na maržu.</w:t>
            </w:r>
          </w:p>
          <w:p w14:paraId="7FE1C930" w14:textId="77777777" w:rsidR="007A5804" w:rsidRDefault="007B7723">
            <w:pPr>
              <w:pStyle w:val="P68B1DB1-TableParagraph40"/>
              <w:numPr>
                <w:ilvl w:val="0"/>
                <w:numId w:val="251"/>
              </w:numPr>
              <w:spacing w:before="108"/>
              <w:jc w:val="both"/>
              <w:rPr>
                <w:strike/>
                <w:color w:val="D13438"/>
                <w:u w:val="single"/>
              </w:rPr>
            </w:pPr>
            <w:r>
              <w:t>V prípade nepriamych prístupov: špičkové financovanie požadované sprostredkovateľom.</w:t>
            </w:r>
          </w:p>
        </w:tc>
      </w:tr>
      <w:tr w:rsidR="007A5804"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7A5804" w:rsidRDefault="007B7723">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7A5804" w:rsidRDefault="007B7723">
            <w:pPr>
              <w:pStyle w:val="P68B1DB1-TableParagraph73"/>
              <w:spacing w:before="108"/>
              <w:ind w:left="85"/>
              <w:jc w:val="both"/>
            </w:pPr>
            <w:r>
              <w:t>Odhadované dodatočné požiadavky na likviditu alebo kolaterál v stresovej situácii</w:t>
            </w:r>
          </w:p>
          <w:p w14:paraId="7FE1C934" w14:textId="16041565" w:rsidR="007A5804" w:rsidRDefault="007B7723">
            <w:pPr>
              <w:pStyle w:val="P68B1DB1-Heading482"/>
              <w:numPr>
                <w:ilvl w:val="3"/>
                <w:numId w:val="0"/>
              </w:numPr>
              <w:ind w:left="360"/>
              <w:rPr>
                <w:strike/>
                <w:color w:val="D13438"/>
                <w:u w:val="single"/>
              </w:rPr>
            </w:pPr>
            <w:r>
              <w:lastRenderedPageBreak/>
              <w:t xml:space="preserve">Odhad potenciálnej dodatočnej likvidity alebo kolaterálu nad maximálnou požiadavkou v stĺpci 0160, ktorému môže používateľ čeliť v situácii vážneho stresu. </w:t>
            </w:r>
          </w:p>
        </w:tc>
      </w:tr>
    </w:tbl>
    <w:p w14:paraId="7FE1C936" w14:textId="77777777" w:rsidR="007A5804" w:rsidRDefault="007A5804">
      <w:pPr>
        <w:pStyle w:val="Instructionsberschrift2"/>
        <w:ind w:left="357"/>
        <w:rPr>
          <w:rFonts w:ascii="Times New Roman" w:eastAsia="Calibri" w:hAnsi="Times New Roman" w:cs="Times New Roman"/>
          <w:szCs w:val="20"/>
        </w:rPr>
      </w:pPr>
    </w:p>
    <w:p w14:paraId="7FE1C937" w14:textId="77777777" w:rsidR="007A5804" w:rsidRDefault="007B7723">
      <w:pPr>
        <w:pStyle w:val="P68B1DB1-Instructionsberschrift271"/>
        <w:numPr>
          <w:ilvl w:val="1"/>
          <w:numId w:val="49"/>
        </w:numPr>
        <w:ind w:left="357" w:hanging="357"/>
      </w:pPr>
      <w:bookmarkStart w:id="140" w:name="_Toc208245268"/>
      <w:r>
        <w:t>Z 09.04 – Služby FMI – centrálne protistrany – alternatívni poskytovatelia (FMI 4)</w:t>
      </w:r>
      <w:bookmarkEnd w:id="140"/>
    </w:p>
    <w:tbl>
      <w:tblPr>
        <w:tblW w:w="0" w:type="auto"/>
        <w:tblInd w:w="135" w:type="dxa"/>
        <w:tblLook w:val="04A0" w:firstRow="1" w:lastRow="0" w:firstColumn="1" w:lastColumn="0" w:noHBand="0" w:noVBand="1"/>
      </w:tblPr>
      <w:tblGrid>
        <w:gridCol w:w="1178"/>
        <w:gridCol w:w="7713"/>
      </w:tblGrid>
      <w:tr w:rsidR="007A5804"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7A5804" w:rsidRDefault="007B7723">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Stĺpce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7A5804" w:rsidRDefault="007B7723">
            <w:pPr>
              <w:pStyle w:val="P68B1DB1-TableParagraph17"/>
              <w:spacing w:before="108"/>
              <w:ind w:left="85"/>
            </w:pPr>
            <w:r>
              <w:t xml:space="preserve">Pokyny </w:t>
            </w:r>
          </w:p>
        </w:tc>
      </w:tr>
      <w:tr w:rsidR="007A5804"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7A5804" w:rsidRDefault="007B7723">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7A5804" w:rsidRDefault="007B7723">
            <w:pPr>
              <w:pStyle w:val="P68B1DB1-TableParagraph73"/>
              <w:spacing w:before="108"/>
              <w:ind w:left="85"/>
              <w:jc w:val="both"/>
            </w:pPr>
            <w:r>
              <w:t>ID predstavujúce kombináciu používateľa, FMI, typu systému a sprostredkovateľa</w:t>
            </w:r>
          </w:p>
          <w:p w14:paraId="7FE1CBEF" w14:textId="2166D4DC" w:rsidR="007A5804" w:rsidRDefault="007B7723">
            <w:pPr>
              <w:pStyle w:val="P68B1DB1-TableParagraph40"/>
              <w:spacing w:before="108"/>
              <w:ind w:left="85"/>
              <w:jc w:val="both"/>
            </w:pPr>
            <w:r>
              <w:t xml:space="preserve">Identifikátor CCP, ako sa uvádza v Z 09.01, stĺpci 0010. </w:t>
            </w:r>
          </w:p>
          <w:p w14:paraId="7FE1CBF2" w14:textId="2A5BCF53" w:rsidR="007A5804" w:rsidRDefault="007B7723">
            <w:pPr>
              <w:pStyle w:val="P68B1DB1-TableParagraph40"/>
              <w:spacing w:before="108"/>
              <w:ind w:left="85"/>
              <w:jc w:val="both"/>
              <w:rPr>
                <w:b/>
                <w:bCs/>
                <w:i/>
                <w:iCs/>
              </w:rPr>
            </w:pPr>
            <w:r>
              <w:t>Podávať správy len za centrálne protistrany, ku ktorým bol priamy alebo nepriamy prístup. Ohlasovať všetky prístupy k centrálnym protistranám.</w:t>
            </w:r>
          </w:p>
        </w:tc>
      </w:tr>
      <w:tr w:rsidR="007A5804"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7A5804" w:rsidRDefault="007B7723">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7A5804" w:rsidRDefault="007B7723">
            <w:pPr>
              <w:pStyle w:val="P68B1DB1-TableParagraph73"/>
              <w:spacing w:before="108"/>
              <w:ind w:left="85"/>
              <w:jc w:val="both"/>
              <w:rPr>
                <w:bCs/>
              </w:rPr>
            </w:pPr>
            <w:r>
              <w:t>Typ produktu</w:t>
            </w:r>
          </w:p>
          <w:p w14:paraId="7FE1CBF8" w14:textId="236012E4" w:rsidR="007A5804" w:rsidRDefault="007B7723">
            <w:pPr>
              <w:pStyle w:val="P68B1DB1-TableParagraph40"/>
              <w:spacing w:before="108"/>
              <w:ind w:left="85"/>
              <w:jc w:val="both"/>
              <w:rPr>
                <w:b/>
                <w:bCs/>
                <w:i/>
                <w:iCs/>
              </w:rPr>
            </w:pPr>
            <w:r>
              <w:t xml:space="preserve">Typ produktu, na ktorý sa vzťahuje dohoda o zúčtovaní. Správa na primeranej úrovni podrobnosti potrebná na analýzu nahraditeľnosti. </w:t>
            </w:r>
          </w:p>
        </w:tc>
      </w:tr>
      <w:tr w:rsidR="007A5804"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7A5804" w:rsidRDefault="007B7723">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7A5804" w:rsidRDefault="007B7723">
            <w:pPr>
              <w:pStyle w:val="P68B1DB1-TableParagraph73"/>
              <w:spacing w:before="108"/>
              <w:ind w:left="85"/>
              <w:jc w:val="both"/>
            </w:pPr>
            <w:r>
              <w:t>Substitutability Á/N</w:t>
            </w:r>
          </w:p>
          <w:p w14:paraId="7FE1CBFC" w14:textId="24D3331D" w:rsidR="007A5804" w:rsidRDefault="007B7723">
            <w:pPr>
              <w:pStyle w:val="P68B1DB1-TableParagraph40"/>
              <w:spacing w:before="108"/>
              <w:ind w:left="85"/>
              <w:jc w:val="both"/>
            </w:pPr>
            <w:r>
              <w:t>Schopnosť používateľa nahradiť poskytovateľa zúčtovacích služieb v stĺpci 0020 Z 09.01 alternatívnym FMI/sprostredkovateľom, s ktorým má k dátumu vykazovania zmluvný vzťah. .</w:t>
            </w:r>
          </w:p>
          <w:p w14:paraId="7FE1CBFE" w14:textId="1F022B26" w:rsidR="007A5804" w:rsidRDefault="007B7723">
            <w:pPr>
              <w:pStyle w:val="P68B1DB1-TableParagraph40"/>
              <w:numPr>
                <w:ilvl w:val="0"/>
                <w:numId w:val="256"/>
              </w:numPr>
              <w:spacing w:before="108"/>
              <w:jc w:val="both"/>
            </w:pPr>
            <w:r>
              <w:t>„Áno“, ak je možná substitúcia</w:t>
            </w:r>
          </w:p>
          <w:p w14:paraId="7FE1CBFF" w14:textId="719E31EA" w:rsidR="007A5804" w:rsidRDefault="007B7723">
            <w:pPr>
              <w:pStyle w:val="P68B1DB1-TableParagraph40"/>
              <w:numPr>
                <w:ilvl w:val="0"/>
                <w:numId w:val="256"/>
              </w:numPr>
              <w:spacing w:before="108"/>
              <w:jc w:val="both"/>
            </w:pPr>
            <w:r>
              <w:t>„Nie“, ak nie je možná substitúcia</w:t>
            </w:r>
          </w:p>
          <w:p w14:paraId="7FE1CC02" w14:textId="77777777" w:rsidR="007A5804" w:rsidRDefault="007A5804">
            <w:pPr>
              <w:pStyle w:val="TableParagraph"/>
              <w:spacing w:before="108"/>
              <w:jc w:val="both"/>
              <w:rPr>
                <w:rFonts w:ascii="Times New Roman" w:eastAsia="Times New Roman" w:hAnsi="Times New Roman" w:cs="Times New Roman"/>
                <w:b/>
                <w:sz w:val="20"/>
                <w:szCs w:val="20"/>
              </w:rPr>
            </w:pPr>
          </w:p>
        </w:tc>
      </w:tr>
      <w:tr w:rsidR="007A5804"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7A5804" w:rsidRDefault="007B7723">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7A5804" w:rsidRDefault="007B7723">
            <w:pPr>
              <w:pStyle w:val="P68B1DB1-TableParagraph73"/>
              <w:spacing w:before="108" w:after="120"/>
              <w:jc w:val="both"/>
              <w:rPr>
                <w:bCs/>
              </w:rPr>
            </w:pPr>
            <w:r>
              <w:t>Alternatívny poskytovateľ</w:t>
            </w:r>
          </w:p>
          <w:p w14:paraId="7FE1CC06" w14:textId="77777777" w:rsidR="007A5804" w:rsidRDefault="007B7723">
            <w:pPr>
              <w:pStyle w:val="P68B1DB1-Normal31"/>
              <w:spacing w:line="276" w:lineRule="auto"/>
              <w:jc w:val="both"/>
            </w:pPr>
            <w:r>
              <w:t xml:space="preserve">Názov FMI/sprostredkovateľa identifikovaného ako potenciálna náhrada. </w:t>
            </w:r>
          </w:p>
          <w:p w14:paraId="7FE1CC07" w14:textId="2011DAFC" w:rsidR="007A5804" w:rsidRDefault="007B7723">
            <w:pPr>
              <w:pStyle w:val="P68B1DB1-TableParagraph40"/>
              <w:spacing w:before="108"/>
              <w:ind w:left="85"/>
              <w:jc w:val="both"/>
              <w:rPr>
                <w:b/>
                <w:bCs/>
              </w:rPr>
            </w:pPr>
            <w:r>
              <w:t>Uveďte, len ak je stĺpec 0030 Z 09.04 Áno.</w:t>
            </w:r>
          </w:p>
        </w:tc>
      </w:tr>
      <w:tr w:rsidR="007A5804"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7A5804" w:rsidRDefault="007B7723">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7A5804" w:rsidRDefault="007B7723">
            <w:pPr>
              <w:pStyle w:val="P68B1DB1-TableParagraph73"/>
              <w:spacing w:before="108"/>
              <w:jc w:val="both"/>
              <w:rPr>
                <w:bCs/>
              </w:rPr>
            </w:pPr>
            <w:r>
              <w:t>ID alternatívneho poskytovateľa</w:t>
            </w:r>
          </w:p>
          <w:p w14:paraId="7FE1CC0B" w14:textId="680AAC78" w:rsidR="007A5804" w:rsidRDefault="007B7723">
            <w:pPr>
              <w:pStyle w:val="P68B1DB1-Normal31"/>
              <w:spacing w:after="120" w:line="276" w:lineRule="auto"/>
              <w:jc w:val="both"/>
              <w:rPr>
                <w:b/>
                <w:bCs/>
              </w:rPr>
            </w:pPr>
            <w:r>
              <w:t>Jedinečné identifikačné číslo predstavujúce kombináciu používateľa, FMI, typu systému a sprostredkovateľa alternatívneho poskytovateľa, s ktorým má používateľ nadviazaný zmluvný vzťah, ako sa uvádza v stĺpci 0010 Z 09.01.</w:t>
            </w:r>
            <w:r>
              <w:rPr>
                <w:b/>
              </w:rPr>
              <w:t xml:space="preserve"> </w:t>
            </w:r>
          </w:p>
          <w:p w14:paraId="7FE1CC0C" w14:textId="7C8756E6" w:rsidR="007A5804" w:rsidRDefault="007B7723">
            <w:pPr>
              <w:pStyle w:val="P68B1DB1-TableParagraph40"/>
              <w:spacing w:before="108"/>
              <w:ind w:left="85"/>
              <w:jc w:val="both"/>
              <w:rPr>
                <w:b/>
                <w:bCs/>
              </w:rPr>
            </w:pPr>
            <w:r>
              <w:t>Uveďte, len ak je stĺpec 0030 Z 09.04 Áno.</w:t>
            </w:r>
          </w:p>
        </w:tc>
      </w:tr>
    </w:tbl>
    <w:p w14:paraId="7FE1CECA" w14:textId="77777777" w:rsidR="007A5804" w:rsidRDefault="007A5804">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7A5804" w:rsidRDefault="007A5804">
      <w:pPr>
        <w:pStyle w:val="Instructionsberschrift2"/>
        <w:ind w:left="357"/>
        <w:rPr>
          <w:rFonts w:ascii="Times New Roman" w:eastAsia="Calibri" w:hAnsi="Times New Roman" w:cs="Times New Roman"/>
          <w:szCs w:val="20"/>
        </w:rPr>
      </w:pPr>
    </w:p>
    <w:p w14:paraId="7FE1CF07" w14:textId="77777777" w:rsidR="007A5804" w:rsidRDefault="007B7723">
      <w:pPr>
        <w:pStyle w:val="P68B1DB1-Instructionsberschrift284"/>
        <w:numPr>
          <w:ilvl w:val="1"/>
          <w:numId w:val="49"/>
        </w:numPr>
        <w:spacing w:before="0"/>
        <w:ind w:left="357" w:hanging="357"/>
      </w:pPr>
      <w:bookmarkStart w:id="241" w:name="_Toc208245269"/>
      <w:r>
        <w:t>Analýza zodpovednosti</w:t>
      </w:r>
      <w:bookmarkEnd w:id="241"/>
    </w:p>
    <w:p w14:paraId="7FE1CF08" w14:textId="53CCE3BD" w:rsidR="007A5804" w:rsidRDefault="007B7723">
      <w:pPr>
        <w:pStyle w:val="Instructionsberschrift2"/>
        <w:numPr>
          <w:ilvl w:val="1"/>
          <w:numId w:val="49"/>
        </w:numPr>
        <w:spacing w:before="0"/>
        <w:ind w:left="357" w:hanging="357"/>
        <w:rPr>
          <w:rFonts w:ascii="Times New Roman" w:hAnsi="Times New Roman" w:cs="Times New Roman"/>
        </w:rPr>
      </w:pPr>
      <w:bookmarkStart w:id="242" w:name="_Toc208245270"/>
      <w:r>
        <w:rPr>
          <w:rFonts w:ascii="Times New Roman" w:hAnsi="Times New Roman" w:cs="Times New Roman"/>
          <w:color w:val="000000" w:themeColor="text1"/>
        </w:rPr>
        <w:t>Z 11.00 Vnútroskupinové záväzky</w:t>
      </w:r>
      <w:r>
        <w:rPr>
          <w:rFonts w:ascii="Times New Roman" w:eastAsia="Calibri" w:hAnsi="Times New Roman" w:cs="Times New Roman"/>
          <w:szCs w:val="20"/>
        </w:rPr>
        <w:t xml:space="preserve"> (LIAB-G-1)</w:t>
      </w:r>
      <w:bookmarkEnd w:id="242"/>
    </w:p>
    <w:p w14:paraId="7FE1CF0A" w14:textId="69A86E79" w:rsidR="007A5804" w:rsidRDefault="007B7723">
      <w:pPr>
        <w:pStyle w:val="P68B1DB1-Numberedtitlelevel385"/>
      </w:pPr>
      <w:bookmarkStart w:id="243" w:name="_Toc81454213"/>
      <w:r>
        <w:t>Všeobecné poznámky</w:t>
      </w:r>
    </w:p>
    <w:p w14:paraId="7FE1CF0B" w14:textId="77777777" w:rsidR="007A5804" w:rsidRDefault="007B7723">
      <w:pPr>
        <w:pStyle w:val="P68B1DB1-InstructionsText26"/>
        <w:numPr>
          <w:ilvl w:val="2"/>
          <w:numId w:val="209"/>
        </w:numPr>
        <w:spacing w:before="0"/>
        <w:ind w:left="1276"/>
        <w:rPr>
          <w:rFonts w:eastAsiaTheme="majorEastAsia"/>
        </w:rPr>
      </w:pPr>
      <w:r>
        <w:t>V tejto tabuľke sa vyžadujú informácie o vnútroskupinových záväzkoch, ktoré sa vzťahujú na všetky vlastné zdroje a záväzky.</w:t>
      </w:r>
    </w:p>
    <w:p w14:paraId="7FE1CF0C" w14:textId="4049DE4D" w:rsidR="007A5804" w:rsidRDefault="007B7723">
      <w:pPr>
        <w:pStyle w:val="P68B1DB1-InstructionsText26"/>
        <w:numPr>
          <w:ilvl w:val="2"/>
          <w:numId w:val="209"/>
        </w:numPr>
        <w:spacing w:before="0"/>
        <w:ind w:left="1276"/>
        <w:rPr>
          <w:rFonts w:eastAsiaTheme="majorEastAsia"/>
        </w:rPr>
      </w:pPr>
      <w:r>
        <w:t>Subjekty, ktoré sa majú považovať za vnútroskupinové, sú tie, ktoré – v súlade s vymedzením v stĺpci 0100 vzoru Z02.00 – patria do účtovného rozsahu konsolidácie hlavného materského subjektu. V dôsledku toho sa tieto záväzky neoznamujú pod podrobnými kartami Z 12.00 až Z 17.00 s výnimkou Z 15.00 Deriváty (pozri ďalej).</w:t>
      </w:r>
    </w:p>
    <w:p w14:paraId="7FE1CF0D" w14:textId="170B6ABA" w:rsidR="007A5804" w:rsidRDefault="007B7723">
      <w:pPr>
        <w:pStyle w:val="P68B1DB1-InstructionsText26"/>
        <w:numPr>
          <w:ilvl w:val="2"/>
          <w:numId w:val="209"/>
        </w:numPr>
        <w:spacing w:before="0"/>
        <w:ind w:left="1276"/>
        <w:rPr>
          <w:rFonts w:eastAsiaTheme="majorEastAsia"/>
        </w:rPr>
      </w:pPr>
      <w:r>
        <w:lastRenderedPageBreak/>
        <w:t>Deriváty majú špecifickú povahu a nevykazujú sa v položke Z 11.00, ale vždy v položke Z 15.00.</w:t>
      </w:r>
    </w:p>
    <w:p w14:paraId="7FE1CF0E" w14:textId="18AE2C5B" w:rsidR="007A5804" w:rsidRDefault="007B7723">
      <w:pPr>
        <w:pStyle w:val="P68B1DB1-InstructionsText26"/>
        <w:numPr>
          <w:ilvl w:val="2"/>
          <w:numId w:val="209"/>
        </w:numPr>
        <w:spacing w:before="0"/>
        <w:ind w:left="1276"/>
        <w:rPr>
          <w:rFonts w:eastAsiaTheme="majorEastAsia"/>
        </w:rPr>
      </w:pPr>
      <w:r>
        <w:t>Všetky záväzky emitované subjektom v rámci účtovného rozsahu konsolidácie (vrátane účelovo vytvorených subjektov v rozsahu pôsobnosti konsolidácie) v rámci aj mimo skupiny, ktorej krízová situácia sa rieši, sa vykazujú vo vzore Z 11.00. Na účely tejto tabuľky sa záväzky musia vykazovať na základe transakcií, t. j. každá transakcia sa vykazuje ako jednotlivá položka riadku. Transakcie sa však musia vykazovať vo viacerých riadkoch v prípade, že sa týkajú rôznych postavení v konkurznom konaní.</w:t>
      </w:r>
    </w:p>
    <w:p w14:paraId="7FE1CF0F" w14:textId="77777777" w:rsidR="007A5804" w:rsidRDefault="007B7723">
      <w:pPr>
        <w:pStyle w:val="P68B1DB1-Numberedtitlelevel372"/>
      </w:pPr>
      <w:r>
        <w:t>Pokyny týkajúce sa konkrétnych pozícií</w:t>
      </w:r>
    </w:p>
    <w:tbl>
      <w:tblPr>
        <w:tblW w:w="0" w:type="auto"/>
        <w:tblLook w:val="01E0" w:firstRow="1" w:lastRow="1" w:firstColumn="1" w:lastColumn="1" w:noHBand="0" w:noVBand="0"/>
      </w:tblPr>
      <w:tblGrid>
        <w:gridCol w:w="1244"/>
        <w:gridCol w:w="7717"/>
        <w:gridCol w:w="65"/>
      </w:tblGrid>
      <w:tr w:rsidR="007A5804"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7A5804" w:rsidRDefault="007B7723">
            <w:pPr>
              <w:pStyle w:val="P68B1DB1-TableParagraph17"/>
              <w:spacing w:before="108"/>
              <w:ind w:left="85"/>
            </w:pPr>
            <w:r>
              <w:t xml:space="preserve">Stĺpce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7A5804" w:rsidRDefault="007B7723">
            <w:pPr>
              <w:pStyle w:val="P68B1DB1-TableParagraph17"/>
              <w:spacing w:before="108"/>
              <w:ind w:left="85" w:right="1"/>
            </w:pPr>
            <w:r>
              <w:t>Pokyny</w:t>
            </w:r>
          </w:p>
        </w:tc>
      </w:tr>
      <w:tr w:rsidR="007A5804"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7A5804" w:rsidRDefault="007B7723">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7A5804" w:rsidRDefault="007B7723">
            <w:pPr>
              <w:pStyle w:val="P68B1DB1-TableParagraph40"/>
              <w:spacing w:before="108"/>
              <w:ind w:left="85"/>
              <w:jc w:val="both"/>
              <w:rPr>
                <w:b/>
                <w:bCs/>
              </w:rPr>
            </w:pPr>
            <w:r>
              <w:t xml:space="preserve"> </w:t>
            </w:r>
            <w:r>
              <w:rPr>
                <w:b/>
              </w:rPr>
              <w:t>Č.</w:t>
            </w:r>
          </w:p>
          <w:p w14:paraId="7FE1CF17" w14:textId="77777777" w:rsidR="007A5804" w:rsidRDefault="007B7723">
            <w:pPr>
              <w:pStyle w:val="P68B1DB1-TableParagraph40"/>
              <w:spacing w:before="108"/>
              <w:ind w:left="85"/>
              <w:jc w:val="both"/>
            </w:pPr>
            <w:r>
              <w:t xml:space="preserve">Jedinečné číslo/primárny kľúč na identifikáciu riadkových položiek. </w:t>
            </w:r>
          </w:p>
        </w:tc>
      </w:tr>
      <w:tr w:rsidR="007A5804"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7A5804" w:rsidRDefault="007B7723">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7A5804" w:rsidRDefault="007B7723">
            <w:pPr>
              <w:pStyle w:val="P68B1DB1-TableParagraph40"/>
              <w:spacing w:before="108"/>
              <w:ind w:left="85"/>
              <w:jc w:val="both"/>
              <w:rPr>
                <w:b/>
                <w:bCs/>
              </w:rPr>
            </w:pPr>
            <w:r>
              <w:t xml:space="preserve"> </w:t>
            </w:r>
            <w:r>
              <w:rPr>
                <w:b/>
              </w:rPr>
              <w:t>Riadok</w:t>
            </w:r>
          </w:p>
          <w:p w14:paraId="7FE1CF1B" w14:textId="474C4148" w:rsidR="007A5804" w:rsidRDefault="007B7723">
            <w:pPr>
              <w:pStyle w:val="P68B1DB1-TableParagraph40"/>
              <w:spacing w:before="108"/>
              <w:ind w:left="85"/>
              <w:jc w:val="both"/>
            </w:pPr>
            <w:r>
              <w:t>Pre každý nástroj sa musí uviesť zosúhlasenie s kategóriami záväzkov štruktúry záväzkov v Z02.00 z vopred stanoveného zoznamu hodnôt.</w:t>
            </w:r>
          </w:p>
        </w:tc>
      </w:tr>
      <w:tr w:rsidR="007A5804"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7A5804" w:rsidRDefault="007B7723">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7A5804" w:rsidRDefault="007B7723">
            <w:pPr>
              <w:pStyle w:val="P68B1DB1-TableParagraph73"/>
              <w:spacing w:before="108"/>
              <w:ind w:left="85"/>
              <w:jc w:val="both"/>
              <w:rPr>
                <w:bCs/>
              </w:rPr>
            </w:pPr>
            <w:r>
              <w:t xml:space="preserve">Stĺpec </w:t>
            </w:r>
          </w:p>
          <w:p w14:paraId="7FE1CF1F" w14:textId="77777777" w:rsidR="007A5804" w:rsidRDefault="007B7723">
            <w:pPr>
              <w:pStyle w:val="P68B1DB1-TableParagraph40"/>
              <w:spacing w:before="108"/>
              <w:ind w:left="85"/>
              <w:jc w:val="both"/>
            </w:pPr>
            <w:r>
              <w:t>Pre každý nástroj sa zosúhlasenie s triedou protistrany v Z02.00, voči ktorej je záväzok dlžný, musí poskytnúť z vopred stanoveného zoznamu hodnôt.</w:t>
            </w:r>
          </w:p>
        </w:tc>
      </w:tr>
      <w:tr w:rsidR="007A5804"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7A5804" w:rsidRDefault="007B7723">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7A5804" w:rsidRDefault="007B7723">
            <w:pPr>
              <w:pStyle w:val="P68B1DB1-TableParagraph73"/>
              <w:spacing w:before="108"/>
              <w:ind w:left="85"/>
              <w:jc w:val="both"/>
              <w:rPr>
                <w:bCs/>
              </w:rPr>
            </w:pPr>
            <w:r>
              <w:t>Poradie v konkurznom konaní</w:t>
            </w:r>
          </w:p>
          <w:p w14:paraId="7FE1CF23" w14:textId="396478FE"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7A5804" w:rsidRDefault="007B7723">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7A5804" w:rsidRDefault="007B7723">
            <w:pPr>
              <w:pStyle w:val="P68B1DB1-TableParagraph73"/>
              <w:spacing w:before="108"/>
              <w:ind w:left="85"/>
              <w:jc w:val="both"/>
              <w:rPr>
                <w:bCs/>
              </w:rPr>
            </w:pPr>
            <w:r>
              <w:t>Identifikátor zmluvy</w:t>
            </w:r>
          </w:p>
          <w:p w14:paraId="7FE1CF27" w14:textId="5E827C31" w:rsidR="007A5804" w:rsidRDefault="007B7723">
            <w:pPr>
              <w:pStyle w:val="P68B1DB1-TableParagraph40"/>
              <w:spacing w:before="108"/>
              <w:ind w:left="85"/>
              <w:jc w:val="both"/>
            </w:pPr>
            <w:r>
              <w:t>Vykazuje sa ISIN alebo v prípade, že ISIN nie je k dispozícii, iný identifikátor zmluvy nástroja.</w:t>
            </w:r>
          </w:p>
        </w:tc>
      </w:tr>
      <w:tr w:rsidR="007A5804"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7A5804" w:rsidRDefault="007B7723">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7A5804" w:rsidRDefault="007B7723">
            <w:pPr>
              <w:pStyle w:val="P68B1DB1-TableParagraph73"/>
              <w:spacing w:before="108"/>
              <w:ind w:left="85"/>
              <w:jc w:val="both"/>
              <w:rPr>
                <w:bCs/>
              </w:rPr>
            </w:pPr>
            <w:r>
              <w:t>Názov protistrany</w:t>
            </w:r>
          </w:p>
          <w:p w14:paraId="7FE1CF2B" w14:textId="28E31BB6" w:rsidR="007A5804" w:rsidRDefault="007B7723">
            <w:pPr>
              <w:pStyle w:val="P68B1DB1-TableParagraph40"/>
              <w:spacing w:before="108"/>
              <w:ind w:left="85"/>
              <w:jc w:val="both"/>
            </w:pPr>
            <w:r>
              <w:t>Názov účtovnej jednotky protistrany záväzku.</w:t>
            </w:r>
          </w:p>
        </w:tc>
      </w:tr>
      <w:tr w:rsidR="007A5804"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7A5804" w:rsidRDefault="007B7723">
            <w:pPr>
              <w:pStyle w:val="P68B1DB1-Normal31"/>
            </w:pPr>
            <w:r>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7A5804" w:rsidRDefault="007B7723">
            <w:pPr>
              <w:pStyle w:val="P68B1DB1-TableParagraph73"/>
              <w:spacing w:before="108"/>
              <w:ind w:left="85"/>
              <w:jc w:val="both"/>
              <w:rPr>
                <w:bCs/>
              </w:rPr>
            </w:pPr>
            <w:r>
              <w:t>Identifikátor protistrany</w:t>
            </w:r>
          </w:p>
          <w:p w14:paraId="7FE1CF2F" w14:textId="5864B2BC" w:rsidR="007A5804" w:rsidRDefault="007B7723">
            <w:pPr>
              <w:pStyle w:val="P68B1DB1-TableParagraph40"/>
              <w:spacing w:before="108"/>
              <w:ind w:left="85"/>
              <w:jc w:val="both"/>
            </w:pPr>
            <w:r>
              <w:t>Jedinečný kód LEI protistrany. Ak neexistuje identifikátor LEI, jedinečný identifikátor peňažných finančných inštitúcií ECB (ID PFI) úverovej inštitúcie na použitie v vydanom RIAD. Ak nie sú k dispozícii oba takéto identifikátory, môže sa použiť interný identifikátor.</w:t>
            </w:r>
          </w:p>
          <w:p w14:paraId="7FE1CF30" w14:textId="585107E3" w:rsidR="007A5804" w:rsidRDefault="007A5804">
            <w:pPr>
              <w:pStyle w:val="TableParagraph"/>
              <w:spacing w:before="108"/>
              <w:ind w:left="85"/>
              <w:jc w:val="both"/>
              <w:rPr>
                <w:rFonts w:ascii="Times New Roman" w:eastAsia="Times New Roman" w:hAnsi="Times New Roman" w:cs="Times New Roman"/>
                <w:sz w:val="20"/>
                <w:szCs w:val="20"/>
              </w:rPr>
            </w:pPr>
          </w:p>
        </w:tc>
      </w:tr>
      <w:tr w:rsidR="007A5804"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7A5804" w:rsidRDefault="007B7723">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7A5804" w:rsidRDefault="007B7723">
            <w:pPr>
              <w:pStyle w:val="P68B1DB1-TableParagraph73"/>
              <w:spacing w:before="108"/>
              <w:ind w:left="85"/>
              <w:jc w:val="both"/>
              <w:rPr>
                <w:bCs/>
              </w:rPr>
            </w:pPr>
            <w:r>
              <w:t>Druh identifikátora</w:t>
            </w:r>
          </w:p>
          <w:p w14:paraId="7FE1CF34"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7A5804" w:rsidRDefault="007B7723">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7A5804" w:rsidRDefault="007B7723">
            <w:pPr>
              <w:pStyle w:val="P68B1DB1-TableParagraph73"/>
              <w:spacing w:before="108"/>
              <w:ind w:left="85"/>
              <w:jc w:val="both"/>
              <w:rPr>
                <w:bCs/>
              </w:rPr>
            </w:pPr>
            <w:r>
              <w:t>Vzťah s protistranou</w:t>
            </w:r>
          </w:p>
          <w:p w14:paraId="7FE1CF38" w14:textId="1D86F34C" w:rsidR="007A5804" w:rsidRDefault="007B7723">
            <w:pPr>
              <w:pStyle w:val="P68B1DB1-TableParagraph40"/>
              <w:spacing w:before="108"/>
              <w:ind w:left="85"/>
              <w:jc w:val="both"/>
            </w:pPr>
            <w:r>
              <w:t>V tomto poli sa uvádza vzťah požičiavajúcej účtovnej jednotky k vykazujúcej účtovnej jednotke. Pre toto pole sa predpokladá zoznam hodnôt: protistranou môže byť buď „priama alebo nepriama materská spoločnosť“, „priama alebo nepriama dcérska spoločnosť“ alebo „sester“.</w:t>
            </w:r>
          </w:p>
        </w:tc>
      </w:tr>
      <w:tr w:rsidR="007A5804"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7A5804" w:rsidRDefault="007B7723">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7A5804" w:rsidRDefault="007B7723">
            <w:pPr>
              <w:pStyle w:val="P68B1DB1-TableParagraph73"/>
              <w:spacing w:before="108"/>
              <w:ind w:left="85"/>
              <w:jc w:val="both"/>
              <w:rPr>
                <w:bCs/>
              </w:rPr>
            </w:pPr>
            <w:r>
              <w:t>Druh zodpovednosti</w:t>
            </w:r>
          </w:p>
          <w:p w14:paraId="7FE1CF3C" w14:textId="07B04D08" w:rsidR="007A5804" w:rsidRDefault="007B7723">
            <w:pPr>
              <w:pStyle w:val="P68B1DB1-TableParagraph40"/>
              <w:spacing w:before="108"/>
              <w:ind w:left="85"/>
              <w:jc w:val="both"/>
            </w:pPr>
            <w:r>
              <w:t>V prípade záväzkov, ktoré sú vykázané v položke Z02.00 – c0020 – riadok „r0210 – Záväzky voči iným subjektom skupiny, ktorej krízová situácia sa rieši“, uveďte druh záväzku, ktorý by bol vykázaný v Z02.00, ak by sa záväzok nepovažoval za vylúčený.</w:t>
            </w:r>
          </w:p>
        </w:tc>
      </w:tr>
      <w:tr w:rsidR="007A5804"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7A5804" w:rsidRDefault="007B7723">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7A5804" w:rsidRDefault="007B7723">
            <w:pPr>
              <w:pStyle w:val="P68B1DB1-TableParagraph73"/>
              <w:spacing w:before="108"/>
              <w:ind w:left="85"/>
              <w:jc w:val="both"/>
              <w:rPr>
                <w:bCs/>
              </w:rPr>
            </w:pPr>
            <w:r>
              <w:t>Rozhodné právo</w:t>
            </w:r>
          </w:p>
          <w:p w14:paraId="7FE1CF40" w14:textId="2C49BDFC" w:rsidR="007A5804" w:rsidRDefault="007B7723">
            <w:pPr>
              <w:pStyle w:val="P68B1DB1-TableParagraph40"/>
              <w:spacing w:before="108"/>
              <w:ind w:left="85"/>
              <w:jc w:val="both"/>
            </w:pPr>
            <w:r>
              <w:t xml:space="preserve">Dvojmiestny abecedný kód ISO 3166 – 1 krajiny, ktorej právnym poriadkom sa nástroj riadi (použite kód ISO 3166 – 2 v prípade, že je relevantné právo správneho celku, napr. „US-NY“). </w:t>
            </w:r>
            <w:r>
              <w:lastRenderedPageBreak/>
              <w:t xml:space="preserve">Ak sa zmluva spravuje právom viac ako jednej krajiny, vykazuje sa krajina, ktorej právny poriadok má najvyšší význam pre uznanie právomocí na odpísanie a konverziu.  </w:t>
            </w:r>
          </w:p>
        </w:tc>
      </w:tr>
      <w:tr w:rsidR="007A5804"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7A5804" w:rsidRDefault="007B7723">
            <w:pPr>
              <w:pStyle w:val="P68B1DB1-Normal31"/>
            </w:pPr>
            <w:r>
              <w:lastRenderedPageBreak/>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7A5804" w:rsidRDefault="007B7723">
            <w:pPr>
              <w:pStyle w:val="P68B1DB1-TableParagraph73"/>
              <w:spacing w:before="108"/>
              <w:ind w:left="85"/>
              <w:jc w:val="both"/>
              <w:rPr>
                <w:bCs/>
              </w:rPr>
            </w:pPr>
            <w:r>
              <w:t xml:space="preserve">Ak ide o právo tretej krajiny, zmluvné uznanie </w:t>
            </w:r>
          </w:p>
          <w:p w14:paraId="7FE1CF45" w14:textId="77777777" w:rsidR="007A5804" w:rsidRDefault="007B7723">
            <w:pPr>
              <w:pStyle w:val="P68B1DB1-TableParagraph40"/>
              <w:spacing w:before="108"/>
              <w:ind w:left="85"/>
              <w:jc w:val="both"/>
            </w:pPr>
            <w:r>
              <w:t xml:space="preserve">Určenie zmluvných ustanovení na uznanie právomocí záchrany pomocou vnútorných zdrojov v súlade s článkom 55 smernice o ozdravení a riešení krízových situácií bánk, buď </w:t>
            </w:r>
          </w:p>
          <w:p w14:paraId="7FE1CF46" w14:textId="77777777" w:rsidR="007A5804" w:rsidRDefault="007B7723">
            <w:pPr>
              <w:pStyle w:val="P68B1DB1-TableParagraph40"/>
              <w:spacing w:before="108"/>
              <w:ind w:left="85"/>
              <w:jc w:val="both"/>
            </w:pPr>
            <w:r>
              <w:t>„Áno, podporené právnym stanoviskom“ = záväzok zahŕňa doložku o uznaní záchrany pomocou vnútorných zdrojov v súlade s článkom 55 smernice o ozdravení a riešení krízových situácií bánk, ktorá je podporená právnym stanoviskom;</w:t>
            </w:r>
          </w:p>
          <w:p w14:paraId="7FE1CF47" w14:textId="77777777" w:rsidR="007A5804" w:rsidRDefault="007B7723">
            <w:pPr>
              <w:pStyle w:val="P68B1DB1-TableParagraph40"/>
              <w:spacing w:before="108"/>
              <w:ind w:left="85"/>
              <w:jc w:val="both"/>
            </w:pPr>
            <w:r>
              <w:t>„Áno, nepodporené právnym stanoviskom“ = záväzok zahŕňa doložku o uznaní záchrany pomocou vnútorných zdrojov v súlade s článkom 55 smernice o ozdravení a riešení krízových situácií bánk, ktorá v súčasnosti nie je podporená právnym stanoviskom;</w:t>
            </w:r>
          </w:p>
          <w:p w14:paraId="7FE1CF48" w14:textId="7427A49E" w:rsidR="007A5804" w:rsidRDefault="007B7723">
            <w:pPr>
              <w:pStyle w:val="P68B1DB1-TableParagraph40"/>
              <w:spacing w:before="108"/>
              <w:ind w:left="85"/>
              <w:jc w:val="both"/>
            </w:pPr>
            <w:r>
              <w:t>„Nie“ = záväzok nezahŕňa doložku o uznaní záchrany pomocou vnútorných zdrojov;</w:t>
            </w:r>
          </w:p>
          <w:p w14:paraId="7FE1CF49" w14:textId="2FE33A69" w:rsidR="007A5804" w:rsidRDefault="007B7723">
            <w:pPr>
              <w:pStyle w:val="P68B1DB1-TableParagraph40"/>
              <w:spacing w:before="108"/>
              <w:ind w:left="85"/>
              <w:jc w:val="both"/>
            </w:pPr>
            <w:r>
              <w:t>„Neuplatňuje sa“.  z vopred zostaveného zoznamu.</w:t>
            </w:r>
          </w:p>
        </w:tc>
      </w:tr>
      <w:tr w:rsidR="007A5804" w14:paraId="7FE1CF4E" w14:textId="77777777">
        <w:tc>
          <w:tcPr>
            <w:tcW w:w="1244" w:type="dxa"/>
            <w:vAlign w:val="center"/>
          </w:tcPr>
          <w:p w14:paraId="7FE1CF4B" w14:textId="77777777" w:rsidR="007A5804" w:rsidRDefault="007B7723">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7A5804" w:rsidRDefault="007B7723">
            <w:pPr>
              <w:pStyle w:val="P68B1DB1-TableParagraph73"/>
              <w:spacing w:before="108"/>
              <w:ind w:left="85"/>
              <w:jc w:val="both"/>
              <w:rPr>
                <w:bCs/>
              </w:rPr>
            </w:pPr>
            <w:r>
              <w:t xml:space="preserve">Nesplatená suma istiny </w:t>
            </w:r>
          </w:p>
          <w:p w14:paraId="7FE1CF4D" w14:textId="1F7D6035" w:rsidR="007A5804" w:rsidRDefault="007B7723">
            <w:pPr>
              <w:pStyle w:val="P68B1DB1-TableParagraph40"/>
              <w:spacing w:before="108"/>
              <w:ind w:left="85"/>
              <w:jc w:val="both"/>
            </w:pPr>
            <w:r>
              <w:t>Nevyplatená hodnota istiny.</w:t>
            </w:r>
          </w:p>
        </w:tc>
      </w:tr>
      <w:tr w:rsidR="007A5804"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7A5804" w:rsidRDefault="007B7723">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7A5804" w:rsidRDefault="007B7723">
            <w:pPr>
              <w:pStyle w:val="P68B1DB1-TableParagraph73"/>
              <w:spacing w:before="108"/>
              <w:ind w:left="85"/>
              <w:jc w:val="both"/>
              <w:rPr>
                <w:bCs/>
              </w:rPr>
            </w:pPr>
            <w:r>
              <w:t>Vzniknutý úrok</w:t>
            </w:r>
          </w:p>
          <w:p w14:paraId="7FE1CF51" w14:textId="6BF1C45C" w:rsidR="007A5804" w:rsidRDefault="007B7723">
            <w:pPr>
              <w:pStyle w:val="P68B1DB1-TableParagraph40"/>
              <w:spacing w:before="108"/>
              <w:ind w:left="85"/>
              <w:jc w:val="both"/>
            </w:pPr>
            <w:r>
              <w:t>Nesplatený naakumulovaný úrok zo záväzku.</w:t>
            </w:r>
          </w:p>
        </w:tc>
      </w:tr>
      <w:tr w:rsidR="007A5804"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7A5804" w:rsidRDefault="007B7723">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7A5804" w:rsidRDefault="007B7723">
            <w:pPr>
              <w:pStyle w:val="P68B1DB1-TableParagraph73"/>
              <w:spacing w:before="108"/>
              <w:ind w:left="85"/>
              <w:jc w:val="both"/>
              <w:rPr>
                <w:bCs/>
              </w:rPr>
            </w:pPr>
            <w:r>
              <w:t>Mena</w:t>
            </w:r>
          </w:p>
          <w:p w14:paraId="7FE1CF55" w14:textId="7419E4E6" w:rsidR="007A5804" w:rsidRDefault="007B7723">
            <w:pPr>
              <w:pStyle w:val="P68B1DB1-TableParagraph40"/>
              <w:spacing w:before="108"/>
              <w:ind w:left="85"/>
              <w:jc w:val="both"/>
            </w:pPr>
            <w:r>
              <w:t>Mena záväzku v súlade s jeho trojpísmenovým kódom ISO 4217.</w:t>
            </w:r>
          </w:p>
        </w:tc>
      </w:tr>
      <w:tr w:rsidR="007A5804"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7A5804" w:rsidRDefault="007B7723">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7A5804" w:rsidRDefault="007B7723">
            <w:pPr>
              <w:pStyle w:val="P68B1DB1-TableParagraph73"/>
              <w:spacing w:before="108"/>
              <w:ind w:left="85"/>
              <w:jc w:val="both"/>
              <w:rPr>
                <w:bCs/>
              </w:rPr>
            </w:pPr>
            <w:r>
              <w:t>Dátum vydania</w:t>
            </w:r>
          </w:p>
          <w:p w14:paraId="7FE1CF59" w14:textId="77777777" w:rsidR="007A5804" w:rsidRDefault="007B7723">
            <w:pPr>
              <w:pStyle w:val="P68B1DB1-TableParagraph40"/>
              <w:spacing w:before="108"/>
              <w:ind w:left="85"/>
              <w:jc w:val="both"/>
            </w:pPr>
            <w:r>
              <w:t>Dátum pôvodnej emisie záväzku. V prípade transakcií financovania prostredníctvom cenných papierov, ktoré podliehajú dohode o vzájomnom započítavaní a vykazujú sa ako súbor vzájomného započítavania, sa ako dátum emisie môže použiť dátum vykazovania.</w:t>
            </w:r>
          </w:p>
        </w:tc>
      </w:tr>
      <w:tr w:rsidR="007A5804"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7A5804" w:rsidRDefault="007B7723">
            <w:pPr>
              <w:pStyle w:val="P68B1DB1-Normal31"/>
            </w:pPr>
            <w:r>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7A5804" w:rsidRDefault="007B7723">
            <w:pPr>
              <w:pStyle w:val="P68B1DB1-TableParagraph73"/>
              <w:spacing w:before="108"/>
              <w:ind w:left="85"/>
              <w:jc w:val="both"/>
              <w:rPr>
                <w:bCs/>
              </w:rPr>
            </w:pPr>
            <w:r>
              <w:t>Najskorší dátum vyskladnenia</w:t>
            </w:r>
          </w:p>
          <w:p w14:paraId="7FE1CF5D" w14:textId="206F36C8" w:rsidR="007A5804" w:rsidRDefault="007B7723">
            <w:pPr>
              <w:pStyle w:val="P68B1DB1-TableParagraph40"/>
              <w:spacing w:before="108"/>
              <w:ind w:left="85"/>
              <w:jc w:val="both"/>
            </w:pPr>
            <w:r>
              <w:t>Ak veriteľ má možnosť požiadať o predčasné splatenie alebo sa zmluvne predpokladajú podmienky predčasného splatenia záväzku, uveďte najskorší dátum. Ak sa predčasné splatenie týka len časti záväzku (napr. predčasné splatenie 50 % nominálnej hodnoty), rozčlení sa záväzok tak, aby sa zohľadnila táto doložka o čiastočnom predčasnom splatení. V prípade transakcií financovania prostredníctvom cenných papierov, ktoré podliehajú dohode o vzájomnom započítavaní a vykazujú sa ako súbor vzájomného započítavania, použite deň nasledujúci po dátume vykazovania.</w:t>
            </w:r>
          </w:p>
        </w:tc>
      </w:tr>
      <w:tr w:rsidR="007A5804"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7A5804" w:rsidRDefault="007B7723">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7A5804" w:rsidRDefault="007B7723">
            <w:pPr>
              <w:pStyle w:val="P68B1DB1-TableParagraph73"/>
              <w:spacing w:before="108"/>
              <w:ind w:left="85"/>
              <w:jc w:val="both"/>
              <w:rPr>
                <w:bCs/>
              </w:rPr>
            </w:pPr>
            <w:r>
              <w:t>Zákonný dátum splatnosti</w:t>
            </w:r>
          </w:p>
          <w:p w14:paraId="7FE1CF61" w14:textId="6595476F" w:rsidR="007A5804" w:rsidRDefault="007B7723">
            <w:pPr>
              <w:pStyle w:val="P68B1DB1-TableParagraph40"/>
              <w:spacing w:before="108"/>
              <w:ind w:left="85"/>
              <w:jc w:val="both"/>
            </w:pPr>
            <w:r>
              <w:t>Dátum zákonnej konečnej splatnosti záväzku. V prípade večných cenných papierov uveďte „2099 – 01 – 31“.</w:t>
            </w:r>
          </w:p>
          <w:p w14:paraId="7FE1CF62" w14:textId="77777777" w:rsidR="007A5804" w:rsidRDefault="007B7723">
            <w:pPr>
              <w:pStyle w:val="P68B1DB1-TableParagraph40"/>
              <w:spacing w:before="108"/>
              <w:ind w:left="85"/>
              <w:jc w:val="both"/>
            </w:pPr>
            <w:r>
              <w:t>V prípade transakcií financovania prostredníctvom cenných papierov, ktoré podliehajú dohode o vzájomnom započítavaní a vykazujú sa ako súbor vzájomného započítavania, použite deň nasledujúci po dátume vykazovania.</w:t>
            </w:r>
          </w:p>
        </w:tc>
      </w:tr>
      <w:tr w:rsidR="007A5804"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7A5804" w:rsidRDefault="007B7723">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7A5804" w:rsidRDefault="007B7723">
            <w:pPr>
              <w:pStyle w:val="P68B1DB1-TableParagraph73"/>
              <w:spacing w:before="108"/>
              <w:ind w:left="85"/>
              <w:jc w:val="both"/>
              <w:rPr>
                <w:bCs/>
              </w:rPr>
            </w:pPr>
            <w:r>
              <w:t>Výška záložného práva, záložného práva alebo kolaterálu</w:t>
            </w:r>
          </w:p>
          <w:p w14:paraId="7FE1CF66" w14:textId="77777777" w:rsidR="007A5804" w:rsidRDefault="007B7723">
            <w:pPr>
              <w:pStyle w:val="P68B1DB1-TableParagraph40"/>
              <w:spacing w:before="108"/>
              <w:ind w:left="85"/>
              <w:jc w:val="both"/>
            </w:pPr>
            <w:r>
              <w:t>Ak je záväzok zabezpečený záložným právom, záložným právom alebo kolaterálom, uvedie sa hrubá hodnota kolaterálu. V opačnom prípade sa v prípade nezabezpečených záväzkov táto kategória vykazuje ako nulová. Táto suma určí kolateralizovanú a prípadne nezabezpečenú časť akéhokoľvek zabezpečeného záväzku. V prípade skupín kolaterálov zabezpečujúcich viacero riadkových položiek určiť celkový ukazovateľ krytia a uplatniť pomerným dielom na všetky riadkové položky kryté touto skupinou.</w:t>
            </w:r>
          </w:p>
        </w:tc>
      </w:tr>
      <w:tr w:rsidR="007A5804"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7A5804" w:rsidRDefault="007B7723">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7A5804" w:rsidRDefault="007B7723">
            <w:pPr>
              <w:pStyle w:val="P68B1DB1-TableParagraph73"/>
              <w:spacing w:before="108"/>
              <w:ind w:left="85"/>
              <w:jc w:val="both"/>
              <w:rPr>
                <w:bCs/>
              </w:rPr>
            </w:pPr>
            <w:r>
              <w:t>Ručiteľ, ak sa uplatňuje</w:t>
            </w:r>
          </w:p>
          <w:p w14:paraId="7FE1CF6A" w14:textId="77777777" w:rsidR="007A5804" w:rsidRDefault="007B7723">
            <w:pPr>
              <w:pStyle w:val="P68B1DB1-TableParagraph40"/>
              <w:spacing w:before="108"/>
              <w:ind w:left="85"/>
              <w:jc w:val="both"/>
            </w:pPr>
            <w:r>
              <w:t xml:space="preserve">Ak sú za nástroj poskytnuté záruky, uveďte podrobnú identifikáciu ručiteľa (kód LEI, kód </w:t>
            </w:r>
            <w:r>
              <w:lastRenderedPageBreak/>
              <w:t>krajiny ISO 3166 – 1 alfa-2 pre verejnú správu atď.). Ak sú prítomní viacerí ručiteľi, uveďte všetky identifikátory oddelené bodkočiarkou.</w:t>
            </w:r>
          </w:p>
        </w:tc>
      </w:tr>
      <w:tr w:rsidR="007A5804"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7A5804" w:rsidRDefault="007B7723">
            <w:pPr>
              <w:pStyle w:val="P68B1DB1-Normal31"/>
            </w:pPr>
            <w:r>
              <w:lastRenderedPageBreak/>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7A5804" w:rsidRDefault="007B7723">
            <w:pPr>
              <w:pStyle w:val="P68B1DB1-TableParagraph73"/>
              <w:spacing w:before="108"/>
              <w:ind w:left="85"/>
              <w:jc w:val="both"/>
              <w:rPr>
                <w:bCs/>
              </w:rPr>
            </w:pPr>
            <w:r>
              <w:t>Suma spĺňajúca podmienky oprávnenosti MREL</w:t>
            </w:r>
          </w:p>
          <w:p w14:paraId="7FE1CF6F" w14:textId="4E658BD3" w:rsidR="007A5804" w:rsidRDefault="007B7723">
            <w:pPr>
              <w:pStyle w:val="P68B1DB1-TableParagraph40"/>
              <w:spacing w:before="108"/>
              <w:ind w:left="85"/>
              <w:jc w:val="both"/>
            </w:pPr>
            <w:r>
              <w:t xml:space="preserve">Suma vlastných zdrojov a oprávnených záväzkov, ktoré sa započítavajú do požiadavky stanovenej v súlade s článkom 45 ods. 1 smernice 2014/59/EÚ. </w:t>
            </w:r>
          </w:p>
        </w:tc>
      </w:tr>
      <w:tr w:rsidR="007A5804"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7A5804" w:rsidRDefault="007B7723">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7A5804" w:rsidRDefault="007B7723">
            <w:pPr>
              <w:pStyle w:val="P68B1DB1-TableParagraph73"/>
              <w:spacing w:before="108"/>
              <w:ind w:left="85"/>
              <w:jc w:val="both"/>
              <w:rPr>
                <w:bCs/>
              </w:rPr>
            </w:pPr>
            <w:r>
              <w:t>Kvalifikovanosť ako vlastné zdroje</w:t>
            </w:r>
          </w:p>
          <w:p w14:paraId="7FE1CF73" w14:textId="52056531" w:rsidR="007A5804" w:rsidRDefault="007B7723">
            <w:pPr>
              <w:pStyle w:val="P68B1DB1-TableParagraph40"/>
              <w:spacing w:before="108"/>
              <w:ind w:left="85"/>
              <w:jc w:val="both"/>
            </w:pPr>
            <w:r>
              <w:t>Uveďte, či a na akej úrovni je nástroj zahrnutý do vlastných zdrojov, spolu s informáciami o režime postupného ukončovania a opatreniach na zachovanie predchádzajúceho stavu. Hodnota môže byť „Nie“, „čiastočne AT1, T1 a T2“, „T2 v postupnom ukončovaní“, „T2 zachránený“ alebo „CET1“ z vopred zostaveného zoznamu.</w:t>
            </w:r>
          </w:p>
          <w:p w14:paraId="7FE1CF74" w14:textId="77777777" w:rsidR="007A5804" w:rsidRDefault="007B7723">
            <w:pPr>
              <w:pStyle w:val="P68B1DB1-TableParagraph40"/>
              <w:spacing w:before="108"/>
              <w:ind w:left="85"/>
              <w:jc w:val="both"/>
            </w:pPr>
            <w:r>
              <w:t>V zozname opcií sa pojem „postupné ukončovanie“ vzťahuje na obdobie piatich rokov pred splatnosťou akéhokoľvek daného nástroja T2, počas ktorého existuje len primerané uznanie založené na čase zostávajúcom do splatnosti. „Zachované v predchádzajúcom stave“ sa vzťahuje na akékoľvek prechodné opatrenie uplatniteľné na nástroj T2 okrem „postupného vyraďovania“. Počas tohto „zachovania predchádzajúceho stavu“ môže byť uznanie úplné alebo čiastočné.</w:t>
            </w:r>
          </w:p>
          <w:p w14:paraId="7FE1CF75" w14:textId="77777777" w:rsidR="007A5804" w:rsidRDefault="007A5804">
            <w:pPr>
              <w:pStyle w:val="TableParagraph"/>
              <w:spacing w:before="108"/>
              <w:ind w:left="85"/>
              <w:jc w:val="both"/>
              <w:rPr>
                <w:rFonts w:ascii="Times New Roman" w:eastAsia="Times New Roman" w:hAnsi="Times New Roman" w:cs="Times New Roman"/>
                <w:sz w:val="20"/>
                <w:szCs w:val="20"/>
              </w:rPr>
            </w:pPr>
          </w:p>
        </w:tc>
      </w:tr>
      <w:tr w:rsidR="007A5804"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7A5804" w:rsidRDefault="007B7723">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7A5804" w:rsidRDefault="007B7723">
            <w:pPr>
              <w:pStyle w:val="P68B1DB1-TableParagraph73"/>
              <w:spacing w:before="108"/>
              <w:ind w:left="85"/>
              <w:jc w:val="both"/>
              <w:rPr>
                <w:bCs/>
              </w:rPr>
            </w:pPr>
            <w:r>
              <w:t>Suma kvalifikovaná ako vlastné zdroje</w:t>
            </w:r>
          </w:p>
          <w:p w14:paraId="7FE1CF79" w14:textId="28EFFBCF" w:rsidR="007A5804" w:rsidRDefault="007B7723">
            <w:pPr>
              <w:pStyle w:val="P68B1DB1-TableParagraph40"/>
              <w:spacing w:before="108"/>
              <w:ind w:left="85"/>
              <w:jc w:val="both"/>
            </w:pPr>
            <w:r>
              <w:t>Hodnota nástroja kvalifikovaného ako vlastné zdroje.</w:t>
            </w:r>
          </w:p>
        </w:tc>
      </w:tr>
    </w:tbl>
    <w:p w14:paraId="7FE1CF7B" w14:textId="77777777" w:rsidR="007A5804" w:rsidRDefault="007A5804">
      <w:pPr>
        <w:pStyle w:val="Instructionsberschrift2"/>
        <w:ind w:left="357"/>
        <w:rPr>
          <w:rFonts w:ascii="Times New Roman" w:eastAsia="Calibri" w:hAnsi="Times New Roman" w:cs="Times New Roman"/>
          <w:szCs w:val="20"/>
        </w:rPr>
      </w:pPr>
    </w:p>
    <w:p w14:paraId="7FE1CF7C" w14:textId="78CE26C4" w:rsidR="007A5804" w:rsidRDefault="007B7723">
      <w:pPr>
        <w:pStyle w:val="Instructionsberschrift2"/>
        <w:numPr>
          <w:ilvl w:val="1"/>
          <w:numId w:val="49"/>
        </w:numPr>
        <w:spacing w:before="0"/>
        <w:ind w:left="357" w:hanging="357"/>
        <w:rPr>
          <w:rFonts w:ascii="Times New Roman" w:hAnsi="Times New Roman" w:cs="Times New Roman"/>
        </w:rPr>
      </w:pPr>
      <w:bookmarkStart w:id="244" w:name="_Toc208245271"/>
      <w:r>
        <w:rPr>
          <w:rFonts w:ascii="Times New Roman" w:hAnsi="Times New Roman" w:cs="Times New Roman"/>
          <w:color w:val="000000" w:themeColor="text1"/>
        </w:rPr>
        <w:t xml:space="preserve">Z 12.00 – </w:t>
      </w:r>
      <w:r>
        <w:rPr>
          <w:rFonts w:ascii="Times New Roman" w:eastAsia="Cambria" w:hAnsi="Times New Roman" w:cs="Times New Roman"/>
        </w:rPr>
        <w:t>Cenné papiere (vrátane nástrojov CET1, AT1 a Tier 2; okrem vnútroskupinových)</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7A5804" w:rsidRDefault="007B7723">
      <w:pPr>
        <w:pStyle w:val="P68B1DB1-Numberedtitlelevel372"/>
      </w:pPr>
      <w:r>
        <w:t>Všeobecné poznámky</w:t>
      </w:r>
    </w:p>
    <w:p w14:paraId="7FE1CF7F" w14:textId="048C4053" w:rsidR="007A5804" w:rsidRDefault="007B7723">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t>Cenný papier je zameniteľný, obchodovateľný finančný nástroj, ktorý predstavuje finančnú hodnotu bez ohľadu na jeho skutočné špecifiká (napr. tieto nástroje sú zabezpečené alebo nezabezpečené). Táto tabuľka zahŕňa aj nástroje vlastných zdrojov</w:t>
      </w:r>
      <w:r>
        <w:rPr>
          <w:rStyle w:val="FootnoteReference"/>
          <w:rFonts w:eastAsia="Cambria" w:cs="Times New Roman"/>
        </w:rPr>
        <w:footnoteReference w:id="36"/>
      </w:r>
      <w:r>
        <w:rPr>
          <w:rFonts w:ascii="Times New Roman" w:eastAsia="Cambria" w:hAnsi="Times New Roman" w:cs="Times New Roman"/>
          <w:sz w:val="20"/>
          <w:szCs w:val="20"/>
        </w:rPr>
        <w:t>. Na účely kapitálových nástrojov CET1 sa zostatková pohľadávka z akcií na celkovom účtovnom vlastnom imaní (podľa vymedzenia v Z 02.00-r0511) vykazuje na úrovni nástroja.</w:t>
      </w:r>
    </w:p>
    <w:p w14:paraId="7FE1CF81" w14:textId="262B713C" w:rsidR="007A5804" w:rsidRDefault="007B7723">
      <w:pPr>
        <w:pStyle w:val="P68B1DB1-InstructionsText286"/>
        <w:numPr>
          <w:ilvl w:val="2"/>
          <w:numId w:val="209"/>
        </w:numPr>
        <w:spacing w:before="0"/>
        <w:ind w:left="1134"/>
      </w:pPr>
      <w:r>
        <w:t>Ak identifikátor veriteľa (stĺpec 0210) nie je k dispozícii (napr. v prípade nástrojov obchodovaných na platformách), každý riadok sa vykazuje na súhrnnej úrovni, pokiaľ ide o toto pole.</w:t>
      </w:r>
    </w:p>
    <w:p w14:paraId="7FE1CF83" w14:textId="77777777" w:rsidR="007A5804" w:rsidRDefault="007B7723">
      <w:pPr>
        <w:pStyle w:val="P68B1DB1-InstructionsText286"/>
        <w:numPr>
          <w:ilvl w:val="2"/>
          <w:numId w:val="209"/>
        </w:numPr>
        <w:spacing w:before="0"/>
        <w:ind w:left="1134"/>
      </w:pPr>
      <w:r>
        <w:t>Na účely tejto tabuľky sa záväzky vykazujú v riadkoch na úrovni podrobnosti vymedzenej v požadovaných poliach.</w:t>
      </w:r>
    </w:p>
    <w:p w14:paraId="7FE1CF86" w14:textId="77777777" w:rsidR="007A5804" w:rsidRDefault="007A5804">
      <w:pPr>
        <w:spacing w:line="276" w:lineRule="auto"/>
        <w:rPr>
          <w:rFonts w:ascii="Times New Roman" w:hAnsi="Times New Roman" w:cs="Times New Roman"/>
          <w:sz w:val="20"/>
          <w:szCs w:val="20"/>
        </w:rPr>
      </w:pPr>
    </w:p>
    <w:p w14:paraId="7FE1CF87" w14:textId="77777777" w:rsidR="007A5804" w:rsidRDefault="007B7723">
      <w:pPr>
        <w:pStyle w:val="P68B1DB1-Numberedtitlelevel372"/>
      </w:pPr>
      <w:r>
        <w:t>Pokyny týkajúce sa konkrétnych pozícií</w:t>
      </w:r>
    </w:p>
    <w:p w14:paraId="7FE1CF88" w14:textId="77777777" w:rsidR="007A5804" w:rsidRDefault="007A5804">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7A5804"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7A5804" w:rsidRDefault="007B7723">
            <w:pPr>
              <w:pStyle w:val="P68B1DB1-TableParagraph17"/>
              <w:spacing w:before="108"/>
              <w:ind w:left="85"/>
            </w:pPr>
            <w:r>
              <w:t>Stĺpce</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7A5804" w:rsidRDefault="007B7723">
            <w:pPr>
              <w:pStyle w:val="P68B1DB1-TableParagraph17"/>
              <w:spacing w:before="108"/>
              <w:ind w:left="85" w:right="1"/>
            </w:pPr>
            <w:r>
              <w:t>Pokyny</w:t>
            </w:r>
          </w:p>
        </w:tc>
      </w:tr>
      <w:tr w:rsidR="007A5804"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7A5804" w:rsidRDefault="007B7723">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7A5804" w:rsidRDefault="007B7723">
            <w:pPr>
              <w:pStyle w:val="P68B1DB1-TableParagraph40"/>
              <w:spacing w:before="108"/>
              <w:ind w:left="85"/>
              <w:jc w:val="both"/>
              <w:rPr>
                <w:b/>
                <w:bCs/>
              </w:rPr>
            </w:pPr>
            <w:r>
              <w:t xml:space="preserve"> </w:t>
            </w:r>
            <w:r>
              <w:rPr>
                <w:b/>
              </w:rPr>
              <w:t>Č.</w:t>
            </w:r>
          </w:p>
          <w:p w14:paraId="7FE1CF8E" w14:textId="77777777" w:rsidR="007A5804" w:rsidRDefault="007B7723">
            <w:pPr>
              <w:pStyle w:val="P68B1DB1-TableParagraph40"/>
              <w:spacing w:before="108"/>
              <w:ind w:left="85"/>
              <w:jc w:val="both"/>
            </w:pPr>
            <w:r>
              <w:t>Jedinečné číslo/primárny kľúč na identifikáciu riadkových položiek.</w:t>
            </w:r>
          </w:p>
        </w:tc>
      </w:tr>
      <w:tr w:rsidR="007A5804"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7A5804" w:rsidRDefault="007B7723">
            <w:pPr>
              <w:pStyle w:val="P68B1DB1-Normal31"/>
            </w:pPr>
            <w:r>
              <w:lastRenderedPageBreak/>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7A5804" w:rsidRDefault="007B7723">
            <w:pPr>
              <w:pStyle w:val="P68B1DB1-TableParagraph73"/>
              <w:spacing w:before="108"/>
              <w:ind w:left="85"/>
              <w:jc w:val="both"/>
              <w:rPr>
                <w:bCs/>
              </w:rPr>
            </w:pPr>
            <w:r>
              <w:t>Riadok</w:t>
            </w:r>
          </w:p>
          <w:p w14:paraId="7FE1CF92" w14:textId="771261C9" w:rsidR="007A5804" w:rsidRDefault="007B7723">
            <w:pPr>
              <w:pStyle w:val="P68B1DB1-TableParagraph40"/>
              <w:spacing w:before="108"/>
              <w:ind w:left="85"/>
              <w:jc w:val="both"/>
            </w:pPr>
            <w:r>
              <w:t>Pre každý vykazovaný riadok sa musí uviesť zosúhlasenie s kategóriami záväzkov štruktúry záväzkov v Z02.00 na úrovni splatnosti z vopred stanoveného zoznamu hodnôt.</w:t>
            </w:r>
          </w:p>
        </w:tc>
      </w:tr>
      <w:tr w:rsidR="007A5804"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7A5804" w:rsidRDefault="007B7723">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7A5804" w:rsidRDefault="007B7723">
            <w:pPr>
              <w:pStyle w:val="P68B1DB1-TableParagraph73"/>
              <w:spacing w:before="108"/>
              <w:ind w:left="85"/>
              <w:jc w:val="both"/>
              <w:rPr>
                <w:bCs/>
              </w:rPr>
            </w:pPr>
            <w:r>
              <w:t xml:space="preserve">Stĺpec </w:t>
            </w:r>
          </w:p>
          <w:p w14:paraId="7FE1CF96" w14:textId="68A01AA0" w:rsidR="007A5804" w:rsidRDefault="007B7723">
            <w:pPr>
              <w:pStyle w:val="P68B1DB1-TableParagraph40"/>
              <w:spacing w:before="108"/>
              <w:ind w:left="85"/>
              <w:jc w:val="both"/>
            </w:pPr>
            <w:r>
              <w:t>Pre každý ohlásený riadok sa zosúhlasenie s triedou protistrany v položke,02.00, voči ktorej je záväzok dlžný, musí poskytnúť z vopred stanoveného zoznamu hodnôt.</w:t>
            </w:r>
          </w:p>
        </w:tc>
      </w:tr>
      <w:tr w:rsidR="007A5804"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7A5804" w:rsidRDefault="007B7723">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7A5804" w:rsidRDefault="007B7723">
            <w:pPr>
              <w:pStyle w:val="P68B1DB1-TableParagraph40"/>
              <w:spacing w:before="108"/>
              <w:ind w:left="85"/>
              <w:jc w:val="both"/>
              <w:rPr>
                <w:b/>
                <w:bCs/>
              </w:rPr>
            </w:pPr>
            <w:r>
              <w:t xml:space="preserve"> </w:t>
            </w:r>
            <w:r>
              <w:rPr>
                <w:b/>
              </w:rPr>
              <w:t>Postavenie v konkurznom konaní</w:t>
            </w:r>
          </w:p>
          <w:p w14:paraId="7FE1CF9A" w14:textId="33768518" w:rsidR="007A5804" w:rsidRDefault="007B7723">
            <w:pPr>
              <w:pStyle w:val="P68B1DB1-TableParagraph40"/>
              <w:spacing w:before="108"/>
              <w:ind w:left="85"/>
              <w:jc w:val="both"/>
            </w:pPr>
            <w:r>
              <w:t xml:space="preserve">Postavenie v konkurznom konaní je jedným z postavení zaradených do poradia v konkurznom konaní, ktoré uverejnil orgán pre riešenie krízových situácií danej jurisdikcie. </w:t>
            </w:r>
          </w:p>
        </w:tc>
      </w:tr>
      <w:tr w:rsidR="007A5804"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7A5804" w:rsidRDefault="007B7723">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7A5804" w:rsidRDefault="007B7723">
            <w:pPr>
              <w:pStyle w:val="P68B1DB1-TableParagraph73"/>
              <w:spacing w:before="108"/>
              <w:ind w:left="85"/>
              <w:jc w:val="both"/>
              <w:rPr>
                <w:bCs/>
              </w:rPr>
            </w:pPr>
            <w:r>
              <w:t>ISIN</w:t>
            </w:r>
          </w:p>
          <w:p w14:paraId="7FE1CF9E" w14:textId="02C8C7D3" w:rsidR="007A5804" w:rsidRDefault="007B7723">
            <w:pPr>
              <w:pStyle w:val="P68B1DB1-TableParagraph40"/>
              <w:spacing w:before="108"/>
              <w:ind w:left="85"/>
              <w:jc w:val="both"/>
            </w:pPr>
            <w:r>
              <w:t>Vykazuje sa ISIN alebo v prípade, že ISIN nie je k dispozícii, iný identifikátor zmluvy nástroja.</w:t>
            </w:r>
          </w:p>
        </w:tc>
      </w:tr>
      <w:tr w:rsidR="007A5804"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7A5804" w:rsidRDefault="007B7723">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7A5804" w:rsidRDefault="007B7723">
            <w:pPr>
              <w:pStyle w:val="P68B1DB1-TableParagraph73"/>
              <w:spacing w:before="108"/>
              <w:ind w:left="85"/>
              <w:jc w:val="both"/>
              <w:rPr>
                <w:bCs/>
              </w:rPr>
            </w:pPr>
            <w:r>
              <w:t xml:space="preserve">Druh nástroja  </w:t>
            </w:r>
          </w:p>
          <w:p w14:paraId="7FE1CFA2" w14:textId="77777777" w:rsidR="007A5804" w:rsidRDefault="007B7723">
            <w:pPr>
              <w:pStyle w:val="P68B1DB1-TableParagraph40"/>
              <w:spacing w:before="108"/>
              <w:ind w:left="85"/>
              <w:jc w:val="both"/>
            </w:pPr>
            <w:r>
              <w:t xml:space="preserve">Identifikácia typu meradla, buď </w:t>
            </w:r>
          </w:p>
          <w:p w14:paraId="7FE1CFA3" w14:textId="77777777" w:rsidR="007A5804" w:rsidRDefault="007B7723">
            <w:pPr>
              <w:pStyle w:val="P68B1DB1-TableParagraph40"/>
              <w:spacing w:before="108"/>
              <w:ind w:left="85"/>
              <w:jc w:val="both"/>
            </w:pPr>
            <w:r>
              <w:t>— Registrovaný dlhopis</w:t>
            </w:r>
          </w:p>
          <w:p w14:paraId="7FE1CFA4" w14:textId="77777777" w:rsidR="007A5804" w:rsidRDefault="007B7723">
            <w:pPr>
              <w:pStyle w:val="P68B1DB1-TableParagraph40"/>
              <w:spacing w:before="108"/>
              <w:ind w:left="85"/>
              <w:jc w:val="both"/>
            </w:pPr>
            <w:r>
              <w:t>— Dlhopis na doručiteľa</w:t>
            </w:r>
          </w:p>
          <w:p w14:paraId="7FE1CFA5" w14:textId="77777777" w:rsidR="007A5804" w:rsidRDefault="007B7723">
            <w:pPr>
              <w:pStyle w:val="P68B1DB1-TableParagraph40"/>
              <w:spacing w:before="108"/>
              <w:ind w:left="85"/>
              <w:jc w:val="both"/>
            </w:pPr>
            <w:r>
              <w:t>— Zmenkový úver dlžníka</w:t>
            </w:r>
          </w:p>
          <w:p w14:paraId="7FE1CFA7" w14:textId="3E3D590C" w:rsidR="007A5804" w:rsidRDefault="007B7723">
            <w:pPr>
              <w:pStyle w:val="P68B1DB1-TableParagraph40"/>
              <w:spacing w:before="108"/>
              <w:ind w:left="85"/>
              <w:jc w:val="both"/>
            </w:pPr>
            <w:r>
              <w:t>— Vkladový certifikát/obchodný papier</w:t>
            </w:r>
          </w:p>
          <w:p w14:paraId="7FE1CFA8" w14:textId="77777777" w:rsidR="007A5804" w:rsidRDefault="007B7723">
            <w:pPr>
              <w:pStyle w:val="P68B1DB1-TableParagraph40"/>
              <w:spacing w:before="108"/>
              <w:ind w:left="85"/>
              <w:jc w:val="both"/>
            </w:pPr>
            <w:r>
              <w:t>— Názov vlastníctva</w:t>
            </w:r>
          </w:p>
          <w:p w14:paraId="7FE1CFA9" w14:textId="77777777" w:rsidR="007A5804" w:rsidRDefault="007B7723">
            <w:pPr>
              <w:pStyle w:val="P68B1DB1-TableParagraph40"/>
              <w:spacing w:before="108"/>
              <w:ind w:left="85"/>
              <w:jc w:val="both"/>
            </w:pPr>
            <w:r>
              <w:t>Ostatné</w:t>
            </w:r>
          </w:p>
          <w:p w14:paraId="7FE1CFAA" w14:textId="2BCDE67E" w:rsidR="007A5804" w:rsidRDefault="007B7723">
            <w:pPr>
              <w:pStyle w:val="P68B1DB1-TableParagraph40"/>
              <w:spacing w:before="108"/>
              <w:ind w:left="85"/>
              <w:jc w:val="both"/>
            </w:pPr>
            <w:r>
              <w:t xml:space="preserve"> </w:t>
            </w:r>
          </w:p>
          <w:p w14:paraId="7FE1CFAB" w14:textId="77777777" w:rsidR="007A5804" w:rsidRDefault="007B7723">
            <w:pPr>
              <w:pStyle w:val="P68B1DB1-TableParagraph40"/>
              <w:spacing w:before="108"/>
              <w:ind w:left="85"/>
              <w:jc w:val="both"/>
            </w:pPr>
            <w:r>
              <w:t>z vopred zostaveného zoznamu.</w:t>
            </w:r>
          </w:p>
        </w:tc>
      </w:tr>
      <w:tr w:rsidR="007A5804"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7A5804" w:rsidRDefault="007B7723">
            <w:pPr>
              <w:pStyle w:val="P68B1DB1-Normal31"/>
            </w:pPr>
            <w:r>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7A5804" w:rsidRDefault="007B7723">
            <w:pPr>
              <w:pStyle w:val="P68B1DB1-TableParagraph73"/>
              <w:spacing w:before="108"/>
              <w:ind w:left="85"/>
              <w:jc w:val="both"/>
              <w:rPr>
                <w:bCs/>
              </w:rPr>
            </w:pPr>
            <w:r>
              <w:t xml:space="preserve">Rozhodné právo  </w:t>
            </w:r>
          </w:p>
          <w:p w14:paraId="7FE1CFAF" w14:textId="2BE77EA5" w:rsidR="007A5804" w:rsidRDefault="007B7723">
            <w:pPr>
              <w:pStyle w:val="P68B1DB1-TableParagraph40"/>
              <w:spacing w:before="108"/>
              <w:ind w:left="85"/>
              <w:jc w:val="both"/>
            </w:pPr>
            <w:r>
              <w:t xml:space="preserve">Dvojmiestny abecedný kód ISO 3166 – 1 krajiny, ktorej právnym poriadkom sa nástroj riadi (použite kód ISO 3166 – 2 v prípade, že je relevantné právo správneho celku, napr. „US-NY“). Ak sa zmluva spravuje právom viac ako jednej krajiny, vykazuje sa krajina, ktorej právny poriadok má najvyšší význam pre uznanie právomocí na odpísanie a konverziu.  </w:t>
            </w:r>
          </w:p>
        </w:tc>
      </w:tr>
      <w:tr w:rsidR="007A5804"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7A5804" w:rsidRDefault="007B7723">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7A5804" w:rsidRDefault="007B7723">
            <w:pPr>
              <w:pStyle w:val="P68B1DB1-TableParagraph73"/>
              <w:spacing w:before="108"/>
              <w:ind w:left="85"/>
              <w:jc w:val="both"/>
              <w:rPr>
                <w:bCs/>
              </w:rPr>
            </w:pPr>
            <w:r>
              <w:t xml:space="preserve">Ak ide o právo tretej krajiny, zmluvné uznanie </w:t>
            </w:r>
          </w:p>
          <w:p w14:paraId="7FE1CFB3" w14:textId="0329FBCA" w:rsidR="007A5804" w:rsidRDefault="007B7723">
            <w:pPr>
              <w:pStyle w:val="P68B1DB1-TableParagraph40"/>
              <w:spacing w:before="108"/>
              <w:ind w:left="85"/>
              <w:jc w:val="both"/>
            </w:pPr>
            <w:r>
              <w:t>Určenie zmluvných ustanovení na uznanie právomocí záchrany pomocou vnútorných zdrojov v súlade s článkom 55 smernice o ozdravení a riešení krízových situácií bánk, a to buď:</w:t>
            </w:r>
          </w:p>
          <w:p w14:paraId="7FE1CFB4" w14:textId="7CAD351E" w:rsidR="007A5804" w:rsidRDefault="007B7723">
            <w:pPr>
              <w:pStyle w:val="P68B1DB1-TableParagraph40"/>
              <w:spacing w:before="108"/>
              <w:ind w:left="85"/>
              <w:jc w:val="both"/>
            </w:pPr>
            <w:r>
              <w:t>„Áno, podporené právnym stanoviskom“ = záväzok zahŕňa doložku o uznaní záchrany pomocou vnútorných zdrojov v súlade s článkom 55 smernice o ozdravení a riešení krízových situácií bánk, ktorá je podporená právnym stanoviskom;</w:t>
            </w:r>
          </w:p>
          <w:p w14:paraId="7FE1CFB5" w14:textId="77777777" w:rsidR="007A5804" w:rsidRDefault="007B7723">
            <w:pPr>
              <w:pStyle w:val="P68B1DB1-TableParagraph40"/>
              <w:spacing w:before="108"/>
              <w:ind w:left="85"/>
              <w:jc w:val="both"/>
            </w:pPr>
            <w:r>
              <w:t>„Áno, nepodporené právnym stanoviskom“ = záväzok zahŕňa doložku o uznaní záchrany pomocou vnútorných zdrojov v súlade s článkom 55 smernice o ozdravení a riešení krízových situácií bánk, ktorá v súčasnosti nie je podporená právnym stanoviskom;</w:t>
            </w:r>
          </w:p>
          <w:p w14:paraId="7FE1CFB6" w14:textId="77777777" w:rsidR="007A5804" w:rsidRDefault="007B7723">
            <w:pPr>
              <w:pStyle w:val="P68B1DB1-TableParagraph40"/>
              <w:spacing w:before="108"/>
              <w:ind w:left="85"/>
              <w:jc w:val="both"/>
            </w:pPr>
            <w:r>
              <w:t>„Nie“ = záväzok nezahŕňa doložku o uznaní záchrany pomocou vnútorných zdrojov;</w:t>
            </w:r>
          </w:p>
          <w:p w14:paraId="7FE1CFB7" w14:textId="58099242" w:rsidR="007A5804" w:rsidRDefault="007B7723">
            <w:pPr>
              <w:pStyle w:val="P68B1DB1-TableParagraph40"/>
              <w:spacing w:before="108"/>
              <w:ind w:left="85"/>
              <w:jc w:val="both"/>
            </w:pPr>
            <w:r>
              <w:t xml:space="preserve">„Neuplatňuje sa“,  </w:t>
            </w:r>
          </w:p>
          <w:p w14:paraId="7FE1CFB8" w14:textId="77777777" w:rsidR="007A5804" w:rsidRDefault="007B7723">
            <w:pPr>
              <w:pStyle w:val="P68B1DB1-TableParagraph40"/>
              <w:spacing w:before="108"/>
              <w:ind w:left="85"/>
              <w:jc w:val="both"/>
            </w:pPr>
            <w:r>
              <w:t>z vopred zostaveného zoznamu.</w:t>
            </w:r>
          </w:p>
        </w:tc>
      </w:tr>
      <w:tr w:rsidR="007A5804"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7A5804" w:rsidRDefault="007B7723">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7A5804" w:rsidRDefault="007B7723">
            <w:pPr>
              <w:pStyle w:val="P68B1DB1-TableParagraph73"/>
              <w:spacing w:before="108"/>
              <w:ind w:left="85"/>
              <w:jc w:val="both"/>
              <w:rPr>
                <w:bCs/>
              </w:rPr>
            </w:pPr>
            <w:r>
              <w:t xml:space="preserve">Mena </w:t>
            </w:r>
          </w:p>
          <w:p w14:paraId="7FE1CFBC" w14:textId="71E1420D" w:rsidR="007A5804" w:rsidRDefault="007B7723">
            <w:pPr>
              <w:pStyle w:val="P68B1DB1-TableParagraph40"/>
              <w:spacing w:before="108"/>
              <w:ind w:left="85"/>
              <w:jc w:val="both"/>
            </w:pPr>
            <w:r>
              <w:t>Mena záväzku v súlade s jeho trojpísmenovým kódom ISO 4217.</w:t>
            </w:r>
          </w:p>
        </w:tc>
      </w:tr>
      <w:tr w:rsidR="007A5804"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7A5804" w:rsidRDefault="007B7723">
            <w:pPr>
              <w:pStyle w:val="P68B1DB1-Normal31"/>
            </w:pPr>
            <w:r>
              <w:lastRenderedPageBreak/>
              <w:t>0110</w:t>
            </w:r>
          </w:p>
          <w:p w14:paraId="7FE1CFC3" w14:textId="77777777" w:rsidR="007A5804" w:rsidRDefault="007B7723">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7A5804" w:rsidRDefault="007B7723">
            <w:pPr>
              <w:pStyle w:val="P68B1DB1-TableParagraph73"/>
              <w:spacing w:before="108"/>
              <w:ind w:left="85"/>
              <w:jc w:val="both"/>
              <w:rPr>
                <w:bCs/>
              </w:rPr>
            </w:pPr>
            <w:r>
              <w:t xml:space="preserve">Nesplatená suma istiny  </w:t>
            </w:r>
          </w:p>
          <w:p w14:paraId="7FE1CFC5" w14:textId="3E328E9E" w:rsidR="007A5804" w:rsidRDefault="007B7723">
            <w:pPr>
              <w:pStyle w:val="P68B1DB1-TableParagraph40"/>
              <w:spacing w:before="108"/>
              <w:ind w:left="85"/>
              <w:jc w:val="both"/>
            </w:pPr>
            <w:r>
              <w:t xml:space="preserve">Nesplatená hodnota istiny nástroja držaného protistranou uvedenou v stĺpci 0210. Ak protistrana nie je k dispozícii, pretože nie je možné identifikovať veriteľov, nesplatené sumy istiny sa zoskupia tak, že sa neberie do úvahy protistrana. V prípade akcií táto suma zahŕňa rezervy v súlade s usmernením týkajúcim sa Z02.00-r0511. </w:t>
            </w:r>
          </w:p>
          <w:p w14:paraId="7FE1CFC7" w14:textId="1EFD62D1" w:rsidR="007A5804" w:rsidRDefault="007A5804">
            <w:pPr>
              <w:pStyle w:val="TableParagraph"/>
              <w:spacing w:before="108"/>
              <w:ind w:left="85"/>
              <w:jc w:val="both"/>
              <w:rPr>
                <w:rFonts w:ascii="Times New Roman" w:eastAsia="Times New Roman" w:hAnsi="Times New Roman" w:cs="Times New Roman"/>
                <w:sz w:val="20"/>
                <w:szCs w:val="20"/>
              </w:rPr>
            </w:pPr>
          </w:p>
        </w:tc>
      </w:tr>
      <w:tr w:rsidR="007A5804"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7A5804" w:rsidRDefault="007B7723">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7A5804" w:rsidRDefault="007B7723">
            <w:pPr>
              <w:pStyle w:val="P68B1DB1-TableParagraph73"/>
              <w:spacing w:before="108"/>
              <w:ind w:left="85"/>
              <w:jc w:val="both"/>
              <w:rPr>
                <w:bCs/>
              </w:rPr>
            </w:pPr>
            <w:r>
              <w:t xml:space="preserve">Vzniknutý úrok </w:t>
            </w:r>
          </w:p>
          <w:p w14:paraId="7FE1CFCB" w14:textId="5040BFD7" w:rsidR="007A5804" w:rsidRDefault="007B7723">
            <w:pPr>
              <w:pStyle w:val="P68B1DB1-TableParagraph40"/>
              <w:spacing w:before="108"/>
              <w:ind w:left="85"/>
              <w:jc w:val="both"/>
            </w:pPr>
            <w:r>
              <w:t>Nesplatený naakumulovaný úrok z nástroja.</w:t>
            </w:r>
          </w:p>
        </w:tc>
      </w:tr>
      <w:tr w:rsidR="007A5804"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7A5804" w:rsidRDefault="007B7723">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7A5804" w:rsidRDefault="007B7723">
            <w:pPr>
              <w:pStyle w:val="P68B1DB1-TableParagraph73"/>
              <w:spacing w:before="108"/>
              <w:ind w:left="85"/>
              <w:jc w:val="both"/>
              <w:rPr>
                <w:bCs/>
              </w:rPr>
            </w:pPr>
            <w:r>
              <w:t xml:space="preserve">Coupon type (Druh kupónu) </w:t>
            </w:r>
          </w:p>
          <w:p w14:paraId="7FE1CFCF" w14:textId="77777777" w:rsidR="007A5804" w:rsidRDefault="007B7723">
            <w:pPr>
              <w:pStyle w:val="P68B1DB1-TableParagraph40"/>
              <w:spacing w:before="108"/>
              <w:ind w:left="85"/>
              <w:jc w:val="both"/>
            </w:pPr>
            <w:r>
              <w:t>Identifikácia súčasného typu kupónovej platby, buď „pevný kupón“, „pohyblivý kupón“, „štruktúrovaný kupón“ alebo „nulový kupón“ z vopred zostaveného zoznamu.</w:t>
            </w:r>
          </w:p>
        </w:tc>
      </w:tr>
      <w:tr w:rsidR="007A5804"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7A5804" w:rsidRDefault="007B7723">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7A5804" w:rsidRDefault="007B7723">
            <w:pPr>
              <w:pStyle w:val="P68B1DB1-TableParagraph73"/>
              <w:spacing w:before="108"/>
              <w:ind w:left="85"/>
              <w:jc w:val="both"/>
              <w:rPr>
                <w:bCs/>
              </w:rPr>
            </w:pPr>
            <w:r>
              <w:t>Aktuálna miera kupónu (%)</w:t>
            </w:r>
          </w:p>
          <w:p w14:paraId="7FE1CFD3" w14:textId="32FFE809" w:rsidR="007A5804" w:rsidRDefault="007B7723">
            <w:pPr>
              <w:pStyle w:val="P68B1DB1-TableParagraph40"/>
              <w:spacing w:before="108"/>
              <w:ind w:left="85"/>
              <w:jc w:val="both"/>
            </w:pPr>
            <w:r>
              <w:t xml:space="preserve">Úroveň kupónovej sadzby, ktorá sa uplatňuje na nástroj k dátumu vykazovania. </w:t>
            </w:r>
          </w:p>
        </w:tc>
      </w:tr>
      <w:tr w:rsidR="007A5804"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7A5804" w:rsidRDefault="007B7723">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7A5804" w:rsidRDefault="007B7723">
            <w:pPr>
              <w:pStyle w:val="P68B1DB1-TableParagraph73"/>
              <w:spacing w:before="108"/>
              <w:ind w:left="85"/>
              <w:jc w:val="both"/>
              <w:rPr>
                <w:bCs/>
              </w:rPr>
            </w:pPr>
            <w:r>
              <w:t xml:space="preserve">Dátum emisie </w:t>
            </w:r>
          </w:p>
          <w:p w14:paraId="7FE1CFD7" w14:textId="77777777" w:rsidR="007A5804" w:rsidRDefault="007B7723">
            <w:pPr>
              <w:pStyle w:val="P68B1DB1-TableParagraph40"/>
              <w:spacing w:before="108"/>
              <w:ind w:left="85"/>
              <w:jc w:val="both"/>
            </w:pPr>
            <w:r>
              <w:t>Dátum pôvodnej emisie nástroja.</w:t>
            </w:r>
          </w:p>
        </w:tc>
      </w:tr>
      <w:tr w:rsidR="007A5804"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7A5804" w:rsidRDefault="007B7723">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7A5804" w:rsidRDefault="007B7723">
            <w:pPr>
              <w:pStyle w:val="P68B1DB1-TableParagraph73"/>
              <w:spacing w:before="108"/>
              <w:ind w:left="85"/>
              <w:jc w:val="both"/>
              <w:rPr>
                <w:bCs/>
              </w:rPr>
            </w:pPr>
            <w:r>
              <w:t xml:space="preserve">Najskorší dátum vyplatenia  </w:t>
            </w:r>
          </w:p>
          <w:p w14:paraId="7FE1CFDB" w14:textId="2A33C765" w:rsidR="007A5804" w:rsidRDefault="007B7723">
            <w:pPr>
              <w:pStyle w:val="P68B1DB1-TableParagraph40"/>
              <w:spacing w:before="108"/>
              <w:ind w:left="85"/>
              <w:jc w:val="both"/>
            </w:pPr>
            <w:r>
              <w:t>Ak držitelia nástroja majú možnosť požiadať o skorú úhradu alebo sa zmluvne predpokladajú podmienky predčasného splatenia, ohláste najskorší dátum udalosti. Ak takéto udalosti ukončenia nie sú spojené s dátumom, ale skôr s výskytom akejkoľvek udalosti v budúcnosti, nahláste najskorší dátum, ku ktorému môže udalosť nastať. Ak sa predčasné splatenie týka len časti záväzku (napr. predčasné splatenie 50 % nominálnej hodnoty), rozčlení sa záväzok tak, aby sa zohľadnila táto doložka o čiastočnom predčasnom splatení.</w:t>
            </w:r>
          </w:p>
        </w:tc>
      </w:tr>
      <w:tr w:rsidR="007A5804"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7A5804" w:rsidRDefault="007B7723">
            <w:pPr>
              <w:pStyle w:val="P68B1DB1-Normal31"/>
            </w:pPr>
            <w:r>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7A5804" w:rsidRDefault="007B7723">
            <w:pPr>
              <w:pStyle w:val="P68B1DB1-TableParagraph73"/>
              <w:spacing w:before="108"/>
              <w:ind w:left="85"/>
              <w:jc w:val="both"/>
              <w:rPr>
                <w:bCs/>
              </w:rPr>
            </w:pPr>
            <w:r>
              <w:t xml:space="preserve">Zákonný dátum splatnosti </w:t>
            </w:r>
          </w:p>
          <w:p w14:paraId="7FE1CFDF" w14:textId="3157371F" w:rsidR="007A5804" w:rsidRDefault="007B7723">
            <w:pPr>
              <w:pStyle w:val="P68B1DB1-TableParagraph40"/>
              <w:spacing w:before="108"/>
              <w:ind w:left="85"/>
              <w:jc w:val="both"/>
            </w:pPr>
            <w:r>
              <w:t>Dátum zákonnej konečnej splatnosti nástroja. V prípade večných cenných papierov uveďte „2099 – 01 – 31“.</w:t>
            </w:r>
          </w:p>
        </w:tc>
      </w:tr>
      <w:tr w:rsidR="007A5804"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7A5804" w:rsidRDefault="007B7723">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7A5804" w:rsidRDefault="007B7723">
            <w:pPr>
              <w:pStyle w:val="P68B1DB1-TableParagraph73"/>
              <w:spacing w:before="108"/>
              <w:ind w:left="85"/>
              <w:jc w:val="both"/>
              <w:rPr>
                <w:bCs/>
              </w:rPr>
            </w:pPr>
            <w:r>
              <w:t xml:space="preserve">Verejné/súkromné umiestňovanie </w:t>
            </w:r>
          </w:p>
          <w:p w14:paraId="7FE1CFE3" w14:textId="77777777" w:rsidR="007A5804" w:rsidRDefault="007B7723">
            <w:pPr>
              <w:pStyle w:val="P68B1DB1-TableParagraph40"/>
              <w:spacing w:before="108"/>
              <w:ind w:left="85"/>
              <w:jc w:val="both"/>
            </w:pPr>
            <w:r>
              <w:t>Vo verejnom umiestnení subjekt zverejní emisiu s konkrétnym časovým harmonogramom ponukového konania. Naopak, súkromné umiestnenia sa dojednávajú medzi jednotlivými stranami konajúcimi buď na vlastný účet na účet tretích osôb. Hodnota môže byť „Verejné umiestnenie“ alebo „Súkromné umiestnenie“ z vopred zostaveného zoznamu.</w:t>
            </w:r>
          </w:p>
        </w:tc>
      </w:tr>
      <w:tr w:rsidR="007A5804"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7A5804" w:rsidRDefault="007B7723">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7A5804" w:rsidRDefault="007B7723">
            <w:pPr>
              <w:pStyle w:val="P68B1DB1-TableParagraph73"/>
              <w:spacing w:before="108"/>
              <w:ind w:left="85"/>
              <w:jc w:val="both"/>
              <w:rPr>
                <w:bCs/>
              </w:rPr>
            </w:pPr>
            <w:r>
              <w:t xml:space="preserve">Osoba poverená výkonom platieb </w:t>
            </w:r>
          </w:p>
          <w:p w14:paraId="7FE1CFE7" w14:textId="77777777" w:rsidR="007A5804" w:rsidRDefault="007B7723">
            <w:pPr>
              <w:pStyle w:val="P68B1DB1-TableParagraph40"/>
              <w:spacing w:before="108"/>
              <w:ind w:left="85"/>
              <w:jc w:val="both"/>
            </w:pPr>
            <w:r>
              <w:t>Identifikácia osoby poverenej výkonom platieb pre nástroj pomocou kódu LEI. „Vyplácajúci agent“ je inštitúcia, zvyčajne investičná banka, ktorá prijíma finančné prostriedky od emitenta cenného papiera a distribuuje ich držiteľom tohto cenného papiera. V prípade akcií vyplácajúci zástupca vypláca dividendy akcionárom. V prípade dlhopisov distribuuje kupónové platby a úhrady istiny držiteľom dlhopisov.</w:t>
            </w:r>
          </w:p>
        </w:tc>
      </w:tr>
      <w:tr w:rsidR="007A5804"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7A5804" w:rsidRDefault="007B7723">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7A5804" w:rsidRDefault="007B7723">
            <w:pPr>
              <w:pStyle w:val="P68B1DB1-TableParagraph73"/>
              <w:spacing w:before="108"/>
              <w:ind w:left="85"/>
              <w:jc w:val="both"/>
              <w:rPr>
                <w:bCs/>
              </w:rPr>
            </w:pPr>
            <w:r>
              <w:t xml:space="preserve">Identifikátor protistrany </w:t>
            </w:r>
          </w:p>
          <w:p w14:paraId="7FE1CFEF" w14:textId="599C6555" w:rsidR="007A5804" w:rsidRDefault="007B7723">
            <w:pPr>
              <w:pStyle w:val="P68B1DB1-TableParagraph40"/>
              <w:spacing w:before="108"/>
              <w:ind w:left="85"/>
              <w:jc w:val="both"/>
            </w:pPr>
            <w:r>
              <w:t>Uveďte kód LEI veriteľa. Ak neexistuje identifikátor LEI, v prípade bánk uveďte identifikátor peňažných finančných inštitúcií ECB (ID PFI) použitý v RIAD. Výlučne v prípade absencie oboch týchto identifikátorov nahláste interný identifikátor.</w:t>
            </w:r>
          </w:p>
        </w:tc>
      </w:tr>
      <w:tr w:rsidR="007A5804"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7A5804" w:rsidRDefault="007B7723">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7A5804" w:rsidRDefault="007B7723">
            <w:pPr>
              <w:pStyle w:val="P68B1DB1-TableParagraph73"/>
              <w:spacing w:before="108"/>
              <w:ind w:left="85"/>
              <w:jc w:val="both"/>
              <w:rPr>
                <w:bCs/>
              </w:rPr>
            </w:pPr>
            <w:r>
              <w:t xml:space="preserve">Druh identifikátora </w:t>
            </w:r>
          </w:p>
          <w:p w14:paraId="7FE1CFF3"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7A5804" w:rsidRDefault="007B7723">
            <w:pPr>
              <w:pStyle w:val="P68B1DB1-Normal31"/>
            </w:pPr>
            <w:r>
              <w:lastRenderedPageBreak/>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7A5804" w:rsidRDefault="007B7723">
            <w:pPr>
              <w:pStyle w:val="P68B1DB1-TableParagraph73"/>
              <w:spacing w:before="108"/>
              <w:ind w:left="85"/>
              <w:jc w:val="both"/>
              <w:rPr>
                <w:bCs/>
              </w:rPr>
            </w:pPr>
            <w:r>
              <w:t xml:space="preserve">Burzové cenné papiere sú kótované dňa </w:t>
            </w:r>
          </w:p>
          <w:p w14:paraId="7FE1CFF7" w14:textId="3C377B4D" w:rsidR="007A5804" w:rsidRDefault="007B7723">
            <w:pPr>
              <w:pStyle w:val="P68B1DB1-TableParagraph40"/>
              <w:spacing w:before="108"/>
              <w:ind w:left="85"/>
              <w:jc w:val="both"/>
            </w:pPr>
            <w:r>
              <w:t>Ak sú nástroje kótované na výmennej platforme, uveďte túto(-é) platformu(-y). V prípade viacerých výmen oddeľte platformy bodkočiarkou.</w:t>
            </w:r>
          </w:p>
        </w:tc>
      </w:tr>
      <w:tr w:rsidR="007A5804"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7A5804" w:rsidRDefault="007B7723">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7A5804" w:rsidRDefault="007B7723">
            <w:pPr>
              <w:pStyle w:val="P68B1DB1-TableParagraph73"/>
              <w:spacing w:before="108"/>
              <w:ind w:left="85"/>
              <w:jc w:val="both"/>
              <w:rPr>
                <w:bCs/>
              </w:rPr>
            </w:pPr>
            <w:r>
              <w:t xml:space="preserve">Systémy vyrovnania  </w:t>
            </w:r>
          </w:p>
          <w:p w14:paraId="7FE1CFFB" w14:textId="2006B3AF" w:rsidR="007A5804" w:rsidRDefault="007B7723">
            <w:pPr>
              <w:pStyle w:val="P68B1DB1-TableParagraph40"/>
              <w:spacing w:before="108"/>
              <w:ind w:left="85"/>
              <w:jc w:val="both"/>
            </w:pPr>
            <w:r>
              <w:t>Uveďte systémy vyrovnania transakcií s cennými papiermi, v ktorých možno tieto cenné papiere vyrovnať. Ak ide o viacero zúčtovacích systémov, oddeľte každý s bodkočiarkou.</w:t>
            </w:r>
          </w:p>
        </w:tc>
      </w:tr>
      <w:tr w:rsidR="007A5804"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7A5804" w:rsidRDefault="007B7723">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7A5804" w:rsidRDefault="007B7723">
            <w:pPr>
              <w:pStyle w:val="P68B1DB1-TableParagraph73"/>
              <w:spacing w:before="108"/>
              <w:ind w:left="85"/>
              <w:jc w:val="both"/>
              <w:rPr>
                <w:bCs/>
              </w:rPr>
            </w:pPr>
            <w:r>
              <w:t xml:space="preserve">Tajomník </w:t>
            </w:r>
          </w:p>
          <w:p w14:paraId="7FE1CFFF" w14:textId="77777777" w:rsidR="007A5804" w:rsidRDefault="007B7723">
            <w:pPr>
              <w:pStyle w:val="P68B1DB1-TableParagraph40"/>
              <w:spacing w:before="108"/>
              <w:ind w:left="85"/>
              <w:jc w:val="both"/>
            </w:pPr>
            <w:r>
              <w:t xml:space="preserve">Uveďte registrátora (zodpovedného za vedenie záznamov vlastníkov týchto cenných papierov). Registrátorom alebo držiteľom registra je zvyčajne samotný emitent, centrálny depozitár alebo iný subjekt. </w:t>
            </w:r>
          </w:p>
        </w:tc>
      </w:tr>
      <w:tr w:rsidR="007A5804" w14:paraId="7FE1D004" w14:textId="77777777">
        <w:tc>
          <w:tcPr>
            <w:tcW w:w="1415" w:type="dxa"/>
            <w:tcBorders>
              <w:top w:val="single" w:sz="8" w:space="0" w:color="1A171C"/>
              <w:left w:val="nil"/>
              <w:right w:val="single" w:sz="8" w:space="0" w:color="1A171C"/>
            </w:tcBorders>
            <w:vAlign w:val="center"/>
          </w:tcPr>
          <w:p w14:paraId="7FE1D001" w14:textId="77777777" w:rsidR="007A5804" w:rsidRDefault="007B7723">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7A5804" w:rsidRDefault="007B7723">
            <w:pPr>
              <w:pStyle w:val="P68B1DB1-TableParagraph73"/>
              <w:spacing w:before="108"/>
              <w:ind w:left="85"/>
              <w:jc w:val="both"/>
              <w:rPr>
                <w:bCs/>
              </w:rPr>
            </w:pPr>
            <w:r>
              <w:t xml:space="preserve">Centrálny depozitár cenných papierov </w:t>
            </w:r>
          </w:p>
          <w:p w14:paraId="7FE1D003" w14:textId="77777777" w:rsidR="007A5804" w:rsidRDefault="007B7723">
            <w:pPr>
              <w:pStyle w:val="P68B1DB1-TableParagraph40"/>
              <w:spacing w:before="108"/>
              <w:ind w:left="85"/>
              <w:jc w:val="both"/>
            </w:pPr>
            <w:r>
              <w:t>Uveďte centrálny depozitár cenných papierov emitujúci cenný papier.</w:t>
            </w:r>
          </w:p>
        </w:tc>
      </w:tr>
      <w:tr w:rsidR="007A5804" w14:paraId="7FE1D02F" w14:textId="77777777">
        <w:tc>
          <w:tcPr>
            <w:tcW w:w="1415" w:type="dxa"/>
            <w:tcBorders>
              <w:left w:val="nil"/>
              <w:bottom w:val="single" w:sz="8" w:space="0" w:color="1A171C"/>
              <w:right w:val="single" w:sz="8" w:space="0" w:color="1A171C"/>
            </w:tcBorders>
            <w:vAlign w:val="center"/>
          </w:tcPr>
          <w:p w14:paraId="7FE1D005" w14:textId="77777777" w:rsidR="007A5804" w:rsidRDefault="007B7723">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7A5804" w:rsidRDefault="007B7723">
            <w:pPr>
              <w:pStyle w:val="P68B1DB1-TableParagraph40"/>
              <w:spacing w:before="108"/>
              <w:ind w:left="85"/>
              <w:jc w:val="both"/>
            </w:pPr>
            <w:r>
              <w:t>Pri ohlasovaní CSD emisie použite skratku uvedenú v nasledujúcej tabuľke s výnimkou prípadov, keď príslušný centrálny depozitár nie je v zozname:</w:t>
            </w:r>
          </w:p>
          <w:p w14:paraId="7FE1D007" w14:textId="77777777" w:rsidR="007A5804" w:rsidRDefault="007B7723">
            <w:pPr>
              <w:pStyle w:val="P68B1DB1-TableParagraph40"/>
              <w:spacing w:before="108"/>
              <w:ind w:left="85"/>
              <w:jc w:val="both"/>
            </w:pPr>
            <w:r>
              <w:t>ATHEX CSD_EL</w:t>
            </w:r>
          </w:p>
          <w:p w14:paraId="7FE1D008" w14:textId="77777777" w:rsidR="007A5804" w:rsidRDefault="007B7723">
            <w:pPr>
              <w:pStyle w:val="P68B1DB1-TableParagraph40"/>
              <w:spacing w:before="108"/>
              <w:ind w:left="85"/>
              <w:jc w:val="both"/>
            </w:pPr>
            <w:r>
              <w:t>PODVOZKY_EL</w:t>
            </w:r>
          </w:p>
          <w:p w14:paraId="7FE1D009" w14:textId="77777777" w:rsidR="007A5804" w:rsidRDefault="007B7723">
            <w:pPr>
              <w:pStyle w:val="P68B1DB1-TableParagraph40"/>
              <w:spacing w:before="108"/>
              <w:ind w:left="85"/>
              <w:jc w:val="both"/>
            </w:pPr>
            <w:r>
              <w:t>CBF_DE</w:t>
            </w:r>
          </w:p>
          <w:p w14:paraId="7FE1D00A" w14:textId="77777777" w:rsidR="007A5804" w:rsidRDefault="007B7723">
            <w:pPr>
              <w:pStyle w:val="P68B1DB1-TableParagraph40"/>
              <w:spacing w:before="108"/>
              <w:ind w:left="85"/>
              <w:jc w:val="both"/>
            </w:pPr>
            <w:r>
              <w:t>CBL_LU</w:t>
            </w:r>
          </w:p>
          <w:p w14:paraId="7FE1D00B" w14:textId="77777777" w:rsidR="007A5804" w:rsidRDefault="007B7723">
            <w:pPr>
              <w:pStyle w:val="P68B1DB1-TableParagraph40"/>
              <w:spacing w:before="108"/>
              <w:ind w:left="85"/>
              <w:jc w:val="both"/>
            </w:pPr>
            <w:r>
              <w:t>CDCP SR_SK</w:t>
            </w:r>
          </w:p>
          <w:p w14:paraId="7FE1D00C" w14:textId="77777777" w:rsidR="007A5804" w:rsidRDefault="007B7723">
            <w:pPr>
              <w:pStyle w:val="P68B1DB1-TableParagraph40"/>
              <w:spacing w:before="108"/>
              <w:ind w:left="85"/>
              <w:jc w:val="both"/>
            </w:pPr>
            <w:r>
              <w:t>CDCP_CZ</w:t>
            </w:r>
          </w:p>
          <w:p w14:paraId="7FE1D00D" w14:textId="77777777" w:rsidR="007A5804" w:rsidRDefault="007B7723">
            <w:pPr>
              <w:pStyle w:val="P68B1DB1-TableParagraph40"/>
              <w:spacing w:before="108"/>
              <w:ind w:left="85"/>
              <w:jc w:val="both"/>
            </w:pPr>
            <w:r>
              <w:t>Centrálny depozitár a zúčtovacia spoločnosť_HR</w:t>
            </w:r>
          </w:p>
          <w:p w14:paraId="7FE1D00E" w14:textId="77777777" w:rsidR="007A5804" w:rsidRDefault="007B7723">
            <w:pPr>
              <w:pStyle w:val="P68B1DB1-TableParagraph40"/>
              <w:spacing w:before="108"/>
              <w:ind w:left="85"/>
              <w:jc w:val="both"/>
            </w:pPr>
            <w:r>
              <w:t>Centrálny depozitár cenných papierov Praha_CZ</w:t>
            </w:r>
          </w:p>
          <w:p w14:paraId="7FE1D00F" w14:textId="77777777" w:rsidR="007A5804" w:rsidRDefault="007B7723">
            <w:pPr>
              <w:pStyle w:val="P68B1DB1-TableParagraph40"/>
              <w:spacing w:before="108"/>
              <w:ind w:left="85"/>
              <w:jc w:val="both"/>
            </w:pPr>
            <w:r>
              <w:t>Centrálny depozitár_BG</w:t>
            </w:r>
          </w:p>
          <w:p w14:paraId="7FE1D010" w14:textId="77777777" w:rsidR="007A5804" w:rsidRDefault="007B7723">
            <w:pPr>
              <w:pStyle w:val="P68B1DB1-TableParagraph40"/>
              <w:spacing w:before="108"/>
              <w:ind w:left="85"/>
              <w:jc w:val="both"/>
            </w:pPr>
            <w:r>
              <w:t>Cyprus CDCR_CY</w:t>
            </w:r>
          </w:p>
          <w:p w14:paraId="7FE1D011" w14:textId="77777777" w:rsidR="007A5804" w:rsidRDefault="007B7723">
            <w:pPr>
              <w:pStyle w:val="P68B1DB1-TableParagraph40"/>
              <w:spacing w:before="108"/>
              <w:ind w:left="85"/>
              <w:jc w:val="both"/>
            </w:pPr>
            <w:r>
              <w:t>Depozitarul Central_RO</w:t>
            </w:r>
          </w:p>
          <w:p w14:paraId="7FE1D012" w14:textId="77777777" w:rsidR="007A5804" w:rsidRDefault="007B7723">
            <w:pPr>
              <w:pStyle w:val="P68B1DB1-TableParagraph40"/>
              <w:spacing w:before="108"/>
              <w:ind w:left="85"/>
              <w:jc w:val="both"/>
            </w:pPr>
            <w:r>
              <w:t>DTC_US</w:t>
            </w:r>
          </w:p>
          <w:p w14:paraId="7FE1D013" w14:textId="77777777" w:rsidR="007A5804" w:rsidRDefault="007B7723">
            <w:pPr>
              <w:pStyle w:val="P68B1DB1-TableParagraph40"/>
              <w:spacing w:before="108"/>
              <w:ind w:left="85"/>
              <w:jc w:val="both"/>
            </w:pPr>
            <w:r>
              <w:t>Euroclear Bank_BE</w:t>
            </w:r>
          </w:p>
          <w:p w14:paraId="7FE1D014" w14:textId="77777777" w:rsidR="007A5804" w:rsidRDefault="007B7723">
            <w:pPr>
              <w:pStyle w:val="P68B1DB1-TableParagraph40"/>
              <w:spacing w:before="108"/>
              <w:ind w:left="85"/>
              <w:jc w:val="both"/>
            </w:pPr>
            <w:r>
              <w:t>Euroclear Belgium_BE</w:t>
            </w:r>
          </w:p>
          <w:p w14:paraId="7FE1D015" w14:textId="77777777" w:rsidR="007A5804" w:rsidRDefault="007B7723">
            <w:pPr>
              <w:pStyle w:val="P68B1DB1-TableParagraph40"/>
              <w:spacing w:before="108"/>
              <w:ind w:left="85"/>
              <w:jc w:val="both"/>
            </w:pPr>
            <w:r>
              <w:t>Euroclear Finland_FI</w:t>
            </w:r>
          </w:p>
          <w:p w14:paraId="7FE1D016" w14:textId="77777777" w:rsidR="007A5804" w:rsidRDefault="007B7723">
            <w:pPr>
              <w:pStyle w:val="P68B1DB1-TableParagraph40"/>
              <w:spacing w:before="108"/>
              <w:ind w:left="85"/>
              <w:jc w:val="both"/>
            </w:pPr>
            <w:r>
              <w:t>Euroclear France_FR</w:t>
            </w:r>
          </w:p>
          <w:p w14:paraId="7FE1D017" w14:textId="77777777" w:rsidR="007A5804" w:rsidRDefault="007B7723">
            <w:pPr>
              <w:pStyle w:val="P68B1DB1-TableParagraph40"/>
              <w:spacing w:before="108"/>
              <w:ind w:left="85"/>
              <w:jc w:val="both"/>
            </w:pPr>
            <w:r>
              <w:t>Euroclear Holandsko_NL</w:t>
            </w:r>
          </w:p>
          <w:p w14:paraId="7FE1D018" w14:textId="77777777" w:rsidR="007A5804" w:rsidRDefault="007B7723">
            <w:pPr>
              <w:pStyle w:val="P68B1DB1-TableParagraph40"/>
              <w:spacing w:before="108"/>
              <w:ind w:left="85"/>
              <w:jc w:val="both"/>
            </w:pPr>
            <w:r>
              <w:t>Euroclear Švédsko_SE</w:t>
            </w:r>
          </w:p>
          <w:p w14:paraId="7FE1D019" w14:textId="77777777" w:rsidR="007A5804" w:rsidRDefault="007B7723">
            <w:pPr>
              <w:pStyle w:val="P68B1DB1-TableParagraph40"/>
              <w:spacing w:before="108"/>
              <w:ind w:left="85"/>
              <w:jc w:val="both"/>
            </w:pPr>
            <w:r>
              <w:t>Euroclear UK &amp; Írsko_UK</w:t>
            </w:r>
          </w:p>
          <w:p w14:paraId="7FE1D01A" w14:textId="77777777" w:rsidR="007A5804" w:rsidRDefault="007B7723">
            <w:pPr>
              <w:pStyle w:val="P68B1DB1-TableParagraph40"/>
              <w:spacing w:before="108"/>
              <w:ind w:left="85"/>
              <w:jc w:val="both"/>
            </w:pPr>
            <w:r>
              <w:t>Depozitár štátnych cenných papierov (GSD)_BG</w:t>
            </w:r>
          </w:p>
          <w:p w14:paraId="7FE1D01B" w14:textId="77777777" w:rsidR="007A5804" w:rsidRDefault="007B7723">
            <w:pPr>
              <w:pStyle w:val="P68B1DB1-TableParagraph40"/>
              <w:spacing w:before="108"/>
              <w:ind w:left="85"/>
              <w:jc w:val="both"/>
            </w:pPr>
            <w:r>
              <w:t>Iberclear_ES</w:t>
            </w:r>
          </w:p>
          <w:p w14:paraId="7FE1D01C" w14:textId="77777777" w:rsidR="007A5804" w:rsidRDefault="007B7723">
            <w:pPr>
              <w:pStyle w:val="P68B1DB1-TableParagraph40"/>
              <w:spacing w:before="108"/>
              <w:ind w:left="85"/>
              <w:jc w:val="both"/>
            </w:pPr>
            <w:r>
              <w:t>INTERBOLSA_PT</w:t>
            </w:r>
          </w:p>
          <w:p w14:paraId="7FE1D01D" w14:textId="77777777" w:rsidR="007A5804" w:rsidRDefault="007B7723">
            <w:pPr>
              <w:pStyle w:val="P68B1DB1-TableParagraph40"/>
              <w:spacing w:before="108"/>
              <w:ind w:left="85"/>
              <w:jc w:val="both"/>
            </w:pPr>
            <w:r>
              <w:t>KDD_SI</w:t>
            </w:r>
          </w:p>
          <w:p w14:paraId="7FE1D01E" w14:textId="77777777" w:rsidR="007A5804" w:rsidRDefault="007B7723">
            <w:pPr>
              <w:pStyle w:val="P68B1DB1-TableParagraph40"/>
              <w:spacing w:before="108"/>
              <w:ind w:left="85"/>
              <w:jc w:val="both"/>
            </w:pPr>
            <w:r>
              <w:t>KDPW_PL</w:t>
            </w:r>
          </w:p>
          <w:p w14:paraId="7FE1D01F" w14:textId="77777777" w:rsidR="007A5804" w:rsidRDefault="007B7723">
            <w:pPr>
              <w:pStyle w:val="P68B1DB1-TableParagraph40"/>
              <w:spacing w:before="108"/>
              <w:ind w:left="85"/>
              <w:jc w:val="both"/>
            </w:pPr>
            <w:r>
              <w:t>KELER_HU</w:t>
            </w:r>
          </w:p>
          <w:p w14:paraId="7FE1D020" w14:textId="77777777" w:rsidR="007A5804" w:rsidRDefault="007B7723">
            <w:pPr>
              <w:pStyle w:val="P68B1DB1-TableParagraph40"/>
              <w:spacing w:before="108"/>
              <w:ind w:left="85"/>
              <w:jc w:val="both"/>
            </w:pPr>
            <w:r>
              <w:t>LUX CSD_LU</w:t>
            </w:r>
          </w:p>
          <w:p w14:paraId="7FE1D021" w14:textId="77777777" w:rsidR="007A5804" w:rsidRDefault="007B7723">
            <w:pPr>
              <w:pStyle w:val="P68B1DB1-TableParagraph40"/>
              <w:spacing w:before="108"/>
              <w:ind w:left="85"/>
              <w:jc w:val="both"/>
            </w:pPr>
            <w:r>
              <w:lastRenderedPageBreak/>
              <w:t>Maltská burza cenných papierov CSD_MT</w:t>
            </w:r>
          </w:p>
          <w:p w14:paraId="7FE1D022" w14:textId="77777777" w:rsidR="007A5804" w:rsidRDefault="007B7723">
            <w:pPr>
              <w:pStyle w:val="P68B1DB1-TableParagraph40"/>
              <w:spacing w:before="108"/>
              <w:ind w:left="85"/>
              <w:jc w:val="both"/>
            </w:pPr>
            <w:r>
              <w:t>Euronext Securities Miláno_IT</w:t>
            </w:r>
          </w:p>
          <w:p w14:paraId="7FE1D023" w14:textId="77777777" w:rsidR="007A5804" w:rsidRDefault="007B7723">
            <w:pPr>
              <w:pStyle w:val="P68B1DB1-TableParagraph40"/>
              <w:spacing w:before="108"/>
              <w:ind w:left="85"/>
              <w:jc w:val="both"/>
            </w:pPr>
            <w:r>
              <w:t>Nasdaq CSD_EE</w:t>
            </w:r>
          </w:p>
          <w:p w14:paraId="7FE1D024" w14:textId="77777777" w:rsidR="007A5804" w:rsidRDefault="007B7723">
            <w:pPr>
              <w:pStyle w:val="P68B1DB1-TableParagraph40"/>
              <w:spacing w:before="108"/>
              <w:ind w:left="85"/>
              <w:jc w:val="both"/>
            </w:pPr>
            <w:r>
              <w:t>Centrálny depozitár Nasdaq_LT</w:t>
            </w:r>
          </w:p>
          <w:p w14:paraId="7FE1D025" w14:textId="77777777" w:rsidR="007A5804" w:rsidRDefault="007B7723">
            <w:pPr>
              <w:pStyle w:val="P68B1DB1-TableParagraph40"/>
              <w:spacing w:before="108"/>
              <w:ind w:left="85"/>
              <w:jc w:val="both"/>
            </w:pPr>
            <w:r>
              <w:t>CSD Nasdaq_LV</w:t>
            </w:r>
          </w:p>
          <w:p w14:paraId="7FE1D026" w14:textId="77777777" w:rsidR="007A5804" w:rsidRDefault="007B7723">
            <w:pPr>
              <w:pStyle w:val="P68B1DB1-TableParagraph40"/>
              <w:spacing w:before="108"/>
              <w:ind w:left="85"/>
              <w:jc w:val="both"/>
            </w:pPr>
            <w:r>
              <w:t>NBB SSS_BE</w:t>
            </w:r>
          </w:p>
          <w:p w14:paraId="7FE1D027" w14:textId="77777777" w:rsidR="007A5804" w:rsidRDefault="007B7723">
            <w:pPr>
              <w:pStyle w:val="P68B1DB1-TableParagraph40"/>
              <w:spacing w:before="108"/>
              <w:ind w:left="85"/>
              <w:jc w:val="both"/>
            </w:pPr>
            <w:r>
              <w:t>nCDCP_SK</w:t>
            </w:r>
          </w:p>
          <w:p w14:paraId="7FE1D028" w14:textId="77777777" w:rsidR="007A5804" w:rsidRDefault="007B7723">
            <w:pPr>
              <w:pStyle w:val="P68B1DB1-TableParagraph40"/>
              <w:spacing w:before="108"/>
              <w:ind w:left="85"/>
              <w:jc w:val="both"/>
            </w:pPr>
            <w:r>
              <w:t>OeKB CSD_AT</w:t>
            </w:r>
          </w:p>
          <w:p w14:paraId="7FE1D029" w14:textId="77777777" w:rsidR="007A5804" w:rsidRDefault="007B7723">
            <w:pPr>
              <w:pStyle w:val="P68B1DB1-TableParagraph40"/>
              <w:spacing w:before="108"/>
              <w:ind w:left="85"/>
              <w:jc w:val="both"/>
            </w:pPr>
            <w:r>
              <w:t>SAFIR_RO</w:t>
            </w:r>
          </w:p>
          <w:p w14:paraId="7FE1D02A" w14:textId="77777777" w:rsidR="007A5804" w:rsidRDefault="007B7723">
            <w:pPr>
              <w:pStyle w:val="P68B1DB1-TableParagraph40"/>
              <w:spacing w:before="108"/>
              <w:ind w:left="85"/>
              <w:jc w:val="both"/>
            </w:pPr>
            <w:r>
              <w:t>ŠESŤ SIS_CH</w:t>
            </w:r>
          </w:p>
          <w:p w14:paraId="7FE1D02B" w14:textId="77777777" w:rsidR="007A5804" w:rsidRDefault="007B7723">
            <w:pPr>
              <w:pStyle w:val="P68B1DB1-TableParagraph40"/>
              <w:spacing w:before="108"/>
              <w:ind w:left="85"/>
              <w:jc w:val="both"/>
            </w:pPr>
            <w:r>
              <w:t>SKARBNET4_PL</w:t>
            </w:r>
          </w:p>
          <w:p w14:paraId="7FE1D02C" w14:textId="77777777" w:rsidR="007A5804" w:rsidRDefault="007B7723">
            <w:pPr>
              <w:pStyle w:val="P68B1DB1-TableParagraph40"/>
              <w:spacing w:before="108"/>
              <w:ind w:left="85"/>
              <w:jc w:val="both"/>
            </w:pPr>
            <w:r>
              <w:t>SKD_CZ</w:t>
            </w:r>
          </w:p>
          <w:p w14:paraId="7FE1D02D" w14:textId="77777777" w:rsidR="007A5804" w:rsidRDefault="007B7723">
            <w:pPr>
              <w:pStyle w:val="P68B1DB1-TableParagraph40"/>
              <w:spacing w:before="108"/>
              <w:ind w:left="85"/>
              <w:jc w:val="both"/>
            </w:pPr>
            <w:r>
              <w:t>VP Securities_DK</w:t>
            </w:r>
          </w:p>
          <w:p w14:paraId="7FE1D02E" w14:textId="77777777" w:rsidR="007A5804" w:rsidRDefault="007B7723">
            <w:pPr>
              <w:pStyle w:val="P68B1DB1-TableParagraph40"/>
              <w:spacing w:before="108"/>
              <w:ind w:left="85"/>
              <w:jc w:val="both"/>
            </w:pPr>
            <w:r>
              <w:t>VPS_NIE</w:t>
            </w:r>
          </w:p>
        </w:tc>
      </w:tr>
      <w:tr w:rsidR="007A5804"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7A5804" w:rsidRDefault="007B7723">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7A5804" w:rsidRDefault="007B7723">
            <w:pPr>
              <w:pStyle w:val="P68B1DB1-TableParagraph73"/>
              <w:spacing w:before="108"/>
              <w:ind w:left="85"/>
              <w:jc w:val="both"/>
              <w:rPr>
                <w:bCs/>
              </w:rPr>
            </w:pPr>
            <w:r>
              <w:t>Výška záložného práva, záložného práva alebo kolaterálu</w:t>
            </w:r>
          </w:p>
          <w:p w14:paraId="7FE1D035" w14:textId="01C91AE9" w:rsidR="007A5804" w:rsidRDefault="007B7723">
            <w:pPr>
              <w:pStyle w:val="P68B1DB1-TableParagraph40"/>
              <w:spacing w:before="108"/>
              <w:ind w:left="85"/>
              <w:jc w:val="both"/>
            </w:pPr>
            <w:r>
              <w:t>Ak je záväzok zabezpečený záložným právom, záložným právom alebo kolaterálom, vykazuje sa hrubá trhová hodnota kolaterálu. V opačnom prípade sa v prípade nezabezpečených záväzkov táto kategória vykazuje ako nulová. Táto suma určí kolateralizovanú a prípadne nezabezpečenú časť akéhokoľvek zabezpečeného záväzku. V prípade skupín kolaterálov, ktorými sa zabezpečujú viaceré riadkové položky, určiť celkový pomer krytia a uplatňovať pomerným dielom na všetky riadkové položky kryté touto skupinou.</w:t>
            </w:r>
          </w:p>
        </w:tc>
      </w:tr>
      <w:tr w:rsidR="007A5804"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7A5804" w:rsidRDefault="007B7723">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7A5804" w:rsidRDefault="007B7723">
            <w:pPr>
              <w:pStyle w:val="P68B1DB1-TableParagraph73"/>
              <w:spacing w:before="108"/>
              <w:ind w:left="85"/>
              <w:jc w:val="both"/>
              <w:rPr>
                <w:bCs/>
              </w:rPr>
            </w:pPr>
            <w:r>
              <w:t xml:space="preserve">Ručiteľ </w:t>
            </w:r>
          </w:p>
          <w:p w14:paraId="7FE1D039" w14:textId="7525BFD5" w:rsidR="007A5804" w:rsidRDefault="007B7723">
            <w:pPr>
              <w:pStyle w:val="P68B1DB1-TableParagraph40"/>
              <w:spacing w:before="108"/>
              <w:ind w:left="85"/>
              <w:jc w:val="both"/>
            </w:pPr>
            <w:r>
              <w:t>Ak sú za nástroj poskytnuté záruky, uveďte podrobnú identifikáciu ručiteľa (kód LEI, kód krajiny ISO 3166 – 1 alfa-2 pre verejnú správu atď.). Ak sú prítomní viacerí ručiteľi, uveďte všetky identifikátory oddelené bodkočiarkou.</w:t>
            </w:r>
          </w:p>
        </w:tc>
      </w:tr>
      <w:tr w:rsidR="007A5804"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7A5804" w:rsidRDefault="007B7723">
            <w:pPr>
              <w:pStyle w:val="P68B1DB1-Normal31"/>
            </w:pPr>
            <w:r>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7A5804" w:rsidRDefault="007B7723">
            <w:pPr>
              <w:pStyle w:val="P68B1DB1-TableParagraph73"/>
              <w:spacing w:before="108"/>
              <w:ind w:left="85"/>
              <w:jc w:val="both"/>
              <w:rPr>
                <w:bCs/>
              </w:rPr>
            </w:pPr>
            <w:r>
              <w:t xml:space="preserve">Suma spĺňajúca podmienky oprávnenosti MREL </w:t>
            </w:r>
          </w:p>
          <w:p w14:paraId="7FE1D044" w14:textId="63D3C63A" w:rsidR="007A5804" w:rsidRDefault="007B7723">
            <w:pPr>
              <w:pStyle w:val="P68B1DB1-TableParagraph40"/>
              <w:spacing w:before="108"/>
              <w:ind w:left="85"/>
              <w:jc w:val="both"/>
            </w:pPr>
            <w:r>
              <w:t>Suma vlastných zdrojov a oprávnených záväzkov, ktoré sa započítavajú do požiadavky stanovenej v súlade s článkom 45 ods. 1 smernice 2014/59/EÚ.</w:t>
            </w:r>
          </w:p>
        </w:tc>
      </w:tr>
      <w:tr w:rsidR="007A5804"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7A5804" w:rsidRDefault="007B7723">
            <w:pPr>
              <w:pStyle w:val="P68B1DB1-Normal31"/>
            </w:pPr>
            <w:r>
              <w:t>0310</w:t>
            </w:r>
          </w:p>
          <w:p w14:paraId="7FE1D047" w14:textId="77777777" w:rsidR="007A5804" w:rsidRDefault="007B7723">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7A5804" w:rsidRDefault="007B7723">
            <w:pPr>
              <w:pStyle w:val="P68B1DB1-TableParagraph73"/>
              <w:spacing w:before="108"/>
              <w:ind w:left="85"/>
              <w:jc w:val="both"/>
              <w:rPr>
                <w:bCs/>
              </w:rPr>
            </w:pPr>
            <w:r>
              <w:t xml:space="preserve">Kvalifikované ako vlastné zdroje </w:t>
            </w:r>
          </w:p>
          <w:p w14:paraId="7FE1D049" w14:textId="4AE6A326" w:rsidR="007A5804" w:rsidRDefault="007B7723">
            <w:pPr>
              <w:pStyle w:val="P68B1DB1-TableParagraph40"/>
              <w:spacing w:before="108"/>
              <w:ind w:left="85"/>
              <w:jc w:val="both"/>
            </w:pPr>
            <w:r>
              <w:t xml:space="preserve">Uveďte, či a na akej úrovni je nástroj zahrnutý do vlastných zdrojov, spolu s informáciami o režime postupného ukončovania a opatreniach na zachovanie predchádzajúceho stavu. Hodnota môže byť „Nie“, „čiastočne AT1, T1 a T2“, „T2 v postupnom ukončovaní“, „T2 zachránený“ alebo „CET1“ z vopred zostaveného zoznamu. </w:t>
            </w:r>
          </w:p>
          <w:p w14:paraId="7FE1D04A" w14:textId="62223A6F" w:rsidR="007A5804" w:rsidRDefault="007B7723">
            <w:pPr>
              <w:pStyle w:val="P68B1DB1-TableParagraph40"/>
              <w:spacing w:before="108"/>
              <w:ind w:left="85"/>
              <w:jc w:val="both"/>
            </w:pPr>
            <w:r>
              <w:t>V zozname opcií sa pojem „postupné ukončovanie“ vzťahuje na obdobie piatich rokov pred splatnosťou akéhokoľvek daného nástroja T2, počas ktorého existuje len primerané uznanie založené na čase zostávajúcom do splatnosti. „Zachované v predchádzajúcom stave“ sa vzťahuje na akékoľvek prechodné opatrenie uplatniteľné na nástroj T2 okrem „postupného vyraďovania“. Počas tohto „zachovania predchádzajúceho stavu“ môže byť uznanie úplné alebo čiastočné.</w:t>
            </w:r>
          </w:p>
          <w:p w14:paraId="7FE1D04B" w14:textId="56289907" w:rsidR="007A5804" w:rsidRDefault="007B7723">
            <w:pPr>
              <w:pStyle w:val="P68B1DB1-TableParagraph40"/>
              <w:spacing w:before="108"/>
              <w:ind w:left="85"/>
              <w:jc w:val="both"/>
            </w:pPr>
            <w:r>
              <w:t xml:space="preserve"> </w:t>
            </w:r>
          </w:p>
        </w:tc>
      </w:tr>
      <w:tr w:rsidR="007A5804"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7A5804" w:rsidRDefault="007B7723">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7A5804" w:rsidRDefault="007B7723">
            <w:pPr>
              <w:pStyle w:val="P68B1DB1-TableParagraph40"/>
              <w:spacing w:before="108"/>
              <w:ind w:left="85"/>
              <w:jc w:val="both"/>
              <w:rPr>
                <w:b/>
                <w:bCs/>
              </w:rPr>
            </w:pPr>
            <w:r>
              <w:t xml:space="preserve"> </w:t>
            </w:r>
            <w:r>
              <w:rPr>
                <w:b/>
              </w:rPr>
              <w:t>Suma kvalifikovaná ako vlastné zdroje</w:t>
            </w:r>
          </w:p>
          <w:p w14:paraId="7FE1D050" w14:textId="1253231B" w:rsidR="007A5804" w:rsidRDefault="007B7723">
            <w:pPr>
              <w:pStyle w:val="P68B1DB1-TableParagraph40"/>
              <w:spacing w:before="108"/>
              <w:ind w:left="85"/>
              <w:jc w:val="both"/>
            </w:pPr>
            <w:r>
              <w:t>Hodnota nástroja kvalifikovaného ako vlastné zdroje.</w:t>
            </w:r>
          </w:p>
        </w:tc>
      </w:tr>
    </w:tbl>
    <w:p w14:paraId="7FE1D052" w14:textId="77777777" w:rsidR="007A5804" w:rsidRDefault="007A5804">
      <w:pPr>
        <w:rPr>
          <w:rFonts w:ascii="Times New Roman" w:hAnsi="Times New Roman" w:cs="Times New Roman"/>
        </w:rPr>
      </w:pPr>
    </w:p>
    <w:p w14:paraId="7FE1D053" w14:textId="77777777" w:rsidR="007A5804" w:rsidRDefault="007A5804">
      <w:pPr>
        <w:pStyle w:val="Instructionsberschrift2"/>
        <w:ind w:left="357"/>
        <w:rPr>
          <w:rFonts w:ascii="Times New Roman" w:eastAsia="Calibri" w:hAnsi="Times New Roman" w:cs="Times New Roman"/>
          <w:szCs w:val="20"/>
        </w:rPr>
      </w:pPr>
    </w:p>
    <w:p w14:paraId="7FE1D054" w14:textId="6B5C3BCC" w:rsidR="007A5804" w:rsidRDefault="007B7723">
      <w:pPr>
        <w:pStyle w:val="Instructionsberschrift2"/>
        <w:numPr>
          <w:ilvl w:val="1"/>
          <w:numId w:val="49"/>
        </w:numPr>
        <w:spacing w:before="0"/>
        <w:ind w:left="357" w:hanging="357"/>
        <w:rPr>
          <w:rFonts w:ascii="Times New Roman" w:hAnsi="Times New Roman" w:cs="Times New Roman"/>
        </w:rPr>
      </w:pPr>
      <w:bookmarkStart w:id="245" w:name="_Toc208245272"/>
      <w:r>
        <w:rPr>
          <w:rFonts w:ascii="Times New Roman" w:eastAsiaTheme="minorEastAsia" w:hAnsi="Times New Roman" w:cs="Times New Roman"/>
        </w:rPr>
        <w:t xml:space="preserve">Z 13.00 – Všetky vklady (okrem vnútroskupinových) </w:t>
      </w:r>
      <w:r>
        <w:rPr>
          <w:rFonts w:ascii="Times New Roman" w:eastAsia="Calibri" w:hAnsi="Times New Roman" w:cs="Times New Roman"/>
          <w:szCs w:val="20"/>
        </w:rPr>
        <w:t>(LIAB-G-3)</w:t>
      </w:r>
      <w:bookmarkEnd w:id="245"/>
    </w:p>
    <w:p w14:paraId="7FE1D057" w14:textId="77777777" w:rsidR="007A5804" w:rsidRDefault="007B7723">
      <w:pPr>
        <w:pStyle w:val="P68B1DB1-Numberedtitlelevel372"/>
      </w:pPr>
      <w:r>
        <w:t>Všeobecné poznámky</w:t>
      </w:r>
    </w:p>
    <w:p w14:paraId="7FE1D058" w14:textId="669C462E" w:rsidR="007A5804" w:rsidRDefault="007B7723">
      <w:pPr>
        <w:pStyle w:val="P68B1DB1-InstructionsText26"/>
        <w:numPr>
          <w:ilvl w:val="2"/>
          <w:numId w:val="209"/>
        </w:numPr>
        <w:spacing w:before="0"/>
        <w:ind w:left="1418"/>
        <w:rPr>
          <w:rFonts w:eastAsia="Cambria"/>
        </w:rPr>
      </w:pPr>
      <w:r>
        <w:t>Rozsah pôsobnosti tejto správy sa vzťahuje na všetky vklady okrem vnútroskupinových transakcií bez ohľadu na povahu vkladu alebo termín. Vklady by sa mali identifikovať na základe vymedzenia uvedeného v článku 2 ods. 1 bode 3 smernice 2014/49/EÚ.</w:t>
      </w:r>
    </w:p>
    <w:p w14:paraId="7FE1D05A" w14:textId="4B3AE2E6" w:rsidR="007A5804" w:rsidRDefault="007B7723">
      <w:pPr>
        <w:pStyle w:val="P68B1DB1-InstructionsText286"/>
        <w:numPr>
          <w:ilvl w:val="2"/>
          <w:numId w:val="209"/>
        </w:numPr>
        <w:spacing w:before="0"/>
        <w:ind w:left="1418"/>
      </w:pPr>
      <w:r>
        <w:t xml:space="preserve">Na účely tejto tabuľky sa zoskupujú všetky nekryté a nereferenčné vklady (ako sú vymedzené v Z 02.00 – r0320) so zostatkovou splatnosťou menej ako 1 rok, všetky kryté vklady a nekryté ale referenčné vklady (ako sú vymedzené v Z 02.00 – r0310 a bez ohľadu na ich zostatkovú splatnosť), podľa kategórie pasív (stĺpec 0020), druhu protistrany (stĺpec 0025) a postavenia v konkurznom konaní (stĺpec 0030). Vklady, ktoré nie sú kryté a nie sú uprednostňované, so zostatkovou splatnosťou 1 rok alebo viac sa musia vykazovať ako jednotlivá položka riadku so zreteľom na všetky požadované polia. </w:t>
      </w:r>
    </w:p>
    <w:p w14:paraId="7FE1D05B" w14:textId="4C000A39" w:rsidR="007A5804" w:rsidRDefault="007B7723">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Bez ohľadu na bod 67 sa každý vklad úverovej inštitúcie bez ohľadu na druh vkladu musí vykazovať ako samostatná položka riadku</w:t>
      </w:r>
      <w:r>
        <w:rPr>
          <w:rFonts w:ascii="Times New Roman" w:hAnsi="Times New Roman" w:cs="Times New Roman"/>
        </w:rPr>
        <w:t xml:space="preserve"> </w:t>
      </w:r>
      <w:r>
        <w:rPr>
          <w:rFonts w:ascii="Times New Roman" w:eastAsia="Cambria" w:hAnsi="Times New Roman" w:cs="Times New Roman"/>
          <w:sz w:val="20"/>
          <w:szCs w:val="20"/>
        </w:rPr>
        <w:t>so zreteľom na všetky požadované polia. Napríklad jedna transakcia sa musí vykázať vo viacerých riadkoch v prípade, že sa týka rôznych postavení v konkurznom konaní.</w:t>
      </w:r>
    </w:p>
    <w:p w14:paraId="7FE1D05C" w14:textId="0E610125" w:rsidR="007A5804" w:rsidRDefault="007B7723">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Všetky ostatné vklady, ktoré nie sú výslovne uvedené vyššie, sa musia vykazovať ako samostatná položka riadku</w:t>
      </w:r>
      <w:r>
        <w:rPr>
          <w:rFonts w:ascii="Times New Roman" w:hAnsi="Times New Roman" w:cs="Times New Roman"/>
        </w:rPr>
        <w:t xml:space="preserve"> </w:t>
      </w:r>
      <w:r>
        <w:rPr>
          <w:rFonts w:ascii="Times New Roman" w:eastAsia="Cambria" w:hAnsi="Times New Roman" w:cs="Times New Roman"/>
          <w:sz w:val="20"/>
          <w:szCs w:val="20"/>
        </w:rPr>
        <w:t>so zreteľom na všetky požadované polia.</w:t>
      </w:r>
    </w:p>
    <w:p w14:paraId="7FE1D061" w14:textId="77777777" w:rsidR="007A5804" w:rsidRDefault="007B7723">
      <w:pPr>
        <w:pStyle w:val="P68B1DB1-InstructionsText287"/>
        <w:numPr>
          <w:ilvl w:val="0"/>
          <w:numId w:val="0"/>
        </w:numPr>
        <w:ind w:left="753"/>
      </w:pPr>
      <w:r>
        <w:t>Pokyny týkajúce sa konkrétnych pozícií</w:t>
      </w:r>
    </w:p>
    <w:tbl>
      <w:tblPr>
        <w:tblW w:w="0" w:type="auto"/>
        <w:tblLook w:val="01E0" w:firstRow="1" w:lastRow="1" w:firstColumn="1" w:lastColumn="1" w:noHBand="0" w:noVBand="0"/>
      </w:tblPr>
      <w:tblGrid>
        <w:gridCol w:w="1188"/>
        <w:gridCol w:w="7772"/>
        <w:gridCol w:w="66"/>
      </w:tblGrid>
      <w:tr w:rsidR="007A5804"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7A5804" w:rsidRDefault="007B7723">
            <w:pPr>
              <w:pStyle w:val="P68B1DB1-TableParagraph17"/>
              <w:spacing w:before="108"/>
              <w:ind w:left="85"/>
            </w:pPr>
            <w:r>
              <w:t>Stĺpce</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7A5804" w:rsidRDefault="007B7723">
            <w:pPr>
              <w:pStyle w:val="P68B1DB1-TableParagraph17"/>
              <w:spacing w:before="108"/>
              <w:ind w:left="85" w:right="1"/>
            </w:pPr>
            <w:r>
              <w:t>Pokyny</w:t>
            </w:r>
          </w:p>
        </w:tc>
      </w:tr>
      <w:tr w:rsidR="007A5804"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7A5804" w:rsidRDefault="007B7723">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7A5804" w:rsidRDefault="007B7723">
            <w:pPr>
              <w:pStyle w:val="P68B1DB1-TableParagraph73"/>
              <w:spacing w:before="108"/>
              <w:ind w:left="85"/>
              <w:jc w:val="both"/>
              <w:rPr>
                <w:bCs/>
              </w:rPr>
            </w:pPr>
            <w:r>
              <w:t xml:space="preserve">Č. </w:t>
            </w:r>
          </w:p>
          <w:p w14:paraId="7FE1D067" w14:textId="43449971" w:rsidR="007A5804" w:rsidRDefault="007B7723">
            <w:pPr>
              <w:pStyle w:val="P68B1DB1-TableParagraph40"/>
              <w:spacing w:before="108"/>
              <w:ind w:left="85"/>
              <w:jc w:val="both"/>
            </w:pPr>
            <w:r>
              <w:t>Jedinečné číslo/primárny kľúč na identifikáciu riadkových položiek.</w:t>
            </w:r>
          </w:p>
        </w:tc>
      </w:tr>
      <w:tr w:rsidR="007A5804"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7A5804" w:rsidRDefault="007B7723">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7A5804" w:rsidRDefault="007B7723">
            <w:pPr>
              <w:pStyle w:val="P68B1DB1-TableParagraph73"/>
              <w:spacing w:before="108"/>
              <w:ind w:left="85"/>
              <w:jc w:val="both"/>
              <w:rPr>
                <w:bCs/>
              </w:rPr>
            </w:pPr>
            <w:r>
              <w:t xml:space="preserve">Riadok </w:t>
            </w:r>
          </w:p>
          <w:p w14:paraId="7FE1D06B" w14:textId="7887C3E1" w:rsidR="007A5804" w:rsidRDefault="007B7723">
            <w:pPr>
              <w:pStyle w:val="P68B1DB1-TableParagraph40"/>
              <w:spacing w:before="108"/>
              <w:ind w:left="85"/>
              <w:jc w:val="both"/>
            </w:pPr>
            <w:r>
              <w:t>Pre každý vykazovaný riadok sa musí uviesť zosúhlasenie s kategóriou záväzkov štruktúry záväzkov v Z02.00 na úrovni splatnosti z vopred stanoveného zoznamu hodnôt.</w:t>
            </w:r>
          </w:p>
        </w:tc>
      </w:tr>
      <w:tr w:rsidR="007A5804"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7A5804" w:rsidRDefault="007B7723">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7A5804" w:rsidRDefault="007B7723">
            <w:pPr>
              <w:pStyle w:val="P68B1DB1-TableParagraph73"/>
              <w:spacing w:before="108"/>
              <w:ind w:left="85"/>
              <w:jc w:val="both"/>
              <w:rPr>
                <w:bCs/>
              </w:rPr>
            </w:pPr>
            <w:r>
              <w:t xml:space="preserve">Stĺpec </w:t>
            </w:r>
          </w:p>
          <w:p w14:paraId="7FE1D06F" w14:textId="34DE133F" w:rsidR="007A5804" w:rsidRDefault="007B7723">
            <w:pPr>
              <w:pStyle w:val="P68B1DB1-TableParagraph40"/>
              <w:spacing w:before="108"/>
              <w:ind w:left="85"/>
              <w:jc w:val="both"/>
            </w:pPr>
            <w:r>
              <w:t>Pre každý vykazovaný riadok sa musí uviesť zosúhlasenie s triedou protistrany v položke,02.00, voči ktorej je vklad dlžný, z vopred určeného zoznamu hodnôt.</w:t>
            </w:r>
          </w:p>
        </w:tc>
      </w:tr>
      <w:tr w:rsidR="007A5804"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7A5804" w:rsidRDefault="007B7723">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7A5804" w:rsidRDefault="007B7723">
            <w:pPr>
              <w:pStyle w:val="P68B1DB1-TableParagraph73"/>
              <w:spacing w:before="108"/>
              <w:ind w:left="85"/>
              <w:jc w:val="both"/>
              <w:rPr>
                <w:bCs/>
              </w:rPr>
            </w:pPr>
            <w:r>
              <w:t xml:space="preserve">Postavenie v konkurznom konaní  </w:t>
            </w:r>
          </w:p>
          <w:p w14:paraId="7FE1D073" w14:textId="3CA3DC07"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7A5804" w:rsidRDefault="007B7723">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7A5804" w:rsidRDefault="007B7723">
            <w:pPr>
              <w:pStyle w:val="P68B1DB1-TableParagraph73"/>
              <w:spacing w:before="108"/>
              <w:ind w:left="85"/>
              <w:jc w:val="both"/>
              <w:rPr>
                <w:bCs/>
              </w:rPr>
            </w:pPr>
            <w:r>
              <w:t xml:space="preserve">Identifikátor zmluvy </w:t>
            </w:r>
          </w:p>
          <w:p w14:paraId="7FE1D077" w14:textId="77777777" w:rsidR="007A5804" w:rsidRDefault="007B7723">
            <w:pPr>
              <w:pStyle w:val="P68B1DB1-TableParagraph40"/>
              <w:spacing w:before="108"/>
              <w:ind w:left="85"/>
              <w:jc w:val="both"/>
            </w:pPr>
            <w:r>
              <w:t>Interný identifikátor zmluvy.</w:t>
            </w:r>
          </w:p>
        </w:tc>
      </w:tr>
      <w:tr w:rsidR="007A5804"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7A5804" w:rsidRDefault="007B7723">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7A5804" w:rsidRDefault="007B7723">
            <w:pPr>
              <w:pStyle w:val="P68B1DB1-TableParagraph73"/>
              <w:spacing w:before="108"/>
              <w:ind w:left="85"/>
              <w:jc w:val="both"/>
              <w:rPr>
                <w:bCs/>
              </w:rPr>
            </w:pPr>
            <w:r>
              <w:t xml:space="preserve">Identifikátor protistrany  </w:t>
            </w:r>
          </w:p>
          <w:p w14:paraId="7FE1D07B" w14:textId="67D0F26D" w:rsidR="007A5804" w:rsidRDefault="007B7723">
            <w:pPr>
              <w:pStyle w:val="P68B1DB1-TableParagraph40"/>
              <w:spacing w:before="108"/>
              <w:ind w:left="85"/>
              <w:jc w:val="both"/>
            </w:pPr>
            <w:r>
              <w:t xml:space="preserve">Uveďte kód LEI vkladateľa. Ak neexistuje identifikátor LEI, v prípade správy bánk identifikátor ECB pre menové finančné inštitúcie (MFI ID) použitý v RIAD. Výlučne v prípade absencie oboch týchto identifikátorov nahláste interný identifikátor (za každú protistranu sa očakáva len jeden jedinečný identifikátor). </w:t>
            </w:r>
          </w:p>
        </w:tc>
      </w:tr>
      <w:tr w:rsidR="007A5804" w14:paraId="7FE1D07F" w14:textId="77777777">
        <w:tc>
          <w:tcPr>
            <w:tcW w:w="1188" w:type="dxa"/>
            <w:vMerge/>
            <w:tcBorders>
              <w:bottom w:val="single" w:sz="4" w:space="0" w:color="auto"/>
              <w:right w:val="single" w:sz="8" w:space="0" w:color="1A171C"/>
            </w:tcBorders>
            <w:vAlign w:val="center"/>
          </w:tcPr>
          <w:p w14:paraId="7FE1D07D" w14:textId="77777777" w:rsidR="007A5804" w:rsidRDefault="007A5804">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7A5804" w:rsidRDefault="007B7723">
            <w:pPr>
              <w:pStyle w:val="P68B1DB1-TableParagraph40"/>
              <w:spacing w:before="108"/>
              <w:ind w:left="85"/>
              <w:jc w:val="both"/>
            </w:pPr>
            <w:r>
              <w:t>V prípade vkladov vykázaných na agregovanej úrovni uveďte „0000“, keďže toto pole je povinné.</w:t>
            </w:r>
          </w:p>
        </w:tc>
      </w:tr>
      <w:tr w:rsidR="007A5804"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7A5804" w:rsidRDefault="007B7723">
            <w:pPr>
              <w:pStyle w:val="P68B1DB1-Normal31"/>
            </w:pPr>
            <w:r>
              <w:t>0045</w:t>
            </w:r>
          </w:p>
        </w:tc>
        <w:tc>
          <w:tcPr>
            <w:tcW w:w="7838" w:type="dxa"/>
            <w:gridSpan w:val="2"/>
            <w:tcBorders>
              <w:top w:val="single" w:sz="4" w:space="0" w:color="auto"/>
              <w:left w:val="single" w:sz="4" w:space="0" w:color="auto"/>
            </w:tcBorders>
          </w:tcPr>
          <w:p w14:paraId="7FE1D081" w14:textId="05C93935" w:rsidR="007A5804" w:rsidRDefault="007B7723">
            <w:pPr>
              <w:pStyle w:val="P68B1DB1-TableParagraph73"/>
              <w:spacing w:before="108"/>
              <w:ind w:left="85"/>
              <w:jc w:val="both"/>
              <w:rPr>
                <w:bCs/>
              </w:rPr>
            </w:pPr>
            <w:r>
              <w:t xml:space="preserve">Druh identifikátora </w:t>
            </w:r>
          </w:p>
          <w:p w14:paraId="7FE1D082" w14:textId="77777777" w:rsidR="007A5804" w:rsidRDefault="007B7723">
            <w:pPr>
              <w:pStyle w:val="P68B1DB1-TableParagraph40"/>
              <w:spacing w:before="108"/>
              <w:ind w:left="85"/>
              <w:jc w:val="both"/>
            </w:pPr>
            <w:r>
              <w:t xml:space="preserve">Vyberie sa z nasledujúcich možností: „Kód LEI“, „kód PFI“ alebo „Druh identifikátora iný ako </w:t>
            </w:r>
            <w:r>
              <w:lastRenderedPageBreak/>
              <w:t>LEI alebo kód PFI“.</w:t>
            </w:r>
          </w:p>
        </w:tc>
      </w:tr>
      <w:tr w:rsidR="007A5804"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7A5804" w:rsidRDefault="007A5804">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7A5804" w:rsidRDefault="007B7723">
            <w:pPr>
              <w:pStyle w:val="P68B1DB1-TableParagraph40"/>
              <w:spacing w:before="108"/>
              <w:ind w:left="85"/>
              <w:jc w:val="both"/>
            </w:pPr>
            <w:r>
              <w:t>V prípade vkladov vykazovaných na agregovanej úrovni uveďte „Druh identifikátora iného ako LEI alebo kód PFI“.</w:t>
            </w:r>
          </w:p>
        </w:tc>
      </w:tr>
      <w:tr w:rsidR="007A5804"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7A5804" w:rsidRDefault="007B7723">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7A5804" w:rsidRDefault="007B7723">
            <w:pPr>
              <w:pStyle w:val="P68B1DB1-TableParagraph73"/>
              <w:spacing w:before="108"/>
              <w:ind w:left="85"/>
              <w:jc w:val="both"/>
              <w:rPr>
                <w:bCs/>
              </w:rPr>
            </w:pPr>
            <w:r>
              <w:t xml:space="preserve">Rozhodné právo  </w:t>
            </w:r>
          </w:p>
          <w:p w14:paraId="7FE1D089" w14:textId="1A451092" w:rsidR="007A5804" w:rsidRDefault="007B7723">
            <w:pPr>
              <w:pStyle w:val="P68B1DB1-TableParagraph40"/>
              <w:spacing w:before="108"/>
              <w:ind w:left="85"/>
              <w:jc w:val="both"/>
            </w:pPr>
            <w:r>
              <w:t>Dvojmiestny abecedný kód ISO 3166 – 1 krajiny, ktorej právnym poriadkom sa nástroj riadi (použite kód ISO 3166 – 2 v prípade, že je relevantné právo správneho celku, napr. „US-NY“). Ak sa zmluva spravuje právom viac ako jednej krajiny, vykazuje sa krajina, ktorej právny poriadok má najvyšší význam pre uznanie právomocí na odpísanie a konverziu.  V prípade vkladov vykázaných na súhrnnej úrovni použite hodnotu „ostatné krajiny“.</w:t>
            </w:r>
          </w:p>
        </w:tc>
      </w:tr>
      <w:tr w:rsidR="007A5804"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7A5804" w:rsidRDefault="007B7723">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7A5804" w:rsidRDefault="007B7723">
            <w:pPr>
              <w:pStyle w:val="P68B1DB1-TableParagraph73"/>
              <w:spacing w:before="108"/>
              <w:ind w:left="85"/>
              <w:jc w:val="both"/>
              <w:rPr>
                <w:bCs/>
              </w:rPr>
            </w:pPr>
            <w:r>
              <w:t xml:space="preserve">Mena  </w:t>
            </w:r>
          </w:p>
          <w:p w14:paraId="7FE1D08D" w14:textId="3FCE0053" w:rsidR="007A5804" w:rsidRDefault="007B7723">
            <w:pPr>
              <w:pStyle w:val="P68B1DB1-TableParagraph40"/>
              <w:spacing w:before="108"/>
              <w:ind w:left="85"/>
              <w:jc w:val="both"/>
            </w:pPr>
            <w:r>
              <w:t>Mena vkladu v súlade s jeho trojpísmenovým kódom ISO 4217. V prípade vkladov vykázaných na súhrnnej úrovni použite hodnotu „XXX“.</w:t>
            </w:r>
          </w:p>
        </w:tc>
      </w:tr>
      <w:tr w:rsidR="007A5804"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7A5804" w:rsidRDefault="007B7723">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7A5804" w:rsidRDefault="007B7723">
            <w:pPr>
              <w:pStyle w:val="P68B1DB1-TableParagraph73"/>
              <w:spacing w:before="108"/>
              <w:ind w:left="85"/>
              <w:jc w:val="both"/>
              <w:rPr>
                <w:bCs/>
              </w:rPr>
            </w:pPr>
            <w:r>
              <w:t xml:space="preserve">Nesplatená suma istiny  </w:t>
            </w:r>
          </w:p>
          <w:p w14:paraId="7FE1D091" w14:textId="6232EFBD" w:rsidR="007A5804" w:rsidRDefault="007B7723">
            <w:pPr>
              <w:pStyle w:val="P68B1DB1-TableParagraph40"/>
              <w:spacing w:before="108"/>
              <w:ind w:left="85"/>
              <w:jc w:val="both"/>
            </w:pPr>
            <w:r>
              <w:t>Nesplatená suma istiny vkladu.</w:t>
            </w:r>
          </w:p>
        </w:tc>
      </w:tr>
      <w:tr w:rsidR="007A5804"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7A5804" w:rsidRDefault="007B7723">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7A5804" w:rsidRDefault="007B7723">
            <w:pPr>
              <w:pStyle w:val="P68B1DB1-TableParagraph73"/>
              <w:spacing w:before="108"/>
              <w:ind w:left="85"/>
              <w:jc w:val="both"/>
              <w:rPr>
                <w:bCs/>
              </w:rPr>
            </w:pPr>
            <w:r>
              <w:t xml:space="preserve">Vzniknutý úrok </w:t>
            </w:r>
          </w:p>
          <w:p w14:paraId="7FE1D095" w14:textId="1CBCCFC7" w:rsidR="007A5804" w:rsidRDefault="007B7723">
            <w:pPr>
              <w:pStyle w:val="P68B1DB1-TableParagraph40"/>
              <w:spacing w:before="108"/>
              <w:ind w:left="85"/>
              <w:jc w:val="both"/>
            </w:pPr>
            <w:r>
              <w:t>Nesplatený naakumulovaný úrok z vkladu.</w:t>
            </w:r>
          </w:p>
        </w:tc>
      </w:tr>
      <w:tr w:rsidR="007A5804"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7A5804" w:rsidRDefault="007B7723">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7A5804" w:rsidRDefault="007B7723">
            <w:pPr>
              <w:pStyle w:val="P68B1DB1-TableParagraph73"/>
              <w:spacing w:before="108"/>
              <w:ind w:left="85"/>
              <w:jc w:val="both"/>
              <w:rPr>
                <w:bCs/>
              </w:rPr>
            </w:pPr>
            <w:r>
              <w:t xml:space="preserve">Aktuálna úroková sadzba (%). </w:t>
            </w:r>
          </w:p>
          <w:p w14:paraId="7FE1D099" w14:textId="0E3CB279" w:rsidR="007A5804" w:rsidRDefault="007B7723">
            <w:pPr>
              <w:pStyle w:val="P68B1DB1-TableParagraph40"/>
              <w:spacing w:before="108"/>
              <w:ind w:left="85"/>
              <w:jc w:val="both"/>
            </w:pPr>
            <w:r>
              <w:t xml:space="preserve">Súčasná úroveň úrokovej sadzby, ktorá sa uplatňuje na vklad. </w:t>
            </w:r>
          </w:p>
        </w:tc>
      </w:tr>
      <w:tr w:rsidR="007A5804"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7A5804" w:rsidRDefault="007B7723">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7A5804" w:rsidRDefault="007B7723">
            <w:pPr>
              <w:pStyle w:val="P68B1DB1-TableParagraph73"/>
              <w:spacing w:before="108"/>
              <w:ind w:left="85"/>
              <w:jc w:val="both"/>
              <w:rPr>
                <w:bCs/>
              </w:rPr>
            </w:pPr>
            <w:r>
              <w:t xml:space="preserve">Výška záložného práva, záložného práva alebo kolaterálu </w:t>
            </w:r>
          </w:p>
          <w:p w14:paraId="7FE1D0A2" w14:textId="5FFC3F02" w:rsidR="007A5804" w:rsidRDefault="007B7723">
            <w:pPr>
              <w:pStyle w:val="P68B1DB1-TableParagraph40"/>
              <w:spacing w:before="108"/>
              <w:ind w:left="85"/>
              <w:jc w:val="both"/>
            </w:pPr>
            <w:r>
              <w:t>Ak je záväzok zabezpečený záložným právom, záložným právom alebo kolaterálom, uvedie sa hrubá trhová hodnota kolaterálu. V opačnom prípade sa v prípade nezabezpečených záväzkov táto kategória vykazuje ako nulová. Touto sumou sa určí zabezpečená a prípadne nezabezpečená časť akéhokoľvek zabezpečeného vkladu. V prípade skupín kolaterálov zabezpečujúcich viacero riadkových položiek určiť celkový ukazovateľ krytia a uplatniť pomerným dielom na všetky riadkové položky kryté touto skupinou.</w:t>
            </w:r>
          </w:p>
        </w:tc>
      </w:tr>
      <w:tr w:rsidR="007A5804"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7A5804" w:rsidRDefault="007B7723">
            <w:pPr>
              <w:pStyle w:val="P68B1DB1-Normal31"/>
            </w:pPr>
            <w:r>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7A5804" w:rsidRDefault="007B7723">
            <w:pPr>
              <w:pStyle w:val="P68B1DB1-TableParagraph73"/>
              <w:spacing w:before="108"/>
              <w:ind w:left="85"/>
              <w:jc w:val="both"/>
              <w:rPr>
                <w:bCs/>
              </w:rPr>
            </w:pPr>
            <w:r>
              <w:t xml:space="preserve">Suma spĺňajúca podmienky oprávnenosti MREL </w:t>
            </w:r>
          </w:p>
          <w:p w14:paraId="7FE1D0A6" w14:textId="65380CFA" w:rsidR="007A5804" w:rsidRDefault="007B7723">
            <w:pPr>
              <w:pStyle w:val="P68B1DB1-TableParagraph40"/>
              <w:spacing w:before="108"/>
              <w:ind w:left="85"/>
              <w:jc w:val="both"/>
            </w:pPr>
            <w:r>
              <w:t>Suma vlastných zdrojov a oprávnených záväzkov, ktoré sa započítavajú do požiadavky stanovenej v súlade s článkom 45 ods. 1 smernice 2014/59/EÚ.</w:t>
            </w:r>
          </w:p>
        </w:tc>
      </w:tr>
      <w:tr w:rsidR="007A5804"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7A5804" w:rsidRDefault="007B7723">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7A5804" w:rsidRDefault="007B7723">
            <w:pPr>
              <w:pStyle w:val="P68B1DB1-TableParagraph73"/>
              <w:spacing w:before="108"/>
              <w:ind w:left="85"/>
              <w:jc w:val="both"/>
              <w:rPr>
                <w:bCs/>
              </w:rPr>
            </w:pPr>
            <w:r>
              <w:t xml:space="preserve">Dátum emisie pre termínované vklady </w:t>
            </w:r>
          </w:p>
          <w:p w14:paraId="7FE1D0AA" w14:textId="77777777" w:rsidR="007A5804" w:rsidRDefault="007B7723">
            <w:pPr>
              <w:pStyle w:val="P68B1DB1-TableParagraph40"/>
              <w:spacing w:before="108"/>
              <w:ind w:left="85"/>
              <w:jc w:val="both"/>
            </w:pPr>
            <w:r>
              <w:t>Dátum pôvodnej emisie termínovaného vkladu.</w:t>
            </w:r>
          </w:p>
        </w:tc>
      </w:tr>
      <w:tr w:rsidR="007A5804" w14:paraId="7FE1D0AF" w14:textId="77777777">
        <w:tc>
          <w:tcPr>
            <w:tcW w:w="1188" w:type="dxa"/>
            <w:vMerge w:val="restart"/>
            <w:tcBorders>
              <w:top w:val="single" w:sz="8" w:space="0" w:color="1A171C"/>
              <w:left w:val="nil"/>
              <w:right w:val="single" w:sz="8" w:space="0" w:color="1A171C"/>
            </w:tcBorders>
          </w:tcPr>
          <w:p w14:paraId="7FE1D0AC" w14:textId="77777777" w:rsidR="007A5804" w:rsidRDefault="007B7723">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7A5804" w:rsidRDefault="007B7723">
            <w:pPr>
              <w:pStyle w:val="P68B1DB1-TableParagraph73"/>
              <w:spacing w:before="108"/>
              <w:ind w:left="85"/>
              <w:jc w:val="both"/>
              <w:rPr>
                <w:bCs/>
              </w:rPr>
            </w:pPr>
            <w:r>
              <w:t xml:space="preserve">Najskorší dátum vyplatenia  </w:t>
            </w:r>
          </w:p>
          <w:p w14:paraId="7FE1D0AE" w14:textId="5DABFCEF" w:rsidR="007A5804" w:rsidRDefault="007B7723">
            <w:pPr>
              <w:pStyle w:val="P68B1DB1-TableParagraph40"/>
              <w:spacing w:before="108"/>
              <w:ind w:left="85"/>
              <w:jc w:val="both"/>
            </w:pPr>
            <w:r>
              <w:t>Ak držitelia veriteľa majú možnosť požiadať o skorú úhradu záväzku alebo sa zmluvne predpokladajú podmienky predčasného splatenia, uveďte najskorší dátum vzniku, inak dátum zákonnej konečnej splatnosti vkladu. Ak sa predčasné splatenie týka len časti záväzku (napr. predčasné splatenie 50 % nominálnej hodnoty), rozčlení sa záväzok tak, aby sa zohľadnila táto doložka o čiastočnom predčasnom splatení.</w:t>
            </w:r>
          </w:p>
        </w:tc>
      </w:tr>
      <w:tr w:rsidR="007A5804" w14:paraId="7FE1D0B2" w14:textId="77777777">
        <w:tc>
          <w:tcPr>
            <w:tcW w:w="1188" w:type="dxa"/>
            <w:vMerge/>
            <w:tcBorders>
              <w:bottom w:val="single" w:sz="8" w:space="0" w:color="1A171C"/>
              <w:right w:val="single" w:sz="8" w:space="0" w:color="1A171C"/>
            </w:tcBorders>
            <w:vAlign w:val="center"/>
          </w:tcPr>
          <w:p w14:paraId="7FE1D0B0" w14:textId="77777777" w:rsidR="007A5804" w:rsidRDefault="007A580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7A5804" w:rsidRDefault="007B7723">
            <w:pPr>
              <w:pStyle w:val="P68B1DB1-TableParagraph40"/>
              <w:spacing w:before="108"/>
              <w:ind w:left="85"/>
              <w:jc w:val="both"/>
            </w:pPr>
            <w:r>
              <w:t xml:space="preserve">V prípade vkladov vykazovaných na súhrnnej úrovni sa najskorší dátum splatenia vykazuje ako „2199 – 12 – 31“. </w:t>
            </w:r>
          </w:p>
        </w:tc>
      </w:tr>
      <w:tr w:rsidR="007A5804" w14:paraId="7FE1D0B6" w14:textId="77777777">
        <w:tc>
          <w:tcPr>
            <w:tcW w:w="1188" w:type="dxa"/>
            <w:vMerge w:val="restart"/>
            <w:tcBorders>
              <w:top w:val="single" w:sz="8" w:space="0" w:color="1A171C"/>
              <w:left w:val="nil"/>
              <w:right w:val="single" w:sz="8" w:space="0" w:color="1A171C"/>
            </w:tcBorders>
          </w:tcPr>
          <w:p w14:paraId="7FE1D0B3" w14:textId="413885FF" w:rsidR="007A5804" w:rsidRDefault="007A5804">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7A5804" w:rsidRDefault="007A5804">
            <w:pPr>
              <w:pStyle w:val="TableParagraph"/>
              <w:spacing w:before="108"/>
              <w:ind w:left="85"/>
              <w:jc w:val="both"/>
              <w:rPr>
                <w:rFonts w:ascii="Times New Roman" w:eastAsia="Times New Roman" w:hAnsi="Times New Roman" w:cs="Times New Roman"/>
                <w:sz w:val="20"/>
                <w:szCs w:val="20"/>
              </w:rPr>
            </w:pPr>
          </w:p>
        </w:tc>
      </w:tr>
      <w:tr w:rsidR="007A5804" w14:paraId="7FE1D0B9" w14:textId="77777777">
        <w:tc>
          <w:tcPr>
            <w:tcW w:w="1188" w:type="dxa"/>
            <w:vMerge/>
            <w:tcBorders>
              <w:bottom w:val="single" w:sz="8" w:space="0" w:color="1A171C"/>
              <w:right w:val="single" w:sz="8" w:space="0" w:color="1A171C"/>
            </w:tcBorders>
            <w:vAlign w:val="center"/>
          </w:tcPr>
          <w:p w14:paraId="7FE1D0B7" w14:textId="77777777" w:rsidR="007A5804" w:rsidRDefault="007A5804">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7A5804" w:rsidRDefault="007A5804">
            <w:pPr>
              <w:rPr>
                <w:rFonts w:ascii="Times New Roman" w:hAnsi="Times New Roman" w:cs="Times New Roman"/>
              </w:rPr>
            </w:pPr>
          </w:p>
        </w:tc>
      </w:tr>
    </w:tbl>
    <w:p w14:paraId="7FE1D0BA" w14:textId="77777777" w:rsidR="007A5804" w:rsidRDefault="007A5804">
      <w:pPr>
        <w:pStyle w:val="body"/>
        <w:rPr>
          <w:rFonts w:ascii="Times New Roman" w:hAnsi="Times New Roman" w:cs="Times New Roman"/>
          <w:color w:val="000000" w:themeColor="text1"/>
          <w:sz w:val="20"/>
          <w:szCs w:val="20"/>
        </w:rPr>
      </w:pPr>
    </w:p>
    <w:p w14:paraId="7FE1D0BB" w14:textId="77777777" w:rsidR="007A5804" w:rsidRDefault="007A5804">
      <w:pPr>
        <w:rPr>
          <w:rFonts w:ascii="Times New Roman" w:hAnsi="Times New Roman" w:cs="Times New Roman"/>
        </w:rPr>
      </w:pPr>
    </w:p>
    <w:p w14:paraId="7FE1D0BC" w14:textId="77777777" w:rsidR="007A5804" w:rsidRDefault="007A5804">
      <w:pPr>
        <w:pStyle w:val="Instructionsberschrift2"/>
        <w:ind w:left="357"/>
        <w:rPr>
          <w:rFonts w:ascii="Times New Roman" w:eastAsia="Calibri" w:hAnsi="Times New Roman" w:cs="Times New Roman"/>
          <w:szCs w:val="20"/>
        </w:rPr>
      </w:pPr>
    </w:p>
    <w:p w14:paraId="7FE1D0BD" w14:textId="2FE97D37" w:rsidR="007A5804" w:rsidRDefault="007B7723">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273"/>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Ostatné finančné záväzky (nezahrnuté v iných záložkách okrem vnútroskupinových) </w:t>
      </w:r>
      <w:r>
        <w:rPr>
          <w:rFonts w:ascii="Times New Roman" w:eastAsia="Calibri" w:hAnsi="Times New Roman" w:cs="Times New Roman"/>
          <w:szCs w:val="20"/>
        </w:rPr>
        <w:t>(LIAB-G-4)</w:t>
      </w:r>
      <w:bookmarkEnd w:id="246"/>
    </w:p>
    <w:p w14:paraId="7FE1D0BE" w14:textId="56404057" w:rsidR="007A5804" w:rsidRDefault="007A5804">
      <w:pPr>
        <w:pStyle w:val="Instructionsberschrift2"/>
        <w:ind w:left="357"/>
        <w:rPr>
          <w:rFonts w:ascii="Times New Roman" w:eastAsiaTheme="minorEastAsia" w:hAnsi="Times New Roman" w:cs="Times New Roman"/>
          <w:color w:val="000000" w:themeColor="text1"/>
        </w:rPr>
      </w:pPr>
    </w:p>
    <w:p w14:paraId="7FE1D0BF" w14:textId="77777777" w:rsidR="007A5804" w:rsidRDefault="007B7723">
      <w:pPr>
        <w:pStyle w:val="P68B1DB1-Numberedtitlelevel372"/>
      </w:pPr>
      <w:r>
        <w:t>Všeobecné poznámky</w:t>
      </w:r>
    </w:p>
    <w:p w14:paraId="7FE1D0C0" w14:textId="28B97243" w:rsidR="007A5804" w:rsidRDefault="007B7723">
      <w:pPr>
        <w:pStyle w:val="P68B1DB1-InstructionsText286"/>
        <w:numPr>
          <w:ilvl w:val="2"/>
          <w:numId w:val="209"/>
        </w:numPr>
        <w:spacing w:before="0"/>
        <w:ind w:left="1276"/>
      </w:pPr>
      <w:r>
        <w:t>Táto tabuľka zahŕňa všetky záväzky, ktoré nie sú vykázané v žiadnej z ostatných požiadaviek na podrobné informácie (t. j. Z11.00, Z12.00, Z13.00, Z15.00, Z16.00 a Z17.00), ako sú úvery, prevádzkové záväzky, záväzky voči zúčtovacím ústavom atď.</w:t>
      </w:r>
    </w:p>
    <w:p w14:paraId="7FE1D0C2" w14:textId="3CB02A11" w:rsidR="007A5804" w:rsidRDefault="007B7723">
      <w:pPr>
        <w:pStyle w:val="P68B1DB1-InstructionsText286"/>
        <w:numPr>
          <w:ilvl w:val="2"/>
          <w:numId w:val="209"/>
        </w:numPr>
        <w:spacing w:before="0"/>
        <w:ind w:left="1276"/>
      </w:pPr>
      <w:r>
        <w:t>Kolónky, ktoré sa nevzťahujú na daný záväzok (napr. vzniknutý úrok, aktuálna úroková sadzba, dátum emisie atď.), sa môžu ponechať prázdne.</w:t>
      </w:r>
    </w:p>
    <w:p w14:paraId="7FE1D0C3" w14:textId="7C8B3D6D" w:rsidR="007A5804" w:rsidRDefault="007B7723">
      <w:pPr>
        <w:pStyle w:val="P68B1DB1-InstructionsText286"/>
        <w:numPr>
          <w:ilvl w:val="2"/>
          <w:numId w:val="209"/>
        </w:numPr>
        <w:spacing w:before="0"/>
        <w:ind w:left="1276"/>
      </w:pPr>
      <w:r>
        <w:t>Na účely tejto tabuľky sa záväzky vykazujú v riadkoch na úrovni podrobnosti vymedzenej v požadovaných poliach (v zásade každá transakcia vykazovaná ako individuálna položka riadku). Záväzky zamestnancov skupiny podľa druhu a poradia v konkurznom konaní.</w:t>
      </w:r>
    </w:p>
    <w:p w14:paraId="7FE1D0C5" w14:textId="77777777" w:rsidR="007A5804" w:rsidRDefault="007B7723">
      <w:pPr>
        <w:pStyle w:val="P68B1DB1-InstructionsText287"/>
        <w:numPr>
          <w:ilvl w:val="0"/>
          <w:numId w:val="0"/>
        </w:numPr>
        <w:spacing w:before="0"/>
      </w:pPr>
      <w:r>
        <w:t>Pokyny týkajúce sa konkrétnych pozícií</w:t>
      </w:r>
    </w:p>
    <w:tbl>
      <w:tblPr>
        <w:tblW w:w="9015" w:type="dxa"/>
        <w:tblInd w:w="135" w:type="dxa"/>
        <w:tblLayout w:type="fixed"/>
        <w:tblLook w:val="04A0" w:firstRow="1" w:lastRow="0" w:firstColumn="1" w:lastColumn="0" w:noHBand="0" w:noVBand="1"/>
      </w:tblPr>
      <w:tblGrid>
        <w:gridCol w:w="1183"/>
        <w:gridCol w:w="7832"/>
      </w:tblGrid>
      <w:tr w:rsidR="007A5804"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7A5804" w:rsidRDefault="007B7723">
            <w:pPr>
              <w:pStyle w:val="P68B1DB1-TableParagraph17"/>
              <w:spacing w:before="108"/>
              <w:ind w:left="85"/>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7A5804" w:rsidRDefault="007B7723">
            <w:pPr>
              <w:pStyle w:val="P68B1DB1-TableParagraph17"/>
              <w:spacing w:before="108"/>
              <w:ind w:left="85"/>
            </w:pPr>
            <w:r>
              <w:t xml:space="preserve">Pokyny </w:t>
            </w:r>
          </w:p>
        </w:tc>
      </w:tr>
      <w:tr w:rsidR="007A5804"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7A5804" w:rsidRDefault="007B772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7A5804" w:rsidRDefault="007B7723">
            <w:pPr>
              <w:pStyle w:val="P68B1DB1-TableParagraph73"/>
              <w:spacing w:before="108"/>
              <w:ind w:left="85"/>
              <w:jc w:val="both"/>
              <w:rPr>
                <w:bCs/>
              </w:rPr>
            </w:pPr>
            <w:r>
              <w:t xml:space="preserve">Č. </w:t>
            </w:r>
          </w:p>
          <w:p w14:paraId="7FE1D0CB" w14:textId="1F8D9197" w:rsidR="007A5804" w:rsidRDefault="007B7723">
            <w:pPr>
              <w:pStyle w:val="P68B1DB1-TableParagraph40"/>
              <w:spacing w:before="108"/>
              <w:ind w:left="85"/>
              <w:jc w:val="both"/>
            </w:pPr>
            <w:r>
              <w:t>Jedinečné číslo/primárny kľúč na identifikáciu riadkových položiek.</w:t>
            </w:r>
          </w:p>
        </w:tc>
      </w:tr>
      <w:tr w:rsidR="007A5804"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7A5804" w:rsidRDefault="007B772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7A5804" w:rsidRDefault="007B7723">
            <w:pPr>
              <w:pStyle w:val="P68B1DB1-TableParagraph73"/>
              <w:spacing w:before="108"/>
              <w:ind w:left="85"/>
              <w:jc w:val="both"/>
              <w:rPr>
                <w:bCs/>
              </w:rPr>
            </w:pPr>
            <w:r>
              <w:t xml:space="preserve">Riadok </w:t>
            </w:r>
          </w:p>
          <w:p w14:paraId="7FE1D0CF" w14:textId="3C03C281" w:rsidR="007A5804" w:rsidRDefault="007B7723">
            <w:pPr>
              <w:pStyle w:val="P68B1DB1-TableParagraph40"/>
              <w:spacing w:before="108"/>
              <w:ind w:left="85"/>
              <w:jc w:val="both"/>
            </w:pPr>
            <w:r>
              <w:t>Pre každý vykazovaný riadok sa musí uviesť zosúhlasenie s kategóriami záväzkov štruktúry záväzkov v Z02.00 na úrovni splatnosti z vopred stanoveného zoznamu hodnôt.</w:t>
            </w:r>
          </w:p>
        </w:tc>
      </w:tr>
      <w:tr w:rsidR="007A5804"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7A5804" w:rsidRDefault="007B772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7A5804" w:rsidRDefault="007B7723">
            <w:pPr>
              <w:pStyle w:val="P68B1DB1-TableParagraph73"/>
              <w:spacing w:before="108"/>
              <w:ind w:left="85"/>
              <w:jc w:val="both"/>
              <w:rPr>
                <w:bCs/>
              </w:rPr>
            </w:pPr>
            <w:r>
              <w:t xml:space="preserve">Stĺpec </w:t>
            </w:r>
          </w:p>
          <w:p w14:paraId="7FE1D0D3" w14:textId="0F37C958" w:rsidR="007A5804" w:rsidRDefault="007B7723">
            <w:pPr>
              <w:pStyle w:val="P68B1DB1-TableParagraph40"/>
              <w:spacing w:before="108"/>
              <w:ind w:left="85"/>
              <w:jc w:val="both"/>
            </w:pPr>
            <w:r>
              <w:t>Pre každý vykazovaný riadok sa zosúhlasenie s triedou protistrany v Z02.00, voči ktorej je záväzok dlžný, musí poskytnúť z vopred stanoveného zoznamu hodnôt.</w:t>
            </w:r>
          </w:p>
        </w:tc>
      </w:tr>
      <w:tr w:rsidR="007A5804"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7A5804" w:rsidRDefault="007B772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7A5804" w:rsidRDefault="007B7723">
            <w:pPr>
              <w:pStyle w:val="P68B1DB1-TableParagraph73"/>
              <w:spacing w:before="108"/>
              <w:ind w:left="85"/>
              <w:jc w:val="both"/>
              <w:rPr>
                <w:bCs/>
              </w:rPr>
            </w:pPr>
            <w:r>
              <w:t xml:space="preserve">Postavenie v konkurznom konaní  </w:t>
            </w:r>
          </w:p>
          <w:p w14:paraId="7FE1D0D7" w14:textId="3C00E6EA"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7A5804" w:rsidRDefault="007B772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7A5804" w:rsidRDefault="007B7723">
            <w:pPr>
              <w:pStyle w:val="P68B1DB1-TableParagraph73"/>
              <w:spacing w:before="108"/>
              <w:ind w:left="85"/>
              <w:jc w:val="both"/>
              <w:rPr>
                <w:bCs/>
              </w:rPr>
            </w:pPr>
            <w:r>
              <w:t xml:space="preserve">Identifikátor zmluvy </w:t>
            </w:r>
          </w:p>
          <w:p w14:paraId="7FE1D0DB" w14:textId="09A77FF8" w:rsidR="007A5804" w:rsidRDefault="007B7723">
            <w:pPr>
              <w:pStyle w:val="P68B1DB1-TableParagraph40"/>
              <w:spacing w:before="108"/>
              <w:ind w:left="85"/>
              <w:jc w:val="both"/>
            </w:pPr>
            <w:r>
              <w:t>Vykazuje sa ISIN alebo v prípade, že ISIN nie je k dispozícii, iný identifikátor zmluvy nástroja.</w:t>
            </w:r>
          </w:p>
        </w:tc>
      </w:tr>
      <w:tr w:rsidR="007A5804"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7A5804" w:rsidRDefault="007B7723">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7A5804" w:rsidRDefault="007B7723">
            <w:pPr>
              <w:pStyle w:val="P68B1DB1-TableParagraph73"/>
              <w:spacing w:before="108"/>
              <w:ind w:left="85"/>
              <w:jc w:val="both"/>
              <w:rPr>
                <w:bCs/>
              </w:rPr>
            </w:pPr>
            <w:r>
              <w:t xml:space="preserve">Názov protistrany </w:t>
            </w:r>
          </w:p>
          <w:p w14:paraId="7FE1D0DF" w14:textId="5D08E31A" w:rsidR="007A5804" w:rsidRDefault="007B7723">
            <w:pPr>
              <w:pStyle w:val="P68B1DB1-TableParagraph40"/>
              <w:spacing w:before="108"/>
              <w:ind w:left="85"/>
              <w:jc w:val="both"/>
            </w:pPr>
            <w:r>
              <w:t>Názov účtovnej jednotky protistrany záväzku.</w:t>
            </w:r>
          </w:p>
        </w:tc>
      </w:tr>
      <w:tr w:rsidR="007A5804"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7A5804" w:rsidRDefault="007B772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7A5804" w:rsidRDefault="007B7723">
            <w:pPr>
              <w:pStyle w:val="P68B1DB1-TableParagraph73"/>
              <w:spacing w:before="108"/>
              <w:ind w:left="85"/>
              <w:jc w:val="both"/>
            </w:pPr>
            <w:r>
              <w:t>Identifikátor protistrany</w:t>
            </w:r>
          </w:p>
          <w:p w14:paraId="7FE1D0E3" w14:textId="4E34C2DB" w:rsidR="007A5804" w:rsidRDefault="007B7723">
            <w:pPr>
              <w:pStyle w:val="P68B1DB1-TableParagraph40"/>
              <w:spacing w:before="108"/>
              <w:ind w:left="85"/>
              <w:jc w:val="both"/>
            </w:pPr>
            <w:r>
              <w:t>Uveďte kód LEI veriteľa. Ak neexistuje identifikátor LEI, v prípade správy bánk identifikátor ECB pre menové finančné inštitúcie (MFI ID) použitý v RIAD. Výlučne v prípade absencie oboch týchto identifikátorov nahláste interný identifikátor.</w:t>
            </w:r>
          </w:p>
          <w:p w14:paraId="7FE1D0E4" w14:textId="1D573481" w:rsidR="007A5804" w:rsidRDefault="007A5804">
            <w:pPr>
              <w:pStyle w:val="TableParagraph"/>
              <w:spacing w:before="108"/>
              <w:ind w:left="85"/>
              <w:jc w:val="both"/>
              <w:rPr>
                <w:rFonts w:ascii="Times New Roman" w:eastAsia="Times New Roman" w:hAnsi="Times New Roman" w:cs="Times New Roman"/>
                <w:sz w:val="20"/>
                <w:szCs w:val="20"/>
              </w:rPr>
            </w:pPr>
          </w:p>
        </w:tc>
      </w:tr>
      <w:tr w:rsidR="007A5804"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7A5804" w:rsidRDefault="007B772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7A5804" w:rsidRDefault="007B7723">
            <w:pPr>
              <w:pStyle w:val="P68B1DB1-TableParagraph73"/>
              <w:spacing w:before="108"/>
              <w:ind w:left="85"/>
              <w:jc w:val="both"/>
              <w:rPr>
                <w:bCs/>
              </w:rPr>
            </w:pPr>
            <w:r>
              <w:t xml:space="preserve">Druh identifikátora </w:t>
            </w:r>
          </w:p>
          <w:p w14:paraId="7FE1D0E8"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7A5804" w:rsidRDefault="007B7723">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7A5804" w:rsidRDefault="007B7723">
            <w:pPr>
              <w:pStyle w:val="P68B1DB1-TableParagraph73"/>
              <w:spacing w:before="108"/>
              <w:ind w:left="85"/>
              <w:jc w:val="both"/>
              <w:rPr>
                <w:bCs/>
              </w:rPr>
            </w:pPr>
            <w:r>
              <w:t xml:space="preserve">Rozhodné právo  </w:t>
            </w:r>
          </w:p>
          <w:p w14:paraId="7FE1D0EC" w14:textId="237CB9E1" w:rsidR="007A5804" w:rsidRDefault="007B7723">
            <w:pPr>
              <w:pStyle w:val="P68B1DB1-TableParagraph40"/>
              <w:spacing w:before="108"/>
              <w:ind w:left="85"/>
              <w:jc w:val="both"/>
            </w:pPr>
            <w:r>
              <w:t xml:space="preserve">Dvojmiestny abecedný kód ISO 3166 – 1 krajiny, ktorej právnym poriadkom sa nástroj riadi (použite kód ISO 3166 – 2 v prípade, že je relevantné právo správneho celku, napr. „US-NY“). </w:t>
            </w:r>
            <w:r>
              <w:lastRenderedPageBreak/>
              <w:t xml:space="preserve">Ak sa zmluva spravuje právom viac ako jednej krajiny, vykazuje sa krajina, ktorej právny poriadok má najvyšší význam pre uznanie právomocí na odpísanie a konverziu.  </w:t>
            </w:r>
          </w:p>
        </w:tc>
      </w:tr>
      <w:tr w:rsidR="007A5804"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7A5804" w:rsidRDefault="007B7723">
            <w:pPr>
              <w:pStyle w:val="P68B1DB1-Normal31"/>
            </w:pPr>
            <w:r>
              <w:lastRenderedPageBreak/>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7A5804" w:rsidRDefault="007B7723">
            <w:pPr>
              <w:pStyle w:val="P68B1DB1-TableParagraph73"/>
              <w:spacing w:before="108"/>
              <w:ind w:left="85"/>
              <w:jc w:val="both"/>
              <w:rPr>
                <w:bCs/>
              </w:rPr>
            </w:pPr>
            <w:r>
              <w:t xml:space="preserve">Druh finančných záväzkov </w:t>
            </w:r>
          </w:p>
          <w:p w14:paraId="7FE1D0F0" w14:textId="3ACB2D3D" w:rsidR="007A5804" w:rsidRDefault="007B7723">
            <w:pPr>
              <w:pStyle w:val="P68B1DB1-TableParagraph40"/>
              <w:spacing w:before="108"/>
              <w:ind w:left="85"/>
              <w:jc w:val="both"/>
            </w:pPr>
            <w:r>
              <w:t>Vyberie sa z nasledujúcich možností „Poukážkový úver“, „registrovaný dlhopis“, „Zmenový list“, „Príspevky tichého partnerstva“, „Ostatné finančné záväzky“.</w:t>
            </w:r>
          </w:p>
        </w:tc>
      </w:tr>
      <w:tr w:rsidR="007A5804"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7A5804" w:rsidRDefault="007B772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7A5804" w:rsidRDefault="007B7723">
            <w:pPr>
              <w:pStyle w:val="P68B1DB1-TableParagraph73"/>
              <w:spacing w:before="108"/>
              <w:ind w:left="85"/>
              <w:jc w:val="both"/>
            </w:pPr>
            <w:r>
              <w:t xml:space="preserve">Ak ide o právo tretej krajiny, zmluvné uznanie </w:t>
            </w:r>
          </w:p>
          <w:p w14:paraId="7FE1D0F6" w14:textId="77777777" w:rsidR="007A5804" w:rsidRDefault="007B7723">
            <w:pPr>
              <w:pStyle w:val="P68B1DB1-TableParagraph40"/>
              <w:spacing w:before="108"/>
              <w:ind w:left="85"/>
              <w:jc w:val="both"/>
            </w:pPr>
            <w:r>
              <w:t xml:space="preserve">Určenie zmluvných ustanovení na uznanie právomocí záchrany pomocou vnútorných zdrojov v súlade s článkom 55 smernice o ozdravení a riešení krízových situácií bánk, buď </w:t>
            </w:r>
          </w:p>
          <w:p w14:paraId="7FE1D0F7" w14:textId="77777777" w:rsidR="007A5804" w:rsidRDefault="007B7723">
            <w:pPr>
              <w:pStyle w:val="P68B1DB1-TableParagraph40"/>
              <w:spacing w:before="108"/>
              <w:ind w:left="85"/>
              <w:jc w:val="both"/>
            </w:pPr>
            <w:r>
              <w:t>Áno, podporené právnym stanoviskom“ = záväzok zahŕňa doložku o uznaní záchrany pomocou vnútorných zdrojov v súlade s článkom 55 smernice o ozdravení a riešení krízových situácií bánk, ktorá je podporená právnym stanoviskom;</w:t>
            </w:r>
          </w:p>
          <w:p w14:paraId="7FE1D0F8" w14:textId="77777777" w:rsidR="007A5804" w:rsidRDefault="007B7723">
            <w:pPr>
              <w:pStyle w:val="P68B1DB1-TableParagraph40"/>
              <w:spacing w:before="108"/>
              <w:ind w:left="85"/>
              <w:jc w:val="both"/>
            </w:pPr>
            <w:r>
              <w:t>„Áno, nepodporené právnym stanoviskom“ = záväzok zahŕňa doložku o uznaní záchrany pomocou vnútorných zdrojov v súlade s článkom 55 smernice o ozdravení a riešení krízových situácií bánk, ktorá v súčasnosti nie je podporená právnym stanoviskom;</w:t>
            </w:r>
          </w:p>
          <w:p w14:paraId="7FE1D0F9" w14:textId="77777777" w:rsidR="007A5804" w:rsidRDefault="007B7723">
            <w:pPr>
              <w:pStyle w:val="P68B1DB1-TableParagraph40"/>
              <w:spacing w:before="108"/>
              <w:ind w:left="85"/>
              <w:jc w:val="both"/>
            </w:pPr>
            <w:r>
              <w:t>„Nie“ = záväzok nezahŕňa doložku o uznaní záchrany pomocou vnútorných zdrojov;</w:t>
            </w:r>
          </w:p>
          <w:p w14:paraId="7FE1D0FA" w14:textId="07E9B1A6" w:rsidR="007A5804" w:rsidRDefault="007B7723">
            <w:pPr>
              <w:pStyle w:val="P68B1DB1-TableParagraph40"/>
              <w:spacing w:before="108"/>
              <w:ind w:left="85"/>
              <w:jc w:val="both"/>
            </w:pPr>
            <w:r>
              <w:t xml:space="preserve">„Neuplatňuje sa“,   </w:t>
            </w:r>
          </w:p>
          <w:p w14:paraId="7FE1D0FB" w14:textId="77777777" w:rsidR="007A5804" w:rsidRDefault="007B7723">
            <w:pPr>
              <w:pStyle w:val="P68B1DB1-TableParagraph40"/>
              <w:spacing w:before="108"/>
              <w:ind w:left="85"/>
              <w:jc w:val="both"/>
            </w:pPr>
            <w:r>
              <w:t>z vopred zostaveného zoznamu.</w:t>
            </w:r>
          </w:p>
        </w:tc>
      </w:tr>
      <w:tr w:rsidR="007A5804"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7A5804" w:rsidRDefault="007B772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7A5804" w:rsidRDefault="007B7723">
            <w:pPr>
              <w:pStyle w:val="P68B1DB1-TableParagraph73"/>
              <w:spacing w:before="108"/>
              <w:ind w:left="85"/>
              <w:jc w:val="both"/>
              <w:rPr>
                <w:bCs/>
              </w:rPr>
            </w:pPr>
            <w:r>
              <w:t xml:space="preserve">Nesplatená suma istiny  </w:t>
            </w:r>
          </w:p>
          <w:p w14:paraId="7FE1D0FF" w14:textId="66FDB1F5" w:rsidR="007A5804" w:rsidRDefault="007B7723">
            <w:pPr>
              <w:pStyle w:val="P68B1DB1-TableParagraph40"/>
              <w:spacing w:before="108"/>
              <w:ind w:left="85"/>
              <w:jc w:val="both"/>
            </w:pPr>
            <w:r>
              <w:t>Nevyplatená hodnota istiny.</w:t>
            </w:r>
          </w:p>
        </w:tc>
      </w:tr>
      <w:tr w:rsidR="007A5804"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7A5804" w:rsidRDefault="007B772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7A5804" w:rsidRDefault="007B7723">
            <w:pPr>
              <w:pStyle w:val="P68B1DB1-TableParagraph73"/>
              <w:spacing w:before="108"/>
              <w:ind w:left="85"/>
              <w:jc w:val="both"/>
              <w:rPr>
                <w:bCs/>
              </w:rPr>
            </w:pPr>
            <w:r>
              <w:t xml:space="preserve">Vzniknutý úrok </w:t>
            </w:r>
          </w:p>
          <w:p w14:paraId="7FE1D103" w14:textId="345D6EBF" w:rsidR="007A5804" w:rsidRDefault="007B7723">
            <w:pPr>
              <w:pStyle w:val="P68B1DB1-TableParagraph40"/>
              <w:spacing w:before="108"/>
              <w:ind w:left="85"/>
              <w:jc w:val="both"/>
            </w:pPr>
            <w:r>
              <w:t>Nesplatený naakumulovaný úrok zo záväzku.</w:t>
            </w:r>
          </w:p>
        </w:tc>
      </w:tr>
      <w:tr w:rsidR="007A5804"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7A5804" w:rsidRDefault="007B772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7A5804" w:rsidRDefault="007B7723">
            <w:pPr>
              <w:pStyle w:val="P68B1DB1-TableParagraph73"/>
              <w:spacing w:before="108"/>
              <w:ind w:left="85"/>
              <w:jc w:val="both"/>
              <w:rPr>
                <w:bCs/>
              </w:rPr>
            </w:pPr>
            <w:r>
              <w:t xml:space="preserve">Aktuálna úroková sadzba (%) </w:t>
            </w:r>
          </w:p>
          <w:p w14:paraId="7FE1D107" w14:textId="574366AF" w:rsidR="007A5804" w:rsidRDefault="007B7723">
            <w:pPr>
              <w:pStyle w:val="P68B1DB1-TableParagraph40"/>
              <w:spacing w:before="108"/>
              <w:ind w:left="85"/>
              <w:jc w:val="both"/>
            </w:pPr>
            <w:r>
              <w:t xml:space="preserve">Aktuálna úroveň úrokovej sadzby, ktorá sa uplatňuje na záväzok. </w:t>
            </w:r>
          </w:p>
        </w:tc>
      </w:tr>
      <w:tr w:rsidR="007A5804"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7A5804" w:rsidRDefault="007B772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7A5804" w:rsidRDefault="007B7723">
            <w:pPr>
              <w:pStyle w:val="P68B1DB1-TableParagraph73"/>
              <w:spacing w:before="108"/>
              <w:ind w:left="85"/>
              <w:jc w:val="both"/>
              <w:rPr>
                <w:bCs/>
              </w:rPr>
            </w:pPr>
            <w:r>
              <w:t xml:space="preserve">Mena  </w:t>
            </w:r>
          </w:p>
          <w:p w14:paraId="7FE1D10B" w14:textId="4FC71DBE" w:rsidR="007A5804" w:rsidRDefault="007B7723">
            <w:pPr>
              <w:pStyle w:val="P68B1DB1-TableParagraph40"/>
              <w:spacing w:before="108"/>
              <w:ind w:left="85"/>
              <w:jc w:val="both"/>
            </w:pPr>
            <w:r>
              <w:t>Mena záväzku v súlade s jeho trojpísmenovým kódom ISO 4217.</w:t>
            </w:r>
          </w:p>
        </w:tc>
      </w:tr>
      <w:tr w:rsidR="007A5804"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7A5804" w:rsidRDefault="007B7723">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7A5804" w:rsidRDefault="007B7723">
            <w:pPr>
              <w:pStyle w:val="P68B1DB1-TableParagraph73"/>
              <w:spacing w:before="108"/>
              <w:ind w:left="85"/>
              <w:jc w:val="both"/>
              <w:rPr>
                <w:bCs/>
              </w:rPr>
            </w:pPr>
            <w:r>
              <w:t xml:space="preserve">Dátum vydania </w:t>
            </w:r>
          </w:p>
          <w:p w14:paraId="7FE1D10F" w14:textId="77777777" w:rsidR="007A5804" w:rsidRDefault="007B7723">
            <w:pPr>
              <w:pStyle w:val="P68B1DB1-TableParagraph40"/>
              <w:spacing w:before="108"/>
              <w:ind w:left="85"/>
              <w:jc w:val="both"/>
            </w:pPr>
            <w:r>
              <w:t>Dátum pôvodnej emisie záväzku.</w:t>
            </w:r>
          </w:p>
        </w:tc>
      </w:tr>
      <w:tr w:rsidR="007A5804"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7A5804" w:rsidRDefault="007B772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7A5804" w:rsidRDefault="007B7723">
            <w:pPr>
              <w:pStyle w:val="P68B1DB1-TableParagraph73"/>
              <w:spacing w:before="108"/>
              <w:ind w:left="85"/>
              <w:jc w:val="both"/>
              <w:rPr>
                <w:bCs/>
              </w:rPr>
            </w:pPr>
            <w:r>
              <w:t xml:space="preserve">Najskorší dátum vyskladnenia  </w:t>
            </w:r>
          </w:p>
          <w:p w14:paraId="7FE1D113" w14:textId="6DCF0327" w:rsidR="007A5804" w:rsidRDefault="007B7723">
            <w:pPr>
              <w:pStyle w:val="P68B1DB1-TableParagraph40"/>
              <w:spacing w:before="108"/>
              <w:ind w:left="85"/>
              <w:jc w:val="both"/>
            </w:pPr>
            <w:r>
              <w:t>Ak veriteľ má možnosť požiadať o predčasné splatenie alebo sa zmluvne predpokladajú podmienky predčasného splatenia záväzku, uveďte najskorší dátum. Ak sa predčasné splatenie týka len časti záväzku (napr. predčasné splatenie 50 % nominálnej hodnoty), rozčlení sa záväzok tak, aby sa zohľadnila táto doložka o čiastočnom predčasnom splatení.</w:t>
            </w:r>
          </w:p>
        </w:tc>
      </w:tr>
      <w:tr w:rsidR="007A5804"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7A5804" w:rsidRDefault="007B7723">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7A5804" w:rsidRDefault="007B7723">
            <w:pPr>
              <w:pStyle w:val="P68B1DB1-TableParagraph73"/>
              <w:spacing w:before="108"/>
              <w:ind w:left="85"/>
              <w:jc w:val="both"/>
              <w:rPr>
                <w:bCs/>
              </w:rPr>
            </w:pPr>
            <w:r>
              <w:t xml:space="preserve"> Zákonný dátum splatnosti </w:t>
            </w:r>
          </w:p>
          <w:p w14:paraId="7FE1D117" w14:textId="39B8EDB9" w:rsidR="007A5804" w:rsidRDefault="007B7723">
            <w:pPr>
              <w:pStyle w:val="P68B1DB1-TableParagraph40"/>
              <w:spacing w:before="108"/>
              <w:ind w:left="85"/>
              <w:jc w:val="both"/>
            </w:pPr>
            <w:r>
              <w:t>Dátum zákonnej konečnej splatnosti nástroja. V prípade večných cenných papierov uveďte „2099 – 01 – 31“.</w:t>
            </w:r>
          </w:p>
        </w:tc>
      </w:tr>
      <w:tr w:rsidR="007A5804"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7A5804" w:rsidRDefault="007B7723">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7A5804" w:rsidRDefault="007B7723">
            <w:pPr>
              <w:pStyle w:val="P68B1DB1-TableParagraph73"/>
              <w:spacing w:before="108"/>
              <w:ind w:left="85"/>
              <w:jc w:val="both"/>
              <w:rPr>
                <w:bCs/>
              </w:rPr>
            </w:pPr>
            <w:r>
              <w:t xml:space="preserve">Výška záložného práva, záložného práva alebo kolaterálu </w:t>
            </w:r>
          </w:p>
          <w:p w14:paraId="7FE1D120" w14:textId="7CF01C3B" w:rsidR="007A5804" w:rsidRDefault="007B7723">
            <w:pPr>
              <w:pStyle w:val="P68B1DB1-TableParagraph40"/>
              <w:spacing w:before="108"/>
              <w:ind w:left="85"/>
              <w:jc w:val="both"/>
            </w:pPr>
            <w:r>
              <w:t>Ak je záväzok zabezpečený záložným právom, záložným právom alebo kolaterálom, uvedie sa hrubá trhová hodnota kolaterálu. V opačnom prípade sa v prípade nezabezpečených záväzkov táto kategória vykazuje ako nulová. Táto suma určí kolateralizovanú a prípadne nezabezpečenú časť akéhokoľvek zabezpečeného záväzku. V prípade skupín kolaterálov zabezpečujúcich viacero riadkových položiek určiť celkový ukazovateľ krytia a uplatniť pomerným dielom na všetky riadkové položky kryté touto skupinou.</w:t>
            </w:r>
          </w:p>
        </w:tc>
      </w:tr>
      <w:tr w:rsidR="007A5804"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7A5804" w:rsidRDefault="007B7723">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7A5804" w:rsidRDefault="007B7723">
            <w:pPr>
              <w:pStyle w:val="P68B1DB1-TableParagraph73"/>
              <w:spacing w:before="108"/>
              <w:ind w:left="85"/>
              <w:jc w:val="both"/>
              <w:rPr>
                <w:bCs/>
              </w:rPr>
            </w:pPr>
            <w:r>
              <w:t xml:space="preserve">Ručiteľ </w:t>
            </w:r>
          </w:p>
          <w:p w14:paraId="7FE1D124" w14:textId="216ADC15" w:rsidR="007A5804" w:rsidRDefault="007B7723">
            <w:pPr>
              <w:pStyle w:val="P68B1DB1-TableParagraph40"/>
              <w:spacing w:before="108"/>
              <w:ind w:left="85"/>
              <w:jc w:val="both"/>
            </w:pPr>
            <w:r>
              <w:t xml:space="preserve">Ak sú za nástroj poskytnuté záruky, uveďte podrobnú identifikáciu ručiteľa (kód LEI, kód </w:t>
            </w:r>
            <w:r>
              <w:lastRenderedPageBreak/>
              <w:t>krajiny ISO 3166 – 1 alfa-2 pre verejnú správu atď.). Ak sú prítomní viacerí ručiteľi, uveďte všetky identifikátory oddelené bodkočiarkou.</w:t>
            </w:r>
          </w:p>
        </w:tc>
      </w:tr>
      <w:tr w:rsidR="007A5804"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7A5804" w:rsidRDefault="007B7723">
            <w:pPr>
              <w:pStyle w:val="P68B1DB1-Normal31"/>
            </w:pPr>
            <w:r>
              <w:lastRenderedPageBreak/>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7A5804" w:rsidRDefault="007B7723">
            <w:pPr>
              <w:pStyle w:val="P68B1DB1-TableParagraph73"/>
              <w:spacing w:before="108"/>
              <w:ind w:left="85"/>
              <w:jc w:val="both"/>
              <w:rPr>
                <w:bCs/>
              </w:rPr>
            </w:pPr>
            <w:r>
              <w:t xml:space="preserve">Suma spĺňajúca podmienky oprávnenosti MREL </w:t>
            </w:r>
          </w:p>
          <w:p w14:paraId="7FE1D130" w14:textId="267C8F59" w:rsidR="007A5804" w:rsidRDefault="007B7723">
            <w:pPr>
              <w:pStyle w:val="P68B1DB1-TableParagraph40"/>
              <w:spacing w:before="108"/>
              <w:ind w:left="85"/>
              <w:jc w:val="both"/>
            </w:pPr>
            <w:r>
              <w:t>Suma vlastných zdrojov a oprávnených záväzkov, ktoré sa započítavajú do požiadavky stanovenej v súlade s článkom 45 ods. 1 smernice 2014/59/EÚ</w:t>
            </w:r>
          </w:p>
        </w:tc>
      </w:tr>
      <w:tr w:rsidR="007A5804"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7A5804" w:rsidRDefault="007B7723">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7A5804" w:rsidRDefault="007B7723">
            <w:pPr>
              <w:pStyle w:val="P68B1DB1-TableParagraph73"/>
              <w:spacing w:before="108"/>
              <w:ind w:left="85"/>
              <w:jc w:val="both"/>
              <w:rPr>
                <w:bCs/>
              </w:rPr>
            </w:pPr>
            <w:r>
              <w:t xml:space="preserve">Kvalifikované ako vlastné zdroje </w:t>
            </w:r>
          </w:p>
          <w:p w14:paraId="7FE1D134" w14:textId="3B38CBB9" w:rsidR="007A5804" w:rsidRDefault="007B7723">
            <w:pPr>
              <w:pStyle w:val="P68B1DB1-TableParagraph40"/>
              <w:spacing w:before="108"/>
              <w:ind w:left="85"/>
              <w:jc w:val="both"/>
            </w:pPr>
            <w:r>
              <w:t>Uveďte, či a na akej úrovni je nástroj zahrnutý do vlastných zdrojov, spolu s informáciami o režime postupného ukončovania a opatreniach na zachovanie predchádzajúceho stavu. Hodnota môže byť „Nie“, „čiastočne AT1, T1 a T2“, „T2 v postupnom ukončovaní“, „T2 zachránený“ alebo „CET1“ z vopred zostaveného zoznamu.</w:t>
            </w:r>
          </w:p>
        </w:tc>
      </w:tr>
      <w:tr w:rsidR="007A5804"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7A5804" w:rsidRDefault="007B7723">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7A5804" w:rsidRDefault="007B7723">
            <w:pPr>
              <w:pStyle w:val="P68B1DB1-TableParagraph40"/>
              <w:spacing w:before="108"/>
              <w:ind w:left="85"/>
              <w:jc w:val="both"/>
              <w:rPr>
                <w:b/>
                <w:bCs/>
              </w:rPr>
            </w:pPr>
            <w:r>
              <w:t xml:space="preserve"> </w:t>
            </w:r>
            <w:r>
              <w:rPr>
                <w:b/>
              </w:rPr>
              <w:t>Suma kvalifikovaná ako vlastné zdroje</w:t>
            </w:r>
          </w:p>
          <w:p w14:paraId="7FE1D138" w14:textId="48ED7147" w:rsidR="007A5804" w:rsidRDefault="007B7723">
            <w:pPr>
              <w:pStyle w:val="P68B1DB1-TableParagraph40"/>
              <w:spacing w:before="108"/>
              <w:ind w:left="85"/>
              <w:jc w:val="both"/>
            </w:pPr>
            <w:r>
              <w:t>Hodnota nástroja kvalifikovaného ako vlastné zdroje.</w:t>
            </w:r>
          </w:p>
        </w:tc>
      </w:tr>
    </w:tbl>
    <w:p w14:paraId="7FE1D13A" w14:textId="77777777" w:rsidR="007A5804" w:rsidRDefault="007A5804">
      <w:pPr>
        <w:pStyle w:val="Instructionsberschrift2"/>
        <w:ind w:left="357"/>
        <w:rPr>
          <w:rFonts w:ascii="Times New Roman" w:eastAsia="Calibri" w:hAnsi="Times New Roman" w:cs="Times New Roman"/>
          <w:szCs w:val="20"/>
        </w:rPr>
      </w:pPr>
      <w:bookmarkStart w:id="247" w:name="_Toc81454216"/>
    </w:p>
    <w:p w14:paraId="7FE1D13B" w14:textId="0DCB9703" w:rsidR="007A5804" w:rsidRDefault="007B7723">
      <w:pPr>
        <w:pStyle w:val="Instructionsberschrift2"/>
        <w:numPr>
          <w:ilvl w:val="1"/>
          <w:numId w:val="49"/>
        </w:numPr>
        <w:spacing w:before="0"/>
        <w:ind w:left="357" w:hanging="357"/>
        <w:rPr>
          <w:rFonts w:ascii="Times New Roman" w:hAnsi="Times New Roman" w:cs="Times New Roman"/>
        </w:rPr>
      </w:pPr>
      <w:bookmarkStart w:id="248" w:name="_Toc208245274"/>
      <w:r>
        <w:rPr>
          <w:rFonts w:ascii="Times New Roman" w:eastAsiaTheme="minorEastAsia" w:hAnsi="Times New Roman" w:cs="Times New Roman"/>
        </w:rPr>
        <w:t xml:space="preserve">Z 15.00 – Deriváty </w:t>
      </w:r>
      <w:r>
        <w:rPr>
          <w:rFonts w:ascii="Times New Roman" w:eastAsia="Calibri" w:hAnsi="Times New Roman" w:cs="Times New Roman"/>
          <w:szCs w:val="20"/>
        </w:rPr>
        <w:t>(LIAB-G-5)</w:t>
      </w:r>
      <w:bookmarkEnd w:id="248"/>
    </w:p>
    <w:bookmarkEnd w:id="247"/>
    <w:p w14:paraId="7FE1D13D" w14:textId="77777777" w:rsidR="007A5804" w:rsidRDefault="007B7723">
      <w:pPr>
        <w:pStyle w:val="P68B1DB1-Numberedtitlelevel388"/>
      </w:pPr>
      <w:r>
        <w:t>Všeobecné poznámky</w:t>
      </w:r>
    </w:p>
    <w:p w14:paraId="7FE1D13E" w14:textId="2F22A34C" w:rsidR="007A5804" w:rsidRDefault="007B7723">
      <w:pPr>
        <w:pStyle w:val="P68B1DB1-InstructionsText286"/>
        <w:numPr>
          <w:ilvl w:val="2"/>
          <w:numId w:val="209"/>
        </w:numPr>
        <w:spacing w:before="0"/>
        <w:ind w:left="1276"/>
        <w:rPr>
          <w:rFonts w:eastAsiaTheme="majorEastAsia"/>
        </w:rPr>
      </w:pPr>
      <w:r>
        <w:t xml:space="preserve">Na účely tejto tabuľky sa záväzky vyplývajúce z derivátov vykazujú prostredníctvom súboru vzájomného započítavania, t. j. každého súboru vzájomného započítavania vykázaného ako samostatná položka riadku. </w:t>
      </w:r>
    </w:p>
    <w:p w14:paraId="7FE1D140" w14:textId="6B5870BD" w:rsidR="007A5804" w:rsidRDefault="007B7723">
      <w:pPr>
        <w:pStyle w:val="P68B1DB1-InstructionsText286"/>
        <w:numPr>
          <w:ilvl w:val="2"/>
          <w:numId w:val="209"/>
        </w:numPr>
        <w:spacing w:before="0"/>
        <w:ind w:left="1276"/>
      </w:pPr>
      <w:r>
        <w:t>Vykazujú sa len súbory vzájomného započítavania derivátov/jediné zmluvy, ktorých výsledkom je čistý záväzok oceňovania trhovými cenami (stĺpec c0120).</w:t>
      </w:r>
    </w:p>
    <w:p w14:paraId="7FE1D142" w14:textId="77777777" w:rsidR="007A5804" w:rsidRDefault="007B7723">
      <w:pPr>
        <w:pStyle w:val="P68B1DB1-Numberedtitlelevel388"/>
      </w:pPr>
      <w:r>
        <w:t>Pokyny týkajúce sa konkrétnych pozícií</w:t>
      </w:r>
    </w:p>
    <w:tbl>
      <w:tblPr>
        <w:tblW w:w="9015" w:type="dxa"/>
        <w:tblInd w:w="135" w:type="dxa"/>
        <w:tblLayout w:type="fixed"/>
        <w:tblLook w:val="04A0" w:firstRow="1" w:lastRow="0" w:firstColumn="1" w:lastColumn="0" w:noHBand="0" w:noVBand="1"/>
      </w:tblPr>
      <w:tblGrid>
        <w:gridCol w:w="1183"/>
        <w:gridCol w:w="7832"/>
      </w:tblGrid>
      <w:tr w:rsidR="007A5804"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7A5804" w:rsidRDefault="007B7723">
            <w:pPr>
              <w:pStyle w:val="P68B1DB1-Normal31"/>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7A5804" w:rsidRDefault="007B7723">
            <w:pPr>
              <w:pStyle w:val="P68B1DB1-Normal31"/>
            </w:pPr>
            <w:r>
              <w:t xml:space="preserve">Pokyny </w:t>
            </w:r>
          </w:p>
        </w:tc>
      </w:tr>
      <w:tr w:rsidR="007A5804"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7A5804" w:rsidRDefault="007B772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7A5804" w:rsidRDefault="007B7723">
            <w:pPr>
              <w:pStyle w:val="P68B1DB1-TableParagraph73"/>
              <w:spacing w:before="108"/>
              <w:ind w:left="85"/>
              <w:jc w:val="both"/>
              <w:rPr>
                <w:bCs/>
              </w:rPr>
            </w:pPr>
            <w:r>
              <w:t xml:space="preserve">Č. </w:t>
            </w:r>
          </w:p>
          <w:p w14:paraId="7FE1D148" w14:textId="7090CAA7" w:rsidR="007A5804" w:rsidRDefault="007B7723">
            <w:pPr>
              <w:pStyle w:val="P68B1DB1-TableParagraph40"/>
              <w:spacing w:before="108"/>
              <w:ind w:left="85"/>
              <w:jc w:val="both"/>
            </w:pPr>
            <w:r>
              <w:t>Jedinečné číslo/primárny kľúč na identifikáciu riadkových položiek.</w:t>
            </w:r>
          </w:p>
        </w:tc>
      </w:tr>
      <w:tr w:rsidR="007A5804"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7A5804" w:rsidRDefault="007B772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7A5804" w:rsidRDefault="007B7723">
            <w:pPr>
              <w:pStyle w:val="P68B1DB1-TableParagraph73"/>
              <w:spacing w:before="108"/>
              <w:ind w:left="85"/>
              <w:jc w:val="both"/>
              <w:rPr>
                <w:bCs/>
              </w:rPr>
            </w:pPr>
            <w:r>
              <w:t xml:space="preserve">Stĺpec </w:t>
            </w:r>
          </w:p>
          <w:p w14:paraId="7FE1D14C" w14:textId="43946C69" w:rsidR="007A5804" w:rsidRDefault="007B7723">
            <w:pPr>
              <w:pStyle w:val="P68B1DB1-TableParagraph40"/>
              <w:spacing w:before="108"/>
              <w:ind w:left="85"/>
              <w:jc w:val="both"/>
            </w:pPr>
            <w:r>
              <w:t>Pre každý súbor vzájomného započítavania sa zosúhlasenie s ktorou z tried protistrán, na ktorú bola zazmluvnená štruktúra záväzkov v Z 02.00, musí poskytnúť z vopred stanoveného zoznamu hodnôt.</w:t>
            </w:r>
          </w:p>
        </w:tc>
      </w:tr>
      <w:tr w:rsidR="007A5804"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7A5804" w:rsidRDefault="007B772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7A5804" w:rsidRDefault="007B7723">
            <w:pPr>
              <w:pStyle w:val="P68B1DB1-TableParagraph73"/>
              <w:spacing w:before="108"/>
              <w:ind w:left="85"/>
              <w:jc w:val="both"/>
              <w:rPr>
                <w:bCs/>
              </w:rPr>
            </w:pPr>
            <w:r>
              <w:t xml:space="preserve">Poradie v konkurznom konaní  </w:t>
            </w:r>
          </w:p>
          <w:p w14:paraId="7FE1D150" w14:textId="00926D41"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7A5804" w:rsidRDefault="007B772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7A5804" w:rsidRDefault="007B7723">
            <w:pPr>
              <w:pStyle w:val="P68B1DB1-TableParagraph73"/>
              <w:spacing w:before="108"/>
              <w:ind w:left="85"/>
              <w:jc w:val="both"/>
              <w:rPr>
                <w:bCs/>
              </w:rPr>
            </w:pPr>
            <w:r>
              <w:t xml:space="preserve">ID rámcovej dohody  </w:t>
            </w:r>
          </w:p>
          <w:p w14:paraId="7FE1D154" w14:textId="77777777" w:rsidR="007A5804" w:rsidRDefault="007B7723">
            <w:pPr>
              <w:pStyle w:val="P68B1DB1-TableParagraph40"/>
              <w:spacing w:before="108"/>
              <w:ind w:left="85"/>
              <w:jc w:val="both"/>
            </w:pPr>
            <w:r>
              <w:t>Interný identifikátor rámcovej dohody alebo jedinej zmluvy.</w:t>
            </w:r>
          </w:p>
        </w:tc>
      </w:tr>
      <w:tr w:rsidR="007A5804"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7A5804" w:rsidRDefault="007B772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7A5804" w:rsidRDefault="007B7723">
            <w:pPr>
              <w:pStyle w:val="P68B1DB1-TableParagraph73"/>
              <w:spacing w:before="108"/>
              <w:ind w:left="85"/>
              <w:jc w:val="both"/>
              <w:rPr>
                <w:bCs/>
              </w:rPr>
            </w:pPr>
            <w:r>
              <w:t xml:space="preserve">Druh rámcovej dohody </w:t>
            </w:r>
          </w:p>
          <w:p w14:paraId="7FE1D158" w14:textId="338F32CE" w:rsidR="007A5804" w:rsidRDefault="007B7723">
            <w:pPr>
              <w:pStyle w:val="P68B1DB1-TableParagraph40"/>
              <w:spacing w:before="108"/>
              <w:ind w:left="85"/>
              <w:jc w:val="both"/>
            </w:pPr>
            <w:r>
              <w:t>Špecifikujte rámcovú dohodu, buď „ISDA 2002 Master Agreement“, „ISDA 1992 Master Agreement“, „ISDA 1987 Master Agreement“, „ISDA 1986 Master Agreement“, „ISDA 1985 Master Agreement“, „Iná rámcová dohoda“, „Jednotná zmluva“ z vopred zostaveného zoznamu.</w:t>
            </w:r>
          </w:p>
        </w:tc>
      </w:tr>
      <w:tr w:rsidR="007A5804"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7A5804" w:rsidRDefault="007B7723">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7A5804" w:rsidRDefault="007B7723">
            <w:pPr>
              <w:pStyle w:val="P68B1DB1-TableParagraph73"/>
              <w:spacing w:before="108"/>
              <w:ind w:left="85"/>
              <w:jc w:val="both"/>
              <w:rPr>
                <w:bCs/>
              </w:rPr>
            </w:pPr>
            <w:r>
              <w:t xml:space="preserve">Subjekt pripojený k protokolu ISDA  </w:t>
            </w:r>
          </w:p>
          <w:p w14:paraId="7FE1D15C" w14:textId="34C9BF40" w:rsidR="007A5804" w:rsidRDefault="007B7723">
            <w:pPr>
              <w:pStyle w:val="P68B1DB1-TableParagraph40"/>
              <w:spacing w:before="108"/>
              <w:ind w:left="85"/>
              <w:jc w:val="both"/>
            </w:pPr>
            <w:r>
              <w:t xml:space="preserve">Uveďte, či samotný subjekt podpísal univerzálny protokol ISDA, buď „univerzálny protokol ISDA“, „modul JMP ISDA“, „BRRD II Omnibus Jurisdictional Module“ alebo „No“ z vopred </w:t>
            </w:r>
            <w:r>
              <w:lastRenderedPageBreak/>
              <w:t xml:space="preserve">zostaveného zoznamu. </w:t>
            </w:r>
          </w:p>
        </w:tc>
      </w:tr>
      <w:tr w:rsidR="007A5804"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7A5804" w:rsidRDefault="007B7723">
            <w:pPr>
              <w:pStyle w:val="P68B1DB1-Normal31"/>
            </w:pPr>
            <w:r>
              <w:lastRenderedPageBreak/>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7A5804" w:rsidRDefault="007B7723">
            <w:pPr>
              <w:pStyle w:val="P68B1DB1-TableParagraph73"/>
              <w:spacing w:before="108"/>
              <w:ind w:left="85"/>
              <w:jc w:val="both"/>
              <w:rPr>
                <w:bCs/>
              </w:rPr>
            </w:pPr>
            <w:r>
              <w:t xml:space="preserve">Uznanie stavu riešenia krízovej situácie  </w:t>
            </w:r>
          </w:p>
          <w:p w14:paraId="7FE1D160" w14:textId="59E963FA" w:rsidR="007A5804" w:rsidRDefault="007B7723">
            <w:pPr>
              <w:pStyle w:val="P68B1DB1-TableParagraph40"/>
              <w:spacing w:before="108"/>
              <w:ind w:left="85"/>
              <w:jc w:val="both"/>
            </w:pPr>
            <w:r>
              <w:t>Uveďte, či protistrana dodržala buď „univerzálny protokol ISDA“, „modul JMP ISDA“, „Inú dohodu o uznaní prerušenia riešenia krízových situácií“ alebo „Nie je uznané žiadne riešenie krízovej situácie“ z vopred zostaveného zoznamu.</w:t>
            </w:r>
          </w:p>
        </w:tc>
      </w:tr>
      <w:tr w:rsidR="007A5804"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7A5804" w:rsidRDefault="007B7723">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7A5804" w:rsidRDefault="007B7723">
            <w:pPr>
              <w:pStyle w:val="P68B1DB1-TableParagraph73"/>
              <w:spacing w:before="108"/>
              <w:ind w:left="85"/>
              <w:jc w:val="both"/>
              <w:rPr>
                <w:bCs/>
              </w:rPr>
            </w:pPr>
            <w:r>
              <w:t xml:space="preserve">Názov protistrany </w:t>
            </w:r>
          </w:p>
          <w:p w14:paraId="7FE1D164" w14:textId="222EF1A6" w:rsidR="007A5804" w:rsidRDefault="007B7723">
            <w:pPr>
              <w:pStyle w:val="P68B1DB1-TableParagraph40"/>
              <w:spacing w:before="108"/>
              <w:ind w:left="85"/>
              <w:jc w:val="both"/>
            </w:pPr>
            <w:bookmarkStart w:id="249" w:name="_Hlk189839311"/>
            <w:r>
              <w:t>Názov subjektu protistrany.</w:t>
            </w:r>
            <w:bookmarkEnd w:id="249"/>
            <w:r>
              <w:t xml:space="preserve"> V prípade derivátov zúčtovávaných centrálnou protistranou ohláste príslušnú centrálnu protistranu ako protistranu.</w:t>
            </w:r>
          </w:p>
        </w:tc>
      </w:tr>
      <w:tr w:rsidR="007A5804"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7A5804" w:rsidRDefault="007B772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7A5804" w:rsidRDefault="007B7723">
            <w:pPr>
              <w:pStyle w:val="P68B1DB1-TableParagraph73"/>
              <w:spacing w:before="108"/>
              <w:ind w:left="85"/>
              <w:jc w:val="both"/>
              <w:rPr>
                <w:bCs/>
              </w:rPr>
            </w:pPr>
            <w:r>
              <w:t xml:space="preserve">Identifikátor protistrany </w:t>
            </w:r>
          </w:p>
          <w:p w14:paraId="7FE1D168" w14:textId="7D4036D9" w:rsidR="007A5804" w:rsidRDefault="007B7723">
            <w:pPr>
              <w:pStyle w:val="P68B1DB1-TableParagraph40"/>
              <w:spacing w:before="108"/>
              <w:ind w:left="85"/>
              <w:jc w:val="both"/>
            </w:pPr>
            <w:r>
              <w:t xml:space="preserve">Oznámiť kód LEI protistrany. Ak neexistuje identifikátor LEI, v prípade správy bánk identifikátor ECB pre menové finančné inštitúcie (MFI ID) použitý v RIAD. Ak oba tieto identifikátory chýbajú, nahláste interný identifikátor. </w:t>
            </w:r>
          </w:p>
        </w:tc>
      </w:tr>
      <w:tr w:rsidR="007A5804"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7A5804" w:rsidRDefault="007B7723">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7A5804" w:rsidRDefault="007B7723">
            <w:pPr>
              <w:pStyle w:val="P68B1DB1-TableParagraph73"/>
              <w:spacing w:before="108"/>
              <w:ind w:left="85"/>
              <w:jc w:val="both"/>
              <w:rPr>
                <w:bCs/>
              </w:rPr>
            </w:pPr>
            <w:r>
              <w:t xml:space="preserve">Druh identifikátora </w:t>
            </w:r>
          </w:p>
          <w:p w14:paraId="7FE1D16C"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7A5804" w:rsidRDefault="007B772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7A5804" w:rsidRDefault="007B7723">
            <w:pPr>
              <w:pStyle w:val="P68B1DB1-TableParagraph73"/>
              <w:spacing w:before="108"/>
              <w:ind w:left="85"/>
              <w:jc w:val="both"/>
              <w:rPr>
                <w:bCs/>
              </w:rPr>
            </w:pPr>
            <w:r>
              <w:t xml:space="preserve">Krajina protistrany  </w:t>
            </w:r>
          </w:p>
          <w:p w14:paraId="7FE1D170" w14:textId="77777777" w:rsidR="007A5804" w:rsidRDefault="007B7723">
            <w:pPr>
              <w:pStyle w:val="P68B1DB1-TableParagraph40"/>
              <w:spacing w:before="108"/>
              <w:ind w:left="85"/>
              <w:jc w:val="both"/>
            </w:pPr>
            <w:r>
              <w:t>Identifikácia krajiny, v ktorej je protistrana zaregistrovaná, podľa ISO 3166 – 1 alfa-2.</w:t>
            </w:r>
          </w:p>
        </w:tc>
      </w:tr>
      <w:tr w:rsidR="007A5804"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7A5804" w:rsidRDefault="007B7723">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7A5804" w:rsidRDefault="007B7723">
            <w:pPr>
              <w:pStyle w:val="P68B1DB1-TableParagraph73"/>
              <w:spacing w:before="108"/>
              <w:ind w:left="85"/>
              <w:jc w:val="both"/>
              <w:rPr>
                <w:bCs/>
              </w:rPr>
            </w:pPr>
            <w:r>
              <w:t>Vnútroskupinová transakcia</w:t>
            </w:r>
          </w:p>
          <w:p w14:paraId="1EA32667" w14:textId="1995F401" w:rsidR="007A5804" w:rsidRDefault="007B7723">
            <w:pPr>
              <w:pStyle w:val="P68B1DB1-TableParagraph40"/>
              <w:spacing w:before="108"/>
              <w:ind w:left="85"/>
              <w:jc w:val="both"/>
            </w:pPr>
            <w:r>
              <w:t>Vykazujúci subjekt musí uviesť, či sa oznámená transakcia vykonáva s protistranou, ktorá patrí do účtovného rozsahu konsolidácie hlavného materského subjektu. Prijateľné hodnoty sú „pravdivé“ alebo „nepravé“</w:t>
            </w:r>
          </w:p>
        </w:tc>
      </w:tr>
      <w:tr w:rsidR="007A5804"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7A5804" w:rsidRDefault="007B7723">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7A5804" w:rsidRDefault="007B7723">
            <w:pPr>
              <w:pStyle w:val="P68B1DB1-TableParagraph73"/>
              <w:spacing w:before="108"/>
              <w:ind w:left="85"/>
              <w:jc w:val="both"/>
              <w:rPr>
                <w:bCs/>
              </w:rPr>
            </w:pPr>
            <w:r>
              <w:t>Rozhodné právo rámcovej dohody/jednotnej zmluvy</w:t>
            </w:r>
          </w:p>
          <w:p w14:paraId="7FE1D178" w14:textId="69ED3535" w:rsidR="007A5804" w:rsidRDefault="007B7723">
            <w:pPr>
              <w:pStyle w:val="P68B1DB1-TableParagraph40"/>
              <w:spacing w:before="108"/>
              <w:ind w:left="85"/>
              <w:jc w:val="both"/>
            </w:pPr>
            <w:r>
              <w:t xml:space="preserve">Dvojmiestny abecedný kód ISO 3166 – 1 krajiny, ktorej právnym poriadkom sa riadi rámcová dohoda/jediná zmluva (použite kód ISO 3166 – 2 v prípade, že je relevantné právo správneho celku, napr. „US-NY“). Ak sa zmluva spravuje právom viac ako jednej krajiny, vykazuje sa krajina, ktorej právny poriadok má najvyšší význam pre uznanie právomocí na odpísanie a konverziu.  </w:t>
            </w:r>
          </w:p>
        </w:tc>
      </w:tr>
      <w:tr w:rsidR="007A5804"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7A5804" w:rsidRDefault="007B772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7A5804" w:rsidRDefault="007B7723">
            <w:pPr>
              <w:pStyle w:val="P68B1DB1-TableParagraph73"/>
              <w:spacing w:before="108"/>
              <w:ind w:left="85"/>
              <w:jc w:val="both"/>
              <w:rPr>
                <w:bCs/>
              </w:rPr>
            </w:pPr>
            <w:r>
              <w:t xml:space="preserve">Počet transakcií, na ktoré sa vzťahuje  </w:t>
            </w:r>
          </w:p>
          <w:p w14:paraId="7FE1D17C" w14:textId="77777777" w:rsidR="007A5804" w:rsidRDefault="007B7723">
            <w:pPr>
              <w:pStyle w:val="P68B1DB1-TableParagraph40"/>
              <w:spacing w:before="108"/>
              <w:ind w:left="85"/>
              <w:jc w:val="both"/>
            </w:pPr>
            <w:r>
              <w:t>Uveďte počet jednotlivých zmlúv, ktoré sú zahrnuté do súboru vzájomného započítavania v rámci rámcových dohôd.</w:t>
            </w:r>
          </w:p>
        </w:tc>
      </w:tr>
      <w:tr w:rsidR="007A5804"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7A5804" w:rsidRDefault="007B772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7A5804" w:rsidRDefault="007B7723">
            <w:pPr>
              <w:pStyle w:val="P68B1DB1-TableParagraph73"/>
              <w:spacing w:before="108"/>
              <w:ind w:left="85"/>
              <w:jc w:val="both"/>
              <w:rPr>
                <w:bCs/>
              </w:rPr>
            </w:pPr>
            <w:r>
              <w:t xml:space="preserve">Čistá hodnota trhovej hodnoty </w:t>
            </w:r>
          </w:p>
          <w:p w14:paraId="7FE1D180" w14:textId="229346B5" w:rsidR="007A5804" w:rsidRDefault="007B7723">
            <w:pPr>
              <w:pStyle w:val="P68B1DB1-TableParagraph40"/>
              <w:spacing w:before="108"/>
              <w:ind w:left="85"/>
              <w:jc w:val="both"/>
            </w:pPr>
            <w:r>
              <w:t xml:space="preserve">Čistá trhová hodnota derivátových záväzkov podľa zmluvného súboru vzájomného započítavania, ktorý predpokladá uzavretie derivátov k referenčnému dátumu. </w:t>
            </w:r>
          </w:p>
        </w:tc>
      </w:tr>
      <w:tr w:rsidR="007A5804"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7A5804" w:rsidRDefault="007B7723">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7A5804" w:rsidRDefault="007B7723">
            <w:pPr>
              <w:pStyle w:val="P68B1DB1-TableParagraph73"/>
              <w:spacing w:before="108"/>
              <w:ind w:left="85"/>
              <w:jc w:val="both"/>
              <w:rPr>
                <w:bCs/>
              </w:rPr>
            </w:pPr>
            <w:r>
              <w:t xml:space="preserve">Hodnota čistého poskytnutého kolaterálu </w:t>
            </w:r>
          </w:p>
          <w:p w14:paraId="7FE1D184" w14:textId="014CEFC4" w:rsidR="007A5804" w:rsidRDefault="007B7723">
            <w:pPr>
              <w:pStyle w:val="P68B1DB1-TableParagraph40"/>
              <w:spacing w:before="108"/>
              <w:ind w:left="85"/>
              <w:jc w:val="both"/>
            </w:pPr>
            <w:r>
              <w:t>Čistá trhová hodnota pozícií kolaterálu v rámci súboru vzájomného započítavania (t. j. poskytnutý kolaterál sa znížil o akýkoľvek prijatý kolaterál). Patria sem akékoľvek účty marže v rámci dohôd o čistom zúčtovaní. Vykazuje sa ako kladná hodnota pre čistý kolaterál poskytnutý protistranám.</w:t>
            </w:r>
          </w:p>
        </w:tc>
      </w:tr>
      <w:tr w:rsidR="007A5804"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7A5804" w:rsidRDefault="007B772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24BF2B49" w:rsidR="007A5804" w:rsidRDefault="007B7723">
            <w:pPr>
              <w:pStyle w:val="P68B1DB1-TableParagraph40"/>
              <w:spacing w:before="108"/>
              <w:ind w:left="85"/>
              <w:jc w:val="both"/>
              <w:rPr>
                <w:b/>
                <w:bCs/>
              </w:rPr>
            </w:pPr>
            <w:r>
              <w:t xml:space="preserve"> </w:t>
            </w:r>
            <w:r w:rsidR="00190C69">
              <w:rPr>
                <w:b/>
              </w:rPr>
              <w:t>Odhadovaná suma pri ukončení</w:t>
            </w:r>
          </w:p>
          <w:p w14:paraId="7FE1D188" w14:textId="63DBB8B6" w:rsidR="007A5804" w:rsidRDefault="007B7723">
            <w:pPr>
              <w:pStyle w:val="P68B1DB1-TableParagraph40"/>
              <w:spacing w:before="108"/>
              <w:ind w:left="85"/>
              <w:jc w:val="both"/>
            </w:pPr>
            <w:r>
              <w:t xml:space="preserve">Odhadovaná suma po konečnom zúčtovaní, ktorá pokrýva výšku strát alebo nákladov, ktoré vznikli protistranám derivátu, alebo ziskov realizovaných týmito protistranami náhradou alebo nadobudnutím ekonomického ekvivalentu vecných podmienok ukončených zmlúv a práv na kúpne opcie zmluvných strán v súvislosti s ukončenými zmluvami. V niektorých prípadoch; odhady potrebné na určenie tejto hodnoty v súlade s delegovaným nariadením (EÚ) 2016/1401 sa ťažko vykazujú na individuálnom základe. Preto sa namiesto nich môžu použiť náhradné hodnoty, ktoré môžu vychádzať z dostupných údajov, ako sú prudenciálne požiadavky týkajúce sa trhového rizika. Kladná hodnota odhadovanej sumy po konečnom ukončení má za následok </w:t>
            </w:r>
            <w:r>
              <w:lastRenderedPageBreak/>
              <w:t>zvýšenie odhadovanej sumy pri predčasnom ukončení, zatiaľ čo záporné znamienko by znížilo odhadovanú sumu pri predčasnom ukončení.</w:t>
            </w:r>
          </w:p>
        </w:tc>
      </w:tr>
      <w:tr w:rsidR="007A5804"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7A5804" w:rsidRDefault="007B7723">
            <w:pPr>
              <w:pStyle w:val="P68B1DB1-Normal31"/>
            </w:pPr>
            <w:r>
              <w:lastRenderedPageBreak/>
              <w:t>0150</w:t>
            </w:r>
          </w:p>
        </w:tc>
        <w:tc>
          <w:tcPr>
            <w:tcW w:w="7832" w:type="dxa"/>
            <w:tcBorders>
              <w:top w:val="single" w:sz="8" w:space="0" w:color="1A171C"/>
              <w:left w:val="single" w:sz="8" w:space="0" w:color="1A171C"/>
              <w:right w:val="nil"/>
            </w:tcBorders>
            <w:vAlign w:val="bottom"/>
          </w:tcPr>
          <w:p w14:paraId="7FE1D18B" w14:textId="77777777" w:rsidR="007A5804" w:rsidRDefault="007B7723">
            <w:pPr>
              <w:pStyle w:val="P68B1DB1-TableParagraph40"/>
              <w:spacing w:before="108"/>
              <w:ind w:left="85"/>
              <w:jc w:val="both"/>
              <w:rPr>
                <w:b/>
                <w:bCs/>
              </w:rPr>
            </w:pPr>
            <w:r>
              <w:t xml:space="preserve"> </w:t>
            </w:r>
            <w:r>
              <w:rPr>
                <w:b/>
              </w:rPr>
              <w:t>Odhadovaná výška predčasného ukončenia</w:t>
            </w:r>
          </w:p>
          <w:p w14:paraId="7FE1D18C" w14:textId="77777777" w:rsidR="007A5804" w:rsidRDefault="007B7723">
            <w:pPr>
              <w:pStyle w:val="P68B1DB1-TableParagraph40"/>
              <w:spacing w:before="108"/>
              <w:ind w:left="85"/>
              <w:jc w:val="both"/>
            </w:pPr>
            <w:r>
              <w:t>S odkazom na delegované nariadenie (EÚ) 2016/1401 o oceňovaní derivátov podľa článku 49 ods. 4 smernice o ozdravení a riešení krízových situácií bánk sa táto suma určuje takto:</w:t>
            </w:r>
          </w:p>
        </w:tc>
      </w:tr>
      <w:tr w:rsidR="007A5804" w14:paraId="7FE1D190" w14:textId="77777777">
        <w:tc>
          <w:tcPr>
            <w:tcW w:w="1183" w:type="dxa"/>
            <w:vMerge/>
            <w:tcBorders>
              <w:right w:val="single" w:sz="8" w:space="0" w:color="1A171C"/>
            </w:tcBorders>
            <w:vAlign w:val="center"/>
          </w:tcPr>
          <w:p w14:paraId="7FE1D18E" w14:textId="77777777" w:rsidR="007A5804" w:rsidRDefault="007A5804">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7A5804" w:rsidRDefault="007B7723">
            <w:pPr>
              <w:pStyle w:val="P68B1DB1-TableParagraph40"/>
              <w:spacing w:before="108"/>
              <w:ind w:left="85"/>
              <w:jc w:val="both"/>
            </w:pPr>
            <w:r>
              <w:t xml:space="preserve"> „Odhadca určí hodnotu záväzkov vyplývajúcich zo zmlúv o derivátoch v rámci netting setu ako sumu pri predčasnom ukončení vypočítanú ako súčet: </w:t>
            </w:r>
          </w:p>
        </w:tc>
      </w:tr>
      <w:tr w:rsidR="007A5804" w14:paraId="7FE1D193" w14:textId="77777777">
        <w:tc>
          <w:tcPr>
            <w:tcW w:w="1183" w:type="dxa"/>
            <w:vMerge/>
            <w:tcBorders>
              <w:right w:val="single" w:sz="8" w:space="0" w:color="1A171C"/>
            </w:tcBorders>
            <w:vAlign w:val="center"/>
          </w:tcPr>
          <w:p w14:paraId="7FE1D191" w14:textId="77777777" w:rsidR="007A5804" w:rsidRDefault="007A5804">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7A5804" w:rsidRDefault="007B7723">
            <w:pPr>
              <w:pStyle w:val="P68B1DB1-TableParagraph40"/>
              <w:spacing w:before="108"/>
              <w:ind w:left="85"/>
              <w:jc w:val="both"/>
            </w:pPr>
            <w:r>
              <w:t xml:space="preserve"> · Nezaplatených súm, kolaterálu alebo iných súm splatných subjektom, ktorého krízová situácia sa rieši, protistrane po odpočítaní neuhradených súm, kolaterálu a iných súm splatných protistranou subjektom, ktorého krízová situácia sa rieši, k dátumu konečného zúčtovania; a zároveň</w:t>
            </w:r>
          </w:p>
        </w:tc>
      </w:tr>
      <w:tr w:rsidR="007A5804" w14:paraId="7FE1D196" w14:textId="77777777">
        <w:tc>
          <w:tcPr>
            <w:tcW w:w="1183" w:type="dxa"/>
            <w:vMerge/>
            <w:tcBorders>
              <w:right w:val="single" w:sz="8" w:space="0" w:color="1A171C"/>
            </w:tcBorders>
            <w:vAlign w:val="center"/>
          </w:tcPr>
          <w:p w14:paraId="7FE1D194" w14:textId="77777777" w:rsidR="007A5804" w:rsidRDefault="007A5804">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7A5804" w:rsidRDefault="007B7723">
            <w:pPr>
              <w:pStyle w:val="P68B1DB1-TableParagraph40"/>
              <w:spacing w:before="108"/>
              <w:ind w:left="85"/>
              <w:jc w:val="both"/>
            </w:pPr>
            <w:r>
              <w:t xml:space="preserve"> · Dodatočná suma po konečnom zúčtovaní, ktorá pokrýva výšku strát alebo nákladov, ktoré vznikli protistranám derivátu, alebo ziskov realizovaných týmito protistranami náhradou alebo nadobudnutím ekonomického ekvivalentu vecných podmienok ukončených zmlúv a práv na kúpne opcie zmluvných strán v súvislosti s ukončenými zmluvami.</w:t>
            </w:r>
          </w:p>
        </w:tc>
      </w:tr>
      <w:tr w:rsidR="007A5804" w14:paraId="7FE1D199" w14:textId="77777777">
        <w:tc>
          <w:tcPr>
            <w:tcW w:w="1183" w:type="dxa"/>
            <w:vMerge/>
            <w:tcBorders>
              <w:right w:val="single" w:sz="8" w:space="0" w:color="1A171C"/>
            </w:tcBorders>
            <w:vAlign w:val="center"/>
          </w:tcPr>
          <w:p w14:paraId="7FE1D197" w14:textId="77777777" w:rsidR="007A5804" w:rsidRDefault="007A5804">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7A5804" w:rsidRDefault="007B7723">
            <w:pPr>
              <w:pStyle w:val="P68B1DB1-TableParagraph40"/>
              <w:spacing w:before="108"/>
              <w:ind w:left="85"/>
              <w:jc w:val="both"/>
            </w:pPr>
            <w:r>
              <w:t xml:space="preserve"> Odhadovaná suma predčasného ukončenia platnosti sa ako taká musí rovnať čistej trhovej hodnote (c0120) – hodnote čistého poskytnutého kolaterálu (c0130) + odhadovanej sumy uzavretého mimo trhu (c0140).</w:t>
            </w:r>
          </w:p>
        </w:tc>
      </w:tr>
    </w:tbl>
    <w:p w14:paraId="7FE1D19A" w14:textId="77777777" w:rsidR="007A5804" w:rsidRDefault="007A5804">
      <w:pPr>
        <w:pStyle w:val="Instructionsberschrift2"/>
        <w:ind w:left="357"/>
        <w:rPr>
          <w:rFonts w:ascii="Times New Roman" w:eastAsia="Calibri" w:hAnsi="Times New Roman" w:cs="Times New Roman"/>
          <w:szCs w:val="20"/>
        </w:rPr>
      </w:pPr>
      <w:bookmarkStart w:id="250" w:name="_Toc81454217"/>
    </w:p>
    <w:p w14:paraId="7FE1D19B" w14:textId="08247010" w:rsidR="007A5804" w:rsidRDefault="007B7723">
      <w:pPr>
        <w:pStyle w:val="Instructionsberschrift2"/>
        <w:numPr>
          <w:ilvl w:val="1"/>
          <w:numId w:val="49"/>
        </w:numPr>
        <w:spacing w:before="0"/>
        <w:ind w:left="357" w:hanging="357"/>
        <w:rPr>
          <w:rFonts w:ascii="Times New Roman" w:hAnsi="Times New Roman" w:cs="Times New Roman"/>
        </w:rPr>
      </w:pPr>
      <w:bookmarkStart w:id="251" w:name="_Toc208245275"/>
      <w:r>
        <w:rPr>
          <w:rFonts w:ascii="Times New Roman" w:eastAsiaTheme="minorEastAsia" w:hAnsi="Times New Roman" w:cs="Times New Roman"/>
        </w:rPr>
        <w:t xml:space="preserve">Z 16.00 – zabezpečené finančné transakcie okrem vnútroskupinových </w:t>
      </w:r>
      <w:r>
        <w:rPr>
          <w:rFonts w:ascii="Times New Roman" w:eastAsia="Calibri" w:hAnsi="Times New Roman" w:cs="Times New Roman"/>
          <w:szCs w:val="20"/>
        </w:rPr>
        <w:t>(LIAB-G-6)</w:t>
      </w:r>
      <w:bookmarkEnd w:id="251"/>
    </w:p>
    <w:p w14:paraId="7FE1D19C" w14:textId="07C13721" w:rsidR="007A5804" w:rsidRDefault="007B7723">
      <w:pPr>
        <w:pStyle w:val="P68B1DB1-Instructionsberschrift289"/>
        <w:rPr>
          <w:rFonts w:eastAsiaTheme="minorEastAsia"/>
        </w:rPr>
      </w:pPr>
      <w:r>
        <w:t xml:space="preserve"> </w:t>
      </w:r>
      <w:bookmarkEnd w:id="250"/>
    </w:p>
    <w:p w14:paraId="7FE1D19D" w14:textId="77777777" w:rsidR="007A5804" w:rsidRDefault="007B7723">
      <w:pPr>
        <w:pStyle w:val="P68B1DB1-Numberedtitlelevel388"/>
      </w:pPr>
      <w:r>
        <w:t>Všeobecné poznámky</w:t>
      </w:r>
    </w:p>
    <w:p w14:paraId="7FE1D19E" w14:textId="3901B7DB" w:rsidR="007A5804" w:rsidRDefault="007B7723">
      <w:pPr>
        <w:pStyle w:val="P68B1DB1-InstructionsText286"/>
        <w:numPr>
          <w:ilvl w:val="2"/>
          <w:numId w:val="209"/>
        </w:numPr>
        <w:spacing w:before="0"/>
        <w:ind w:left="1276"/>
        <w:rPr>
          <w:rFonts w:eastAsiaTheme="majorEastAsia"/>
        </w:rPr>
      </w:pPr>
      <w:r>
        <w:t xml:space="preserve">Zabezpečené financovanie zahŕňa všetky mechanizmy financovania, ktoré podliehajú poskytnutiu kolaterálu, záloh alebo záložných práv, s výnimkou napríklad cenných papierov, ktoré sa musia vykázať v Z12.00. </w:t>
      </w:r>
    </w:p>
    <w:p w14:paraId="7FE1D19F" w14:textId="77777777" w:rsidR="007A5804" w:rsidRDefault="007B7723">
      <w:pPr>
        <w:pStyle w:val="P68B1DB1-InstructionsText286"/>
        <w:numPr>
          <w:ilvl w:val="2"/>
          <w:numId w:val="209"/>
        </w:numPr>
        <w:spacing w:before="0"/>
        <w:ind w:left="1276"/>
      </w:pPr>
      <w:r>
        <w:t>Typickými príkladmi takýchto dohôd sú dohody o financovaní alebo spätnom odkúpení od centrálnej banky.</w:t>
      </w:r>
    </w:p>
    <w:p w14:paraId="7FE1D1A0" w14:textId="77777777" w:rsidR="007A5804" w:rsidRDefault="007B7723">
      <w:pPr>
        <w:pStyle w:val="P68B1DB1-InstructionsText286"/>
        <w:numPr>
          <w:ilvl w:val="2"/>
          <w:numId w:val="209"/>
        </w:numPr>
        <w:spacing w:before="0"/>
        <w:ind w:left="1276"/>
      </w:pPr>
      <w:r>
        <w:t>Vykazuje sa zabezpečený záväzok, nie samotný kolaterál.</w:t>
      </w:r>
    </w:p>
    <w:p w14:paraId="7FE1D1A1" w14:textId="437B0574" w:rsidR="007A5804" w:rsidRDefault="007B7723">
      <w:pPr>
        <w:pStyle w:val="P68B1DB1-InstructionsText286"/>
        <w:numPr>
          <w:ilvl w:val="2"/>
          <w:numId w:val="209"/>
        </w:numPr>
        <w:spacing w:before="0"/>
        <w:ind w:left="1276"/>
      </w:pPr>
      <w:r>
        <w:t xml:space="preserve">Na účely tejto tabuľky sa zabezpečené finančné dohody musia vykazovať podľa súboru vzájomného započítavania, t. j. každý súbor vzájomného započítavania sa vykazuje ako samostatná položka riadku. Zabezpečená časť a nezabezpečená časť toho istého súboru vzájomného započítavania sa však musia vykazovať v rôznych položkách riadkov, ak sa týkajú rôznych postavení v konkurznom konaní. </w:t>
      </w:r>
    </w:p>
    <w:p w14:paraId="7FE1D1A2" w14:textId="77777777" w:rsidR="007A5804" w:rsidRDefault="007B7723">
      <w:pPr>
        <w:pStyle w:val="P68B1DB1-InstructionsText286"/>
        <w:numPr>
          <w:ilvl w:val="2"/>
          <w:numId w:val="209"/>
        </w:numPr>
        <w:spacing w:before="0"/>
        <w:ind w:left="1276"/>
      </w:pPr>
      <w:r>
        <w:t>V tejto súvislosti sa neuplatňujú žiadne prahové hodnoty pre vykazovanie.</w:t>
      </w:r>
    </w:p>
    <w:p w14:paraId="7FE1D1A3" w14:textId="77777777" w:rsidR="007A5804" w:rsidRDefault="007B7723">
      <w:pPr>
        <w:pStyle w:val="P68B1DB1-Numberedtitlelevel388"/>
      </w:pPr>
      <w:r>
        <w:t>Pokyny týkajúce sa konkrétnych pozícií</w:t>
      </w:r>
    </w:p>
    <w:tbl>
      <w:tblPr>
        <w:tblW w:w="9015" w:type="dxa"/>
        <w:tblInd w:w="135" w:type="dxa"/>
        <w:tblLayout w:type="fixed"/>
        <w:tblLook w:val="04A0" w:firstRow="1" w:lastRow="0" w:firstColumn="1" w:lastColumn="0" w:noHBand="0" w:noVBand="1"/>
      </w:tblPr>
      <w:tblGrid>
        <w:gridCol w:w="1183"/>
        <w:gridCol w:w="7832"/>
      </w:tblGrid>
      <w:tr w:rsidR="007A5804"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7A5804" w:rsidRDefault="007B7723">
            <w:pPr>
              <w:pStyle w:val="P68B1DB1-Normal31"/>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7A5804" w:rsidRDefault="007B7723">
            <w:pPr>
              <w:pStyle w:val="P68B1DB1-Normal31"/>
            </w:pPr>
            <w:r>
              <w:t xml:space="preserve">Pokyny </w:t>
            </w:r>
          </w:p>
        </w:tc>
      </w:tr>
      <w:tr w:rsidR="007A5804"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7A5804" w:rsidRDefault="007B772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7A5804" w:rsidRDefault="007B7723">
            <w:pPr>
              <w:pStyle w:val="P68B1DB1-TableParagraph40"/>
              <w:spacing w:before="108"/>
              <w:ind w:left="85"/>
              <w:jc w:val="both"/>
              <w:rPr>
                <w:b/>
                <w:bCs/>
              </w:rPr>
            </w:pPr>
            <w:r>
              <w:t xml:space="preserve"> </w:t>
            </w:r>
            <w:r>
              <w:rPr>
                <w:b/>
              </w:rPr>
              <w:t>Č.</w:t>
            </w:r>
          </w:p>
          <w:p w14:paraId="7FE1D1A9" w14:textId="7C09A169" w:rsidR="007A5804" w:rsidRDefault="007B7723">
            <w:pPr>
              <w:pStyle w:val="P68B1DB1-TableParagraph40"/>
              <w:spacing w:before="108"/>
              <w:ind w:left="85"/>
              <w:jc w:val="both"/>
            </w:pPr>
            <w:r>
              <w:t>Jedinečné číslo/primárny kľúč na identifikáciu riadkových položiek.</w:t>
            </w:r>
          </w:p>
        </w:tc>
      </w:tr>
      <w:tr w:rsidR="007A5804"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7A5804" w:rsidRDefault="007B772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7A5804" w:rsidRDefault="007B7723">
            <w:pPr>
              <w:pStyle w:val="P68B1DB1-TableParagraph40"/>
              <w:spacing w:before="108"/>
              <w:ind w:left="85"/>
              <w:jc w:val="both"/>
              <w:rPr>
                <w:b/>
                <w:bCs/>
              </w:rPr>
            </w:pPr>
            <w:r>
              <w:t xml:space="preserve"> </w:t>
            </w:r>
            <w:r>
              <w:rPr>
                <w:b/>
              </w:rPr>
              <w:t>Stĺpec</w:t>
            </w:r>
          </w:p>
          <w:p w14:paraId="7FE1D1AD" w14:textId="57B67374" w:rsidR="007A5804" w:rsidRDefault="007B7723">
            <w:pPr>
              <w:pStyle w:val="P68B1DB1-TableParagraph40"/>
              <w:spacing w:before="108"/>
              <w:ind w:left="85"/>
              <w:jc w:val="both"/>
            </w:pPr>
            <w:r>
              <w:t>Pre každý súbor vzájomného započítavania sa zosúhlasenie s triedou protistrany v Z02.00, voči ktorej je záväzok dlžný, musí poskytnúť z vopred stanoveného zoznamu hodnôt.</w:t>
            </w:r>
          </w:p>
        </w:tc>
      </w:tr>
      <w:tr w:rsidR="007A5804"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7A5804" w:rsidRDefault="007B7723">
            <w:pPr>
              <w:pStyle w:val="P68B1DB1-Normal31"/>
            </w:pPr>
            <w:r>
              <w:lastRenderedPageBreak/>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7A5804" w:rsidRDefault="007B7723">
            <w:pPr>
              <w:pStyle w:val="P68B1DB1-TableParagraph40"/>
              <w:spacing w:before="108"/>
              <w:ind w:left="85"/>
              <w:jc w:val="both"/>
              <w:rPr>
                <w:b/>
                <w:bCs/>
              </w:rPr>
            </w:pPr>
            <w:r>
              <w:t xml:space="preserve"> </w:t>
            </w:r>
            <w:r>
              <w:rPr>
                <w:b/>
              </w:rPr>
              <w:t>Poradie platobnej neschopnosti</w:t>
            </w:r>
          </w:p>
          <w:p w14:paraId="7FE1D1B1" w14:textId="0D780E4C"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7A5804" w:rsidRDefault="007B772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7A5804" w:rsidRDefault="007B7723">
            <w:pPr>
              <w:pStyle w:val="P68B1DB1-TableParagraph73"/>
              <w:spacing w:before="108"/>
              <w:ind w:left="85"/>
              <w:jc w:val="both"/>
              <w:rPr>
                <w:bCs/>
              </w:rPr>
            </w:pPr>
            <w:r>
              <w:t xml:space="preserve"> ID rámcovej dohody </w:t>
            </w:r>
          </w:p>
          <w:p w14:paraId="7FE1D1B5" w14:textId="77777777" w:rsidR="007A5804" w:rsidRDefault="007B7723">
            <w:pPr>
              <w:pStyle w:val="P68B1DB1-TableParagraph40"/>
              <w:spacing w:before="108"/>
              <w:ind w:left="85"/>
              <w:jc w:val="both"/>
            </w:pPr>
            <w:r>
              <w:t>Interný identifikátor rámcovej dohody alebo jedinej zmluvy.</w:t>
            </w:r>
          </w:p>
        </w:tc>
      </w:tr>
      <w:tr w:rsidR="007A5804"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7A5804" w:rsidRDefault="007B772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7A5804" w:rsidRDefault="007B7723">
            <w:pPr>
              <w:pStyle w:val="P68B1DB1-TableParagraph73"/>
              <w:spacing w:before="108"/>
              <w:ind w:left="85"/>
              <w:jc w:val="both"/>
              <w:rPr>
                <w:bCs/>
              </w:rPr>
            </w:pPr>
            <w:r>
              <w:t xml:space="preserve"> Typ MA (napr. GMRA) </w:t>
            </w:r>
          </w:p>
          <w:p w14:paraId="7FE1D1B9" w14:textId="7472E062" w:rsidR="007A5804" w:rsidRDefault="007B7723">
            <w:pPr>
              <w:pStyle w:val="P68B1DB1-TableParagraph40"/>
              <w:spacing w:before="108"/>
              <w:ind w:left="85"/>
              <w:jc w:val="both"/>
            </w:pPr>
            <w:r>
              <w:t>Uveďte rámcovú dohodu, buď „globálne rámcové dohody o spätnom odkúpení z roku 2011“, „ICMA 2000 Globálne rámcové dohody o spätnom odkúpení“, „ICMA 1995 globálne rámcové dohody o spätnom odkúpení“, „ICMA 1992 globálne rámcové dohody o spätnom odkúpení“, „Iné globálne rámcové dohody o spätnom odkúpení“ alebo „Jednotná zmluva“ z vopred zostaveného zoznamu.</w:t>
            </w:r>
          </w:p>
        </w:tc>
      </w:tr>
      <w:tr w:rsidR="007A5804"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7A5804" w:rsidRDefault="007B7723">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7A5804" w:rsidRDefault="007B7723">
            <w:pPr>
              <w:pStyle w:val="P68B1DB1-TableParagraph73"/>
              <w:spacing w:before="108"/>
              <w:ind w:left="85"/>
              <w:jc w:val="both"/>
              <w:rPr>
                <w:bCs/>
              </w:rPr>
            </w:pPr>
            <w:bookmarkStart w:id="252" w:name="_Hlk189839338"/>
            <w:r>
              <w:t xml:space="preserve">Názov protistrany </w:t>
            </w:r>
          </w:p>
          <w:bookmarkEnd w:id="252"/>
          <w:p w14:paraId="7FE1D1BD" w14:textId="0E71EEA1" w:rsidR="007A5804" w:rsidRDefault="007B7723">
            <w:pPr>
              <w:pStyle w:val="P68B1DB1-TableParagraph40"/>
              <w:spacing w:before="108"/>
              <w:ind w:left="85"/>
              <w:jc w:val="both"/>
            </w:pPr>
            <w:r>
              <w:t>Názov subjektu protistrany.</w:t>
            </w:r>
          </w:p>
        </w:tc>
      </w:tr>
      <w:tr w:rsidR="007A5804"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7A5804" w:rsidRDefault="007B772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7A5804" w:rsidRDefault="007B7723">
            <w:pPr>
              <w:pStyle w:val="P68B1DB1-TableParagraph40"/>
              <w:spacing w:before="108"/>
              <w:ind w:left="85"/>
              <w:jc w:val="both"/>
              <w:rPr>
                <w:b/>
                <w:bCs/>
              </w:rPr>
            </w:pPr>
            <w:r>
              <w:t xml:space="preserve"> </w:t>
            </w:r>
            <w:r>
              <w:rPr>
                <w:b/>
              </w:rPr>
              <w:t>Protistrana (LEI/MFI/miestny identifikátor)</w:t>
            </w:r>
          </w:p>
          <w:p w14:paraId="7FE1D1C1" w14:textId="5ADC0AB9" w:rsidR="007A5804" w:rsidRDefault="007B7723">
            <w:pPr>
              <w:pStyle w:val="P68B1DB1-TableParagraph40"/>
              <w:spacing w:before="108"/>
              <w:ind w:left="85"/>
              <w:jc w:val="both"/>
            </w:pPr>
            <w:r>
              <w:t>Uveďte kód LEI veriteľa. Ak neexistuje identifikátor LEI, v prípade správy bánk identifikátor ECB pre menové finančné inštitúcie (MFI ID) použitý v RIAD. Ak oba tieto identifikátory chýbajú, nahláste interný identifikátor.</w:t>
            </w:r>
          </w:p>
        </w:tc>
      </w:tr>
      <w:tr w:rsidR="007A5804"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7A5804" w:rsidRDefault="007B772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7A5804" w:rsidRDefault="007B7723">
            <w:pPr>
              <w:pStyle w:val="P68B1DB1-TableParagraph73"/>
              <w:spacing w:before="108"/>
              <w:ind w:left="85"/>
              <w:jc w:val="both"/>
              <w:rPr>
                <w:bCs/>
              </w:rPr>
            </w:pPr>
            <w:r>
              <w:t xml:space="preserve">Druh identifikátora </w:t>
            </w:r>
          </w:p>
          <w:p w14:paraId="7FE1D1C5"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7A5804" w:rsidRDefault="007B7723">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7A5804" w:rsidRDefault="007B7723">
            <w:pPr>
              <w:pStyle w:val="P68B1DB1-TableParagraph40"/>
              <w:spacing w:before="108"/>
              <w:ind w:left="85"/>
              <w:jc w:val="both"/>
              <w:rPr>
                <w:b/>
                <w:bCs/>
              </w:rPr>
            </w:pPr>
            <w:r>
              <w:t xml:space="preserve"> </w:t>
            </w:r>
            <w:r>
              <w:rPr>
                <w:b/>
              </w:rPr>
              <w:t>Krajina protistrany</w:t>
            </w:r>
          </w:p>
          <w:p w14:paraId="7FE1D1C9" w14:textId="77777777" w:rsidR="007A5804" w:rsidRDefault="007B7723">
            <w:pPr>
              <w:pStyle w:val="P68B1DB1-TableParagraph40"/>
              <w:spacing w:before="108"/>
              <w:ind w:left="85"/>
              <w:jc w:val="both"/>
            </w:pPr>
            <w:r>
              <w:t>Meno krajiny, v ktorej je inštitúcia registrovaná.</w:t>
            </w:r>
          </w:p>
        </w:tc>
      </w:tr>
      <w:tr w:rsidR="007A5804"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7A5804" w:rsidRDefault="007B7723">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7A5804" w:rsidRDefault="007B7723">
            <w:pPr>
              <w:pStyle w:val="P68B1DB1-TableParagraph40"/>
              <w:spacing w:before="108"/>
              <w:ind w:left="85"/>
              <w:jc w:val="both"/>
              <w:rPr>
                <w:b/>
                <w:bCs/>
              </w:rPr>
            </w:pPr>
            <w:r>
              <w:t xml:space="preserve"> </w:t>
            </w:r>
            <w:r>
              <w:rPr>
                <w:b/>
              </w:rPr>
              <w:t>Rozhodné právo riadiaceho orgánu/jediná dohoda</w:t>
            </w:r>
          </w:p>
          <w:p w14:paraId="7FE1D1CD" w14:textId="77777777" w:rsidR="007A5804" w:rsidRDefault="007B7723">
            <w:pPr>
              <w:pStyle w:val="P68B1DB1-TableParagraph40"/>
              <w:spacing w:before="108"/>
              <w:ind w:left="85"/>
              <w:jc w:val="both"/>
            </w:pPr>
            <w:r>
              <w:t xml:space="preserve">Názov krajiny, ktorej právnym poriadkom sa riadi riadiaci orgán/jediná zmluva. Ak sa zmluva spravuje právom viac ako jednej krajiny, vykazuje sa krajina, ktorej právny poriadok má najvyšší význam pre uznanie právomocí na odpísanie a konverziu.  </w:t>
            </w:r>
          </w:p>
        </w:tc>
      </w:tr>
      <w:tr w:rsidR="007A5804"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7A5804" w:rsidRDefault="007B772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7A5804" w:rsidRDefault="007B7723">
            <w:pPr>
              <w:pStyle w:val="P68B1DB1-TableParagraph40"/>
              <w:spacing w:before="108"/>
              <w:ind w:left="85"/>
              <w:jc w:val="both"/>
              <w:rPr>
                <w:b/>
                <w:bCs/>
              </w:rPr>
            </w:pPr>
            <w:r>
              <w:t xml:space="preserve"> </w:t>
            </w:r>
            <w:r>
              <w:rPr>
                <w:b/>
              </w:rPr>
              <w:t>Počet transakcií, na ktoré sa vzťahuje</w:t>
            </w:r>
          </w:p>
          <w:p w14:paraId="7FE1D1D1" w14:textId="77777777" w:rsidR="007A5804" w:rsidRDefault="007B7723">
            <w:pPr>
              <w:pStyle w:val="P68B1DB1-TableParagraph40"/>
              <w:spacing w:before="108"/>
              <w:ind w:left="85"/>
              <w:jc w:val="both"/>
            </w:pPr>
            <w:r>
              <w:t>Uveďte počet jednotlivých zmlúv, ktoré sú zahrnuté do súboru vzájomného započítavania RO.</w:t>
            </w:r>
          </w:p>
        </w:tc>
      </w:tr>
      <w:tr w:rsidR="007A5804"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7A5804" w:rsidRDefault="007B772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7A5804" w:rsidRDefault="007B7723">
            <w:pPr>
              <w:pStyle w:val="P68B1DB1-TableParagraph40"/>
              <w:spacing w:before="108"/>
              <w:ind w:left="85"/>
              <w:jc w:val="both"/>
              <w:rPr>
                <w:b/>
                <w:bCs/>
              </w:rPr>
            </w:pPr>
            <w:r>
              <w:t xml:space="preserve"> </w:t>
            </w:r>
            <w:r>
              <w:rPr>
                <w:b/>
              </w:rPr>
              <w:t>Čistá suma prijatého financovania</w:t>
            </w:r>
          </w:p>
          <w:p w14:paraId="7FE1D1D5" w14:textId="40508D2F" w:rsidR="007A5804" w:rsidRDefault="007B7723">
            <w:pPr>
              <w:pStyle w:val="P68B1DB1-TableParagraph40"/>
              <w:spacing w:before="108"/>
              <w:ind w:left="85"/>
              <w:jc w:val="both"/>
            </w:pPr>
            <w:r>
              <w:t>Uveďte čistú sumu financovania prijatého na základe zabezpečených dohôd o financovaní, pričom sa zohľadnia všetky transakcie, na ktoré sa vzťahuje dohoda o čistom zúčtovaní. Upozorňujeme, že táto suma nezahŕňa časovo rozlíšené úroky, zatiaľ čo súvisiaca suma v riadku 0120 Z02.00.</w:t>
            </w:r>
          </w:p>
        </w:tc>
      </w:tr>
      <w:tr w:rsidR="007A5804"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7A5804" w:rsidRDefault="007B772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7A5804" w:rsidRDefault="007B7723">
            <w:pPr>
              <w:pStyle w:val="P68B1DB1-TableParagraph73"/>
              <w:spacing w:before="108"/>
              <w:ind w:left="85"/>
              <w:jc w:val="both"/>
              <w:rPr>
                <w:bCs/>
              </w:rPr>
            </w:pPr>
            <w:r>
              <w:t xml:space="preserve"> Čistá suma poskytnutého kolaterálu  </w:t>
            </w:r>
          </w:p>
          <w:p w14:paraId="7FE1D1D9" w14:textId="6D452434" w:rsidR="007A5804" w:rsidRDefault="007B7723">
            <w:pPr>
              <w:pStyle w:val="P68B1DB1-TableParagraph40"/>
              <w:spacing w:before="108"/>
              <w:ind w:left="85"/>
              <w:jc w:val="both"/>
            </w:pPr>
            <w:r>
              <w:t>Pre každý súbor vzájomného započítavania uveďte čistú hodnotu kolaterálu zloženého na krytie zabezpečených finančných transakcií, pričom sa zohľadnia všetky pozície kolaterálu zohľadnené v dohode o vzájomnom započítavaní. To zahŕňa akúkoľvek sumu kolaterálu alebo marže, ktorá sa vymieňa.</w:t>
            </w:r>
          </w:p>
        </w:tc>
      </w:tr>
    </w:tbl>
    <w:p w14:paraId="7FE1D1DB" w14:textId="77777777" w:rsidR="007A5804" w:rsidRDefault="007A5804">
      <w:pPr>
        <w:pStyle w:val="Instructionsberschrift2"/>
        <w:ind w:left="357"/>
        <w:rPr>
          <w:rFonts w:ascii="Times New Roman" w:eastAsia="Calibri" w:hAnsi="Times New Roman" w:cs="Times New Roman"/>
          <w:szCs w:val="20"/>
        </w:rPr>
      </w:pPr>
      <w:bookmarkStart w:id="253" w:name="_Toc81454218"/>
    </w:p>
    <w:p w14:paraId="7FE1D1DC" w14:textId="4F83132F" w:rsidR="007A5804" w:rsidRDefault="007B7723">
      <w:pPr>
        <w:pStyle w:val="Instructionsberschrift2"/>
        <w:numPr>
          <w:ilvl w:val="1"/>
          <w:numId w:val="49"/>
        </w:numPr>
        <w:spacing w:before="0"/>
        <w:ind w:left="357" w:hanging="357"/>
        <w:rPr>
          <w:rFonts w:ascii="Times New Roman" w:hAnsi="Times New Roman" w:cs="Times New Roman"/>
        </w:rPr>
      </w:pPr>
      <w:bookmarkStart w:id="254" w:name="_Toc208245276"/>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Ostatné nefinančné záväzky (nezahrnuté v iných záložkách okrem vnútroskupinových) </w:t>
      </w:r>
      <w:r>
        <w:rPr>
          <w:rFonts w:ascii="Times New Roman" w:eastAsia="Calibri" w:hAnsi="Times New Roman" w:cs="Times New Roman"/>
          <w:szCs w:val="20"/>
        </w:rPr>
        <w:t>(LIAB-G-7)</w:t>
      </w:r>
      <w:bookmarkEnd w:id="254"/>
    </w:p>
    <w:bookmarkEnd w:id="253"/>
    <w:p w14:paraId="7FE1D1DD" w14:textId="28BEEC11" w:rsidR="007A5804" w:rsidRDefault="007A5804">
      <w:pPr>
        <w:pStyle w:val="Instructionsberschrift2"/>
        <w:ind w:left="357"/>
        <w:rPr>
          <w:rFonts w:ascii="Times New Roman" w:eastAsiaTheme="minorEastAsia" w:hAnsi="Times New Roman" w:cs="Times New Roman"/>
          <w:u w:val="none"/>
        </w:rPr>
      </w:pPr>
    </w:p>
    <w:p w14:paraId="7FE1D1DE" w14:textId="77777777" w:rsidR="007A5804" w:rsidRDefault="007B7723">
      <w:pPr>
        <w:pStyle w:val="P68B1DB1-Numberedtitlelevel388"/>
      </w:pPr>
      <w:r>
        <w:t>Všeobecné poznámky</w:t>
      </w:r>
    </w:p>
    <w:p w14:paraId="7FE1D1DF" w14:textId="6152DD19" w:rsidR="007A5804" w:rsidRDefault="007B7723">
      <w:pPr>
        <w:pStyle w:val="P68B1DB1-InstructionsText286"/>
        <w:numPr>
          <w:ilvl w:val="2"/>
          <w:numId w:val="209"/>
        </w:numPr>
        <w:spacing w:before="0"/>
        <w:ind w:left="1276"/>
        <w:rPr>
          <w:rFonts w:eastAsiaTheme="majorEastAsia"/>
        </w:rPr>
      </w:pPr>
      <w:r>
        <w:lastRenderedPageBreak/>
        <w:t>Táto tabuľka zahŕňa nefinančné záväzky, ako sú rezervy, daňové záväzky a výnosy budúcich období.</w:t>
      </w:r>
    </w:p>
    <w:p w14:paraId="7FE1D1E0" w14:textId="6480C40E" w:rsidR="007A5804" w:rsidRDefault="007B7723">
      <w:pPr>
        <w:pStyle w:val="P68B1DB1-InstructionsText286"/>
        <w:numPr>
          <w:ilvl w:val="2"/>
          <w:numId w:val="209"/>
        </w:numPr>
        <w:spacing w:before="0"/>
        <w:ind w:left="1276"/>
      </w:pPr>
      <w:r>
        <w:t>Zoskupiť tieto záväzky podľa druhu nefinančného záväzku a poradia v konkurznom konaní.</w:t>
      </w:r>
    </w:p>
    <w:p w14:paraId="7FE1D1E2" w14:textId="77777777" w:rsidR="007A5804" w:rsidRDefault="007B7723">
      <w:pPr>
        <w:pStyle w:val="P68B1DB1-Numberedtitlelevel388"/>
      </w:pPr>
      <w:r>
        <w:t>Pokyny týkajúce sa konkrétnych pozícií</w:t>
      </w:r>
    </w:p>
    <w:tbl>
      <w:tblPr>
        <w:tblW w:w="9015" w:type="dxa"/>
        <w:tblInd w:w="135" w:type="dxa"/>
        <w:tblLayout w:type="fixed"/>
        <w:tblLook w:val="04A0" w:firstRow="1" w:lastRow="0" w:firstColumn="1" w:lastColumn="0" w:noHBand="0" w:noVBand="1"/>
      </w:tblPr>
      <w:tblGrid>
        <w:gridCol w:w="1183"/>
        <w:gridCol w:w="7832"/>
      </w:tblGrid>
      <w:tr w:rsidR="007A5804"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7A5804" w:rsidRDefault="007B7723">
            <w:pPr>
              <w:pStyle w:val="P68B1DB1-Normal31"/>
            </w:pPr>
            <w:r>
              <w:t xml:space="preserve">Stĺpce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7A5804" w:rsidRDefault="007B7723">
            <w:pPr>
              <w:pStyle w:val="P68B1DB1-Normal31"/>
            </w:pPr>
            <w:r>
              <w:t xml:space="preserve">Pokyny </w:t>
            </w:r>
          </w:p>
        </w:tc>
      </w:tr>
      <w:tr w:rsidR="007A5804"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7A5804" w:rsidRDefault="007B7723">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7A5804" w:rsidRDefault="007B7723">
            <w:pPr>
              <w:pStyle w:val="P68B1DB1-TableParagraph73"/>
              <w:spacing w:before="108"/>
              <w:ind w:left="85"/>
              <w:jc w:val="both"/>
              <w:rPr>
                <w:bCs/>
              </w:rPr>
            </w:pPr>
            <w:r>
              <w:t xml:space="preserve"> Č. </w:t>
            </w:r>
          </w:p>
          <w:p w14:paraId="7FE1D1E8" w14:textId="5AB7F74C" w:rsidR="007A5804" w:rsidRDefault="007B7723">
            <w:pPr>
              <w:pStyle w:val="P68B1DB1-TableParagraph40"/>
              <w:spacing w:before="108"/>
              <w:ind w:left="85"/>
              <w:jc w:val="both"/>
            </w:pPr>
            <w:r>
              <w:t>Jedinečné číslo/primárny kľúč na identifikáciu riadkových položiek.</w:t>
            </w:r>
          </w:p>
        </w:tc>
      </w:tr>
      <w:tr w:rsidR="007A5804"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7A5804" w:rsidRDefault="007B7723">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7A5804" w:rsidRDefault="007B7723">
            <w:pPr>
              <w:pStyle w:val="P68B1DB1-TableParagraph73"/>
              <w:spacing w:before="108"/>
              <w:ind w:left="85"/>
              <w:jc w:val="both"/>
              <w:rPr>
                <w:bCs/>
              </w:rPr>
            </w:pPr>
            <w:r>
              <w:t xml:space="preserve"> Riadok </w:t>
            </w:r>
          </w:p>
          <w:p w14:paraId="7FE1D1EC" w14:textId="31DF728D" w:rsidR="007A5804" w:rsidRDefault="007B7723">
            <w:pPr>
              <w:pStyle w:val="P68B1DB1-TableParagraph40"/>
              <w:spacing w:before="108"/>
              <w:ind w:left="85"/>
              <w:jc w:val="both"/>
            </w:pPr>
            <w:r>
              <w:t>Pre každý záväzok sa zosúhlasí s kategóriami záväzkov štruktúry záväzkov v Z02.00 na úrovni splatnosti z vopred stanoveného zoznamu hodnôt.</w:t>
            </w:r>
          </w:p>
        </w:tc>
      </w:tr>
      <w:tr w:rsidR="007A5804"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7A5804" w:rsidRDefault="007B7723">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7A5804" w:rsidRDefault="007B7723">
            <w:pPr>
              <w:pStyle w:val="P68B1DB1-TableParagraph40"/>
              <w:spacing w:before="108"/>
              <w:ind w:left="85"/>
              <w:jc w:val="both"/>
              <w:rPr>
                <w:b/>
                <w:bCs/>
              </w:rPr>
            </w:pPr>
            <w:r>
              <w:t xml:space="preserve"> </w:t>
            </w:r>
            <w:r>
              <w:rPr>
                <w:b/>
              </w:rPr>
              <w:t>Stĺpec</w:t>
            </w:r>
          </w:p>
          <w:p w14:paraId="7FE1D1F0" w14:textId="2D865C88" w:rsidR="007A5804" w:rsidRDefault="007B7723">
            <w:pPr>
              <w:pStyle w:val="P68B1DB1-TableParagraph40"/>
              <w:spacing w:before="108"/>
              <w:ind w:left="85"/>
              <w:jc w:val="both"/>
            </w:pPr>
            <w:r>
              <w:t>Pre každý záväzok sa zosúhlasenie s triedou protistrany v Z 02.00, voči ktorej je záväzok dlžný, musí poskytnúť z vopred stanoveného zoznamu hodnôt.</w:t>
            </w:r>
          </w:p>
        </w:tc>
      </w:tr>
      <w:tr w:rsidR="007A5804"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7A5804" w:rsidRDefault="007B7723">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7A5804" w:rsidRDefault="007B7723">
            <w:pPr>
              <w:pStyle w:val="P68B1DB1-TableParagraph40"/>
              <w:spacing w:before="108"/>
              <w:ind w:left="85"/>
              <w:jc w:val="both"/>
              <w:rPr>
                <w:b/>
                <w:bCs/>
              </w:rPr>
            </w:pPr>
            <w:r>
              <w:t xml:space="preserve"> </w:t>
            </w:r>
            <w:r>
              <w:rPr>
                <w:b/>
              </w:rPr>
              <w:t>Poradie platobnej neschopnosti</w:t>
            </w:r>
          </w:p>
          <w:p w14:paraId="7FE1D1F4" w14:textId="16989963" w:rsidR="007A5804" w:rsidRDefault="007B7723">
            <w:pPr>
              <w:pStyle w:val="P68B1DB1-TableParagraph40"/>
              <w:spacing w:before="108"/>
              <w:ind w:left="85"/>
              <w:jc w:val="both"/>
            </w:pPr>
            <w:r>
              <w:t>Postavenie v konkurznom konaní je jedným z postavení zaradených do poradia v konkurznom konaní, ktoré uverejnil orgán pre riešenie krízových situácií danej jurisdikcie.</w:t>
            </w:r>
          </w:p>
        </w:tc>
      </w:tr>
      <w:tr w:rsidR="007A5804"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7A5804" w:rsidRDefault="007B7723">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7A5804" w:rsidRDefault="007B7723">
            <w:pPr>
              <w:pStyle w:val="P68B1DB1-TableParagraph73"/>
              <w:spacing w:before="108"/>
              <w:ind w:left="85"/>
              <w:jc w:val="both"/>
              <w:rPr>
                <w:bCs/>
              </w:rPr>
            </w:pPr>
            <w:r>
              <w:t xml:space="preserve">Identifikátor zmluvy </w:t>
            </w:r>
          </w:p>
          <w:p w14:paraId="7FE1D1F8" w14:textId="77777777" w:rsidR="007A5804" w:rsidRDefault="007B7723">
            <w:pPr>
              <w:pStyle w:val="P68B1DB1-TableParagraph40"/>
              <w:spacing w:before="108"/>
              <w:ind w:left="85"/>
              <w:jc w:val="both"/>
            </w:pPr>
            <w:r>
              <w:t>Interný identifikátor zmluvy ako ekvivalent ISIN pre cenné papiere.</w:t>
            </w:r>
          </w:p>
        </w:tc>
      </w:tr>
      <w:tr w:rsidR="007A5804"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7A5804" w:rsidRDefault="007B7723">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7A5804" w:rsidRDefault="007B7723">
            <w:pPr>
              <w:pStyle w:val="P68B1DB1-TableParagraph73"/>
              <w:spacing w:before="108"/>
              <w:ind w:left="85"/>
              <w:jc w:val="both"/>
              <w:rPr>
                <w:bCs/>
              </w:rPr>
            </w:pPr>
            <w:r>
              <w:t xml:space="preserve"> Identifikátor protistrany </w:t>
            </w:r>
          </w:p>
          <w:p w14:paraId="7FE1D1FC" w14:textId="3D6CB4CA" w:rsidR="007A5804" w:rsidRDefault="007B7723">
            <w:pPr>
              <w:pStyle w:val="P68B1DB1-TableParagraph40"/>
              <w:spacing w:before="108"/>
              <w:ind w:left="85"/>
              <w:jc w:val="both"/>
            </w:pPr>
            <w:r>
              <w:t>Uveďte kód LEI veriteľa. Ak neexistuje identifikátor LEI, v prípade správy bánk identifikátor ECB pre menové finančné inštitúcie (MFI ID) použitý v RIAD. Ak oba tieto identifikátory chýbajú, nahláste interný identifikátor.</w:t>
            </w:r>
          </w:p>
        </w:tc>
      </w:tr>
      <w:tr w:rsidR="007A5804"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7A5804" w:rsidRDefault="007B7723">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7A5804" w:rsidRDefault="007B7723">
            <w:pPr>
              <w:pStyle w:val="P68B1DB1-TableParagraph73"/>
              <w:spacing w:before="108"/>
              <w:ind w:left="85"/>
              <w:jc w:val="both"/>
              <w:rPr>
                <w:bCs/>
              </w:rPr>
            </w:pPr>
            <w:r>
              <w:t xml:space="preserve">Druh identifikátora </w:t>
            </w:r>
          </w:p>
          <w:p w14:paraId="7FE1D200" w14:textId="77777777" w:rsidR="007A5804" w:rsidRDefault="007B7723">
            <w:pPr>
              <w:pStyle w:val="P68B1DB1-TableParagraph40"/>
              <w:spacing w:before="108"/>
              <w:ind w:left="85"/>
              <w:jc w:val="both"/>
            </w:pPr>
            <w:r>
              <w:t>Vyberie sa z nasledujúcich možností: „Kód LEI“, „kód PFI“ alebo „Druh identifikátora iný ako LEI alebo kód PFI“.</w:t>
            </w:r>
          </w:p>
        </w:tc>
      </w:tr>
      <w:tr w:rsidR="007A5804"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7A5804" w:rsidRDefault="007B7723">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7A5804" w:rsidRDefault="007B7723">
            <w:pPr>
              <w:pStyle w:val="P68B1DB1-TableParagraph40"/>
              <w:spacing w:before="108"/>
              <w:ind w:left="85"/>
              <w:jc w:val="both"/>
              <w:rPr>
                <w:b/>
                <w:bCs/>
              </w:rPr>
            </w:pPr>
            <w:r>
              <w:t xml:space="preserve"> </w:t>
            </w:r>
            <w:r>
              <w:rPr>
                <w:b/>
              </w:rPr>
              <w:t>Rozhodné právo</w:t>
            </w:r>
          </w:p>
          <w:p w14:paraId="7FE1D204" w14:textId="24CB3395" w:rsidR="007A5804" w:rsidRDefault="007B7723">
            <w:pPr>
              <w:pStyle w:val="P68B1DB1-TableParagraph40"/>
              <w:spacing w:before="108"/>
              <w:ind w:left="85"/>
              <w:jc w:val="both"/>
            </w:pPr>
            <w:r>
              <w:t xml:space="preserve">Názov krajiny, ktorej právny poriadok sa vzťahuje na záväzok. Ak sa zmluva spravuje právom viac ako jednej krajiny, vykazuje sa krajina, ktorej právny poriadok má najvyšší význam pre uznanie právomocí na odpísanie a konverziu.  </w:t>
            </w:r>
          </w:p>
        </w:tc>
      </w:tr>
      <w:tr w:rsidR="007A5804"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7A5804" w:rsidRDefault="007B7723">
            <w:pPr>
              <w:pStyle w:val="P68B1DB1-Normal31"/>
            </w:pPr>
            <w:r>
              <w:lastRenderedPageBreak/>
              <w:t>0080</w:t>
            </w:r>
          </w:p>
        </w:tc>
        <w:tc>
          <w:tcPr>
            <w:tcW w:w="7832" w:type="dxa"/>
            <w:tcBorders>
              <w:top w:val="single" w:sz="8" w:space="0" w:color="1A171C"/>
              <w:left w:val="single" w:sz="4" w:space="0" w:color="auto"/>
              <w:right w:val="nil"/>
            </w:tcBorders>
            <w:vAlign w:val="bottom"/>
          </w:tcPr>
          <w:p w14:paraId="7FE1D207" w14:textId="77777777" w:rsidR="007A5804" w:rsidRDefault="007B7723">
            <w:pPr>
              <w:pStyle w:val="P68B1DB1-TableParagraph40"/>
              <w:spacing w:before="108"/>
              <w:ind w:left="85"/>
              <w:jc w:val="both"/>
              <w:rPr>
                <w:b/>
                <w:bCs/>
              </w:rPr>
            </w:pPr>
            <w:r>
              <w:t xml:space="preserve"> </w:t>
            </w:r>
            <w:r>
              <w:rPr>
                <w:b/>
              </w:rPr>
              <w:t>Druh nefinančných záväzkov</w:t>
            </w:r>
          </w:p>
          <w:p w14:paraId="7FE1D208" w14:textId="234E81AF" w:rsidR="007A5804" w:rsidRDefault="007B7723">
            <w:pPr>
              <w:pStyle w:val="P68B1DB1-TableParagraph40"/>
              <w:spacing w:before="108"/>
              <w:ind w:left="85"/>
              <w:jc w:val="both"/>
            </w:pPr>
            <w:r>
              <w:t>Vyberie sa z nasledujúcich možností:</w:t>
            </w:r>
          </w:p>
          <w:p w14:paraId="7FE1D209" w14:textId="1B19E45B" w:rsidR="007A5804" w:rsidRDefault="007B7723">
            <w:pPr>
              <w:pStyle w:val="P68B1DB1-TableParagraph40"/>
              <w:numPr>
                <w:ilvl w:val="0"/>
                <w:numId w:val="269"/>
              </w:numPr>
              <w:spacing w:before="108"/>
              <w:jc w:val="both"/>
            </w:pPr>
            <w:r>
              <w:t>Fondy pre všeobecné bankové riziká</w:t>
            </w:r>
          </w:p>
          <w:p w14:paraId="7FE1D20A" w14:textId="5F4C425A" w:rsidR="007A5804" w:rsidRDefault="007B7723">
            <w:pPr>
              <w:pStyle w:val="P68B1DB1-TableParagraph40"/>
              <w:numPr>
                <w:ilvl w:val="0"/>
                <w:numId w:val="269"/>
              </w:numPr>
              <w:spacing w:before="108"/>
              <w:jc w:val="both"/>
            </w:pPr>
            <w:r>
              <w:t>Dôchodkové a iné záväzky zo stanovených požitkov po ukončení zamestnania</w:t>
            </w:r>
          </w:p>
          <w:p w14:paraId="7FE1D20B" w14:textId="3AEADF9D" w:rsidR="007A5804" w:rsidRDefault="007B7723">
            <w:pPr>
              <w:pStyle w:val="P68B1DB1-TableParagraph40"/>
              <w:numPr>
                <w:ilvl w:val="0"/>
                <w:numId w:val="269"/>
              </w:numPr>
              <w:spacing w:before="108"/>
              <w:jc w:val="both"/>
            </w:pPr>
            <w:r>
              <w:t>Zamestnanecké požitky. Iné než dôchodkové a iné záväzky zo stanovených požitkov po ukončení zamestnania</w:t>
            </w:r>
          </w:p>
          <w:p w14:paraId="7FE1D20C" w14:textId="66AEA5AF" w:rsidR="007A5804" w:rsidRDefault="007B7723">
            <w:pPr>
              <w:pStyle w:val="P68B1DB1-TableParagraph40"/>
              <w:numPr>
                <w:ilvl w:val="0"/>
                <w:numId w:val="269"/>
              </w:numPr>
              <w:spacing w:before="108"/>
              <w:jc w:val="both"/>
            </w:pPr>
            <w:r>
              <w:t>Reštrukturalizácia</w:t>
            </w:r>
          </w:p>
          <w:p w14:paraId="7FE1D20D" w14:textId="72D6FCB9" w:rsidR="007A5804" w:rsidRDefault="007B7723">
            <w:pPr>
              <w:pStyle w:val="P68B1DB1-TableParagraph40"/>
              <w:numPr>
                <w:ilvl w:val="0"/>
                <w:numId w:val="269"/>
              </w:numPr>
              <w:spacing w:before="108"/>
              <w:jc w:val="both"/>
            </w:pPr>
            <w:r>
              <w:t>Prebiehajúce právne spory a daňové konania</w:t>
            </w:r>
          </w:p>
          <w:p w14:paraId="7FE1D20E" w14:textId="6A9A65DF" w:rsidR="007A5804" w:rsidRDefault="007B7723">
            <w:pPr>
              <w:pStyle w:val="P68B1DB1-TableParagraph40"/>
              <w:numPr>
                <w:ilvl w:val="0"/>
                <w:numId w:val="269"/>
              </w:numPr>
              <w:spacing w:before="108"/>
              <w:jc w:val="both"/>
            </w:pPr>
            <w:r>
              <w:t>Podsúvahové expozície podliehajúce kreditnému riziku</w:t>
            </w:r>
          </w:p>
          <w:p w14:paraId="7FE1D20F" w14:textId="04D20144" w:rsidR="007A5804" w:rsidRDefault="007B7723">
            <w:pPr>
              <w:pStyle w:val="P68B1DB1-TableParagraph40"/>
              <w:numPr>
                <w:ilvl w:val="0"/>
                <w:numId w:val="269"/>
              </w:numPr>
              <w:spacing w:before="108"/>
              <w:jc w:val="both"/>
            </w:pPr>
            <w:r>
              <w:t xml:space="preserve">Iné než Zamestnanecké požitky, Reštrukturalizácia, </w:t>
            </w:r>
            <w:r w:rsidR="00190C69">
              <w:t>prebiehajúce právne spory a daňové konania</w:t>
            </w:r>
            <w:r>
              <w:t xml:space="preserve">, </w:t>
            </w:r>
            <w:r w:rsidR="00190C69">
              <w:t>p</w:t>
            </w:r>
            <w:r>
              <w:t xml:space="preserve">odsúvahové </w:t>
            </w:r>
            <w:r w:rsidR="00190C69">
              <w:t>expozície podliehajúce kreditnému riziku</w:t>
            </w:r>
          </w:p>
          <w:p w14:paraId="7FE1D210" w14:textId="00431AB4" w:rsidR="007A5804" w:rsidRDefault="007B7723">
            <w:pPr>
              <w:pStyle w:val="P68B1DB1-TableParagraph40"/>
              <w:numPr>
                <w:ilvl w:val="0"/>
                <w:numId w:val="269"/>
              </w:numPr>
              <w:spacing w:before="108"/>
              <w:jc w:val="both"/>
            </w:pPr>
            <w:r>
              <w:t>Daňové záväzky</w:t>
            </w:r>
          </w:p>
          <w:p w14:paraId="7FE1D211" w14:textId="29640DA2" w:rsidR="007A5804" w:rsidRDefault="007B7723">
            <w:pPr>
              <w:pStyle w:val="P68B1DB1-TableParagraph40"/>
              <w:numPr>
                <w:ilvl w:val="0"/>
                <w:numId w:val="269"/>
              </w:numPr>
              <w:spacing w:before="108"/>
              <w:jc w:val="both"/>
            </w:pPr>
            <w:r>
              <w:t>Výnosy budúcich období</w:t>
            </w:r>
          </w:p>
          <w:p w14:paraId="7FE1D212" w14:textId="7E6BDA10" w:rsidR="007A5804" w:rsidRDefault="007B7723">
            <w:pPr>
              <w:pStyle w:val="P68B1DB1-TableParagraph40"/>
              <w:numPr>
                <w:ilvl w:val="0"/>
                <w:numId w:val="269"/>
              </w:numPr>
              <w:spacing w:before="108"/>
              <w:jc w:val="both"/>
            </w:pPr>
            <w:r>
              <w:t>Záväzky iné ako finančné záväzky, rezervy, daňové záväzky, odložené výnosy</w:t>
            </w:r>
          </w:p>
        </w:tc>
      </w:tr>
      <w:tr w:rsidR="007A5804"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7A5804" w:rsidRDefault="007B7723">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7A5804" w:rsidRDefault="007B7723">
            <w:pPr>
              <w:pStyle w:val="P68B1DB1-TableParagraph40"/>
              <w:spacing w:before="108"/>
              <w:ind w:left="85"/>
              <w:jc w:val="both"/>
              <w:rPr>
                <w:b/>
                <w:bCs/>
              </w:rPr>
            </w:pPr>
            <w:r>
              <w:t xml:space="preserve"> </w:t>
            </w:r>
            <w:r>
              <w:rPr>
                <w:b/>
              </w:rPr>
              <w:t>Nesplatená suma</w:t>
            </w:r>
          </w:p>
          <w:p w14:paraId="7FE1D216" w14:textId="41D11E8B" w:rsidR="007A5804" w:rsidRDefault="007B7723">
            <w:pPr>
              <w:pStyle w:val="P68B1DB1-TableParagraph40"/>
              <w:spacing w:before="108"/>
              <w:ind w:left="85"/>
              <w:jc w:val="both"/>
            </w:pPr>
            <w:r>
              <w:t>Nesplatená suma záväzku.</w:t>
            </w:r>
          </w:p>
        </w:tc>
      </w:tr>
      <w:tr w:rsidR="007A5804"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7A5804" w:rsidRDefault="007B7723">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7A5804" w:rsidRDefault="007B7723">
            <w:pPr>
              <w:pStyle w:val="P68B1DB1-TableParagraph73"/>
              <w:spacing w:before="108"/>
              <w:ind w:left="85"/>
              <w:jc w:val="both"/>
              <w:rPr>
                <w:bCs/>
              </w:rPr>
            </w:pPr>
            <w:r>
              <w:t xml:space="preserve">Mena  </w:t>
            </w:r>
          </w:p>
          <w:p w14:paraId="7FE1D21A" w14:textId="0E8D9FF4" w:rsidR="007A5804" w:rsidRDefault="007B7723">
            <w:pPr>
              <w:pStyle w:val="P68B1DB1-TableParagraph40"/>
              <w:spacing w:before="108"/>
              <w:ind w:left="85"/>
              <w:jc w:val="both"/>
            </w:pPr>
            <w:r>
              <w:t>Mena záväzku je vydaná v súlade s jeho trojpísmenovým kódom ISO 4217.</w:t>
            </w:r>
          </w:p>
        </w:tc>
      </w:tr>
      <w:tr w:rsidR="007A5804"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7A5804" w:rsidRDefault="007B7723">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7A5804" w:rsidRDefault="007B7723">
            <w:pPr>
              <w:pStyle w:val="P68B1DB1-TableParagraph73"/>
              <w:spacing w:before="108"/>
              <w:ind w:left="85"/>
              <w:jc w:val="both"/>
              <w:rPr>
                <w:bCs/>
              </w:rPr>
            </w:pPr>
            <w:r>
              <w:t xml:space="preserve"> Dátum uznania </w:t>
            </w:r>
          </w:p>
          <w:p w14:paraId="7FE1D21E" w14:textId="6A3E04DE" w:rsidR="007A5804" w:rsidRDefault="007B7723">
            <w:pPr>
              <w:pStyle w:val="P68B1DB1-TableParagraph40"/>
              <w:spacing w:before="108"/>
              <w:ind w:left="85"/>
              <w:jc w:val="both"/>
            </w:pPr>
            <w:r>
              <w:t>Dátum, ku ktorému bol záväzok vykázaný vo finančných účtoch podľa platných účtovných štandardov.</w:t>
            </w:r>
          </w:p>
        </w:tc>
      </w:tr>
      <w:tr w:rsidR="007A5804"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7A5804" w:rsidRDefault="007B7723">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7A5804" w:rsidRDefault="007B7723">
            <w:pPr>
              <w:pStyle w:val="P68B1DB1-TableParagraph73"/>
              <w:spacing w:before="108"/>
              <w:ind w:left="85"/>
              <w:jc w:val="both"/>
              <w:rPr>
                <w:bCs/>
              </w:rPr>
            </w:pPr>
            <w:r>
              <w:t xml:space="preserve">Dátum splatnosti </w:t>
            </w:r>
          </w:p>
          <w:p w14:paraId="7FE1D222" w14:textId="41BB691A" w:rsidR="007A5804" w:rsidRDefault="007B7723">
            <w:pPr>
              <w:pStyle w:val="P68B1DB1-TableParagraph40"/>
              <w:spacing w:before="108"/>
              <w:ind w:left="85"/>
              <w:jc w:val="both"/>
            </w:pPr>
            <w:r>
              <w:t>Dátum zákonnej konečnej splatnosti záväzku. V prípade trvalých záväzkov použite „2099 – 01 – 31“.</w:t>
            </w:r>
          </w:p>
        </w:tc>
      </w:tr>
      <w:tr w:rsidR="007A5804"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7A5804" w:rsidRDefault="007B7723">
            <w:pPr>
              <w:pStyle w:val="P68B1DB1-Normal31"/>
            </w:pPr>
            <w:r>
              <w:t>0130</w:t>
            </w:r>
          </w:p>
        </w:tc>
        <w:tc>
          <w:tcPr>
            <w:tcW w:w="7832" w:type="dxa"/>
            <w:tcBorders>
              <w:top w:val="single" w:sz="8" w:space="0" w:color="1A171C"/>
              <w:left w:val="single" w:sz="8" w:space="0" w:color="1A171C"/>
              <w:right w:val="nil"/>
            </w:tcBorders>
            <w:vAlign w:val="bottom"/>
          </w:tcPr>
          <w:p w14:paraId="7FE1D225" w14:textId="77777777" w:rsidR="007A5804" w:rsidRDefault="007B7723">
            <w:pPr>
              <w:pStyle w:val="P68B1DB1-TableParagraph40"/>
              <w:spacing w:before="108"/>
              <w:ind w:left="85"/>
              <w:jc w:val="both"/>
              <w:rPr>
                <w:b/>
                <w:bCs/>
              </w:rPr>
            </w:pPr>
            <w:r>
              <w:t xml:space="preserve"> </w:t>
            </w:r>
            <w:r>
              <w:rPr>
                <w:b/>
              </w:rPr>
              <w:t>Kvalifikovanosť ako vlastné zdroje</w:t>
            </w:r>
          </w:p>
          <w:p w14:paraId="7FE1D226" w14:textId="3E6ABC96" w:rsidR="007A5804" w:rsidRDefault="007B7723">
            <w:pPr>
              <w:pStyle w:val="P68B1DB1-TableParagraph40"/>
              <w:spacing w:before="108"/>
              <w:ind w:left="85"/>
              <w:jc w:val="both"/>
            </w:pPr>
            <w:r>
              <w:t xml:space="preserve">Uveďte, či a na akej úrovni je nástroj zahrnutý do vlastných zdrojov, spolu s informáciami o režime postupného ukončovania a opatreniach na zachovanie predchádzajúceho stavu. Hodnota môže byť „Nie“, „čiastočne AT1, T1 a T2“, „T2 v postupnom ukončovaní“, „T2 zachránený“ alebo „CET1“ z vopred zostaveného zoznamu. </w:t>
            </w:r>
          </w:p>
          <w:p w14:paraId="7FE1D227" w14:textId="4662C12C" w:rsidR="007A5804" w:rsidRDefault="007B7723">
            <w:pPr>
              <w:pStyle w:val="P68B1DB1-TableParagraph40"/>
              <w:spacing w:before="108"/>
              <w:ind w:left="85"/>
              <w:jc w:val="both"/>
            </w:pPr>
            <w:r>
              <w:t xml:space="preserve"> V zozname opcií sa pojem „postupné ukončovanie“ vzťahuje na obdobie piatich rokov pred splatnosťou akéhokoľvek daného nástroja T2, počas ktorého existuje len primerané uznanie založené na čase zostávajúcom do splatnosti. „Zachované v predchádzajúcom stave“ sa vzťahuje na akékoľvek prechodné opatrenie uplatniteľné na nástroj T2 okrem „postupného vyraďovania“. Počas tohto „zachovania predchádzajúceho stavu“ môže byť uznanie úplné alebo čiastočné.</w:t>
            </w:r>
          </w:p>
        </w:tc>
      </w:tr>
      <w:tr w:rsidR="007A5804" w14:paraId="7FE1D22C" w14:textId="77777777">
        <w:tc>
          <w:tcPr>
            <w:tcW w:w="1183" w:type="dxa"/>
            <w:tcBorders>
              <w:top w:val="nil"/>
              <w:left w:val="nil"/>
              <w:bottom w:val="single" w:sz="8" w:space="0" w:color="1A171C"/>
              <w:right w:val="single" w:sz="8" w:space="0" w:color="1A171C"/>
            </w:tcBorders>
            <w:vAlign w:val="center"/>
          </w:tcPr>
          <w:p w14:paraId="7FE1D229" w14:textId="77777777" w:rsidR="007A5804" w:rsidRDefault="007B7723">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7A5804" w:rsidRDefault="007B7723">
            <w:pPr>
              <w:pStyle w:val="P68B1DB1-TableParagraph40"/>
              <w:spacing w:before="108"/>
              <w:ind w:left="85"/>
              <w:jc w:val="both"/>
              <w:rPr>
                <w:b/>
                <w:bCs/>
              </w:rPr>
            </w:pPr>
            <w:r>
              <w:t xml:space="preserve"> </w:t>
            </w:r>
            <w:r>
              <w:rPr>
                <w:b/>
              </w:rPr>
              <w:t>Suma kvalifikovaná ako vlastné zdroje</w:t>
            </w:r>
          </w:p>
          <w:p w14:paraId="7FE1D22B" w14:textId="01A9A811" w:rsidR="007A5804" w:rsidRDefault="007B7723">
            <w:pPr>
              <w:pStyle w:val="P68B1DB1-TableParagraph40"/>
              <w:spacing w:before="108"/>
              <w:ind w:left="85"/>
              <w:jc w:val="both"/>
            </w:pPr>
            <w:r>
              <w:t>Hodnota nástroja kvalifikovaného ako vlastné zdroje.</w:t>
            </w:r>
          </w:p>
        </w:tc>
      </w:tr>
    </w:tbl>
    <w:p w14:paraId="7FE1D22D" w14:textId="01F1CEAB" w:rsidR="007A5804" w:rsidRDefault="007A5804">
      <w:pPr>
        <w:pStyle w:val="body"/>
        <w:rPr>
          <w:rFonts w:ascii="Times New Roman" w:hAnsi="Times New Roman" w:cs="Times New Roman"/>
          <w:sz w:val="20"/>
          <w:szCs w:val="20"/>
        </w:rPr>
      </w:pPr>
    </w:p>
    <w:p w14:paraId="349218F7" w14:textId="77777777" w:rsidR="007A5804" w:rsidRDefault="007B7723">
      <w:pPr>
        <w:pStyle w:val="P68B1DB1-Normal19"/>
        <w:spacing w:after="200" w:line="276" w:lineRule="auto"/>
      </w:pPr>
      <w:r>
        <w:br w:type="page"/>
      </w:r>
    </w:p>
    <w:p w14:paraId="42DED9B4" w14:textId="77777777" w:rsidR="007A5804" w:rsidRDefault="007A5804">
      <w:pPr>
        <w:pStyle w:val="Instructionsberschrift2"/>
        <w:ind w:left="357"/>
        <w:rPr>
          <w:rFonts w:ascii="Times New Roman" w:eastAsia="Calibri" w:hAnsi="Times New Roman" w:cs="Times New Roman"/>
          <w:szCs w:val="20"/>
        </w:rPr>
      </w:pPr>
    </w:p>
    <w:p w14:paraId="4BD624F8" w14:textId="77777777" w:rsidR="007A5804" w:rsidRDefault="007A5804">
      <w:pPr>
        <w:spacing w:after="200" w:line="276" w:lineRule="auto"/>
        <w:rPr>
          <w:rFonts w:ascii="Times New Roman" w:hAnsi="Times New Roman" w:cs="Times New Roman"/>
          <w:sz w:val="20"/>
          <w:szCs w:val="20"/>
        </w:rPr>
      </w:pPr>
    </w:p>
    <w:p w14:paraId="715529B0" w14:textId="64A141F4" w:rsidR="007A5804" w:rsidRDefault="007B7723">
      <w:pPr>
        <w:pStyle w:val="P68B1DB1-Instructionsberschrift284"/>
        <w:numPr>
          <w:ilvl w:val="1"/>
          <w:numId w:val="49"/>
        </w:numPr>
        <w:spacing w:before="0"/>
        <w:ind w:left="357" w:hanging="357"/>
      </w:pPr>
      <w:bookmarkStart w:id="255" w:name="_Toc192248856"/>
      <w:bookmarkStart w:id="256" w:name="_Toc208245277"/>
      <w:r>
        <w:t>Príloha I – Zoznam FMI, ktorý sa má použiť pre Z 09.01 – c0050</w:t>
      </w:r>
      <w:bookmarkEnd w:id="255"/>
      <w:bookmarkEnd w:id="256"/>
    </w:p>
    <w:p w14:paraId="31681B73" w14:textId="51FEAE08" w:rsidR="007A5804" w:rsidRDefault="007A5804">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7A5804"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7A5804" w:rsidRDefault="007B7723">
            <w:pPr>
              <w:pStyle w:val="P68B1DB1-Normal90"/>
            </w:pPr>
            <w:r>
              <w:t>Zápis do rozbaľovacieho zoznamu FMI</w:t>
            </w:r>
          </w:p>
        </w:tc>
      </w:tr>
      <w:tr w:rsidR="007A5804" w14:paraId="09736821" w14:textId="77777777">
        <w:trPr>
          <w:trHeight w:val="300"/>
        </w:trPr>
        <w:tc>
          <w:tcPr>
            <w:tcW w:w="9072" w:type="dxa"/>
            <w:tcBorders>
              <w:top w:val="nil"/>
              <w:left w:val="nil"/>
              <w:bottom w:val="nil"/>
              <w:right w:val="nil"/>
            </w:tcBorders>
            <w:noWrap/>
            <w:vAlign w:val="bottom"/>
            <w:hideMark/>
          </w:tcPr>
          <w:p w14:paraId="65FBD6FC" w14:textId="078735B8" w:rsidR="007A5804" w:rsidRDefault="00FD7A29">
            <w:pPr>
              <w:pStyle w:val="P68B1DB1-Normal91"/>
            </w:pPr>
            <w:bookmarkStart w:id="257" w:name="RANGE!A3:A168"/>
            <w:r w:rsidRPr="00F22F68">
              <w:t>Athens Clearing Office</w:t>
            </w:r>
            <w:r w:rsidR="007B7723">
              <w:t xml:space="preserve"> (ACO)</w:t>
            </w:r>
            <w:bookmarkEnd w:id="257"/>
          </w:p>
        </w:tc>
      </w:tr>
      <w:tr w:rsidR="007A5804" w14:paraId="447EB604" w14:textId="77777777">
        <w:trPr>
          <w:trHeight w:val="300"/>
        </w:trPr>
        <w:tc>
          <w:tcPr>
            <w:tcW w:w="9072" w:type="dxa"/>
            <w:tcBorders>
              <w:top w:val="nil"/>
              <w:left w:val="nil"/>
              <w:bottom w:val="nil"/>
              <w:right w:val="nil"/>
            </w:tcBorders>
            <w:noWrap/>
            <w:vAlign w:val="bottom"/>
            <w:hideMark/>
          </w:tcPr>
          <w:p w14:paraId="2B6E60A7" w14:textId="77777777" w:rsidR="007A5804" w:rsidRDefault="007B7723">
            <w:pPr>
              <w:pStyle w:val="P68B1DB1-Normal91"/>
            </w:pPr>
            <w:r>
              <w:t>ATHEX (Aténska burza cenných papierov)</w:t>
            </w:r>
          </w:p>
        </w:tc>
      </w:tr>
      <w:tr w:rsidR="007A5804" w14:paraId="0DF5C441" w14:textId="77777777">
        <w:trPr>
          <w:trHeight w:val="300"/>
        </w:trPr>
        <w:tc>
          <w:tcPr>
            <w:tcW w:w="9072" w:type="dxa"/>
            <w:tcBorders>
              <w:top w:val="nil"/>
              <w:left w:val="nil"/>
              <w:bottom w:val="nil"/>
              <w:right w:val="nil"/>
            </w:tcBorders>
            <w:noWrap/>
            <w:vAlign w:val="bottom"/>
            <w:hideMark/>
          </w:tcPr>
          <w:p w14:paraId="4C199F01" w14:textId="77777777" w:rsidR="007A5804" w:rsidRDefault="007B7723">
            <w:pPr>
              <w:pStyle w:val="P68B1DB1-Normal91"/>
            </w:pPr>
            <w:r>
              <w:t>CSD ATHEX</w:t>
            </w:r>
          </w:p>
        </w:tc>
      </w:tr>
      <w:tr w:rsidR="007A5804" w14:paraId="6C8DFF2B" w14:textId="77777777">
        <w:trPr>
          <w:trHeight w:val="300"/>
        </w:trPr>
        <w:tc>
          <w:tcPr>
            <w:tcW w:w="9072" w:type="dxa"/>
            <w:tcBorders>
              <w:top w:val="nil"/>
              <w:left w:val="nil"/>
              <w:bottom w:val="nil"/>
              <w:right w:val="nil"/>
            </w:tcBorders>
            <w:noWrap/>
            <w:vAlign w:val="bottom"/>
            <w:hideMark/>
          </w:tcPr>
          <w:p w14:paraId="2876B1C1" w14:textId="77777777" w:rsidR="007A5804" w:rsidRDefault="007B7723">
            <w:pPr>
              <w:pStyle w:val="P68B1DB1-Normal91"/>
            </w:pPr>
            <w:r>
              <w:t>ATHEXClear SA</w:t>
            </w:r>
          </w:p>
        </w:tc>
      </w:tr>
      <w:tr w:rsidR="007A5804" w14:paraId="24CE5F78" w14:textId="77777777">
        <w:trPr>
          <w:trHeight w:val="300"/>
        </w:trPr>
        <w:tc>
          <w:tcPr>
            <w:tcW w:w="9072" w:type="dxa"/>
            <w:tcBorders>
              <w:top w:val="nil"/>
              <w:left w:val="nil"/>
              <w:bottom w:val="nil"/>
              <w:right w:val="nil"/>
            </w:tcBorders>
            <w:noWrap/>
            <w:vAlign w:val="bottom"/>
            <w:hideMark/>
          </w:tcPr>
          <w:p w14:paraId="1E830E75" w14:textId="32E50BAE" w:rsidR="007A5804" w:rsidRDefault="00FD7A29">
            <w:pPr>
              <w:pStyle w:val="P68B1DB1-Normal91"/>
            </w:pPr>
            <w:r w:rsidRPr="00F22F68">
              <w:t>The Clearing House</w:t>
            </w:r>
            <w:r w:rsidR="007B7723">
              <w:t xml:space="preserve"> ACH</w:t>
            </w:r>
          </w:p>
        </w:tc>
      </w:tr>
      <w:tr w:rsidR="007A5804" w14:paraId="2920AE45" w14:textId="77777777">
        <w:trPr>
          <w:trHeight w:val="300"/>
        </w:trPr>
        <w:tc>
          <w:tcPr>
            <w:tcW w:w="9072" w:type="dxa"/>
            <w:tcBorders>
              <w:top w:val="nil"/>
              <w:left w:val="nil"/>
              <w:bottom w:val="nil"/>
              <w:right w:val="nil"/>
            </w:tcBorders>
            <w:noWrap/>
            <w:vAlign w:val="bottom"/>
            <w:hideMark/>
          </w:tcPr>
          <w:p w14:paraId="1C314494" w14:textId="17FDCED5" w:rsidR="007A5804" w:rsidRDefault="00FD7A29">
            <w:pPr>
              <w:pStyle w:val="P68B1DB1-Normal91"/>
            </w:pPr>
            <w:r w:rsidRPr="00F22F68">
              <w:t>Automated Clearing Settlement System</w:t>
            </w:r>
            <w:r w:rsidR="007B7723">
              <w:t xml:space="preserve"> (ACSS)</w:t>
            </w:r>
          </w:p>
        </w:tc>
      </w:tr>
      <w:tr w:rsidR="007A5804" w14:paraId="1DB8A80A" w14:textId="77777777">
        <w:trPr>
          <w:trHeight w:val="300"/>
        </w:trPr>
        <w:tc>
          <w:tcPr>
            <w:tcW w:w="9072" w:type="dxa"/>
            <w:tcBorders>
              <w:top w:val="nil"/>
              <w:left w:val="nil"/>
              <w:bottom w:val="nil"/>
              <w:right w:val="nil"/>
            </w:tcBorders>
            <w:noWrap/>
            <w:vAlign w:val="bottom"/>
            <w:hideMark/>
          </w:tcPr>
          <w:p w14:paraId="65CA5200" w14:textId="2D0214F5" w:rsidR="007A5804" w:rsidRDefault="007B7723">
            <w:pPr>
              <w:pStyle w:val="P68B1DB1-Normal91"/>
            </w:pPr>
            <w:r>
              <w:t>BACS (</w:t>
            </w:r>
            <w:r w:rsidR="00FD7A29" w:rsidRPr="00F22F68">
              <w:t>Bankers' Automated Clearing Services</w:t>
            </w:r>
            <w:r w:rsidR="00FD7A29">
              <w:t xml:space="preserve">, </w:t>
            </w:r>
            <w:r>
              <w:t>automatizované zúčtovacie služby bánk)</w:t>
            </w:r>
          </w:p>
        </w:tc>
      </w:tr>
      <w:tr w:rsidR="007A5804" w14:paraId="0C931590" w14:textId="77777777">
        <w:trPr>
          <w:trHeight w:val="300"/>
        </w:trPr>
        <w:tc>
          <w:tcPr>
            <w:tcW w:w="9072" w:type="dxa"/>
            <w:tcBorders>
              <w:top w:val="nil"/>
              <w:left w:val="nil"/>
              <w:bottom w:val="nil"/>
              <w:right w:val="nil"/>
            </w:tcBorders>
            <w:noWrap/>
            <w:vAlign w:val="bottom"/>
            <w:hideMark/>
          </w:tcPr>
          <w:p w14:paraId="50133989" w14:textId="77777777" w:rsidR="007A5804" w:rsidRDefault="007B7723">
            <w:pPr>
              <w:pStyle w:val="P68B1DB1-Normal91"/>
            </w:pPr>
            <w:r>
              <w:t>Bankgirot (Bankgirocentralen BGC AB)</w:t>
            </w:r>
          </w:p>
        </w:tc>
      </w:tr>
      <w:tr w:rsidR="007A5804" w14:paraId="2F8CAEE4" w14:textId="77777777">
        <w:trPr>
          <w:trHeight w:val="300"/>
        </w:trPr>
        <w:tc>
          <w:tcPr>
            <w:tcW w:w="9072" w:type="dxa"/>
            <w:tcBorders>
              <w:top w:val="nil"/>
              <w:left w:val="nil"/>
              <w:bottom w:val="nil"/>
              <w:right w:val="nil"/>
            </w:tcBorders>
            <w:noWrap/>
            <w:vAlign w:val="bottom"/>
            <w:hideMark/>
          </w:tcPr>
          <w:p w14:paraId="01AEF229" w14:textId="77777777" w:rsidR="007A5804" w:rsidRDefault="007B7723">
            <w:pPr>
              <w:pStyle w:val="P68B1DB1-Normal91"/>
            </w:pPr>
            <w:r>
              <w:t>BI-COMP</w:t>
            </w:r>
          </w:p>
        </w:tc>
      </w:tr>
      <w:tr w:rsidR="007A5804" w14:paraId="7736D7E4" w14:textId="77777777">
        <w:trPr>
          <w:trHeight w:val="300"/>
        </w:trPr>
        <w:tc>
          <w:tcPr>
            <w:tcW w:w="9072" w:type="dxa"/>
            <w:tcBorders>
              <w:top w:val="nil"/>
              <w:left w:val="nil"/>
              <w:bottom w:val="nil"/>
              <w:right w:val="nil"/>
            </w:tcBorders>
            <w:noWrap/>
            <w:vAlign w:val="bottom"/>
            <w:hideMark/>
          </w:tcPr>
          <w:p w14:paraId="431E29D0" w14:textId="77777777" w:rsidR="007A5804" w:rsidRDefault="007B7723">
            <w:pPr>
              <w:pStyle w:val="P68B1DB1-Normal91"/>
            </w:pPr>
            <w:r>
              <w:t>Bisera (Integrovaný bankový systém pre elektronické platby)</w:t>
            </w:r>
          </w:p>
        </w:tc>
      </w:tr>
      <w:tr w:rsidR="007A5804" w14:paraId="7AE977D3" w14:textId="77777777">
        <w:trPr>
          <w:trHeight w:val="300"/>
        </w:trPr>
        <w:tc>
          <w:tcPr>
            <w:tcW w:w="9072" w:type="dxa"/>
            <w:tcBorders>
              <w:top w:val="nil"/>
              <w:left w:val="nil"/>
              <w:bottom w:val="nil"/>
              <w:right w:val="nil"/>
            </w:tcBorders>
            <w:noWrap/>
            <w:vAlign w:val="bottom"/>
            <w:hideMark/>
          </w:tcPr>
          <w:p w14:paraId="0E054309" w14:textId="02E62ABA" w:rsidR="007A5804" w:rsidRDefault="007B7723">
            <w:pPr>
              <w:pStyle w:val="P68B1DB1-Normal91"/>
            </w:pPr>
            <w:r>
              <w:t xml:space="preserve">Bloomberg </w:t>
            </w:r>
            <w:r w:rsidR="00FD7A29" w:rsidRPr="00F22F68">
              <w:t>Trade Repository Limited</w:t>
            </w:r>
            <w:r w:rsidR="00FD7A29">
              <w:t xml:space="preserve"> </w:t>
            </w:r>
          </w:p>
        </w:tc>
      </w:tr>
      <w:tr w:rsidR="007A5804" w14:paraId="3DEFBBB0" w14:textId="77777777">
        <w:trPr>
          <w:trHeight w:val="300"/>
        </w:trPr>
        <w:tc>
          <w:tcPr>
            <w:tcW w:w="9072" w:type="dxa"/>
            <w:tcBorders>
              <w:top w:val="nil"/>
              <w:left w:val="nil"/>
              <w:bottom w:val="nil"/>
              <w:right w:val="nil"/>
            </w:tcBorders>
            <w:noWrap/>
            <w:vAlign w:val="bottom"/>
            <w:hideMark/>
          </w:tcPr>
          <w:p w14:paraId="69A6C566" w14:textId="77777777" w:rsidR="007A5804" w:rsidRDefault="007B7723">
            <w:pPr>
              <w:pStyle w:val="P68B1DB1-Normal91"/>
            </w:pPr>
            <w:r>
              <w:t>BME</w:t>
            </w:r>
          </w:p>
        </w:tc>
      </w:tr>
      <w:tr w:rsidR="007A5804" w14:paraId="6C4EE14D" w14:textId="77777777">
        <w:trPr>
          <w:trHeight w:val="300"/>
        </w:trPr>
        <w:tc>
          <w:tcPr>
            <w:tcW w:w="9072" w:type="dxa"/>
            <w:tcBorders>
              <w:top w:val="nil"/>
              <w:left w:val="nil"/>
              <w:bottom w:val="nil"/>
              <w:right w:val="nil"/>
            </w:tcBorders>
            <w:noWrap/>
            <w:vAlign w:val="bottom"/>
            <w:hideMark/>
          </w:tcPr>
          <w:p w14:paraId="31001C6A" w14:textId="5301D0D9" w:rsidR="007A5804" w:rsidRDefault="00133A67">
            <w:pPr>
              <w:pStyle w:val="P68B1DB1-Normal91"/>
            </w:pPr>
            <w:r w:rsidRPr="00F22F68">
              <w:t>BME Clearing</w:t>
            </w:r>
          </w:p>
        </w:tc>
      </w:tr>
      <w:tr w:rsidR="007A5804" w14:paraId="3ADECE08" w14:textId="77777777">
        <w:trPr>
          <w:trHeight w:val="300"/>
        </w:trPr>
        <w:tc>
          <w:tcPr>
            <w:tcW w:w="9072" w:type="dxa"/>
            <w:tcBorders>
              <w:top w:val="nil"/>
              <w:left w:val="nil"/>
              <w:bottom w:val="nil"/>
              <w:right w:val="nil"/>
            </w:tcBorders>
            <w:noWrap/>
            <w:vAlign w:val="bottom"/>
            <w:hideMark/>
          </w:tcPr>
          <w:p w14:paraId="29263C2A" w14:textId="07B60648" w:rsidR="007A5804" w:rsidRDefault="00190C69">
            <w:pPr>
              <w:pStyle w:val="P68B1DB1-Normal91"/>
            </w:pPr>
            <w:r>
              <w:t>BOGS</w:t>
            </w:r>
            <w:r w:rsidR="007B7723">
              <w:t xml:space="preserve"> (</w:t>
            </w:r>
            <w:r w:rsidR="00FD7A29" w:rsidRPr="00F22F68">
              <w:t>Bank of Greece Securities Settlement System</w:t>
            </w:r>
            <w:r w:rsidR="00FD7A29">
              <w:t xml:space="preserve">, </w:t>
            </w:r>
            <w:r w:rsidR="007B7723">
              <w:t>systém vyrovnania transakcií s cennými papiermi Grécka)</w:t>
            </w:r>
          </w:p>
        </w:tc>
      </w:tr>
      <w:tr w:rsidR="007A5804" w14:paraId="6CCCB9AC" w14:textId="77777777">
        <w:trPr>
          <w:trHeight w:val="300"/>
        </w:trPr>
        <w:tc>
          <w:tcPr>
            <w:tcW w:w="9072" w:type="dxa"/>
            <w:tcBorders>
              <w:top w:val="nil"/>
              <w:left w:val="nil"/>
              <w:bottom w:val="nil"/>
              <w:right w:val="nil"/>
            </w:tcBorders>
            <w:noWrap/>
            <w:vAlign w:val="bottom"/>
            <w:hideMark/>
          </w:tcPr>
          <w:p w14:paraId="1092DA48" w14:textId="77777777" w:rsidR="007A5804" w:rsidRDefault="007B7723">
            <w:pPr>
              <w:pStyle w:val="P68B1DB1-Normal91"/>
            </w:pPr>
            <w:r>
              <w:t>BOJ-NET</w:t>
            </w:r>
          </w:p>
        </w:tc>
      </w:tr>
      <w:tr w:rsidR="007A5804" w14:paraId="4CEE7A6B" w14:textId="77777777">
        <w:trPr>
          <w:trHeight w:val="300"/>
        </w:trPr>
        <w:tc>
          <w:tcPr>
            <w:tcW w:w="9072" w:type="dxa"/>
            <w:tcBorders>
              <w:top w:val="nil"/>
              <w:left w:val="nil"/>
              <w:bottom w:val="nil"/>
              <w:right w:val="nil"/>
            </w:tcBorders>
            <w:noWrap/>
            <w:vAlign w:val="bottom"/>
            <w:hideMark/>
          </w:tcPr>
          <w:p w14:paraId="04FBDA33" w14:textId="77777777" w:rsidR="007A5804" w:rsidRDefault="007B7723">
            <w:pPr>
              <w:pStyle w:val="P68B1DB1-Normal91"/>
            </w:pPr>
            <w:r>
              <w:t>BondSpot S.A.</w:t>
            </w:r>
          </w:p>
        </w:tc>
      </w:tr>
      <w:tr w:rsidR="007A5804" w14:paraId="3B8A9B67" w14:textId="77777777">
        <w:trPr>
          <w:trHeight w:val="300"/>
        </w:trPr>
        <w:tc>
          <w:tcPr>
            <w:tcW w:w="9072" w:type="dxa"/>
            <w:tcBorders>
              <w:top w:val="nil"/>
              <w:left w:val="nil"/>
              <w:bottom w:val="nil"/>
              <w:right w:val="nil"/>
            </w:tcBorders>
            <w:noWrap/>
            <w:vAlign w:val="bottom"/>
            <w:hideMark/>
          </w:tcPr>
          <w:p w14:paraId="73DB34EF" w14:textId="77777777" w:rsidR="007A5804" w:rsidRDefault="007B7723">
            <w:pPr>
              <w:pStyle w:val="P68B1DB1-Normal91"/>
            </w:pPr>
            <w:r>
              <w:t>BORICA</w:t>
            </w:r>
          </w:p>
        </w:tc>
      </w:tr>
      <w:tr w:rsidR="007A5804" w14:paraId="5E8D43A2" w14:textId="77777777">
        <w:trPr>
          <w:trHeight w:val="300"/>
        </w:trPr>
        <w:tc>
          <w:tcPr>
            <w:tcW w:w="9072" w:type="dxa"/>
            <w:tcBorders>
              <w:top w:val="nil"/>
              <w:left w:val="nil"/>
              <w:bottom w:val="nil"/>
              <w:right w:val="nil"/>
            </w:tcBorders>
            <w:noWrap/>
            <w:vAlign w:val="bottom"/>
            <w:hideMark/>
          </w:tcPr>
          <w:p w14:paraId="4F788B85" w14:textId="77777777" w:rsidR="007A5804" w:rsidRDefault="007B7723">
            <w:pPr>
              <w:pStyle w:val="P68B1DB1-Normal91"/>
            </w:pPr>
            <w:r>
              <w:t>Borsa Italiana SpA</w:t>
            </w:r>
          </w:p>
        </w:tc>
      </w:tr>
      <w:tr w:rsidR="007A5804" w14:paraId="0034826C" w14:textId="77777777">
        <w:trPr>
          <w:trHeight w:val="300"/>
        </w:trPr>
        <w:tc>
          <w:tcPr>
            <w:tcW w:w="9072" w:type="dxa"/>
            <w:tcBorders>
              <w:top w:val="nil"/>
              <w:left w:val="nil"/>
              <w:bottom w:val="nil"/>
              <w:right w:val="nil"/>
            </w:tcBorders>
            <w:noWrap/>
            <w:vAlign w:val="bottom"/>
            <w:hideMark/>
          </w:tcPr>
          <w:p w14:paraId="6C688147" w14:textId="6D1B9C6B" w:rsidR="007A5804" w:rsidRDefault="007B7723">
            <w:pPr>
              <w:pStyle w:val="P68B1DB1-Normal91"/>
            </w:pPr>
            <w:r>
              <w:t>Burza cenných papierov v</w:t>
            </w:r>
            <w:r w:rsidR="00C0140B">
              <w:t> </w:t>
            </w:r>
            <w:r>
              <w:t>Bratislave</w:t>
            </w:r>
            <w:r w:rsidR="00C0140B">
              <w:t xml:space="preserve"> (BCPB)</w:t>
            </w:r>
          </w:p>
        </w:tc>
      </w:tr>
      <w:tr w:rsidR="007A5804" w14:paraId="2ACAB3C1" w14:textId="77777777">
        <w:trPr>
          <w:trHeight w:val="300"/>
        </w:trPr>
        <w:tc>
          <w:tcPr>
            <w:tcW w:w="9072" w:type="dxa"/>
            <w:tcBorders>
              <w:top w:val="nil"/>
              <w:left w:val="nil"/>
              <w:bottom w:val="nil"/>
              <w:right w:val="nil"/>
            </w:tcBorders>
            <w:noWrap/>
            <w:vAlign w:val="bottom"/>
            <w:hideMark/>
          </w:tcPr>
          <w:p w14:paraId="797C25FF" w14:textId="574CB1C7" w:rsidR="007A5804" w:rsidRDefault="007B7723">
            <w:pPr>
              <w:pStyle w:val="P68B1DB1-Normal91"/>
            </w:pPr>
            <w:r>
              <w:t>Burza cenných papierov v</w:t>
            </w:r>
            <w:r w:rsidR="00D02DDD">
              <w:t> </w:t>
            </w:r>
            <w:r>
              <w:t>Budapešti</w:t>
            </w:r>
            <w:r w:rsidR="00D02DDD">
              <w:t xml:space="preserve"> (</w:t>
            </w:r>
            <w:r w:rsidR="00D02DDD" w:rsidRPr="00F22F68">
              <w:t>Budapest Stock Exchange</w:t>
            </w:r>
            <w:r w:rsidR="00D02DDD">
              <w:t>)</w:t>
            </w:r>
          </w:p>
        </w:tc>
      </w:tr>
      <w:tr w:rsidR="007A5804" w14:paraId="7928BB77" w14:textId="77777777">
        <w:trPr>
          <w:trHeight w:val="300"/>
        </w:trPr>
        <w:tc>
          <w:tcPr>
            <w:tcW w:w="9072" w:type="dxa"/>
            <w:tcBorders>
              <w:top w:val="nil"/>
              <w:left w:val="nil"/>
              <w:bottom w:val="nil"/>
              <w:right w:val="nil"/>
            </w:tcBorders>
            <w:noWrap/>
            <w:vAlign w:val="bottom"/>
            <w:hideMark/>
          </w:tcPr>
          <w:p w14:paraId="3D5ECE9A" w14:textId="359F2191" w:rsidR="007A5804" w:rsidRDefault="007B7723">
            <w:pPr>
              <w:pStyle w:val="P68B1DB1-Normal91"/>
            </w:pPr>
            <w:r>
              <w:t>Bulharská burza cenných papierov</w:t>
            </w:r>
            <w:r w:rsidR="00D02DDD">
              <w:t xml:space="preserve"> (</w:t>
            </w:r>
            <w:r w:rsidR="00D02DDD" w:rsidRPr="00F22F68">
              <w:t>Bulgarian Stock Exchange</w:t>
            </w:r>
            <w:r w:rsidR="00D02DDD">
              <w:t>)</w:t>
            </w:r>
          </w:p>
        </w:tc>
      </w:tr>
      <w:tr w:rsidR="007A5804" w14:paraId="3ED0C0E7" w14:textId="77777777">
        <w:trPr>
          <w:trHeight w:val="300"/>
        </w:trPr>
        <w:tc>
          <w:tcPr>
            <w:tcW w:w="9072" w:type="dxa"/>
            <w:tcBorders>
              <w:top w:val="nil"/>
              <w:left w:val="nil"/>
              <w:bottom w:val="nil"/>
              <w:right w:val="nil"/>
            </w:tcBorders>
            <w:noWrap/>
            <w:vAlign w:val="bottom"/>
            <w:hideMark/>
          </w:tcPr>
          <w:p w14:paraId="2AACB60C" w14:textId="77777777" w:rsidR="007A5804" w:rsidRDefault="007B7723">
            <w:pPr>
              <w:pStyle w:val="P68B1DB1-Normal91"/>
            </w:pPr>
            <w:r>
              <w:t>Bursa de Valori Bucaresti</w:t>
            </w:r>
          </w:p>
        </w:tc>
      </w:tr>
      <w:tr w:rsidR="007A5804" w14:paraId="358B0CBB" w14:textId="77777777">
        <w:trPr>
          <w:trHeight w:val="300"/>
        </w:trPr>
        <w:tc>
          <w:tcPr>
            <w:tcW w:w="9072" w:type="dxa"/>
            <w:tcBorders>
              <w:top w:val="nil"/>
              <w:left w:val="nil"/>
              <w:bottom w:val="nil"/>
              <w:right w:val="nil"/>
            </w:tcBorders>
            <w:noWrap/>
            <w:vAlign w:val="bottom"/>
            <w:hideMark/>
          </w:tcPr>
          <w:p w14:paraId="69852FE3" w14:textId="344CF157" w:rsidR="007A5804" w:rsidRDefault="007B7723">
            <w:pPr>
              <w:pStyle w:val="P68B1DB1-Normal91"/>
            </w:pPr>
            <w:r>
              <w:t>Burza cenných papírů Praha, a.s. (Pra</w:t>
            </w:r>
            <w:r w:rsidR="00D02DDD">
              <w:t>ž</w:t>
            </w:r>
            <w:r>
              <w:t>ská burza cenných papierov)</w:t>
            </w:r>
          </w:p>
        </w:tc>
      </w:tr>
      <w:tr w:rsidR="007A5804" w14:paraId="2BEFFD1A" w14:textId="77777777">
        <w:trPr>
          <w:trHeight w:val="300"/>
        </w:trPr>
        <w:tc>
          <w:tcPr>
            <w:tcW w:w="9072" w:type="dxa"/>
            <w:tcBorders>
              <w:top w:val="nil"/>
              <w:left w:val="nil"/>
              <w:bottom w:val="nil"/>
              <w:right w:val="nil"/>
            </w:tcBorders>
            <w:noWrap/>
            <w:vAlign w:val="bottom"/>
            <w:hideMark/>
          </w:tcPr>
          <w:p w14:paraId="32741FAD" w14:textId="06D36C7A" w:rsidR="007A5804" w:rsidRDefault="00D02DDD">
            <w:pPr>
              <w:pStyle w:val="P68B1DB1-Normal91"/>
            </w:pPr>
            <w:r w:rsidRPr="00F22F68">
              <w:t>Canadian depository for securities</w:t>
            </w:r>
            <w:r w:rsidR="007B7723">
              <w:t xml:space="preserve"> (CDS)</w:t>
            </w:r>
          </w:p>
        </w:tc>
      </w:tr>
      <w:tr w:rsidR="007A5804" w14:paraId="588D9A6E" w14:textId="77777777">
        <w:trPr>
          <w:trHeight w:val="300"/>
        </w:trPr>
        <w:tc>
          <w:tcPr>
            <w:tcW w:w="9072" w:type="dxa"/>
            <w:tcBorders>
              <w:top w:val="nil"/>
              <w:left w:val="nil"/>
              <w:bottom w:val="nil"/>
              <w:right w:val="nil"/>
            </w:tcBorders>
            <w:noWrap/>
            <w:vAlign w:val="bottom"/>
            <w:hideMark/>
          </w:tcPr>
          <w:p w14:paraId="30CD8C56" w14:textId="77777777" w:rsidR="007A5804" w:rsidRDefault="007B7723">
            <w:pPr>
              <w:pStyle w:val="P68B1DB1-Normal91"/>
            </w:pPr>
            <w:r>
              <w:t>Canadian Derivatives Clearing Corporation (Clearing Corporation)</w:t>
            </w:r>
          </w:p>
        </w:tc>
      </w:tr>
      <w:tr w:rsidR="007A5804" w14:paraId="47A4B165" w14:textId="77777777">
        <w:trPr>
          <w:trHeight w:val="300"/>
        </w:trPr>
        <w:tc>
          <w:tcPr>
            <w:tcW w:w="9072" w:type="dxa"/>
            <w:tcBorders>
              <w:top w:val="nil"/>
              <w:left w:val="nil"/>
              <w:bottom w:val="nil"/>
              <w:right w:val="nil"/>
            </w:tcBorders>
            <w:noWrap/>
            <w:vAlign w:val="bottom"/>
          </w:tcPr>
          <w:p w14:paraId="4B6A49F9" w14:textId="77777777" w:rsidR="007A5804" w:rsidRDefault="007B7723">
            <w:pPr>
              <w:pStyle w:val="P68B1DB1-Normal91"/>
            </w:pPr>
            <w:r>
              <w:t>Cboe Clear Europe</w:t>
            </w:r>
          </w:p>
        </w:tc>
      </w:tr>
      <w:tr w:rsidR="007A5804" w14:paraId="00F4E07D" w14:textId="77777777">
        <w:trPr>
          <w:trHeight w:val="300"/>
        </w:trPr>
        <w:tc>
          <w:tcPr>
            <w:tcW w:w="9072" w:type="dxa"/>
            <w:tcBorders>
              <w:top w:val="nil"/>
              <w:left w:val="nil"/>
              <w:bottom w:val="nil"/>
              <w:right w:val="nil"/>
            </w:tcBorders>
            <w:noWrap/>
            <w:vAlign w:val="bottom"/>
            <w:hideMark/>
          </w:tcPr>
          <w:p w14:paraId="143644AA" w14:textId="2FC06285" w:rsidR="007A5804" w:rsidRDefault="007B7723">
            <w:pPr>
              <w:pStyle w:val="P68B1DB1-Normal91"/>
            </w:pPr>
            <w:r>
              <w:t xml:space="preserve">CCP </w:t>
            </w:r>
            <w:r w:rsidR="00D02DDD">
              <w:t>Austria (</w:t>
            </w:r>
            <w:r>
              <w:t>Rakúsko</w:t>
            </w:r>
            <w:r w:rsidR="00D02DDD">
              <w:t>)</w:t>
            </w:r>
          </w:p>
        </w:tc>
      </w:tr>
      <w:tr w:rsidR="007A5804" w14:paraId="49668E14" w14:textId="77777777">
        <w:trPr>
          <w:trHeight w:val="300"/>
        </w:trPr>
        <w:tc>
          <w:tcPr>
            <w:tcW w:w="9072" w:type="dxa"/>
            <w:tcBorders>
              <w:top w:val="nil"/>
              <w:left w:val="nil"/>
              <w:bottom w:val="nil"/>
              <w:right w:val="nil"/>
            </w:tcBorders>
            <w:noWrap/>
            <w:vAlign w:val="bottom"/>
            <w:hideMark/>
          </w:tcPr>
          <w:p w14:paraId="4D54CDC3" w14:textId="77777777" w:rsidR="007A5804" w:rsidRDefault="007B7723">
            <w:pPr>
              <w:pStyle w:val="P68B1DB1-Normal91"/>
            </w:pPr>
            <w:r>
              <w:t>CEC/UCV</w:t>
            </w:r>
          </w:p>
        </w:tc>
      </w:tr>
      <w:tr w:rsidR="007A5804" w14:paraId="13CEB735" w14:textId="77777777">
        <w:trPr>
          <w:trHeight w:val="300"/>
        </w:trPr>
        <w:tc>
          <w:tcPr>
            <w:tcW w:w="9072" w:type="dxa"/>
            <w:tcBorders>
              <w:top w:val="nil"/>
              <w:left w:val="nil"/>
              <w:bottom w:val="nil"/>
              <w:right w:val="nil"/>
            </w:tcBorders>
            <w:noWrap/>
            <w:vAlign w:val="bottom"/>
            <w:hideMark/>
          </w:tcPr>
          <w:p w14:paraId="7E656B34" w14:textId="77777777" w:rsidR="007A5804" w:rsidRDefault="007B7723">
            <w:pPr>
              <w:pStyle w:val="P68B1DB1-Normal91"/>
            </w:pPr>
            <w:r>
              <w:t>CEESEG AG (Wiener Borse)</w:t>
            </w:r>
          </w:p>
        </w:tc>
      </w:tr>
      <w:tr w:rsidR="00D02DDD" w14:paraId="38BBF453" w14:textId="77777777">
        <w:trPr>
          <w:trHeight w:val="300"/>
        </w:trPr>
        <w:tc>
          <w:tcPr>
            <w:tcW w:w="9072" w:type="dxa"/>
            <w:tcBorders>
              <w:top w:val="nil"/>
              <w:left w:val="nil"/>
              <w:bottom w:val="nil"/>
              <w:right w:val="nil"/>
            </w:tcBorders>
            <w:noWrap/>
            <w:vAlign w:val="bottom"/>
            <w:hideMark/>
          </w:tcPr>
          <w:p w14:paraId="7C5735E8" w14:textId="77F53DF0" w:rsidR="00D02DDD" w:rsidRDefault="00D02DDD" w:rsidP="00D02DDD">
            <w:pPr>
              <w:pStyle w:val="P68B1DB1-Normal91"/>
            </w:pPr>
            <w:r w:rsidRPr="00F22F68">
              <w:t>Central Depository &amp; Clearing Company</w:t>
            </w:r>
          </w:p>
        </w:tc>
      </w:tr>
      <w:tr w:rsidR="00D02DDD" w14:paraId="100E6E04" w14:textId="77777777">
        <w:trPr>
          <w:trHeight w:val="300"/>
        </w:trPr>
        <w:tc>
          <w:tcPr>
            <w:tcW w:w="9072" w:type="dxa"/>
            <w:tcBorders>
              <w:top w:val="nil"/>
              <w:left w:val="nil"/>
              <w:bottom w:val="nil"/>
              <w:right w:val="nil"/>
            </w:tcBorders>
            <w:noWrap/>
            <w:vAlign w:val="bottom"/>
            <w:hideMark/>
          </w:tcPr>
          <w:p w14:paraId="1D98F57D" w14:textId="1656142E" w:rsidR="00D02DDD" w:rsidRDefault="00D02DDD" w:rsidP="00D02DDD">
            <w:pPr>
              <w:pStyle w:val="P68B1DB1-Normal91"/>
            </w:pPr>
            <w:r w:rsidRPr="00F22F68">
              <w:t>Central Depository AD</w:t>
            </w:r>
          </w:p>
        </w:tc>
      </w:tr>
      <w:tr w:rsidR="00D02DDD" w14:paraId="3E41A5D7" w14:textId="77777777">
        <w:trPr>
          <w:trHeight w:val="300"/>
        </w:trPr>
        <w:tc>
          <w:tcPr>
            <w:tcW w:w="9072" w:type="dxa"/>
            <w:tcBorders>
              <w:top w:val="nil"/>
              <w:left w:val="nil"/>
              <w:bottom w:val="nil"/>
              <w:right w:val="nil"/>
            </w:tcBorders>
            <w:noWrap/>
            <w:vAlign w:val="bottom"/>
            <w:hideMark/>
          </w:tcPr>
          <w:p w14:paraId="149F4C5F" w14:textId="7F50E314" w:rsidR="00D02DDD" w:rsidRDefault="00D02DDD" w:rsidP="00D02DDD">
            <w:pPr>
              <w:pStyle w:val="P68B1DB1-Normal91"/>
            </w:pPr>
            <w:r w:rsidRPr="00F22F68">
              <w:t>Central Depository and Central Registry</w:t>
            </w:r>
          </w:p>
        </w:tc>
      </w:tr>
      <w:tr w:rsidR="007A5804" w14:paraId="1B4CF3CD" w14:textId="77777777">
        <w:trPr>
          <w:trHeight w:val="300"/>
        </w:trPr>
        <w:tc>
          <w:tcPr>
            <w:tcW w:w="9072" w:type="dxa"/>
            <w:tcBorders>
              <w:top w:val="nil"/>
              <w:left w:val="nil"/>
              <w:bottom w:val="nil"/>
              <w:right w:val="nil"/>
            </w:tcBorders>
            <w:noWrap/>
            <w:vAlign w:val="bottom"/>
            <w:hideMark/>
          </w:tcPr>
          <w:p w14:paraId="7783EDF6" w14:textId="77777777" w:rsidR="007A5804" w:rsidRDefault="007B7723">
            <w:pPr>
              <w:pStyle w:val="P68B1DB1-Normal91"/>
            </w:pPr>
            <w:r>
              <w:t>Centralna klirinško depotna družba (KDD)</w:t>
            </w:r>
          </w:p>
        </w:tc>
      </w:tr>
      <w:tr w:rsidR="007A5804" w14:paraId="7812614A" w14:textId="77777777">
        <w:trPr>
          <w:trHeight w:val="300"/>
        </w:trPr>
        <w:tc>
          <w:tcPr>
            <w:tcW w:w="9072" w:type="dxa"/>
            <w:tcBorders>
              <w:top w:val="nil"/>
              <w:left w:val="nil"/>
              <w:bottom w:val="nil"/>
              <w:right w:val="nil"/>
            </w:tcBorders>
            <w:noWrap/>
            <w:vAlign w:val="bottom"/>
            <w:hideMark/>
          </w:tcPr>
          <w:p w14:paraId="7231B5A5" w14:textId="77777777" w:rsidR="007A5804" w:rsidRDefault="007B7723">
            <w:pPr>
              <w:pStyle w:val="P68B1DB1-Normal91"/>
            </w:pPr>
            <w:r>
              <w:t>Centrální depozitár cenných papíru SR a.s. (CDCP)/Ústredný depozitár cenných papierov Praha</w:t>
            </w:r>
          </w:p>
        </w:tc>
      </w:tr>
      <w:tr w:rsidR="007A5804" w14:paraId="3DFD9976" w14:textId="77777777">
        <w:trPr>
          <w:trHeight w:val="300"/>
        </w:trPr>
        <w:tc>
          <w:tcPr>
            <w:tcW w:w="9072" w:type="dxa"/>
            <w:tcBorders>
              <w:top w:val="nil"/>
              <w:left w:val="nil"/>
              <w:bottom w:val="nil"/>
              <w:right w:val="nil"/>
            </w:tcBorders>
            <w:noWrap/>
            <w:vAlign w:val="bottom"/>
            <w:hideMark/>
          </w:tcPr>
          <w:p w14:paraId="742B58E1" w14:textId="77777777" w:rsidR="007A5804" w:rsidRDefault="007B7723">
            <w:pPr>
              <w:pStyle w:val="P68B1DB1-Normal91"/>
            </w:pPr>
            <w:r>
              <w:t>Centrálny Depositár cenných Papierov (CDCP) SR</w:t>
            </w:r>
          </w:p>
        </w:tc>
      </w:tr>
      <w:tr w:rsidR="007A5804" w14:paraId="0C3666C6" w14:textId="77777777">
        <w:trPr>
          <w:trHeight w:val="300"/>
        </w:trPr>
        <w:tc>
          <w:tcPr>
            <w:tcW w:w="9072" w:type="dxa"/>
            <w:tcBorders>
              <w:top w:val="nil"/>
              <w:left w:val="nil"/>
              <w:bottom w:val="nil"/>
              <w:right w:val="nil"/>
            </w:tcBorders>
            <w:noWrap/>
            <w:vAlign w:val="bottom"/>
            <w:hideMark/>
          </w:tcPr>
          <w:p w14:paraId="44F52918" w14:textId="77777777" w:rsidR="007A5804" w:rsidRDefault="007B7723">
            <w:pPr>
              <w:pStyle w:val="P68B1DB1-Normal91"/>
            </w:pPr>
            <w:r>
              <w:t>CENTROlink</w:t>
            </w:r>
          </w:p>
        </w:tc>
      </w:tr>
      <w:tr w:rsidR="007A5804" w14:paraId="1BAAD6F5" w14:textId="77777777">
        <w:trPr>
          <w:trHeight w:val="300"/>
        </w:trPr>
        <w:tc>
          <w:tcPr>
            <w:tcW w:w="9072" w:type="dxa"/>
            <w:tcBorders>
              <w:top w:val="nil"/>
              <w:left w:val="nil"/>
              <w:bottom w:val="nil"/>
              <w:right w:val="nil"/>
            </w:tcBorders>
            <w:noWrap/>
            <w:vAlign w:val="bottom"/>
            <w:hideMark/>
          </w:tcPr>
          <w:p w14:paraId="1E11605F" w14:textId="57FEECA7" w:rsidR="007A5804" w:rsidRDefault="007B7723">
            <w:pPr>
              <w:pStyle w:val="P68B1DB1-Normal91"/>
            </w:pPr>
            <w:r>
              <w:t>C</w:t>
            </w:r>
            <w:r w:rsidR="00D02DDD" w:rsidRPr="00F22F68">
              <w:t>ERTIS (Czech Express Real Time Interbank Gross Settlement System</w:t>
            </w:r>
            <w:r>
              <w:t>tis)</w:t>
            </w:r>
          </w:p>
        </w:tc>
      </w:tr>
      <w:tr w:rsidR="007A5804" w14:paraId="58D71B59" w14:textId="77777777">
        <w:trPr>
          <w:trHeight w:val="300"/>
        </w:trPr>
        <w:tc>
          <w:tcPr>
            <w:tcW w:w="9072" w:type="dxa"/>
            <w:tcBorders>
              <w:top w:val="nil"/>
              <w:left w:val="nil"/>
              <w:bottom w:val="nil"/>
              <w:right w:val="nil"/>
            </w:tcBorders>
            <w:noWrap/>
            <w:vAlign w:val="bottom"/>
            <w:hideMark/>
          </w:tcPr>
          <w:p w14:paraId="0405428F" w14:textId="69C99AEE" w:rsidR="007A5804" w:rsidRDefault="007B7723">
            <w:pPr>
              <w:pStyle w:val="P68B1DB1-Normal91"/>
            </w:pPr>
            <w:r>
              <w:t>C</w:t>
            </w:r>
            <w:r w:rsidR="00D02DDD" w:rsidRPr="00F22F68">
              <w:t>HAPS (Clearing House Automated Payment System</w:t>
            </w:r>
            <w:r>
              <w:t>)</w:t>
            </w:r>
          </w:p>
        </w:tc>
      </w:tr>
      <w:tr w:rsidR="007A5804" w14:paraId="0F052492" w14:textId="77777777">
        <w:trPr>
          <w:trHeight w:val="300"/>
        </w:trPr>
        <w:tc>
          <w:tcPr>
            <w:tcW w:w="9072" w:type="dxa"/>
            <w:tcBorders>
              <w:top w:val="nil"/>
              <w:left w:val="nil"/>
              <w:bottom w:val="nil"/>
              <w:right w:val="nil"/>
            </w:tcBorders>
            <w:noWrap/>
            <w:vAlign w:val="bottom"/>
            <w:hideMark/>
          </w:tcPr>
          <w:p w14:paraId="4F411666" w14:textId="77777777" w:rsidR="007A5804" w:rsidRDefault="007B7723">
            <w:pPr>
              <w:pStyle w:val="P68B1DB1-Normal91"/>
            </w:pPr>
            <w:r>
              <w:t>Cheque &amp; Credit Clearing System Ltd.</w:t>
            </w:r>
          </w:p>
        </w:tc>
      </w:tr>
      <w:tr w:rsidR="007A5804" w14:paraId="0979B652" w14:textId="77777777">
        <w:trPr>
          <w:trHeight w:val="300"/>
        </w:trPr>
        <w:tc>
          <w:tcPr>
            <w:tcW w:w="9072" w:type="dxa"/>
            <w:tcBorders>
              <w:top w:val="nil"/>
              <w:left w:val="nil"/>
              <w:bottom w:val="nil"/>
              <w:right w:val="nil"/>
            </w:tcBorders>
            <w:noWrap/>
            <w:vAlign w:val="bottom"/>
            <w:hideMark/>
          </w:tcPr>
          <w:p w14:paraId="53589C87" w14:textId="76499B9C" w:rsidR="007A5804" w:rsidRDefault="007F0D5A">
            <w:pPr>
              <w:pStyle w:val="P68B1DB1-Normal91"/>
            </w:pPr>
            <w:r w:rsidRPr="00F22F68">
              <w:lastRenderedPageBreak/>
              <w:t>CHIPS</w:t>
            </w:r>
          </w:p>
        </w:tc>
      </w:tr>
      <w:tr w:rsidR="007A5804" w14:paraId="3FA985BC" w14:textId="77777777">
        <w:trPr>
          <w:trHeight w:val="300"/>
        </w:trPr>
        <w:tc>
          <w:tcPr>
            <w:tcW w:w="9072" w:type="dxa"/>
            <w:tcBorders>
              <w:top w:val="nil"/>
              <w:left w:val="nil"/>
              <w:bottom w:val="nil"/>
              <w:right w:val="nil"/>
            </w:tcBorders>
            <w:noWrap/>
            <w:vAlign w:val="bottom"/>
            <w:hideMark/>
          </w:tcPr>
          <w:p w14:paraId="1D542203" w14:textId="00E3B93F" w:rsidR="007A5804" w:rsidRDefault="00D02DDD">
            <w:pPr>
              <w:pStyle w:val="P68B1DB1-Normal91"/>
            </w:pPr>
            <w:r w:rsidRPr="00F22F68">
              <w:t xml:space="preserve">Clearing Service Austria </w:t>
            </w:r>
            <w:r w:rsidR="007B7723">
              <w:t>(CSA)</w:t>
            </w:r>
          </w:p>
        </w:tc>
      </w:tr>
      <w:tr w:rsidR="007A5804" w14:paraId="6FFF162D" w14:textId="77777777">
        <w:trPr>
          <w:trHeight w:val="300"/>
        </w:trPr>
        <w:tc>
          <w:tcPr>
            <w:tcW w:w="9072" w:type="dxa"/>
            <w:tcBorders>
              <w:top w:val="nil"/>
              <w:left w:val="nil"/>
              <w:bottom w:val="nil"/>
              <w:right w:val="nil"/>
            </w:tcBorders>
            <w:noWrap/>
            <w:vAlign w:val="bottom"/>
            <w:hideMark/>
          </w:tcPr>
          <w:p w14:paraId="657C636C" w14:textId="3B4645E2" w:rsidR="007A5804" w:rsidRDefault="007F0D5A">
            <w:pPr>
              <w:pStyle w:val="P68B1DB1-Normal91"/>
            </w:pPr>
            <w:r w:rsidRPr="00F22F68">
              <w:t xml:space="preserve">Clearing Service International </w:t>
            </w:r>
            <w:r w:rsidR="007B7723">
              <w:t>(CSI)</w:t>
            </w:r>
          </w:p>
        </w:tc>
      </w:tr>
      <w:tr w:rsidR="007A5804" w14:paraId="086AA89E" w14:textId="77777777">
        <w:trPr>
          <w:trHeight w:val="300"/>
        </w:trPr>
        <w:tc>
          <w:tcPr>
            <w:tcW w:w="9072" w:type="dxa"/>
            <w:tcBorders>
              <w:top w:val="nil"/>
              <w:left w:val="nil"/>
              <w:bottom w:val="nil"/>
              <w:right w:val="nil"/>
            </w:tcBorders>
            <w:noWrap/>
            <w:vAlign w:val="bottom"/>
            <w:hideMark/>
          </w:tcPr>
          <w:p w14:paraId="2802A46D" w14:textId="77777777" w:rsidR="007A5804" w:rsidRDefault="007B7723">
            <w:pPr>
              <w:pStyle w:val="P68B1DB1-Normal91"/>
            </w:pPr>
            <w:r>
              <w:t>Clearstream Banking AG</w:t>
            </w:r>
          </w:p>
        </w:tc>
      </w:tr>
      <w:tr w:rsidR="007A5804" w14:paraId="0E099AF5" w14:textId="77777777">
        <w:trPr>
          <w:trHeight w:val="300"/>
        </w:trPr>
        <w:tc>
          <w:tcPr>
            <w:tcW w:w="9072" w:type="dxa"/>
            <w:tcBorders>
              <w:top w:val="nil"/>
              <w:left w:val="nil"/>
              <w:bottom w:val="nil"/>
              <w:right w:val="nil"/>
            </w:tcBorders>
            <w:noWrap/>
            <w:vAlign w:val="bottom"/>
            <w:hideMark/>
          </w:tcPr>
          <w:p w14:paraId="7ED35FA8" w14:textId="77777777" w:rsidR="007A5804" w:rsidRDefault="007B7723">
            <w:pPr>
              <w:pStyle w:val="P68B1DB1-Normal91"/>
            </w:pPr>
            <w:r>
              <w:t>Clearstream Banking Luxembourg</w:t>
            </w:r>
          </w:p>
        </w:tc>
      </w:tr>
      <w:tr w:rsidR="007A5804" w14:paraId="55359EE8" w14:textId="77777777">
        <w:trPr>
          <w:trHeight w:val="300"/>
        </w:trPr>
        <w:tc>
          <w:tcPr>
            <w:tcW w:w="9072" w:type="dxa"/>
            <w:tcBorders>
              <w:top w:val="nil"/>
              <w:left w:val="nil"/>
              <w:bottom w:val="nil"/>
              <w:right w:val="nil"/>
            </w:tcBorders>
            <w:noWrap/>
            <w:vAlign w:val="bottom"/>
            <w:hideMark/>
          </w:tcPr>
          <w:p w14:paraId="218A6446" w14:textId="77777777" w:rsidR="007A5804" w:rsidRDefault="007B7723">
            <w:pPr>
              <w:pStyle w:val="P68B1DB1-Normal91"/>
            </w:pPr>
            <w:r>
              <w:t>CLS</w:t>
            </w:r>
          </w:p>
        </w:tc>
      </w:tr>
      <w:tr w:rsidR="007A5804" w14:paraId="6A82B717" w14:textId="77777777">
        <w:trPr>
          <w:trHeight w:val="300"/>
        </w:trPr>
        <w:tc>
          <w:tcPr>
            <w:tcW w:w="9072" w:type="dxa"/>
            <w:tcBorders>
              <w:top w:val="nil"/>
              <w:left w:val="nil"/>
              <w:bottom w:val="nil"/>
              <w:right w:val="nil"/>
            </w:tcBorders>
            <w:noWrap/>
            <w:vAlign w:val="bottom"/>
            <w:hideMark/>
          </w:tcPr>
          <w:p w14:paraId="051DFD15" w14:textId="77777777" w:rsidR="007A5804" w:rsidRDefault="007B7723">
            <w:pPr>
              <w:pStyle w:val="P68B1DB1-Normal91"/>
            </w:pPr>
            <w:r>
              <w:t>CME Trade Repository Ltd (CME TR)</w:t>
            </w:r>
          </w:p>
        </w:tc>
      </w:tr>
      <w:tr w:rsidR="00D02DDD" w14:paraId="06831526" w14:textId="77777777">
        <w:trPr>
          <w:trHeight w:val="300"/>
        </w:trPr>
        <w:tc>
          <w:tcPr>
            <w:tcW w:w="9072" w:type="dxa"/>
            <w:tcBorders>
              <w:top w:val="nil"/>
              <w:left w:val="nil"/>
              <w:bottom w:val="nil"/>
              <w:right w:val="nil"/>
            </w:tcBorders>
            <w:noWrap/>
            <w:vAlign w:val="bottom"/>
            <w:hideMark/>
          </w:tcPr>
          <w:p w14:paraId="33B6CA7E" w14:textId="11F3B816" w:rsidR="00D02DDD" w:rsidRDefault="00D02DDD" w:rsidP="00D02DDD">
            <w:pPr>
              <w:pStyle w:val="P68B1DB1-Normal91"/>
            </w:pPr>
            <w:r w:rsidRPr="00F22F68">
              <w:t>Cyprus Clearing House</w:t>
            </w:r>
          </w:p>
        </w:tc>
      </w:tr>
      <w:tr w:rsidR="00D02DDD" w14:paraId="3BB1F880" w14:textId="77777777">
        <w:trPr>
          <w:trHeight w:val="300"/>
        </w:trPr>
        <w:tc>
          <w:tcPr>
            <w:tcW w:w="9072" w:type="dxa"/>
            <w:tcBorders>
              <w:top w:val="nil"/>
              <w:left w:val="nil"/>
              <w:bottom w:val="nil"/>
              <w:right w:val="nil"/>
            </w:tcBorders>
            <w:noWrap/>
            <w:vAlign w:val="bottom"/>
            <w:hideMark/>
          </w:tcPr>
          <w:p w14:paraId="6DCF1051" w14:textId="4DE9DFC9" w:rsidR="00D02DDD" w:rsidRDefault="00D02DDD" w:rsidP="00D02DDD">
            <w:pPr>
              <w:pStyle w:val="P68B1DB1-Normal91"/>
            </w:pPr>
            <w:r w:rsidRPr="00F22F68">
              <w:t>Cyprus Stock Exchange</w:t>
            </w:r>
          </w:p>
        </w:tc>
      </w:tr>
      <w:tr w:rsidR="007A5804" w14:paraId="7F6A962C" w14:textId="77777777">
        <w:trPr>
          <w:trHeight w:val="300"/>
        </w:trPr>
        <w:tc>
          <w:tcPr>
            <w:tcW w:w="9072" w:type="dxa"/>
            <w:tcBorders>
              <w:top w:val="nil"/>
              <w:left w:val="nil"/>
              <w:bottom w:val="nil"/>
              <w:right w:val="nil"/>
            </w:tcBorders>
            <w:noWrap/>
            <w:vAlign w:val="bottom"/>
            <w:hideMark/>
          </w:tcPr>
          <w:p w14:paraId="359710C1" w14:textId="203AF9EA" w:rsidR="007A5804" w:rsidRDefault="007F0D5A">
            <w:pPr>
              <w:pStyle w:val="P68B1DB1-Normal91"/>
            </w:pPr>
            <w:r w:rsidRPr="00F22F68">
              <w:t>Dataclearing</w:t>
            </w:r>
          </w:p>
        </w:tc>
      </w:tr>
      <w:tr w:rsidR="007A5804" w14:paraId="0118AB34" w14:textId="77777777">
        <w:trPr>
          <w:trHeight w:val="300"/>
        </w:trPr>
        <w:tc>
          <w:tcPr>
            <w:tcW w:w="9072" w:type="dxa"/>
            <w:tcBorders>
              <w:top w:val="nil"/>
              <w:left w:val="nil"/>
              <w:bottom w:val="nil"/>
              <w:right w:val="nil"/>
            </w:tcBorders>
            <w:noWrap/>
            <w:vAlign w:val="bottom"/>
            <w:hideMark/>
          </w:tcPr>
          <w:p w14:paraId="371022ED" w14:textId="77777777" w:rsidR="007A5804" w:rsidRDefault="007B7723">
            <w:pPr>
              <w:pStyle w:val="P68B1DB1-Normal91"/>
            </w:pPr>
            <w:r>
              <w:t>Depozitarul Central S.A.</w:t>
            </w:r>
          </w:p>
        </w:tc>
      </w:tr>
      <w:tr w:rsidR="007A5804" w14:paraId="2356D6E7" w14:textId="77777777">
        <w:trPr>
          <w:trHeight w:val="300"/>
        </w:trPr>
        <w:tc>
          <w:tcPr>
            <w:tcW w:w="9072" w:type="dxa"/>
            <w:tcBorders>
              <w:top w:val="nil"/>
              <w:left w:val="nil"/>
              <w:bottom w:val="nil"/>
              <w:right w:val="nil"/>
            </w:tcBorders>
            <w:noWrap/>
            <w:vAlign w:val="bottom"/>
            <w:hideMark/>
          </w:tcPr>
          <w:p w14:paraId="2A6C99D9" w14:textId="77777777" w:rsidR="007A5804" w:rsidRDefault="007B7723">
            <w:pPr>
              <w:pStyle w:val="P68B1DB1-Normal91"/>
            </w:pPr>
            <w:r>
              <w:t>Deutsche Börse AG.</w:t>
            </w:r>
          </w:p>
        </w:tc>
      </w:tr>
      <w:tr w:rsidR="007A5804" w14:paraId="086E410F" w14:textId="77777777">
        <w:trPr>
          <w:trHeight w:val="300"/>
        </w:trPr>
        <w:tc>
          <w:tcPr>
            <w:tcW w:w="9072" w:type="dxa"/>
            <w:tcBorders>
              <w:top w:val="nil"/>
              <w:left w:val="nil"/>
              <w:bottom w:val="nil"/>
              <w:right w:val="nil"/>
            </w:tcBorders>
            <w:noWrap/>
            <w:vAlign w:val="bottom"/>
            <w:hideMark/>
          </w:tcPr>
          <w:p w14:paraId="557F1C51" w14:textId="77777777" w:rsidR="007A5804" w:rsidRDefault="007B7723">
            <w:pPr>
              <w:pStyle w:val="P68B1DB1-Normal91"/>
            </w:pPr>
            <w:r>
              <w:t>Dias (Interbanking Systems S.A.)</w:t>
            </w:r>
          </w:p>
        </w:tc>
      </w:tr>
      <w:tr w:rsidR="007A5804" w14:paraId="2ADBEB7D" w14:textId="77777777">
        <w:trPr>
          <w:trHeight w:val="300"/>
        </w:trPr>
        <w:tc>
          <w:tcPr>
            <w:tcW w:w="9072" w:type="dxa"/>
            <w:tcBorders>
              <w:top w:val="nil"/>
              <w:left w:val="nil"/>
              <w:bottom w:val="nil"/>
              <w:right w:val="nil"/>
            </w:tcBorders>
            <w:noWrap/>
            <w:vAlign w:val="bottom"/>
            <w:hideMark/>
          </w:tcPr>
          <w:p w14:paraId="08C28E5B" w14:textId="11923BF6" w:rsidR="007A5804" w:rsidRDefault="007B7723">
            <w:pPr>
              <w:pStyle w:val="P68B1DB1-Normal91"/>
            </w:pPr>
            <w:r>
              <w:t>DTC (</w:t>
            </w:r>
            <w:r w:rsidR="00D02DDD">
              <w:t>D</w:t>
            </w:r>
            <w:r>
              <w:t>epozitory Trust Company)</w:t>
            </w:r>
          </w:p>
        </w:tc>
      </w:tr>
      <w:tr w:rsidR="007A5804" w14:paraId="797F9EF8" w14:textId="77777777">
        <w:trPr>
          <w:trHeight w:val="300"/>
        </w:trPr>
        <w:tc>
          <w:tcPr>
            <w:tcW w:w="9072" w:type="dxa"/>
            <w:tcBorders>
              <w:top w:val="nil"/>
              <w:left w:val="nil"/>
              <w:bottom w:val="nil"/>
              <w:right w:val="nil"/>
            </w:tcBorders>
            <w:noWrap/>
            <w:vAlign w:val="bottom"/>
            <w:hideMark/>
          </w:tcPr>
          <w:p w14:paraId="51E5D740" w14:textId="3212F774" w:rsidR="007A5804" w:rsidRDefault="007F0D5A">
            <w:pPr>
              <w:pStyle w:val="P68B1DB1-Normal91"/>
            </w:pPr>
            <w:r w:rsidRPr="00F22F68">
              <w:t>DTCC Derivatives Repository Plc</w:t>
            </w:r>
          </w:p>
        </w:tc>
      </w:tr>
      <w:tr w:rsidR="007A5804" w14:paraId="6ADFC287" w14:textId="77777777">
        <w:trPr>
          <w:trHeight w:val="300"/>
        </w:trPr>
        <w:tc>
          <w:tcPr>
            <w:tcW w:w="9072" w:type="dxa"/>
            <w:tcBorders>
              <w:top w:val="nil"/>
              <w:left w:val="nil"/>
              <w:bottom w:val="nil"/>
              <w:right w:val="nil"/>
            </w:tcBorders>
            <w:noWrap/>
            <w:vAlign w:val="bottom"/>
            <w:hideMark/>
          </w:tcPr>
          <w:p w14:paraId="30027F70" w14:textId="1CABE1A1" w:rsidR="007A5804" w:rsidRDefault="00E91699" w:rsidP="00E91699">
            <w:pPr>
              <w:pStyle w:val="P68B1DB1-Normal91"/>
            </w:pPr>
            <w:r w:rsidRPr="00F22F68">
              <w:t xml:space="preserve">Electronic Clearing System </w:t>
            </w:r>
            <w:r>
              <w:t xml:space="preserve"> / </w:t>
            </w:r>
            <w:r w:rsidRPr="00E91699">
              <w:rPr>
                <w:lang w:val="sk-SK"/>
              </w:rPr>
              <w:t>Elektroniskā klīringa sistēma</w:t>
            </w:r>
            <w:r w:rsidR="007B7723">
              <w:t xml:space="preserve"> (EKS)</w:t>
            </w:r>
          </w:p>
        </w:tc>
      </w:tr>
      <w:tr w:rsidR="007A5804" w14:paraId="3C13C365" w14:textId="77777777">
        <w:trPr>
          <w:trHeight w:val="300"/>
        </w:trPr>
        <w:tc>
          <w:tcPr>
            <w:tcW w:w="9072" w:type="dxa"/>
            <w:tcBorders>
              <w:top w:val="nil"/>
              <w:left w:val="nil"/>
              <w:bottom w:val="nil"/>
              <w:right w:val="nil"/>
            </w:tcBorders>
            <w:noWrap/>
            <w:vAlign w:val="bottom"/>
            <w:hideMark/>
          </w:tcPr>
          <w:p w14:paraId="2536A2E4" w14:textId="08FB91B8" w:rsidR="007A5804" w:rsidRDefault="007F0D5A">
            <w:pPr>
              <w:pStyle w:val="P68B1DB1-Normal91"/>
            </w:pPr>
            <w:r>
              <w:t>ELIXIR</w:t>
            </w:r>
          </w:p>
        </w:tc>
      </w:tr>
      <w:tr w:rsidR="007A5804" w14:paraId="59490FEF" w14:textId="77777777">
        <w:trPr>
          <w:trHeight w:val="300"/>
        </w:trPr>
        <w:tc>
          <w:tcPr>
            <w:tcW w:w="9072" w:type="dxa"/>
            <w:tcBorders>
              <w:top w:val="nil"/>
              <w:left w:val="nil"/>
              <w:bottom w:val="nil"/>
              <w:right w:val="nil"/>
            </w:tcBorders>
            <w:noWrap/>
            <w:vAlign w:val="bottom"/>
            <w:hideMark/>
          </w:tcPr>
          <w:p w14:paraId="5D3BC6DE" w14:textId="77777777" w:rsidR="007A5804" w:rsidRDefault="007B7723">
            <w:pPr>
              <w:pStyle w:val="P68B1DB1-Normal91"/>
            </w:pPr>
            <w:r>
              <w:t>Equens</w:t>
            </w:r>
          </w:p>
        </w:tc>
      </w:tr>
      <w:tr w:rsidR="007A5804" w14:paraId="7151AAFC" w14:textId="77777777">
        <w:trPr>
          <w:trHeight w:val="300"/>
        </w:trPr>
        <w:tc>
          <w:tcPr>
            <w:tcW w:w="9072" w:type="dxa"/>
            <w:tcBorders>
              <w:top w:val="nil"/>
              <w:left w:val="nil"/>
              <w:bottom w:val="nil"/>
              <w:right w:val="nil"/>
            </w:tcBorders>
            <w:noWrap/>
            <w:vAlign w:val="bottom"/>
            <w:hideMark/>
          </w:tcPr>
          <w:p w14:paraId="62F52322" w14:textId="77777777" w:rsidR="007A5804" w:rsidRDefault="007B7723">
            <w:pPr>
              <w:pStyle w:val="P68B1DB1-Normal91"/>
            </w:pPr>
            <w:r>
              <w:t>Eurex Clearing AG</w:t>
            </w:r>
          </w:p>
        </w:tc>
      </w:tr>
      <w:tr w:rsidR="007A5804" w14:paraId="20047EE0" w14:textId="77777777">
        <w:trPr>
          <w:trHeight w:val="300"/>
        </w:trPr>
        <w:tc>
          <w:tcPr>
            <w:tcW w:w="9072" w:type="dxa"/>
            <w:tcBorders>
              <w:top w:val="nil"/>
              <w:left w:val="nil"/>
              <w:bottom w:val="nil"/>
              <w:right w:val="nil"/>
            </w:tcBorders>
            <w:noWrap/>
            <w:vAlign w:val="bottom"/>
            <w:hideMark/>
          </w:tcPr>
          <w:p w14:paraId="65198B5E" w14:textId="77777777" w:rsidR="007A5804" w:rsidRDefault="007B7723">
            <w:pPr>
              <w:pStyle w:val="P68B1DB1-Normal91"/>
            </w:pPr>
            <w:r>
              <w:t>EURO1</w:t>
            </w:r>
          </w:p>
        </w:tc>
      </w:tr>
      <w:tr w:rsidR="007A5804" w14:paraId="51532B57" w14:textId="77777777">
        <w:trPr>
          <w:trHeight w:val="300"/>
        </w:trPr>
        <w:tc>
          <w:tcPr>
            <w:tcW w:w="9072" w:type="dxa"/>
            <w:tcBorders>
              <w:top w:val="nil"/>
              <w:left w:val="nil"/>
              <w:bottom w:val="nil"/>
              <w:right w:val="nil"/>
            </w:tcBorders>
            <w:noWrap/>
            <w:vAlign w:val="bottom"/>
            <w:hideMark/>
          </w:tcPr>
          <w:p w14:paraId="6784162A" w14:textId="77777777" w:rsidR="007A5804" w:rsidRDefault="007B7723">
            <w:pPr>
              <w:pStyle w:val="P68B1DB1-Normal91"/>
            </w:pPr>
            <w:r>
              <w:t>Euroclear Bank</w:t>
            </w:r>
          </w:p>
        </w:tc>
      </w:tr>
      <w:tr w:rsidR="007A5804" w14:paraId="1FED107A" w14:textId="77777777">
        <w:trPr>
          <w:trHeight w:val="300"/>
        </w:trPr>
        <w:tc>
          <w:tcPr>
            <w:tcW w:w="9072" w:type="dxa"/>
            <w:tcBorders>
              <w:top w:val="nil"/>
              <w:left w:val="nil"/>
              <w:bottom w:val="nil"/>
              <w:right w:val="nil"/>
            </w:tcBorders>
            <w:noWrap/>
            <w:vAlign w:val="bottom"/>
            <w:hideMark/>
          </w:tcPr>
          <w:p w14:paraId="7EB27986" w14:textId="77777777" w:rsidR="007A5804" w:rsidRDefault="007B7723">
            <w:pPr>
              <w:pStyle w:val="P68B1DB1-Normal91"/>
            </w:pPr>
            <w:r>
              <w:t>Euroclear Belgium (ESES)</w:t>
            </w:r>
          </w:p>
        </w:tc>
      </w:tr>
      <w:tr w:rsidR="007A5804" w14:paraId="19126F92" w14:textId="77777777">
        <w:trPr>
          <w:trHeight w:val="300"/>
        </w:trPr>
        <w:tc>
          <w:tcPr>
            <w:tcW w:w="9072" w:type="dxa"/>
            <w:tcBorders>
              <w:top w:val="nil"/>
              <w:left w:val="nil"/>
              <w:bottom w:val="nil"/>
              <w:right w:val="nil"/>
            </w:tcBorders>
            <w:noWrap/>
            <w:vAlign w:val="bottom"/>
            <w:hideMark/>
          </w:tcPr>
          <w:p w14:paraId="649DE977" w14:textId="285C6242" w:rsidR="007A5804" w:rsidRDefault="007B7723">
            <w:pPr>
              <w:pStyle w:val="P68B1DB1-Normal91"/>
            </w:pPr>
            <w:r>
              <w:t xml:space="preserve">Euroclear </w:t>
            </w:r>
            <w:r w:rsidR="00E91699">
              <w:t>Finland (</w:t>
            </w:r>
            <w:r>
              <w:t>Fínsko</w:t>
            </w:r>
            <w:r w:rsidR="00E91699">
              <w:t>)</w:t>
            </w:r>
          </w:p>
        </w:tc>
      </w:tr>
      <w:tr w:rsidR="007A5804" w14:paraId="37A9A6E1" w14:textId="77777777">
        <w:trPr>
          <w:trHeight w:val="300"/>
        </w:trPr>
        <w:tc>
          <w:tcPr>
            <w:tcW w:w="9072" w:type="dxa"/>
            <w:tcBorders>
              <w:top w:val="nil"/>
              <w:left w:val="nil"/>
              <w:bottom w:val="nil"/>
              <w:right w:val="nil"/>
            </w:tcBorders>
            <w:noWrap/>
            <w:vAlign w:val="bottom"/>
            <w:hideMark/>
          </w:tcPr>
          <w:p w14:paraId="734EF8BF" w14:textId="5749B0D8" w:rsidR="007A5804" w:rsidRDefault="007B7723">
            <w:pPr>
              <w:pStyle w:val="P68B1DB1-Normal91"/>
            </w:pPr>
            <w:r>
              <w:t>Euroclear France (ESES)</w:t>
            </w:r>
            <w:r w:rsidR="00E91699">
              <w:t xml:space="preserve"> (Francúzsko)</w:t>
            </w:r>
          </w:p>
        </w:tc>
      </w:tr>
      <w:tr w:rsidR="007A5804" w14:paraId="33F2EFD1" w14:textId="77777777">
        <w:trPr>
          <w:trHeight w:val="300"/>
        </w:trPr>
        <w:tc>
          <w:tcPr>
            <w:tcW w:w="9072" w:type="dxa"/>
            <w:tcBorders>
              <w:top w:val="nil"/>
              <w:left w:val="nil"/>
              <w:bottom w:val="nil"/>
              <w:right w:val="nil"/>
            </w:tcBorders>
            <w:noWrap/>
            <w:vAlign w:val="bottom"/>
            <w:hideMark/>
          </w:tcPr>
          <w:p w14:paraId="0273EA5F" w14:textId="3611E41C" w:rsidR="007A5804" w:rsidRDefault="007B7723">
            <w:pPr>
              <w:pStyle w:val="P68B1DB1-Normal91"/>
            </w:pPr>
            <w:r>
              <w:t xml:space="preserve">Euroclear </w:t>
            </w:r>
            <w:r w:rsidR="00E91699" w:rsidRPr="00F22F68">
              <w:t xml:space="preserve">Netherlands </w:t>
            </w:r>
            <w:r>
              <w:t xml:space="preserve"> (ESES)</w:t>
            </w:r>
            <w:r w:rsidR="00E91699">
              <w:t xml:space="preserve"> (Holandsko)</w:t>
            </w:r>
          </w:p>
        </w:tc>
      </w:tr>
      <w:tr w:rsidR="007A5804" w14:paraId="7B056DB0" w14:textId="77777777">
        <w:trPr>
          <w:trHeight w:val="300"/>
        </w:trPr>
        <w:tc>
          <w:tcPr>
            <w:tcW w:w="9072" w:type="dxa"/>
            <w:tcBorders>
              <w:top w:val="nil"/>
              <w:left w:val="nil"/>
              <w:bottom w:val="nil"/>
              <w:right w:val="nil"/>
            </w:tcBorders>
            <w:noWrap/>
            <w:vAlign w:val="bottom"/>
            <w:hideMark/>
          </w:tcPr>
          <w:p w14:paraId="09E6EC57" w14:textId="6768DCB6" w:rsidR="007A5804" w:rsidRDefault="007B7723">
            <w:pPr>
              <w:pStyle w:val="P68B1DB1-Normal91"/>
            </w:pPr>
            <w:r>
              <w:t>Euroclear Sweden AB (VPC</w:t>
            </w:r>
            <w:r w:rsidR="00E91699">
              <w:t xml:space="preserve"> systemet</w:t>
            </w:r>
            <w:r>
              <w:t>)</w:t>
            </w:r>
          </w:p>
        </w:tc>
      </w:tr>
      <w:tr w:rsidR="007A5804" w14:paraId="3D614022" w14:textId="77777777">
        <w:trPr>
          <w:trHeight w:val="300"/>
        </w:trPr>
        <w:tc>
          <w:tcPr>
            <w:tcW w:w="9072" w:type="dxa"/>
            <w:tcBorders>
              <w:top w:val="nil"/>
              <w:left w:val="nil"/>
              <w:bottom w:val="nil"/>
              <w:right w:val="nil"/>
            </w:tcBorders>
            <w:noWrap/>
            <w:vAlign w:val="bottom"/>
            <w:hideMark/>
          </w:tcPr>
          <w:p w14:paraId="1A4DFFF6" w14:textId="77777777" w:rsidR="007A5804" w:rsidRDefault="007B7723">
            <w:pPr>
              <w:pStyle w:val="P68B1DB1-Normal91"/>
            </w:pPr>
            <w:r>
              <w:t>Euroclear UK &amp; Ireland Limited (EUI) (CREST)</w:t>
            </w:r>
          </w:p>
        </w:tc>
      </w:tr>
      <w:tr w:rsidR="007A5804" w14:paraId="55B08F89" w14:textId="77777777">
        <w:trPr>
          <w:trHeight w:val="300"/>
        </w:trPr>
        <w:tc>
          <w:tcPr>
            <w:tcW w:w="9072" w:type="dxa"/>
            <w:tcBorders>
              <w:top w:val="nil"/>
              <w:left w:val="nil"/>
              <w:bottom w:val="nil"/>
              <w:right w:val="nil"/>
            </w:tcBorders>
            <w:noWrap/>
            <w:vAlign w:val="bottom"/>
            <w:hideMark/>
          </w:tcPr>
          <w:p w14:paraId="56E621EE" w14:textId="3CE82A74" w:rsidR="007A5804" w:rsidRDefault="007F0D5A">
            <w:pPr>
              <w:pStyle w:val="P68B1DB1-Normal91"/>
            </w:pPr>
            <w:r w:rsidRPr="00F22F68">
              <w:t>Euronext Amsterdam Cash Market</w:t>
            </w:r>
          </w:p>
        </w:tc>
      </w:tr>
      <w:tr w:rsidR="007A5804" w14:paraId="08BE70B5" w14:textId="77777777">
        <w:trPr>
          <w:trHeight w:val="300"/>
        </w:trPr>
        <w:tc>
          <w:tcPr>
            <w:tcW w:w="9072" w:type="dxa"/>
            <w:tcBorders>
              <w:top w:val="nil"/>
              <w:left w:val="nil"/>
              <w:bottom w:val="nil"/>
              <w:right w:val="nil"/>
            </w:tcBorders>
            <w:noWrap/>
            <w:vAlign w:val="bottom"/>
            <w:hideMark/>
          </w:tcPr>
          <w:p w14:paraId="717F6012" w14:textId="77777777" w:rsidR="007A5804" w:rsidRDefault="007B7723">
            <w:pPr>
              <w:pStyle w:val="P68B1DB1-Normal91"/>
            </w:pPr>
            <w:r>
              <w:t>Euronext Brussel SA</w:t>
            </w:r>
          </w:p>
          <w:p w14:paraId="3E95828F" w14:textId="31B1730B" w:rsidR="007A5804" w:rsidRDefault="007F0D5A">
            <w:pPr>
              <w:rPr>
                <w:rFonts w:eastAsia="Times New Roman" w:cs="Calibri"/>
                <w:color w:val="000000"/>
                <w:sz w:val="18"/>
                <w:szCs w:val="18"/>
              </w:rPr>
            </w:pPr>
            <w:r w:rsidRPr="00CD44DF">
              <w:rPr>
                <w:rFonts w:eastAsia="Times New Roman" w:cs="Calibri"/>
                <w:bCs/>
                <w:color w:val="000000"/>
                <w:sz w:val="18"/>
                <w:szCs w:val="18"/>
              </w:rPr>
              <w:t>Euronext Clearing</w:t>
            </w:r>
            <w:r w:rsidDel="007F0D5A">
              <w:rPr>
                <w:rFonts w:eastAsia="Times New Roman" w:cs="Calibri"/>
                <w:color w:val="000000"/>
                <w:sz w:val="18"/>
                <w:szCs w:val="18"/>
              </w:rPr>
              <w:t xml:space="preserve"> </w:t>
            </w:r>
            <w:r w:rsidR="007B7723">
              <w:rPr>
                <w:rStyle w:val="FootnoteReference"/>
                <w:rFonts w:eastAsia="Times New Roman" w:cs="Calibri"/>
                <w:color w:val="000000"/>
                <w:sz w:val="18"/>
              </w:rPr>
              <w:footnoteReference w:id="37"/>
            </w:r>
          </w:p>
        </w:tc>
      </w:tr>
      <w:tr w:rsidR="007A5804" w14:paraId="6A3A4767" w14:textId="77777777">
        <w:trPr>
          <w:trHeight w:val="300"/>
        </w:trPr>
        <w:tc>
          <w:tcPr>
            <w:tcW w:w="9072" w:type="dxa"/>
            <w:tcBorders>
              <w:top w:val="nil"/>
              <w:left w:val="nil"/>
              <w:bottom w:val="nil"/>
              <w:right w:val="nil"/>
            </w:tcBorders>
            <w:noWrap/>
            <w:vAlign w:val="bottom"/>
            <w:hideMark/>
          </w:tcPr>
          <w:p w14:paraId="0CF6918B" w14:textId="77777777" w:rsidR="007A5804" w:rsidRDefault="007B7723">
            <w:pPr>
              <w:pStyle w:val="P68B1DB1-Normal91"/>
            </w:pPr>
            <w:r>
              <w:t>Euronext Lisabon S.A.</w:t>
            </w:r>
          </w:p>
        </w:tc>
      </w:tr>
      <w:tr w:rsidR="007A5804" w14:paraId="1114BA7C" w14:textId="77777777">
        <w:trPr>
          <w:trHeight w:val="300"/>
        </w:trPr>
        <w:tc>
          <w:tcPr>
            <w:tcW w:w="9072" w:type="dxa"/>
            <w:tcBorders>
              <w:top w:val="nil"/>
              <w:left w:val="nil"/>
              <w:bottom w:val="nil"/>
              <w:right w:val="nil"/>
            </w:tcBorders>
            <w:noWrap/>
            <w:vAlign w:val="bottom"/>
            <w:hideMark/>
          </w:tcPr>
          <w:p w14:paraId="58D22650" w14:textId="7F972ABC" w:rsidR="007A5804" w:rsidRDefault="007B7723">
            <w:pPr>
              <w:pStyle w:val="P68B1DB1-Normal91"/>
            </w:pPr>
            <w:r>
              <w:t>Eur</w:t>
            </w:r>
            <w:r w:rsidR="00E91699">
              <w:t>opean</w:t>
            </w:r>
            <w:r>
              <w:t xml:space="preserve"> CCP NV</w:t>
            </w:r>
          </w:p>
        </w:tc>
      </w:tr>
      <w:tr w:rsidR="007A5804" w14:paraId="1758B1C2" w14:textId="77777777">
        <w:trPr>
          <w:trHeight w:val="300"/>
        </w:trPr>
        <w:tc>
          <w:tcPr>
            <w:tcW w:w="9072" w:type="dxa"/>
            <w:tcBorders>
              <w:top w:val="nil"/>
              <w:left w:val="nil"/>
              <w:bottom w:val="nil"/>
              <w:right w:val="nil"/>
            </w:tcBorders>
            <w:noWrap/>
            <w:vAlign w:val="bottom"/>
            <w:hideMark/>
          </w:tcPr>
          <w:p w14:paraId="6342DE58" w14:textId="654F61E9" w:rsidR="007A5804" w:rsidRDefault="007F0D5A">
            <w:pPr>
              <w:pStyle w:val="P68B1DB1-Normal91"/>
            </w:pPr>
            <w:r w:rsidRPr="00F22F68">
              <w:t xml:space="preserve">European Commodity Clearing </w:t>
            </w:r>
            <w:r w:rsidR="007B7723">
              <w:t>(ECC)</w:t>
            </w:r>
          </w:p>
        </w:tc>
      </w:tr>
      <w:tr w:rsidR="007A5804" w14:paraId="0DDA2A90" w14:textId="77777777">
        <w:trPr>
          <w:trHeight w:val="300"/>
        </w:trPr>
        <w:tc>
          <w:tcPr>
            <w:tcW w:w="9072" w:type="dxa"/>
            <w:tcBorders>
              <w:top w:val="nil"/>
              <w:left w:val="nil"/>
              <w:bottom w:val="nil"/>
              <w:right w:val="nil"/>
            </w:tcBorders>
            <w:noWrap/>
            <w:vAlign w:val="bottom"/>
            <w:hideMark/>
          </w:tcPr>
          <w:p w14:paraId="40A82682" w14:textId="316C0BFA" w:rsidR="007A5804" w:rsidRDefault="007F0D5A">
            <w:pPr>
              <w:pStyle w:val="P68B1DB1-Normal91"/>
            </w:pPr>
            <w:r w:rsidRPr="00F22F68">
              <w:t>Express Elixir</w:t>
            </w:r>
          </w:p>
        </w:tc>
      </w:tr>
      <w:tr w:rsidR="00E91699" w14:paraId="542DFF49" w14:textId="77777777">
        <w:trPr>
          <w:trHeight w:val="300"/>
        </w:trPr>
        <w:tc>
          <w:tcPr>
            <w:tcW w:w="9072" w:type="dxa"/>
            <w:tcBorders>
              <w:top w:val="nil"/>
              <w:left w:val="nil"/>
              <w:bottom w:val="nil"/>
              <w:right w:val="nil"/>
            </w:tcBorders>
            <w:noWrap/>
            <w:vAlign w:val="bottom"/>
            <w:hideMark/>
          </w:tcPr>
          <w:p w14:paraId="059F87EB" w14:textId="1914319E" w:rsidR="00E91699" w:rsidRDefault="00E91699" w:rsidP="00E91699">
            <w:pPr>
              <w:pStyle w:val="P68B1DB1-Normal91"/>
            </w:pPr>
            <w:r w:rsidRPr="00F22F68">
              <w:t>Faster Payments Service (FPS)</w:t>
            </w:r>
          </w:p>
        </w:tc>
      </w:tr>
      <w:tr w:rsidR="00E91699" w14:paraId="4CFAE77A" w14:textId="77777777">
        <w:trPr>
          <w:trHeight w:val="300"/>
        </w:trPr>
        <w:tc>
          <w:tcPr>
            <w:tcW w:w="9072" w:type="dxa"/>
            <w:tcBorders>
              <w:top w:val="nil"/>
              <w:left w:val="nil"/>
              <w:bottom w:val="nil"/>
              <w:right w:val="nil"/>
            </w:tcBorders>
            <w:noWrap/>
            <w:vAlign w:val="bottom"/>
            <w:hideMark/>
          </w:tcPr>
          <w:p w14:paraId="03A78736" w14:textId="36C02BED" w:rsidR="00E91699" w:rsidRDefault="00E91699" w:rsidP="00E91699">
            <w:pPr>
              <w:pStyle w:val="P68B1DB1-Normal91"/>
            </w:pPr>
            <w:r w:rsidRPr="00F22F68">
              <w:t>FedACH Services</w:t>
            </w:r>
          </w:p>
        </w:tc>
      </w:tr>
      <w:tr w:rsidR="007A5804" w14:paraId="1A8E545B" w14:textId="77777777">
        <w:trPr>
          <w:trHeight w:val="300"/>
        </w:trPr>
        <w:tc>
          <w:tcPr>
            <w:tcW w:w="9072" w:type="dxa"/>
            <w:tcBorders>
              <w:top w:val="nil"/>
              <w:left w:val="nil"/>
              <w:bottom w:val="nil"/>
              <w:right w:val="nil"/>
            </w:tcBorders>
            <w:noWrap/>
            <w:vAlign w:val="bottom"/>
            <w:hideMark/>
          </w:tcPr>
          <w:p w14:paraId="508F0A63" w14:textId="77777777" w:rsidR="007A5804" w:rsidRDefault="007B7723">
            <w:pPr>
              <w:pStyle w:val="P68B1DB1-Normal91"/>
            </w:pPr>
            <w:r>
              <w:t>Fedwire Funds Service (Služba fondov Fedwire Fund)</w:t>
            </w:r>
          </w:p>
        </w:tc>
      </w:tr>
      <w:tr w:rsidR="007A5804" w14:paraId="7603EDE5" w14:textId="77777777">
        <w:trPr>
          <w:trHeight w:val="300"/>
        </w:trPr>
        <w:tc>
          <w:tcPr>
            <w:tcW w:w="9072" w:type="dxa"/>
            <w:tcBorders>
              <w:top w:val="nil"/>
              <w:left w:val="nil"/>
              <w:bottom w:val="nil"/>
              <w:right w:val="nil"/>
            </w:tcBorders>
            <w:noWrap/>
            <w:vAlign w:val="bottom"/>
            <w:hideMark/>
          </w:tcPr>
          <w:p w14:paraId="6146D91C" w14:textId="77777777" w:rsidR="007A5804" w:rsidRDefault="007B7723">
            <w:pPr>
              <w:pStyle w:val="P68B1DB1-Normal91"/>
            </w:pPr>
            <w:r>
              <w:t>Fedwire Securities Services (Služby cenných papierov vo Fedwire)</w:t>
            </w:r>
          </w:p>
        </w:tc>
      </w:tr>
      <w:tr w:rsidR="007A5804" w14:paraId="638B9492" w14:textId="77777777">
        <w:trPr>
          <w:trHeight w:val="300"/>
        </w:trPr>
        <w:tc>
          <w:tcPr>
            <w:tcW w:w="9072" w:type="dxa"/>
            <w:tcBorders>
              <w:top w:val="nil"/>
              <w:left w:val="nil"/>
              <w:bottom w:val="nil"/>
              <w:right w:val="nil"/>
            </w:tcBorders>
            <w:noWrap/>
            <w:vAlign w:val="bottom"/>
            <w:hideMark/>
          </w:tcPr>
          <w:p w14:paraId="0FCA6B85" w14:textId="0561FF6A" w:rsidR="007A5804" w:rsidRDefault="007F0D5A">
            <w:pPr>
              <w:pStyle w:val="P68B1DB1-Normal91"/>
            </w:pPr>
            <w:r w:rsidRPr="00F22F68">
              <w:t xml:space="preserve">Fixed Income Clearing Corp </w:t>
            </w:r>
            <w:r w:rsidR="007B7723">
              <w:t>(FICC)</w:t>
            </w:r>
          </w:p>
        </w:tc>
      </w:tr>
      <w:tr w:rsidR="007A5804" w14:paraId="4384BE65" w14:textId="77777777">
        <w:trPr>
          <w:trHeight w:val="300"/>
        </w:trPr>
        <w:tc>
          <w:tcPr>
            <w:tcW w:w="9072" w:type="dxa"/>
            <w:tcBorders>
              <w:top w:val="nil"/>
              <w:left w:val="nil"/>
              <w:bottom w:val="nil"/>
              <w:right w:val="nil"/>
            </w:tcBorders>
            <w:noWrap/>
            <w:vAlign w:val="bottom"/>
            <w:hideMark/>
          </w:tcPr>
          <w:p w14:paraId="7CCF9B46" w14:textId="77777777" w:rsidR="007A5804" w:rsidRDefault="007B7723">
            <w:pPr>
              <w:pStyle w:val="P68B1DB1-Normal91"/>
            </w:pPr>
            <w:r>
              <w:t>Gielda Papierow Wartosciowych w Warszawie (Varšavská burza cenných papierov)</w:t>
            </w:r>
          </w:p>
        </w:tc>
      </w:tr>
      <w:tr w:rsidR="007A5804" w14:paraId="62CB1AB6" w14:textId="77777777">
        <w:trPr>
          <w:trHeight w:val="300"/>
        </w:trPr>
        <w:tc>
          <w:tcPr>
            <w:tcW w:w="9072" w:type="dxa"/>
            <w:tcBorders>
              <w:top w:val="nil"/>
              <w:left w:val="nil"/>
              <w:bottom w:val="nil"/>
              <w:right w:val="nil"/>
            </w:tcBorders>
            <w:noWrap/>
            <w:vAlign w:val="bottom"/>
            <w:hideMark/>
          </w:tcPr>
          <w:p w14:paraId="56890D2B" w14:textId="1B903098" w:rsidR="007A5804" w:rsidRDefault="00E91699">
            <w:pPr>
              <w:pStyle w:val="P68B1DB1-Normal91"/>
            </w:pPr>
            <w:r w:rsidRPr="00F22F68">
              <w:t>Government Securities Depository</w:t>
            </w:r>
            <w:r w:rsidR="007B7723">
              <w:t xml:space="preserve"> (GSD)</w:t>
            </w:r>
          </w:p>
        </w:tc>
      </w:tr>
      <w:tr w:rsidR="007A5804" w14:paraId="5B41050C" w14:textId="77777777">
        <w:trPr>
          <w:trHeight w:val="300"/>
        </w:trPr>
        <w:tc>
          <w:tcPr>
            <w:tcW w:w="9072" w:type="dxa"/>
            <w:tcBorders>
              <w:top w:val="nil"/>
              <w:left w:val="nil"/>
              <w:bottom w:val="nil"/>
              <w:right w:val="nil"/>
            </w:tcBorders>
            <w:noWrap/>
            <w:vAlign w:val="bottom"/>
            <w:hideMark/>
          </w:tcPr>
          <w:p w14:paraId="24CCAE22" w14:textId="77777777" w:rsidR="007A5804" w:rsidRDefault="007B7723">
            <w:pPr>
              <w:pStyle w:val="P68B1DB1-Normal91"/>
            </w:pPr>
            <w:r>
              <w:t>HSVP (RTGS)</w:t>
            </w:r>
          </w:p>
        </w:tc>
      </w:tr>
      <w:tr w:rsidR="007A5804" w14:paraId="013849A1" w14:textId="77777777">
        <w:trPr>
          <w:trHeight w:val="300"/>
        </w:trPr>
        <w:tc>
          <w:tcPr>
            <w:tcW w:w="9072" w:type="dxa"/>
            <w:tcBorders>
              <w:top w:val="nil"/>
              <w:left w:val="nil"/>
              <w:bottom w:val="nil"/>
              <w:right w:val="nil"/>
            </w:tcBorders>
            <w:noWrap/>
            <w:vAlign w:val="bottom"/>
            <w:hideMark/>
          </w:tcPr>
          <w:p w14:paraId="686B8E20" w14:textId="77777777" w:rsidR="007A5804" w:rsidRDefault="007B7723">
            <w:pPr>
              <w:pStyle w:val="P68B1DB1-Normal91"/>
            </w:pPr>
            <w:r>
              <w:t>Iberclear</w:t>
            </w:r>
          </w:p>
        </w:tc>
      </w:tr>
      <w:tr w:rsidR="007A5804" w14:paraId="69A745A4" w14:textId="77777777">
        <w:trPr>
          <w:trHeight w:val="300"/>
        </w:trPr>
        <w:tc>
          <w:tcPr>
            <w:tcW w:w="9072" w:type="dxa"/>
            <w:tcBorders>
              <w:top w:val="nil"/>
              <w:left w:val="nil"/>
              <w:bottom w:val="nil"/>
              <w:right w:val="nil"/>
            </w:tcBorders>
            <w:noWrap/>
            <w:vAlign w:val="bottom"/>
            <w:hideMark/>
          </w:tcPr>
          <w:p w14:paraId="676D5D75" w14:textId="05A4FBB5" w:rsidR="007A5804" w:rsidRDefault="007F0D5A">
            <w:pPr>
              <w:pStyle w:val="P68B1DB1-Normal91"/>
            </w:pPr>
            <w:r w:rsidRPr="00F22F68">
              <w:t>ICE Clear</w:t>
            </w:r>
          </w:p>
        </w:tc>
      </w:tr>
      <w:tr w:rsidR="007A5804" w14:paraId="780088CD" w14:textId="77777777">
        <w:trPr>
          <w:trHeight w:val="300"/>
        </w:trPr>
        <w:tc>
          <w:tcPr>
            <w:tcW w:w="9072" w:type="dxa"/>
            <w:tcBorders>
              <w:top w:val="nil"/>
              <w:left w:val="nil"/>
              <w:bottom w:val="nil"/>
              <w:right w:val="nil"/>
            </w:tcBorders>
            <w:noWrap/>
            <w:vAlign w:val="bottom"/>
            <w:hideMark/>
          </w:tcPr>
          <w:p w14:paraId="51279EB6" w14:textId="255902FB" w:rsidR="007A5804" w:rsidRDefault="00133A67">
            <w:pPr>
              <w:pStyle w:val="P68B1DB1-Normal91"/>
            </w:pPr>
            <w:r>
              <w:lastRenderedPageBreak/>
              <w:t xml:space="preserve">ICE </w:t>
            </w:r>
            <w:r w:rsidR="007B7723">
              <w:t>Clear Europe Limited</w:t>
            </w:r>
          </w:p>
        </w:tc>
      </w:tr>
      <w:tr w:rsidR="007A5804" w14:paraId="0A625316" w14:textId="77777777">
        <w:trPr>
          <w:trHeight w:val="300"/>
        </w:trPr>
        <w:tc>
          <w:tcPr>
            <w:tcW w:w="9072" w:type="dxa"/>
            <w:tcBorders>
              <w:top w:val="nil"/>
              <w:left w:val="nil"/>
              <w:bottom w:val="nil"/>
              <w:right w:val="nil"/>
            </w:tcBorders>
            <w:noWrap/>
            <w:vAlign w:val="bottom"/>
            <w:hideMark/>
          </w:tcPr>
          <w:p w14:paraId="478D14C3" w14:textId="62D421CF" w:rsidR="007A5804" w:rsidRDefault="00133A67">
            <w:pPr>
              <w:pStyle w:val="P68B1DB1-Normal91"/>
            </w:pPr>
            <w:r>
              <w:t xml:space="preserve">ICE </w:t>
            </w:r>
            <w:r w:rsidR="007B7723">
              <w:t>Clear Holandsko</w:t>
            </w:r>
          </w:p>
        </w:tc>
      </w:tr>
      <w:tr w:rsidR="007A5804" w14:paraId="7BA736BC" w14:textId="77777777">
        <w:trPr>
          <w:trHeight w:val="300"/>
        </w:trPr>
        <w:tc>
          <w:tcPr>
            <w:tcW w:w="9072" w:type="dxa"/>
            <w:tcBorders>
              <w:top w:val="nil"/>
              <w:left w:val="nil"/>
              <w:bottom w:val="nil"/>
              <w:right w:val="nil"/>
            </w:tcBorders>
            <w:noWrap/>
            <w:vAlign w:val="bottom"/>
            <w:hideMark/>
          </w:tcPr>
          <w:p w14:paraId="791A2916" w14:textId="7F21FF1A" w:rsidR="007A5804" w:rsidRDefault="00133A67">
            <w:pPr>
              <w:pStyle w:val="P68B1DB1-Normal91"/>
            </w:pPr>
            <w:r>
              <w:t xml:space="preserve">ICE </w:t>
            </w:r>
            <w:r w:rsidR="007B7723">
              <w:t>Trade Vault Europe Limited (ICE TVEL)</w:t>
            </w:r>
          </w:p>
        </w:tc>
      </w:tr>
      <w:tr w:rsidR="007A5804" w14:paraId="6A1792FC" w14:textId="77777777">
        <w:trPr>
          <w:trHeight w:val="300"/>
        </w:trPr>
        <w:tc>
          <w:tcPr>
            <w:tcW w:w="9072" w:type="dxa"/>
            <w:tcBorders>
              <w:top w:val="nil"/>
              <w:left w:val="nil"/>
              <w:bottom w:val="nil"/>
              <w:right w:val="nil"/>
            </w:tcBorders>
            <w:noWrap/>
            <w:vAlign w:val="bottom"/>
            <w:hideMark/>
          </w:tcPr>
          <w:p w14:paraId="58EBD357" w14:textId="77777777" w:rsidR="007A5804" w:rsidRDefault="007B7723">
            <w:pPr>
              <w:pStyle w:val="P68B1DB1-Normal91"/>
            </w:pPr>
            <w:r>
              <w:t>ID2S/RSS</w:t>
            </w:r>
          </w:p>
        </w:tc>
      </w:tr>
      <w:tr w:rsidR="007A5804" w14:paraId="23EF91EB" w14:textId="77777777">
        <w:trPr>
          <w:trHeight w:val="300"/>
        </w:trPr>
        <w:tc>
          <w:tcPr>
            <w:tcW w:w="9072" w:type="dxa"/>
            <w:tcBorders>
              <w:top w:val="nil"/>
              <w:left w:val="nil"/>
              <w:bottom w:val="nil"/>
              <w:right w:val="nil"/>
            </w:tcBorders>
            <w:noWrap/>
            <w:vAlign w:val="bottom"/>
            <w:hideMark/>
          </w:tcPr>
          <w:p w14:paraId="256EBA58" w14:textId="1940F9FD" w:rsidR="007A5804" w:rsidRDefault="007B7723">
            <w:pPr>
              <w:pStyle w:val="P68B1DB1-Normal91"/>
            </w:pPr>
            <w:r>
              <w:t>Medzibankový zúčtovací systém</w:t>
            </w:r>
            <w:r w:rsidR="00E91699">
              <w:t xml:space="preserve"> / </w:t>
            </w:r>
            <w:r w:rsidR="00E91699" w:rsidRPr="00F22F68">
              <w:t>Interbank Clearing System</w:t>
            </w:r>
            <w:r>
              <w:t xml:space="preserve"> (ICS)</w:t>
            </w:r>
          </w:p>
        </w:tc>
      </w:tr>
      <w:tr w:rsidR="007A5804" w14:paraId="61201BD5" w14:textId="77777777">
        <w:trPr>
          <w:trHeight w:val="300"/>
        </w:trPr>
        <w:tc>
          <w:tcPr>
            <w:tcW w:w="9072" w:type="dxa"/>
            <w:tcBorders>
              <w:top w:val="nil"/>
              <w:left w:val="nil"/>
              <w:bottom w:val="nil"/>
              <w:right w:val="nil"/>
            </w:tcBorders>
            <w:noWrap/>
            <w:vAlign w:val="bottom"/>
            <w:hideMark/>
          </w:tcPr>
          <w:p w14:paraId="38BDB6F1" w14:textId="77777777" w:rsidR="007A5804" w:rsidRDefault="007B7723">
            <w:pPr>
              <w:pStyle w:val="P68B1DB1-Normal91"/>
            </w:pPr>
            <w:r>
              <w:t>INTERBOLSA</w:t>
            </w:r>
          </w:p>
        </w:tc>
      </w:tr>
      <w:tr w:rsidR="007A5804" w14:paraId="3D13BEFD" w14:textId="77777777">
        <w:trPr>
          <w:trHeight w:val="300"/>
        </w:trPr>
        <w:tc>
          <w:tcPr>
            <w:tcW w:w="9072" w:type="dxa"/>
            <w:tcBorders>
              <w:top w:val="nil"/>
              <w:left w:val="nil"/>
              <w:bottom w:val="nil"/>
              <w:right w:val="nil"/>
            </w:tcBorders>
            <w:noWrap/>
            <w:vAlign w:val="bottom"/>
            <w:hideMark/>
          </w:tcPr>
          <w:p w14:paraId="27D8A3E1" w14:textId="77777777" w:rsidR="007A5804" w:rsidRDefault="007B7723">
            <w:pPr>
              <w:pStyle w:val="P68B1DB1-Normal91"/>
            </w:pPr>
            <w:r>
              <w:t>IntradagClearing</w:t>
            </w:r>
          </w:p>
        </w:tc>
      </w:tr>
      <w:tr w:rsidR="007A5804" w14:paraId="4CA95B12" w14:textId="77777777">
        <w:trPr>
          <w:trHeight w:val="300"/>
        </w:trPr>
        <w:tc>
          <w:tcPr>
            <w:tcW w:w="9072" w:type="dxa"/>
            <w:tcBorders>
              <w:top w:val="nil"/>
              <w:left w:val="nil"/>
              <w:bottom w:val="nil"/>
              <w:right w:val="nil"/>
            </w:tcBorders>
            <w:noWrap/>
            <w:vAlign w:val="bottom"/>
            <w:hideMark/>
          </w:tcPr>
          <w:p w14:paraId="3992B7FE" w14:textId="77777777" w:rsidR="007A5804" w:rsidRDefault="007B7723">
            <w:pPr>
              <w:pStyle w:val="P68B1DB1-Normal91"/>
            </w:pPr>
            <w:r>
              <w:t>IRGiT Izba Rozliczeniowa Giełd Towarowych S.A (komoditné klíringové stredisko)</w:t>
            </w:r>
          </w:p>
        </w:tc>
      </w:tr>
      <w:tr w:rsidR="007A5804" w14:paraId="5F42EC4B" w14:textId="77777777">
        <w:trPr>
          <w:trHeight w:val="300"/>
        </w:trPr>
        <w:tc>
          <w:tcPr>
            <w:tcW w:w="9072" w:type="dxa"/>
            <w:tcBorders>
              <w:top w:val="nil"/>
              <w:left w:val="nil"/>
              <w:bottom w:val="nil"/>
              <w:right w:val="nil"/>
            </w:tcBorders>
            <w:noWrap/>
            <w:vAlign w:val="bottom"/>
            <w:hideMark/>
          </w:tcPr>
          <w:p w14:paraId="1817AC8A" w14:textId="77777777" w:rsidR="007A5804" w:rsidRDefault="007B7723">
            <w:pPr>
              <w:pStyle w:val="P68B1DB1-Normal91"/>
            </w:pPr>
            <w:r>
              <w:t>Irish Paper Clearing Company (IPCC)</w:t>
            </w:r>
          </w:p>
        </w:tc>
      </w:tr>
      <w:tr w:rsidR="007A5804" w14:paraId="503DCAED" w14:textId="77777777">
        <w:trPr>
          <w:trHeight w:val="300"/>
        </w:trPr>
        <w:tc>
          <w:tcPr>
            <w:tcW w:w="9072" w:type="dxa"/>
            <w:tcBorders>
              <w:top w:val="nil"/>
              <w:left w:val="nil"/>
              <w:bottom w:val="nil"/>
              <w:right w:val="nil"/>
            </w:tcBorders>
            <w:noWrap/>
            <w:vAlign w:val="bottom"/>
            <w:hideMark/>
          </w:tcPr>
          <w:p w14:paraId="256FE1FF" w14:textId="77777777" w:rsidR="007A5804" w:rsidRDefault="007B7723">
            <w:pPr>
              <w:pStyle w:val="P68B1DB1-Normal91"/>
            </w:pPr>
            <w:r>
              <w:t>Irish Stock Exchange Ltd. (Írska burza cenných papierov)</w:t>
            </w:r>
          </w:p>
        </w:tc>
      </w:tr>
      <w:tr w:rsidR="00133A67" w14:paraId="01B9E362" w14:textId="77777777">
        <w:trPr>
          <w:trHeight w:val="300"/>
        </w:trPr>
        <w:tc>
          <w:tcPr>
            <w:tcW w:w="9072" w:type="dxa"/>
            <w:tcBorders>
              <w:top w:val="nil"/>
              <w:left w:val="nil"/>
              <w:bottom w:val="nil"/>
              <w:right w:val="nil"/>
            </w:tcBorders>
            <w:noWrap/>
            <w:vAlign w:val="bottom"/>
            <w:hideMark/>
          </w:tcPr>
          <w:p w14:paraId="6D9ED763" w14:textId="564480C7" w:rsidR="00133A67" w:rsidRDefault="00133A67" w:rsidP="00133A67">
            <w:pPr>
              <w:pStyle w:val="P68B1DB1-Normal91"/>
            </w:pPr>
            <w:r w:rsidRPr="00F22F68">
              <w:t>Japan Securities Clearing Corporation</w:t>
            </w:r>
          </w:p>
        </w:tc>
      </w:tr>
      <w:tr w:rsidR="007A5804" w14:paraId="7B5B6AA0" w14:textId="77777777">
        <w:trPr>
          <w:trHeight w:val="300"/>
        </w:trPr>
        <w:tc>
          <w:tcPr>
            <w:tcW w:w="9072" w:type="dxa"/>
            <w:tcBorders>
              <w:top w:val="nil"/>
              <w:left w:val="nil"/>
              <w:bottom w:val="nil"/>
              <w:right w:val="nil"/>
            </w:tcBorders>
            <w:noWrap/>
            <w:vAlign w:val="bottom"/>
            <w:hideMark/>
          </w:tcPr>
          <w:p w14:paraId="5354E82A" w14:textId="77777777" w:rsidR="007A5804" w:rsidRDefault="007B7723">
            <w:pPr>
              <w:pStyle w:val="P68B1DB1-Normal91"/>
            </w:pPr>
            <w:r>
              <w:t>JASDEC</w:t>
            </w:r>
          </w:p>
        </w:tc>
      </w:tr>
      <w:tr w:rsidR="007A5804" w14:paraId="5F2E7C68" w14:textId="77777777">
        <w:trPr>
          <w:trHeight w:val="300"/>
        </w:trPr>
        <w:tc>
          <w:tcPr>
            <w:tcW w:w="9072" w:type="dxa"/>
            <w:tcBorders>
              <w:top w:val="nil"/>
              <w:left w:val="nil"/>
              <w:bottom w:val="nil"/>
              <w:right w:val="nil"/>
            </w:tcBorders>
            <w:noWrap/>
            <w:vAlign w:val="bottom"/>
            <w:hideMark/>
          </w:tcPr>
          <w:p w14:paraId="7D166505" w14:textId="77777777" w:rsidR="007A5804" w:rsidRDefault="007B7723">
            <w:pPr>
              <w:pStyle w:val="P68B1DB1-Normal91"/>
            </w:pPr>
            <w:r>
              <w:t>JASDEC DVP</w:t>
            </w:r>
          </w:p>
        </w:tc>
      </w:tr>
      <w:tr w:rsidR="007A5804" w14:paraId="4048BA0D" w14:textId="77777777">
        <w:trPr>
          <w:trHeight w:val="300"/>
        </w:trPr>
        <w:tc>
          <w:tcPr>
            <w:tcW w:w="9072" w:type="dxa"/>
            <w:tcBorders>
              <w:top w:val="nil"/>
              <w:left w:val="nil"/>
              <w:bottom w:val="nil"/>
              <w:right w:val="nil"/>
            </w:tcBorders>
            <w:noWrap/>
            <w:vAlign w:val="bottom"/>
            <w:hideMark/>
          </w:tcPr>
          <w:p w14:paraId="15678AE9" w14:textId="77777777" w:rsidR="007A5804" w:rsidRDefault="007B7723">
            <w:pPr>
              <w:pStyle w:val="P68B1DB1-Normal91"/>
            </w:pPr>
            <w:r>
              <w:t>ZMIEŠANÝ PORADNÝ VÝBOR</w:t>
            </w:r>
          </w:p>
        </w:tc>
      </w:tr>
      <w:tr w:rsidR="007A5804" w14:paraId="12A3C713" w14:textId="77777777">
        <w:trPr>
          <w:trHeight w:val="300"/>
        </w:trPr>
        <w:tc>
          <w:tcPr>
            <w:tcW w:w="9072" w:type="dxa"/>
            <w:tcBorders>
              <w:top w:val="nil"/>
              <w:left w:val="nil"/>
              <w:bottom w:val="nil"/>
              <w:right w:val="nil"/>
            </w:tcBorders>
            <w:noWrap/>
            <w:vAlign w:val="bottom"/>
            <w:hideMark/>
          </w:tcPr>
          <w:p w14:paraId="41166169" w14:textId="77777777" w:rsidR="007A5804" w:rsidRDefault="007B7723">
            <w:pPr>
              <w:pStyle w:val="P68B1DB1-Normal91"/>
            </w:pPr>
            <w:r>
              <w:t>KDPW S.A.</w:t>
            </w:r>
          </w:p>
        </w:tc>
      </w:tr>
      <w:tr w:rsidR="007A5804" w14:paraId="43817C1E" w14:textId="77777777">
        <w:trPr>
          <w:trHeight w:val="300"/>
        </w:trPr>
        <w:tc>
          <w:tcPr>
            <w:tcW w:w="9072" w:type="dxa"/>
            <w:tcBorders>
              <w:top w:val="nil"/>
              <w:left w:val="nil"/>
              <w:bottom w:val="nil"/>
              <w:right w:val="nil"/>
            </w:tcBorders>
            <w:noWrap/>
            <w:vAlign w:val="bottom"/>
            <w:hideMark/>
          </w:tcPr>
          <w:p w14:paraId="3018D3C8" w14:textId="77777777" w:rsidR="007A5804" w:rsidRDefault="007B7723">
            <w:pPr>
              <w:pStyle w:val="P68B1DB1-Normal91"/>
            </w:pPr>
            <w:r>
              <w:t>KDPW_CCP S.A.</w:t>
            </w:r>
          </w:p>
        </w:tc>
      </w:tr>
      <w:tr w:rsidR="007A5804" w14:paraId="21912EC4" w14:textId="77777777">
        <w:trPr>
          <w:trHeight w:val="300"/>
        </w:trPr>
        <w:tc>
          <w:tcPr>
            <w:tcW w:w="9072" w:type="dxa"/>
            <w:tcBorders>
              <w:top w:val="nil"/>
              <w:left w:val="nil"/>
              <w:bottom w:val="nil"/>
              <w:right w:val="nil"/>
            </w:tcBorders>
            <w:noWrap/>
            <w:vAlign w:val="bottom"/>
            <w:hideMark/>
          </w:tcPr>
          <w:p w14:paraId="59836A48" w14:textId="77777777" w:rsidR="007A5804" w:rsidRDefault="007B7723">
            <w:pPr>
              <w:pStyle w:val="P68B1DB1-Normal91"/>
            </w:pPr>
            <w:r>
              <w:t>KDPW-TR</w:t>
            </w:r>
          </w:p>
        </w:tc>
      </w:tr>
      <w:tr w:rsidR="007A5804" w14:paraId="14480A4D" w14:textId="77777777">
        <w:trPr>
          <w:trHeight w:val="300"/>
        </w:trPr>
        <w:tc>
          <w:tcPr>
            <w:tcW w:w="9072" w:type="dxa"/>
            <w:tcBorders>
              <w:top w:val="nil"/>
              <w:left w:val="nil"/>
              <w:bottom w:val="nil"/>
              <w:right w:val="nil"/>
            </w:tcBorders>
            <w:noWrap/>
            <w:vAlign w:val="bottom"/>
            <w:hideMark/>
          </w:tcPr>
          <w:p w14:paraId="59BBCA2D" w14:textId="77777777" w:rsidR="007A5804" w:rsidRDefault="007B7723">
            <w:pPr>
              <w:pStyle w:val="P68B1DB1-Normal91"/>
            </w:pPr>
            <w:r>
              <w:t>KELER CCP</w:t>
            </w:r>
          </w:p>
        </w:tc>
      </w:tr>
      <w:tr w:rsidR="007A5804" w14:paraId="1D005B0E" w14:textId="77777777">
        <w:trPr>
          <w:trHeight w:val="300"/>
        </w:trPr>
        <w:tc>
          <w:tcPr>
            <w:tcW w:w="9072" w:type="dxa"/>
            <w:tcBorders>
              <w:top w:val="nil"/>
              <w:left w:val="nil"/>
              <w:bottom w:val="nil"/>
              <w:right w:val="nil"/>
            </w:tcBorders>
            <w:noWrap/>
            <w:vAlign w:val="bottom"/>
            <w:hideMark/>
          </w:tcPr>
          <w:p w14:paraId="2ABFD94E" w14:textId="77777777" w:rsidR="007A5804" w:rsidRDefault="007B7723">
            <w:pPr>
              <w:pStyle w:val="P68B1DB1-Normal91"/>
            </w:pPr>
            <w:r>
              <w:t>CDCP KELER</w:t>
            </w:r>
          </w:p>
        </w:tc>
      </w:tr>
      <w:tr w:rsidR="007A5804" w14:paraId="13D5C039" w14:textId="77777777">
        <w:trPr>
          <w:trHeight w:val="300"/>
        </w:trPr>
        <w:tc>
          <w:tcPr>
            <w:tcW w:w="9072" w:type="dxa"/>
            <w:tcBorders>
              <w:top w:val="nil"/>
              <w:left w:val="nil"/>
              <w:bottom w:val="nil"/>
              <w:right w:val="nil"/>
            </w:tcBorders>
            <w:noWrap/>
            <w:vAlign w:val="bottom"/>
            <w:hideMark/>
          </w:tcPr>
          <w:p w14:paraId="31B1FA22" w14:textId="77777777" w:rsidR="007A5804" w:rsidRDefault="007B7723">
            <w:pPr>
              <w:pStyle w:val="P68B1DB1-Normal91"/>
            </w:pPr>
            <w:r>
              <w:t>KRONOS</w:t>
            </w:r>
          </w:p>
        </w:tc>
      </w:tr>
      <w:tr w:rsidR="007A5804" w14:paraId="3B7ED824" w14:textId="77777777">
        <w:trPr>
          <w:trHeight w:val="300"/>
        </w:trPr>
        <w:tc>
          <w:tcPr>
            <w:tcW w:w="9072" w:type="dxa"/>
            <w:tcBorders>
              <w:top w:val="nil"/>
              <w:left w:val="nil"/>
              <w:bottom w:val="nil"/>
              <w:right w:val="nil"/>
            </w:tcBorders>
            <w:noWrap/>
            <w:vAlign w:val="bottom"/>
            <w:hideMark/>
          </w:tcPr>
          <w:p w14:paraId="0A3C0455" w14:textId="77777777" w:rsidR="007A5804" w:rsidRDefault="007B7723">
            <w:pPr>
              <w:pStyle w:val="P68B1DB1-Normal91"/>
            </w:pPr>
            <w:r>
              <w:t>KUBAS</w:t>
            </w:r>
          </w:p>
        </w:tc>
      </w:tr>
      <w:tr w:rsidR="007A5804" w14:paraId="2B1C9B26" w14:textId="77777777">
        <w:trPr>
          <w:trHeight w:val="300"/>
        </w:trPr>
        <w:tc>
          <w:tcPr>
            <w:tcW w:w="9072" w:type="dxa"/>
            <w:tcBorders>
              <w:top w:val="nil"/>
              <w:left w:val="nil"/>
              <w:bottom w:val="nil"/>
              <w:right w:val="nil"/>
            </w:tcBorders>
            <w:noWrap/>
            <w:vAlign w:val="bottom"/>
            <w:hideMark/>
          </w:tcPr>
          <w:p w14:paraId="0C36BDD0" w14:textId="1D0D47B5" w:rsidR="007A5804" w:rsidRDefault="00E91699">
            <w:pPr>
              <w:pStyle w:val="P68B1DB1-Normal91"/>
            </w:pPr>
            <w:r w:rsidRPr="00F22F68">
              <w:t>Large Value Transfer System</w:t>
            </w:r>
            <w:r w:rsidR="007B7723">
              <w:t xml:space="preserve"> (LVTS)</w:t>
            </w:r>
          </w:p>
        </w:tc>
      </w:tr>
      <w:tr w:rsidR="007A5804" w14:paraId="494438D8" w14:textId="77777777">
        <w:trPr>
          <w:trHeight w:val="300"/>
        </w:trPr>
        <w:tc>
          <w:tcPr>
            <w:tcW w:w="9072" w:type="dxa"/>
            <w:tcBorders>
              <w:top w:val="nil"/>
              <w:left w:val="nil"/>
              <w:bottom w:val="nil"/>
              <w:right w:val="nil"/>
            </w:tcBorders>
            <w:noWrap/>
            <w:vAlign w:val="bottom"/>
            <w:hideMark/>
          </w:tcPr>
          <w:p w14:paraId="0378B855" w14:textId="77777777" w:rsidR="007A5804" w:rsidRDefault="007B7723">
            <w:pPr>
              <w:pStyle w:val="P68B1DB1-Normal91"/>
            </w:pPr>
            <w:r>
              <w:t>LCH Ltd</w:t>
            </w:r>
          </w:p>
        </w:tc>
      </w:tr>
      <w:tr w:rsidR="007A5804" w14:paraId="5DD1EBF4" w14:textId="77777777">
        <w:trPr>
          <w:trHeight w:val="300"/>
        </w:trPr>
        <w:tc>
          <w:tcPr>
            <w:tcW w:w="9072" w:type="dxa"/>
            <w:tcBorders>
              <w:top w:val="nil"/>
              <w:left w:val="nil"/>
              <w:bottom w:val="nil"/>
              <w:right w:val="nil"/>
            </w:tcBorders>
            <w:noWrap/>
            <w:vAlign w:val="bottom"/>
            <w:hideMark/>
          </w:tcPr>
          <w:p w14:paraId="59459780" w14:textId="77777777" w:rsidR="007A5804" w:rsidRDefault="007B7723">
            <w:pPr>
              <w:pStyle w:val="P68B1DB1-Normal91"/>
            </w:pPr>
            <w:r>
              <w:t>LCH SA</w:t>
            </w:r>
          </w:p>
        </w:tc>
      </w:tr>
      <w:tr w:rsidR="007A5804" w14:paraId="4F01D89C" w14:textId="77777777">
        <w:trPr>
          <w:trHeight w:val="300"/>
        </w:trPr>
        <w:tc>
          <w:tcPr>
            <w:tcW w:w="9072" w:type="dxa"/>
            <w:tcBorders>
              <w:top w:val="nil"/>
              <w:left w:val="nil"/>
              <w:bottom w:val="nil"/>
              <w:right w:val="nil"/>
            </w:tcBorders>
            <w:noWrap/>
            <w:vAlign w:val="bottom"/>
            <w:hideMark/>
          </w:tcPr>
          <w:p w14:paraId="5955E367" w14:textId="2184B66F" w:rsidR="007A5804" w:rsidRDefault="00D23EBA">
            <w:pPr>
              <w:pStyle w:val="P68B1DB1-Normal91"/>
            </w:pPr>
            <w:r w:rsidRPr="00F22F68">
              <w:t>Ljubljana Stock Exchange</w:t>
            </w:r>
          </w:p>
        </w:tc>
      </w:tr>
      <w:tr w:rsidR="007A5804" w14:paraId="63C7A928" w14:textId="77777777">
        <w:trPr>
          <w:trHeight w:val="300"/>
        </w:trPr>
        <w:tc>
          <w:tcPr>
            <w:tcW w:w="9072" w:type="dxa"/>
            <w:tcBorders>
              <w:top w:val="nil"/>
              <w:left w:val="nil"/>
              <w:bottom w:val="nil"/>
              <w:right w:val="nil"/>
            </w:tcBorders>
            <w:noWrap/>
            <w:vAlign w:val="bottom"/>
            <w:hideMark/>
          </w:tcPr>
          <w:p w14:paraId="14DFAB9F" w14:textId="77777777" w:rsidR="007A5804" w:rsidRDefault="007B7723">
            <w:pPr>
              <w:pStyle w:val="P68B1DB1-Normal91"/>
            </w:pPr>
            <w:r>
              <w:t>LME Clear Limited</w:t>
            </w:r>
          </w:p>
        </w:tc>
      </w:tr>
      <w:tr w:rsidR="007A5804" w14:paraId="188E3D82" w14:textId="77777777">
        <w:trPr>
          <w:trHeight w:val="300"/>
        </w:trPr>
        <w:tc>
          <w:tcPr>
            <w:tcW w:w="9072" w:type="dxa"/>
            <w:tcBorders>
              <w:top w:val="nil"/>
              <w:left w:val="nil"/>
              <w:bottom w:val="nil"/>
              <w:right w:val="nil"/>
            </w:tcBorders>
            <w:noWrap/>
            <w:vAlign w:val="bottom"/>
            <w:hideMark/>
          </w:tcPr>
          <w:p w14:paraId="7DB15EC9" w14:textId="77777777" w:rsidR="007A5804" w:rsidRDefault="007B7723">
            <w:pPr>
              <w:pStyle w:val="P68B1DB1-Normal91"/>
            </w:pPr>
            <w:r>
              <w:t>London Stock Exchange Ltd (LSE)</w:t>
            </w:r>
          </w:p>
        </w:tc>
      </w:tr>
      <w:tr w:rsidR="007A5804" w14:paraId="0AD660E5" w14:textId="77777777">
        <w:trPr>
          <w:trHeight w:val="300"/>
        </w:trPr>
        <w:tc>
          <w:tcPr>
            <w:tcW w:w="9072" w:type="dxa"/>
            <w:tcBorders>
              <w:top w:val="nil"/>
              <w:left w:val="nil"/>
              <w:bottom w:val="nil"/>
              <w:right w:val="nil"/>
            </w:tcBorders>
            <w:noWrap/>
            <w:vAlign w:val="bottom"/>
            <w:hideMark/>
          </w:tcPr>
          <w:p w14:paraId="23DA5AB4" w14:textId="77777777" w:rsidR="007A5804" w:rsidRDefault="007B7723">
            <w:pPr>
              <w:pStyle w:val="P68B1DB1-Normal91"/>
            </w:pPr>
            <w:r>
              <w:t>CDCP LUX</w:t>
            </w:r>
          </w:p>
        </w:tc>
      </w:tr>
      <w:tr w:rsidR="00D23EBA" w14:paraId="5B3E1A3A" w14:textId="77777777">
        <w:trPr>
          <w:trHeight w:val="300"/>
        </w:trPr>
        <w:tc>
          <w:tcPr>
            <w:tcW w:w="9072" w:type="dxa"/>
            <w:tcBorders>
              <w:top w:val="nil"/>
              <w:left w:val="nil"/>
              <w:bottom w:val="nil"/>
              <w:right w:val="nil"/>
            </w:tcBorders>
            <w:noWrap/>
            <w:vAlign w:val="bottom"/>
            <w:hideMark/>
          </w:tcPr>
          <w:p w14:paraId="5D4FD8D4" w14:textId="7B578554" w:rsidR="00D23EBA" w:rsidRDefault="00D23EBA" w:rsidP="00D23EBA">
            <w:pPr>
              <w:pStyle w:val="P68B1DB1-Normal91"/>
            </w:pPr>
            <w:r w:rsidRPr="00F22F68">
              <w:t>Malta Clearing House</w:t>
            </w:r>
          </w:p>
        </w:tc>
      </w:tr>
      <w:tr w:rsidR="00D23EBA" w14:paraId="0739CAE8" w14:textId="77777777">
        <w:trPr>
          <w:trHeight w:val="300"/>
        </w:trPr>
        <w:tc>
          <w:tcPr>
            <w:tcW w:w="9072" w:type="dxa"/>
            <w:tcBorders>
              <w:top w:val="nil"/>
              <w:left w:val="nil"/>
              <w:bottom w:val="nil"/>
              <w:right w:val="nil"/>
            </w:tcBorders>
            <w:noWrap/>
            <w:vAlign w:val="bottom"/>
            <w:hideMark/>
          </w:tcPr>
          <w:p w14:paraId="7880FB68" w14:textId="67A2F2E1" w:rsidR="00D23EBA" w:rsidRDefault="00D23EBA" w:rsidP="00D23EBA">
            <w:pPr>
              <w:pStyle w:val="P68B1DB1-Normal91"/>
            </w:pPr>
            <w:r w:rsidRPr="00F22F68">
              <w:t>Malta Stock Exchange</w:t>
            </w:r>
          </w:p>
        </w:tc>
      </w:tr>
      <w:tr w:rsidR="007A5804" w14:paraId="1462AFD7" w14:textId="77777777">
        <w:trPr>
          <w:trHeight w:val="300"/>
        </w:trPr>
        <w:tc>
          <w:tcPr>
            <w:tcW w:w="9072" w:type="dxa"/>
            <w:tcBorders>
              <w:top w:val="nil"/>
              <w:left w:val="nil"/>
              <w:bottom w:val="nil"/>
              <w:right w:val="nil"/>
            </w:tcBorders>
            <w:noWrap/>
            <w:vAlign w:val="bottom"/>
            <w:hideMark/>
          </w:tcPr>
          <w:p w14:paraId="4F29DF27" w14:textId="77777777" w:rsidR="007A5804" w:rsidRDefault="007B7723">
            <w:pPr>
              <w:pStyle w:val="P68B1DB1-Normal91"/>
            </w:pPr>
            <w:r>
              <w:t>Malta Stock Exchange CSD</w:t>
            </w:r>
          </w:p>
        </w:tc>
      </w:tr>
      <w:tr w:rsidR="007A5804" w14:paraId="147A9AFE" w14:textId="77777777">
        <w:trPr>
          <w:trHeight w:val="300"/>
        </w:trPr>
        <w:tc>
          <w:tcPr>
            <w:tcW w:w="9072" w:type="dxa"/>
            <w:tcBorders>
              <w:top w:val="nil"/>
              <w:left w:val="nil"/>
              <w:bottom w:val="nil"/>
              <w:right w:val="nil"/>
            </w:tcBorders>
            <w:noWrap/>
            <w:vAlign w:val="bottom"/>
            <w:hideMark/>
          </w:tcPr>
          <w:p w14:paraId="29008853" w14:textId="77777777" w:rsidR="007A5804" w:rsidRDefault="007B7723">
            <w:pPr>
              <w:pStyle w:val="P68B1DB1-Normal91"/>
            </w:pPr>
            <w:r>
              <w:t>MEFF Sociedad Rectora de Productos Derivados S. A.</w:t>
            </w:r>
          </w:p>
        </w:tc>
      </w:tr>
      <w:tr w:rsidR="007A5804" w14:paraId="03A3D6E0" w14:textId="77777777">
        <w:trPr>
          <w:trHeight w:val="300"/>
        </w:trPr>
        <w:tc>
          <w:tcPr>
            <w:tcW w:w="9072" w:type="dxa"/>
            <w:tcBorders>
              <w:top w:val="nil"/>
              <w:left w:val="nil"/>
              <w:bottom w:val="nil"/>
              <w:right w:val="nil"/>
            </w:tcBorders>
            <w:noWrap/>
            <w:vAlign w:val="bottom"/>
            <w:hideMark/>
          </w:tcPr>
          <w:p w14:paraId="3E98B6A6" w14:textId="77777777" w:rsidR="007A5804" w:rsidRDefault="007B7723">
            <w:pPr>
              <w:pStyle w:val="P68B1DB1-Normal91"/>
            </w:pPr>
            <w:r>
              <w:t>Mercados de Deuda Pública en Anotaciones</w:t>
            </w:r>
          </w:p>
        </w:tc>
      </w:tr>
      <w:tr w:rsidR="007A5804" w14:paraId="51FA8AC8" w14:textId="77777777">
        <w:trPr>
          <w:trHeight w:val="300"/>
        </w:trPr>
        <w:tc>
          <w:tcPr>
            <w:tcW w:w="9072" w:type="dxa"/>
            <w:tcBorders>
              <w:top w:val="nil"/>
              <w:left w:val="nil"/>
              <w:bottom w:val="nil"/>
              <w:right w:val="nil"/>
            </w:tcBorders>
            <w:noWrap/>
            <w:vAlign w:val="bottom"/>
            <w:hideMark/>
          </w:tcPr>
          <w:p w14:paraId="3F76F750" w14:textId="77777777" w:rsidR="007A5804" w:rsidRDefault="007B7723">
            <w:pPr>
              <w:pStyle w:val="P68B1DB1-Normal91"/>
            </w:pPr>
            <w:r>
              <w:t>Monte Titoli</w:t>
            </w:r>
          </w:p>
        </w:tc>
      </w:tr>
      <w:tr w:rsidR="007A5804" w14:paraId="23805AA2" w14:textId="77777777">
        <w:trPr>
          <w:trHeight w:val="300"/>
        </w:trPr>
        <w:tc>
          <w:tcPr>
            <w:tcW w:w="9072" w:type="dxa"/>
            <w:tcBorders>
              <w:top w:val="nil"/>
              <w:left w:val="nil"/>
              <w:bottom w:val="nil"/>
              <w:right w:val="nil"/>
            </w:tcBorders>
            <w:noWrap/>
            <w:vAlign w:val="bottom"/>
            <w:hideMark/>
          </w:tcPr>
          <w:p w14:paraId="13AB08E1" w14:textId="77777777" w:rsidR="007A5804" w:rsidRDefault="007B7723">
            <w:pPr>
              <w:pStyle w:val="P68B1DB1-Normal91"/>
            </w:pPr>
            <w:r>
              <w:t>MTS</w:t>
            </w:r>
          </w:p>
        </w:tc>
      </w:tr>
      <w:tr w:rsidR="007A5804" w14:paraId="4149713C" w14:textId="77777777">
        <w:trPr>
          <w:trHeight w:val="300"/>
        </w:trPr>
        <w:tc>
          <w:tcPr>
            <w:tcW w:w="9072" w:type="dxa"/>
            <w:tcBorders>
              <w:top w:val="nil"/>
              <w:left w:val="nil"/>
              <w:bottom w:val="nil"/>
              <w:right w:val="nil"/>
            </w:tcBorders>
            <w:noWrap/>
            <w:vAlign w:val="bottom"/>
            <w:hideMark/>
          </w:tcPr>
          <w:p w14:paraId="0E21C9DA" w14:textId="714C9C3E" w:rsidR="007A5804" w:rsidRDefault="00D23EBA">
            <w:pPr>
              <w:pStyle w:val="P68B1DB1-Normal91"/>
            </w:pPr>
            <w:r w:rsidRPr="00A125B6">
              <w:t>Národný Centralny Depositar Cennych Papierov (nCDCP) as</w:t>
            </w:r>
          </w:p>
        </w:tc>
      </w:tr>
      <w:tr w:rsidR="007A5804" w14:paraId="7826A921" w14:textId="77777777">
        <w:trPr>
          <w:trHeight w:val="300"/>
        </w:trPr>
        <w:tc>
          <w:tcPr>
            <w:tcW w:w="9072" w:type="dxa"/>
            <w:tcBorders>
              <w:top w:val="nil"/>
              <w:left w:val="nil"/>
              <w:bottom w:val="nil"/>
              <w:right w:val="nil"/>
            </w:tcBorders>
            <w:noWrap/>
            <w:vAlign w:val="bottom"/>
            <w:hideMark/>
          </w:tcPr>
          <w:p w14:paraId="3989D7C0" w14:textId="77777777" w:rsidR="007A5804" w:rsidRDefault="007B7723">
            <w:pPr>
              <w:pStyle w:val="P68B1DB1-Normal91"/>
            </w:pPr>
            <w:r>
              <w:t>Nasdaq CSD SE</w:t>
            </w:r>
          </w:p>
        </w:tc>
      </w:tr>
      <w:tr w:rsidR="007A5804" w14:paraId="0F9127FC" w14:textId="77777777">
        <w:trPr>
          <w:trHeight w:val="300"/>
        </w:trPr>
        <w:tc>
          <w:tcPr>
            <w:tcW w:w="9072" w:type="dxa"/>
            <w:tcBorders>
              <w:top w:val="nil"/>
              <w:left w:val="nil"/>
              <w:bottom w:val="nil"/>
              <w:right w:val="nil"/>
            </w:tcBorders>
            <w:noWrap/>
            <w:vAlign w:val="bottom"/>
            <w:hideMark/>
          </w:tcPr>
          <w:p w14:paraId="7E3342A8" w14:textId="77777777" w:rsidR="007A5804" w:rsidRDefault="007B7723">
            <w:pPr>
              <w:pStyle w:val="P68B1DB1-Normal91"/>
            </w:pPr>
            <w:r>
              <w:t>Nasdaq Helsinki</w:t>
            </w:r>
          </w:p>
        </w:tc>
      </w:tr>
      <w:tr w:rsidR="007A5804" w14:paraId="794AA9C2" w14:textId="77777777">
        <w:trPr>
          <w:trHeight w:val="300"/>
        </w:trPr>
        <w:tc>
          <w:tcPr>
            <w:tcW w:w="9072" w:type="dxa"/>
            <w:tcBorders>
              <w:top w:val="nil"/>
              <w:left w:val="nil"/>
              <w:bottom w:val="nil"/>
              <w:right w:val="nil"/>
            </w:tcBorders>
            <w:noWrap/>
            <w:vAlign w:val="bottom"/>
            <w:hideMark/>
          </w:tcPr>
          <w:p w14:paraId="4EB7B940" w14:textId="77777777" w:rsidR="007A5804" w:rsidRDefault="007B7723">
            <w:pPr>
              <w:pStyle w:val="P68B1DB1-Normal91"/>
            </w:pPr>
            <w:r>
              <w:t>Klíring Nasdaq OMX</w:t>
            </w:r>
          </w:p>
        </w:tc>
      </w:tr>
      <w:tr w:rsidR="007A5804" w14:paraId="27B334A7" w14:textId="77777777">
        <w:trPr>
          <w:trHeight w:val="300"/>
        </w:trPr>
        <w:tc>
          <w:tcPr>
            <w:tcW w:w="9072" w:type="dxa"/>
            <w:tcBorders>
              <w:top w:val="nil"/>
              <w:left w:val="nil"/>
              <w:bottom w:val="nil"/>
              <w:right w:val="nil"/>
            </w:tcBorders>
            <w:noWrap/>
            <w:vAlign w:val="bottom"/>
            <w:hideMark/>
          </w:tcPr>
          <w:p w14:paraId="405F6BB1" w14:textId="77777777" w:rsidR="007A5804" w:rsidRDefault="007B7723">
            <w:pPr>
              <w:pStyle w:val="P68B1DB1-Normal91"/>
            </w:pPr>
            <w:r>
              <w:t>Nasdaq OMX Štokholm</w:t>
            </w:r>
          </w:p>
        </w:tc>
      </w:tr>
      <w:tr w:rsidR="007A5804" w14:paraId="5888CB72" w14:textId="77777777">
        <w:trPr>
          <w:trHeight w:val="300"/>
        </w:trPr>
        <w:tc>
          <w:tcPr>
            <w:tcW w:w="9072" w:type="dxa"/>
            <w:tcBorders>
              <w:top w:val="nil"/>
              <w:left w:val="nil"/>
              <w:bottom w:val="nil"/>
              <w:right w:val="nil"/>
            </w:tcBorders>
            <w:noWrap/>
            <w:vAlign w:val="bottom"/>
            <w:hideMark/>
          </w:tcPr>
          <w:p w14:paraId="20F7ABDC" w14:textId="2312F60E" w:rsidR="007A5804" w:rsidRDefault="00133A67">
            <w:pPr>
              <w:pStyle w:val="P68B1DB1-Normal91"/>
            </w:pPr>
            <w:r w:rsidRPr="00F22F68">
              <w:t>National Securities Clearing Corp.</w:t>
            </w:r>
            <w:r w:rsidDel="00133A67">
              <w:t xml:space="preserve"> </w:t>
            </w:r>
            <w:r>
              <w:t xml:space="preserve"> </w:t>
            </w:r>
            <w:r w:rsidR="007B7723">
              <w:t>(NSCC)</w:t>
            </w:r>
          </w:p>
        </w:tc>
      </w:tr>
      <w:tr w:rsidR="007A5804" w14:paraId="5E9C8F6D" w14:textId="77777777">
        <w:trPr>
          <w:trHeight w:val="300"/>
        </w:trPr>
        <w:tc>
          <w:tcPr>
            <w:tcW w:w="9072" w:type="dxa"/>
            <w:tcBorders>
              <w:top w:val="nil"/>
              <w:left w:val="nil"/>
              <w:bottom w:val="nil"/>
              <w:right w:val="nil"/>
            </w:tcBorders>
            <w:noWrap/>
            <w:vAlign w:val="bottom"/>
            <w:hideMark/>
          </w:tcPr>
          <w:p w14:paraId="12F1BAEB" w14:textId="77777777" w:rsidR="007A5804" w:rsidRDefault="007B7723">
            <w:pPr>
              <w:pStyle w:val="P68B1DB1-Normal91"/>
            </w:pPr>
            <w:r>
              <w:t>NBB SSS</w:t>
            </w:r>
          </w:p>
        </w:tc>
      </w:tr>
      <w:tr w:rsidR="007A5804" w14:paraId="5DFC5D23" w14:textId="77777777">
        <w:trPr>
          <w:trHeight w:val="300"/>
        </w:trPr>
        <w:tc>
          <w:tcPr>
            <w:tcW w:w="9072" w:type="dxa"/>
            <w:tcBorders>
              <w:top w:val="nil"/>
              <w:left w:val="nil"/>
              <w:bottom w:val="nil"/>
              <w:right w:val="nil"/>
            </w:tcBorders>
            <w:noWrap/>
            <w:vAlign w:val="bottom"/>
            <w:hideMark/>
          </w:tcPr>
          <w:p w14:paraId="3737426F" w14:textId="2976308F" w:rsidR="007A5804" w:rsidRDefault="00D23EBA">
            <w:pPr>
              <w:pStyle w:val="P68B1DB1-Normal91"/>
            </w:pPr>
            <w:r>
              <w:t xml:space="preserve">NBP </w:t>
            </w:r>
            <w:r w:rsidRPr="00F22F68">
              <w:t>bills and treasury bills Register</w:t>
            </w:r>
            <w:r>
              <w:t xml:space="preserve"> </w:t>
            </w:r>
          </w:p>
        </w:tc>
      </w:tr>
      <w:tr w:rsidR="007A5804" w14:paraId="1FC22E5F" w14:textId="77777777">
        <w:trPr>
          <w:trHeight w:val="300"/>
        </w:trPr>
        <w:tc>
          <w:tcPr>
            <w:tcW w:w="9072" w:type="dxa"/>
            <w:tcBorders>
              <w:top w:val="nil"/>
              <w:left w:val="nil"/>
              <w:bottom w:val="nil"/>
              <w:right w:val="nil"/>
            </w:tcBorders>
            <w:noWrap/>
            <w:vAlign w:val="bottom"/>
            <w:hideMark/>
          </w:tcPr>
          <w:p w14:paraId="358DE620" w14:textId="77777777" w:rsidR="007A5804" w:rsidRDefault="007B7723">
            <w:pPr>
              <w:pStyle w:val="P68B1DB1-Normal91"/>
            </w:pPr>
            <w:r>
              <w:t>NEX Abide Trade Repository AB</w:t>
            </w:r>
          </w:p>
        </w:tc>
      </w:tr>
      <w:tr w:rsidR="007A5804" w14:paraId="1362AFBF" w14:textId="77777777">
        <w:trPr>
          <w:trHeight w:val="300"/>
        </w:trPr>
        <w:tc>
          <w:tcPr>
            <w:tcW w:w="9072" w:type="dxa"/>
            <w:tcBorders>
              <w:top w:val="nil"/>
              <w:left w:val="nil"/>
              <w:bottom w:val="nil"/>
              <w:right w:val="nil"/>
            </w:tcBorders>
            <w:noWrap/>
            <w:vAlign w:val="bottom"/>
            <w:hideMark/>
          </w:tcPr>
          <w:p w14:paraId="7779B6B2" w14:textId="21648EBD" w:rsidR="007A5804" w:rsidRDefault="007B7723">
            <w:pPr>
              <w:pStyle w:val="P68B1DB1-Normal91"/>
            </w:pPr>
            <w:r>
              <w:t>NIC (</w:t>
            </w:r>
            <w:r w:rsidR="00D23EBA" w:rsidRPr="00F22F68">
              <w:t>Norwegian Inter Bank Clearing System</w:t>
            </w:r>
            <w:r w:rsidR="00D23EBA">
              <w:t xml:space="preserve">, </w:t>
            </w:r>
            <w:r>
              <w:t>nórsky medzibankový zúčtovací systém)</w:t>
            </w:r>
          </w:p>
        </w:tc>
      </w:tr>
      <w:tr w:rsidR="007A5804" w14:paraId="403EDEA1" w14:textId="77777777">
        <w:trPr>
          <w:trHeight w:val="300"/>
        </w:trPr>
        <w:tc>
          <w:tcPr>
            <w:tcW w:w="9072" w:type="dxa"/>
            <w:tcBorders>
              <w:top w:val="nil"/>
              <w:left w:val="nil"/>
              <w:bottom w:val="nil"/>
              <w:right w:val="nil"/>
            </w:tcBorders>
            <w:noWrap/>
            <w:vAlign w:val="bottom"/>
            <w:hideMark/>
          </w:tcPr>
          <w:p w14:paraId="4BFCE736" w14:textId="36319DA4" w:rsidR="007A5804" w:rsidRDefault="007B7723">
            <w:pPr>
              <w:pStyle w:val="P68B1DB1-Normal91"/>
            </w:pPr>
            <w:r>
              <w:lastRenderedPageBreak/>
              <w:t>NKS (</w:t>
            </w:r>
            <w:r w:rsidR="00D23EBA" w:rsidRPr="00D23EBA">
              <w:t>National Clearing System</w:t>
            </w:r>
            <w:r>
              <w:t>)/EuroNKS</w:t>
            </w:r>
          </w:p>
        </w:tc>
      </w:tr>
      <w:tr w:rsidR="007A5804" w14:paraId="72370490" w14:textId="77777777">
        <w:trPr>
          <w:trHeight w:val="300"/>
        </w:trPr>
        <w:tc>
          <w:tcPr>
            <w:tcW w:w="9072" w:type="dxa"/>
            <w:tcBorders>
              <w:top w:val="nil"/>
              <w:left w:val="nil"/>
              <w:bottom w:val="nil"/>
              <w:right w:val="nil"/>
            </w:tcBorders>
            <w:noWrap/>
            <w:vAlign w:val="bottom"/>
            <w:hideMark/>
          </w:tcPr>
          <w:p w14:paraId="46EFA26D" w14:textId="28795F31" w:rsidR="007A5804" w:rsidRDefault="007B7723">
            <w:pPr>
              <w:pStyle w:val="P68B1DB1-Normal91"/>
            </w:pPr>
            <w:r>
              <w:t>NYSE Euronext Par</w:t>
            </w:r>
            <w:r w:rsidR="00D23EBA">
              <w:t>is</w:t>
            </w:r>
          </w:p>
        </w:tc>
      </w:tr>
      <w:tr w:rsidR="007A5804" w14:paraId="5FB1C2FE" w14:textId="77777777">
        <w:trPr>
          <w:trHeight w:val="300"/>
        </w:trPr>
        <w:tc>
          <w:tcPr>
            <w:tcW w:w="9072" w:type="dxa"/>
            <w:tcBorders>
              <w:top w:val="nil"/>
              <w:left w:val="nil"/>
              <w:bottom w:val="nil"/>
              <w:right w:val="nil"/>
            </w:tcBorders>
            <w:noWrap/>
            <w:vAlign w:val="bottom"/>
            <w:hideMark/>
          </w:tcPr>
          <w:p w14:paraId="43B707C4" w14:textId="77777777" w:rsidR="007A5804" w:rsidRDefault="007B7723">
            <w:pPr>
              <w:pStyle w:val="P68B1DB1-Normal91"/>
            </w:pPr>
            <w:r>
              <w:t>OeKB CSD GmbH (WSB System)</w:t>
            </w:r>
          </w:p>
        </w:tc>
      </w:tr>
      <w:tr w:rsidR="007A5804" w14:paraId="297ECE0B" w14:textId="77777777">
        <w:trPr>
          <w:trHeight w:val="300"/>
        </w:trPr>
        <w:tc>
          <w:tcPr>
            <w:tcW w:w="9072" w:type="dxa"/>
            <w:tcBorders>
              <w:top w:val="nil"/>
              <w:left w:val="nil"/>
              <w:bottom w:val="nil"/>
              <w:right w:val="nil"/>
            </w:tcBorders>
            <w:noWrap/>
            <w:vAlign w:val="bottom"/>
            <w:hideMark/>
          </w:tcPr>
          <w:p w14:paraId="41926D7B" w14:textId="77777777" w:rsidR="007A5804" w:rsidRDefault="007B7723">
            <w:pPr>
              <w:pStyle w:val="P68B1DB1-Normal91"/>
            </w:pPr>
            <w:r>
              <w:t>OMI Clear</w:t>
            </w:r>
          </w:p>
        </w:tc>
      </w:tr>
      <w:tr w:rsidR="007A5804" w14:paraId="786A0182" w14:textId="77777777">
        <w:trPr>
          <w:trHeight w:val="300"/>
        </w:trPr>
        <w:tc>
          <w:tcPr>
            <w:tcW w:w="9072" w:type="dxa"/>
            <w:tcBorders>
              <w:top w:val="nil"/>
              <w:left w:val="nil"/>
              <w:bottom w:val="nil"/>
              <w:right w:val="nil"/>
            </w:tcBorders>
            <w:noWrap/>
            <w:vAlign w:val="bottom"/>
            <w:hideMark/>
          </w:tcPr>
          <w:p w14:paraId="00B344FB" w14:textId="5345A0A2" w:rsidR="007A5804" w:rsidRDefault="00133A67">
            <w:pPr>
              <w:pStyle w:val="P68B1DB1-Normal91"/>
            </w:pPr>
            <w:r w:rsidRPr="00F22F68">
              <w:t>POPS</w:t>
            </w:r>
          </w:p>
        </w:tc>
      </w:tr>
      <w:tr w:rsidR="007A5804" w14:paraId="560CA6B2" w14:textId="77777777">
        <w:trPr>
          <w:trHeight w:val="300"/>
        </w:trPr>
        <w:tc>
          <w:tcPr>
            <w:tcW w:w="9072" w:type="dxa"/>
            <w:tcBorders>
              <w:top w:val="nil"/>
              <w:left w:val="nil"/>
              <w:bottom w:val="nil"/>
              <w:right w:val="nil"/>
            </w:tcBorders>
            <w:noWrap/>
            <w:vAlign w:val="bottom"/>
            <w:hideMark/>
          </w:tcPr>
          <w:p w14:paraId="15C8DE81" w14:textId="77777777" w:rsidR="007A5804" w:rsidRDefault="007B7723">
            <w:pPr>
              <w:pStyle w:val="P68B1DB1-Normal91"/>
            </w:pPr>
            <w:r>
              <w:t>REGIS</w:t>
            </w:r>
          </w:p>
        </w:tc>
      </w:tr>
      <w:tr w:rsidR="007A5804" w14:paraId="185A7956" w14:textId="77777777">
        <w:trPr>
          <w:trHeight w:val="300"/>
        </w:trPr>
        <w:tc>
          <w:tcPr>
            <w:tcW w:w="9072" w:type="dxa"/>
            <w:tcBorders>
              <w:top w:val="nil"/>
              <w:left w:val="nil"/>
              <w:bottom w:val="nil"/>
              <w:right w:val="nil"/>
            </w:tcBorders>
            <w:noWrap/>
            <w:vAlign w:val="bottom"/>
            <w:hideMark/>
          </w:tcPr>
          <w:p w14:paraId="3E63DE78" w14:textId="77777777" w:rsidR="007A5804" w:rsidRDefault="007B7723">
            <w:pPr>
              <w:pStyle w:val="P68B1DB1-Normal91"/>
            </w:pPr>
            <w:r>
              <w:t>Regis-TR</w:t>
            </w:r>
          </w:p>
        </w:tc>
      </w:tr>
      <w:tr w:rsidR="007A5804" w14:paraId="751DD516" w14:textId="77777777">
        <w:trPr>
          <w:trHeight w:val="300"/>
        </w:trPr>
        <w:tc>
          <w:tcPr>
            <w:tcW w:w="9072" w:type="dxa"/>
            <w:tcBorders>
              <w:top w:val="nil"/>
              <w:left w:val="nil"/>
              <w:bottom w:val="nil"/>
              <w:right w:val="nil"/>
            </w:tcBorders>
            <w:noWrap/>
            <w:vAlign w:val="bottom"/>
            <w:hideMark/>
          </w:tcPr>
          <w:p w14:paraId="61EDA69E" w14:textId="31304BC8" w:rsidR="007A5804" w:rsidRDefault="00133A67">
            <w:pPr>
              <w:pStyle w:val="P68B1DB1-Normal91"/>
            </w:pPr>
            <w:r w:rsidRPr="00F22F68">
              <w:t>RINGS (Real-time INterbank Gross-settlement System)</w:t>
            </w:r>
          </w:p>
        </w:tc>
      </w:tr>
      <w:tr w:rsidR="007A5804" w14:paraId="3DA52EFD" w14:textId="77777777">
        <w:trPr>
          <w:trHeight w:val="300"/>
        </w:trPr>
        <w:tc>
          <w:tcPr>
            <w:tcW w:w="9072" w:type="dxa"/>
            <w:tcBorders>
              <w:top w:val="nil"/>
              <w:left w:val="nil"/>
              <w:bottom w:val="nil"/>
              <w:right w:val="nil"/>
            </w:tcBorders>
            <w:noWrap/>
            <w:vAlign w:val="bottom"/>
            <w:hideMark/>
          </w:tcPr>
          <w:p w14:paraId="14849718" w14:textId="77777777" w:rsidR="007A5804" w:rsidRDefault="007B7723">
            <w:pPr>
              <w:pStyle w:val="P68B1DB1-Normal91"/>
            </w:pPr>
            <w:r>
              <w:t>RIX</w:t>
            </w:r>
          </w:p>
        </w:tc>
      </w:tr>
      <w:tr w:rsidR="007A5804" w14:paraId="2F5941C3" w14:textId="77777777">
        <w:trPr>
          <w:trHeight w:val="300"/>
        </w:trPr>
        <w:tc>
          <w:tcPr>
            <w:tcW w:w="9072" w:type="dxa"/>
            <w:tcBorders>
              <w:top w:val="nil"/>
              <w:left w:val="nil"/>
              <w:bottom w:val="nil"/>
              <w:right w:val="nil"/>
            </w:tcBorders>
            <w:noWrap/>
            <w:vAlign w:val="bottom"/>
            <w:hideMark/>
          </w:tcPr>
          <w:p w14:paraId="05086D64" w14:textId="77777777" w:rsidR="007A5804" w:rsidRDefault="007B7723">
            <w:pPr>
              <w:pStyle w:val="P68B1DB1-Normal91"/>
            </w:pPr>
            <w:r>
              <w:t>RM-SYSTEM Česká burza cenných papierov</w:t>
            </w:r>
          </w:p>
        </w:tc>
      </w:tr>
      <w:tr w:rsidR="007A5804" w14:paraId="4785EAE5" w14:textId="77777777">
        <w:trPr>
          <w:trHeight w:val="300"/>
        </w:trPr>
        <w:tc>
          <w:tcPr>
            <w:tcW w:w="9072" w:type="dxa"/>
            <w:tcBorders>
              <w:top w:val="nil"/>
              <w:left w:val="nil"/>
              <w:bottom w:val="nil"/>
              <w:right w:val="nil"/>
            </w:tcBorders>
            <w:noWrap/>
            <w:vAlign w:val="bottom"/>
            <w:hideMark/>
          </w:tcPr>
          <w:p w14:paraId="0E3CA4AB" w14:textId="77777777" w:rsidR="007A5804" w:rsidRDefault="007B7723">
            <w:pPr>
              <w:pStyle w:val="P68B1DB1-Normal91"/>
            </w:pPr>
            <w:r>
              <w:t>RoClear</w:t>
            </w:r>
          </w:p>
        </w:tc>
      </w:tr>
      <w:tr w:rsidR="007A5804" w14:paraId="16348C32" w14:textId="77777777">
        <w:trPr>
          <w:trHeight w:val="300"/>
        </w:trPr>
        <w:tc>
          <w:tcPr>
            <w:tcW w:w="9072" w:type="dxa"/>
            <w:tcBorders>
              <w:top w:val="nil"/>
              <w:left w:val="nil"/>
              <w:bottom w:val="nil"/>
              <w:right w:val="nil"/>
            </w:tcBorders>
            <w:noWrap/>
            <w:vAlign w:val="bottom"/>
            <w:hideMark/>
          </w:tcPr>
          <w:p w14:paraId="7791248F" w14:textId="77777777" w:rsidR="007A5804" w:rsidRDefault="007B7723">
            <w:pPr>
              <w:pStyle w:val="P68B1DB1-Normal91"/>
            </w:pPr>
            <w:r>
              <w:t>RPK</w:t>
            </w:r>
          </w:p>
        </w:tc>
      </w:tr>
      <w:tr w:rsidR="007A5804" w14:paraId="201CD5B7" w14:textId="77777777">
        <w:trPr>
          <w:trHeight w:val="300"/>
        </w:trPr>
        <w:tc>
          <w:tcPr>
            <w:tcW w:w="9072" w:type="dxa"/>
            <w:tcBorders>
              <w:top w:val="nil"/>
              <w:left w:val="nil"/>
              <w:bottom w:val="nil"/>
              <w:right w:val="nil"/>
            </w:tcBorders>
            <w:noWrap/>
            <w:vAlign w:val="bottom"/>
            <w:hideMark/>
          </w:tcPr>
          <w:p w14:paraId="78F31295" w14:textId="77777777" w:rsidR="007A5804" w:rsidRDefault="007B7723">
            <w:pPr>
              <w:pStyle w:val="P68B1DB1-Normal91"/>
            </w:pPr>
            <w:r>
              <w:t>RT1</w:t>
            </w:r>
          </w:p>
        </w:tc>
      </w:tr>
      <w:tr w:rsidR="007A5804" w14:paraId="5D6D4D2F" w14:textId="77777777">
        <w:trPr>
          <w:trHeight w:val="300"/>
        </w:trPr>
        <w:tc>
          <w:tcPr>
            <w:tcW w:w="9072" w:type="dxa"/>
            <w:tcBorders>
              <w:top w:val="nil"/>
              <w:left w:val="nil"/>
              <w:bottom w:val="nil"/>
              <w:right w:val="nil"/>
            </w:tcBorders>
            <w:noWrap/>
            <w:vAlign w:val="bottom"/>
            <w:hideMark/>
          </w:tcPr>
          <w:p w14:paraId="0D3FA36D" w14:textId="77777777" w:rsidR="007A5804" w:rsidRDefault="007B7723">
            <w:pPr>
              <w:pStyle w:val="P68B1DB1-Normal91"/>
            </w:pPr>
            <w:r>
              <w:t>SAFIR</w:t>
            </w:r>
          </w:p>
        </w:tc>
      </w:tr>
      <w:tr w:rsidR="007A5804" w14:paraId="683945A8" w14:textId="77777777">
        <w:trPr>
          <w:trHeight w:val="300"/>
        </w:trPr>
        <w:tc>
          <w:tcPr>
            <w:tcW w:w="9072" w:type="dxa"/>
            <w:tcBorders>
              <w:top w:val="nil"/>
              <w:left w:val="nil"/>
              <w:bottom w:val="nil"/>
              <w:right w:val="nil"/>
            </w:tcBorders>
            <w:noWrap/>
            <w:vAlign w:val="bottom"/>
            <w:hideMark/>
          </w:tcPr>
          <w:p w14:paraId="4536F3F1" w14:textId="24D804D6" w:rsidR="007A5804" w:rsidRDefault="00D23EBA">
            <w:pPr>
              <w:pStyle w:val="P68B1DB1-Normal91"/>
            </w:pPr>
            <w:r>
              <w:t>SENT</w:t>
            </w:r>
          </w:p>
        </w:tc>
      </w:tr>
      <w:tr w:rsidR="007A5804" w14:paraId="37207CC9" w14:textId="77777777">
        <w:trPr>
          <w:trHeight w:val="300"/>
        </w:trPr>
        <w:tc>
          <w:tcPr>
            <w:tcW w:w="9072" w:type="dxa"/>
            <w:tcBorders>
              <w:top w:val="nil"/>
              <w:left w:val="nil"/>
              <w:bottom w:val="nil"/>
              <w:right w:val="nil"/>
            </w:tcBorders>
            <w:noWrap/>
            <w:vAlign w:val="bottom"/>
            <w:hideMark/>
          </w:tcPr>
          <w:p w14:paraId="78322774" w14:textId="77777777" w:rsidR="007A5804" w:rsidRDefault="007B7723">
            <w:pPr>
              <w:pStyle w:val="P68B1DB1-Normal91"/>
            </w:pPr>
            <w:r>
              <w:t>SICOI</w:t>
            </w:r>
          </w:p>
        </w:tc>
      </w:tr>
      <w:tr w:rsidR="007A5804" w14:paraId="20A1D4E0" w14:textId="77777777">
        <w:trPr>
          <w:trHeight w:val="300"/>
        </w:trPr>
        <w:tc>
          <w:tcPr>
            <w:tcW w:w="9072" w:type="dxa"/>
            <w:tcBorders>
              <w:top w:val="nil"/>
              <w:left w:val="nil"/>
              <w:bottom w:val="nil"/>
              <w:right w:val="nil"/>
            </w:tcBorders>
            <w:noWrap/>
            <w:vAlign w:val="bottom"/>
            <w:hideMark/>
          </w:tcPr>
          <w:p w14:paraId="745FF75E" w14:textId="77777777" w:rsidR="007A5804" w:rsidRDefault="007B7723">
            <w:pPr>
              <w:pStyle w:val="P68B1DB1-Normal91"/>
            </w:pPr>
            <w:r>
              <w:t>SIMP – PS</w:t>
            </w:r>
          </w:p>
        </w:tc>
      </w:tr>
      <w:tr w:rsidR="007A5804" w14:paraId="1F8A8F25" w14:textId="77777777">
        <w:trPr>
          <w:trHeight w:val="300"/>
        </w:trPr>
        <w:tc>
          <w:tcPr>
            <w:tcW w:w="9072" w:type="dxa"/>
            <w:tcBorders>
              <w:top w:val="nil"/>
              <w:left w:val="nil"/>
              <w:bottom w:val="nil"/>
              <w:right w:val="nil"/>
            </w:tcBorders>
            <w:noWrap/>
            <w:vAlign w:val="bottom"/>
            <w:hideMark/>
          </w:tcPr>
          <w:p w14:paraId="7B70556F" w14:textId="0E3E3CAB" w:rsidR="007A5804" w:rsidRDefault="007B7723">
            <w:pPr>
              <w:pStyle w:val="P68B1DB1-Normal91"/>
            </w:pPr>
            <w:r>
              <w:t>SIPS</w:t>
            </w:r>
            <w:r w:rsidR="00133A67">
              <w:t xml:space="preserve"> </w:t>
            </w:r>
            <w:r>
              <w:t>Platobný systém</w:t>
            </w:r>
          </w:p>
        </w:tc>
      </w:tr>
      <w:tr w:rsidR="007A5804" w14:paraId="661159A9" w14:textId="77777777">
        <w:trPr>
          <w:trHeight w:val="300"/>
        </w:trPr>
        <w:tc>
          <w:tcPr>
            <w:tcW w:w="9072" w:type="dxa"/>
            <w:tcBorders>
              <w:top w:val="nil"/>
              <w:left w:val="nil"/>
              <w:bottom w:val="nil"/>
              <w:right w:val="nil"/>
            </w:tcBorders>
            <w:noWrap/>
            <w:vAlign w:val="bottom"/>
            <w:hideMark/>
          </w:tcPr>
          <w:p w14:paraId="21A22FD2" w14:textId="04AA2512" w:rsidR="007A5804" w:rsidRDefault="00133A67">
            <w:pPr>
              <w:pStyle w:val="P68B1DB1-Normal91"/>
            </w:pPr>
            <w:r w:rsidRPr="00F22F68">
              <w:t>SIX</w:t>
            </w:r>
          </w:p>
        </w:tc>
      </w:tr>
      <w:tr w:rsidR="00133A67" w14:paraId="01B00784" w14:textId="77777777">
        <w:trPr>
          <w:trHeight w:val="300"/>
        </w:trPr>
        <w:tc>
          <w:tcPr>
            <w:tcW w:w="9072" w:type="dxa"/>
            <w:tcBorders>
              <w:top w:val="nil"/>
              <w:left w:val="nil"/>
              <w:bottom w:val="nil"/>
              <w:right w:val="nil"/>
            </w:tcBorders>
            <w:noWrap/>
            <w:vAlign w:val="bottom"/>
            <w:hideMark/>
          </w:tcPr>
          <w:p w14:paraId="42A9A872" w14:textId="0E5CD8D1" w:rsidR="00133A67" w:rsidRDefault="00133A67" w:rsidP="00133A67">
            <w:pPr>
              <w:pStyle w:val="P68B1DB1-Normal91"/>
            </w:pPr>
            <w:r w:rsidRPr="00F22F68">
              <w:t>SIX InterbankClearing (SIC)/EuroSIC</w:t>
            </w:r>
          </w:p>
        </w:tc>
      </w:tr>
      <w:tr w:rsidR="00133A67" w14:paraId="4AB76E2F" w14:textId="77777777">
        <w:trPr>
          <w:trHeight w:val="300"/>
        </w:trPr>
        <w:tc>
          <w:tcPr>
            <w:tcW w:w="9072" w:type="dxa"/>
            <w:tcBorders>
              <w:top w:val="nil"/>
              <w:left w:val="nil"/>
              <w:bottom w:val="nil"/>
              <w:right w:val="nil"/>
            </w:tcBorders>
            <w:noWrap/>
            <w:vAlign w:val="bottom"/>
            <w:hideMark/>
          </w:tcPr>
          <w:p w14:paraId="591D0E38" w14:textId="1AF68306" w:rsidR="00133A67" w:rsidRDefault="00133A67" w:rsidP="00133A67">
            <w:pPr>
              <w:pStyle w:val="P68B1DB1-Normal91"/>
            </w:pPr>
            <w:r w:rsidRPr="00F22F68">
              <w:t>SIX Swiss Exchange</w:t>
            </w:r>
          </w:p>
        </w:tc>
      </w:tr>
      <w:tr w:rsidR="00133A67" w14:paraId="0FE15923" w14:textId="77777777">
        <w:trPr>
          <w:trHeight w:val="300"/>
        </w:trPr>
        <w:tc>
          <w:tcPr>
            <w:tcW w:w="9072" w:type="dxa"/>
            <w:tcBorders>
              <w:top w:val="nil"/>
              <w:left w:val="nil"/>
              <w:bottom w:val="nil"/>
              <w:right w:val="nil"/>
            </w:tcBorders>
            <w:noWrap/>
            <w:vAlign w:val="bottom"/>
            <w:hideMark/>
          </w:tcPr>
          <w:p w14:paraId="7A0AEADF" w14:textId="7E0D4063" w:rsidR="00133A67" w:rsidRDefault="00133A67" w:rsidP="00133A67">
            <w:pPr>
              <w:pStyle w:val="P68B1DB1-Normal91"/>
            </w:pPr>
            <w:r w:rsidRPr="00F22F68">
              <w:t>SIX x-clear</w:t>
            </w:r>
          </w:p>
        </w:tc>
      </w:tr>
      <w:tr w:rsidR="007A5804" w14:paraId="58C9ED3B" w14:textId="77777777">
        <w:trPr>
          <w:trHeight w:val="300"/>
        </w:trPr>
        <w:tc>
          <w:tcPr>
            <w:tcW w:w="9072" w:type="dxa"/>
            <w:tcBorders>
              <w:top w:val="nil"/>
              <w:left w:val="nil"/>
              <w:bottom w:val="nil"/>
              <w:right w:val="nil"/>
            </w:tcBorders>
            <w:noWrap/>
            <w:vAlign w:val="bottom"/>
            <w:hideMark/>
          </w:tcPr>
          <w:p w14:paraId="53254B63" w14:textId="77777777" w:rsidR="007A5804" w:rsidRDefault="007B7723">
            <w:pPr>
              <w:pStyle w:val="P68B1DB1-Normal91"/>
            </w:pPr>
            <w:r>
              <w:t>SKD (systém krátkodobých dlhopisov)</w:t>
            </w:r>
          </w:p>
        </w:tc>
      </w:tr>
      <w:tr w:rsidR="007A5804" w14:paraId="479A72E9" w14:textId="77777777">
        <w:trPr>
          <w:trHeight w:val="300"/>
        </w:trPr>
        <w:tc>
          <w:tcPr>
            <w:tcW w:w="9072" w:type="dxa"/>
            <w:tcBorders>
              <w:top w:val="nil"/>
              <w:left w:val="nil"/>
              <w:bottom w:val="nil"/>
              <w:right w:val="nil"/>
            </w:tcBorders>
            <w:noWrap/>
            <w:vAlign w:val="bottom"/>
            <w:hideMark/>
          </w:tcPr>
          <w:p w14:paraId="559EC939" w14:textId="77777777" w:rsidR="007A5804" w:rsidRDefault="007B7723">
            <w:pPr>
              <w:pStyle w:val="P68B1DB1-Normal91"/>
            </w:pPr>
            <w:r>
              <w:t>SNCE (Sistema Nacional de Compensación Electrónica)</w:t>
            </w:r>
          </w:p>
        </w:tc>
      </w:tr>
      <w:tr w:rsidR="007A5804" w14:paraId="61D37C20" w14:textId="77777777">
        <w:trPr>
          <w:trHeight w:val="300"/>
        </w:trPr>
        <w:tc>
          <w:tcPr>
            <w:tcW w:w="9072" w:type="dxa"/>
            <w:tcBorders>
              <w:top w:val="nil"/>
              <w:left w:val="nil"/>
              <w:bottom w:val="nil"/>
              <w:right w:val="nil"/>
            </w:tcBorders>
            <w:noWrap/>
            <w:vAlign w:val="bottom"/>
            <w:hideMark/>
          </w:tcPr>
          <w:p w14:paraId="0B37415E" w14:textId="77777777" w:rsidR="007A5804" w:rsidRDefault="007B7723">
            <w:pPr>
              <w:pStyle w:val="P68B1DB1-Normal91"/>
            </w:pPr>
            <w:r>
              <w:t>Société de la Bourse du Luxembourg SA</w:t>
            </w:r>
          </w:p>
        </w:tc>
      </w:tr>
      <w:tr w:rsidR="007A5804" w14:paraId="09E4F71F" w14:textId="77777777">
        <w:trPr>
          <w:trHeight w:val="300"/>
        </w:trPr>
        <w:tc>
          <w:tcPr>
            <w:tcW w:w="9072" w:type="dxa"/>
            <w:tcBorders>
              <w:top w:val="nil"/>
              <w:left w:val="nil"/>
              <w:bottom w:val="nil"/>
              <w:right w:val="nil"/>
            </w:tcBorders>
            <w:noWrap/>
            <w:vAlign w:val="bottom"/>
            <w:hideMark/>
          </w:tcPr>
          <w:p w14:paraId="094DD4AF" w14:textId="77777777" w:rsidR="007A5804" w:rsidRDefault="007B7723">
            <w:pPr>
              <w:pStyle w:val="P68B1DB1-Normal91"/>
            </w:pPr>
            <w:r>
              <w:t>SORBNET2</w:t>
            </w:r>
          </w:p>
        </w:tc>
      </w:tr>
      <w:tr w:rsidR="00133A67" w14:paraId="1E86EA3A" w14:textId="77777777">
        <w:trPr>
          <w:trHeight w:val="300"/>
        </w:trPr>
        <w:tc>
          <w:tcPr>
            <w:tcW w:w="9072" w:type="dxa"/>
            <w:tcBorders>
              <w:top w:val="nil"/>
              <w:left w:val="nil"/>
              <w:bottom w:val="nil"/>
              <w:right w:val="nil"/>
            </w:tcBorders>
            <w:noWrap/>
            <w:vAlign w:val="bottom"/>
            <w:hideMark/>
          </w:tcPr>
          <w:p w14:paraId="2FE926EC" w14:textId="5D6C138B" w:rsidR="00133A67" w:rsidRDefault="00133A67" w:rsidP="00133A67">
            <w:pPr>
              <w:pStyle w:val="P68B1DB1-Normal91"/>
            </w:pPr>
            <w:r w:rsidRPr="00F22F68">
              <w:t>STEP 1</w:t>
            </w:r>
          </w:p>
        </w:tc>
      </w:tr>
      <w:tr w:rsidR="00133A67" w14:paraId="4A3D7A33" w14:textId="77777777">
        <w:trPr>
          <w:trHeight w:val="300"/>
        </w:trPr>
        <w:tc>
          <w:tcPr>
            <w:tcW w:w="9072" w:type="dxa"/>
            <w:tcBorders>
              <w:top w:val="nil"/>
              <w:left w:val="nil"/>
              <w:bottom w:val="nil"/>
              <w:right w:val="nil"/>
            </w:tcBorders>
            <w:noWrap/>
            <w:vAlign w:val="bottom"/>
            <w:hideMark/>
          </w:tcPr>
          <w:p w14:paraId="38D47947" w14:textId="1636A5D2" w:rsidR="00133A67" w:rsidRDefault="00133A67" w:rsidP="00133A67">
            <w:pPr>
              <w:pStyle w:val="P68B1DB1-Normal91"/>
            </w:pPr>
            <w:r w:rsidRPr="00F22F68">
              <w:t>STEP 2</w:t>
            </w:r>
          </w:p>
        </w:tc>
      </w:tr>
      <w:tr w:rsidR="007A5804" w14:paraId="305AEF07" w14:textId="77777777">
        <w:trPr>
          <w:trHeight w:val="300"/>
        </w:trPr>
        <w:tc>
          <w:tcPr>
            <w:tcW w:w="9072" w:type="dxa"/>
            <w:tcBorders>
              <w:top w:val="nil"/>
              <w:left w:val="nil"/>
              <w:bottom w:val="nil"/>
              <w:right w:val="nil"/>
            </w:tcBorders>
            <w:noWrap/>
            <w:vAlign w:val="bottom"/>
            <w:hideMark/>
          </w:tcPr>
          <w:p w14:paraId="3385D576" w14:textId="49843976" w:rsidR="007A5804" w:rsidRDefault="00133A67">
            <w:pPr>
              <w:pStyle w:val="P68B1DB1-Normal91"/>
            </w:pPr>
            <w:r w:rsidRPr="00F22F68">
              <w:t>STET/CORE</w:t>
            </w:r>
          </w:p>
        </w:tc>
      </w:tr>
      <w:tr w:rsidR="007A5804" w14:paraId="68530B39" w14:textId="77777777">
        <w:trPr>
          <w:trHeight w:val="300"/>
        </w:trPr>
        <w:tc>
          <w:tcPr>
            <w:tcW w:w="9072" w:type="dxa"/>
            <w:tcBorders>
              <w:top w:val="nil"/>
              <w:left w:val="nil"/>
              <w:bottom w:val="nil"/>
              <w:right w:val="nil"/>
            </w:tcBorders>
            <w:noWrap/>
            <w:vAlign w:val="bottom"/>
            <w:hideMark/>
          </w:tcPr>
          <w:p w14:paraId="2B90AD3F" w14:textId="77777777" w:rsidR="007A5804" w:rsidRDefault="007B7723">
            <w:pPr>
              <w:pStyle w:val="P68B1DB1-Normal91"/>
            </w:pPr>
            <w:r>
              <w:t>Straksclearingen</w:t>
            </w:r>
          </w:p>
        </w:tc>
      </w:tr>
      <w:tr w:rsidR="007A5804" w14:paraId="0E50A9AB" w14:textId="77777777">
        <w:trPr>
          <w:trHeight w:val="300"/>
        </w:trPr>
        <w:tc>
          <w:tcPr>
            <w:tcW w:w="9072" w:type="dxa"/>
            <w:tcBorders>
              <w:top w:val="nil"/>
              <w:left w:val="nil"/>
              <w:bottom w:val="nil"/>
              <w:right w:val="nil"/>
            </w:tcBorders>
            <w:noWrap/>
            <w:vAlign w:val="bottom"/>
            <w:hideMark/>
          </w:tcPr>
          <w:p w14:paraId="54E27288" w14:textId="709D4B57" w:rsidR="007A5804" w:rsidRDefault="00133A67">
            <w:pPr>
              <w:pStyle w:val="P68B1DB1-Normal91"/>
            </w:pPr>
            <w:r w:rsidRPr="00F22F68">
              <w:t>Sumclearingen</w:t>
            </w:r>
          </w:p>
        </w:tc>
      </w:tr>
      <w:tr w:rsidR="007A5804" w14:paraId="0C6135E4" w14:textId="77777777">
        <w:trPr>
          <w:trHeight w:val="300"/>
        </w:trPr>
        <w:tc>
          <w:tcPr>
            <w:tcW w:w="9072" w:type="dxa"/>
            <w:tcBorders>
              <w:top w:val="nil"/>
              <w:left w:val="nil"/>
              <w:bottom w:val="nil"/>
              <w:right w:val="nil"/>
            </w:tcBorders>
            <w:noWrap/>
            <w:vAlign w:val="bottom"/>
            <w:hideMark/>
          </w:tcPr>
          <w:p w14:paraId="4789CBEE" w14:textId="77777777" w:rsidR="007A5804" w:rsidRDefault="007B7723">
            <w:pPr>
              <w:pStyle w:val="P68B1DB1-Normal91"/>
            </w:pPr>
            <w:r>
              <w:t>T2S (SSS – len pre priame pripojenie)</w:t>
            </w:r>
          </w:p>
        </w:tc>
      </w:tr>
      <w:tr w:rsidR="007A5804" w14:paraId="791932E6" w14:textId="77777777">
        <w:trPr>
          <w:trHeight w:val="300"/>
        </w:trPr>
        <w:tc>
          <w:tcPr>
            <w:tcW w:w="9072" w:type="dxa"/>
            <w:tcBorders>
              <w:top w:val="nil"/>
              <w:left w:val="nil"/>
              <w:bottom w:val="nil"/>
              <w:right w:val="nil"/>
            </w:tcBorders>
            <w:noWrap/>
            <w:vAlign w:val="bottom"/>
            <w:hideMark/>
          </w:tcPr>
          <w:p w14:paraId="085D29CC" w14:textId="77777777" w:rsidR="007A5804" w:rsidRDefault="007B7723">
            <w:pPr>
              <w:pStyle w:val="P68B1DB1-Normal91"/>
            </w:pPr>
            <w:r>
              <w:t>TARGET2</w:t>
            </w:r>
          </w:p>
        </w:tc>
      </w:tr>
      <w:tr w:rsidR="007A5804" w14:paraId="0379A497" w14:textId="77777777">
        <w:trPr>
          <w:trHeight w:val="300"/>
        </w:trPr>
        <w:tc>
          <w:tcPr>
            <w:tcW w:w="9072" w:type="dxa"/>
            <w:tcBorders>
              <w:top w:val="nil"/>
              <w:left w:val="nil"/>
              <w:bottom w:val="nil"/>
              <w:right w:val="nil"/>
            </w:tcBorders>
            <w:noWrap/>
            <w:vAlign w:val="bottom"/>
            <w:hideMark/>
          </w:tcPr>
          <w:p w14:paraId="56C29FCF" w14:textId="5D6042E3" w:rsidR="007A5804" w:rsidRDefault="00133A67">
            <w:pPr>
              <w:pStyle w:val="P68B1DB1-Normal91"/>
            </w:pPr>
            <w:r w:rsidRPr="00F22F68">
              <w:t>TIPS</w:t>
            </w:r>
          </w:p>
        </w:tc>
      </w:tr>
      <w:tr w:rsidR="007A5804" w14:paraId="19C63903" w14:textId="77777777">
        <w:trPr>
          <w:trHeight w:val="300"/>
        </w:trPr>
        <w:tc>
          <w:tcPr>
            <w:tcW w:w="9072" w:type="dxa"/>
            <w:tcBorders>
              <w:top w:val="nil"/>
              <w:left w:val="nil"/>
              <w:bottom w:val="nil"/>
              <w:right w:val="nil"/>
            </w:tcBorders>
            <w:noWrap/>
            <w:vAlign w:val="bottom"/>
            <w:hideMark/>
          </w:tcPr>
          <w:p w14:paraId="6CABE6E8" w14:textId="77777777" w:rsidR="007A5804" w:rsidRDefault="007B7723">
            <w:pPr>
              <w:pStyle w:val="P68B1DB1-Normal91"/>
            </w:pPr>
            <w:r>
              <w:t>UnaVista Limited</w:t>
            </w:r>
          </w:p>
        </w:tc>
      </w:tr>
      <w:tr w:rsidR="007A5804" w14:paraId="7E731946" w14:textId="77777777">
        <w:trPr>
          <w:trHeight w:val="300"/>
        </w:trPr>
        <w:tc>
          <w:tcPr>
            <w:tcW w:w="9072" w:type="dxa"/>
            <w:tcBorders>
              <w:top w:val="nil"/>
              <w:left w:val="nil"/>
              <w:bottom w:val="nil"/>
              <w:right w:val="nil"/>
            </w:tcBorders>
            <w:noWrap/>
            <w:vAlign w:val="bottom"/>
            <w:hideMark/>
          </w:tcPr>
          <w:p w14:paraId="6485DCC3" w14:textId="77777777" w:rsidR="007A5804" w:rsidRDefault="007B7723">
            <w:pPr>
              <w:pStyle w:val="P68B1DB1-Normal91"/>
            </w:pPr>
            <w:r>
              <w:t>Verdipapirsentralen (VPS)</w:t>
            </w:r>
          </w:p>
        </w:tc>
      </w:tr>
      <w:tr w:rsidR="007A5804" w14:paraId="599BD0C0" w14:textId="77777777">
        <w:trPr>
          <w:trHeight w:val="300"/>
        </w:trPr>
        <w:tc>
          <w:tcPr>
            <w:tcW w:w="9072" w:type="dxa"/>
            <w:tcBorders>
              <w:top w:val="nil"/>
              <w:left w:val="nil"/>
              <w:bottom w:val="nil"/>
              <w:right w:val="nil"/>
            </w:tcBorders>
            <w:noWrap/>
            <w:vAlign w:val="bottom"/>
            <w:hideMark/>
          </w:tcPr>
          <w:p w14:paraId="209D9CF9" w14:textId="77777777" w:rsidR="007A5804" w:rsidRDefault="007B7723">
            <w:pPr>
              <w:pStyle w:val="P68B1DB1-Normal91"/>
            </w:pPr>
            <w:r>
              <w:t>VIBER</w:t>
            </w:r>
          </w:p>
        </w:tc>
      </w:tr>
      <w:tr w:rsidR="00133A67" w14:paraId="3CBF4EA3" w14:textId="77777777">
        <w:trPr>
          <w:trHeight w:val="300"/>
        </w:trPr>
        <w:tc>
          <w:tcPr>
            <w:tcW w:w="9072" w:type="dxa"/>
            <w:tcBorders>
              <w:top w:val="nil"/>
              <w:left w:val="nil"/>
              <w:bottom w:val="nil"/>
              <w:right w:val="nil"/>
            </w:tcBorders>
            <w:noWrap/>
            <w:vAlign w:val="bottom"/>
            <w:hideMark/>
          </w:tcPr>
          <w:p w14:paraId="49A43CDA" w14:textId="50F2E916" w:rsidR="00133A67" w:rsidRDefault="00133A67" w:rsidP="00133A67">
            <w:pPr>
              <w:pStyle w:val="P68B1DB1-Normal91"/>
            </w:pPr>
            <w:r w:rsidRPr="00F22F68">
              <w:t>VP Lux</w:t>
            </w:r>
          </w:p>
        </w:tc>
      </w:tr>
      <w:tr w:rsidR="00133A67" w14:paraId="20C89571" w14:textId="77777777">
        <w:trPr>
          <w:trHeight w:val="300"/>
        </w:trPr>
        <w:tc>
          <w:tcPr>
            <w:tcW w:w="9072" w:type="dxa"/>
            <w:tcBorders>
              <w:top w:val="nil"/>
              <w:left w:val="nil"/>
              <w:bottom w:val="nil"/>
              <w:right w:val="nil"/>
            </w:tcBorders>
            <w:noWrap/>
            <w:vAlign w:val="bottom"/>
            <w:hideMark/>
          </w:tcPr>
          <w:p w14:paraId="12389C15" w14:textId="11E4DD0B" w:rsidR="00133A67" w:rsidRDefault="00133A67" w:rsidP="00133A67">
            <w:pPr>
              <w:pStyle w:val="P68B1DB1-Normal91"/>
            </w:pPr>
            <w:r w:rsidRPr="00F22F68">
              <w:t>VP Securities A/S</w:t>
            </w:r>
          </w:p>
        </w:tc>
      </w:tr>
    </w:tbl>
    <w:p w14:paraId="1E4D7216" w14:textId="77777777" w:rsidR="007A5804" w:rsidRDefault="007A5804">
      <w:pPr>
        <w:pStyle w:val="body"/>
        <w:rPr>
          <w:rFonts w:ascii="Times New Roman" w:hAnsi="Times New Roman" w:cs="Times New Roman"/>
          <w:sz w:val="20"/>
          <w:szCs w:val="20"/>
        </w:rPr>
      </w:pPr>
    </w:p>
    <w:sectPr w:rsidR="007A5804">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99A1" w14:textId="77777777" w:rsidR="00E9287B" w:rsidRDefault="00E9287B">
      <w:r>
        <w:separator/>
      </w:r>
    </w:p>
  </w:endnote>
  <w:endnote w:type="continuationSeparator" w:id="0">
    <w:p w14:paraId="7963DAB9" w14:textId="77777777" w:rsidR="00E9287B" w:rsidRDefault="00E9287B">
      <w:r>
        <w:continuationSeparator/>
      </w:r>
    </w:p>
  </w:endnote>
  <w:endnote w:type="continuationNotice" w:id="1">
    <w:p w14:paraId="31DB4B23" w14:textId="77777777" w:rsidR="00E9287B" w:rsidRDefault="00E92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7A5804" w:rsidRDefault="007B7723">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7A5804" w:rsidRDefault="007A5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7A5804" w:rsidRDefault="007B7723">
    <w:pPr>
      <w:pStyle w:val="Footer"/>
    </w:pPr>
    <w:r>
      <w:rPr>
        <w:noProof/>
      </w:rPr>
      <mc:AlternateContent>
        <mc:Choice Requires="wps">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Rámček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7A5804" w:rsidRDefault="007B7723">
                          <w:pPr>
                            <w:pStyle w:val="P68B1DB1-Normal92"/>
                            <w:rPr>
                              <w:bCs/>
                            </w:rPr>
                          </w:pPr>
                          <w:r>
                            <w:t>Tieto pokyny boli pôvodne vypracované v angličtine. Ich preklad do ostatných úradných jazykov EÚ sa vykonáva prostredníctvom služby strojového prekladu Európskej komisie eTranslation s vynaložením maximálneho úsilia.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4B7297" id="_x0000_t202" coordsize="21600,21600" o:spt="202" path="m,l,21600r21600,l21600,xe">
              <v:stroke joinstyle="miter"/>
              <v:path gradientshapeok="t" o:connecttype="rect"/>
            </v:shapetype>
            <v:shape id="Rámček 5" o:spid="_x0000_s1029" type="#_x0000_t202" style="position:absolute;margin-left:0;margin-top:-7pt;width:439.95pt;height:27.65pt;z-index:25165926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" fillcolor="white [3201]" strokeweight=".5pt">
              <v:textbox>
                <w:txbxContent>
                  <w:p w14:paraId="59008DEE" w14:textId="3CBD8109" w:rsidR="007A5804" w:rsidRDefault="007B7723">
                    <w:pPr>
                      <w:pStyle w:val="P68B1DB1-Normal92"/>
                      <w:rPr>
                        <w:bCs/>
                      </w:rPr>
                    </w:pPr>
                    <w:r>
                      <w:t>Tieto pokyny boli pôvodne vypracované v angličtine. Ich preklad do ostatných úradných jazykov EÚ sa vykonáva prostredníctvom služby strojového prekladu Európskej komisie eTranslation s vynaložením maximálneho úsilia.</w:t>
                    </w:r>
                  </w:p>
                </w:txbxContent>
              </v:textbox>
              <w10:wrap anchorx="margin"/>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1CD8" w14:textId="77777777" w:rsidR="00E9287B" w:rsidRDefault="00E9287B">
      <w:r>
        <w:separator/>
      </w:r>
    </w:p>
  </w:footnote>
  <w:footnote w:type="continuationSeparator" w:id="0">
    <w:p w14:paraId="5EFF78B1" w14:textId="77777777" w:rsidR="00E9287B" w:rsidRDefault="00E9287B">
      <w:r>
        <w:continuationSeparator/>
      </w:r>
    </w:p>
  </w:footnote>
  <w:footnote w:type="continuationNotice" w:id="1">
    <w:p w14:paraId="0DC14CBE" w14:textId="77777777" w:rsidR="00E9287B" w:rsidRDefault="00E9287B"/>
  </w:footnote>
  <w:footnote w:id="2">
    <w:p w14:paraId="0A3F5404" w14:textId="77777777" w:rsidR="007A5804" w:rsidRDefault="007B7723">
      <w:pPr>
        <w:pStyle w:val="FootnoteText"/>
      </w:pPr>
      <w:r>
        <w:rPr>
          <w:rStyle w:val="FootnoteReference"/>
        </w:rPr>
        <w:footnoteRef/>
      </w:r>
      <w:r>
        <w:t xml:space="preserve"> Vykonávacie nariadenie Komisie (EÚ) 2024/3117 z 29. novembra 2024, ktorým sa stanovujú vykonávacie technické predpisy na uplatňovanie nariadenia Európskeho parlamentu a Rady (EÚ) č. 575/2013, pokiaľ ide o vykazovanie inštitúciami na účely dohľadu, a ktorým sa zrušuje vykonávacie nariadenie Komisie (EÚ) 2021/451 (Ú. v. EÚ</w:t>
      </w:r>
      <w:r>
        <w:rPr>
          <w:i/>
        </w:rPr>
        <w:t>L, 2024/3117, 27.12.2024, ELI: </w:t>
      </w:r>
      <w:hyperlink r:id="rId1" w:tgtFrame="_blank" w:tooltip="Gives access to this document through its ELI URI." w:history="1">
        <w:r>
          <w:rPr>
            <w:rStyle w:val="Hyperlink"/>
            <w:i/>
          </w:rPr>
          <w:t>http://data.europa.eu/eli/reg/2024/3117/oj</w:t>
        </w:r>
      </w:hyperlink>
      <w:r>
        <w:t>).</w:t>
      </w:r>
    </w:p>
  </w:footnote>
  <w:footnote w:id="3">
    <w:p w14:paraId="7FE1D258" w14:textId="77777777" w:rsidR="007A5804" w:rsidRDefault="007B7723">
      <w:pPr>
        <w:pStyle w:val="FootnoteText"/>
      </w:pPr>
      <w:r>
        <w:rPr>
          <w:rStyle w:val="FootnoteReference"/>
          <w:rFonts w:ascii="Times New Roman" w:hAnsi="Times New Roman"/>
        </w:rPr>
        <w:footnoteRef/>
      </w:r>
      <w:r>
        <w:t xml:space="preserve"> Nariadenie Európskeho parlamentu a Rady (ES) č. 1606/2002 z 19. júla 2002 o uplatňovaní medzinárodných účtovných noriem (Ú. v. ES L 243, 11.9.2002, s. 1).</w:t>
      </w:r>
    </w:p>
  </w:footnote>
  <w:footnote w:id="4">
    <w:p w14:paraId="7FE1D259" w14:textId="77777777" w:rsidR="007A5804" w:rsidRDefault="007B7723">
      <w:pPr>
        <w:pStyle w:val="FootnoteText"/>
      </w:pPr>
      <w:r>
        <w:rPr>
          <w:rStyle w:val="FootnoteReference"/>
          <w:rFonts w:ascii="Times New Roman" w:hAnsi="Times New Roman"/>
        </w:rPr>
        <w:footnoteRef/>
      </w:r>
      <w:r>
        <w:t xml:space="preserve"> Nariadenie Európskeho parlamentu a Rady (ES) č. 1606/2002 z 19. júla 2002 o uplatňovaní medzinárodných účtovných noriem (Ú. v. ES L 243, 11.9.2002, s. 1).</w:t>
      </w:r>
    </w:p>
  </w:footnote>
  <w:footnote w:id="5">
    <w:p w14:paraId="7FE1D25A" w14:textId="77777777" w:rsidR="007A5804" w:rsidRDefault="007B7723">
      <w:pPr>
        <w:pStyle w:val="FootnoteText"/>
      </w:pPr>
      <w:r>
        <w:rPr>
          <w:rStyle w:val="FootnoteReference"/>
          <w:rFonts w:ascii="Times New Roman" w:hAnsi="Times New Roman"/>
        </w:rPr>
        <w:footnoteRef/>
      </w:r>
      <w:r>
        <w:t xml:space="preserve"> Smernica Rady 86/635/EHS z 8. decembra 1986 o ročnej účtovnej závierke a konsolidovaných účtoch bánk a iných finančných inštitúcií (Ú. v. ES L 372, 31.12.1986, s. 1).</w:t>
      </w:r>
    </w:p>
  </w:footnote>
  <w:footnote w:id="6">
    <w:p w14:paraId="06EB0A65" w14:textId="77777777" w:rsidR="007A5804" w:rsidRDefault="007B7723">
      <w:pPr>
        <w:pStyle w:val="FootnoteText"/>
      </w:pPr>
      <w:r>
        <w:rPr>
          <w:rStyle w:val="FootnoteReference"/>
          <w:rFonts w:ascii="Times New Roman" w:hAnsi="Times New Roman"/>
        </w:rPr>
        <w:footnoteRef/>
      </w:r>
      <w:r>
        <w:t xml:space="preserve"> Nariadenie Európskeho parlamentu a Rady (EÚ) č. 575/2013 z 26. júna 2013 o prudenciálnych požiadavkách na úverové inštitúcie a investičné spoločnosti a o zmene nariadenia (EÚ) č. 648/2012 (Ú. v. EÚ L 176, 27.6.2013, s. 1).</w:t>
      </w:r>
    </w:p>
  </w:footnote>
  <w:footnote w:id="7">
    <w:p w14:paraId="7FE1D25C" w14:textId="77777777" w:rsidR="007A5804" w:rsidRDefault="007B7723">
      <w:pPr>
        <w:pStyle w:val="FootnoteText"/>
      </w:pPr>
      <w:r>
        <w:rPr>
          <w:rStyle w:val="FootnoteReference"/>
        </w:rPr>
        <w:footnoteRef/>
      </w:r>
      <w:r>
        <w:t xml:space="preserve">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s. 338).</w:t>
      </w:r>
    </w:p>
  </w:footnote>
  <w:footnote w:id="8">
    <w:p w14:paraId="7FE1D25D" w14:textId="77777777" w:rsidR="007A5804" w:rsidRDefault="007B7723">
      <w:pPr>
        <w:pStyle w:val="FootnoteText"/>
      </w:pPr>
      <w:r>
        <w:rPr>
          <w:rStyle w:val="FootnoteReference"/>
        </w:rPr>
        <w:footnoteRef/>
      </w:r>
      <w:r>
        <w:t xml:space="preserve"> Nariadenie Európskeho parlamentu a Rady (EÚ) 2019/2033 z 27. novembra 2019 o prudenciálnych požiadavkách na investičné spoločnosti a o zmene nariadení (EÚ) č. 1093/2010, (EÚ) č. 575/2013, (EÚ) č. 600/2014 a (EÚ) č. 806/2014 (Ú. v. EÚ L 314, 5.12.2019, s. 1).</w:t>
      </w:r>
    </w:p>
  </w:footnote>
  <w:footnote w:id="9">
    <w:p w14:paraId="7FE1D25E" w14:textId="77777777" w:rsidR="007A5804" w:rsidRDefault="007B7723">
      <w:pPr>
        <w:pStyle w:val="FootnoteText"/>
      </w:pPr>
      <w:r>
        <w:rPr>
          <w:rStyle w:val="FootnoteReference"/>
        </w:rPr>
        <w:footnoteRef/>
      </w:r>
      <w:r>
        <w:t xml:space="preserve"> Smernicou Európskeho parlamentu a Rady (EÚ) 2019/2034 z 27. novembra 2019 o prudenciálnom dohľade nad investičnými spoločnosťami a o zmene smerníc 2002/87/ES, 2009/65/ES, 2011/61/EÚ, 2013/36/EÚ, 2014/59/EÚ a 2014/65/EÚ (Ú. v. EÚ L 314, 5.12.2019, s. 64),</w:t>
      </w:r>
    </w:p>
  </w:footnote>
  <w:footnote w:id="10">
    <w:p w14:paraId="7FE1D25F" w14:textId="77777777" w:rsidR="007A5804" w:rsidRDefault="007B7723">
      <w:pPr>
        <w:pStyle w:val="FootnoteText"/>
      </w:pPr>
      <w:r>
        <w:rPr>
          <w:rStyle w:val="FootnoteReference"/>
          <w:rFonts w:ascii="Times New Roman" w:hAnsi="Times New Roman"/>
        </w:rPr>
        <w:footnoteRef/>
      </w:r>
      <w:r>
        <w:t xml:space="preserve"> Smernica Európskeho parlamentu a Rady 2009/138/ES z 25. novembra 2009 o začatí a vykonávaní poistenia a zaistenia (Solventnosť II) (Text s významom pre EHP) (Ú. v. EÚ L 335, 17.12.2009, s. 1).</w:t>
      </w:r>
    </w:p>
  </w:footnote>
  <w:footnote w:id="11">
    <w:p w14:paraId="7FE1D260" w14:textId="2ADC4F18" w:rsidR="007A5804" w:rsidRDefault="007B7723">
      <w:pPr>
        <w:pStyle w:val="FootnoteText"/>
      </w:pPr>
      <w:r>
        <w:rPr>
          <w:rStyle w:val="FootnoteReference"/>
          <w:rFonts w:ascii="Times New Roman" w:hAnsi="Times New Roman"/>
        </w:rPr>
        <w:footnoteRef/>
      </w:r>
      <w:r>
        <w:t xml:space="preserve"> Nariadenie Európskej centrálnej banky (EÚ) č. 1071/2013 o bilancii sektora peňažných finančných inštitúcií (Ú. v. EÚ L 297 7.11.2013, s. 1).</w:t>
      </w:r>
    </w:p>
  </w:footnote>
  <w:footnote w:id="12">
    <w:p w14:paraId="7FE1D261" w14:textId="77777777" w:rsidR="007A5804" w:rsidRDefault="007B7723">
      <w:pPr>
        <w:pStyle w:val="FootnoteText"/>
      </w:pPr>
      <w:r>
        <w:rPr>
          <w:rStyle w:val="FootnoteReference"/>
          <w:rFonts w:ascii="Times New Roman" w:hAnsi="Times New Roman"/>
        </w:rPr>
        <w:footnoteRef/>
      </w:r>
      <w:r>
        <w:t xml:space="preserve"> Commission Recommendation of 6 May 2003 concerning the definition of micro, small and medium-sized enterprises (Odporúčanie Komisie zo 6. mája 2003 týkajúce sa vymedzenia mikropodnikov, malých a stredných podnikov) [oznámené pod číslom dokumentu C(2003) 1422] (Ú. v. EÚ L 124, 20.5.2003, s. 36).</w:t>
      </w:r>
    </w:p>
  </w:footnote>
  <w:footnote w:id="13">
    <w:p w14:paraId="74BC1C09" w14:textId="2C5E1052" w:rsidR="007A5804" w:rsidRDefault="007B7723">
      <w:pPr>
        <w:pStyle w:val="FootnoteText"/>
      </w:pPr>
      <w:r>
        <w:rPr>
          <w:rStyle w:val="FootnoteReference"/>
        </w:rPr>
        <w:footnoteRef/>
      </w:r>
      <w:r>
        <w:t xml:space="preserve"> Smernica Európskeho parlamentu a Rady 2014/65/ES z 15. mája 2014 o trhoch s finančnými nástrojmi </w:t>
      </w:r>
      <w:r>
        <w:rPr>
          <w:rFonts w:hint="eastAsia"/>
        </w:rPr>
        <w:t>(Ú. v. EÚ L 173, 12.6.2014, s. 349)</w:t>
      </w:r>
      <w:r>
        <w:t>.</w:t>
      </w:r>
    </w:p>
  </w:footnote>
  <w:footnote w:id="14">
    <w:p w14:paraId="7FE1D263" w14:textId="77777777" w:rsidR="007A5804" w:rsidRDefault="007B7723">
      <w:pPr>
        <w:pStyle w:val="FootnoteText"/>
      </w:pPr>
      <w:r>
        <w:rPr>
          <w:rStyle w:val="FootnoteReference"/>
        </w:rPr>
        <w:footnoteRef/>
      </w:r>
      <w:r>
        <w:t xml:space="preserve">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12.6.2014, s. 190).</w:t>
      </w:r>
    </w:p>
  </w:footnote>
  <w:footnote w:id="15">
    <w:p w14:paraId="7FE1D264" w14:textId="77777777" w:rsidR="007A5804" w:rsidRDefault="007B7723">
      <w:pPr>
        <w:pStyle w:val="FootnoteText"/>
      </w:pPr>
      <w:r>
        <w:rPr>
          <w:rStyle w:val="FootnoteReference"/>
        </w:rPr>
        <w:footnoteRef/>
      </w:r>
      <w:r>
        <w:t xml:space="preserve"> Smernica Európskeho parlamentu a Rady 2014/49/EÚ zo 16. apríla 2014 o systémoch ochrany vkladov (Ú. v. EÚ L 173, 12.6.2014, s. 149).</w:t>
      </w:r>
    </w:p>
  </w:footnote>
  <w:footnote w:id="16">
    <w:p w14:paraId="7FE1D267" w14:textId="77777777" w:rsidR="007A5804" w:rsidRDefault="007B7723">
      <w:pPr>
        <w:pStyle w:val="FootnoteText"/>
      </w:pPr>
      <w:r>
        <w:rPr>
          <w:rStyle w:val="FootnoteReference"/>
        </w:rPr>
        <w:footnoteRef/>
      </w:r>
      <w:r>
        <w:t xml:space="preserve"> Delegované nariadenie Komisie (EÚ) 2016/1401 z 23. mája 2016, ktorým sa dopĺňa smernica Európskeho parlamentu a Rady 2014/59/EÚ, ktorou sa stanovuje rámec pre ozdravenie a riešenie krízových situácií úverových inštitúcií a investičných spoločností, pokiaľ ide o regulačné technické predpisy týkajúce sa metodík a zásad vzťahujúcich sa na ocenenie záväzkov vyplývajúcich z derivátov (Ú. v. EÚ L 228, 23.8.2016, s. 7).</w:t>
      </w:r>
    </w:p>
  </w:footnote>
  <w:footnote w:id="17">
    <w:p w14:paraId="7FE1D268" w14:textId="77777777" w:rsidR="007A5804" w:rsidRDefault="007B7723">
      <w:pPr>
        <w:pStyle w:val="FootnoteText"/>
      </w:pPr>
      <w:r>
        <w:rPr>
          <w:rStyle w:val="FootnoteReference"/>
        </w:rPr>
        <w:footnoteRef/>
      </w:r>
      <w:r>
        <w:t xml:space="preserve"> Úroveň vankúša na zachovanie kapitálu ustanovenú v článku 129 smernice 2013/36/EÚ;</w:t>
      </w:r>
    </w:p>
  </w:footnote>
  <w:footnote w:id="18">
    <w:p w14:paraId="7FE1D269" w14:textId="77777777" w:rsidR="007A5804" w:rsidRDefault="007B7723">
      <w:pPr>
        <w:pStyle w:val="FootnoteText"/>
      </w:pPr>
      <w:r>
        <w:rPr>
          <w:rStyle w:val="FootnoteReference"/>
        </w:rPr>
        <w:footnoteRef/>
      </w:r>
      <w:r>
        <w:t xml:space="preserve"> Delegované nariadenie Komisie (EÚ) 2016/778 z 2. februára 2016, ktorým sa dopĺňa smernica Európskeho parlamentu a Rady 2014/59/EÚ so zreteľom na okolnosti a podmienky, za ktorých sa platba mimoriadnych príspevkov ex post môže čiastočne alebo úplne odložiť, a o kritériách na určenie činností, služieb a operácií so zreteľom na zásadné funkcie a na určenie oblastí obchodnej činnosti a súvisiacich služieb so zreteľom na hlavné oblasti obchodnej činnosti (Ú. v. EÚ L 131, 20.5.2016, s. 41).</w:t>
      </w:r>
    </w:p>
  </w:footnote>
  <w:footnote w:id="19">
    <w:p w14:paraId="7FE1D26D" w14:textId="77777777" w:rsidR="007A5804" w:rsidRDefault="007B7723">
      <w:pPr>
        <w:pStyle w:val="FootnoteText"/>
      </w:pPr>
      <w:r>
        <w:rPr>
          <w:rStyle w:val="FootnoteReference"/>
        </w:rPr>
        <w:footnoteRef/>
      </w:r>
      <w:r>
        <w:t xml:space="preserve"> Smernica Európskeho parlamentu a Rady (EÚ) 2015/2366 z 25. novembra 2015 o platobných službách na vnútornom trhu, ktorou sa menia smernice 2002/65/ES, 2009/110/ES a 2013/36/EÚ a nariadenie (EÚ) č. 1093/2010 a ktorou sa zrušuje smernica 2007/64/ES (Ú. v. EÚ L 337, 23.12.2015, s. 35).</w:t>
      </w:r>
    </w:p>
  </w:footnote>
  <w:footnote w:id="20">
    <w:p w14:paraId="7FE1D26E" w14:textId="77777777" w:rsidR="007A5804" w:rsidRDefault="007B7723">
      <w:pPr>
        <w:pStyle w:val="FootnoteText"/>
      </w:pPr>
      <w:r>
        <w:rPr>
          <w:rStyle w:val="FootnoteReference"/>
        </w:rPr>
        <w:footnoteRef/>
      </w:r>
      <w:r>
        <w:t xml:space="preserve"> Nariadenie Európskeho parlamentu a Rady (EÚ) č. 648/2012 zo 4. júla 2012 o mimoburzových derivátoch, centrálnych protistranách a archívoch obchodných údajov (Ú. v. EÚ L 201, 27.7.2012, s. 1).</w:t>
      </w:r>
    </w:p>
  </w:footnote>
  <w:footnote w:id="21">
    <w:p w14:paraId="4F37B111" w14:textId="77777777" w:rsidR="007A5804" w:rsidRDefault="007B7723">
      <w:pPr>
        <w:pStyle w:val="FootnoteText"/>
      </w:pPr>
      <w:r>
        <w:rPr>
          <w:rStyle w:val="FootnoteReference"/>
        </w:rPr>
        <w:footnoteRef/>
      </w:r>
      <w:r>
        <w:t xml:space="preserve"> Podľa článku 1 odst. 2 usmernenia (EÚ) 2021/835 Európskej centrálnej banky z 26. marca 2021, ktorým sa zrušuje usmernenie ECB/2014/15 o monetárnych a finančných štatistikách (ECB/2021/16), sa odkazy na zrušené usmernenie považujú za odkazy na usmernenie (EÚ) 2021/830 (ECB/2021/11), usmernenie (EÚ) 2021/831 (ECB/2021/12), usmernenie (EÚ) 2021/833 (ECB/2021/14), usmernenie (EÚ) 2021/832 (ECB/2021/13) a usmernenie (EÚ) 2021/834 (ECB/2021/15) v súlade s tabuľ</w:t>
      </w:r>
    </w:p>
    <w:p w14:paraId="2690BEDB" w14:textId="77777777" w:rsidR="007A5804" w:rsidRDefault="007A5804">
      <w:pPr>
        <w:pStyle w:val="FootnoteText"/>
      </w:pPr>
    </w:p>
  </w:footnote>
  <w:footnote w:id="22">
    <w:p w14:paraId="7FE1D272" w14:textId="77777777" w:rsidR="007A5804" w:rsidRDefault="007B7723">
      <w:pPr>
        <w:pStyle w:val="FootnoteText"/>
      </w:pPr>
      <w:r>
        <w:footnoteRef/>
      </w:r>
      <w:r>
        <w:t xml:space="preserve"> Ako sa vymedzuje v bode 13 usmernení EBA o riešiteľnosti krízových situácií.</w:t>
      </w:r>
    </w:p>
  </w:footnote>
  <w:footnote w:id="23">
    <w:p w14:paraId="7FE1D273" w14:textId="60D312AD" w:rsidR="007A5804" w:rsidRDefault="007B7723">
      <w:pPr>
        <w:pStyle w:val="FootnoteText"/>
      </w:pPr>
      <w:r>
        <w:rPr>
          <w:rStyle w:val="FootnoteReference"/>
          <w:rFonts w:ascii="Verdana" w:hAnsi="Verdana"/>
          <w:sz w:val="16"/>
          <w:szCs w:val="16"/>
        </w:rPr>
        <w:footnoteRef/>
      </w:r>
      <w:r>
        <w:t xml:space="preserve"> Delegované nariadenie Komisie (EÚ) 2016/778, článok 6 a odôvodnenie 8.</w:t>
      </w:r>
    </w:p>
  </w:footnote>
  <w:footnote w:id="24">
    <w:p w14:paraId="7FE1D274" w14:textId="1C805137" w:rsidR="007A5804" w:rsidRDefault="007B7723">
      <w:pPr>
        <w:pStyle w:val="FootnoteText"/>
      </w:pPr>
      <w:r>
        <w:rPr>
          <w:rStyle w:val="FootnoteReference"/>
          <w:rFonts w:ascii="Verdana" w:hAnsi="Verdana"/>
          <w:sz w:val="16"/>
          <w:szCs w:val="16"/>
        </w:rPr>
        <w:footnoteRef/>
      </w:r>
      <w:r>
        <w:t xml:space="preserve"> Článok 7 delegovaného nariadenia Komisie (EÚ) 2016/778. </w:t>
      </w:r>
    </w:p>
  </w:footnote>
  <w:footnote w:id="25">
    <w:p w14:paraId="7FE1D275" w14:textId="77777777" w:rsidR="007A5804" w:rsidRDefault="007B7723">
      <w:pPr>
        <w:pStyle w:val="FootnoteText"/>
      </w:pPr>
      <w:r>
        <w:footnoteRef/>
      </w:r>
      <w:r>
        <w:t xml:space="preserve"> Kontinuita základných služieb môže byť potrebná na dosiahnutie iných cieľov riešenia krízových situácií, než je zachovanie zásadných funkcií (napr. finančná stabilita zabezpečením životaschopnosti subjektu po riešení krízovej situácie). </w:t>
      </w:r>
    </w:p>
    <w:p w14:paraId="7FE1D276" w14:textId="77777777" w:rsidR="007A5804" w:rsidRDefault="007A5804">
      <w:pPr>
        <w:pStyle w:val="FootnoteText"/>
      </w:pPr>
    </w:p>
  </w:footnote>
  <w:footnote w:id="26">
    <w:p w14:paraId="7FE1D27C" w14:textId="77777777" w:rsidR="007A5804" w:rsidRDefault="007B7723">
      <w:pPr>
        <w:pStyle w:val="FootnoteText"/>
        <w:rPr>
          <w:rFonts w:ascii="Segoe UI" w:hAnsi="Segoe UI" w:cs="Segoe UI"/>
        </w:rPr>
      </w:pPr>
      <w:r>
        <w:footnoteRef/>
      </w:r>
      <w:r>
        <w:t xml:space="preserve"> V ustanoveniach hlavy IV kapitoly VI smernice o ozdravení a riešení krízových situácií bánk sa stanovuje odolnosť voči riešeniu krízových situácií, najmä v súvislosti s výkonom právomocí orgánom pre riešenie krízových situácií, s výnimkou vykonávania plánov reorganizácie obchodnej činnosti.</w:t>
      </w:r>
    </w:p>
  </w:footnote>
  <w:footnote w:id="27">
    <w:p w14:paraId="3F998E2E" w14:textId="7BDE8075" w:rsidR="007A5804" w:rsidRDefault="007B7723">
      <w:pPr>
        <w:pStyle w:val="FootnoteText"/>
      </w:pPr>
      <w:r>
        <w:rPr>
          <w:rStyle w:val="FootnoteReference"/>
        </w:rPr>
        <w:footnoteRef/>
      </w:r>
      <w:r>
        <w:t xml:space="preserve"> Nariadenie Európskeho parlamentu a Rady (EÚ) 2022/2554 zo 14. decembra 2022 o digitálnej prevádzkovej odolnosti finančného sektora a o zmene nariadení (ES) č. 1060/2009, (EÚ) č. 648/2012, (EÚ) č. 600/2014, (EÚ) č. 909/2014 a (EÚ) 2016/1011.</w:t>
      </w:r>
    </w:p>
    <w:p w14:paraId="3A2C28B9" w14:textId="00F04738" w:rsidR="007A5804" w:rsidRDefault="007A5804">
      <w:pPr>
        <w:pStyle w:val="FootnoteText"/>
      </w:pPr>
    </w:p>
  </w:footnote>
  <w:footnote w:id="28">
    <w:p w14:paraId="7FE1D27F" w14:textId="77777777" w:rsidR="007A5804" w:rsidRDefault="007B7723">
      <w:pPr>
        <w:pStyle w:val="FootnoteText"/>
        <w:rPr>
          <w:rFonts w:ascii="Segoe UI" w:hAnsi="Segoe UI" w:cs="Segoe UI"/>
        </w:rPr>
      </w:pPr>
      <w:r>
        <w:footnoteRef/>
      </w:r>
      <w:r>
        <w:t xml:space="preserve"> V ustanoveniach hlavy IV kapitoly VI smernice o ozdravení a riešení krízových situácií bánk sa stanovuje odolnosť voči riešeniu krízových situácií, najmä v súvislosti s výkonom právomocí orgánom pre riešenie krízových situácií, s výnimkou vykonávania plánov reorganizácie obchodnej činnosti.</w:t>
      </w:r>
    </w:p>
  </w:footnote>
  <w:footnote w:id="29">
    <w:p w14:paraId="7FE1D280" w14:textId="77777777" w:rsidR="007A5804" w:rsidRDefault="007B7723">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Dlhové cenné papiere, akcie a iné cenné papiere, repo obchody.</w:t>
      </w:r>
    </w:p>
  </w:footnote>
  <w:footnote w:id="30">
    <w:p w14:paraId="7FE1D281" w14:textId="77777777" w:rsidR="007A5804" w:rsidRDefault="007B7723">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Multilaterálne systémy alebo platformy, v rámci ktorých môžu navzájom pôsobiť viaceré záujmy o obchodovanie tretích strán, pokiaľ ide o kúpu a predaj finančných nástrojov. Pokiaľ ide o systémy nachádzajúce sa v EHP, toto vymedzenie zahŕňa regulované trhy, MTF a OTF.</w:t>
      </w:r>
    </w:p>
  </w:footnote>
  <w:footnote w:id="31">
    <w:p w14:paraId="7FE1D282" w14:textId="77777777" w:rsidR="007A5804" w:rsidRDefault="007B7723">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Pozri Slovník ECB pre platby a trhy: Priamy účastník: „účastník [...] systému, ktorý môže vykonávať všetky činnosti povolené v systéme bez využitia sprostredkovateľa (najmä vrátane priameho zadávania pokynov do systému a vykonávania operácií vyrovnania).“; Nepriamy účastník: „účastník [...] systému s viacstupňovým usporiadaním, ktorý na uskutočnenie niektorých činností, ktoré systém umožňuje (hlavne zúčtovanie), využíva priameho účastníka ako sprostredkovateľa“.</w:t>
      </w:r>
    </w:p>
    <w:p w14:paraId="7FE1D283" w14:textId="77777777" w:rsidR="007A5804" w:rsidRDefault="007A5804">
      <w:pPr>
        <w:pStyle w:val="FootnoteText"/>
      </w:pPr>
    </w:p>
  </w:footnote>
  <w:footnote w:id="32">
    <w:p w14:paraId="7FE1D284" w14:textId="77777777" w:rsidR="007A5804" w:rsidRDefault="007B7723">
      <w:pPr>
        <w:pStyle w:val="FootnoteText"/>
      </w:pPr>
      <w:r>
        <w:rPr>
          <w:rStyle w:val="FootnoteReference"/>
        </w:rPr>
        <w:footnoteRef/>
      </w:r>
      <w:r>
        <w:t xml:space="preserve"> Vymedzenie odolnosti voči riešeniu krízových situácií na účely tejto správy je uvedené v stĺpci 150 Z.08.01.</w:t>
      </w:r>
    </w:p>
  </w:footnote>
  <w:footnote w:id="33">
    <w:p w14:paraId="7FE1D285" w14:textId="50A26E27" w:rsidR="007A5804" w:rsidRDefault="007B7723">
      <w:pPr>
        <w:pStyle w:val="FootnoteText"/>
      </w:pPr>
      <w:r>
        <w:rPr>
          <w:rStyle w:val="FootnoteReference"/>
        </w:rPr>
        <w:footnoteRef/>
      </w:r>
      <w:r>
        <w:t xml:space="preserve"> Na účely príslušných ukazovateľov vykazovania sa „systémy kariet“ považujú za „platobné služby“; „Na“ sa považujú za „centrálnych depozitárov cenných papierov“, ak obchodujú s cennými papiermi a „platobnými systémami“, ak sa zaoberajú peňažnými službami.</w:t>
      </w:r>
    </w:p>
  </w:footnote>
  <w:footnote w:id="34">
    <w:p w14:paraId="7FE1D286" w14:textId="77777777" w:rsidR="007A5804" w:rsidRDefault="007B7723">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Na účely tejto správy by sa význam druhov účtov mal vykladať v súlade s článkom 39 ods. 4 a 5 nariadenia EMIR. Význam pozície by sa mal vykladať v súlade s článkom 2 ods. 3, článkom 39 ods. 4 a článkom 39 ods. 5 nariadenia EMIR. Klientske účty: vykazuje sa len vtedy, ak právny subjekt poskytuje nepriamy prístup k infraštruktúre finančného trhu.</w:t>
      </w:r>
    </w:p>
  </w:footnote>
  <w:footnote w:id="35">
    <w:p w14:paraId="7FE1D287" w14:textId="21F2F8F9" w:rsidR="007A5804" w:rsidRDefault="007B7723">
      <w:pPr>
        <w:pStyle w:val="FootnoteText"/>
      </w:pPr>
      <w:r>
        <w:rPr>
          <w:rStyle w:val="FootnoteReference"/>
        </w:rPr>
        <w:footnoteRef/>
      </w:r>
      <w:r>
        <w:t xml:space="preserve"> Pozri Metodické poznámky ECB o štatistike obchodovania s cennými papiermi, zúčtovania a vyrovnania.</w:t>
      </w:r>
    </w:p>
  </w:footnote>
  <w:footnote w:id="36">
    <w:p w14:paraId="7FE1D289" w14:textId="77777777" w:rsidR="007A5804" w:rsidRDefault="007B7723">
      <w:pPr>
        <w:pStyle w:val="FootnoteText"/>
      </w:pPr>
      <w:r>
        <w:rPr>
          <w:rStyle w:val="FootnoteReference"/>
        </w:rPr>
        <w:footnoteRef/>
      </w:r>
      <w:r>
        <w:t xml:space="preserve"> Niektoré nástroje vlastného imania, ako napríklad účasti družstiev, nepatria do vymedzenia cenných papierov, ale mali by sa stále vykazovať tu.</w:t>
      </w:r>
    </w:p>
  </w:footnote>
  <w:footnote w:id="37">
    <w:p w14:paraId="4A19D249" w14:textId="77777777" w:rsidR="007A5804" w:rsidRDefault="007B7723">
      <w:pPr>
        <w:pStyle w:val="FootnoteText"/>
        <w:rPr>
          <w:rFonts w:ascii="Verdana" w:hAnsi="Verdana"/>
        </w:rPr>
      </w:pPr>
      <w:r>
        <w:rPr>
          <w:rStyle w:val="FootnoteReference"/>
          <w:rFonts w:ascii="Verdana" w:hAnsi="Verdana"/>
          <w:sz w:val="16"/>
        </w:rPr>
        <w:footnoteRef/>
      </w:r>
      <w:r>
        <w:rPr>
          <w:rFonts w:ascii="Verdana" w:hAnsi="Verdana"/>
          <w:sz w:val="16"/>
        </w:rPr>
        <w:t xml:space="preserve"> </w:t>
      </w:r>
      <w:r>
        <w:rPr>
          <w:rFonts w:ascii="Verdana" w:hAnsi="Verdana"/>
          <w:sz w:val="16"/>
        </w:rPr>
        <w:t>Euronext Clearing je novým obchodným názvom Cassa Compensazione e Garanzia (CC &amp;G).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7A5804" w:rsidRDefault="007B7723">
    <w:pPr>
      <w:pStyle w:val="Header"/>
    </w:pPr>
    <w:r>
      <w:rPr>
        <w:noProof/>
      </w:rPr>
      <mc:AlternateContent>
        <mc:Choice Requires="wps">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Textový rámček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7A5804" w:rsidRDefault="007B7723">
                          <w:pPr>
                            <w:pStyle w:val="P68B1DB1-Normal93"/>
                          </w:pPr>
                          <w:r>
                            <w:t>EBA – bežné použitie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1" id="_x0000_t202" coordsize="21600,21600" o:spt="202" path="m,l,21600r21600,l21600,xe">
              <v:stroke joinstyle="miter"/>
              <v:path gradientshapeok="t" o:connecttype="rect"/>
            </v:shapetype>
            <v:shape id="Textový rámček 2:" o:spid="_x0000_s1026" type="#_x0000_t202" alt="EBA Regular Use"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FE1D28A" w14:textId="77777777" w:rsidR="007A5804" w:rsidRDefault="007B7723">
                    <w:pPr>
                      <w:pStyle w:val="P68B1DB1-Normal93"/>
                    </w:pPr>
                    <w:r>
                      <w:t>EBA – bežné použitie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7A5804" w:rsidRDefault="007B7723">
    <w:pPr>
      <w:pStyle w:val="P68B1DB1-Header94"/>
      <w:jc w:val="center"/>
    </w:pPr>
    <w:r>
      <w:rPr>
        <w:noProof/>
      </w:rPr>
      <mc:AlternateContent>
        <mc:Choice Requires="wps">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Textový rámček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7A5804" w:rsidRDefault="007A580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3" id="_x0000_t202" coordsize="21600,21600" o:spt="202" path="m,l,21600r21600,l21600,xe">
              <v:stroke joinstyle="miter"/>
              <v:path gradientshapeok="t" o:connecttype="rect"/>
            </v:shapetype>
            <v:shape id="Textový rámček 3"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E1D28B" w14:textId="43485C18" w:rsidR="007A5804" w:rsidRDefault="007A5804">
                    <w:pPr>
                      <w:rPr>
                        <w:rFonts w:ascii="Calibri" w:eastAsia="Calibri" w:hAnsi="Calibri" w:cs="Calibri"/>
                        <w:color w:val="000000"/>
                        <w:sz w:val="24"/>
                      </w:rPr>
                    </w:pPr>
                  </w:p>
                </w:txbxContent>
              </v:textbox>
              <w10:wrap type="square" anchorx="margin"/>
            </v:shape>
          </w:pict>
        </mc:Fallback>
      </mc:AlternateContent>
    </w:r>
    <w:r>
      <w:t>SK</w:t>
    </w:r>
  </w:p>
  <w:p w14:paraId="7FE1D24D" w14:textId="77777777" w:rsidR="007A5804" w:rsidRDefault="007B7723">
    <w:pPr>
      <w:pStyle w:val="P68B1DB1-Header94"/>
      <w:jc w:val="center"/>
    </w:pPr>
    <w:r>
      <w:t>PRÍLOHA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7A5804" w:rsidRDefault="007B7723">
    <w:pPr>
      <w:pStyle w:val="Header"/>
    </w:pPr>
    <w:r>
      <w:rPr>
        <w:noProof/>
      </w:rPr>
      <mc:AlternateContent>
        <mc:Choice Requires="wps">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Textový rámček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7A5804" w:rsidRDefault="007A5804">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FE1D255" id="_x0000_t202" coordsize="21600,21600" o:spt="202" path="m,l,21600r21600,l21600,xe">
              <v:stroke joinstyle="miter"/>
              <v:path gradientshapeok="t" o:connecttype="rect"/>
            </v:shapetype>
            <v:shape id="Textový rámček 1" o:spid="_x0000_s1028" type="#_x0000_t202" alt="EBA Regular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7FE1D28C" w14:textId="15FD35FB" w:rsidR="007A5804" w:rsidRDefault="007A5804">
                    <w:pPr>
                      <w:rPr>
                        <w:rFonts w:ascii="Calibri" w:eastAsia="Calibri" w:hAnsi="Calibri" w:cs="Calibri"/>
                        <w:color w:val="000000"/>
                        <w:sz w:val="24"/>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A3E31"/>
    <w:rsid w:val="000B3ECD"/>
    <w:rsid w:val="000B45B0"/>
    <w:rsid w:val="000C0E67"/>
    <w:rsid w:val="000C51EB"/>
    <w:rsid w:val="000D2CC5"/>
    <w:rsid w:val="000E083F"/>
    <w:rsid w:val="000E50C4"/>
    <w:rsid w:val="00124735"/>
    <w:rsid w:val="001310BC"/>
    <w:rsid w:val="00133A67"/>
    <w:rsid w:val="00151BE4"/>
    <w:rsid w:val="0016454D"/>
    <w:rsid w:val="00164AB4"/>
    <w:rsid w:val="001767FA"/>
    <w:rsid w:val="00181496"/>
    <w:rsid w:val="00190C69"/>
    <w:rsid w:val="00191356"/>
    <w:rsid w:val="001B0D4C"/>
    <w:rsid w:val="001B542E"/>
    <w:rsid w:val="001D45AF"/>
    <w:rsid w:val="001E11D9"/>
    <w:rsid w:val="001F0302"/>
    <w:rsid w:val="001F38AE"/>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589B"/>
    <w:rsid w:val="0036700A"/>
    <w:rsid w:val="00372AA6"/>
    <w:rsid w:val="003748E9"/>
    <w:rsid w:val="00376C55"/>
    <w:rsid w:val="003932C1"/>
    <w:rsid w:val="00393D7F"/>
    <w:rsid w:val="003A172A"/>
    <w:rsid w:val="003E102B"/>
    <w:rsid w:val="003E4C28"/>
    <w:rsid w:val="003F79E6"/>
    <w:rsid w:val="00405A58"/>
    <w:rsid w:val="00417791"/>
    <w:rsid w:val="00425EF9"/>
    <w:rsid w:val="00434529"/>
    <w:rsid w:val="0046145A"/>
    <w:rsid w:val="00474B54"/>
    <w:rsid w:val="00475F09"/>
    <w:rsid w:val="00483AA9"/>
    <w:rsid w:val="004949AC"/>
    <w:rsid w:val="00496767"/>
    <w:rsid w:val="004A2A07"/>
    <w:rsid w:val="004B5F95"/>
    <w:rsid w:val="004B735F"/>
    <w:rsid w:val="004C3C09"/>
    <w:rsid w:val="004E1A73"/>
    <w:rsid w:val="004E372E"/>
    <w:rsid w:val="00501C47"/>
    <w:rsid w:val="005020C0"/>
    <w:rsid w:val="0050242D"/>
    <w:rsid w:val="00531F46"/>
    <w:rsid w:val="005327AD"/>
    <w:rsid w:val="00541BD5"/>
    <w:rsid w:val="00555315"/>
    <w:rsid w:val="00577491"/>
    <w:rsid w:val="00584116"/>
    <w:rsid w:val="00591328"/>
    <w:rsid w:val="005A126D"/>
    <w:rsid w:val="005B2566"/>
    <w:rsid w:val="005B5F8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A5804"/>
    <w:rsid w:val="007B0136"/>
    <w:rsid w:val="007B7723"/>
    <w:rsid w:val="007C03B1"/>
    <w:rsid w:val="007C64F6"/>
    <w:rsid w:val="007F0D5A"/>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57776"/>
    <w:rsid w:val="009825D6"/>
    <w:rsid w:val="00990404"/>
    <w:rsid w:val="009A0C09"/>
    <w:rsid w:val="009A5C0C"/>
    <w:rsid w:val="009B5BE4"/>
    <w:rsid w:val="009E5123"/>
    <w:rsid w:val="009F3EBB"/>
    <w:rsid w:val="009F5B93"/>
    <w:rsid w:val="00A22012"/>
    <w:rsid w:val="00A23095"/>
    <w:rsid w:val="00A23AD2"/>
    <w:rsid w:val="00A23F4B"/>
    <w:rsid w:val="00A4142A"/>
    <w:rsid w:val="00A5354C"/>
    <w:rsid w:val="00A953AC"/>
    <w:rsid w:val="00A968A9"/>
    <w:rsid w:val="00AA0860"/>
    <w:rsid w:val="00AB3A47"/>
    <w:rsid w:val="00AB7545"/>
    <w:rsid w:val="00AC162F"/>
    <w:rsid w:val="00AD694F"/>
    <w:rsid w:val="00AE4741"/>
    <w:rsid w:val="00AE75AC"/>
    <w:rsid w:val="00AE774B"/>
    <w:rsid w:val="00B11DF8"/>
    <w:rsid w:val="00B549AA"/>
    <w:rsid w:val="00B72EA2"/>
    <w:rsid w:val="00B82609"/>
    <w:rsid w:val="00B9253F"/>
    <w:rsid w:val="00BB7638"/>
    <w:rsid w:val="00BC4FE7"/>
    <w:rsid w:val="00BDE510"/>
    <w:rsid w:val="00C0140B"/>
    <w:rsid w:val="00C16DB1"/>
    <w:rsid w:val="00C175F1"/>
    <w:rsid w:val="00C22F1A"/>
    <w:rsid w:val="00C27BAD"/>
    <w:rsid w:val="00C37F49"/>
    <w:rsid w:val="00C718D3"/>
    <w:rsid w:val="00C85736"/>
    <w:rsid w:val="00C91A34"/>
    <w:rsid w:val="00C937F1"/>
    <w:rsid w:val="00C94070"/>
    <w:rsid w:val="00CA03F1"/>
    <w:rsid w:val="00CB6053"/>
    <w:rsid w:val="00CC0A94"/>
    <w:rsid w:val="00CC359C"/>
    <w:rsid w:val="00CE06F0"/>
    <w:rsid w:val="00CE18AF"/>
    <w:rsid w:val="00CE3C84"/>
    <w:rsid w:val="00CE7459"/>
    <w:rsid w:val="00CF774B"/>
    <w:rsid w:val="00D02DDD"/>
    <w:rsid w:val="00D23EBA"/>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91699"/>
    <w:rsid w:val="00E9287B"/>
    <w:rsid w:val="00ED6B02"/>
    <w:rsid w:val="00EE30B2"/>
    <w:rsid w:val="00EF5B83"/>
    <w:rsid w:val="00F04D9A"/>
    <w:rsid w:val="00F406E1"/>
    <w:rsid w:val="00F61ED3"/>
    <w:rsid w:val="00F70BE6"/>
    <w:rsid w:val="00F8598D"/>
    <w:rsid w:val="00F86B79"/>
    <w:rsid w:val="00F87AA6"/>
    <w:rsid w:val="00F950CD"/>
    <w:rsid w:val="00FB1DE9"/>
    <w:rsid w:val="00FB425E"/>
    <w:rsid w:val="00FB6BAE"/>
    <w:rsid w:val="00FD00F2"/>
    <w:rsid w:val="00FD0421"/>
    <w:rsid w:val="00FD67E1"/>
    <w:rsid w:val="00FD7A29"/>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eastAsia="sk-SK"/>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340281658">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383015258">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37374</Words>
  <Characters>213036</Characters>
  <Application>Microsoft Office Word</Application>
  <DocSecurity>4</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Gajdoš Tomáš</dc:creator>
  <cp:keywords/>
  <cp:lastModifiedBy>Kornelia Wilinska</cp:lastModifiedBy>
  <cp:revision>2</cp:revision>
  <dcterms:created xsi:type="dcterms:W3CDTF">2025-10-10T07:39:00Z</dcterms:created>
  <dcterms:modified xsi:type="dcterms:W3CDTF">2025-10-10T07:39:00Z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